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914D" w14:textId="5304C0F5" w:rsidR="00EA76B6" w:rsidRPr="00703EEB" w:rsidRDefault="002710BB" w:rsidP="002710BB">
      <w:pPr>
        <w:spacing w:after="0"/>
        <w:jc w:val="center"/>
        <w:rPr>
          <w:rFonts w:ascii="Times New Roman" w:hAnsi="Times New Roman" w:cs="Times New Roman"/>
          <w:b/>
          <w:sz w:val="24"/>
          <w:szCs w:val="24"/>
        </w:rPr>
      </w:pPr>
      <w:r w:rsidRPr="00703EEB">
        <w:rPr>
          <w:rFonts w:ascii="Times New Roman" w:hAnsi="Times New Roman" w:cs="Times New Roman"/>
          <w:b/>
          <w:sz w:val="24"/>
          <w:szCs w:val="24"/>
        </w:rPr>
        <w:t>Farmers' Perception</w:t>
      </w:r>
      <w:r w:rsidRPr="00E16FF6">
        <w:rPr>
          <w:rFonts w:ascii="Times New Roman" w:hAnsi="Times New Roman" w:cs="Times New Roman"/>
          <w:b/>
          <w:strike/>
          <w:color w:val="EE0000"/>
          <w:sz w:val="24"/>
          <w:szCs w:val="24"/>
        </w:rPr>
        <w:t xml:space="preserve"> of</w:t>
      </w:r>
      <w:r w:rsidRPr="00E16FF6">
        <w:rPr>
          <w:rFonts w:ascii="Times New Roman" w:hAnsi="Times New Roman" w:cs="Times New Roman"/>
          <w:b/>
          <w:color w:val="EE0000"/>
          <w:sz w:val="24"/>
          <w:szCs w:val="24"/>
        </w:rPr>
        <w:t xml:space="preserve"> </w:t>
      </w:r>
      <w:r w:rsidR="00E16FF6" w:rsidRPr="00E16FF6">
        <w:rPr>
          <w:rFonts w:ascii="Times New Roman" w:hAnsi="Times New Roman" w:cs="Times New Roman"/>
          <w:b/>
          <w:color w:val="EE0000"/>
          <w:sz w:val="24"/>
          <w:szCs w:val="24"/>
        </w:rPr>
        <w:t xml:space="preserve">Towards </w:t>
      </w:r>
      <w:r w:rsidRPr="00703EEB">
        <w:rPr>
          <w:rFonts w:ascii="Times New Roman" w:hAnsi="Times New Roman" w:cs="Times New Roman"/>
          <w:b/>
          <w:sz w:val="24"/>
          <w:szCs w:val="24"/>
        </w:rPr>
        <w:t>Sand Deposition Impact on Agricultural Land in the Jamuna River Floodplain of Kazipur Upazila, Bangladesh</w:t>
      </w:r>
    </w:p>
    <w:p w14:paraId="7129062B" w14:textId="77777777" w:rsidR="00FB6731" w:rsidRPr="00703EEB" w:rsidRDefault="00FB6731" w:rsidP="002710BB">
      <w:pPr>
        <w:spacing w:after="0"/>
        <w:jc w:val="center"/>
        <w:rPr>
          <w:rFonts w:ascii="Times New Roman" w:hAnsi="Times New Roman" w:cs="Times New Roman"/>
          <w:b/>
          <w:sz w:val="24"/>
          <w:szCs w:val="24"/>
        </w:rPr>
      </w:pPr>
    </w:p>
    <w:p w14:paraId="249EC196" w14:textId="77777777" w:rsidR="00F67CAC" w:rsidRPr="007B2263" w:rsidRDefault="005015EF" w:rsidP="002710BB">
      <w:pPr>
        <w:spacing w:after="0"/>
        <w:jc w:val="center"/>
        <w:rPr>
          <w:rFonts w:ascii="Times New Roman" w:hAnsi="Times New Roman" w:cs="Times New Roman"/>
          <w:b/>
          <w:sz w:val="24"/>
          <w:szCs w:val="24"/>
        </w:rPr>
      </w:pPr>
      <w:r w:rsidRPr="007B2263">
        <w:rPr>
          <w:rFonts w:ascii="Times New Roman" w:hAnsi="Times New Roman" w:cs="Times New Roman"/>
          <w:b/>
          <w:sz w:val="24"/>
          <w:szCs w:val="24"/>
        </w:rPr>
        <w:t xml:space="preserve">Abstract </w:t>
      </w:r>
    </w:p>
    <w:p w14:paraId="79757034" w14:textId="4E2E78E2" w:rsidR="005015EF" w:rsidRDefault="00C177C5" w:rsidP="005015EF">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Seasonal flooding often leads to sand accumulation on farmlands, which affects soil fertility, reduces crop yields, and disrupts farming activities. </w:t>
      </w:r>
      <w:r w:rsidR="005015EF" w:rsidRPr="005015EF">
        <w:rPr>
          <w:rFonts w:ascii="Times New Roman" w:eastAsia="Times New Roman" w:hAnsi="Times New Roman" w:cs="Times New Roman"/>
          <w:noProof w:val="0"/>
          <w:sz w:val="24"/>
          <w:szCs w:val="24"/>
        </w:rPr>
        <w:t xml:space="preserve">This study explores farmers’ perceptions </w:t>
      </w:r>
      <w:r w:rsidR="005015EF" w:rsidRPr="00A94A74">
        <w:rPr>
          <w:rFonts w:ascii="Times New Roman" w:eastAsia="Times New Roman" w:hAnsi="Times New Roman" w:cs="Times New Roman"/>
          <w:strike/>
          <w:noProof w:val="0"/>
          <w:color w:val="EE0000"/>
          <w:sz w:val="24"/>
          <w:szCs w:val="24"/>
        </w:rPr>
        <w:t>of</w:t>
      </w:r>
      <w:r w:rsidR="005015EF" w:rsidRPr="005015EF">
        <w:rPr>
          <w:rFonts w:ascii="Times New Roman" w:eastAsia="Times New Roman" w:hAnsi="Times New Roman" w:cs="Times New Roman"/>
          <w:noProof w:val="0"/>
          <w:sz w:val="24"/>
          <w:szCs w:val="24"/>
        </w:rPr>
        <w:t xml:space="preserve"> </w:t>
      </w:r>
      <w:r w:rsidR="00A94A74" w:rsidRPr="00A94A74">
        <w:rPr>
          <w:rFonts w:ascii="Times New Roman" w:eastAsia="Times New Roman" w:hAnsi="Times New Roman" w:cs="Times New Roman"/>
          <w:noProof w:val="0"/>
          <w:color w:val="EE0000"/>
          <w:sz w:val="24"/>
          <w:szCs w:val="24"/>
        </w:rPr>
        <w:t>towards</w:t>
      </w:r>
      <w:r w:rsidR="00A94A74">
        <w:rPr>
          <w:rFonts w:ascii="Times New Roman" w:eastAsia="Times New Roman" w:hAnsi="Times New Roman" w:cs="Times New Roman"/>
          <w:noProof w:val="0"/>
          <w:sz w:val="24"/>
          <w:szCs w:val="24"/>
        </w:rPr>
        <w:t xml:space="preserve"> </w:t>
      </w:r>
      <w:r w:rsidR="005015EF" w:rsidRPr="005015EF">
        <w:rPr>
          <w:rFonts w:ascii="Times New Roman" w:eastAsia="Times New Roman" w:hAnsi="Times New Roman" w:cs="Times New Roman"/>
          <w:noProof w:val="0"/>
          <w:sz w:val="24"/>
          <w:szCs w:val="24"/>
        </w:rPr>
        <w:t xml:space="preserve">the impact of sand deposition on agricultural land and livelihoods along the Jamuna River floodplain in </w:t>
      </w:r>
      <w:proofErr w:type="spellStart"/>
      <w:r w:rsidR="005015EF" w:rsidRPr="005015EF">
        <w:rPr>
          <w:rFonts w:ascii="Times New Roman" w:eastAsia="Times New Roman" w:hAnsi="Times New Roman" w:cs="Times New Roman"/>
          <w:noProof w:val="0"/>
          <w:sz w:val="24"/>
          <w:szCs w:val="24"/>
        </w:rPr>
        <w:t>Kazipur</w:t>
      </w:r>
      <w:proofErr w:type="spellEnd"/>
      <w:r w:rsidR="005015EF" w:rsidRPr="005015EF">
        <w:rPr>
          <w:rFonts w:ascii="Times New Roman" w:eastAsia="Times New Roman" w:hAnsi="Times New Roman" w:cs="Times New Roman"/>
          <w:noProof w:val="0"/>
          <w:sz w:val="24"/>
          <w:szCs w:val="24"/>
        </w:rPr>
        <w:t xml:space="preserve"> Upazila, Bangladesh. Data were collected from 80 farmers in two unions through a structured questionnaire. The results show that most farmers believe sand deposition significantly reduces agricultural productivity (agreed by 90% of respondents), causes the loss of arable land (91.3%), degrades soil (90%), and leads to economic losses (88.8%). These high agreement levels reflect strong concern about the negative impacts of sand deposition. Statistical analysis revealed significant positive relationships between farmers’ perceptions and factors such as agricultural income (r = 0.322, p &lt; 0.01), distance from the riverbank (r = 0.427, p &lt; 0.01), and the extent of land affected by sand </w:t>
      </w:r>
      <w:r w:rsidR="000B39EA">
        <w:rPr>
          <w:rFonts w:ascii="Times New Roman" w:eastAsia="Times New Roman" w:hAnsi="Times New Roman" w:cs="Times New Roman"/>
          <w:noProof w:val="0"/>
          <w:sz w:val="24"/>
          <w:szCs w:val="24"/>
        </w:rPr>
        <w:t xml:space="preserve">deposition </w:t>
      </w:r>
      <w:r w:rsidR="005015EF" w:rsidRPr="005015EF">
        <w:rPr>
          <w:rFonts w:ascii="Times New Roman" w:eastAsia="Times New Roman" w:hAnsi="Times New Roman" w:cs="Times New Roman"/>
          <w:noProof w:val="0"/>
          <w:sz w:val="24"/>
          <w:szCs w:val="24"/>
        </w:rPr>
        <w:t>(r = 0.308, p &lt; 0.01). The findings highlight the urgent need for sustainable land management strategies and targeted support to protect agricultural livelihoods in vulnerable riverine areas.</w:t>
      </w:r>
    </w:p>
    <w:p w14:paraId="295E7D7E" w14:textId="77777777" w:rsidR="005015EF" w:rsidRPr="005015EF" w:rsidRDefault="005015EF" w:rsidP="005015EF">
      <w:pPr>
        <w:pStyle w:val="NormalWeb"/>
      </w:pPr>
      <w:r w:rsidRPr="005015EF">
        <w:rPr>
          <w:b/>
        </w:rPr>
        <w:t>Keywords:</w:t>
      </w:r>
      <w:r>
        <w:t xml:space="preserve"> </w:t>
      </w:r>
      <w:r w:rsidRPr="005015EF">
        <w:t>Sand deposition</w:t>
      </w:r>
      <w:r>
        <w:t xml:space="preserve">, </w:t>
      </w:r>
      <w:r w:rsidRPr="005015EF">
        <w:t>Agricultural land</w:t>
      </w:r>
      <w:r>
        <w:t xml:space="preserve">, </w:t>
      </w:r>
      <w:r w:rsidRPr="005015EF">
        <w:t>Farmer perception</w:t>
      </w:r>
      <w:r>
        <w:t xml:space="preserve">, </w:t>
      </w:r>
      <w:r w:rsidRPr="005015EF">
        <w:t>Jamuna River</w:t>
      </w:r>
      <w:r>
        <w:t xml:space="preserve">, </w:t>
      </w:r>
      <w:r w:rsidRPr="005015EF">
        <w:t>Floodplain agriculture</w:t>
      </w:r>
      <w:r>
        <w:t xml:space="preserve">, </w:t>
      </w:r>
      <w:r w:rsidRPr="005015EF">
        <w:t>Rural livelihoods</w:t>
      </w:r>
      <w:r w:rsidR="00B466F6">
        <w:t xml:space="preserve">. </w:t>
      </w:r>
    </w:p>
    <w:p w14:paraId="29011554" w14:textId="77777777" w:rsidR="00F67CAC" w:rsidRPr="005015EF" w:rsidRDefault="005015EF" w:rsidP="005015EF">
      <w:pPr>
        <w:widowControl/>
        <w:spacing w:before="100" w:beforeAutospacing="1" w:after="0" w:line="360" w:lineRule="auto"/>
        <w:outlineLvl w:val="2"/>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1. </w:t>
      </w:r>
      <w:r w:rsidR="00F67CAC" w:rsidRPr="005015EF">
        <w:rPr>
          <w:rFonts w:ascii="Times New Roman" w:eastAsia="Times New Roman" w:hAnsi="Times New Roman" w:cs="Times New Roman"/>
          <w:b/>
          <w:bCs/>
          <w:noProof w:val="0"/>
          <w:sz w:val="24"/>
          <w:szCs w:val="24"/>
        </w:rPr>
        <w:t>Introduction</w:t>
      </w:r>
    </w:p>
    <w:p w14:paraId="299C0717" w14:textId="77777777" w:rsidR="00F67CAC" w:rsidRPr="005015EF" w:rsidRDefault="00F67CAC" w:rsidP="005015EF">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Agriculture remains the backbone of many developing economies, providing food, employment, and income for the majority of rural populations. However, this sector is increasingly threatened by both natural and anthropogenic processes that degrade land and compromise productivity</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[1]</w:t>
      </w:r>
      <w:r w:rsidRPr="005015EF">
        <w:rPr>
          <w:rFonts w:ascii="Times New Roman" w:eastAsia="Times New Roman" w:hAnsi="Times New Roman" w:cs="Times New Roman"/>
          <w:noProof w:val="0"/>
          <w:sz w:val="24"/>
          <w:szCs w:val="24"/>
        </w:rPr>
        <w:t xml:space="preserve">. One such process is </w:t>
      </w:r>
      <w:r w:rsidRPr="005015EF">
        <w:rPr>
          <w:rFonts w:ascii="Times New Roman" w:eastAsia="Times New Roman" w:hAnsi="Times New Roman" w:cs="Times New Roman"/>
          <w:bCs/>
          <w:noProof w:val="0"/>
          <w:sz w:val="24"/>
          <w:szCs w:val="24"/>
        </w:rPr>
        <w:t>sand deposition</w:t>
      </w:r>
      <w:r w:rsidRPr="005015EF">
        <w:rPr>
          <w:rFonts w:ascii="Times New Roman" w:eastAsia="Times New Roman" w:hAnsi="Times New Roman" w:cs="Times New Roman"/>
          <w:noProof w:val="0"/>
          <w:sz w:val="24"/>
          <w:szCs w:val="24"/>
        </w:rPr>
        <w:t xml:space="preserve">—a phenomenon that occurs mainly due to riverbank erosion, floods, and sediment transport, which significantly alters the physical and chemical properties of agricultural soils. This problem is particularly severe in </w:t>
      </w:r>
      <w:r w:rsidRPr="005015EF">
        <w:rPr>
          <w:rFonts w:ascii="Times New Roman" w:eastAsia="Times New Roman" w:hAnsi="Times New Roman" w:cs="Times New Roman"/>
          <w:bCs/>
          <w:noProof w:val="0"/>
          <w:sz w:val="24"/>
          <w:szCs w:val="24"/>
        </w:rPr>
        <w:t>floodplain areas</w:t>
      </w:r>
      <w:r w:rsidRPr="005015EF">
        <w:rPr>
          <w:rFonts w:ascii="Times New Roman" w:eastAsia="Times New Roman" w:hAnsi="Times New Roman" w:cs="Times New Roman"/>
          <w:noProof w:val="0"/>
          <w:sz w:val="24"/>
          <w:szCs w:val="24"/>
        </w:rPr>
        <w:t>, where rivers frequently overflow and deposit layers of sand over fertile farmland, rendering them temporarily or permanently unproductive</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[2]</w:t>
      </w:r>
      <w:r w:rsidRPr="005015EF">
        <w:rPr>
          <w:rFonts w:ascii="Times New Roman" w:eastAsia="Times New Roman" w:hAnsi="Times New Roman" w:cs="Times New Roman"/>
          <w:noProof w:val="0"/>
          <w:sz w:val="24"/>
          <w:szCs w:val="24"/>
        </w:rPr>
        <w:t>.</w:t>
      </w:r>
    </w:p>
    <w:p w14:paraId="61C8D372"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Globally, sand deposition is a recurring issue in large river basins such as the Amazon, Nile, Mekong, and Ganges-Brahmaputra-Meghna (GBM) systems. It reduces arable land, disrupts cropping cycles</w:t>
      </w:r>
      <w:r w:rsidRPr="00A94A74">
        <w:rPr>
          <w:rFonts w:ascii="Times New Roman" w:eastAsia="Times New Roman" w:hAnsi="Times New Roman" w:cs="Times New Roman"/>
          <w:strike/>
          <w:noProof w:val="0"/>
          <w:color w:val="EE0000"/>
          <w:sz w:val="24"/>
          <w:szCs w:val="24"/>
        </w:rPr>
        <w:t>,</w:t>
      </w:r>
      <w:r w:rsidRPr="005015EF">
        <w:rPr>
          <w:rFonts w:ascii="Times New Roman" w:eastAsia="Times New Roman" w:hAnsi="Times New Roman" w:cs="Times New Roman"/>
          <w:noProof w:val="0"/>
          <w:sz w:val="24"/>
          <w:szCs w:val="24"/>
        </w:rPr>
        <w:t xml:space="preserve"> and ultimately threatens food security and rural livelihoods. Despite its global </w:t>
      </w:r>
      <w:r w:rsidRPr="005015EF">
        <w:rPr>
          <w:rFonts w:ascii="Times New Roman" w:eastAsia="Times New Roman" w:hAnsi="Times New Roman" w:cs="Times New Roman"/>
          <w:noProof w:val="0"/>
          <w:sz w:val="24"/>
          <w:szCs w:val="24"/>
        </w:rPr>
        <w:lastRenderedPageBreak/>
        <w:t xml:space="preserve">occurrence, the </w:t>
      </w:r>
      <w:r w:rsidRPr="005015EF">
        <w:rPr>
          <w:rFonts w:ascii="Times New Roman" w:eastAsia="Times New Roman" w:hAnsi="Times New Roman" w:cs="Times New Roman"/>
          <w:bCs/>
          <w:noProof w:val="0"/>
          <w:sz w:val="24"/>
          <w:szCs w:val="24"/>
        </w:rPr>
        <w:t>social and economic implications of sand deposition on small</w:t>
      </w:r>
      <w:r w:rsidRPr="00A94A74">
        <w:rPr>
          <w:rFonts w:ascii="Times New Roman" w:eastAsia="Times New Roman" w:hAnsi="Times New Roman" w:cs="Times New Roman"/>
          <w:bCs/>
          <w:strike/>
          <w:noProof w:val="0"/>
          <w:color w:val="EE0000"/>
          <w:sz w:val="24"/>
          <w:szCs w:val="24"/>
        </w:rPr>
        <w:t>holder</w:t>
      </w:r>
      <w:r w:rsidRPr="005015EF">
        <w:rPr>
          <w:rFonts w:ascii="Times New Roman" w:eastAsia="Times New Roman" w:hAnsi="Times New Roman" w:cs="Times New Roman"/>
          <w:bCs/>
          <w:noProof w:val="0"/>
          <w:sz w:val="24"/>
          <w:szCs w:val="24"/>
        </w:rPr>
        <w:t xml:space="preserve"> farmers' livelihoods</w:t>
      </w:r>
      <w:r w:rsidRPr="005015EF">
        <w:rPr>
          <w:rFonts w:ascii="Times New Roman" w:eastAsia="Times New Roman" w:hAnsi="Times New Roman" w:cs="Times New Roman"/>
          <w:noProof w:val="0"/>
          <w:sz w:val="24"/>
          <w:szCs w:val="24"/>
        </w:rPr>
        <w:t xml:space="preserve"> remain under-explored, especially in riverine countries like Bangladesh</w:t>
      </w:r>
      <w:r w:rsidR="00E0254A">
        <w:rPr>
          <w:rFonts w:ascii="Times New Roman" w:eastAsia="Times New Roman" w:hAnsi="Times New Roman" w:cs="Times New Roman"/>
          <w:noProof w:val="0"/>
          <w:sz w:val="24"/>
          <w:szCs w:val="24"/>
        </w:rPr>
        <w:t xml:space="preserve"> [3-5]</w:t>
      </w:r>
      <w:r w:rsidRPr="005015EF">
        <w:rPr>
          <w:rFonts w:ascii="Times New Roman" w:eastAsia="Times New Roman" w:hAnsi="Times New Roman" w:cs="Times New Roman"/>
          <w:noProof w:val="0"/>
          <w:sz w:val="24"/>
          <w:szCs w:val="24"/>
        </w:rPr>
        <w:t>.</w:t>
      </w:r>
    </w:p>
    <w:p w14:paraId="7064B14D" w14:textId="67E043F3"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Bangladesh, the </w:t>
      </w:r>
      <w:r w:rsidRPr="005015EF">
        <w:rPr>
          <w:rFonts w:ascii="Times New Roman" w:eastAsia="Times New Roman" w:hAnsi="Times New Roman" w:cs="Times New Roman"/>
          <w:bCs/>
          <w:noProof w:val="0"/>
          <w:sz w:val="24"/>
          <w:szCs w:val="24"/>
        </w:rPr>
        <w:t>Jamuna River</w:t>
      </w:r>
      <w:r w:rsidRPr="005015EF">
        <w:rPr>
          <w:rFonts w:ascii="Times New Roman" w:eastAsia="Times New Roman" w:hAnsi="Times New Roman" w:cs="Times New Roman"/>
          <w:noProof w:val="0"/>
          <w:sz w:val="24"/>
          <w:szCs w:val="24"/>
        </w:rPr>
        <w:t>—one of the country's three major rivers—is known for its dynamic behavior and frequent channel shifting, particularly during monsoon seasons</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[6]</w:t>
      </w:r>
      <w:r w:rsidRPr="005015EF">
        <w:rPr>
          <w:rFonts w:ascii="Times New Roman" w:eastAsia="Times New Roman" w:hAnsi="Times New Roman" w:cs="Times New Roman"/>
          <w:noProof w:val="0"/>
          <w:sz w:val="24"/>
          <w:szCs w:val="24"/>
        </w:rPr>
        <w:t xml:space="preserve">. These changes often </w:t>
      </w:r>
      <w:proofErr w:type="gramStart"/>
      <w:r w:rsidRPr="005015EF">
        <w:rPr>
          <w:rFonts w:ascii="Times New Roman" w:eastAsia="Times New Roman" w:hAnsi="Times New Roman" w:cs="Times New Roman"/>
          <w:noProof w:val="0"/>
          <w:sz w:val="24"/>
          <w:szCs w:val="24"/>
        </w:rPr>
        <w:t>result</w:t>
      </w:r>
      <w:r w:rsidR="00A94A74" w:rsidRPr="00A94A74">
        <w:rPr>
          <w:rFonts w:ascii="Times New Roman" w:eastAsia="Times New Roman" w:hAnsi="Times New Roman" w:cs="Times New Roman"/>
          <w:noProof w:val="0"/>
          <w:color w:val="EE0000"/>
          <w:sz w:val="24"/>
          <w:szCs w:val="24"/>
        </w:rPr>
        <w:t>s</w:t>
      </w:r>
      <w:proofErr w:type="gramEnd"/>
      <w:r w:rsidRPr="005015EF">
        <w:rPr>
          <w:rFonts w:ascii="Times New Roman" w:eastAsia="Times New Roman" w:hAnsi="Times New Roman" w:cs="Times New Roman"/>
          <w:noProof w:val="0"/>
          <w:sz w:val="24"/>
          <w:szCs w:val="24"/>
        </w:rPr>
        <w:t xml:space="preserve"> in massive sedimentation and sand deposition across its floodplains. The </w:t>
      </w:r>
      <w:proofErr w:type="spellStart"/>
      <w:r w:rsidRPr="005015EF">
        <w:rPr>
          <w:rFonts w:ascii="Times New Roman" w:eastAsia="Times New Roman" w:hAnsi="Times New Roman" w:cs="Times New Roman"/>
          <w:bCs/>
          <w:noProof w:val="0"/>
          <w:sz w:val="24"/>
          <w:szCs w:val="24"/>
        </w:rPr>
        <w:t>Kazipur</w:t>
      </w:r>
      <w:proofErr w:type="spellEnd"/>
      <w:r w:rsidRPr="005015EF">
        <w:rPr>
          <w:rFonts w:ascii="Times New Roman" w:eastAsia="Times New Roman" w:hAnsi="Times New Roman" w:cs="Times New Roman"/>
          <w:bCs/>
          <w:noProof w:val="0"/>
          <w:sz w:val="24"/>
          <w:szCs w:val="24"/>
        </w:rPr>
        <w:t xml:space="preserve"> Upazila</w:t>
      </w:r>
      <w:r w:rsidRPr="005015EF">
        <w:rPr>
          <w:rFonts w:ascii="Times New Roman" w:eastAsia="Times New Roman" w:hAnsi="Times New Roman" w:cs="Times New Roman"/>
          <w:noProof w:val="0"/>
          <w:sz w:val="24"/>
          <w:szCs w:val="24"/>
        </w:rPr>
        <w:t>, located within the Jamuna River basin, is one of the most affected areas where agricultural land is frequently overlaid with coarse sand, limiting productivity and altering land use practices. Farmers in this region face multifaceted challenges, including crop failure, declining soil fertility, reduced income, and long-term uncertainty in land tenure and use</w:t>
      </w:r>
      <w:r w:rsidR="000D486A">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[7-9]</w:t>
      </w:r>
      <w:r w:rsidRPr="005015EF">
        <w:rPr>
          <w:rFonts w:ascii="Times New Roman" w:eastAsia="Times New Roman" w:hAnsi="Times New Roman" w:cs="Times New Roman"/>
          <w:noProof w:val="0"/>
          <w:sz w:val="24"/>
          <w:szCs w:val="24"/>
        </w:rPr>
        <w:t>.</w:t>
      </w:r>
    </w:p>
    <w:p w14:paraId="61F2BE99" w14:textId="77777777" w:rsidR="008628FD" w:rsidRPr="008628FD" w:rsidRDefault="00F67CAC" w:rsidP="008628FD">
      <w:pPr>
        <w:spacing w:after="0" w:line="360" w:lineRule="auto"/>
        <w:rPr>
          <w:rFonts w:ascii="Times New Roman" w:hAnsi="Times New Roman" w:cs="Times New Roman"/>
          <w:sz w:val="24"/>
          <w:szCs w:val="24"/>
        </w:rPr>
      </w:pPr>
      <w:r w:rsidRPr="008628FD">
        <w:rPr>
          <w:rFonts w:ascii="Times New Roman" w:eastAsia="Times New Roman" w:hAnsi="Times New Roman" w:cs="Times New Roman"/>
          <w:noProof w:val="0"/>
          <w:sz w:val="24"/>
          <w:szCs w:val="24"/>
        </w:rPr>
        <w:t xml:space="preserve">Several studies have examined </w:t>
      </w:r>
      <w:r w:rsidRPr="008628FD">
        <w:rPr>
          <w:rFonts w:ascii="Times New Roman" w:eastAsia="Times New Roman" w:hAnsi="Times New Roman" w:cs="Times New Roman"/>
          <w:bCs/>
          <w:noProof w:val="0"/>
          <w:sz w:val="24"/>
          <w:szCs w:val="24"/>
        </w:rPr>
        <w:t>river erosion, flood impacts, and land degradation</w:t>
      </w:r>
      <w:r w:rsidR="008628FD" w:rsidRPr="008628FD">
        <w:rPr>
          <w:rFonts w:ascii="Times New Roman" w:eastAsia="Times New Roman" w:hAnsi="Times New Roman" w:cs="Times New Roman"/>
          <w:noProof w:val="0"/>
          <w:sz w:val="24"/>
          <w:szCs w:val="24"/>
        </w:rPr>
        <w:t xml:space="preserve"> in Bangladesh. Notably</w:t>
      </w:r>
      <w:r w:rsidR="0015388A">
        <w:rPr>
          <w:rFonts w:ascii="Times New Roman" w:eastAsia="Times New Roman" w:hAnsi="Times New Roman" w:cs="Times New Roman"/>
          <w:noProof w:val="0"/>
          <w:sz w:val="24"/>
          <w:szCs w:val="24"/>
        </w:rPr>
        <w:t>,</w:t>
      </w:r>
      <w:r w:rsidR="008628FD" w:rsidRPr="008628FD">
        <w:rPr>
          <w:rFonts w:ascii="Times New Roman" w:eastAsia="Times New Roman" w:hAnsi="Times New Roman" w:cs="Times New Roman"/>
          <w:noProof w:val="0"/>
          <w:sz w:val="24"/>
          <w:szCs w:val="24"/>
        </w:rPr>
        <w:t xml:space="preserve"> </w:t>
      </w:r>
      <w:r w:rsidR="008628FD" w:rsidRPr="008628FD">
        <w:rPr>
          <w:rFonts w:ascii="Times New Roman" w:hAnsi="Times New Roman" w:cs="Times New Roman"/>
          <w:sz w:val="24"/>
          <w:szCs w:val="24"/>
        </w:rPr>
        <w:t xml:space="preserve">Ahmed et al. </w:t>
      </w:r>
      <w:r w:rsidR="00E0254A">
        <w:rPr>
          <w:rFonts w:ascii="Times New Roman" w:hAnsi="Times New Roman" w:cs="Times New Roman"/>
          <w:sz w:val="24"/>
          <w:szCs w:val="24"/>
        </w:rPr>
        <w:t xml:space="preserve">[10] </w:t>
      </w:r>
      <w:r w:rsidR="008628FD" w:rsidRPr="008628FD">
        <w:rPr>
          <w:rFonts w:ascii="Times New Roman" w:hAnsi="Times New Roman" w:cs="Times New Roman"/>
          <w:sz w:val="24"/>
          <w:szCs w:val="24"/>
        </w:rPr>
        <w:t>investigated the ways by which residents of the Rydas Bari char in the Gaibandha District of Bangladesh have adapted their agricultural practices in response to the effects of climate change. According to the findings, the most significant climate-related risks that char dwellers are concerned about are droughts, river erosion, and floods. In addition, findings from a climate vulnerability index show that similar conclusions can be drawn, namely that respondents from char are more vulnerable to a variety of climatic hazards. The purpose of this study is to gain a deeper understanding of the ways in which regional agricultural systems can adapt in response to significant climatic events. In order to mitigate the effects of the climate change that are already taking place, the people who live on Char Island have implemented a number of adaptation strategies in their agricultural practices. These include the adoption of new or alternative farming methods, the modification of planting times, and the cultivation of varieties with a shorter lifespan.</w:t>
      </w:r>
    </w:p>
    <w:p w14:paraId="3886D584" w14:textId="77777777" w:rsidR="00F67CAC" w:rsidRPr="005015EF" w:rsidRDefault="008628FD" w:rsidP="000D486A">
      <w:pPr>
        <w:spacing w:after="0" w:line="360" w:lineRule="auto"/>
        <w:rPr>
          <w:rFonts w:ascii="Times New Roman" w:eastAsia="Times New Roman" w:hAnsi="Times New Roman" w:cs="Times New Roman"/>
          <w:noProof w:val="0"/>
          <w:sz w:val="24"/>
          <w:szCs w:val="24"/>
        </w:rPr>
      </w:pPr>
      <w:r w:rsidRPr="008628FD">
        <w:rPr>
          <w:rFonts w:ascii="Times New Roman" w:hAnsi="Times New Roman" w:cs="Times New Roman"/>
          <w:sz w:val="24"/>
          <w:szCs w:val="24"/>
        </w:rPr>
        <w:t xml:space="preserve">Al Mamun et al. </w:t>
      </w:r>
      <w:r w:rsidR="00E0254A">
        <w:rPr>
          <w:rFonts w:ascii="Times New Roman" w:hAnsi="Times New Roman" w:cs="Times New Roman"/>
          <w:sz w:val="24"/>
          <w:szCs w:val="24"/>
        </w:rPr>
        <w:t>[11]</w:t>
      </w:r>
      <w:r w:rsidRPr="008628FD">
        <w:rPr>
          <w:rFonts w:ascii="Times New Roman" w:hAnsi="Times New Roman" w:cs="Times New Roman"/>
          <w:sz w:val="24"/>
          <w:szCs w:val="24"/>
        </w:rPr>
        <w:t xml:space="preserve"> studied Char land livelihood vulnerability to climate change and natural disasters in Phulbari Upazila in Kurigram and Lalmonirhat Sadar Upazila in northern Bangladesh.  Char land communities have varied LVI and CVI values. Char Jotindro-Narayan families are more susceptible than Char Kulaghat households (0.139). Char Jotindro-Narayan (0.633) has a lower CVI than Char Kulaghat (0.639). Food, water, social networks, natural catastrophes, and climate were the biggest vulnerabilities. Flood, riverbank erosion, unemployment, and access to communication, market, and basic services are the main biophysical and socioeconomic elements affecting livelihood vulnerability, according to the research.</w:t>
      </w:r>
      <w:r w:rsidR="000D486A">
        <w:rPr>
          <w:rFonts w:ascii="Times New Roman" w:hAnsi="Times New Roman" w:cs="Times New Roman"/>
          <w:sz w:val="24"/>
          <w:szCs w:val="24"/>
        </w:rPr>
        <w:t xml:space="preserve"> </w:t>
      </w:r>
      <w:r w:rsidRPr="008628FD">
        <w:rPr>
          <w:rFonts w:ascii="Times New Roman" w:hAnsi="Times New Roman" w:cs="Times New Roman"/>
          <w:sz w:val="24"/>
          <w:szCs w:val="24"/>
        </w:rPr>
        <w:t xml:space="preserve">Hoque et al </w:t>
      </w:r>
      <w:r w:rsidR="00E0254A">
        <w:rPr>
          <w:rFonts w:ascii="Times New Roman" w:hAnsi="Times New Roman" w:cs="Times New Roman"/>
          <w:sz w:val="24"/>
          <w:szCs w:val="24"/>
        </w:rPr>
        <w:t>[4]</w:t>
      </w:r>
      <w:r w:rsidRPr="008628FD">
        <w:rPr>
          <w:rFonts w:ascii="Times New Roman" w:hAnsi="Times New Roman" w:cs="Times New Roman"/>
          <w:sz w:val="24"/>
          <w:szCs w:val="24"/>
        </w:rPr>
        <w:t xml:space="preserve"> and Hoque et al </w:t>
      </w:r>
      <w:r w:rsidR="00E0254A">
        <w:rPr>
          <w:rFonts w:ascii="Times New Roman" w:hAnsi="Times New Roman" w:cs="Times New Roman"/>
          <w:sz w:val="24"/>
          <w:szCs w:val="24"/>
        </w:rPr>
        <w:t xml:space="preserve">[5] </w:t>
      </w:r>
      <w:r w:rsidRPr="008628FD">
        <w:rPr>
          <w:rFonts w:ascii="Times New Roman" w:hAnsi="Times New Roman" w:cs="Times New Roman"/>
          <w:sz w:val="24"/>
          <w:szCs w:val="24"/>
        </w:rPr>
        <w:t xml:space="preserve">also conducted studies in coastal region of </w:t>
      </w:r>
      <w:r w:rsidRPr="008628FD">
        <w:rPr>
          <w:rFonts w:ascii="Times New Roman" w:hAnsi="Times New Roman" w:cs="Times New Roman"/>
          <w:sz w:val="24"/>
          <w:szCs w:val="24"/>
        </w:rPr>
        <w:lastRenderedPageBreak/>
        <w:t xml:space="preserve">Bangladesh to assess the vulnerability of the coastal agricultural communities to climate change. However, there has been no study till today conducted on sand deposition, its intensity, dynamics, and how it affects agricultural production systems in Jamuna river flood plain and jeopardize the livelihoods of char communities. </w:t>
      </w:r>
      <w:r>
        <w:rPr>
          <w:rFonts w:ascii="Times New Roman" w:eastAsia="Times New Roman" w:hAnsi="Times New Roman" w:cs="Times New Roman"/>
          <w:noProof w:val="0"/>
          <w:sz w:val="24"/>
          <w:szCs w:val="24"/>
        </w:rPr>
        <w:t>However, very</w:t>
      </w:r>
      <w:r w:rsidR="00F67CAC" w:rsidRPr="005015EF">
        <w:rPr>
          <w:rFonts w:ascii="Times New Roman" w:eastAsia="Times New Roman" w:hAnsi="Times New Roman" w:cs="Times New Roman"/>
          <w:noProof w:val="0"/>
          <w:sz w:val="24"/>
          <w:szCs w:val="24"/>
        </w:rPr>
        <w:t xml:space="preserve"> few have specifically focused on </w:t>
      </w:r>
      <w:r w:rsidR="00F67CAC" w:rsidRPr="005015EF">
        <w:rPr>
          <w:rFonts w:ascii="Times New Roman" w:eastAsia="Times New Roman" w:hAnsi="Times New Roman" w:cs="Times New Roman"/>
          <w:bCs/>
          <w:noProof w:val="0"/>
          <w:sz w:val="24"/>
          <w:szCs w:val="24"/>
        </w:rPr>
        <w:t>farmers’ perceptions</w:t>
      </w:r>
      <w:r w:rsidR="00F67CAC" w:rsidRPr="005015EF">
        <w:rPr>
          <w:rFonts w:ascii="Times New Roman" w:eastAsia="Times New Roman" w:hAnsi="Times New Roman" w:cs="Times New Roman"/>
          <w:noProof w:val="0"/>
          <w:sz w:val="24"/>
          <w:szCs w:val="24"/>
        </w:rPr>
        <w:t xml:space="preserve"> regarding sand deposition and its effects on agricultural land. Understanding these perceptions is essential, as they shape local adaptation strategies, influence policy responses, and contribute to the development of sustainable land management interventions.</w:t>
      </w:r>
    </w:p>
    <w:p w14:paraId="27B9EBF1" w14:textId="77777777" w:rsidR="00F67CAC" w:rsidRPr="00700A80" w:rsidRDefault="00700A80"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700A80">
        <w:rPr>
          <w:rFonts w:ascii="Times New Roman" w:hAnsi="Times New Roman" w:cs="Times New Roman"/>
          <w:sz w:val="24"/>
          <w:szCs w:val="24"/>
        </w:rPr>
        <w:t xml:space="preserve">The study was conducted to address existing gaps by analyzing farmers’ perceptions of the impact of sand deposition on agricultural land near the Jamuna River floodplain and to explore the relationships between farmers’ socio-economic characteristics and their perceived impact of sand deposition. </w:t>
      </w:r>
      <w:r w:rsidR="00F67CAC" w:rsidRPr="00700A80">
        <w:rPr>
          <w:rFonts w:ascii="Times New Roman" w:eastAsia="Times New Roman" w:hAnsi="Times New Roman" w:cs="Times New Roman"/>
          <w:noProof w:val="0"/>
          <w:sz w:val="24"/>
          <w:szCs w:val="24"/>
        </w:rPr>
        <w:t xml:space="preserve">The </w:t>
      </w:r>
      <w:r w:rsidR="00F67CAC" w:rsidRPr="00700A80">
        <w:rPr>
          <w:rFonts w:ascii="Times New Roman" w:eastAsia="Times New Roman" w:hAnsi="Times New Roman" w:cs="Times New Roman"/>
          <w:bCs/>
          <w:noProof w:val="0"/>
          <w:sz w:val="24"/>
          <w:szCs w:val="24"/>
        </w:rPr>
        <w:t>novelty</w:t>
      </w:r>
      <w:r w:rsidR="00F67CAC" w:rsidRPr="00700A80">
        <w:rPr>
          <w:rFonts w:ascii="Times New Roman" w:eastAsia="Times New Roman" w:hAnsi="Times New Roman" w:cs="Times New Roman"/>
          <w:noProof w:val="0"/>
          <w:sz w:val="24"/>
          <w:szCs w:val="24"/>
        </w:rPr>
        <w:t xml:space="preserve"> of this study lies in its localized and perception-based approach, exploring how </w:t>
      </w:r>
      <w:r>
        <w:rPr>
          <w:rFonts w:ascii="Times New Roman" w:eastAsia="Times New Roman" w:hAnsi="Times New Roman" w:cs="Times New Roman"/>
          <w:noProof w:val="0"/>
          <w:sz w:val="24"/>
          <w:szCs w:val="24"/>
        </w:rPr>
        <w:t>sand deposition effects on agricultural practices and farmers’ livelihood</w:t>
      </w:r>
      <w:r w:rsidR="00F67CAC" w:rsidRPr="00700A80">
        <w:rPr>
          <w:rFonts w:ascii="Times New Roman" w:eastAsia="Times New Roman" w:hAnsi="Times New Roman" w:cs="Times New Roman"/>
          <w:noProof w:val="0"/>
          <w:sz w:val="24"/>
          <w:szCs w:val="24"/>
        </w:rPr>
        <w:t xml:space="preserve">. By integrating empirical evidence from </w:t>
      </w:r>
      <w:proofErr w:type="spellStart"/>
      <w:r w:rsidR="00F67CAC" w:rsidRPr="00700A80">
        <w:rPr>
          <w:rFonts w:ascii="Times New Roman" w:eastAsia="Times New Roman" w:hAnsi="Times New Roman" w:cs="Times New Roman"/>
          <w:noProof w:val="0"/>
          <w:sz w:val="24"/>
          <w:szCs w:val="24"/>
        </w:rPr>
        <w:t>Kazipur</w:t>
      </w:r>
      <w:proofErr w:type="spellEnd"/>
      <w:r w:rsidR="00F67CAC" w:rsidRPr="00700A80">
        <w:rPr>
          <w:rFonts w:ascii="Times New Roman" w:eastAsia="Times New Roman" w:hAnsi="Times New Roman" w:cs="Times New Roman"/>
          <w:noProof w:val="0"/>
          <w:sz w:val="24"/>
          <w:szCs w:val="24"/>
        </w:rPr>
        <w:t xml:space="preserve"> Upazila, this research provides grounded insights that can guide future policy and development programs targeting land restoration, resilience building, and sustainable agriculture in riverine areas.</w:t>
      </w:r>
    </w:p>
    <w:p w14:paraId="229D3EDD" w14:textId="77777777" w:rsidR="00F67CAC" w:rsidRDefault="00F67CAC" w:rsidP="00700A80">
      <w:pPr>
        <w:widowControl/>
        <w:spacing w:before="100" w:beforeAutospacing="1" w:after="0" w:line="360" w:lineRule="auto"/>
        <w:rPr>
          <w:rFonts w:ascii="Times New Roman" w:eastAsia="Times New Roman" w:hAnsi="Times New Roman" w:cs="Times New Roman"/>
          <w:b/>
          <w:noProof w:val="0"/>
          <w:sz w:val="24"/>
          <w:szCs w:val="24"/>
        </w:rPr>
      </w:pPr>
      <w:r w:rsidRPr="005015EF">
        <w:rPr>
          <w:rFonts w:ascii="Times New Roman" w:eastAsia="Times New Roman" w:hAnsi="Times New Roman" w:cs="Times New Roman"/>
          <w:b/>
          <w:noProof w:val="0"/>
          <w:sz w:val="24"/>
          <w:szCs w:val="24"/>
        </w:rPr>
        <w:t xml:space="preserve">2. Methodology </w:t>
      </w:r>
    </w:p>
    <w:p w14:paraId="0581749D" w14:textId="77777777" w:rsidR="00EA33DB" w:rsidRPr="005015EF" w:rsidRDefault="00EA33DB" w:rsidP="00EA33DB">
      <w:pPr>
        <w:widowControl/>
        <w:spacing w:after="0" w:line="360" w:lineRule="auto"/>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2.1 Study area</w:t>
      </w:r>
    </w:p>
    <w:p w14:paraId="526353B8" w14:textId="77777777" w:rsidR="00F67CAC" w:rsidRDefault="00F67CAC" w:rsidP="000D486A">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present study was conducted in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Upazila of Sirajganj District, Bangladesh, a region severely affected by sand deposition due to seasonal flooding and riverbank erosion along the Jamuna River floodplain</w:t>
      </w:r>
      <w:r w:rsidR="00FC3432">
        <w:rPr>
          <w:rFonts w:ascii="Times New Roman" w:eastAsia="Times New Roman" w:hAnsi="Times New Roman" w:cs="Times New Roman"/>
          <w:noProof w:val="0"/>
          <w:sz w:val="24"/>
          <w:szCs w:val="24"/>
        </w:rPr>
        <w:t xml:space="preserve"> [8-9]</w:t>
      </w:r>
      <w:r w:rsidRPr="005015EF">
        <w:rPr>
          <w:rFonts w:ascii="Times New Roman" w:eastAsia="Times New Roman" w:hAnsi="Times New Roman" w:cs="Times New Roman"/>
          <w:noProof w:val="0"/>
          <w:sz w:val="24"/>
          <w:szCs w:val="24"/>
        </w:rPr>
        <w:t>. This area was purposively selected because of its geographical vulnerability to sedimentation, which frequently disrupts agricultural production and threatens local livelihoods. The study aimed to understand farmers’ perceptions of the impact of sand deposition on their agricultural practices and daily lives.</w:t>
      </w:r>
    </w:p>
    <w:p w14:paraId="478FABE2" w14:textId="77777777" w:rsidR="00EA33DB" w:rsidRPr="00EA33DB" w:rsidRDefault="00EA33DB" w:rsidP="00EA33DB">
      <w:pPr>
        <w:widowControl/>
        <w:spacing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2.2 Research design</w:t>
      </w:r>
    </w:p>
    <w:p w14:paraId="6DC1E879" w14:textId="77777777" w:rsidR="00F67CAC" w:rsidRDefault="00F67CAC" w:rsidP="00F434A2">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A descriptive and diagnostic research design was employed to explore both the socio-economic profiles of the affected farmers and the extent to which sand deposition had influenced their farming systems. The descriptive component helped document general patterns, while the diagnostic part focused on identifying relationships between variables and perceived impacts. A multistage purposive sampling technique was used in the selection process. First,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lastRenderedPageBreak/>
        <w:t xml:space="preserve">Upazila was selected for its critical exposure to sand deposition. Within the upazila, </w:t>
      </w:r>
      <w:r w:rsidR="000B1C75">
        <w:rPr>
          <w:rFonts w:ascii="Times New Roman" w:eastAsia="Times New Roman" w:hAnsi="Times New Roman" w:cs="Times New Roman"/>
          <w:noProof w:val="0"/>
          <w:sz w:val="24"/>
          <w:szCs w:val="24"/>
        </w:rPr>
        <w:t>two</w:t>
      </w:r>
      <w:r w:rsidRPr="005015EF">
        <w:rPr>
          <w:rFonts w:ascii="Times New Roman" w:eastAsia="Times New Roman" w:hAnsi="Times New Roman" w:cs="Times New Roman"/>
          <w:noProof w:val="0"/>
          <w:sz w:val="24"/>
          <w:szCs w:val="24"/>
        </w:rPr>
        <w:t xml:space="preserve"> unions</w:t>
      </w:r>
      <w:r w:rsidR="000B1C75">
        <w:rPr>
          <w:rFonts w:ascii="Times New Roman" w:eastAsia="Times New Roman" w:hAnsi="Times New Roman" w:cs="Times New Roman"/>
          <w:noProof w:val="0"/>
          <w:sz w:val="24"/>
          <w:szCs w:val="24"/>
        </w:rPr>
        <w:t xml:space="preserve">, </w:t>
      </w:r>
      <w:proofErr w:type="spellStart"/>
      <w:r w:rsidR="000B1C75">
        <w:rPr>
          <w:rFonts w:ascii="Times New Roman" w:eastAsia="Times New Roman" w:hAnsi="Times New Roman" w:cs="Times New Roman"/>
          <w:noProof w:val="0"/>
          <w:sz w:val="24"/>
          <w:szCs w:val="24"/>
        </w:rPr>
        <w:t>Mansurnagar</w:t>
      </w:r>
      <w:proofErr w:type="spellEnd"/>
      <w:r w:rsidR="000B1C75">
        <w:rPr>
          <w:rFonts w:ascii="Times New Roman" w:eastAsia="Times New Roman" w:hAnsi="Times New Roman" w:cs="Times New Roman"/>
          <w:noProof w:val="0"/>
          <w:sz w:val="24"/>
          <w:szCs w:val="24"/>
        </w:rPr>
        <w:t xml:space="preserve"> and </w:t>
      </w:r>
      <w:proofErr w:type="spellStart"/>
      <w:r w:rsidR="000B1C75">
        <w:rPr>
          <w:rFonts w:ascii="Times New Roman" w:eastAsia="Times New Roman" w:hAnsi="Times New Roman" w:cs="Times New Roman"/>
          <w:noProof w:val="0"/>
          <w:sz w:val="24"/>
          <w:szCs w:val="24"/>
        </w:rPr>
        <w:t>Khasrajbari</w:t>
      </w:r>
      <w:proofErr w:type="spellEnd"/>
      <w:r w:rsidRPr="005015EF">
        <w:rPr>
          <w:rFonts w:ascii="Times New Roman" w:eastAsia="Times New Roman" w:hAnsi="Times New Roman" w:cs="Times New Roman"/>
          <w:noProof w:val="0"/>
          <w:sz w:val="24"/>
          <w:szCs w:val="24"/>
        </w:rPr>
        <w:t xml:space="preserve">—identified through consultation with local authorities and preliminary visits—were selected due to their high exposure to river-induced hazards. A list of households affected by sand deposition was prepared in collaboration with agricultural extension officers and local community leaders. From this list, </w:t>
      </w:r>
      <w:r w:rsidR="00700A80">
        <w:rPr>
          <w:rFonts w:ascii="Times New Roman" w:eastAsia="Times New Roman" w:hAnsi="Times New Roman" w:cs="Times New Roman"/>
          <w:noProof w:val="0"/>
          <w:sz w:val="24"/>
          <w:szCs w:val="24"/>
        </w:rPr>
        <w:t>8</w:t>
      </w:r>
      <w:r w:rsidRPr="005015EF">
        <w:rPr>
          <w:rFonts w:ascii="Times New Roman" w:eastAsia="Times New Roman" w:hAnsi="Times New Roman" w:cs="Times New Roman"/>
          <w:noProof w:val="0"/>
          <w:sz w:val="24"/>
          <w:szCs w:val="24"/>
        </w:rPr>
        <w:t>0 respondents were randomly chosen, ensuring diversity in age, farm size, and exposure to sand-related impacts.</w:t>
      </w:r>
    </w:p>
    <w:p w14:paraId="43004EF6" w14:textId="77777777" w:rsidR="00F434A2" w:rsidRDefault="000B1C75" w:rsidP="000B1C75">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drawing>
          <wp:inline distT="0" distB="0" distL="0" distR="0" wp14:anchorId="4977FF53" wp14:editId="1B8ADC96">
            <wp:extent cx="5386502" cy="4931418"/>
            <wp:effectExtent l="0" t="0" r="5080" b="2540"/>
            <wp:docPr id="1" name="Picture 1" descr="https://en.banglapedia.org/images/thumb/5/50/KazipurUpazila.jpg/400px-KazipurUpaz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banglapedia.org/images/thumb/5/50/KazipurUpazila.jpg/400px-KazipurUpazi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0792" cy="4962811"/>
                    </a:xfrm>
                    <a:prstGeom prst="rect">
                      <a:avLst/>
                    </a:prstGeom>
                    <a:noFill/>
                    <a:ln>
                      <a:noFill/>
                    </a:ln>
                  </pic:spPr>
                </pic:pic>
              </a:graphicData>
            </a:graphic>
          </wp:inline>
        </w:drawing>
      </w:r>
    </w:p>
    <w:p w14:paraId="7DE20782" w14:textId="77777777" w:rsidR="00F434A2" w:rsidRPr="005015EF" w:rsidRDefault="00F434A2" w:rsidP="00F434A2">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Figure 1. Study area Map</w:t>
      </w:r>
    </w:p>
    <w:p w14:paraId="634705C1"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2.3 </w:t>
      </w:r>
      <w:r>
        <w:rPr>
          <w:rFonts w:ascii="Times New Roman" w:eastAsia="Times New Roman" w:hAnsi="Times New Roman" w:cs="Times New Roman"/>
          <w:b/>
          <w:noProof w:val="0"/>
          <w:sz w:val="24"/>
          <w:szCs w:val="24"/>
        </w:rPr>
        <w:t>Methods of data collection</w:t>
      </w:r>
    </w:p>
    <w:p w14:paraId="36B49CF3" w14:textId="77777777" w:rsidR="00F67CAC" w:rsidRPr="00700A80"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Primary data were collected through structured face-to-face interviews using a pre-tested questionnaire that included both open- and closed-ended questions. In addition to the household survey, qualitative data were collected using key informant interviews (KIIs) and focus group </w:t>
      </w:r>
      <w:r w:rsidRPr="005015EF">
        <w:rPr>
          <w:rFonts w:ascii="Times New Roman" w:eastAsia="Times New Roman" w:hAnsi="Times New Roman" w:cs="Times New Roman"/>
          <w:noProof w:val="0"/>
          <w:sz w:val="24"/>
          <w:szCs w:val="24"/>
        </w:rPr>
        <w:lastRenderedPageBreak/>
        <w:t>discussions (FGDs). KIIs were conducted with local leaders, extension agents, and elderly farmers to capture expert and historical perspectives, while FGDs were held in each union with 8 to 10 participants to validate and deepen understanding of community experiences. Observational field visits were also carried out using a checklist to visually document the extent of sand deposition and damage to agricultural land. Secondary data, including maps, reports, and published literature, were used to supplement primary data and provide contextual insights.</w:t>
      </w:r>
      <w:r w:rsidR="00700A80">
        <w:rPr>
          <w:rFonts w:ascii="Times New Roman" w:eastAsia="Times New Roman" w:hAnsi="Times New Roman" w:cs="Times New Roman"/>
          <w:noProof w:val="0"/>
          <w:sz w:val="24"/>
          <w:szCs w:val="24"/>
        </w:rPr>
        <w:t xml:space="preserve"> </w:t>
      </w:r>
      <w:r w:rsidRPr="00700A80">
        <w:rPr>
          <w:rFonts w:ascii="Times New Roman" w:eastAsia="Times New Roman" w:hAnsi="Times New Roman" w:cs="Times New Roman"/>
          <w:noProof w:val="0"/>
          <w:sz w:val="24"/>
          <w:szCs w:val="24"/>
        </w:rPr>
        <w:t>Prior to the full-scale survey, a pre-test was conducted with 10 respondents from a neighboring area not included in the final sample to ensure clarity, relevance, and reliability of the interview schedule. The final data were collected by trained enumerators under close supervision to ensure accuracy and completeness.</w:t>
      </w:r>
    </w:p>
    <w:p w14:paraId="49F5D5F7"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2.4 Variables and their measurement </w:t>
      </w:r>
    </w:p>
    <w:p w14:paraId="771E4DB4" w14:textId="77777777" w:rsidR="00CC072B" w:rsidRPr="00700A80" w:rsidRDefault="00F67CAC" w:rsidP="00700A80">
      <w:pPr>
        <w:widowControl/>
        <w:spacing w:before="100" w:beforeAutospacing="1" w:after="100" w:afterAutospacing="1" w:line="360" w:lineRule="auto"/>
        <w:rPr>
          <w:rFonts w:ascii="Times New Roman" w:hAnsi="Times New Roman" w:cs="Times New Roman"/>
          <w:sz w:val="24"/>
          <w:szCs w:val="24"/>
        </w:rPr>
      </w:pPr>
      <w:r w:rsidRPr="00700A80">
        <w:rPr>
          <w:rFonts w:ascii="Times New Roman" w:eastAsia="Times New Roman" w:hAnsi="Times New Roman" w:cs="Times New Roman"/>
          <w:noProof w:val="0"/>
          <w:sz w:val="24"/>
          <w:szCs w:val="24"/>
        </w:rPr>
        <w:t xml:space="preserve">Independent variables included the respondent’s age, level of education, years of farming experience, farm size, annual agricultural income, distance from the riverbank, duration of residence at the current location, previous migration distances, and total area of land affected by sand deposition. </w:t>
      </w:r>
      <w:r w:rsidRPr="00700A80">
        <w:rPr>
          <w:rFonts w:ascii="Times New Roman" w:hAnsi="Times New Roman" w:cs="Times New Roman"/>
          <w:sz w:val="24"/>
          <w:szCs w:val="24"/>
        </w:rPr>
        <w:t>The dependent variable was the farmers’ perception of the impact of sand deposition</w:t>
      </w:r>
      <w:r w:rsidR="00CC072B" w:rsidRPr="00700A80">
        <w:rPr>
          <w:rFonts w:ascii="Times New Roman" w:hAnsi="Times New Roman" w:cs="Times New Roman"/>
          <w:sz w:val="24"/>
          <w:szCs w:val="24"/>
        </w:rPr>
        <w:t xml:space="preserve">. The assessment of farmers’ perception regarding the impact of sand deposition on their agricultural practices and livelihoods was conducted using a structured questionnaire based on a </w:t>
      </w:r>
      <w:r w:rsidR="00CC072B" w:rsidRPr="00700A80">
        <w:rPr>
          <w:rFonts w:ascii="Times New Roman" w:hAnsi="Times New Roman" w:cs="Times New Roman"/>
          <w:bCs/>
          <w:sz w:val="24"/>
          <w:szCs w:val="24"/>
        </w:rPr>
        <w:t>5-point Likert scale</w:t>
      </w:r>
      <w:r w:rsidR="00CC072B" w:rsidRPr="00700A80">
        <w:rPr>
          <w:rFonts w:ascii="Times New Roman" w:hAnsi="Times New Roman" w:cs="Times New Roman"/>
          <w:sz w:val="24"/>
          <w:szCs w:val="24"/>
        </w:rPr>
        <w:t xml:space="preserve">. This scale ranged from </w:t>
      </w:r>
      <w:r w:rsidR="00CC072B" w:rsidRPr="00700A80">
        <w:rPr>
          <w:rFonts w:ascii="Times New Roman" w:hAnsi="Times New Roman" w:cs="Times New Roman"/>
          <w:bCs/>
          <w:sz w:val="24"/>
          <w:szCs w:val="24"/>
        </w:rPr>
        <w:t>Strongly Agree (SA)</w:t>
      </w:r>
      <w:r w:rsidR="00CC072B" w:rsidRPr="00700A80">
        <w:rPr>
          <w:rFonts w:ascii="Times New Roman" w:hAnsi="Times New Roman" w:cs="Times New Roman"/>
          <w:sz w:val="24"/>
          <w:szCs w:val="24"/>
        </w:rPr>
        <w:t xml:space="preserve"> to </w:t>
      </w:r>
      <w:r w:rsidR="00CC072B" w:rsidRPr="00700A80">
        <w:rPr>
          <w:rFonts w:ascii="Times New Roman" w:hAnsi="Times New Roman" w:cs="Times New Roman"/>
          <w:bCs/>
          <w:sz w:val="24"/>
          <w:szCs w:val="24"/>
        </w:rPr>
        <w:t>Strongly Disagree (SDA)</w:t>
      </w:r>
      <w:r w:rsidR="00CC072B" w:rsidRPr="00700A80">
        <w:rPr>
          <w:rFonts w:ascii="Times New Roman" w:hAnsi="Times New Roman" w:cs="Times New Roman"/>
          <w:sz w:val="24"/>
          <w:szCs w:val="24"/>
        </w:rPr>
        <w:t>, with corresponding numerical scores assigned from 5 to 1, respectively. Specifically, respondents were presented with a series of statements related to various potential impacts of sand deposition, such as reduction in agricultural productivity, soil degradation, damage to infrastructure, economic losses, and social consequences. For each statement, respondents indicated their level of agreement according to the five options: Strongly Agree (score 5), Moderately Agree (score 4), Partially Agree (score 3), Disagree (score 2), and Strongly Disagree (score 1)</w:t>
      </w:r>
      <w:r w:rsidR="00FC3432">
        <w:rPr>
          <w:rFonts w:ascii="Times New Roman" w:hAnsi="Times New Roman" w:cs="Times New Roman"/>
          <w:sz w:val="24"/>
          <w:szCs w:val="24"/>
        </w:rPr>
        <w:t xml:space="preserve"> [10]</w:t>
      </w:r>
      <w:r w:rsidR="00CC072B" w:rsidRPr="00700A80">
        <w:rPr>
          <w:rFonts w:ascii="Times New Roman" w:hAnsi="Times New Roman" w:cs="Times New Roman"/>
          <w:sz w:val="24"/>
          <w:szCs w:val="24"/>
        </w:rPr>
        <w:t xml:space="preserve">. This scoring system enabled the quantification of subjective perceptions into measurable data, allowing for statistical analysis. After collecting responses from all participants, the scores assigned to each statement were averaged to calculate a </w:t>
      </w:r>
      <w:r w:rsidR="00CC072B" w:rsidRPr="00700A80">
        <w:rPr>
          <w:rFonts w:ascii="Times New Roman" w:hAnsi="Times New Roman" w:cs="Times New Roman"/>
          <w:bCs/>
          <w:sz w:val="24"/>
          <w:szCs w:val="24"/>
        </w:rPr>
        <w:t>mean score</w:t>
      </w:r>
      <w:r w:rsidR="00CC072B" w:rsidRPr="00700A80">
        <w:rPr>
          <w:rFonts w:ascii="Times New Roman" w:hAnsi="Times New Roman" w:cs="Times New Roman"/>
          <w:sz w:val="24"/>
          <w:szCs w:val="24"/>
        </w:rPr>
        <w:t xml:space="preserve"> for each perceived impact. The mean score provided an indication of the overall level of agreement among the respondents for that particular impact. A higher mean score, close to 5, suggested a stronger consensus that the impact described was significant, whereas a lower mean score indicated less agreement or recognition of that effect. To interpret the mean scores, a general guideline was used where mean values above 3.5 indicated that respondents agreed </w:t>
      </w:r>
      <w:r w:rsidR="00CC072B" w:rsidRPr="00700A80">
        <w:rPr>
          <w:rFonts w:ascii="Times New Roman" w:hAnsi="Times New Roman" w:cs="Times New Roman"/>
          <w:sz w:val="24"/>
          <w:szCs w:val="24"/>
        </w:rPr>
        <w:lastRenderedPageBreak/>
        <w:t>(either strongly or moderately) that the sand deposition had a notable effect on the particular aspect of their agricultural practice or livelihood. Mean scores between 2.5 and 3.5 were interpreted as partial agreement or neutrality, while mean scores below 2.5 suggested disagreement or rejection of the impact statement by the majority. By calculating the mean score for each statement, the study identified which impacts of sand deposition were most widely perceived as severe by the farmers. This method also allowed for ranking the impact statements based on the strength of farmers’ agreement, providing clear insights into priority areas of concern. In addition to the quantitative summary, the Likert scale approach helped capture the nuances in farmers’ perceptions, reflecting varying degrees of impact recognition rather than a simple yes/no response.</w:t>
      </w:r>
    </w:p>
    <w:p w14:paraId="6097DE96"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2.5 Data analysis</w:t>
      </w:r>
    </w:p>
    <w:p w14:paraId="3D43056C"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The data were analyzed using SPSS (Statistical Package for the Social Sciences),</w:t>
      </w:r>
      <w:r w:rsidR="00700A80">
        <w:rPr>
          <w:rFonts w:ascii="Times New Roman" w:eastAsia="Times New Roman" w:hAnsi="Times New Roman" w:cs="Times New Roman"/>
          <w:noProof w:val="0"/>
          <w:sz w:val="24"/>
          <w:szCs w:val="24"/>
        </w:rPr>
        <w:t xml:space="preserve"> version 26</w:t>
      </w:r>
      <w:r w:rsidRPr="005015EF">
        <w:rPr>
          <w:rFonts w:ascii="Times New Roman" w:eastAsia="Times New Roman" w:hAnsi="Times New Roman" w:cs="Times New Roman"/>
          <w:noProof w:val="0"/>
          <w:sz w:val="24"/>
          <w:szCs w:val="24"/>
        </w:rPr>
        <w:t>. Descriptive statistics such as means, minimum and maximum values, and standard deviations were used to summarize the socio-economic characteristics and perceived impact levels. Frequency and percentage distributions were used for categorical data, while correlation analysis (Pearson’s r) was applied to determine the relationships between socio-economic variables and perception scores. In addition, ranking of impact statements was conducted using mean scores to identify the most critical perceived effects of sand deposition. Qualitative data from KIIs and FGDs were analyzed thematically and triangulated with the quantitative findings to enrich and validate the results.</w:t>
      </w:r>
    </w:p>
    <w:p w14:paraId="4F33CD69" w14:textId="77777777" w:rsidR="00EA76B6" w:rsidRDefault="00F67CAC" w:rsidP="00700A80">
      <w:pPr>
        <w:spacing w:after="0" w:line="360" w:lineRule="auto"/>
        <w:rPr>
          <w:rFonts w:ascii="Times New Roman" w:hAnsi="Times New Roman" w:cs="Times New Roman"/>
          <w:b/>
          <w:sz w:val="24"/>
          <w:szCs w:val="24"/>
        </w:rPr>
      </w:pPr>
      <w:r w:rsidRPr="005015EF">
        <w:rPr>
          <w:rFonts w:ascii="Times New Roman" w:hAnsi="Times New Roman" w:cs="Times New Roman"/>
          <w:b/>
          <w:sz w:val="24"/>
          <w:szCs w:val="24"/>
        </w:rPr>
        <w:t xml:space="preserve">3. Results and </w:t>
      </w:r>
      <w:r w:rsidR="00700A80">
        <w:rPr>
          <w:rFonts w:ascii="Times New Roman" w:hAnsi="Times New Roman" w:cs="Times New Roman"/>
          <w:b/>
          <w:sz w:val="24"/>
          <w:szCs w:val="24"/>
        </w:rPr>
        <w:t>Discussion</w:t>
      </w:r>
    </w:p>
    <w:p w14:paraId="115C126F" w14:textId="77777777" w:rsidR="0013710D" w:rsidRPr="005015EF" w:rsidRDefault="0013710D" w:rsidP="00700A80">
      <w:pPr>
        <w:spacing w:after="0" w:line="360" w:lineRule="auto"/>
        <w:rPr>
          <w:rFonts w:ascii="Times New Roman" w:hAnsi="Times New Roman" w:cs="Times New Roman"/>
          <w:b/>
          <w:sz w:val="24"/>
          <w:szCs w:val="24"/>
        </w:rPr>
      </w:pPr>
      <w:r>
        <w:rPr>
          <w:rFonts w:ascii="Times New Roman" w:hAnsi="Times New Roman" w:cs="Times New Roman"/>
          <w:b/>
          <w:sz w:val="24"/>
          <w:szCs w:val="24"/>
        </w:rPr>
        <w:t>3.1 Socio-demographic characteristics of the respondnets</w:t>
      </w:r>
    </w:p>
    <w:p w14:paraId="143BE546" w14:textId="77777777" w:rsidR="00F67CAC"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1 outlines the socio-economic characteristics of farmers affected by sand deposition in the Jamuna River floodplain of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Upazila, with particular emphasis on the variability in their demographic, economic, and spatial conditions. These characteristics significantly influence how farmers perceive and cope with the challenges posed by sand deposition.</w:t>
      </w:r>
    </w:p>
    <w:p w14:paraId="58D763B4"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age of the respondents</w:t>
      </w:r>
      <w:r w:rsidRPr="005015EF">
        <w:rPr>
          <w:rFonts w:ascii="Times New Roman" w:eastAsia="Times New Roman" w:hAnsi="Times New Roman" w:cs="Times New Roman"/>
          <w:noProof w:val="0"/>
          <w:sz w:val="24"/>
          <w:szCs w:val="24"/>
        </w:rPr>
        <w:t xml:space="preserve"> ranged from 20 to 80 years, with a mean of 46.58 years and a standard deviation of 12.95. This wide range and moderate variability suggest that both young and elderly individuals are engaged in farming in the area. Older farmers may possess more traditional knowledge and long-term observations of environmental changes, while younger farmers may be more open to adopting innovative or adaptive strategies. However, age can </w:t>
      </w:r>
      <w:r w:rsidRPr="005015EF">
        <w:rPr>
          <w:rFonts w:ascii="Times New Roman" w:eastAsia="Times New Roman" w:hAnsi="Times New Roman" w:cs="Times New Roman"/>
          <w:noProof w:val="0"/>
          <w:sz w:val="24"/>
          <w:szCs w:val="24"/>
        </w:rPr>
        <w:lastRenderedPageBreak/>
        <w:t>also limit physical capacity and adaptability, especially among the elderly, making them more vulnerable to the impacts of land degradation.</w:t>
      </w:r>
    </w:p>
    <w:p w14:paraId="5A18CFD9" w14:textId="77777777" w:rsidR="0013710D" w:rsidRPr="0013710D" w:rsidRDefault="0013710D" w:rsidP="0013710D">
      <w:pPr>
        <w:spacing w:after="0"/>
        <w:rPr>
          <w:rFonts w:ascii="Times New Roman" w:hAnsi="Times New Roman" w:cs="Times New Roman"/>
          <w:b/>
          <w:color w:val="0D0D0D" w:themeColor="text1" w:themeTint="F2"/>
          <w:sz w:val="24"/>
          <w:szCs w:val="24"/>
        </w:rPr>
      </w:pPr>
      <w:r w:rsidRPr="0013710D">
        <w:rPr>
          <w:rFonts w:ascii="Times New Roman" w:hAnsi="Times New Roman" w:cs="Times New Roman"/>
          <w:b/>
          <w:color w:val="0D0D0D" w:themeColor="text1" w:themeTint="F2"/>
          <w:sz w:val="24"/>
          <w:szCs w:val="24"/>
        </w:rPr>
        <w:t xml:space="preserve">Table 1. Socio-economic characteristics of the respondents </w:t>
      </w:r>
    </w:p>
    <w:p w14:paraId="04EAA169" w14:textId="77777777" w:rsidR="0013710D" w:rsidRPr="005015EF" w:rsidRDefault="0013710D" w:rsidP="0013710D">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tbl>
      <w:tblPr>
        <w:tblStyle w:val="TableGrid"/>
        <w:tblW w:w="8967" w:type="dxa"/>
        <w:tblLayout w:type="fixed"/>
        <w:tblLook w:val="0000" w:firstRow="0" w:lastRow="0" w:firstColumn="0" w:lastColumn="0" w:noHBand="0" w:noVBand="0"/>
      </w:tblPr>
      <w:tblGrid>
        <w:gridCol w:w="2849"/>
        <w:gridCol w:w="1501"/>
        <w:gridCol w:w="1498"/>
        <w:gridCol w:w="1412"/>
        <w:gridCol w:w="1707"/>
      </w:tblGrid>
      <w:tr w:rsidR="0013710D" w:rsidRPr="005015EF" w14:paraId="7278A27A" w14:textId="77777777" w:rsidTr="001858DC">
        <w:trPr>
          <w:trHeight w:val="636"/>
        </w:trPr>
        <w:tc>
          <w:tcPr>
            <w:tcW w:w="2849" w:type="dxa"/>
          </w:tcPr>
          <w:p w14:paraId="383EEA00" w14:textId="77777777" w:rsidR="0013710D" w:rsidRPr="005015EF" w:rsidRDefault="0013710D" w:rsidP="003F5023">
            <w:pPr>
              <w:widowControl/>
              <w:autoSpaceDE w:val="0"/>
              <w:autoSpaceDN w:val="0"/>
              <w:adjustRightInd w:val="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Variable </w:t>
            </w:r>
          </w:p>
        </w:tc>
        <w:tc>
          <w:tcPr>
            <w:tcW w:w="1501" w:type="dxa"/>
          </w:tcPr>
          <w:p w14:paraId="60A3C5F5"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Minimum</w:t>
            </w:r>
          </w:p>
        </w:tc>
        <w:tc>
          <w:tcPr>
            <w:tcW w:w="1498" w:type="dxa"/>
          </w:tcPr>
          <w:p w14:paraId="05EE3E8B"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Maximum</w:t>
            </w:r>
          </w:p>
        </w:tc>
        <w:tc>
          <w:tcPr>
            <w:tcW w:w="1412" w:type="dxa"/>
          </w:tcPr>
          <w:p w14:paraId="1FE21B9C"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Mean</w:t>
            </w:r>
          </w:p>
        </w:tc>
        <w:tc>
          <w:tcPr>
            <w:tcW w:w="1707" w:type="dxa"/>
          </w:tcPr>
          <w:p w14:paraId="404A0398"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Std. Deviation</w:t>
            </w:r>
          </w:p>
        </w:tc>
      </w:tr>
      <w:tr w:rsidR="0013710D" w:rsidRPr="005015EF" w14:paraId="18DDB3F8" w14:textId="77777777" w:rsidTr="001858DC">
        <w:trPr>
          <w:trHeight w:val="636"/>
        </w:trPr>
        <w:tc>
          <w:tcPr>
            <w:tcW w:w="2849" w:type="dxa"/>
          </w:tcPr>
          <w:p w14:paraId="18FE0E5F"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 of the respondents (year)</w:t>
            </w:r>
          </w:p>
        </w:tc>
        <w:tc>
          <w:tcPr>
            <w:tcW w:w="1501" w:type="dxa"/>
          </w:tcPr>
          <w:p w14:paraId="657A034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98" w:type="dxa"/>
          </w:tcPr>
          <w:p w14:paraId="14DD113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w:t>
            </w:r>
          </w:p>
        </w:tc>
        <w:tc>
          <w:tcPr>
            <w:tcW w:w="1412" w:type="dxa"/>
          </w:tcPr>
          <w:p w14:paraId="7FEB257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46.58</w:t>
            </w:r>
          </w:p>
        </w:tc>
        <w:tc>
          <w:tcPr>
            <w:tcW w:w="1707" w:type="dxa"/>
          </w:tcPr>
          <w:p w14:paraId="7B08BA3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12.95</w:t>
            </w:r>
          </w:p>
        </w:tc>
      </w:tr>
      <w:tr w:rsidR="0013710D" w:rsidRPr="005015EF" w14:paraId="7DC4A54A" w14:textId="77777777" w:rsidTr="001858DC">
        <w:trPr>
          <w:trHeight w:val="636"/>
        </w:trPr>
        <w:tc>
          <w:tcPr>
            <w:tcW w:w="2849" w:type="dxa"/>
          </w:tcPr>
          <w:p w14:paraId="0C4DE3AD"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Educational attainment (year)</w:t>
            </w:r>
          </w:p>
        </w:tc>
        <w:tc>
          <w:tcPr>
            <w:tcW w:w="1501" w:type="dxa"/>
          </w:tcPr>
          <w:p w14:paraId="2324084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w:t>
            </w:r>
          </w:p>
        </w:tc>
        <w:tc>
          <w:tcPr>
            <w:tcW w:w="1498" w:type="dxa"/>
          </w:tcPr>
          <w:p w14:paraId="385DD6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12" w:type="dxa"/>
          </w:tcPr>
          <w:p w14:paraId="0307000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9.81</w:t>
            </w:r>
          </w:p>
        </w:tc>
        <w:tc>
          <w:tcPr>
            <w:tcW w:w="1707" w:type="dxa"/>
          </w:tcPr>
          <w:p w14:paraId="3E988F7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8.02</w:t>
            </w:r>
          </w:p>
        </w:tc>
      </w:tr>
      <w:tr w:rsidR="0013710D" w:rsidRPr="005015EF" w14:paraId="457A4F33" w14:textId="77777777" w:rsidTr="001858DC">
        <w:trPr>
          <w:trHeight w:val="636"/>
        </w:trPr>
        <w:tc>
          <w:tcPr>
            <w:tcW w:w="2849" w:type="dxa"/>
          </w:tcPr>
          <w:p w14:paraId="7C060FA6"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 (year)</w:t>
            </w:r>
          </w:p>
        </w:tc>
        <w:tc>
          <w:tcPr>
            <w:tcW w:w="1501" w:type="dxa"/>
          </w:tcPr>
          <w:p w14:paraId="0F93589B"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w:t>
            </w:r>
          </w:p>
        </w:tc>
        <w:tc>
          <w:tcPr>
            <w:tcW w:w="1498" w:type="dxa"/>
          </w:tcPr>
          <w:p w14:paraId="22BAEB2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65</w:t>
            </w:r>
          </w:p>
        </w:tc>
        <w:tc>
          <w:tcPr>
            <w:tcW w:w="1412" w:type="dxa"/>
          </w:tcPr>
          <w:p w14:paraId="77DD186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28.53</w:t>
            </w:r>
          </w:p>
        </w:tc>
        <w:tc>
          <w:tcPr>
            <w:tcW w:w="1707" w:type="dxa"/>
          </w:tcPr>
          <w:p w14:paraId="77FD24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14.19</w:t>
            </w:r>
          </w:p>
        </w:tc>
      </w:tr>
      <w:tr w:rsidR="0013710D" w:rsidRPr="005015EF" w14:paraId="214ED01F" w14:textId="77777777" w:rsidTr="001858DC">
        <w:trPr>
          <w:trHeight w:val="322"/>
        </w:trPr>
        <w:tc>
          <w:tcPr>
            <w:tcW w:w="2849" w:type="dxa"/>
          </w:tcPr>
          <w:p w14:paraId="003D3950"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 (ha)</w:t>
            </w:r>
          </w:p>
        </w:tc>
        <w:tc>
          <w:tcPr>
            <w:tcW w:w="1501" w:type="dxa"/>
          </w:tcPr>
          <w:p w14:paraId="47CC671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0.14</w:t>
            </w:r>
          </w:p>
        </w:tc>
        <w:tc>
          <w:tcPr>
            <w:tcW w:w="1498" w:type="dxa"/>
          </w:tcPr>
          <w:p w14:paraId="079C8E1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3E65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1.40</w:t>
            </w:r>
          </w:p>
        </w:tc>
        <w:tc>
          <w:tcPr>
            <w:tcW w:w="1707" w:type="dxa"/>
          </w:tcPr>
          <w:p w14:paraId="5CA782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0.95</w:t>
            </w:r>
          </w:p>
        </w:tc>
      </w:tr>
      <w:tr w:rsidR="0013710D" w:rsidRPr="005015EF" w14:paraId="40AD94C0" w14:textId="77777777" w:rsidTr="001858DC">
        <w:trPr>
          <w:trHeight w:val="636"/>
        </w:trPr>
        <w:tc>
          <w:tcPr>
            <w:tcW w:w="2849" w:type="dxa"/>
          </w:tcPr>
          <w:p w14:paraId="6792F1B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Annual income from agriculture (taka)</w:t>
            </w:r>
          </w:p>
        </w:tc>
        <w:tc>
          <w:tcPr>
            <w:tcW w:w="1501" w:type="dxa"/>
          </w:tcPr>
          <w:p w14:paraId="0B505C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77500</w:t>
            </w:r>
          </w:p>
        </w:tc>
        <w:tc>
          <w:tcPr>
            <w:tcW w:w="1498" w:type="dxa"/>
          </w:tcPr>
          <w:p w14:paraId="2505752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1447450</w:t>
            </w:r>
          </w:p>
        </w:tc>
        <w:tc>
          <w:tcPr>
            <w:tcW w:w="1412" w:type="dxa"/>
          </w:tcPr>
          <w:p w14:paraId="5D6C079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549893.25</w:t>
            </w:r>
          </w:p>
        </w:tc>
        <w:tc>
          <w:tcPr>
            <w:tcW w:w="1707" w:type="dxa"/>
          </w:tcPr>
          <w:p w14:paraId="146D504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321164.14</w:t>
            </w:r>
          </w:p>
        </w:tc>
      </w:tr>
      <w:tr w:rsidR="0013710D" w:rsidRPr="005015EF" w14:paraId="5B6E981A" w14:textId="77777777" w:rsidTr="001858DC">
        <w:trPr>
          <w:trHeight w:val="636"/>
        </w:trPr>
        <w:tc>
          <w:tcPr>
            <w:tcW w:w="2849" w:type="dxa"/>
          </w:tcPr>
          <w:p w14:paraId="5E30653C"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from riverbank (km)</w:t>
            </w:r>
          </w:p>
        </w:tc>
        <w:tc>
          <w:tcPr>
            <w:tcW w:w="1501" w:type="dxa"/>
          </w:tcPr>
          <w:p w14:paraId="01A8A6B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0.20</w:t>
            </w:r>
          </w:p>
        </w:tc>
        <w:tc>
          <w:tcPr>
            <w:tcW w:w="1498" w:type="dxa"/>
          </w:tcPr>
          <w:p w14:paraId="3E0F530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3.00</w:t>
            </w:r>
          </w:p>
        </w:tc>
        <w:tc>
          <w:tcPr>
            <w:tcW w:w="1412" w:type="dxa"/>
          </w:tcPr>
          <w:p w14:paraId="6CF10A0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w:t>
            </w:r>
          </w:p>
        </w:tc>
        <w:tc>
          <w:tcPr>
            <w:tcW w:w="1707" w:type="dxa"/>
          </w:tcPr>
          <w:p w14:paraId="7619EB8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0.73</w:t>
            </w:r>
          </w:p>
        </w:tc>
      </w:tr>
      <w:tr w:rsidR="0013710D" w:rsidRPr="005015EF" w14:paraId="2C9A969B" w14:textId="77777777" w:rsidTr="001858DC">
        <w:trPr>
          <w:trHeight w:val="636"/>
        </w:trPr>
        <w:tc>
          <w:tcPr>
            <w:tcW w:w="2849" w:type="dxa"/>
          </w:tcPr>
          <w:p w14:paraId="3CCDFE7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Duration </w:t>
            </w:r>
            <w:proofErr w:type="gramStart"/>
            <w:r w:rsidRPr="005015EF">
              <w:rPr>
                <w:rFonts w:ascii="Times New Roman" w:hAnsi="Times New Roman" w:cs="Times New Roman"/>
                <w:noProof w:val="0"/>
                <w:color w:val="0D0D0D" w:themeColor="text1" w:themeTint="F2"/>
                <w:sz w:val="24"/>
                <w:szCs w:val="24"/>
              </w:rPr>
              <w:t>of  living</w:t>
            </w:r>
            <w:proofErr w:type="gramEnd"/>
            <w:r w:rsidRPr="005015EF">
              <w:rPr>
                <w:rFonts w:ascii="Times New Roman" w:hAnsi="Times New Roman" w:cs="Times New Roman"/>
                <w:noProof w:val="0"/>
                <w:color w:val="0D0D0D" w:themeColor="text1" w:themeTint="F2"/>
                <w:sz w:val="24"/>
                <w:szCs w:val="24"/>
              </w:rPr>
              <w:t xml:space="preserve"> in present location (years)</w:t>
            </w:r>
          </w:p>
        </w:tc>
        <w:tc>
          <w:tcPr>
            <w:tcW w:w="1501" w:type="dxa"/>
          </w:tcPr>
          <w:p w14:paraId="45A870C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1.00</w:t>
            </w:r>
          </w:p>
        </w:tc>
        <w:tc>
          <w:tcPr>
            <w:tcW w:w="1498" w:type="dxa"/>
          </w:tcPr>
          <w:p w14:paraId="69FB4FB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50.00</w:t>
            </w:r>
          </w:p>
        </w:tc>
        <w:tc>
          <w:tcPr>
            <w:tcW w:w="1412" w:type="dxa"/>
          </w:tcPr>
          <w:p w14:paraId="692D2B7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17.40</w:t>
            </w:r>
          </w:p>
        </w:tc>
        <w:tc>
          <w:tcPr>
            <w:tcW w:w="1707" w:type="dxa"/>
          </w:tcPr>
          <w:p w14:paraId="04EA53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10.93</w:t>
            </w:r>
          </w:p>
        </w:tc>
      </w:tr>
      <w:tr w:rsidR="0013710D" w:rsidRPr="005015EF" w14:paraId="0CFDEA70" w14:textId="77777777" w:rsidTr="001858DC">
        <w:trPr>
          <w:trHeight w:val="636"/>
        </w:trPr>
        <w:tc>
          <w:tcPr>
            <w:tcW w:w="2849" w:type="dxa"/>
          </w:tcPr>
          <w:p w14:paraId="41908D34"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to migration (km)</w:t>
            </w:r>
          </w:p>
        </w:tc>
        <w:tc>
          <w:tcPr>
            <w:tcW w:w="1501" w:type="dxa"/>
          </w:tcPr>
          <w:p w14:paraId="6185D60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66700D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170.00</w:t>
            </w:r>
          </w:p>
        </w:tc>
        <w:tc>
          <w:tcPr>
            <w:tcW w:w="1412" w:type="dxa"/>
          </w:tcPr>
          <w:p w14:paraId="73D318F5"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10.65</w:t>
            </w:r>
          </w:p>
        </w:tc>
        <w:tc>
          <w:tcPr>
            <w:tcW w:w="1707" w:type="dxa"/>
          </w:tcPr>
          <w:p w14:paraId="0471635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25.23</w:t>
            </w:r>
          </w:p>
        </w:tc>
      </w:tr>
      <w:tr w:rsidR="0013710D" w:rsidRPr="005015EF" w14:paraId="7777AE0E" w14:textId="77777777" w:rsidTr="001858DC">
        <w:trPr>
          <w:trHeight w:val="636"/>
        </w:trPr>
        <w:tc>
          <w:tcPr>
            <w:tcW w:w="2849" w:type="dxa"/>
          </w:tcPr>
          <w:p w14:paraId="041783A3"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 (km)</w:t>
            </w:r>
          </w:p>
        </w:tc>
        <w:tc>
          <w:tcPr>
            <w:tcW w:w="1501" w:type="dxa"/>
          </w:tcPr>
          <w:p w14:paraId="1521B97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49D5CFD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15.00</w:t>
            </w:r>
          </w:p>
        </w:tc>
        <w:tc>
          <w:tcPr>
            <w:tcW w:w="1412" w:type="dxa"/>
          </w:tcPr>
          <w:p w14:paraId="2A94613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3.15</w:t>
            </w:r>
          </w:p>
        </w:tc>
        <w:tc>
          <w:tcPr>
            <w:tcW w:w="1707" w:type="dxa"/>
          </w:tcPr>
          <w:p w14:paraId="19629E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2.92</w:t>
            </w:r>
          </w:p>
        </w:tc>
      </w:tr>
      <w:tr w:rsidR="0013710D" w:rsidRPr="005015EF" w14:paraId="5AFEAC51" w14:textId="77777777" w:rsidTr="001858DC">
        <w:trPr>
          <w:trHeight w:val="644"/>
        </w:trPr>
        <w:tc>
          <w:tcPr>
            <w:tcW w:w="2849" w:type="dxa"/>
          </w:tcPr>
          <w:p w14:paraId="455D459F" w14:textId="77777777" w:rsidR="0013710D" w:rsidRPr="005015EF" w:rsidRDefault="0013710D" w:rsidP="003F5023">
            <w:pPr>
              <w:widowControl/>
              <w:autoSpaceDE w:val="0"/>
              <w:autoSpaceDN w:val="0"/>
              <w:adjustRightInd w:val="0"/>
              <w:spacing w:line="320" w:lineRule="atLeast"/>
              <w:ind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Total area affected by sand deposition (ha)</w:t>
            </w:r>
          </w:p>
        </w:tc>
        <w:tc>
          <w:tcPr>
            <w:tcW w:w="1501" w:type="dxa"/>
          </w:tcPr>
          <w:p w14:paraId="2644CC6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0.13</w:t>
            </w:r>
          </w:p>
        </w:tc>
        <w:tc>
          <w:tcPr>
            <w:tcW w:w="1498" w:type="dxa"/>
          </w:tcPr>
          <w:p w14:paraId="3861D3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801AC"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1.12</w:t>
            </w:r>
          </w:p>
        </w:tc>
        <w:tc>
          <w:tcPr>
            <w:tcW w:w="1707" w:type="dxa"/>
          </w:tcPr>
          <w:p w14:paraId="7A34E9E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0.79</w:t>
            </w:r>
          </w:p>
        </w:tc>
      </w:tr>
    </w:tbl>
    <w:p w14:paraId="7725986F" w14:textId="77777777" w:rsidR="0013710D" w:rsidRPr="005015EF" w:rsidRDefault="0013710D" w:rsidP="00F67CAC">
      <w:pPr>
        <w:widowControl/>
        <w:spacing w:after="0" w:line="360" w:lineRule="auto"/>
        <w:rPr>
          <w:rFonts w:ascii="Times New Roman" w:eastAsia="Times New Roman" w:hAnsi="Times New Roman" w:cs="Times New Roman"/>
          <w:noProof w:val="0"/>
          <w:sz w:val="24"/>
          <w:szCs w:val="24"/>
        </w:rPr>
      </w:pPr>
    </w:p>
    <w:p w14:paraId="7855C19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terms of </w:t>
      </w:r>
      <w:r w:rsidRPr="005015EF">
        <w:rPr>
          <w:rFonts w:ascii="Times New Roman" w:eastAsia="Times New Roman" w:hAnsi="Times New Roman" w:cs="Times New Roman"/>
          <w:bCs/>
          <w:noProof w:val="0"/>
          <w:sz w:val="24"/>
          <w:szCs w:val="24"/>
        </w:rPr>
        <w:t>educational attainment</w:t>
      </w:r>
      <w:r w:rsidRPr="005015EF">
        <w:rPr>
          <w:rFonts w:ascii="Times New Roman" w:eastAsia="Times New Roman" w:hAnsi="Times New Roman" w:cs="Times New Roman"/>
          <w:noProof w:val="0"/>
          <w:sz w:val="24"/>
          <w:szCs w:val="24"/>
        </w:rPr>
        <w:t>, the respondents’ schooling years ranged from 0 to 20, with an average of 9.81 years and a high standard deviation (8.02). This implies a highly uneven educational profile, where some farmers are illiterate while others are well-educated. Education influences awareness of land management practices, access to information, and capacity to engage with external support systems. Those with little or no education may struggle to understand or implement soil reclamation or adaptive agricultural practices to combat the effects of sand deposition.</w:t>
      </w:r>
    </w:p>
    <w:p w14:paraId="0CF009EF"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Farming experience</w:t>
      </w:r>
      <w:r w:rsidRPr="005015EF">
        <w:rPr>
          <w:rFonts w:ascii="Times New Roman" w:eastAsia="Times New Roman" w:hAnsi="Times New Roman" w:cs="Times New Roman"/>
          <w:noProof w:val="0"/>
          <w:sz w:val="24"/>
          <w:szCs w:val="24"/>
        </w:rPr>
        <w:t xml:space="preserve"> ranged from 1 to 65 years, with a mean of 28.53 years and a standard deviation of 14.19. The high mean indicates that most farmers have long-standing ties to agriculture, often passed down through generations. However, despite their experience, farmers may not be fully prepared to deal with the relatively recent intensification of sand deposition. </w:t>
      </w:r>
      <w:r w:rsidRPr="005015EF">
        <w:rPr>
          <w:rFonts w:ascii="Times New Roman" w:eastAsia="Times New Roman" w:hAnsi="Times New Roman" w:cs="Times New Roman"/>
          <w:noProof w:val="0"/>
          <w:sz w:val="24"/>
          <w:szCs w:val="24"/>
        </w:rPr>
        <w:lastRenderedPageBreak/>
        <w:t>The wide variability in experience also reflects a mix of seasoned and newer farmers, with differing levels of resilience and coping strategies.</w:t>
      </w:r>
    </w:p>
    <w:p w14:paraId="6FB9CE18"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 size</w:t>
      </w:r>
      <w:r w:rsidRPr="005015EF">
        <w:rPr>
          <w:rFonts w:ascii="Times New Roman" w:eastAsia="Times New Roman" w:hAnsi="Times New Roman" w:cs="Times New Roman"/>
          <w:noProof w:val="0"/>
          <w:sz w:val="24"/>
          <w:szCs w:val="24"/>
        </w:rPr>
        <w:t xml:space="preserve"> ranged from 0.14 to 3.74 hectares, with an average of 1.40 hectares and a standard deviation of 0.95. Most farmers are smallholders, and smaller farms are more susceptible to loss when even a portion is covered by sand. A single sand deposition event can render a large share of a small farm unproductive, threatening household food security and income. Larger landowners may be better positioned to shift cultivation to unaffected plots or invest in land restoration.</w:t>
      </w:r>
    </w:p>
    <w:p w14:paraId="4624585E"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annual income from agriculture</w:t>
      </w:r>
      <w:r w:rsidRPr="005015EF">
        <w:rPr>
          <w:rFonts w:ascii="Times New Roman" w:eastAsia="Times New Roman" w:hAnsi="Times New Roman" w:cs="Times New Roman"/>
          <w:noProof w:val="0"/>
          <w:sz w:val="24"/>
          <w:szCs w:val="24"/>
        </w:rPr>
        <w:t xml:space="preserve"> showed a broad range, from BDT 77,500 to BDT 1,447,450, with a mean of BDT 549,893.25 and a very high standard deviation of BDT 321,164.14. This large disparity reflects economic inequality within the community. Wealthier farmers may be able to absorb or recover from sand-related losses more easily, while lower-income farmers may face severe economic hardship, reduced investment capacity, and food insecurity when their land is affected.</w:t>
      </w:r>
    </w:p>
    <w:p w14:paraId="7B5EEC7B"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Distance from the riverbank</w:t>
      </w:r>
      <w:r w:rsidRPr="005015EF">
        <w:rPr>
          <w:rFonts w:ascii="Times New Roman" w:eastAsia="Times New Roman" w:hAnsi="Times New Roman" w:cs="Times New Roman"/>
          <w:noProof w:val="0"/>
          <w:sz w:val="24"/>
          <w:szCs w:val="24"/>
        </w:rPr>
        <w:t xml:space="preserve"> varied between 0.20 km and 3.00 km, with a mean of 1.06 km and a standard deviation of 0.73. The proximity to the river is a critical factor, as areas closer to the river are more frequently and severely affected by flood-induced sand deposition. Farmers living closer to the river likely face more frequent and intense disruptions to farming activities and land usability.</w:t>
      </w:r>
    </w:p>
    <w:p w14:paraId="03A31ED4"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duration of living in the present location</w:t>
      </w:r>
      <w:r w:rsidRPr="005015EF">
        <w:rPr>
          <w:rFonts w:ascii="Times New Roman" w:eastAsia="Times New Roman" w:hAnsi="Times New Roman" w:cs="Times New Roman"/>
          <w:noProof w:val="0"/>
          <w:sz w:val="24"/>
          <w:szCs w:val="24"/>
        </w:rPr>
        <w:t xml:space="preserve"> ranged from 1 to 50 years (mean = 17.40, SD = 10.93), indicating that some farmers have recently settled in the area, possibly after being displaced, while others have deep historical connections to the land. Longer-term residents may have more intimate knowledge of river behavior but also stronger attachments to their land, making displacement and land loss more traumatic.</w:t>
      </w:r>
    </w:p>
    <w:p w14:paraId="23E24D1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distance to migration</w:t>
      </w:r>
      <w:r w:rsidRPr="005015EF">
        <w:rPr>
          <w:rFonts w:ascii="Times New Roman" w:eastAsia="Times New Roman" w:hAnsi="Times New Roman" w:cs="Times New Roman"/>
          <w:noProof w:val="0"/>
          <w:sz w:val="24"/>
          <w:szCs w:val="24"/>
        </w:rPr>
        <w:t xml:space="preserve"> showed an exceptionally wide range—from 0 to 170 km—with a mean of 10.65 km and a high standard deviation (25.23). This implies that while some farmers have remained in place, others have been forced to migrate considerable distances, likely due to repeated sand deposition and erosion events. High variability in this metric indicates diverse experiences with displacement and varying degrees of exposure to risk.</w:t>
      </w:r>
    </w:p>
    <w:p w14:paraId="3BB4F77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the </w:t>
      </w:r>
      <w:r w:rsidRPr="005015EF">
        <w:rPr>
          <w:rFonts w:ascii="Times New Roman" w:eastAsia="Times New Roman" w:hAnsi="Times New Roman" w:cs="Times New Roman"/>
          <w:bCs/>
          <w:noProof w:val="0"/>
          <w:sz w:val="24"/>
          <w:szCs w:val="24"/>
        </w:rPr>
        <w:t>distance of the previous house</w:t>
      </w:r>
      <w:r w:rsidRPr="005015EF">
        <w:rPr>
          <w:rFonts w:ascii="Times New Roman" w:eastAsia="Times New Roman" w:hAnsi="Times New Roman" w:cs="Times New Roman"/>
          <w:noProof w:val="0"/>
          <w:sz w:val="24"/>
          <w:szCs w:val="24"/>
        </w:rPr>
        <w:t xml:space="preserve"> ranged from 0 to 15 km (mean = 3.15 km, SD = 2.92), suggesting that displacement due to environmental hazards is common in the area. This spatial instability disrupts social networks, increases economic burdens, and often results in the loss of productive land and infrastructure.</w:t>
      </w:r>
    </w:p>
    <w:p w14:paraId="2885CD2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 xml:space="preserve">Lastly, the </w:t>
      </w:r>
      <w:r w:rsidRPr="005015EF">
        <w:rPr>
          <w:rFonts w:ascii="Times New Roman" w:eastAsia="Times New Roman" w:hAnsi="Times New Roman" w:cs="Times New Roman"/>
          <w:bCs/>
          <w:noProof w:val="0"/>
          <w:sz w:val="24"/>
          <w:szCs w:val="24"/>
        </w:rPr>
        <w:t>total area affected by sand deposition</w:t>
      </w:r>
      <w:r w:rsidRPr="005015EF">
        <w:rPr>
          <w:rFonts w:ascii="Times New Roman" w:eastAsia="Times New Roman" w:hAnsi="Times New Roman" w:cs="Times New Roman"/>
          <w:noProof w:val="0"/>
          <w:sz w:val="24"/>
          <w:szCs w:val="24"/>
        </w:rPr>
        <w:t xml:space="preserve"> ranged from 0.13 to 3.74 hectares, with an average of 1.12 hectares and a standard deviation of 0.79. This directly reflects the scale of the problem: on average, nearly the entire landholding of many farmers is affected. For smallholders, losing even one hectare can mean losing their primary source of livelihood. The variability indicates that while some farmers are only partially affected, others experience nearly total land degradation, leading to severe economic and social consequences.</w:t>
      </w:r>
    </w:p>
    <w:p w14:paraId="301CD505" w14:textId="77777777" w:rsidR="00F67CAC" w:rsidRPr="005015EF" w:rsidRDefault="0013710D" w:rsidP="0013710D">
      <w:pPr>
        <w:tabs>
          <w:tab w:val="left" w:pos="462"/>
        </w:tabs>
        <w:spacing w:before="181"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3.2 </w:t>
      </w:r>
      <w:r w:rsidR="00F67CAC" w:rsidRPr="005015EF">
        <w:rPr>
          <w:rFonts w:ascii="Times New Roman" w:hAnsi="Times New Roman" w:cs="Times New Roman"/>
          <w:b/>
          <w:color w:val="0D0D0D" w:themeColor="text1" w:themeTint="F2"/>
          <w:sz w:val="24"/>
          <w:szCs w:val="24"/>
        </w:rPr>
        <w:t xml:space="preserve">Perceived impact of sand deposition </w:t>
      </w:r>
    </w:p>
    <w:p w14:paraId="5D24F7F5" w14:textId="77777777" w:rsidR="00F67CAC"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2 presents the perceived impacts of sand deposition on agricultural practices and livelihoods, assessed through farmers' level of agreement. The perceptions are summarized using a 5-point Likert scale, where higher </w:t>
      </w:r>
      <w:r w:rsidRPr="005015EF">
        <w:rPr>
          <w:rFonts w:ascii="Times New Roman" w:eastAsia="Times New Roman" w:hAnsi="Times New Roman" w:cs="Times New Roman"/>
          <w:bCs/>
          <w:noProof w:val="0"/>
          <w:sz w:val="24"/>
          <w:szCs w:val="24"/>
        </w:rPr>
        <w:t>mean scores</w:t>
      </w:r>
      <w:r w:rsidRPr="005015EF">
        <w:rPr>
          <w:rFonts w:ascii="Times New Roman" w:eastAsia="Times New Roman" w:hAnsi="Times New Roman" w:cs="Times New Roman"/>
          <w:noProof w:val="0"/>
          <w:sz w:val="24"/>
          <w:szCs w:val="24"/>
        </w:rPr>
        <w:t xml:space="preserve"> indicate stronger agreement with the impact statements.</w:t>
      </w:r>
    </w:p>
    <w:p w14:paraId="6E49555B" w14:textId="77777777" w:rsidR="00894113" w:rsidRDefault="00211AF0" w:rsidP="00211AF0">
      <w:pPr>
        <w:pStyle w:val="ListParagraph"/>
        <w:tabs>
          <w:tab w:val="left" w:pos="462"/>
        </w:tabs>
        <w:spacing w:before="181" w:line="360" w:lineRule="auto"/>
        <w:ind w:left="0" w:right="57" w:firstLine="0"/>
        <w:jc w:val="both"/>
        <w:rPr>
          <w:sz w:val="24"/>
          <w:szCs w:val="24"/>
        </w:rPr>
      </w:pPr>
      <w:r w:rsidRPr="005015EF">
        <w:rPr>
          <w:sz w:val="24"/>
          <w:szCs w:val="24"/>
        </w:rPr>
        <w:t xml:space="preserve">The </w:t>
      </w:r>
      <w:r w:rsidRPr="005015EF">
        <w:rPr>
          <w:bCs/>
          <w:sz w:val="24"/>
          <w:szCs w:val="24"/>
        </w:rPr>
        <w:t>highest perceived impact</w:t>
      </w:r>
      <w:r w:rsidRPr="005015EF">
        <w:rPr>
          <w:sz w:val="24"/>
          <w:szCs w:val="24"/>
        </w:rPr>
        <w:t xml:space="preserve"> is the </w:t>
      </w:r>
      <w:r w:rsidRPr="005015EF">
        <w:rPr>
          <w:bCs/>
          <w:sz w:val="24"/>
          <w:szCs w:val="24"/>
        </w:rPr>
        <w:t>loss of arable land</w:t>
      </w:r>
      <w:r w:rsidRPr="005015EF">
        <w:rPr>
          <w:sz w:val="24"/>
          <w:szCs w:val="24"/>
        </w:rPr>
        <w:t xml:space="preserve"> (Mean = </w:t>
      </w:r>
      <w:r w:rsidRPr="005015EF">
        <w:rPr>
          <w:bCs/>
          <w:sz w:val="24"/>
          <w:szCs w:val="24"/>
        </w:rPr>
        <w:t>4.5</w:t>
      </w:r>
      <w:r w:rsidRPr="005015EF">
        <w:rPr>
          <w:sz w:val="24"/>
          <w:szCs w:val="24"/>
        </w:rPr>
        <w:t>), with 55% of respondents strongly agreeing and 36.3% moderately agreeing. This underscores a critical concern: sand deposition directly reduces cultivable land, affecting both food production and income generation.</w:t>
      </w:r>
    </w:p>
    <w:p w14:paraId="0E5C7EB8" w14:textId="77777777" w:rsidR="000B1C75"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w:t>
      </w:r>
      <w:r w:rsidRPr="005015EF">
        <w:rPr>
          <w:rFonts w:ascii="Times New Roman" w:eastAsia="Times New Roman" w:hAnsi="Times New Roman" w:cs="Times New Roman"/>
          <w:bCs/>
          <w:noProof w:val="0"/>
          <w:sz w:val="24"/>
          <w:szCs w:val="24"/>
        </w:rPr>
        <w:t>reduced agricultural productivity</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4.4</w:t>
      </w:r>
      <w:r w:rsidRPr="005015EF">
        <w:rPr>
          <w:rFonts w:ascii="Times New Roman" w:eastAsia="Times New Roman" w:hAnsi="Times New Roman" w:cs="Times New Roman"/>
          <w:noProof w:val="0"/>
          <w:sz w:val="24"/>
          <w:szCs w:val="24"/>
        </w:rPr>
        <w:t>) was affirmed by 90% of respondents (45% strongly, 45% moderately), reinforcing the idea that sand reduces soil fertility and impairs crop yields. These two impacts lie at the core of farmers' economic challenges in the region.</w:t>
      </w:r>
      <w:r>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t xml:space="preserve">Closely following is the </w:t>
      </w:r>
      <w:r w:rsidRPr="005015EF">
        <w:rPr>
          <w:rFonts w:ascii="Times New Roman" w:eastAsia="Times New Roman" w:hAnsi="Times New Roman" w:cs="Times New Roman"/>
          <w:bCs/>
          <w:noProof w:val="0"/>
          <w:sz w:val="24"/>
          <w:szCs w:val="24"/>
        </w:rPr>
        <w:t>displacement of communities and loss of livelihoods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4.3</w:t>
      </w:r>
      <w:r w:rsidRPr="005015EF">
        <w:rPr>
          <w:rFonts w:ascii="Times New Roman" w:eastAsia="Times New Roman" w:hAnsi="Times New Roman" w:cs="Times New Roman"/>
          <w:noProof w:val="0"/>
          <w:sz w:val="24"/>
          <w:szCs w:val="24"/>
        </w:rPr>
        <w:t xml:space="preserve">), with 48.8% strongly agreeing. This shows how environmental degradation disrupts not only farming but also housing stability and social systems. </w:t>
      </w:r>
      <w:r w:rsidRPr="005015EF">
        <w:rPr>
          <w:rFonts w:ascii="Times New Roman" w:eastAsia="Times New Roman" w:hAnsi="Times New Roman" w:cs="Times New Roman"/>
          <w:bCs/>
          <w:noProof w:val="0"/>
          <w:sz w:val="24"/>
          <w:szCs w:val="24"/>
        </w:rPr>
        <w:t>Soil degradation and erosion</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economic losses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also ranked high, with over 90% agreement for each. These effects are tightly linked; degraded soil leads to poor yields, which in turn drive economic hardship.</w:t>
      </w:r>
    </w:p>
    <w:p w14:paraId="0D7619A9"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Other critical issues included </w:t>
      </w:r>
      <w:r w:rsidRPr="005015EF">
        <w:rPr>
          <w:rFonts w:ascii="Times New Roman" w:eastAsia="Times New Roman" w:hAnsi="Times New Roman" w:cs="Times New Roman"/>
          <w:bCs/>
          <w:noProof w:val="0"/>
          <w:sz w:val="24"/>
          <w:szCs w:val="24"/>
        </w:rPr>
        <w:t>damage to infrastructure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increased flooding risks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xml:space="preserve">), both noted by a majority. Sand deposition can block drainage paths and raise riverbeds, increasing flood exposure. </w:t>
      </w:r>
      <w:r w:rsidRPr="005015EF">
        <w:rPr>
          <w:rFonts w:ascii="Times New Roman" w:eastAsia="Times New Roman" w:hAnsi="Times New Roman" w:cs="Times New Roman"/>
          <w:bCs/>
          <w:noProof w:val="0"/>
          <w:sz w:val="24"/>
          <w:szCs w:val="24"/>
        </w:rPr>
        <w:t>Disruption of water and irrigation 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was also emphasized, as sand can clog irrigation canals or destroy supply routes, hindering cultivation.</w:t>
      </w:r>
    </w:p>
    <w:p w14:paraId="06C32072"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social and psychological stress</w:t>
      </w:r>
      <w:r w:rsidRPr="005015EF">
        <w:rPr>
          <w:rFonts w:ascii="Times New Roman" w:eastAsia="Times New Roman" w:hAnsi="Times New Roman" w:cs="Times New Roman"/>
          <w:noProof w:val="0"/>
          <w:sz w:val="24"/>
          <w:szCs w:val="24"/>
        </w:rPr>
        <w:t xml:space="preserve"> associated with these disruptions (Mean = </w:t>
      </w:r>
      <w:r w:rsidRPr="005015EF">
        <w:rPr>
          <w:rFonts w:ascii="Times New Roman" w:eastAsia="Times New Roman" w:hAnsi="Times New Roman" w:cs="Times New Roman"/>
          <w:bCs/>
          <w:noProof w:val="0"/>
          <w:sz w:val="24"/>
          <w:szCs w:val="24"/>
        </w:rPr>
        <w:t>4.0</w:t>
      </w:r>
      <w:r w:rsidRPr="005015EF">
        <w:rPr>
          <w:rFonts w:ascii="Times New Roman" w:eastAsia="Times New Roman" w:hAnsi="Times New Roman" w:cs="Times New Roman"/>
          <w:noProof w:val="0"/>
          <w:sz w:val="24"/>
          <w:szCs w:val="24"/>
        </w:rPr>
        <w:t xml:space="preserve">) was acknowledged by nearly 80% of respondents, showing that the impacts go beyond physical and economic losses to affect mental well-being. Similarly, </w:t>
      </w:r>
      <w:r w:rsidRPr="005015EF">
        <w:rPr>
          <w:rFonts w:ascii="Times New Roman" w:eastAsia="Times New Roman" w:hAnsi="Times New Roman" w:cs="Times New Roman"/>
          <w:bCs/>
          <w:noProof w:val="0"/>
          <w:sz w:val="24"/>
          <w:szCs w:val="24"/>
        </w:rPr>
        <w:t>increased sedimentation in rivers</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lastRenderedPageBreak/>
        <w:t xml:space="preserve">(Mean = </w:t>
      </w:r>
      <w:r w:rsidRPr="005015EF">
        <w:rPr>
          <w:rFonts w:ascii="Times New Roman" w:eastAsia="Times New Roman" w:hAnsi="Times New Roman" w:cs="Times New Roman"/>
          <w:bCs/>
          <w:noProof w:val="0"/>
          <w:sz w:val="24"/>
          <w:szCs w:val="24"/>
        </w:rPr>
        <w:t>3.9</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contamination of soil and water resources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reflect environmental degradation concerns that affect long-term sustainability.</w:t>
      </w:r>
    </w:p>
    <w:p w14:paraId="06C063CC" w14:textId="77777777" w:rsidR="00894113" w:rsidRPr="0013710D" w:rsidRDefault="00894113" w:rsidP="00894113">
      <w:pPr>
        <w:pStyle w:val="ListParagraph"/>
        <w:tabs>
          <w:tab w:val="left" w:pos="462"/>
        </w:tabs>
        <w:spacing w:before="181"/>
        <w:ind w:left="0" w:right="57" w:firstLine="0"/>
        <w:jc w:val="both"/>
        <w:rPr>
          <w:b/>
          <w:color w:val="0D0D0D" w:themeColor="text1" w:themeTint="F2"/>
          <w:sz w:val="24"/>
          <w:szCs w:val="24"/>
        </w:rPr>
      </w:pPr>
      <w:r w:rsidRPr="0013710D">
        <w:rPr>
          <w:b/>
          <w:color w:val="0D0D0D" w:themeColor="text1" w:themeTint="F2"/>
          <w:sz w:val="24"/>
          <w:szCs w:val="24"/>
        </w:rPr>
        <w:t>Table 2. Perceived</w:t>
      </w:r>
      <w:r w:rsidRPr="0013710D">
        <w:rPr>
          <w:b/>
          <w:color w:val="0D0D0D" w:themeColor="text1" w:themeTint="F2"/>
          <w:spacing w:val="-2"/>
          <w:sz w:val="24"/>
          <w:szCs w:val="24"/>
        </w:rPr>
        <w:t xml:space="preserve"> </w:t>
      </w:r>
      <w:r w:rsidRPr="0013710D">
        <w:rPr>
          <w:b/>
          <w:color w:val="0D0D0D" w:themeColor="text1" w:themeTint="F2"/>
          <w:sz w:val="24"/>
          <w:szCs w:val="24"/>
        </w:rPr>
        <w:t>impact</w:t>
      </w:r>
      <w:r w:rsidRPr="0013710D">
        <w:rPr>
          <w:b/>
          <w:color w:val="0D0D0D" w:themeColor="text1" w:themeTint="F2"/>
          <w:spacing w:val="-3"/>
          <w:sz w:val="24"/>
          <w:szCs w:val="24"/>
        </w:rPr>
        <w:t xml:space="preserve"> </w:t>
      </w:r>
      <w:r w:rsidRPr="0013710D">
        <w:rPr>
          <w:b/>
          <w:color w:val="0D0D0D" w:themeColor="text1" w:themeTint="F2"/>
          <w:sz w:val="24"/>
          <w:szCs w:val="24"/>
        </w:rPr>
        <w:t>of</w:t>
      </w:r>
      <w:r w:rsidRPr="0013710D">
        <w:rPr>
          <w:b/>
          <w:color w:val="0D0D0D" w:themeColor="text1" w:themeTint="F2"/>
          <w:spacing w:val="-5"/>
          <w:sz w:val="24"/>
          <w:szCs w:val="24"/>
        </w:rPr>
        <w:t xml:space="preserve"> </w:t>
      </w:r>
      <w:r w:rsidRPr="0013710D">
        <w:rPr>
          <w:b/>
          <w:color w:val="0D0D0D" w:themeColor="text1" w:themeTint="F2"/>
          <w:sz w:val="24"/>
          <w:szCs w:val="24"/>
        </w:rPr>
        <w:t>sand</w:t>
      </w:r>
      <w:r w:rsidRPr="0013710D">
        <w:rPr>
          <w:b/>
          <w:color w:val="0D0D0D" w:themeColor="text1" w:themeTint="F2"/>
          <w:spacing w:val="-1"/>
          <w:sz w:val="24"/>
          <w:szCs w:val="24"/>
        </w:rPr>
        <w:t xml:space="preserve"> </w:t>
      </w:r>
      <w:r w:rsidRPr="0013710D">
        <w:rPr>
          <w:b/>
          <w:color w:val="0D0D0D" w:themeColor="text1" w:themeTint="F2"/>
          <w:sz w:val="24"/>
          <w:szCs w:val="24"/>
        </w:rPr>
        <w:t>deposition on agricultural practice and livelihoods</w:t>
      </w:r>
    </w:p>
    <w:p w14:paraId="1DC14D4C" w14:textId="77777777" w:rsidR="00894113" w:rsidRPr="005015EF" w:rsidRDefault="00894113" w:rsidP="00894113">
      <w:pPr>
        <w:pStyle w:val="BodyText"/>
        <w:ind w:right="57"/>
        <w:rPr>
          <w:color w:val="0D0D0D" w:themeColor="text1" w:themeTint="F2"/>
          <w:sz w:val="16"/>
        </w:rPr>
      </w:pPr>
    </w:p>
    <w:tbl>
      <w:tblPr>
        <w:tblStyle w:val="TableGrid"/>
        <w:tblW w:w="9023" w:type="dxa"/>
        <w:tblLayout w:type="fixed"/>
        <w:tblLook w:val="01E0" w:firstRow="1" w:lastRow="1" w:firstColumn="1" w:lastColumn="1" w:noHBand="0" w:noVBand="0"/>
      </w:tblPr>
      <w:tblGrid>
        <w:gridCol w:w="447"/>
        <w:gridCol w:w="4363"/>
        <w:gridCol w:w="752"/>
        <w:gridCol w:w="752"/>
        <w:gridCol w:w="752"/>
        <w:gridCol w:w="602"/>
        <w:gridCol w:w="604"/>
        <w:gridCol w:w="751"/>
      </w:tblGrid>
      <w:tr w:rsidR="00894113" w:rsidRPr="000B1C75" w14:paraId="4DED3556" w14:textId="77777777" w:rsidTr="000B1C75">
        <w:trPr>
          <w:trHeight w:val="19"/>
        </w:trPr>
        <w:tc>
          <w:tcPr>
            <w:tcW w:w="447" w:type="dxa"/>
            <w:vMerge w:val="restart"/>
          </w:tcPr>
          <w:p w14:paraId="1BBF1B54" w14:textId="77777777" w:rsidR="00894113" w:rsidRPr="000B1C75" w:rsidRDefault="00894113" w:rsidP="003F5023">
            <w:pPr>
              <w:pStyle w:val="TableParagraph"/>
              <w:spacing w:line="240" w:lineRule="exact"/>
              <w:ind w:left="-57" w:right="-109"/>
              <w:rPr>
                <w:b/>
                <w:color w:val="0D0D0D" w:themeColor="text1" w:themeTint="F2"/>
                <w:sz w:val="24"/>
                <w:szCs w:val="24"/>
              </w:rPr>
            </w:pPr>
            <w:proofErr w:type="spellStart"/>
            <w:r w:rsidRPr="000B1C75">
              <w:rPr>
                <w:b/>
                <w:color w:val="0D0D0D" w:themeColor="text1" w:themeTint="F2"/>
                <w:sz w:val="24"/>
                <w:szCs w:val="24"/>
              </w:rPr>
              <w:t>Sl</w:t>
            </w:r>
            <w:proofErr w:type="spellEnd"/>
          </w:p>
        </w:tc>
        <w:tc>
          <w:tcPr>
            <w:tcW w:w="4363" w:type="dxa"/>
            <w:vMerge w:val="restart"/>
          </w:tcPr>
          <w:p w14:paraId="0D881A45" w14:textId="77777777" w:rsidR="00894113" w:rsidRPr="000B1C75" w:rsidRDefault="00894113" w:rsidP="003F5023">
            <w:pPr>
              <w:pStyle w:val="TableParagraph"/>
              <w:spacing w:line="240" w:lineRule="exact"/>
              <w:ind w:right="57"/>
              <w:jc w:val="center"/>
              <w:rPr>
                <w:b/>
                <w:color w:val="0D0D0D" w:themeColor="text1" w:themeTint="F2"/>
                <w:sz w:val="24"/>
                <w:szCs w:val="24"/>
              </w:rPr>
            </w:pPr>
            <w:r w:rsidRPr="000B1C75">
              <w:rPr>
                <w:b/>
                <w:color w:val="0D0D0D" w:themeColor="text1" w:themeTint="F2"/>
                <w:sz w:val="24"/>
                <w:szCs w:val="24"/>
              </w:rPr>
              <w:t>Impact</w:t>
            </w:r>
          </w:p>
        </w:tc>
        <w:tc>
          <w:tcPr>
            <w:tcW w:w="3462" w:type="dxa"/>
            <w:gridSpan w:val="5"/>
          </w:tcPr>
          <w:p w14:paraId="396477BF"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Level of agreement (% respondents)</w:t>
            </w:r>
          </w:p>
        </w:tc>
        <w:tc>
          <w:tcPr>
            <w:tcW w:w="751" w:type="dxa"/>
            <w:vMerge w:val="restart"/>
          </w:tcPr>
          <w:p w14:paraId="5E52BA71"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 xml:space="preserve">Mean score </w:t>
            </w:r>
          </w:p>
          <w:p w14:paraId="26C77C0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(1-5)</w:t>
            </w:r>
          </w:p>
        </w:tc>
      </w:tr>
      <w:tr w:rsidR="00894113" w:rsidRPr="000B1C75" w14:paraId="21B5AB12" w14:textId="77777777" w:rsidTr="000B1C75">
        <w:trPr>
          <w:trHeight w:val="19"/>
        </w:trPr>
        <w:tc>
          <w:tcPr>
            <w:tcW w:w="447" w:type="dxa"/>
            <w:vMerge/>
          </w:tcPr>
          <w:p w14:paraId="20241191" w14:textId="77777777" w:rsidR="00894113" w:rsidRPr="000B1C75" w:rsidRDefault="00894113" w:rsidP="003F5023">
            <w:pPr>
              <w:pStyle w:val="TableParagraph"/>
              <w:spacing w:line="240" w:lineRule="exact"/>
              <w:ind w:left="-57" w:right="-109"/>
              <w:rPr>
                <w:b/>
                <w:color w:val="0D0D0D" w:themeColor="text1" w:themeTint="F2"/>
                <w:sz w:val="24"/>
                <w:szCs w:val="24"/>
              </w:rPr>
            </w:pPr>
          </w:p>
        </w:tc>
        <w:tc>
          <w:tcPr>
            <w:tcW w:w="4363" w:type="dxa"/>
            <w:vMerge/>
          </w:tcPr>
          <w:p w14:paraId="22C29BAE" w14:textId="77777777" w:rsidR="00894113" w:rsidRPr="000B1C75" w:rsidRDefault="00894113" w:rsidP="003F5023">
            <w:pPr>
              <w:pStyle w:val="TableParagraph"/>
              <w:spacing w:line="240" w:lineRule="exact"/>
              <w:ind w:right="57"/>
              <w:jc w:val="center"/>
              <w:rPr>
                <w:b/>
                <w:color w:val="0D0D0D" w:themeColor="text1" w:themeTint="F2"/>
                <w:sz w:val="24"/>
                <w:szCs w:val="24"/>
              </w:rPr>
            </w:pPr>
          </w:p>
        </w:tc>
        <w:tc>
          <w:tcPr>
            <w:tcW w:w="752" w:type="dxa"/>
          </w:tcPr>
          <w:p w14:paraId="1EDB17F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SA</w:t>
            </w:r>
          </w:p>
        </w:tc>
        <w:tc>
          <w:tcPr>
            <w:tcW w:w="752" w:type="dxa"/>
          </w:tcPr>
          <w:p w14:paraId="56320EBB"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MA</w:t>
            </w:r>
          </w:p>
        </w:tc>
        <w:tc>
          <w:tcPr>
            <w:tcW w:w="752" w:type="dxa"/>
          </w:tcPr>
          <w:p w14:paraId="596BECC8"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PA</w:t>
            </w:r>
          </w:p>
        </w:tc>
        <w:tc>
          <w:tcPr>
            <w:tcW w:w="602" w:type="dxa"/>
          </w:tcPr>
          <w:p w14:paraId="1C678E2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DA</w:t>
            </w:r>
          </w:p>
        </w:tc>
        <w:tc>
          <w:tcPr>
            <w:tcW w:w="602" w:type="dxa"/>
          </w:tcPr>
          <w:p w14:paraId="4BC41074"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SDA</w:t>
            </w:r>
          </w:p>
        </w:tc>
        <w:tc>
          <w:tcPr>
            <w:tcW w:w="751" w:type="dxa"/>
            <w:vMerge/>
          </w:tcPr>
          <w:p w14:paraId="3BB8202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p>
        </w:tc>
      </w:tr>
      <w:tr w:rsidR="00894113" w:rsidRPr="000B1C75" w14:paraId="497BFC83" w14:textId="77777777" w:rsidTr="00997560">
        <w:trPr>
          <w:trHeight w:val="19"/>
        </w:trPr>
        <w:tc>
          <w:tcPr>
            <w:tcW w:w="447" w:type="dxa"/>
          </w:tcPr>
          <w:p w14:paraId="51708889"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w:t>
            </w:r>
          </w:p>
        </w:tc>
        <w:tc>
          <w:tcPr>
            <w:tcW w:w="4363" w:type="dxa"/>
          </w:tcPr>
          <w:p w14:paraId="6532D60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agricultural</w:t>
            </w:r>
            <w:r w:rsidRPr="000B1C75">
              <w:rPr>
                <w:color w:val="0D0D0D" w:themeColor="text1" w:themeTint="F2"/>
                <w:spacing w:val="-3"/>
                <w:sz w:val="24"/>
                <w:szCs w:val="24"/>
              </w:rPr>
              <w:t xml:space="preserve"> </w:t>
            </w:r>
            <w:r w:rsidRPr="000B1C75">
              <w:rPr>
                <w:color w:val="0D0D0D" w:themeColor="text1" w:themeTint="F2"/>
                <w:sz w:val="24"/>
                <w:szCs w:val="24"/>
              </w:rPr>
              <w:t>productivity</w:t>
            </w:r>
          </w:p>
        </w:tc>
        <w:tc>
          <w:tcPr>
            <w:tcW w:w="752" w:type="dxa"/>
            <w:vAlign w:val="center"/>
          </w:tcPr>
          <w:p w14:paraId="6A4A61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4299AE3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1CBD0D4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1BB4525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6FC68CE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F18121F" w14:textId="77777777" w:rsidR="00894113" w:rsidRPr="000B1C75" w:rsidRDefault="00894113" w:rsidP="00997560">
            <w:pPr>
              <w:widowControl/>
              <w:ind w:left="-57" w:right="-57"/>
              <w:jc w:val="left"/>
              <w:rPr>
                <w:rFonts w:ascii="Times New Roman" w:hAnsi="Times New Roman" w:cs="Times New Roman"/>
                <w:noProof w:val="0"/>
                <w:color w:val="0D0D0D" w:themeColor="text1" w:themeTint="F2"/>
                <w:sz w:val="24"/>
                <w:szCs w:val="24"/>
              </w:rPr>
            </w:pPr>
            <w:r w:rsidRPr="000B1C75">
              <w:rPr>
                <w:rFonts w:ascii="Times New Roman" w:hAnsi="Times New Roman" w:cs="Times New Roman"/>
                <w:color w:val="0D0D0D" w:themeColor="text1" w:themeTint="F2"/>
                <w:sz w:val="24"/>
                <w:szCs w:val="24"/>
              </w:rPr>
              <w:t>4.4</w:t>
            </w:r>
          </w:p>
        </w:tc>
      </w:tr>
      <w:tr w:rsidR="00894113" w:rsidRPr="000B1C75" w14:paraId="2E760681" w14:textId="77777777" w:rsidTr="00997560">
        <w:trPr>
          <w:trHeight w:val="19"/>
        </w:trPr>
        <w:tc>
          <w:tcPr>
            <w:tcW w:w="447" w:type="dxa"/>
          </w:tcPr>
          <w:p w14:paraId="349311D8"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2.</w:t>
            </w:r>
          </w:p>
        </w:tc>
        <w:tc>
          <w:tcPr>
            <w:tcW w:w="4363" w:type="dxa"/>
          </w:tcPr>
          <w:p w14:paraId="092066A9"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Soil</w:t>
            </w:r>
            <w:r w:rsidRPr="000B1C75">
              <w:rPr>
                <w:color w:val="0D0D0D" w:themeColor="text1" w:themeTint="F2"/>
                <w:spacing w:val="-1"/>
                <w:sz w:val="24"/>
                <w:szCs w:val="24"/>
              </w:rPr>
              <w:t xml:space="preserve"> </w:t>
            </w:r>
            <w:r w:rsidRPr="000B1C75">
              <w:rPr>
                <w:color w:val="0D0D0D" w:themeColor="text1" w:themeTint="F2"/>
                <w:sz w:val="24"/>
                <w:szCs w:val="24"/>
              </w:rPr>
              <w:t>degradation and erosion</w:t>
            </w:r>
          </w:p>
        </w:tc>
        <w:tc>
          <w:tcPr>
            <w:tcW w:w="752" w:type="dxa"/>
            <w:vAlign w:val="center"/>
          </w:tcPr>
          <w:p w14:paraId="3B0F17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CF3D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57.5</w:t>
            </w:r>
          </w:p>
        </w:tc>
        <w:tc>
          <w:tcPr>
            <w:tcW w:w="752" w:type="dxa"/>
            <w:vAlign w:val="center"/>
          </w:tcPr>
          <w:p w14:paraId="426F91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4D38F1D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CA2777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FCD9FB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141C78D1" w14:textId="77777777" w:rsidTr="00997560">
        <w:trPr>
          <w:trHeight w:val="19"/>
        </w:trPr>
        <w:tc>
          <w:tcPr>
            <w:tcW w:w="447" w:type="dxa"/>
          </w:tcPr>
          <w:p w14:paraId="00E44B7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3.</w:t>
            </w:r>
          </w:p>
        </w:tc>
        <w:tc>
          <w:tcPr>
            <w:tcW w:w="4363" w:type="dxa"/>
          </w:tcPr>
          <w:p w14:paraId="513014C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2"/>
                <w:sz w:val="24"/>
                <w:szCs w:val="24"/>
              </w:rPr>
              <w:t xml:space="preserve"> </w:t>
            </w:r>
            <w:r w:rsidRPr="000B1C75">
              <w:rPr>
                <w:color w:val="0D0D0D" w:themeColor="text1" w:themeTint="F2"/>
                <w:sz w:val="24"/>
                <w:szCs w:val="24"/>
              </w:rPr>
              <w:t>to</w:t>
            </w:r>
            <w:r w:rsidRPr="000B1C75">
              <w:rPr>
                <w:color w:val="0D0D0D" w:themeColor="text1" w:themeTint="F2"/>
                <w:spacing w:val="-1"/>
                <w:sz w:val="24"/>
                <w:szCs w:val="24"/>
              </w:rPr>
              <w:t xml:space="preserve"> </w:t>
            </w:r>
            <w:r w:rsidRPr="000B1C75">
              <w:rPr>
                <w:color w:val="0D0D0D" w:themeColor="text1" w:themeTint="F2"/>
                <w:sz w:val="24"/>
                <w:szCs w:val="24"/>
              </w:rPr>
              <w:t>infrastructure</w:t>
            </w:r>
            <w:r w:rsidRPr="000B1C75">
              <w:rPr>
                <w:color w:val="0D0D0D" w:themeColor="text1" w:themeTint="F2"/>
                <w:spacing w:val="-1"/>
                <w:sz w:val="24"/>
                <w:szCs w:val="24"/>
              </w:rPr>
              <w:t xml:space="preserve"> </w:t>
            </w:r>
            <w:r w:rsidRPr="000B1C75">
              <w:rPr>
                <w:color w:val="0D0D0D" w:themeColor="text1" w:themeTint="F2"/>
                <w:sz w:val="24"/>
                <w:szCs w:val="24"/>
              </w:rPr>
              <w:t>(e.g.,</w:t>
            </w:r>
            <w:r w:rsidRPr="000B1C75">
              <w:rPr>
                <w:color w:val="0D0D0D" w:themeColor="text1" w:themeTint="F2"/>
                <w:spacing w:val="-1"/>
                <w:sz w:val="24"/>
                <w:szCs w:val="24"/>
              </w:rPr>
              <w:t xml:space="preserve"> </w:t>
            </w:r>
            <w:r w:rsidRPr="000B1C75">
              <w:rPr>
                <w:color w:val="0D0D0D" w:themeColor="text1" w:themeTint="F2"/>
                <w:sz w:val="24"/>
                <w:szCs w:val="24"/>
              </w:rPr>
              <w:t>roads,</w:t>
            </w:r>
            <w:r w:rsidRPr="000B1C75">
              <w:rPr>
                <w:color w:val="0D0D0D" w:themeColor="text1" w:themeTint="F2"/>
                <w:spacing w:val="-4"/>
                <w:sz w:val="24"/>
                <w:szCs w:val="24"/>
              </w:rPr>
              <w:t xml:space="preserve"> </w:t>
            </w:r>
            <w:r w:rsidRPr="000B1C75">
              <w:rPr>
                <w:color w:val="0D0D0D" w:themeColor="text1" w:themeTint="F2"/>
                <w:sz w:val="24"/>
                <w:szCs w:val="24"/>
              </w:rPr>
              <w:t>buildings)</w:t>
            </w:r>
          </w:p>
        </w:tc>
        <w:tc>
          <w:tcPr>
            <w:tcW w:w="752" w:type="dxa"/>
            <w:vAlign w:val="center"/>
          </w:tcPr>
          <w:p w14:paraId="3C9B175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24DBA7F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752" w:type="dxa"/>
            <w:vAlign w:val="center"/>
          </w:tcPr>
          <w:p w14:paraId="19C6B6F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776724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AEDA15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952AF5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2B347548" w14:textId="77777777" w:rsidTr="00997560">
        <w:trPr>
          <w:trHeight w:val="19"/>
        </w:trPr>
        <w:tc>
          <w:tcPr>
            <w:tcW w:w="447" w:type="dxa"/>
          </w:tcPr>
          <w:p w14:paraId="23539AD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4.</w:t>
            </w:r>
          </w:p>
        </w:tc>
        <w:tc>
          <w:tcPr>
            <w:tcW w:w="4363" w:type="dxa"/>
          </w:tcPr>
          <w:p w14:paraId="59688E7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arable</w:t>
            </w:r>
            <w:r w:rsidRPr="000B1C75">
              <w:rPr>
                <w:color w:val="0D0D0D" w:themeColor="text1" w:themeTint="F2"/>
                <w:spacing w:val="-1"/>
                <w:sz w:val="24"/>
                <w:szCs w:val="24"/>
              </w:rPr>
              <w:t xml:space="preserve"> </w:t>
            </w:r>
            <w:r w:rsidRPr="000B1C75">
              <w:rPr>
                <w:color w:val="0D0D0D" w:themeColor="text1" w:themeTint="F2"/>
                <w:sz w:val="24"/>
                <w:szCs w:val="24"/>
              </w:rPr>
              <w:t>land</w:t>
            </w:r>
          </w:p>
        </w:tc>
        <w:tc>
          <w:tcPr>
            <w:tcW w:w="752" w:type="dxa"/>
            <w:vAlign w:val="center"/>
          </w:tcPr>
          <w:p w14:paraId="1B2F1D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55</w:t>
            </w:r>
            <w:r w:rsidR="00997560">
              <w:rPr>
                <w:color w:val="0D0D0D" w:themeColor="text1" w:themeTint="F2"/>
                <w:sz w:val="24"/>
                <w:szCs w:val="24"/>
              </w:rPr>
              <w:t>.0</w:t>
            </w:r>
          </w:p>
        </w:tc>
        <w:tc>
          <w:tcPr>
            <w:tcW w:w="752" w:type="dxa"/>
            <w:vAlign w:val="center"/>
          </w:tcPr>
          <w:p w14:paraId="798A1FB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42EFA6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8.8</w:t>
            </w:r>
          </w:p>
        </w:tc>
        <w:tc>
          <w:tcPr>
            <w:tcW w:w="602" w:type="dxa"/>
            <w:vAlign w:val="center"/>
          </w:tcPr>
          <w:p w14:paraId="7EC96E9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0A571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610525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4.5</w:t>
            </w:r>
          </w:p>
        </w:tc>
      </w:tr>
      <w:tr w:rsidR="00894113" w:rsidRPr="000B1C75" w14:paraId="7396ED42" w14:textId="77777777" w:rsidTr="00997560">
        <w:trPr>
          <w:trHeight w:val="19"/>
        </w:trPr>
        <w:tc>
          <w:tcPr>
            <w:tcW w:w="447" w:type="dxa"/>
          </w:tcPr>
          <w:p w14:paraId="1684072D"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5.</w:t>
            </w:r>
          </w:p>
        </w:tc>
        <w:tc>
          <w:tcPr>
            <w:tcW w:w="4363" w:type="dxa"/>
          </w:tcPr>
          <w:p w14:paraId="62140FC7"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1"/>
                <w:sz w:val="24"/>
                <w:szCs w:val="24"/>
              </w:rPr>
              <w:t xml:space="preserve"> </w:t>
            </w:r>
            <w:r w:rsidRPr="000B1C75">
              <w:rPr>
                <w:color w:val="0D0D0D" w:themeColor="text1" w:themeTint="F2"/>
                <w:sz w:val="24"/>
                <w:szCs w:val="24"/>
              </w:rPr>
              <w:t>risk</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flooding</w:t>
            </w:r>
          </w:p>
        </w:tc>
        <w:tc>
          <w:tcPr>
            <w:tcW w:w="752" w:type="dxa"/>
            <w:vAlign w:val="center"/>
          </w:tcPr>
          <w:p w14:paraId="36AE3B9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752" w:type="dxa"/>
            <w:vAlign w:val="center"/>
          </w:tcPr>
          <w:p w14:paraId="55317BE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666A47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633745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F0217A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E530FE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22A9A061" w14:textId="77777777" w:rsidTr="00997560">
        <w:trPr>
          <w:trHeight w:val="19"/>
        </w:trPr>
        <w:tc>
          <w:tcPr>
            <w:tcW w:w="447" w:type="dxa"/>
          </w:tcPr>
          <w:p w14:paraId="0018E7FA"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6.</w:t>
            </w:r>
          </w:p>
        </w:tc>
        <w:tc>
          <w:tcPr>
            <w:tcW w:w="4363" w:type="dxa"/>
          </w:tcPr>
          <w:p w14:paraId="568823F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water</w:t>
            </w:r>
            <w:r w:rsidRPr="000B1C75">
              <w:rPr>
                <w:color w:val="0D0D0D" w:themeColor="text1" w:themeTint="F2"/>
                <w:spacing w:val="-3"/>
                <w:sz w:val="24"/>
                <w:szCs w:val="24"/>
              </w:rPr>
              <w:t xml:space="preserve"> </w:t>
            </w:r>
            <w:r w:rsidRPr="000B1C75">
              <w:rPr>
                <w:color w:val="0D0D0D" w:themeColor="text1" w:themeTint="F2"/>
                <w:sz w:val="24"/>
                <w:szCs w:val="24"/>
              </w:rPr>
              <w:t>sources</w:t>
            </w:r>
            <w:r w:rsidRPr="000B1C75">
              <w:rPr>
                <w:color w:val="0D0D0D" w:themeColor="text1" w:themeTint="F2"/>
                <w:spacing w:val="-4"/>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irrigation</w:t>
            </w:r>
            <w:r w:rsidRPr="000B1C75">
              <w:rPr>
                <w:color w:val="0D0D0D" w:themeColor="text1" w:themeTint="F2"/>
                <w:spacing w:val="-2"/>
                <w:sz w:val="24"/>
                <w:szCs w:val="24"/>
              </w:rPr>
              <w:t xml:space="preserve"> </w:t>
            </w:r>
            <w:r w:rsidRPr="000B1C75">
              <w:rPr>
                <w:color w:val="0D0D0D" w:themeColor="text1" w:themeTint="F2"/>
                <w:sz w:val="24"/>
                <w:szCs w:val="24"/>
              </w:rPr>
              <w:t>systems</w:t>
            </w:r>
          </w:p>
        </w:tc>
        <w:tc>
          <w:tcPr>
            <w:tcW w:w="752" w:type="dxa"/>
            <w:vAlign w:val="center"/>
          </w:tcPr>
          <w:p w14:paraId="3FD93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0C0381C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7D9596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6EB372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52FBB0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325F80B"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51A7965D" w14:textId="77777777" w:rsidTr="00997560">
        <w:trPr>
          <w:trHeight w:val="19"/>
        </w:trPr>
        <w:tc>
          <w:tcPr>
            <w:tcW w:w="447" w:type="dxa"/>
          </w:tcPr>
          <w:p w14:paraId="607A6FA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7.</w:t>
            </w:r>
          </w:p>
        </w:tc>
        <w:tc>
          <w:tcPr>
            <w:tcW w:w="4363" w:type="dxa"/>
          </w:tcPr>
          <w:p w14:paraId="541AE96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Health</w:t>
            </w:r>
            <w:r w:rsidRPr="000B1C75">
              <w:rPr>
                <w:color w:val="0D0D0D" w:themeColor="text1" w:themeTint="F2"/>
                <w:spacing w:val="-1"/>
                <w:sz w:val="24"/>
                <w:szCs w:val="24"/>
              </w:rPr>
              <w:t xml:space="preserve"> </w:t>
            </w:r>
            <w:r w:rsidRPr="000B1C75">
              <w:rPr>
                <w:color w:val="0D0D0D" w:themeColor="text1" w:themeTint="F2"/>
                <w:sz w:val="24"/>
                <w:szCs w:val="24"/>
              </w:rPr>
              <w:t>issues</w:t>
            </w:r>
            <w:r w:rsidRPr="000B1C75">
              <w:rPr>
                <w:color w:val="0D0D0D" w:themeColor="text1" w:themeTint="F2"/>
                <w:spacing w:val="-2"/>
                <w:sz w:val="24"/>
                <w:szCs w:val="24"/>
              </w:rPr>
              <w:t xml:space="preserve"> </w:t>
            </w:r>
            <w:r w:rsidRPr="000B1C75">
              <w:rPr>
                <w:color w:val="0D0D0D" w:themeColor="text1" w:themeTint="F2"/>
                <w:sz w:val="24"/>
                <w:szCs w:val="24"/>
              </w:rPr>
              <w:t>related</w:t>
            </w:r>
            <w:r w:rsidRPr="000B1C75">
              <w:rPr>
                <w:color w:val="0D0D0D" w:themeColor="text1" w:themeTint="F2"/>
                <w:spacing w:val="-1"/>
                <w:sz w:val="24"/>
                <w:szCs w:val="24"/>
              </w:rPr>
              <w:t xml:space="preserve"> </w:t>
            </w:r>
            <w:r w:rsidRPr="000B1C75">
              <w:rPr>
                <w:color w:val="0D0D0D" w:themeColor="text1" w:themeTint="F2"/>
                <w:sz w:val="24"/>
                <w:szCs w:val="24"/>
              </w:rPr>
              <w:t>to air</w:t>
            </w:r>
            <w:r w:rsidRPr="000B1C75">
              <w:rPr>
                <w:color w:val="0D0D0D" w:themeColor="text1" w:themeTint="F2"/>
                <w:spacing w:val="-2"/>
                <w:sz w:val="24"/>
                <w:szCs w:val="24"/>
              </w:rPr>
              <w:t xml:space="preserve"> </w:t>
            </w:r>
            <w:r w:rsidRPr="000B1C75">
              <w:rPr>
                <w:color w:val="0D0D0D" w:themeColor="text1" w:themeTint="F2"/>
                <w:sz w:val="24"/>
                <w:szCs w:val="24"/>
              </w:rPr>
              <w:t>quality</w:t>
            </w:r>
            <w:r w:rsidRPr="000B1C75">
              <w:rPr>
                <w:color w:val="0D0D0D" w:themeColor="text1" w:themeTint="F2"/>
                <w:spacing w:val="-6"/>
                <w:sz w:val="24"/>
                <w:szCs w:val="24"/>
              </w:rPr>
              <w:t xml:space="preserve"> </w:t>
            </w:r>
            <w:r w:rsidRPr="000B1C75">
              <w:rPr>
                <w:color w:val="0D0D0D" w:themeColor="text1" w:themeTint="F2"/>
                <w:sz w:val="24"/>
                <w:szCs w:val="24"/>
              </w:rPr>
              <w:t>(e.g., respiratory</w:t>
            </w:r>
            <w:r w:rsidRPr="000B1C75">
              <w:rPr>
                <w:color w:val="0D0D0D" w:themeColor="text1" w:themeTint="F2"/>
                <w:spacing w:val="-6"/>
                <w:sz w:val="24"/>
                <w:szCs w:val="24"/>
              </w:rPr>
              <w:t xml:space="preserve"> </w:t>
            </w:r>
            <w:r w:rsidRPr="000B1C75">
              <w:rPr>
                <w:color w:val="0D0D0D" w:themeColor="text1" w:themeTint="F2"/>
                <w:sz w:val="24"/>
                <w:szCs w:val="24"/>
              </w:rPr>
              <w:t>ailments)</w:t>
            </w:r>
          </w:p>
        </w:tc>
        <w:tc>
          <w:tcPr>
            <w:tcW w:w="752" w:type="dxa"/>
            <w:vAlign w:val="center"/>
          </w:tcPr>
          <w:p w14:paraId="277A19E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752" w:type="dxa"/>
            <w:vAlign w:val="center"/>
          </w:tcPr>
          <w:p w14:paraId="124046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46DC797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32C4D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25AFAD3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5F9426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05A6C06D" w14:textId="77777777" w:rsidTr="00997560">
        <w:trPr>
          <w:trHeight w:val="19"/>
        </w:trPr>
        <w:tc>
          <w:tcPr>
            <w:tcW w:w="447" w:type="dxa"/>
          </w:tcPr>
          <w:p w14:paraId="25405650"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8.</w:t>
            </w:r>
          </w:p>
        </w:tc>
        <w:tc>
          <w:tcPr>
            <w:tcW w:w="4363" w:type="dxa"/>
          </w:tcPr>
          <w:p w14:paraId="303BFD7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Economic</w:t>
            </w:r>
            <w:r w:rsidRPr="000B1C75">
              <w:rPr>
                <w:color w:val="0D0D0D" w:themeColor="text1" w:themeTint="F2"/>
                <w:spacing w:val="-2"/>
                <w:sz w:val="24"/>
                <w:szCs w:val="24"/>
              </w:rPr>
              <w:t xml:space="preserve"> </w:t>
            </w:r>
            <w:r w:rsidRPr="000B1C75">
              <w:rPr>
                <w:color w:val="0D0D0D" w:themeColor="text1" w:themeTint="F2"/>
                <w:sz w:val="24"/>
                <w:szCs w:val="24"/>
              </w:rPr>
              <w:t>losses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farmers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2"/>
                <w:sz w:val="24"/>
                <w:szCs w:val="24"/>
              </w:rPr>
              <w:t xml:space="preserve"> </w:t>
            </w:r>
            <w:r w:rsidRPr="000B1C75">
              <w:rPr>
                <w:color w:val="0D0D0D" w:themeColor="text1" w:themeTint="F2"/>
                <w:sz w:val="24"/>
                <w:szCs w:val="24"/>
              </w:rPr>
              <w:t>communities</w:t>
            </w:r>
          </w:p>
        </w:tc>
        <w:tc>
          <w:tcPr>
            <w:tcW w:w="752" w:type="dxa"/>
            <w:vAlign w:val="center"/>
          </w:tcPr>
          <w:p w14:paraId="0876FC1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752" w:type="dxa"/>
            <w:vAlign w:val="center"/>
          </w:tcPr>
          <w:p w14:paraId="57B109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53.8</w:t>
            </w:r>
          </w:p>
        </w:tc>
        <w:tc>
          <w:tcPr>
            <w:tcW w:w="752" w:type="dxa"/>
            <w:vAlign w:val="center"/>
          </w:tcPr>
          <w:p w14:paraId="3DC50CA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4B82FD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B4F252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650D27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32B6CB0E" w14:textId="77777777" w:rsidTr="00997560">
        <w:trPr>
          <w:trHeight w:val="19"/>
        </w:trPr>
        <w:tc>
          <w:tcPr>
            <w:tcW w:w="447" w:type="dxa"/>
          </w:tcPr>
          <w:p w14:paraId="6930DAF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9.</w:t>
            </w:r>
          </w:p>
        </w:tc>
        <w:tc>
          <w:tcPr>
            <w:tcW w:w="4363" w:type="dxa"/>
          </w:tcPr>
          <w:p w14:paraId="124DB0A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Impacts</w:t>
            </w:r>
            <w:r w:rsidRPr="000B1C75">
              <w:rPr>
                <w:color w:val="0D0D0D" w:themeColor="text1" w:themeTint="F2"/>
                <w:spacing w:val="-2"/>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biodiversity</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ecosystems</w:t>
            </w:r>
          </w:p>
        </w:tc>
        <w:tc>
          <w:tcPr>
            <w:tcW w:w="752" w:type="dxa"/>
            <w:vAlign w:val="center"/>
          </w:tcPr>
          <w:p w14:paraId="497F4FA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341FE1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46182D6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602" w:type="dxa"/>
            <w:vAlign w:val="center"/>
          </w:tcPr>
          <w:p w14:paraId="2892863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183480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11FF99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6A23435" w14:textId="77777777" w:rsidTr="00997560">
        <w:trPr>
          <w:trHeight w:val="19"/>
        </w:trPr>
        <w:tc>
          <w:tcPr>
            <w:tcW w:w="447" w:type="dxa"/>
          </w:tcPr>
          <w:p w14:paraId="2998B094"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10.</w:t>
            </w:r>
          </w:p>
        </w:tc>
        <w:tc>
          <w:tcPr>
            <w:tcW w:w="4363" w:type="dxa"/>
          </w:tcPr>
          <w:p w14:paraId="61BAE51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Social</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psychological</w:t>
            </w:r>
            <w:r w:rsidRPr="000B1C75">
              <w:rPr>
                <w:color w:val="0D0D0D" w:themeColor="text1" w:themeTint="F2"/>
                <w:spacing w:val="-3"/>
                <w:sz w:val="24"/>
                <w:szCs w:val="24"/>
              </w:rPr>
              <w:t xml:space="preserve"> </w:t>
            </w:r>
            <w:r w:rsidRPr="000B1C75">
              <w:rPr>
                <w:color w:val="0D0D0D" w:themeColor="text1" w:themeTint="F2"/>
                <w:sz w:val="24"/>
                <w:szCs w:val="24"/>
              </w:rPr>
              <w:t>stress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affected</w:t>
            </w:r>
            <w:r w:rsidRPr="000B1C75">
              <w:rPr>
                <w:color w:val="0D0D0D" w:themeColor="text1" w:themeTint="F2"/>
                <w:spacing w:val="-1"/>
                <w:sz w:val="24"/>
                <w:szCs w:val="24"/>
              </w:rPr>
              <w:t xml:space="preserve"> </w:t>
            </w:r>
            <w:r w:rsidRPr="000B1C75">
              <w:rPr>
                <w:color w:val="0D0D0D" w:themeColor="text1" w:themeTint="F2"/>
                <w:sz w:val="24"/>
                <w:szCs w:val="24"/>
              </w:rPr>
              <w:t>populations</w:t>
            </w:r>
          </w:p>
        </w:tc>
        <w:tc>
          <w:tcPr>
            <w:tcW w:w="752" w:type="dxa"/>
            <w:vAlign w:val="center"/>
          </w:tcPr>
          <w:p w14:paraId="59F3C6E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22.5</w:t>
            </w:r>
          </w:p>
        </w:tc>
        <w:tc>
          <w:tcPr>
            <w:tcW w:w="752" w:type="dxa"/>
            <w:vAlign w:val="center"/>
          </w:tcPr>
          <w:p w14:paraId="7823399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58.8</w:t>
            </w:r>
          </w:p>
        </w:tc>
        <w:tc>
          <w:tcPr>
            <w:tcW w:w="752" w:type="dxa"/>
            <w:vAlign w:val="center"/>
          </w:tcPr>
          <w:p w14:paraId="7A64C78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0748052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70FB558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750E09FD"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4.0</w:t>
            </w:r>
          </w:p>
        </w:tc>
      </w:tr>
      <w:tr w:rsidR="00894113" w:rsidRPr="000B1C75" w14:paraId="5F6D06DE" w14:textId="77777777" w:rsidTr="00997560">
        <w:trPr>
          <w:trHeight w:val="19"/>
        </w:trPr>
        <w:tc>
          <w:tcPr>
            <w:tcW w:w="447" w:type="dxa"/>
          </w:tcPr>
          <w:p w14:paraId="07B9B47E"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11.</w:t>
            </w:r>
          </w:p>
        </w:tc>
        <w:tc>
          <w:tcPr>
            <w:tcW w:w="4363" w:type="dxa"/>
          </w:tcPr>
          <w:p w14:paraId="7A4DF41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1"/>
                <w:sz w:val="24"/>
                <w:szCs w:val="24"/>
              </w:rPr>
              <w:t xml:space="preserve"> </w:t>
            </w:r>
            <w:r w:rsidRPr="000B1C75">
              <w:rPr>
                <w:color w:val="0D0D0D" w:themeColor="text1" w:themeTint="F2"/>
                <w:sz w:val="24"/>
                <w:szCs w:val="24"/>
              </w:rPr>
              <w:t>to agricultural</w:t>
            </w:r>
            <w:r w:rsidRPr="000B1C75">
              <w:rPr>
                <w:color w:val="0D0D0D" w:themeColor="text1" w:themeTint="F2"/>
                <w:spacing w:val="-2"/>
                <w:sz w:val="24"/>
                <w:szCs w:val="24"/>
              </w:rPr>
              <w:t xml:space="preserve"> </w:t>
            </w:r>
            <w:r w:rsidRPr="000B1C75">
              <w:rPr>
                <w:color w:val="0D0D0D" w:themeColor="text1" w:themeTint="F2"/>
                <w:sz w:val="24"/>
                <w:szCs w:val="24"/>
              </w:rPr>
              <w:t>machinery</w:t>
            </w:r>
            <w:r w:rsidRPr="000B1C75">
              <w:rPr>
                <w:color w:val="0D0D0D" w:themeColor="text1" w:themeTint="F2"/>
                <w:spacing w:val="-5"/>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equipment</w:t>
            </w:r>
          </w:p>
        </w:tc>
        <w:tc>
          <w:tcPr>
            <w:tcW w:w="752" w:type="dxa"/>
            <w:vAlign w:val="center"/>
          </w:tcPr>
          <w:p w14:paraId="1B9986D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6BD6F5B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309E5BB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602" w:type="dxa"/>
            <w:vAlign w:val="center"/>
          </w:tcPr>
          <w:p w14:paraId="4631E96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03D2FCE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03D6C35"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246BF44D" w14:textId="77777777" w:rsidTr="00997560">
        <w:trPr>
          <w:trHeight w:val="19"/>
        </w:trPr>
        <w:tc>
          <w:tcPr>
            <w:tcW w:w="447" w:type="dxa"/>
          </w:tcPr>
          <w:p w14:paraId="74AD55C7"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12.</w:t>
            </w:r>
          </w:p>
        </w:tc>
        <w:tc>
          <w:tcPr>
            <w:tcW w:w="4363" w:type="dxa"/>
          </w:tcPr>
          <w:p w14:paraId="38C0990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Contamination</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soil</w:t>
            </w:r>
            <w:r w:rsidRPr="000B1C75">
              <w:rPr>
                <w:color w:val="0D0D0D" w:themeColor="text1" w:themeTint="F2"/>
                <w:spacing w:val="-2"/>
                <w:sz w:val="24"/>
                <w:szCs w:val="24"/>
              </w:rPr>
              <w:t xml:space="preserve"> </w:t>
            </w:r>
            <w:r w:rsidRPr="000B1C75">
              <w:rPr>
                <w:color w:val="0D0D0D" w:themeColor="text1" w:themeTint="F2"/>
                <w:sz w:val="24"/>
                <w:szCs w:val="24"/>
              </w:rPr>
              <w:t>and water resources</w:t>
            </w:r>
          </w:p>
        </w:tc>
        <w:tc>
          <w:tcPr>
            <w:tcW w:w="752" w:type="dxa"/>
            <w:vAlign w:val="center"/>
          </w:tcPr>
          <w:p w14:paraId="4FBC2E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0154FAE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752" w:type="dxa"/>
            <w:vAlign w:val="center"/>
          </w:tcPr>
          <w:p w14:paraId="342B31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37.5</w:t>
            </w:r>
          </w:p>
        </w:tc>
        <w:tc>
          <w:tcPr>
            <w:tcW w:w="602" w:type="dxa"/>
            <w:vAlign w:val="center"/>
          </w:tcPr>
          <w:p w14:paraId="780E998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24DDD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85F8B33"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9EF3632" w14:textId="77777777" w:rsidTr="00997560">
        <w:trPr>
          <w:trHeight w:val="19"/>
        </w:trPr>
        <w:tc>
          <w:tcPr>
            <w:tcW w:w="447" w:type="dxa"/>
          </w:tcPr>
          <w:p w14:paraId="5C880078"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13.</w:t>
            </w:r>
          </w:p>
        </w:tc>
        <w:tc>
          <w:tcPr>
            <w:tcW w:w="4363" w:type="dxa"/>
          </w:tcPr>
          <w:p w14:paraId="6886D4E8"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Displacement</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communities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livelihoods</w:t>
            </w:r>
          </w:p>
        </w:tc>
        <w:tc>
          <w:tcPr>
            <w:tcW w:w="752" w:type="dxa"/>
            <w:vAlign w:val="center"/>
          </w:tcPr>
          <w:p w14:paraId="17A2B5E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48.8</w:t>
            </w:r>
          </w:p>
        </w:tc>
        <w:tc>
          <w:tcPr>
            <w:tcW w:w="752" w:type="dxa"/>
            <w:vAlign w:val="center"/>
          </w:tcPr>
          <w:p w14:paraId="58292EC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EF4ED5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554253B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6C933C6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81CF0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4.3</w:t>
            </w:r>
          </w:p>
        </w:tc>
      </w:tr>
      <w:tr w:rsidR="00894113" w:rsidRPr="000B1C75" w14:paraId="1D0481EE" w14:textId="77777777" w:rsidTr="00997560">
        <w:trPr>
          <w:trHeight w:val="19"/>
        </w:trPr>
        <w:tc>
          <w:tcPr>
            <w:tcW w:w="447" w:type="dxa"/>
          </w:tcPr>
          <w:p w14:paraId="68FF1E63"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14.</w:t>
            </w:r>
          </w:p>
        </w:tc>
        <w:tc>
          <w:tcPr>
            <w:tcW w:w="4363" w:type="dxa"/>
          </w:tcPr>
          <w:p w14:paraId="1E3DB07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2"/>
                <w:sz w:val="24"/>
                <w:szCs w:val="24"/>
              </w:rPr>
              <w:t xml:space="preserve"> </w:t>
            </w:r>
            <w:r w:rsidRPr="000B1C75">
              <w:rPr>
                <w:color w:val="0D0D0D" w:themeColor="text1" w:themeTint="F2"/>
                <w:sz w:val="24"/>
                <w:szCs w:val="24"/>
              </w:rPr>
              <w:t>sedimentation</w:t>
            </w:r>
            <w:r w:rsidRPr="000B1C75">
              <w:rPr>
                <w:color w:val="0D0D0D" w:themeColor="text1" w:themeTint="F2"/>
                <w:spacing w:val="-1"/>
                <w:sz w:val="24"/>
                <w:szCs w:val="24"/>
              </w:rPr>
              <w:t xml:space="preserve"> </w:t>
            </w:r>
            <w:r w:rsidRPr="000B1C75">
              <w:rPr>
                <w:color w:val="0D0D0D" w:themeColor="text1" w:themeTint="F2"/>
                <w:sz w:val="24"/>
                <w:szCs w:val="24"/>
              </w:rPr>
              <w:t>in</w:t>
            </w:r>
            <w:r w:rsidRPr="000B1C75">
              <w:rPr>
                <w:color w:val="0D0D0D" w:themeColor="text1" w:themeTint="F2"/>
                <w:spacing w:val="-1"/>
                <w:sz w:val="24"/>
                <w:szCs w:val="24"/>
              </w:rPr>
              <w:t xml:space="preserve"> </w:t>
            </w:r>
            <w:r w:rsidRPr="000B1C75">
              <w:rPr>
                <w:color w:val="0D0D0D" w:themeColor="text1" w:themeTint="F2"/>
                <w:sz w:val="24"/>
                <w:szCs w:val="24"/>
              </w:rPr>
              <w:t>rivers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water</w:t>
            </w:r>
            <w:r w:rsidRPr="000B1C75">
              <w:rPr>
                <w:color w:val="0D0D0D" w:themeColor="text1" w:themeTint="F2"/>
                <w:spacing w:val="-2"/>
                <w:sz w:val="24"/>
                <w:szCs w:val="24"/>
              </w:rPr>
              <w:t xml:space="preserve"> </w:t>
            </w:r>
            <w:r w:rsidRPr="000B1C75">
              <w:rPr>
                <w:color w:val="0D0D0D" w:themeColor="text1" w:themeTint="F2"/>
                <w:sz w:val="24"/>
                <w:szCs w:val="24"/>
              </w:rPr>
              <w:t>bodies</w:t>
            </w:r>
          </w:p>
        </w:tc>
        <w:tc>
          <w:tcPr>
            <w:tcW w:w="752" w:type="dxa"/>
            <w:vAlign w:val="center"/>
          </w:tcPr>
          <w:p w14:paraId="3FA8237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06582B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153A0C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602" w:type="dxa"/>
            <w:vAlign w:val="center"/>
          </w:tcPr>
          <w:p w14:paraId="404CFD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649BF76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E6F4059"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3.9</w:t>
            </w:r>
          </w:p>
        </w:tc>
      </w:tr>
      <w:tr w:rsidR="00894113" w:rsidRPr="000B1C75" w14:paraId="5ED640ED" w14:textId="77777777" w:rsidTr="00997560">
        <w:trPr>
          <w:trHeight w:val="19"/>
        </w:trPr>
        <w:tc>
          <w:tcPr>
            <w:tcW w:w="447" w:type="dxa"/>
          </w:tcPr>
          <w:p w14:paraId="50F95B01"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15.</w:t>
            </w:r>
          </w:p>
        </w:tc>
        <w:tc>
          <w:tcPr>
            <w:tcW w:w="4363" w:type="dxa"/>
          </w:tcPr>
          <w:p w14:paraId="0925238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access</w:t>
            </w:r>
            <w:r w:rsidRPr="000B1C75">
              <w:rPr>
                <w:color w:val="0D0D0D" w:themeColor="text1" w:themeTint="F2"/>
                <w:spacing w:val="-1"/>
                <w:sz w:val="24"/>
                <w:szCs w:val="24"/>
              </w:rPr>
              <w:t xml:space="preserve"> </w:t>
            </w:r>
            <w:r w:rsidRPr="000B1C75">
              <w:rPr>
                <w:color w:val="0D0D0D" w:themeColor="text1" w:themeTint="F2"/>
                <w:sz w:val="24"/>
                <w:szCs w:val="24"/>
              </w:rPr>
              <w:t>to</w:t>
            </w:r>
            <w:r w:rsidRPr="000B1C75">
              <w:rPr>
                <w:color w:val="0D0D0D" w:themeColor="text1" w:themeTint="F2"/>
                <w:spacing w:val="-2"/>
                <w:sz w:val="24"/>
                <w:szCs w:val="24"/>
              </w:rPr>
              <w:t xml:space="preserve"> </w:t>
            </w:r>
            <w:r w:rsidRPr="000B1C75">
              <w:rPr>
                <w:color w:val="0D0D0D" w:themeColor="text1" w:themeTint="F2"/>
                <w:sz w:val="24"/>
                <w:szCs w:val="24"/>
              </w:rPr>
              <w:t>grazing</w:t>
            </w:r>
            <w:r w:rsidRPr="000B1C75">
              <w:rPr>
                <w:color w:val="0D0D0D" w:themeColor="text1" w:themeTint="F2"/>
                <w:spacing w:val="-1"/>
                <w:sz w:val="24"/>
                <w:szCs w:val="24"/>
              </w:rPr>
              <w:t xml:space="preserve"> </w:t>
            </w:r>
            <w:r w:rsidRPr="000B1C75">
              <w:rPr>
                <w:color w:val="0D0D0D" w:themeColor="text1" w:themeTint="F2"/>
                <w:sz w:val="24"/>
                <w:szCs w:val="24"/>
              </w:rPr>
              <w:t>lands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livestock</w:t>
            </w:r>
          </w:p>
        </w:tc>
        <w:tc>
          <w:tcPr>
            <w:tcW w:w="752" w:type="dxa"/>
            <w:vAlign w:val="center"/>
          </w:tcPr>
          <w:p w14:paraId="70D00C8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87CF91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6D6C0E9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31.3</w:t>
            </w:r>
          </w:p>
        </w:tc>
        <w:tc>
          <w:tcPr>
            <w:tcW w:w="602" w:type="dxa"/>
            <w:vAlign w:val="center"/>
          </w:tcPr>
          <w:p w14:paraId="6577A13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3970EBB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C1077F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EC3AD9F" w14:textId="77777777" w:rsidTr="00997560">
        <w:trPr>
          <w:trHeight w:val="19"/>
        </w:trPr>
        <w:tc>
          <w:tcPr>
            <w:tcW w:w="447" w:type="dxa"/>
          </w:tcPr>
          <w:p w14:paraId="5C859EE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16.</w:t>
            </w:r>
          </w:p>
        </w:tc>
        <w:tc>
          <w:tcPr>
            <w:tcW w:w="4363" w:type="dxa"/>
          </w:tcPr>
          <w:p w14:paraId="0D2E302E"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cultural</w:t>
            </w:r>
            <w:r w:rsidRPr="000B1C75">
              <w:rPr>
                <w:color w:val="0D0D0D" w:themeColor="text1" w:themeTint="F2"/>
                <w:spacing w:val="-1"/>
                <w:sz w:val="24"/>
                <w:szCs w:val="24"/>
              </w:rPr>
              <w:t xml:space="preserve"> </w:t>
            </w:r>
            <w:r w:rsidRPr="000B1C75">
              <w:rPr>
                <w:color w:val="0D0D0D" w:themeColor="text1" w:themeTint="F2"/>
                <w:sz w:val="24"/>
                <w:szCs w:val="24"/>
              </w:rPr>
              <w:t>heritage</w:t>
            </w:r>
            <w:r w:rsidRPr="000B1C75">
              <w:rPr>
                <w:color w:val="0D0D0D" w:themeColor="text1" w:themeTint="F2"/>
                <w:spacing w:val="-1"/>
                <w:sz w:val="24"/>
                <w:szCs w:val="24"/>
              </w:rPr>
              <w:t xml:space="preserve"> </w:t>
            </w:r>
            <w:r w:rsidRPr="000B1C75">
              <w:rPr>
                <w:color w:val="0D0D0D" w:themeColor="text1" w:themeTint="F2"/>
                <w:sz w:val="24"/>
                <w:szCs w:val="24"/>
              </w:rPr>
              <w:t>sites and</w:t>
            </w:r>
            <w:r w:rsidRPr="000B1C75">
              <w:rPr>
                <w:color w:val="0D0D0D" w:themeColor="text1" w:themeTint="F2"/>
                <w:spacing w:val="-1"/>
                <w:sz w:val="24"/>
                <w:szCs w:val="24"/>
              </w:rPr>
              <w:t xml:space="preserve"> </w:t>
            </w:r>
            <w:r w:rsidRPr="000B1C75">
              <w:rPr>
                <w:color w:val="0D0D0D" w:themeColor="text1" w:themeTint="F2"/>
                <w:sz w:val="24"/>
                <w:szCs w:val="24"/>
              </w:rPr>
              <w:t>burial</w:t>
            </w:r>
            <w:r w:rsidRPr="000B1C75">
              <w:rPr>
                <w:color w:val="0D0D0D" w:themeColor="text1" w:themeTint="F2"/>
                <w:spacing w:val="-2"/>
                <w:sz w:val="24"/>
                <w:szCs w:val="24"/>
              </w:rPr>
              <w:t xml:space="preserve"> </w:t>
            </w:r>
            <w:r w:rsidRPr="000B1C75">
              <w:rPr>
                <w:color w:val="0D0D0D" w:themeColor="text1" w:themeTint="F2"/>
                <w:sz w:val="24"/>
                <w:szCs w:val="24"/>
              </w:rPr>
              <w:t>grounds</w:t>
            </w:r>
          </w:p>
        </w:tc>
        <w:tc>
          <w:tcPr>
            <w:tcW w:w="752" w:type="dxa"/>
            <w:vAlign w:val="center"/>
          </w:tcPr>
          <w:p w14:paraId="3FFB1EE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16.3</w:t>
            </w:r>
          </w:p>
        </w:tc>
        <w:tc>
          <w:tcPr>
            <w:tcW w:w="752" w:type="dxa"/>
            <w:vAlign w:val="center"/>
          </w:tcPr>
          <w:p w14:paraId="1FDCE3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7820BF6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40</w:t>
            </w:r>
            <w:r w:rsidR="00997560">
              <w:rPr>
                <w:color w:val="0D0D0D" w:themeColor="text1" w:themeTint="F2"/>
                <w:sz w:val="24"/>
                <w:szCs w:val="24"/>
              </w:rPr>
              <w:t>.0</w:t>
            </w:r>
          </w:p>
        </w:tc>
        <w:tc>
          <w:tcPr>
            <w:tcW w:w="602" w:type="dxa"/>
            <w:vAlign w:val="center"/>
          </w:tcPr>
          <w:p w14:paraId="1B5CD1F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52F036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6471D9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A33A4E2" w14:textId="77777777" w:rsidTr="00997560">
        <w:trPr>
          <w:trHeight w:val="19"/>
        </w:trPr>
        <w:tc>
          <w:tcPr>
            <w:tcW w:w="447" w:type="dxa"/>
          </w:tcPr>
          <w:p w14:paraId="33E8A53F"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17.</w:t>
            </w:r>
          </w:p>
        </w:tc>
        <w:tc>
          <w:tcPr>
            <w:tcW w:w="4363" w:type="dxa"/>
          </w:tcPr>
          <w:p w14:paraId="7F183EB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Hindered</w:t>
            </w:r>
            <w:r w:rsidRPr="000B1C75">
              <w:rPr>
                <w:color w:val="0D0D0D" w:themeColor="text1" w:themeTint="F2"/>
                <w:spacing w:val="-4"/>
                <w:sz w:val="24"/>
                <w:szCs w:val="24"/>
              </w:rPr>
              <w:t xml:space="preserve"> </w:t>
            </w:r>
            <w:r w:rsidRPr="000B1C75">
              <w:rPr>
                <w:color w:val="0D0D0D" w:themeColor="text1" w:themeTint="F2"/>
                <w:sz w:val="24"/>
                <w:szCs w:val="24"/>
              </w:rPr>
              <w:t>transportation</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3"/>
                <w:sz w:val="24"/>
                <w:szCs w:val="24"/>
              </w:rPr>
              <w:t xml:space="preserve"> </w:t>
            </w:r>
            <w:r w:rsidRPr="000B1C75">
              <w:rPr>
                <w:color w:val="0D0D0D" w:themeColor="text1" w:themeTint="F2"/>
                <w:sz w:val="24"/>
                <w:szCs w:val="24"/>
              </w:rPr>
              <w:t>access</w:t>
            </w:r>
            <w:r w:rsidRPr="000B1C75">
              <w:rPr>
                <w:color w:val="0D0D0D" w:themeColor="text1" w:themeTint="F2"/>
                <w:spacing w:val="-2"/>
                <w:sz w:val="24"/>
                <w:szCs w:val="24"/>
              </w:rPr>
              <w:t xml:space="preserve"> </w:t>
            </w:r>
            <w:r w:rsidRPr="000B1C75">
              <w:rPr>
                <w:color w:val="0D0D0D" w:themeColor="text1" w:themeTint="F2"/>
                <w:sz w:val="24"/>
                <w:szCs w:val="24"/>
              </w:rPr>
              <w:t>to markets</w:t>
            </w:r>
          </w:p>
        </w:tc>
        <w:tc>
          <w:tcPr>
            <w:tcW w:w="752" w:type="dxa"/>
            <w:vAlign w:val="center"/>
          </w:tcPr>
          <w:p w14:paraId="602B1B1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0BA4FB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368FFE1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602" w:type="dxa"/>
            <w:vAlign w:val="center"/>
          </w:tcPr>
          <w:p w14:paraId="4D13623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7BACAC9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A66861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B13B212" w14:textId="77777777" w:rsidTr="00997560">
        <w:trPr>
          <w:trHeight w:val="19"/>
        </w:trPr>
        <w:tc>
          <w:tcPr>
            <w:tcW w:w="447" w:type="dxa"/>
          </w:tcPr>
          <w:p w14:paraId="6A493B3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18.</w:t>
            </w:r>
          </w:p>
        </w:tc>
        <w:tc>
          <w:tcPr>
            <w:tcW w:w="4363" w:type="dxa"/>
          </w:tcPr>
          <w:p w14:paraId="16722B11"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Disrupted</w:t>
            </w:r>
            <w:r w:rsidRPr="000B1C75">
              <w:rPr>
                <w:color w:val="0D0D0D" w:themeColor="text1" w:themeTint="F2"/>
                <w:spacing w:val="-2"/>
                <w:sz w:val="24"/>
                <w:szCs w:val="24"/>
              </w:rPr>
              <w:t xml:space="preserve"> </w:t>
            </w:r>
            <w:r w:rsidRPr="000B1C75">
              <w:rPr>
                <w:color w:val="0D0D0D" w:themeColor="text1" w:themeTint="F2"/>
                <w:sz w:val="24"/>
                <w:szCs w:val="24"/>
              </w:rPr>
              <w:t>navigation</w:t>
            </w:r>
            <w:r w:rsidRPr="000B1C75">
              <w:rPr>
                <w:color w:val="0D0D0D" w:themeColor="text1" w:themeTint="F2"/>
                <w:spacing w:val="-1"/>
                <w:sz w:val="24"/>
                <w:szCs w:val="24"/>
              </w:rPr>
              <w:t xml:space="preserve"> </w:t>
            </w:r>
            <w:r w:rsidRPr="000B1C75">
              <w:rPr>
                <w:color w:val="0D0D0D" w:themeColor="text1" w:themeTint="F2"/>
                <w:sz w:val="24"/>
                <w:szCs w:val="24"/>
              </w:rPr>
              <w:t>routes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boats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vessels</w:t>
            </w:r>
          </w:p>
        </w:tc>
        <w:tc>
          <w:tcPr>
            <w:tcW w:w="752" w:type="dxa"/>
            <w:vAlign w:val="center"/>
          </w:tcPr>
          <w:p w14:paraId="34EADC7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3119221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2C3DAA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602" w:type="dxa"/>
            <w:vAlign w:val="center"/>
          </w:tcPr>
          <w:p w14:paraId="54B5F6F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D0E05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F3B255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3.6</w:t>
            </w:r>
          </w:p>
        </w:tc>
      </w:tr>
      <w:tr w:rsidR="00894113" w:rsidRPr="000B1C75" w14:paraId="7315130C" w14:textId="77777777" w:rsidTr="00997560">
        <w:trPr>
          <w:trHeight w:val="19"/>
        </w:trPr>
        <w:tc>
          <w:tcPr>
            <w:tcW w:w="447" w:type="dxa"/>
          </w:tcPr>
          <w:p w14:paraId="3DA3635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19.</w:t>
            </w:r>
          </w:p>
        </w:tc>
        <w:tc>
          <w:tcPr>
            <w:tcW w:w="4363" w:type="dxa"/>
          </w:tcPr>
          <w:p w14:paraId="4026AB64"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Interruption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tourism</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recreational</w:t>
            </w:r>
            <w:r w:rsidRPr="000B1C75">
              <w:rPr>
                <w:color w:val="0D0D0D" w:themeColor="text1" w:themeTint="F2"/>
                <w:spacing w:val="-3"/>
                <w:sz w:val="24"/>
                <w:szCs w:val="24"/>
              </w:rPr>
              <w:t xml:space="preserve"> </w:t>
            </w:r>
            <w:r w:rsidRPr="000B1C75">
              <w:rPr>
                <w:color w:val="0D0D0D" w:themeColor="text1" w:themeTint="F2"/>
                <w:sz w:val="24"/>
                <w:szCs w:val="24"/>
              </w:rPr>
              <w:t>activities</w:t>
            </w:r>
          </w:p>
        </w:tc>
        <w:tc>
          <w:tcPr>
            <w:tcW w:w="752" w:type="dxa"/>
            <w:vAlign w:val="center"/>
          </w:tcPr>
          <w:p w14:paraId="2689EA4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752" w:type="dxa"/>
            <w:vAlign w:val="center"/>
          </w:tcPr>
          <w:p w14:paraId="13EE770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3E59D07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602" w:type="dxa"/>
            <w:vAlign w:val="center"/>
          </w:tcPr>
          <w:p w14:paraId="16A030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1A5FC74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6D9C6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3.3</w:t>
            </w:r>
          </w:p>
        </w:tc>
      </w:tr>
      <w:tr w:rsidR="00894113" w:rsidRPr="000B1C75" w14:paraId="00C79391" w14:textId="77777777" w:rsidTr="00997560">
        <w:trPr>
          <w:trHeight w:val="19"/>
        </w:trPr>
        <w:tc>
          <w:tcPr>
            <w:tcW w:w="447" w:type="dxa"/>
          </w:tcPr>
          <w:p w14:paraId="0A889D1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20.</w:t>
            </w:r>
          </w:p>
        </w:tc>
        <w:tc>
          <w:tcPr>
            <w:tcW w:w="4363" w:type="dxa"/>
          </w:tcPr>
          <w:p w14:paraId="35FF13D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Impact</w:t>
            </w:r>
            <w:r w:rsidRPr="000B1C75">
              <w:rPr>
                <w:color w:val="0D0D0D" w:themeColor="text1" w:themeTint="F2"/>
                <w:spacing w:val="-4"/>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fish</w:t>
            </w:r>
            <w:r w:rsidRPr="000B1C75">
              <w:rPr>
                <w:color w:val="0D0D0D" w:themeColor="text1" w:themeTint="F2"/>
                <w:spacing w:val="-1"/>
                <w:sz w:val="24"/>
                <w:szCs w:val="24"/>
              </w:rPr>
              <w:t xml:space="preserve"> </w:t>
            </w:r>
            <w:r w:rsidRPr="000B1C75">
              <w:rPr>
                <w:color w:val="0D0D0D" w:themeColor="text1" w:themeTint="F2"/>
                <w:sz w:val="24"/>
                <w:szCs w:val="24"/>
              </w:rPr>
              <w:t>habitats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fisheries</w:t>
            </w:r>
          </w:p>
        </w:tc>
        <w:tc>
          <w:tcPr>
            <w:tcW w:w="752" w:type="dxa"/>
            <w:vAlign w:val="center"/>
          </w:tcPr>
          <w:p w14:paraId="15A9A1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27A9AA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21.3</w:t>
            </w:r>
          </w:p>
        </w:tc>
        <w:tc>
          <w:tcPr>
            <w:tcW w:w="752" w:type="dxa"/>
            <w:vAlign w:val="center"/>
          </w:tcPr>
          <w:p w14:paraId="32FDC4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602" w:type="dxa"/>
            <w:vAlign w:val="center"/>
          </w:tcPr>
          <w:p w14:paraId="4C7260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602" w:type="dxa"/>
            <w:vAlign w:val="center"/>
          </w:tcPr>
          <w:p w14:paraId="5AF6A5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4346737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3.1</w:t>
            </w:r>
          </w:p>
        </w:tc>
      </w:tr>
    </w:tbl>
    <w:p w14:paraId="0374C92B" w14:textId="77777777" w:rsidR="00894113" w:rsidRPr="005015EF" w:rsidRDefault="00894113" w:rsidP="00894113">
      <w:pPr>
        <w:widowControl/>
        <w:autoSpaceDE w:val="0"/>
        <w:autoSpaceDN w:val="0"/>
        <w:adjustRightInd w:val="0"/>
        <w:spacing w:after="0" w:line="360" w:lineRule="auto"/>
        <w:jc w:val="left"/>
        <w:rPr>
          <w:rFonts w:ascii="Times New Roman" w:hAnsi="Times New Roman" w:cs="Times New Roman"/>
          <w:noProof w:val="0"/>
          <w:color w:val="0D0D0D" w:themeColor="text1" w:themeTint="F2"/>
          <w:sz w:val="18"/>
          <w:szCs w:val="18"/>
        </w:rPr>
      </w:pPr>
      <w:r w:rsidRPr="005015EF">
        <w:rPr>
          <w:rFonts w:ascii="Times New Roman" w:hAnsi="Times New Roman" w:cs="Times New Roman"/>
          <w:noProof w:val="0"/>
          <w:color w:val="0D0D0D" w:themeColor="text1" w:themeTint="F2"/>
          <w:sz w:val="18"/>
          <w:szCs w:val="18"/>
        </w:rPr>
        <w:t>SA= Strongly agree, MA= Moderately agree, PA= Partially agree, DA= Disagree, SDA= Strongly disagree</w:t>
      </w:r>
    </w:p>
    <w:p w14:paraId="32561F89" w14:textId="77777777" w:rsidR="00F67CAC" w:rsidRPr="005015EF" w:rsidRDefault="00F67CAC" w:rsidP="000B1C75">
      <w:pPr>
        <w:widowControl/>
        <w:spacing w:before="240"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Several medium-priority concerns hovered around a mean score of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xml:space="preserve">, including </w:t>
      </w:r>
      <w:r w:rsidRPr="005015EF">
        <w:rPr>
          <w:rFonts w:ascii="Times New Roman" w:eastAsia="Times New Roman" w:hAnsi="Times New Roman" w:cs="Times New Roman"/>
          <w:bCs/>
          <w:noProof w:val="0"/>
          <w:sz w:val="24"/>
          <w:szCs w:val="24"/>
        </w:rPr>
        <w:t>damage to agricultural machinery</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reduced access to grazing lands</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transportation disruptions</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health issues</w:t>
      </w:r>
      <w:r w:rsidRPr="005015EF">
        <w:rPr>
          <w:rFonts w:ascii="Times New Roman" w:eastAsia="Times New Roman" w:hAnsi="Times New Roman" w:cs="Times New Roman"/>
          <w:noProof w:val="0"/>
          <w:sz w:val="24"/>
          <w:szCs w:val="24"/>
        </w:rPr>
        <w:t xml:space="preserve"> like respiratory ailments due to dust. These highlight how sand deposition affects not just crops but the entire rural support system, including livestock and mobility.</w:t>
      </w:r>
    </w:p>
    <w:p w14:paraId="2D04907D" w14:textId="77777777" w:rsidR="00F67CAC" w:rsidRPr="005015EF"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Lower on the spectrum were issues with </w:t>
      </w:r>
      <w:r w:rsidRPr="005015EF">
        <w:rPr>
          <w:rFonts w:ascii="Times New Roman" w:eastAsia="Times New Roman" w:hAnsi="Times New Roman" w:cs="Times New Roman"/>
          <w:bCs/>
          <w:noProof w:val="0"/>
          <w:sz w:val="24"/>
          <w:szCs w:val="24"/>
        </w:rPr>
        <w:t>biodiversity and ecosystems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loss of cultural heritage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which, while important, may not be as immediately felt by farmers compared to livelihood issues. </w:t>
      </w:r>
      <w:r w:rsidRPr="005015EF">
        <w:rPr>
          <w:rFonts w:ascii="Times New Roman" w:eastAsia="Times New Roman" w:hAnsi="Times New Roman" w:cs="Times New Roman"/>
          <w:bCs/>
          <w:noProof w:val="0"/>
          <w:sz w:val="24"/>
          <w:szCs w:val="24"/>
        </w:rPr>
        <w:t>Disrupted navigation routes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3.6</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lastRenderedPageBreak/>
        <w:t>interruption of tourism</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3.3</w:t>
      </w:r>
      <w:r w:rsidRPr="005015EF">
        <w:rPr>
          <w:rFonts w:ascii="Times New Roman" w:eastAsia="Times New Roman" w:hAnsi="Times New Roman" w:cs="Times New Roman"/>
          <w:noProof w:val="0"/>
          <w:sz w:val="24"/>
          <w:szCs w:val="24"/>
        </w:rPr>
        <w:t xml:space="preserve">) ranked even lower, indicating these are less directly relevant to the respondents' daily survival and agricultural practices. The </w:t>
      </w:r>
      <w:r w:rsidRPr="005015EF">
        <w:rPr>
          <w:rFonts w:ascii="Times New Roman" w:eastAsia="Times New Roman" w:hAnsi="Times New Roman" w:cs="Times New Roman"/>
          <w:bCs/>
          <w:noProof w:val="0"/>
          <w:sz w:val="24"/>
          <w:szCs w:val="24"/>
        </w:rPr>
        <w:t>impact on fish habitats and fisheries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3.1</w:t>
      </w:r>
      <w:r w:rsidRPr="005015EF">
        <w:rPr>
          <w:rFonts w:ascii="Times New Roman" w:eastAsia="Times New Roman" w:hAnsi="Times New Roman" w:cs="Times New Roman"/>
          <w:noProof w:val="0"/>
          <w:sz w:val="24"/>
          <w:szCs w:val="24"/>
        </w:rPr>
        <w:t xml:space="preserve">) received the </w:t>
      </w:r>
      <w:r w:rsidRPr="005015EF">
        <w:rPr>
          <w:rFonts w:ascii="Times New Roman" w:eastAsia="Times New Roman" w:hAnsi="Times New Roman" w:cs="Times New Roman"/>
          <w:bCs/>
          <w:noProof w:val="0"/>
          <w:sz w:val="24"/>
          <w:szCs w:val="24"/>
        </w:rPr>
        <w:t>lowest mean score</w:t>
      </w:r>
      <w:r w:rsidRPr="005015EF">
        <w:rPr>
          <w:rFonts w:ascii="Times New Roman" w:eastAsia="Times New Roman" w:hAnsi="Times New Roman" w:cs="Times New Roman"/>
          <w:noProof w:val="0"/>
          <w:sz w:val="24"/>
          <w:szCs w:val="24"/>
        </w:rPr>
        <w:t>, suggesting that although it is an ecological issue, it is not widely perceived as a direct livelihood threat in this particular farming context.</w:t>
      </w:r>
    </w:p>
    <w:p w14:paraId="2327CB10" w14:textId="77777777" w:rsidR="0009541B" w:rsidRPr="005015EF" w:rsidRDefault="00894113" w:rsidP="00894113">
      <w:pPr>
        <w:widowControl/>
        <w:autoSpaceDE w:val="0"/>
        <w:autoSpaceDN w:val="0"/>
        <w:adjustRightInd w:val="0"/>
        <w:spacing w:before="240" w:after="0" w:line="240" w:lineRule="auto"/>
        <w:rPr>
          <w:rFonts w:ascii="Times New Roman" w:hAnsi="Times New Roman" w:cs="Times New Roman"/>
          <w:b/>
          <w:noProof w:val="0"/>
          <w:color w:val="0D0D0D" w:themeColor="text1" w:themeTint="F2"/>
          <w:sz w:val="24"/>
          <w:szCs w:val="24"/>
        </w:rPr>
      </w:pPr>
      <w:r>
        <w:rPr>
          <w:rFonts w:ascii="Times New Roman" w:hAnsi="Times New Roman" w:cs="Times New Roman"/>
          <w:b/>
          <w:noProof w:val="0"/>
          <w:color w:val="0D0D0D" w:themeColor="text1" w:themeTint="F2"/>
          <w:sz w:val="24"/>
          <w:szCs w:val="24"/>
        </w:rPr>
        <w:t>3.3 Relationship between soc</w:t>
      </w:r>
      <w:r w:rsidR="00F67CAC" w:rsidRPr="005015EF">
        <w:rPr>
          <w:rFonts w:ascii="Times New Roman" w:hAnsi="Times New Roman" w:cs="Times New Roman"/>
          <w:b/>
          <w:noProof w:val="0"/>
          <w:color w:val="0D0D0D" w:themeColor="text1" w:themeTint="F2"/>
          <w:sz w:val="24"/>
          <w:szCs w:val="24"/>
        </w:rPr>
        <w:t xml:space="preserve">io-economic characteristics and perceived sand deposition impact </w:t>
      </w:r>
    </w:p>
    <w:p w14:paraId="48A5F71F"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b/>
          <w:noProof w:val="0"/>
          <w:color w:val="0D0D0D" w:themeColor="text1" w:themeTint="F2"/>
          <w:sz w:val="24"/>
          <w:szCs w:val="24"/>
        </w:rPr>
      </w:pPr>
    </w:p>
    <w:p w14:paraId="22063B57" w14:textId="77777777" w:rsidR="00F67CAC" w:rsidRDefault="00F67CAC" w:rsidP="00F67CAC">
      <w:pPr>
        <w:pStyle w:val="NormalWeb"/>
        <w:spacing w:before="0" w:beforeAutospacing="0" w:after="0" w:afterAutospacing="0" w:line="360" w:lineRule="auto"/>
        <w:jc w:val="both"/>
      </w:pPr>
      <w:r w:rsidRPr="005015EF">
        <w:rPr>
          <w:rStyle w:val="Strong"/>
          <w:b w:val="0"/>
        </w:rPr>
        <w:t>Table 3</w:t>
      </w:r>
      <w:r w:rsidRPr="005015EF">
        <w:t xml:space="preserve"> explores the relationships between selected socio-economic characteristics of respondents and their </w:t>
      </w:r>
      <w:r w:rsidRPr="005015EF">
        <w:rPr>
          <w:rStyle w:val="Strong"/>
          <w:b w:val="0"/>
        </w:rPr>
        <w:t>perceived impact of sand deposition</w:t>
      </w:r>
      <w:r w:rsidRPr="005015EF">
        <w:t xml:space="preserve"> on agricultural practices and livelihoods. The analysis, using Pearson’s correlation coefficients (r), reveals important associations that help to understand which farmers are most vulnerable or sensitive to sand deposition hazards.</w:t>
      </w:r>
    </w:p>
    <w:p w14:paraId="641F36F2" w14:textId="77777777" w:rsidR="00894113" w:rsidRPr="00894113" w:rsidRDefault="00894113" w:rsidP="00894113">
      <w:pPr>
        <w:widowControl/>
        <w:autoSpaceDE w:val="0"/>
        <w:autoSpaceDN w:val="0"/>
        <w:adjustRightInd w:val="0"/>
        <w:spacing w:line="240" w:lineRule="auto"/>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Table 3. Relationship between socio-economic characteristics of the respondents and their perception towards sand deposition </w:t>
      </w:r>
      <w:r>
        <w:rPr>
          <w:rFonts w:ascii="Times New Roman" w:hAnsi="Times New Roman" w:cs="Times New Roman"/>
          <w:b/>
          <w:noProof w:val="0"/>
          <w:color w:val="0D0D0D" w:themeColor="text1" w:themeTint="F2"/>
          <w:sz w:val="24"/>
          <w:szCs w:val="24"/>
        </w:rPr>
        <w:t>impact</w:t>
      </w:r>
    </w:p>
    <w:tbl>
      <w:tblPr>
        <w:tblStyle w:val="TableGrid"/>
        <w:tblW w:w="8906" w:type="dxa"/>
        <w:tblInd w:w="5" w:type="dxa"/>
        <w:tblLayout w:type="fixed"/>
        <w:tblLook w:val="0000" w:firstRow="0" w:lastRow="0" w:firstColumn="0" w:lastColumn="0" w:noHBand="0" w:noVBand="0"/>
      </w:tblPr>
      <w:tblGrid>
        <w:gridCol w:w="4416"/>
        <w:gridCol w:w="2245"/>
        <w:gridCol w:w="2245"/>
      </w:tblGrid>
      <w:tr w:rsidR="00894113" w:rsidRPr="005015EF" w14:paraId="2EBDBB59" w14:textId="77777777" w:rsidTr="001858DC">
        <w:trPr>
          <w:trHeight w:val="20"/>
        </w:trPr>
        <w:tc>
          <w:tcPr>
            <w:tcW w:w="4416" w:type="dxa"/>
          </w:tcPr>
          <w:p w14:paraId="1C8BC08D" w14:textId="77777777" w:rsidR="00894113" w:rsidRPr="005015EF" w:rsidRDefault="00894113" w:rsidP="003F5023">
            <w:pPr>
              <w:widowControl/>
              <w:autoSpaceDE w:val="0"/>
              <w:autoSpaceDN w:val="0"/>
              <w:adjustRightInd w:val="0"/>
              <w:spacing w:line="360" w:lineRule="auto"/>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Independent variable</w:t>
            </w:r>
          </w:p>
        </w:tc>
        <w:tc>
          <w:tcPr>
            <w:tcW w:w="2245" w:type="dxa"/>
          </w:tcPr>
          <w:p w14:paraId="3866A48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Dependent variable </w:t>
            </w:r>
          </w:p>
        </w:tc>
        <w:tc>
          <w:tcPr>
            <w:tcW w:w="2245" w:type="dxa"/>
          </w:tcPr>
          <w:p w14:paraId="54C1ED69"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Co-efficient of correlation (r)</w:t>
            </w:r>
          </w:p>
        </w:tc>
      </w:tr>
      <w:tr w:rsidR="00894113" w:rsidRPr="005015EF" w14:paraId="5DC25E51" w14:textId="77777777" w:rsidTr="001858DC">
        <w:trPr>
          <w:trHeight w:val="20"/>
        </w:trPr>
        <w:tc>
          <w:tcPr>
            <w:tcW w:w="4416" w:type="dxa"/>
          </w:tcPr>
          <w:p w14:paraId="3FC915E1"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w:t>
            </w:r>
          </w:p>
        </w:tc>
        <w:tc>
          <w:tcPr>
            <w:tcW w:w="2245" w:type="dxa"/>
            <w:vMerge w:val="restart"/>
            <w:vAlign w:val="center"/>
          </w:tcPr>
          <w:p w14:paraId="20593CB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Perceived impact of sand deposition on their agricultural practices and livelihoods</w:t>
            </w:r>
          </w:p>
        </w:tc>
        <w:tc>
          <w:tcPr>
            <w:tcW w:w="2245" w:type="dxa"/>
          </w:tcPr>
          <w:p w14:paraId="1A7A37FB"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.078</w:t>
            </w:r>
          </w:p>
        </w:tc>
      </w:tr>
      <w:tr w:rsidR="00894113" w:rsidRPr="005015EF" w14:paraId="6C768D8C" w14:textId="77777777" w:rsidTr="001858DC">
        <w:trPr>
          <w:trHeight w:val="20"/>
        </w:trPr>
        <w:tc>
          <w:tcPr>
            <w:tcW w:w="4416" w:type="dxa"/>
          </w:tcPr>
          <w:p w14:paraId="04A923D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w:t>
            </w:r>
          </w:p>
        </w:tc>
        <w:tc>
          <w:tcPr>
            <w:tcW w:w="2245" w:type="dxa"/>
            <w:vMerge/>
          </w:tcPr>
          <w:p w14:paraId="67D1B857"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399C063"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.155</w:t>
            </w:r>
          </w:p>
        </w:tc>
      </w:tr>
      <w:tr w:rsidR="00894113" w:rsidRPr="005015EF" w14:paraId="3A75DF43" w14:textId="77777777" w:rsidTr="001858DC">
        <w:trPr>
          <w:trHeight w:val="20"/>
        </w:trPr>
        <w:tc>
          <w:tcPr>
            <w:tcW w:w="4416" w:type="dxa"/>
          </w:tcPr>
          <w:p w14:paraId="1B21302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w:t>
            </w:r>
          </w:p>
        </w:tc>
        <w:tc>
          <w:tcPr>
            <w:tcW w:w="2245" w:type="dxa"/>
            <w:vMerge/>
          </w:tcPr>
          <w:p w14:paraId="6341A248"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7FB9AF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.029</w:t>
            </w:r>
          </w:p>
        </w:tc>
      </w:tr>
      <w:tr w:rsidR="00894113" w:rsidRPr="005015EF" w14:paraId="26A002E0" w14:textId="77777777" w:rsidTr="001858DC">
        <w:trPr>
          <w:trHeight w:val="20"/>
        </w:trPr>
        <w:tc>
          <w:tcPr>
            <w:tcW w:w="4416" w:type="dxa"/>
          </w:tcPr>
          <w:p w14:paraId="5702D0C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w:t>
            </w:r>
          </w:p>
        </w:tc>
        <w:tc>
          <w:tcPr>
            <w:tcW w:w="2245" w:type="dxa"/>
            <w:vMerge/>
          </w:tcPr>
          <w:p w14:paraId="2210280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0DD58A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.197</w:t>
            </w:r>
          </w:p>
        </w:tc>
      </w:tr>
      <w:tr w:rsidR="00894113" w:rsidRPr="005015EF" w14:paraId="2C355E2C" w14:textId="77777777" w:rsidTr="001858DC">
        <w:trPr>
          <w:trHeight w:val="20"/>
        </w:trPr>
        <w:tc>
          <w:tcPr>
            <w:tcW w:w="4416" w:type="dxa"/>
          </w:tcPr>
          <w:p w14:paraId="639B01EC"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Income from Agriculture</w:t>
            </w:r>
          </w:p>
        </w:tc>
        <w:tc>
          <w:tcPr>
            <w:tcW w:w="2245" w:type="dxa"/>
            <w:vMerge/>
          </w:tcPr>
          <w:p w14:paraId="4CA59D90"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89A8D8F"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.322</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36CF0D23" w14:textId="77777777" w:rsidTr="001858DC">
        <w:trPr>
          <w:trHeight w:val="20"/>
        </w:trPr>
        <w:tc>
          <w:tcPr>
            <w:tcW w:w="4416" w:type="dxa"/>
          </w:tcPr>
          <w:p w14:paraId="166A92C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hose from riverbank</w:t>
            </w:r>
          </w:p>
        </w:tc>
        <w:tc>
          <w:tcPr>
            <w:tcW w:w="2245" w:type="dxa"/>
            <w:vMerge/>
          </w:tcPr>
          <w:p w14:paraId="118EB3F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2A9BD1D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.427</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24EE7CDE" w14:textId="77777777" w:rsidTr="001858DC">
        <w:trPr>
          <w:trHeight w:val="20"/>
        </w:trPr>
        <w:tc>
          <w:tcPr>
            <w:tcW w:w="4416" w:type="dxa"/>
          </w:tcPr>
          <w:p w14:paraId="4037C93D"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Duration of living in current location</w:t>
            </w:r>
          </w:p>
        </w:tc>
        <w:tc>
          <w:tcPr>
            <w:tcW w:w="2245" w:type="dxa"/>
            <w:vMerge/>
          </w:tcPr>
          <w:p w14:paraId="372FF49D"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45C80181"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.205</w:t>
            </w:r>
          </w:p>
        </w:tc>
      </w:tr>
      <w:tr w:rsidR="00894113" w:rsidRPr="005015EF" w14:paraId="51661576" w14:textId="77777777" w:rsidTr="001858DC">
        <w:trPr>
          <w:trHeight w:val="20"/>
        </w:trPr>
        <w:tc>
          <w:tcPr>
            <w:tcW w:w="4416" w:type="dxa"/>
          </w:tcPr>
          <w:p w14:paraId="6C3923A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Longest distance of migration </w:t>
            </w:r>
          </w:p>
        </w:tc>
        <w:tc>
          <w:tcPr>
            <w:tcW w:w="2245" w:type="dxa"/>
            <w:vMerge/>
          </w:tcPr>
          <w:p w14:paraId="671A3AD9"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4508E0A"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.026</w:t>
            </w:r>
          </w:p>
        </w:tc>
      </w:tr>
      <w:tr w:rsidR="00894113" w:rsidRPr="005015EF" w14:paraId="42A9A80B" w14:textId="77777777" w:rsidTr="001858DC">
        <w:trPr>
          <w:trHeight w:val="20"/>
        </w:trPr>
        <w:tc>
          <w:tcPr>
            <w:tcW w:w="4416" w:type="dxa"/>
          </w:tcPr>
          <w:p w14:paraId="5452253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w:t>
            </w:r>
          </w:p>
        </w:tc>
        <w:tc>
          <w:tcPr>
            <w:tcW w:w="2245" w:type="dxa"/>
            <w:vMerge/>
          </w:tcPr>
          <w:p w14:paraId="6E6A5E2F"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1AC1B8D"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.039</w:t>
            </w:r>
          </w:p>
        </w:tc>
      </w:tr>
      <w:tr w:rsidR="00894113" w:rsidRPr="005015EF" w14:paraId="2471CC2C" w14:textId="77777777" w:rsidTr="001858DC">
        <w:trPr>
          <w:trHeight w:val="20"/>
        </w:trPr>
        <w:tc>
          <w:tcPr>
            <w:tcW w:w="4416" w:type="dxa"/>
          </w:tcPr>
          <w:p w14:paraId="01A09434"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Total area affected by sand deposition </w:t>
            </w:r>
          </w:p>
        </w:tc>
        <w:tc>
          <w:tcPr>
            <w:tcW w:w="2245" w:type="dxa"/>
            <w:vMerge/>
          </w:tcPr>
          <w:p w14:paraId="08625015"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3EA6EA28"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.308</w:t>
            </w:r>
            <w:r w:rsidRPr="005015EF">
              <w:rPr>
                <w:rFonts w:ascii="Times New Roman" w:hAnsi="Times New Roman" w:cs="Times New Roman"/>
                <w:noProof w:val="0"/>
                <w:color w:val="0D0D0D" w:themeColor="text1" w:themeTint="F2"/>
                <w:sz w:val="24"/>
                <w:szCs w:val="24"/>
                <w:vertAlign w:val="superscript"/>
              </w:rPr>
              <w:t>**</w:t>
            </w:r>
          </w:p>
        </w:tc>
      </w:tr>
    </w:tbl>
    <w:p w14:paraId="3CB288A7" w14:textId="77777777" w:rsidR="00F67CAC" w:rsidRPr="005015EF" w:rsidRDefault="00F67CAC" w:rsidP="00894113">
      <w:pPr>
        <w:pStyle w:val="NormalWeb"/>
        <w:spacing w:before="240" w:beforeAutospacing="0" w:after="0" w:afterAutospacing="0" w:line="360" w:lineRule="auto"/>
        <w:jc w:val="both"/>
      </w:pPr>
      <w:r w:rsidRPr="005015EF">
        <w:t xml:space="preserve">The </w:t>
      </w:r>
      <w:r w:rsidRPr="005015EF">
        <w:rPr>
          <w:rStyle w:val="Strong"/>
          <w:b w:val="0"/>
        </w:rPr>
        <w:t>distance of house from the riverbank</w:t>
      </w:r>
      <w:r w:rsidRPr="005015EF">
        <w:t xml:space="preserve"> exhibits the </w:t>
      </w:r>
      <w:r w:rsidRPr="005015EF">
        <w:rPr>
          <w:rStyle w:val="Strong"/>
          <w:b w:val="0"/>
        </w:rPr>
        <w:t>strongest positive and statistically significant relationship</w:t>
      </w:r>
      <w:r w:rsidRPr="005015EF">
        <w:t xml:space="preserve"> (r = </w:t>
      </w:r>
      <w:r w:rsidRPr="005015EF">
        <w:rPr>
          <w:rStyle w:val="Strong"/>
          <w:b w:val="0"/>
        </w:rPr>
        <w:t>0.427</w:t>
      </w:r>
      <w:r w:rsidRPr="005015EF">
        <w:t xml:space="preserve">, p &lt; 0.01). This suggests that </w:t>
      </w:r>
      <w:r w:rsidRPr="005015EF">
        <w:rPr>
          <w:rStyle w:val="Strong"/>
          <w:b w:val="0"/>
        </w:rPr>
        <w:t>proximity to the river increases awareness and perceived severity</w:t>
      </w:r>
      <w:r w:rsidRPr="005015EF">
        <w:t xml:space="preserve"> of sand deposition impacts. Households located closer to the river are more frequently exposed to flooding and sedimentation events, which can cause more direct damage to cropland, infrastructure, and livelihoods. These households likely witness the </w:t>
      </w:r>
      <w:r w:rsidRPr="005015EF">
        <w:lastRenderedPageBreak/>
        <w:t>visible effects of sand deposition more frequently—such as buried crops, unusable land, or sediment-laden irrigation systems—contributing to heightened concern.</w:t>
      </w:r>
    </w:p>
    <w:p w14:paraId="28315240" w14:textId="77777777" w:rsidR="00F67CAC" w:rsidRPr="005015EF" w:rsidRDefault="00F67CAC" w:rsidP="00F67CAC">
      <w:pPr>
        <w:pStyle w:val="NormalWeb"/>
        <w:spacing w:before="0" w:beforeAutospacing="0" w:after="0" w:afterAutospacing="0" w:line="360" w:lineRule="auto"/>
        <w:jc w:val="both"/>
      </w:pPr>
      <w:r w:rsidRPr="005015EF">
        <w:t xml:space="preserve">Similarly, </w:t>
      </w:r>
      <w:r w:rsidRPr="005015EF">
        <w:rPr>
          <w:rStyle w:val="Strong"/>
          <w:b w:val="0"/>
        </w:rPr>
        <w:t>income from agriculture</w:t>
      </w:r>
      <w:r w:rsidRPr="005015EF">
        <w:t xml:space="preserve"> (r = </w:t>
      </w:r>
      <w:r w:rsidRPr="005015EF">
        <w:rPr>
          <w:rStyle w:val="Strong"/>
          <w:b w:val="0"/>
        </w:rPr>
        <w:t>0.322</w:t>
      </w:r>
      <w:r w:rsidRPr="005015EF">
        <w:t xml:space="preserve">, p &lt; 0.01) shows a significant positive correlation. This indicates that farmers who </w:t>
      </w:r>
      <w:r w:rsidRPr="005015EF">
        <w:rPr>
          <w:rStyle w:val="Strong"/>
          <w:b w:val="0"/>
        </w:rPr>
        <w:t>derive a larger portion of their income from agriculture</w:t>
      </w:r>
      <w:r w:rsidRPr="005015EF">
        <w:t xml:space="preserve"> tend to perceive greater impacts of sand deposition. Since these farmers are more economically dependent on productive land, any reduction in yield, soil fertility, or arable area due to sand severely threatens their income security and food stability. Their perception is grounded in tangible losses—both immediate and long-term—caused by reduced agricultural productivity.</w:t>
      </w:r>
    </w:p>
    <w:p w14:paraId="072D2417"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total area affected by sand deposition</w:t>
      </w:r>
      <w:r w:rsidRPr="005015EF">
        <w:t xml:space="preserve"> is also significantly correlated (r = </w:t>
      </w:r>
      <w:r w:rsidRPr="005015EF">
        <w:rPr>
          <w:rStyle w:val="Strong"/>
          <w:b w:val="0"/>
        </w:rPr>
        <w:t>0.308</w:t>
      </w:r>
      <w:r w:rsidRPr="005015EF">
        <w:t>, p &lt; 0.01), meaning that farmers who report larger areas of land impacted by sand deposition tend to express stronger concerns. Larger affected areas reduce overall production capacity, increase rehabilitation costs (e.g., sand removal or soil treatment), and can lead to partial or full abandonment of previously cultivable land.</w:t>
      </w:r>
    </w:p>
    <w:p w14:paraId="69CE3ABA"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Farm size</w:t>
      </w:r>
      <w:r w:rsidRPr="005015EF">
        <w:t xml:space="preserve"> (r = </w:t>
      </w:r>
      <w:r w:rsidRPr="005015EF">
        <w:rPr>
          <w:rStyle w:val="Strong"/>
          <w:b w:val="0"/>
        </w:rPr>
        <w:t>0.197</w:t>
      </w:r>
      <w:r w:rsidRPr="005015EF">
        <w:t xml:space="preserve">) and </w:t>
      </w:r>
      <w:r w:rsidRPr="005015EF">
        <w:rPr>
          <w:rStyle w:val="Strong"/>
          <w:b w:val="0"/>
        </w:rPr>
        <w:t>duration of living in the current location</w:t>
      </w:r>
      <w:r w:rsidRPr="005015EF">
        <w:t xml:space="preserve"> (r = </w:t>
      </w:r>
      <w:r w:rsidRPr="005015EF">
        <w:rPr>
          <w:rStyle w:val="Strong"/>
          <w:b w:val="0"/>
        </w:rPr>
        <w:t>0.205</w:t>
      </w:r>
      <w:r w:rsidRPr="005015EF">
        <w:t>) both exhibit moderate positive correlations. Farmers with larger farms may be more likely to notice varied effects of sand deposition across their land or have more land at risk. Similarly, those who have lived longer in their current location may have witnessed recurring deposition events and cumulative degradation, which could heighten their sensitivity and perceived severity.</w:t>
      </w:r>
    </w:p>
    <w:p w14:paraId="27AFF080"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Education</w:t>
      </w:r>
      <w:r w:rsidRPr="005015EF">
        <w:t xml:space="preserve"> (r = </w:t>
      </w:r>
      <w:r w:rsidRPr="005015EF">
        <w:rPr>
          <w:rStyle w:val="Strong"/>
          <w:b w:val="0"/>
        </w:rPr>
        <w:t>0.155</w:t>
      </w:r>
      <w:r w:rsidRPr="005015EF">
        <w:t>) also shows a mild positive relationship, suggesting that more educated farmers may be more informed about the ecological and economic consequences of sand deposition. They may also be more capable of identifying long-term degradation patterns or understanding how sand affects soil properties and yields.</w:t>
      </w:r>
    </w:p>
    <w:p w14:paraId="23AA2CCD"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age</w:t>
      </w:r>
      <w:r w:rsidRPr="005015EF">
        <w:t xml:space="preserve"> (r = </w:t>
      </w:r>
      <w:r w:rsidRPr="005015EF">
        <w:rPr>
          <w:rStyle w:val="Strong"/>
          <w:b w:val="0"/>
        </w:rPr>
        <w:t>–0.078</w:t>
      </w:r>
      <w:r w:rsidRPr="005015EF">
        <w:t xml:space="preserve">) and </w:t>
      </w:r>
      <w:r w:rsidRPr="005015EF">
        <w:rPr>
          <w:rStyle w:val="Strong"/>
          <w:b w:val="0"/>
        </w:rPr>
        <w:t>farming experience</w:t>
      </w:r>
      <w:r w:rsidRPr="005015EF">
        <w:t xml:space="preserve"> (r = </w:t>
      </w:r>
      <w:r w:rsidRPr="005015EF">
        <w:rPr>
          <w:rStyle w:val="Strong"/>
          <w:b w:val="0"/>
        </w:rPr>
        <w:t>–0.029</w:t>
      </w:r>
      <w:r w:rsidRPr="005015EF">
        <w:t>) of respondents have very weak negative correlations with perceived impact. This could imply that older or more experienced farmers are less reactive or more resilient due to prior exposure and coping mechanisms. They might also have adjusted their practices over time or become desensitized to gradual changes. Alternatively, younger farmers might be more concerned due to greater aspirations, less adaptive experience, or heightened awareness of climate-related threats.</w:t>
      </w:r>
    </w:p>
    <w:p w14:paraId="52858731" w14:textId="77777777" w:rsidR="00F67CAC" w:rsidRPr="005015EF" w:rsidRDefault="00F67CAC" w:rsidP="00F67CAC">
      <w:pPr>
        <w:pStyle w:val="NormalWeb"/>
        <w:spacing w:before="0" w:beforeAutospacing="0" w:after="0" w:afterAutospacing="0" w:line="360" w:lineRule="auto"/>
        <w:jc w:val="both"/>
      </w:pPr>
      <w:r w:rsidRPr="005015EF">
        <w:t xml:space="preserve">Other variables such as </w:t>
      </w:r>
      <w:r w:rsidRPr="005015EF">
        <w:rPr>
          <w:rStyle w:val="Strong"/>
          <w:b w:val="0"/>
        </w:rPr>
        <w:t>longest distance of migration</w:t>
      </w:r>
      <w:r w:rsidRPr="005015EF">
        <w:t xml:space="preserve"> (r = </w:t>
      </w:r>
      <w:r w:rsidRPr="005015EF">
        <w:rPr>
          <w:rStyle w:val="Strong"/>
          <w:b w:val="0"/>
        </w:rPr>
        <w:t>0.026</w:t>
      </w:r>
      <w:r w:rsidRPr="005015EF">
        <w:t xml:space="preserve">) and </w:t>
      </w:r>
      <w:r w:rsidRPr="005015EF">
        <w:rPr>
          <w:rStyle w:val="Strong"/>
          <w:b w:val="0"/>
        </w:rPr>
        <w:t>distance of previous house</w:t>
      </w:r>
      <w:r w:rsidRPr="005015EF">
        <w:t xml:space="preserve"> (r = </w:t>
      </w:r>
      <w:r w:rsidRPr="005015EF">
        <w:rPr>
          <w:rStyle w:val="Strong"/>
          <w:b w:val="0"/>
        </w:rPr>
        <w:t>0.039</w:t>
      </w:r>
      <w:r w:rsidRPr="005015EF">
        <w:t>) show negligible associations, suggesting that prior migration history does not significantly influence current perceptions of sand deposition. These aspects may be more relevant in migration or displacement studies rather than perception-based studies.</w:t>
      </w:r>
    </w:p>
    <w:p w14:paraId="67A05105" w14:textId="77777777" w:rsidR="00F67CAC" w:rsidRPr="005015EF" w:rsidRDefault="00F67CAC" w:rsidP="00F67CAC">
      <w:pPr>
        <w:pStyle w:val="NormalWeb"/>
        <w:spacing w:before="0" w:beforeAutospacing="0" w:after="0" w:afterAutospacing="0" w:line="360" w:lineRule="auto"/>
        <w:jc w:val="both"/>
      </w:pPr>
      <w:r w:rsidRPr="005015EF">
        <w:lastRenderedPageBreak/>
        <w:t xml:space="preserve">Understanding these relationships is crucial for </w:t>
      </w:r>
      <w:r w:rsidRPr="005015EF">
        <w:rPr>
          <w:rStyle w:val="Strong"/>
          <w:b w:val="0"/>
        </w:rPr>
        <w:t>targeting interventions</w:t>
      </w:r>
      <w:r w:rsidRPr="005015EF">
        <w:t xml:space="preserve"> and designing </w:t>
      </w:r>
      <w:r w:rsidRPr="005015EF">
        <w:rPr>
          <w:rStyle w:val="Strong"/>
          <w:b w:val="0"/>
        </w:rPr>
        <w:t>location-specific policies</w:t>
      </w:r>
      <w:r w:rsidRPr="005015EF">
        <w:t>. For instance, priority can be given to households near riverbanks or those whose primary income is from agriculture when planning sand removal, river embankment, or land restoration programs. Training and awareness programs might also be more effective among educated farmers, who may act as local leaders in adaptation practices. Furthermore, identifying households with larger affected areas can help allocate limited resources more efficiently, ensuring that support reaches those who suffer the most.</w:t>
      </w:r>
    </w:p>
    <w:p w14:paraId="0C510E14" w14:textId="77777777" w:rsidR="00F67CAC" w:rsidRPr="005015EF" w:rsidRDefault="00F67CAC" w:rsidP="00F67CAC">
      <w:pPr>
        <w:pStyle w:val="NormalWeb"/>
        <w:spacing w:before="0" w:beforeAutospacing="0" w:after="0" w:afterAutospacing="0" w:line="360" w:lineRule="auto"/>
        <w:jc w:val="both"/>
      </w:pPr>
      <w:r w:rsidRPr="005015EF">
        <w:t xml:space="preserve">The correlation analysis in Table 3 reveals that </w:t>
      </w:r>
      <w:r w:rsidRPr="005015EF">
        <w:rPr>
          <w:rStyle w:val="Strong"/>
          <w:b w:val="0"/>
        </w:rPr>
        <w:t>location, economic dependence on agriculture, and extent of sand-affected land</w:t>
      </w:r>
      <w:r w:rsidRPr="005015EF">
        <w:t xml:space="preserve"> are the most influential factors shaping farmers’ perceptions. These insights not only help explain perception patterns but also provide a valuable foundation for </w:t>
      </w:r>
      <w:r w:rsidRPr="005015EF">
        <w:rPr>
          <w:rStyle w:val="Strong"/>
          <w:b w:val="0"/>
        </w:rPr>
        <w:t>evidence-based decision-making and resource allocation</w:t>
      </w:r>
      <w:r w:rsidRPr="005015EF">
        <w:t xml:space="preserve"> in sand-affected regions of Bangladesh.</w:t>
      </w:r>
    </w:p>
    <w:p w14:paraId="1C95BFE7"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p w14:paraId="37EFC1F5" w14:textId="77777777" w:rsidR="0009541B" w:rsidRPr="00894113" w:rsidRDefault="00894113" w:rsidP="00CE0F19">
      <w:pPr>
        <w:widowControl/>
        <w:autoSpaceDE w:val="0"/>
        <w:autoSpaceDN w:val="0"/>
        <w:adjustRightInd w:val="0"/>
        <w:spacing w:after="0" w:line="400" w:lineRule="atLeast"/>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4. </w:t>
      </w:r>
      <w:r w:rsidR="00CC072B" w:rsidRPr="00894113">
        <w:rPr>
          <w:rFonts w:ascii="Times New Roman" w:hAnsi="Times New Roman" w:cs="Times New Roman"/>
          <w:b/>
          <w:noProof w:val="0"/>
          <w:color w:val="0D0D0D" w:themeColor="text1" w:themeTint="F2"/>
          <w:sz w:val="24"/>
          <w:szCs w:val="24"/>
        </w:rPr>
        <w:t xml:space="preserve">Conclusion </w:t>
      </w:r>
    </w:p>
    <w:p w14:paraId="03F0A0F6" w14:textId="77777777" w:rsidR="00CC072B" w:rsidRDefault="00CC072B" w:rsidP="00CE0F19">
      <w:pPr>
        <w:widowControl/>
        <w:autoSpaceDE w:val="0"/>
        <w:autoSpaceDN w:val="0"/>
        <w:adjustRightInd w:val="0"/>
        <w:spacing w:after="0" w:line="400" w:lineRule="atLeast"/>
        <w:rPr>
          <w:rFonts w:ascii="Times New Roman" w:hAnsi="Times New Roman" w:cs="Times New Roman"/>
          <w:sz w:val="24"/>
          <w:szCs w:val="24"/>
        </w:rPr>
      </w:pPr>
      <w:r w:rsidRPr="00894113">
        <w:rPr>
          <w:rFonts w:ascii="Times New Roman" w:hAnsi="Times New Roman" w:cs="Times New Roman"/>
          <w:sz w:val="24"/>
          <w:szCs w:val="24"/>
        </w:rPr>
        <w:t>Based on the findings of this study, it can be concluded that sand deposition along the Jamuna River floodplain in Kazipur Upazila significantly impacts agricultural practices and the livelihoods of local farmers. The majority of respondents strongly perceive that sand deposition leads to reduced agricultural productivity, loss of arable land, soil degradation, and economic losses, highlighting the severity of its consequences on farming sustainability. The socio-economic characteristics such as income from agriculture, farm size, proximity to the riverbank, and the extent of affected land were found to have a significant positive relationship with farmers’ perception of these impacts, indicating that those more directly exposed or economically reliant on agriculture are more aware of and affected by sand deposition. The findings emphasize the urgent need for targeted interventions, including improved land management, adaptive farming techniques, and support mechanisms for affected communities to mitigate the adverse effects of sedimentation. Overall, this study provides valuable insights into the challenges faced by farmers in sedimentation-prone areas and underscores the importance of incorporating local perceptions into policy planning for sustainable agricultural development in river basin regions.</w:t>
      </w:r>
    </w:p>
    <w:p w14:paraId="415B9F63" w14:textId="77777777" w:rsidR="00F35A3B" w:rsidRDefault="00F35A3B" w:rsidP="00CE0F19">
      <w:pPr>
        <w:widowControl/>
        <w:autoSpaceDE w:val="0"/>
        <w:autoSpaceDN w:val="0"/>
        <w:adjustRightInd w:val="0"/>
        <w:spacing w:after="0" w:line="400" w:lineRule="atLeast"/>
        <w:rPr>
          <w:rFonts w:ascii="Times New Roman" w:hAnsi="Times New Roman" w:cs="Times New Roman"/>
          <w:sz w:val="24"/>
          <w:szCs w:val="24"/>
        </w:rPr>
      </w:pPr>
    </w:p>
    <w:p w14:paraId="242D379F" w14:textId="77777777" w:rsidR="00E81F59" w:rsidRDefault="00E81F59" w:rsidP="00F35A3B">
      <w:pPr>
        <w:spacing w:before="240"/>
        <w:rPr>
          <w:rFonts w:ascii="Times New Roman" w:hAnsi="Times New Roman" w:cs="Times New Roman"/>
          <w:b/>
          <w:color w:val="222222"/>
          <w:sz w:val="24"/>
          <w:szCs w:val="24"/>
          <w:shd w:val="clear" w:color="auto" w:fill="FFFFFF"/>
        </w:rPr>
      </w:pPr>
    </w:p>
    <w:p w14:paraId="386B8E35" w14:textId="77777777" w:rsidR="00E81F59" w:rsidRDefault="00E81F59" w:rsidP="00F35A3B">
      <w:pPr>
        <w:spacing w:before="240"/>
        <w:rPr>
          <w:rFonts w:ascii="Times New Roman" w:hAnsi="Times New Roman" w:cs="Times New Roman"/>
          <w:b/>
          <w:color w:val="0D0D0D" w:themeColor="text1" w:themeTint="F2"/>
          <w:sz w:val="24"/>
          <w:szCs w:val="24"/>
        </w:rPr>
      </w:pPr>
    </w:p>
    <w:p w14:paraId="2E64A341" w14:textId="77777777" w:rsidR="00E81F59" w:rsidRDefault="00E81F59" w:rsidP="00F35A3B">
      <w:pPr>
        <w:spacing w:before="240"/>
        <w:rPr>
          <w:rFonts w:ascii="Times New Roman" w:hAnsi="Times New Roman" w:cs="Times New Roman"/>
          <w:b/>
          <w:color w:val="0D0D0D" w:themeColor="text1" w:themeTint="F2"/>
          <w:sz w:val="24"/>
          <w:szCs w:val="24"/>
        </w:rPr>
      </w:pPr>
    </w:p>
    <w:p w14:paraId="5ADA67C5" w14:textId="113B637E" w:rsidR="006F3A90" w:rsidRPr="00AD30BC" w:rsidRDefault="006F3A90" w:rsidP="00F35A3B">
      <w:pPr>
        <w:spacing w:before="240"/>
        <w:rPr>
          <w:rFonts w:ascii="Times New Roman" w:hAnsi="Times New Roman" w:cs="Times New Roman"/>
          <w:b/>
          <w:color w:val="0D0D0D" w:themeColor="text1" w:themeTint="F2"/>
          <w:sz w:val="24"/>
          <w:szCs w:val="24"/>
        </w:rPr>
      </w:pPr>
      <w:r w:rsidRPr="00AD30BC">
        <w:rPr>
          <w:rFonts w:ascii="Times New Roman" w:hAnsi="Times New Roman" w:cs="Times New Roman"/>
          <w:b/>
          <w:color w:val="0D0D0D" w:themeColor="text1" w:themeTint="F2"/>
          <w:sz w:val="24"/>
          <w:szCs w:val="24"/>
        </w:rPr>
        <w:lastRenderedPageBreak/>
        <w:t>References</w:t>
      </w:r>
    </w:p>
    <w:p w14:paraId="07CBE95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Hossain, A., Krupnik, T. J., Timsina, J., Mahboob, M. G., Chaki, A. K., Farooq, M., ... &amp; </w:t>
      </w:r>
      <w:proofErr w:type="spellStart"/>
      <w:r w:rsidRPr="00CD5F79">
        <w:rPr>
          <w:color w:val="222222"/>
          <w:sz w:val="24"/>
          <w:szCs w:val="24"/>
          <w:shd w:val="clear" w:color="auto" w:fill="FFFFFF"/>
        </w:rPr>
        <w:t>Hasanuzzaman</w:t>
      </w:r>
      <w:proofErr w:type="spellEnd"/>
      <w:r w:rsidRPr="00CD5F79">
        <w:rPr>
          <w:color w:val="222222"/>
          <w:sz w:val="24"/>
          <w:szCs w:val="24"/>
          <w:shd w:val="clear" w:color="auto" w:fill="FFFFFF"/>
        </w:rPr>
        <w:t>, M. (2020). Agricultural land degradation: processes and problems undermining future food security. In </w:t>
      </w:r>
      <w:r w:rsidRPr="00CD5F79">
        <w:rPr>
          <w:i/>
          <w:iCs/>
          <w:color w:val="222222"/>
          <w:sz w:val="24"/>
          <w:szCs w:val="24"/>
          <w:shd w:val="clear" w:color="auto" w:fill="FFFFFF"/>
        </w:rPr>
        <w:t>Environment, climate, plant and vegetation growth</w:t>
      </w:r>
      <w:r w:rsidRPr="00CD5F79">
        <w:rPr>
          <w:color w:val="222222"/>
          <w:sz w:val="24"/>
          <w:szCs w:val="24"/>
          <w:shd w:val="clear" w:color="auto" w:fill="FFFFFF"/>
        </w:rPr>
        <w:t> (pp. 17-61). Cham: Springer International Publishing.</w:t>
      </w:r>
    </w:p>
    <w:p w14:paraId="34C3F40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proofErr w:type="spellStart"/>
      <w:r w:rsidRPr="00CD5F79">
        <w:rPr>
          <w:color w:val="222222"/>
          <w:sz w:val="24"/>
          <w:szCs w:val="24"/>
          <w:shd w:val="clear" w:color="auto" w:fill="FFFFFF"/>
        </w:rPr>
        <w:t>Nda</w:t>
      </w:r>
      <w:proofErr w:type="spellEnd"/>
      <w:r w:rsidRPr="00CD5F79">
        <w:rPr>
          <w:color w:val="222222"/>
          <w:sz w:val="24"/>
          <w:szCs w:val="24"/>
          <w:shd w:val="clear" w:color="auto" w:fill="FFFFFF"/>
        </w:rPr>
        <w:t xml:space="preserve">, M., </w:t>
      </w:r>
      <w:proofErr w:type="spellStart"/>
      <w:r w:rsidRPr="00CD5F79">
        <w:rPr>
          <w:color w:val="222222"/>
          <w:sz w:val="24"/>
          <w:szCs w:val="24"/>
          <w:shd w:val="clear" w:color="auto" w:fill="FFFFFF"/>
        </w:rPr>
        <w:t>Shabako</w:t>
      </w:r>
      <w:proofErr w:type="spellEnd"/>
      <w:r w:rsidRPr="00CD5F79">
        <w:rPr>
          <w:color w:val="222222"/>
          <w:sz w:val="24"/>
          <w:szCs w:val="24"/>
          <w:shd w:val="clear" w:color="auto" w:fill="FFFFFF"/>
        </w:rPr>
        <w:t>, J. G., Yakubu, M., Godwin, A., &amp; Justice, A. N. (2023). Riverbank erosion, sediment transport and reservoir sedimentation: an overview. </w:t>
      </w:r>
      <w:r w:rsidRPr="00CD5F79">
        <w:rPr>
          <w:i/>
          <w:iCs/>
          <w:color w:val="222222"/>
          <w:sz w:val="24"/>
          <w:szCs w:val="24"/>
          <w:shd w:val="clear" w:color="auto" w:fill="FFFFFF"/>
        </w:rPr>
        <w:t>Savannah J Sci Eng Technol</w:t>
      </w:r>
      <w:r w:rsidRPr="00CD5F79">
        <w:rPr>
          <w:color w:val="222222"/>
          <w:sz w:val="24"/>
          <w:szCs w:val="24"/>
          <w:shd w:val="clear" w:color="auto" w:fill="FFFFFF"/>
        </w:rPr>
        <w:t>, </w:t>
      </w:r>
      <w:r w:rsidRPr="00CD5F79">
        <w:rPr>
          <w:i/>
          <w:iCs/>
          <w:color w:val="222222"/>
          <w:sz w:val="24"/>
          <w:szCs w:val="24"/>
          <w:shd w:val="clear" w:color="auto" w:fill="FFFFFF"/>
        </w:rPr>
        <w:t>1</w:t>
      </w:r>
      <w:r w:rsidRPr="00CD5F79">
        <w:rPr>
          <w:color w:val="222222"/>
          <w:sz w:val="24"/>
          <w:szCs w:val="24"/>
          <w:shd w:val="clear" w:color="auto" w:fill="FFFFFF"/>
        </w:rPr>
        <w:t>(4), 210-216.</w:t>
      </w:r>
    </w:p>
    <w:p w14:paraId="5C76155F"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Uddin, S. A., He, L., Hossain, M. J., Nusrat, N., &amp; Debi, M. (2024). Ganges-Brahmaputra-Meghna River Delta. In </w:t>
      </w:r>
      <w:r w:rsidRPr="00CD5F79">
        <w:rPr>
          <w:i/>
          <w:iCs/>
          <w:color w:val="222222"/>
          <w:sz w:val="24"/>
          <w:szCs w:val="24"/>
          <w:shd w:val="clear" w:color="auto" w:fill="FFFFFF"/>
        </w:rPr>
        <w:t xml:space="preserve">Delta Sustainability: A Report to the Mega-Delta </w:t>
      </w:r>
      <w:proofErr w:type="spellStart"/>
      <w:r w:rsidRPr="00CD5F79">
        <w:rPr>
          <w:i/>
          <w:iCs/>
          <w:color w:val="222222"/>
          <w:sz w:val="24"/>
          <w:szCs w:val="24"/>
          <w:shd w:val="clear" w:color="auto" w:fill="FFFFFF"/>
        </w:rPr>
        <w:t>Programme</w:t>
      </w:r>
      <w:proofErr w:type="spellEnd"/>
      <w:r w:rsidRPr="00CD5F79">
        <w:rPr>
          <w:i/>
          <w:iCs/>
          <w:color w:val="222222"/>
          <w:sz w:val="24"/>
          <w:szCs w:val="24"/>
          <w:shd w:val="clear" w:color="auto" w:fill="FFFFFF"/>
        </w:rPr>
        <w:t xml:space="preserve"> of the UN Ocean Decade</w:t>
      </w:r>
      <w:r w:rsidRPr="00CD5F79">
        <w:rPr>
          <w:color w:val="222222"/>
          <w:sz w:val="24"/>
          <w:szCs w:val="24"/>
          <w:shd w:val="clear" w:color="auto" w:fill="FFFFFF"/>
        </w:rPr>
        <w:t> (pp. 89-116). Singapore: Springer Nature Singapore.</w:t>
      </w:r>
    </w:p>
    <w:p w14:paraId="391ED360"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Hoque, M. Z., Cui, S., Xu, L., Islam, I., Tang, J., &amp; Ding, S. (2019). Assessing agricultural livelihood vulnerability to climate change in coastal Bangladesh. </w:t>
      </w:r>
      <w:r w:rsidRPr="00CD5F79">
        <w:rPr>
          <w:i/>
          <w:iCs/>
          <w:color w:val="222222"/>
          <w:sz w:val="24"/>
          <w:szCs w:val="24"/>
          <w:shd w:val="clear" w:color="auto" w:fill="FFFFFF"/>
        </w:rPr>
        <w:t>International journal of environmental research and public health</w:t>
      </w:r>
      <w:r w:rsidRPr="00CD5F79">
        <w:rPr>
          <w:color w:val="222222"/>
          <w:sz w:val="24"/>
          <w:szCs w:val="24"/>
          <w:shd w:val="clear" w:color="auto" w:fill="FFFFFF"/>
        </w:rPr>
        <w:t>, </w:t>
      </w:r>
      <w:r w:rsidRPr="00CD5F79">
        <w:rPr>
          <w:i/>
          <w:iCs/>
          <w:color w:val="222222"/>
          <w:sz w:val="24"/>
          <w:szCs w:val="24"/>
          <w:shd w:val="clear" w:color="auto" w:fill="FFFFFF"/>
        </w:rPr>
        <w:t>16</w:t>
      </w:r>
      <w:r w:rsidRPr="00CD5F79">
        <w:rPr>
          <w:color w:val="222222"/>
          <w:sz w:val="24"/>
          <w:szCs w:val="24"/>
          <w:shd w:val="clear" w:color="auto" w:fill="FFFFFF"/>
        </w:rPr>
        <w:t>(22), 4552.</w:t>
      </w:r>
    </w:p>
    <w:p w14:paraId="6E9FD8FF"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rPr>
      </w:pPr>
      <w:r w:rsidRPr="00CD5F79">
        <w:rPr>
          <w:bCs/>
          <w:color w:val="0D0D0D"/>
          <w:sz w:val="24"/>
          <w:szCs w:val="24"/>
        </w:rPr>
        <w:t>Hoque, M. Z., Haque, E., &amp; Islam, S. (2022). Mapping integrated vulnerability of coastal agricultural livelihood to climate change in Bangladesh: Implications for spatial adaptation planning. Physics and Chemistry of the Earth, Parts A/B/C, 103080.</w:t>
      </w:r>
    </w:p>
    <w:p w14:paraId="0554A7A6"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Best, J. L., Ashworth, P. J., </w:t>
      </w:r>
      <w:proofErr w:type="spellStart"/>
      <w:r w:rsidRPr="00CD5F79">
        <w:rPr>
          <w:color w:val="222222"/>
          <w:sz w:val="24"/>
          <w:szCs w:val="24"/>
          <w:shd w:val="clear" w:color="auto" w:fill="FFFFFF"/>
        </w:rPr>
        <w:t>Mosselman</w:t>
      </w:r>
      <w:proofErr w:type="spellEnd"/>
      <w:r w:rsidRPr="00CD5F79">
        <w:rPr>
          <w:color w:val="222222"/>
          <w:sz w:val="24"/>
          <w:szCs w:val="24"/>
          <w:shd w:val="clear" w:color="auto" w:fill="FFFFFF"/>
        </w:rPr>
        <w:t>, E., Sarker, M. H., &amp; Roden, J. E. (2022). The Jamuna–Brahmaputra River, Bangladesh. </w:t>
      </w:r>
      <w:r w:rsidRPr="00CD5F79">
        <w:rPr>
          <w:i/>
          <w:iCs/>
          <w:color w:val="222222"/>
          <w:sz w:val="24"/>
          <w:szCs w:val="24"/>
          <w:shd w:val="clear" w:color="auto" w:fill="FFFFFF"/>
        </w:rPr>
        <w:t>Large Rivers: Geomorphology and Management, Second Edition</w:t>
      </w:r>
      <w:r w:rsidRPr="00CD5F79">
        <w:rPr>
          <w:color w:val="222222"/>
          <w:sz w:val="24"/>
          <w:szCs w:val="24"/>
          <w:shd w:val="clear" w:color="auto" w:fill="FFFFFF"/>
        </w:rPr>
        <w:t>, 579-640.</w:t>
      </w:r>
    </w:p>
    <w:p w14:paraId="1BB04C45"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Islam, M. N., Biswas, R. N., Shanta, S. R., Islam, R., &amp; </w:t>
      </w:r>
      <w:proofErr w:type="spellStart"/>
      <w:r w:rsidRPr="00CD5F79">
        <w:rPr>
          <w:color w:val="222222"/>
          <w:sz w:val="24"/>
          <w:szCs w:val="24"/>
          <w:shd w:val="clear" w:color="auto" w:fill="FFFFFF"/>
        </w:rPr>
        <w:t>Jakariya</w:t>
      </w:r>
      <w:proofErr w:type="spellEnd"/>
      <w:r w:rsidRPr="00CD5F79">
        <w:rPr>
          <w:color w:val="222222"/>
          <w:sz w:val="24"/>
          <w:szCs w:val="24"/>
          <w:shd w:val="clear" w:color="auto" w:fill="FFFFFF"/>
        </w:rPr>
        <w:t xml:space="preserve">, M. (2019). Morphological dynamics of the Jamuna River in </w:t>
      </w:r>
      <w:proofErr w:type="spellStart"/>
      <w:r w:rsidRPr="00CD5F79">
        <w:rPr>
          <w:color w:val="222222"/>
          <w:sz w:val="24"/>
          <w:szCs w:val="24"/>
          <w:shd w:val="clear" w:color="auto" w:fill="FFFFFF"/>
        </w:rPr>
        <w:t>Kazipur</w:t>
      </w:r>
      <w:proofErr w:type="spellEnd"/>
      <w:r w:rsidRPr="00CD5F79">
        <w:rPr>
          <w:color w:val="222222"/>
          <w:sz w:val="24"/>
          <w:szCs w:val="24"/>
          <w:shd w:val="clear" w:color="auto" w:fill="FFFFFF"/>
        </w:rPr>
        <w:t xml:space="preserve"> subdistrict. </w:t>
      </w:r>
      <w:r w:rsidRPr="00CD5F79">
        <w:rPr>
          <w:i/>
          <w:iCs/>
          <w:color w:val="222222"/>
          <w:sz w:val="24"/>
          <w:szCs w:val="24"/>
          <w:shd w:val="clear" w:color="auto" w:fill="FFFFFF"/>
        </w:rPr>
        <w:t>Earth Systems and Environment</w:t>
      </w:r>
      <w:r w:rsidRPr="00CD5F79">
        <w:rPr>
          <w:color w:val="222222"/>
          <w:sz w:val="24"/>
          <w:szCs w:val="24"/>
          <w:shd w:val="clear" w:color="auto" w:fill="FFFFFF"/>
        </w:rPr>
        <w:t>, </w:t>
      </w:r>
      <w:r w:rsidRPr="00CD5F79">
        <w:rPr>
          <w:i/>
          <w:iCs/>
          <w:color w:val="222222"/>
          <w:sz w:val="24"/>
          <w:szCs w:val="24"/>
          <w:shd w:val="clear" w:color="auto" w:fill="FFFFFF"/>
        </w:rPr>
        <w:t>3</w:t>
      </w:r>
      <w:r w:rsidRPr="00CD5F79">
        <w:rPr>
          <w:color w:val="222222"/>
          <w:sz w:val="24"/>
          <w:szCs w:val="24"/>
          <w:shd w:val="clear" w:color="auto" w:fill="FFFFFF"/>
        </w:rPr>
        <w:t>, 73-81.</w:t>
      </w:r>
    </w:p>
    <w:p w14:paraId="556AB90C"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t xml:space="preserve">Hoque, M. Z., Haque, M. E., Afrad, M. S. I., &amp; Hossain, M. A. (2010). Adoption of farming technology by the </w:t>
      </w:r>
      <w:proofErr w:type="spellStart"/>
      <w:r w:rsidRPr="00CD5F79">
        <w:rPr>
          <w:color w:val="000000"/>
          <w:sz w:val="24"/>
          <w:szCs w:val="24"/>
          <w:shd w:val="clear" w:color="auto" w:fill="FFFFFF"/>
        </w:rPr>
        <w:t>charland</w:t>
      </w:r>
      <w:proofErr w:type="spellEnd"/>
      <w:r w:rsidRPr="00CD5F79">
        <w:rPr>
          <w:color w:val="000000"/>
          <w:sz w:val="24"/>
          <w:szCs w:val="24"/>
          <w:shd w:val="clear" w:color="auto" w:fill="FFFFFF"/>
        </w:rPr>
        <w:t xml:space="preserve"> farmers. </w:t>
      </w:r>
      <w:r w:rsidRPr="00CD5F79">
        <w:rPr>
          <w:iCs/>
          <w:color w:val="000000"/>
          <w:sz w:val="24"/>
          <w:szCs w:val="24"/>
          <w:shd w:val="clear" w:color="auto" w:fill="FFFFFF"/>
        </w:rPr>
        <w:t>Bangladesh Journal of Extension Education</w:t>
      </w:r>
      <w:r w:rsidRPr="00CD5F79">
        <w:rPr>
          <w:color w:val="000000"/>
          <w:sz w:val="24"/>
          <w:szCs w:val="24"/>
          <w:shd w:val="clear" w:color="auto" w:fill="FFFFFF"/>
        </w:rPr>
        <w:t>, </w:t>
      </w:r>
      <w:r w:rsidRPr="00CD5F79">
        <w:rPr>
          <w:iCs/>
          <w:color w:val="000000"/>
          <w:sz w:val="24"/>
          <w:szCs w:val="24"/>
          <w:shd w:val="clear" w:color="auto" w:fill="FFFFFF"/>
        </w:rPr>
        <w:t>22</w:t>
      </w:r>
      <w:r w:rsidRPr="00CD5F79">
        <w:rPr>
          <w:color w:val="000000"/>
          <w:sz w:val="24"/>
          <w:szCs w:val="24"/>
          <w:shd w:val="clear" w:color="auto" w:fill="FFFFFF"/>
        </w:rPr>
        <w:t>(1&amp;2), 49-55.</w:t>
      </w:r>
    </w:p>
    <w:p w14:paraId="7A49F439"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t xml:space="preserve">Hoque, M. Z., &amp; Haque, M. E. (2011). Farming practices in selected </w:t>
      </w:r>
      <w:proofErr w:type="spellStart"/>
      <w:r w:rsidRPr="00CD5F79">
        <w:rPr>
          <w:color w:val="000000"/>
          <w:sz w:val="24"/>
          <w:szCs w:val="24"/>
          <w:shd w:val="clear" w:color="auto" w:fill="FFFFFF"/>
        </w:rPr>
        <w:t>charland</w:t>
      </w:r>
      <w:proofErr w:type="spellEnd"/>
      <w:r w:rsidRPr="00CD5F79">
        <w:rPr>
          <w:color w:val="000000"/>
          <w:sz w:val="24"/>
          <w:szCs w:val="24"/>
          <w:shd w:val="clear" w:color="auto" w:fill="FFFFFF"/>
        </w:rPr>
        <w:t xml:space="preserve"> of Bangladesh: problems and opportunities. Annals of Bangladesh Agriculture, 15 (1&amp;2), 136-146</w:t>
      </w:r>
    </w:p>
    <w:p w14:paraId="022B1A02"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Ahmed, Z., Guha, G. S., Shew, A. M., &amp; Alam, G. M. (2021). Climate change risk perceptions and agricultural adaptation strategies in vulnerable riverine char islands of Bangladesh. </w:t>
      </w:r>
      <w:r w:rsidRPr="00CD5F79">
        <w:rPr>
          <w:i/>
          <w:iCs/>
          <w:color w:val="222222"/>
          <w:sz w:val="24"/>
          <w:szCs w:val="24"/>
          <w:shd w:val="clear" w:color="auto" w:fill="FFFFFF"/>
        </w:rPr>
        <w:t>Land use policy</w:t>
      </w:r>
      <w:r w:rsidRPr="00CD5F79">
        <w:rPr>
          <w:color w:val="222222"/>
          <w:sz w:val="24"/>
          <w:szCs w:val="24"/>
          <w:shd w:val="clear" w:color="auto" w:fill="FFFFFF"/>
        </w:rPr>
        <w:t>, </w:t>
      </w:r>
      <w:r w:rsidRPr="00CD5F79">
        <w:rPr>
          <w:i/>
          <w:iCs/>
          <w:color w:val="222222"/>
          <w:sz w:val="24"/>
          <w:szCs w:val="24"/>
          <w:shd w:val="clear" w:color="auto" w:fill="FFFFFF"/>
        </w:rPr>
        <w:t>103</w:t>
      </w:r>
      <w:r w:rsidRPr="00CD5F79">
        <w:rPr>
          <w:color w:val="222222"/>
          <w:sz w:val="24"/>
          <w:szCs w:val="24"/>
          <w:shd w:val="clear" w:color="auto" w:fill="FFFFFF"/>
        </w:rPr>
        <w:t>, 105295.</w:t>
      </w:r>
    </w:p>
    <w:p w14:paraId="4A917666" w14:textId="77777777" w:rsidR="00A37C45" w:rsidRPr="001858DC" w:rsidRDefault="006F3A90" w:rsidP="00CF5F2A">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1858DC">
        <w:rPr>
          <w:color w:val="222222"/>
          <w:sz w:val="24"/>
          <w:szCs w:val="24"/>
          <w:shd w:val="clear" w:color="auto" w:fill="FFFFFF"/>
        </w:rPr>
        <w:t xml:space="preserve">Al Mamun, A., Islam, A. R. M. T., Alam, G. M., Sarker, M. N. I., </w:t>
      </w:r>
      <w:proofErr w:type="spellStart"/>
      <w:r w:rsidRPr="001858DC">
        <w:rPr>
          <w:color w:val="222222"/>
          <w:sz w:val="24"/>
          <w:szCs w:val="24"/>
          <w:shd w:val="clear" w:color="auto" w:fill="FFFFFF"/>
        </w:rPr>
        <w:t>Erdiaw-Kwasie</w:t>
      </w:r>
      <w:proofErr w:type="spellEnd"/>
      <w:r w:rsidRPr="001858DC">
        <w:rPr>
          <w:color w:val="222222"/>
          <w:sz w:val="24"/>
          <w:szCs w:val="24"/>
          <w:shd w:val="clear" w:color="auto" w:fill="FFFFFF"/>
        </w:rPr>
        <w:t>, M. O., Bhandari, H., &amp; Mallick, J. (2023). Livelihood vulnerability of char land communities to climate change and natural hazards in Bangladesh: an application of livelihood vulnerability index. </w:t>
      </w:r>
      <w:r w:rsidRPr="001858DC">
        <w:rPr>
          <w:i/>
          <w:iCs/>
          <w:color w:val="222222"/>
          <w:sz w:val="24"/>
          <w:szCs w:val="24"/>
          <w:shd w:val="clear" w:color="auto" w:fill="FFFFFF"/>
        </w:rPr>
        <w:t>Natural Hazards</w:t>
      </w:r>
      <w:r w:rsidRPr="001858DC">
        <w:rPr>
          <w:color w:val="222222"/>
          <w:sz w:val="24"/>
          <w:szCs w:val="24"/>
          <w:shd w:val="clear" w:color="auto" w:fill="FFFFFF"/>
        </w:rPr>
        <w:t>, </w:t>
      </w:r>
      <w:r w:rsidRPr="001858DC">
        <w:rPr>
          <w:i/>
          <w:iCs/>
          <w:color w:val="222222"/>
          <w:sz w:val="24"/>
          <w:szCs w:val="24"/>
          <w:shd w:val="clear" w:color="auto" w:fill="FFFFFF"/>
        </w:rPr>
        <w:t>115</w:t>
      </w:r>
      <w:r w:rsidRPr="001858DC">
        <w:rPr>
          <w:color w:val="222222"/>
          <w:sz w:val="24"/>
          <w:szCs w:val="24"/>
          <w:shd w:val="clear" w:color="auto" w:fill="FFFFFF"/>
        </w:rPr>
        <w:t>(2), 1411-1437.</w:t>
      </w:r>
    </w:p>
    <w:p w14:paraId="3DCB614A" w14:textId="2322266A" w:rsidR="002249D5" w:rsidRPr="008425D8" w:rsidRDefault="008425D8">
      <w:pPr>
        <w:pStyle w:val="ListParagraph"/>
        <w:widowControl/>
        <w:numPr>
          <w:ilvl w:val="0"/>
          <w:numId w:val="3"/>
        </w:numPr>
        <w:autoSpaceDE/>
        <w:autoSpaceDN/>
        <w:spacing w:line="276" w:lineRule="auto"/>
        <w:ind w:left="567" w:hanging="425"/>
        <w:jc w:val="both"/>
        <w:rPr>
          <w:color w:val="EE0000"/>
          <w:sz w:val="24"/>
          <w:szCs w:val="24"/>
          <w:shd w:val="clear" w:color="auto" w:fill="FFFFFF"/>
        </w:rPr>
      </w:pPr>
      <w:r w:rsidRPr="008425D8">
        <w:rPr>
          <w:color w:val="EE0000"/>
          <w:sz w:val="24"/>
          <w:szCs w:val="24"/>
          <w:shd w:val="clear" w:color="auto" w:fill="FFFFFF"/>
        </w:rPr>
        <w:t>?????</w:t>
      </w:r>
    </w:p>
    <w:sectPr w:rsidR="002249D5" w:rsidRPr="008425D8" w:rsidSect="00F35A3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2C06" w14:textId="77777777" w:rsidR="00E67A4C" w:rsidRDefault="00E67A4C" w:rsidP="00F35A3B">
      <w:pPr>
        <w:spacing w:after="0" w:line="240" w:lineRule="auto"/>
      </w:pPr>
      <w:r>
        <w:separator/>
      </w:r>
    </w:p>
  </w:endnote>
  <w:endnote w:type="continuationSeparator" w:id="0">
    <w:p w14:paraId="35589E44" w14:textId="77777777" w:rsidR="00E67A4C" w:rsidRDefault="00E67A4C" w:rsidP="00F3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8645" w14:textId="77777777" w:rsidR="002249D5" w:rsidRDefault="00224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00622565"/>
      <w:docPartObj>
        <w:docPartGallery w:val="Page Numbers (Bottom of Page)"/>
        <w:docPartUnique/>
      </w:docPartObj>
    </w:sdtPr>
    <w:sdtEndPr>
      <w:rPr>
        <w:noProof/>
      </w:rPr>
    </w:sdtEndPr>
    <w:sdtContent>
      <w:p w14:paraId="428E14B2" w14:textId="77777777" w:rsidR="00F35A3B" w:rsidRDefault="00F35A3B">
        <w:pPr>
          <w:pStyle w:val="Footer"/>
          <w:jc w:val="center"/>
        </w:pPr>
        <w:r>
          <w:rPr>
            <w:noProof w:val="0"/>
          </w:rPr>
          <w:fldChar w:fldCharType="begin"/>
        </w:r>
        <w:r>
          <w:instrText xml:space="preserve"> PAGE   \* MERGEFORMAT </w:instrText>
        </w:r>
        <w:r>
          <w:rPr>
            <w:noProof w:val="0"/>
          </w:rPr>
          <w:fldChar w:fldCharType="separate"/>
        </w:r>
        <w:r w:rsidR="00E82C31">
          <w:t>15</w:t>
        </w:r>
        <w:r>
          <w:fldChar w:fldCharType="end"/>
        </w:r>
      </w:p>
    </w:sdtContent>
  </w:sdt>
  <w:p w14:paraId="5FBCD464" w14:textId="77777777" w:rsidR="00F35A3B" w:rsidRDefault="00F35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0D36" w14:textId="77777777" w:rsidR="002249D5" w:rsidRDefault="00224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B6B7" w14:textId="77777777" w:rsidR="00E67A4C" w:rsidRDefault="00E67A4C" w:rsidP="00F35A3B">
      <w:pPr>
        <w:spacing w:after="0" w:line="240" w:lineRule="auto"/>
      </w:pPr>
      <w:r>
        <w:separator/>
      </w:r>
    </w:p>
  </w:footnote>
  <w:footnote w:type="continuationSeparator" w:id="0">
    <w:p w14:paraId="1D3196C8" w14:textId="77777777" w:rsidR="00E67A4C" w:rsidRDefault="00E67A4C" w:rsidP="00F3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3ECE" w14:textId="6CD5DC09" w:rsidR="002249D5" w:rsidRDefault="00000000">
    <w:pPr>
      <w:pStyle w:val="Header"/>
    </w:pPr>
    <w:r>
      <w:pict w14:anchorId="1035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4"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5301" w14:textId="33FFDCDD" w:rsidR="002249D5" w:rsidRDefault="00000000">
    <w:pPr>
      <w:pStyle w:val="Header"/>
    </w:pPr>
    <w:r>
      <w:pict w14:anchorId="6E93B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5"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C1A5" w14:textId="38930F34" w:rsidR="002249D5" w:rsidRDefault="00000000">
    <w:pPr>
      <w:pStyle w:val="Header"/>
    </w:pPr>
    <w:r>
      <w:pict w14:anchorId="175BD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3"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8F0"/>
    <w:multiLevelType w:val="multilevel"/>
    <w:tmpl w:val="6630C628"/>
    <w:lvl w:ilvl="0">
      <w:start w:val="1"/>
      <w:numFmt w:val="decimal"/>
      <w:lvlText w:val="%1."/>
      <w:lvlJc w:val="left"/>
      <w:pPr>
        <w:ind w:left="462" w:hanging="202"/>
      </w:pPr>
      <w:rPr>
        <w:rFonts w:hint="default"/>
        <w:spacing w:val="0"/>
        <w:w w:val="99"/>
        <w:lang w:val="en-US" w:eastAsia="en-US" w:bidi="ar-SA"/>
      </w:rPr>
    </w:lvl>
    <w:lvl w:ilvl="1">
      <w:start w:val="1"/>
      <w:numFmt w:val="decimal"/>
      <w:lvlText w:val="%1.%2"/>
      <w:lvlJc w:val="left"/>
      <w:pPr>
        <w:ind w:left="6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654" w:hanging="360"/>
      </w:pPr>
      <w:rPr>
        <w:rFonts w:hint="default"/>
        <w:lang w:val="en-US" w:eastAsia="en-US" w:bidi="ar-SA"/>
      </w:rPr>
    </w:lvl>
    <w:lvl w:ilvl="3">
      <w:numFmt w:val="bullet"/>
      <w:lvlText w:val="•"/>
      <w:lvlJc w:val="left"/>
      <w:pPr>
        <w:ind w:left="2688" w:hanging="360"/>
      </w:pPr>
      <w:rPr>
        <w:rFonts w:hint="default"/>
        <w:lang w:val="en-US" w:eastAsia="en-US" w:bidi="ar-SA"/>
      </w:rPr>
    </w:lvl>
    <w:lvl w:ilvl="4">
      <w:numFmt w:val="bullet"/>
      <w:lvlText w:val="•"/>
      <w:lvlJc w:val="left"/>
      <w:pPr>
        <w:ind w:left="3722" w:hanging="360"/>
      </w:pPr>
      <w:rPr>
        <w:rFonts w:hint="default"/>
        <w:lang w:val="en-US" w:eastAsia="en-US" w:bidi="ar-SA"/>
      </w:rPr>
    </w:lvl>
    <w:lvl w:ilvl="5">
      <w:numFmt w:val="bullet"/>
      <w:lvlText w:val="•"/>
      <w:lvlJc w:val="left"/>
      <w:pPr>
        <w:ind w:left="4756" w:hanging="360"/>
      </w:pPr>
      <w:rPr>
        <w:rFonts w:hint="default"/>
        <w:lang w:val="en-US" w:eastAsia="en-US" w:bidi="ar-SA"/>
      </w:rPr>
    </w:lvl>
    <w:lvl w:ilvl="6">
      <w:numFmt w:val="bullet"/>
      <w:lvlText w:val="•"/>
      <w:lvlJc w:val="left"/>
      <w:pPr>
        <w:ind w:left="5790" w:hanging="360"/>
      </w:pPr>
      <w:rPr>
        <w:rFonts w:hint="default"/>
        <w:lang w:val="en-US" w:eastAsia="en-US" w:bidi="ar-SA"/>
      </w:rPr>
    </w:lvl>
    <w:lvl w:ilvl="7">
      <w:numFmt w:val="bullet"/>
      <w:lvlText w:val="•"/>
      <w:lvlJc w:val="left"/>
      <w:pPr>
        <w:ind w:left="6824" w:hanging="360"/>
      </w:pPr>
      <w:rPr>
        <w:rFonts w:hint="default"/>
        <w:lang w:val="en-US" w:eastAsia="en-US" w:bidi="ar-SA"/>
      </w:rPr>
    </w:lvl>
    <w:lvl w:ilvl="8">
      <w:numFmt w:val="bullet"/>
      <w:lvlText w:val="•"/>
      <w:lvlJc w:val="left"/>
      <w:pPr>
        <w:ind w:left="7858" w:hanging="360"/>
      </w:pPr>
      <w:rPr>
        <w:rFonts w:hint="default"/>
        <w:lang w:val="en-US" w:eastAsia="en-US" w:bidi="ar-SA"/>
      </w:rPr>
    </w:lvl>
  </w:abstractNum>
  <w:abstractNum w:abstractNumId="1" w15:restartNumberingAfterBreak="0">
    <w:nsid w:val="206C0D56"/>
    <w:multiLevelType w:val="multilevel"/>
    <w:tmpl w:val="84A6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B96C77"/>
    <w:multiLevelType w:val="hybridMultilevel"/>
    <w:tmpl w:val="DA5CA756"/>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99589">
    <w:abstractNumId w:val="0"/>
  </w:num>
  <w:num w:numId="2" w16cid:durableId="2002081638">
    <w:abstractNumId w:val="1"/>
  </w:num>
  <w:num w:numId="3" w16cid:durableId="1682731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B1"/>
    <w:rsid w:val="00013292"/>
    <w:rsid w:val="0009541B"/>
    <w:rsid w:val="00097B8F"/>
    <w:rsid w:val="000A5C6E"/>
    <w:rsid w:val="000B1C75"/>
    <w:rsid w:val="000B39EA"/>
    <w:rsid w:val="000C2303"/>
    <w:rsid w:val="000D486A"/>
    <w:rsid w:val="000E4DFB"/>
    <w:rsid w:val="0013710D"/>
    <w:rsid w:val="0015388A"/>
    <w:rsid w:val="001858DC"/>
    <w:rsid w:val="001C1B2C"/>
    <w:rsid w:val="001D4FDB"/>
    <w:rsid w:val="00211AF0"/>
    <w:rsid w:val="002249D5"/>
    <w:rsid w:val="002710BB"/>
    <w:rsid w:val="002C08A9"/>
    <w:rsid w:val="00330B66"/>
    <w:rsid w:val="00335362"/>
    <w:rsid w:val="00500CEE"/>
    <w:rsid w:val="005015EF"/>
    <w:rsid w:val="00540E91"/>
    <w:rsid w:val="00571268"/>
    <w:rsid w:val="00595913"/>
    <w:rsid w:val="00596D30"/>
    <w:rsid w:val="005B7730"/>
    <w:rsid w:val="006E163E"/>
    <w:rsid w:val="006E53EB"/>
    <w:rsid w:val="006F3A90"/>
    <w:rsid w:val="00700A80"/>
    <w:rsid w:val="00703EEB"/>
    <w:rsid w:val="00720C06"/>
    <w:rsid w:val="007947EE"/>
    <w:rsid w:val="007967CF"/>
    <w:rsid w:val="007A7944"/>
    <w:rsid w:val="007B2263"/>
    <w:rsid w:val="0082111E"/>
    <w:rsid w:val="008425D8"/>
    <w:rsid w:val="008628FD"/>
    <w:rsid w:val="00877256"/>
    <w:rsid w:val="00894113"/>
    <w:rsid w:val="0098316A"/>
    <w:rsid w:val="00997560"/>
    <w:rsid w:val="00A37C45"/>
    <w:rsid w:val="00A74A9D"/>
    <w:rsid w:val="00A94A74"/>
    <w:rsid w:val="00AD30BC"/>
    <w:rsid w:val="00AE7BED"/>
    <w:rsid w:val="00B270DE"/>
    <w:rsid w:val="00B466F6"/>
    <w:rsid w:val="00BF25F9"/>
    <w:rsid w:val="00BF5547"/>
    <w:rsid w:val="00BF719A"/>
    <w:rsid w:val="00C177C5"/>
    <w:rsid w:val="00C2340F"/>
    <w:rsid w:val="00C55FD4"/>
    <w:rsid w:val="00C83006"/>
    <w:rsid w:val="00C858B1"/>
    <w:rsid w:val="00CC072B"/>
    <w:rsid w:val="00CE0F19"/>
    <w:rsid w:val="00D77053"/>
    <w:rsid w:val="00DD28A0"/>
    <w:rsid w:val="00E0254A"/>
    <w:rsid w:val="00E16FF6"/>
    <w:rsid w:val="00E67A4C"/>
    <w:rsid w:val="00E81F59"/>
    <w:rsid w:val="00E82C31"/>
    <w:rsid w:val="00EA33DB"/>
    <w:rsid w:val="00EA76B6"/>
    <w:rsid w:val="00F35A3B"/>
    <w:rsid w:val="00F434A2"/>
    <w:rsid w:val="00F67CAC"/>
    <w:rsid w:val="00F95FD0"/>
    <w:rsid w:val="00F960AB"/>
    <w:rsid w:val="00F9732F"/>
    <w:rsid w:val="00FB6731"/>
    <w:rsid w:val="00FC3432"/>
    <w:rsid w:val="00FD2BC4"/>
    <w:rsid w:val="00FD77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E95B9"/>
  <w15:chartTrackingRefBased/>
  <w15:docId w15:val="{DCC566EE-3192-4472-AB9B-7D4D0104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noProof/>
    </w:rPr>
  </w:style>
  <w:style w:type="paragraph" w:styleId="Heading3">
    <w:name w:val="heading 3"/>
    <w:basedOn w:val="Normal"/>
    <w:link w:val="Heading3Char"/>
    <w:uiPriority w:val="9"/>
    <w:qFormat/>
    <w:rsid w:val="00F67CAC"/>
    <w:pPr>
      <w:widowControl/>
      <w:spacing w:before="100" w:beforeAutospacing="1" w:after="100" w:afterAutospacing="1" w:line="240" w:lineRule="auto"/>
      <w:jc w:val="left"/>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947EE"/>
    <w:pPr>
      <w:autoSpaceDE w:val="0"/>
      <w:autoSpaceDN w:val="0"/>
      <w:spacing w:after="0" w:line="240" w:lineRule="auto"/>
      <w:jc w:val="left"/>
    </w:pPr>
    <w:rPr>
      <w:rFonts w:ascii="Times New Roman" w:eastAsia="Times New Roman" w:hAnsi="Times New Roman" w:cs="Times New Roman"/>
      <w:noProof w:val="0"/>
      <w:sz w:val="20"/>
      <w:szCs w:val="20"/>
      <w:lang w:eastAsia="en-US"/>
    </w:rPr>
  </w:style>
  <w:style w:type="character" w:customStyle="1" w:styleId="BodyTextChar">
    <w:name w:val="Body Text Char"/>
    <w:basedOn w:val="DefaultParagraphFont"/>
    <w:link w:val="BodyText"/>
    <w:uiPriority w:val="1"/>
    <w:rsid w:val="007947EE"/>
    <w:rPr>
      <w:rFonts w:ascii="Times New Roman" w:eastAsia="Times New Roman" w:hAnsi="Times New Roman" w:cs="Times New Roman"/>
      <w:sz w:val="20"/>
      <w:szCs w:val="20"/>
      <w:lang w:eastAsia="en-US"/>
    </w:rPr>
  </w:style>
  <w:style w:type="paragraph" w:styleId="ListParagraph">
    <w:name w:val="List Paragraph"/>
    <w:basedOn w:val="Normal"/>
    <w:link w:val="ListParagraphChar"/>
    <w:uiPriority w:val="34"/>
    <w:qFormat/>
    <w:rsid w:val="007947EE"/>
    <w:pPr>
      <w:autoSpaceDE w:val="0"/>
      <w:autoSpaceDN w:val="0"/>
      <w:spacing w:after="0" w:line="240" w:lineRule="auto"/>
      <w:ind w:left="462" w:hanging="203"/>
      <w:jc w:val="left"/>
    </w:pPr>
    <w:rPr>
      <w:rFonts w:ascii="Times New Roman" w:eastAsia="Times New Roman" w:hAnsi="Times New Roman" w:cs="Times New Roman"/>
      <w:noProof w:val="0"/>
      <w:lang w:eastAsia="en-US"/>
    </w:rPr>
  </w:style>
  <w:style w:type="paragraph" w:customStyle="1" w:styleId="TableParagraph">
    <w:name w:val="Table Paragraph"/>
    <w:basedOn w:val="Normal"/>
    <w:uiPriority w:val="1"/>
    <w:qFormat/>
    <w:rsid w:val="007947EE"/>
    <w:pPr>
      <w:autoSpaceDE w:val="0"/>
      <w:autoSpaceDN w:val="0"/>
      <w:spacing w:after="0" w:line="240" w:lineRule="auto"/>
      <w:jc w:val="left"/>
    </w:pPr>
    <w:rPr>
      <w:rFonts w:ascii="Times New Roman" w:eastAsia="Times New Roman" w:hAnsi="Times New Roman" w:cs="Times New Roman"/>
      <w:noProof w:val="0"/>
      <w:lang w:eastAsia="en-US"/>
    </w:rPr>
  </w:style>
  <w:style w:type="character" w:customStyle="1" w:styleId="Heading3Char">
    <w:name w:val="Heading 3 Char"/>
    <w:basedOn w:val="DefaultParagraphFont"/>
    <w:link w:val="Heading3"/>
    <w:uiPriority w:val="9"/>
    <w:rsid w:val="00F67CAC"/>
    <w:rPr>
      <w:rFonts w:ascii="Times New Roman" w:eastAsia="Times New Roman" w:hAnsi="Times New Roman" w:cs="Times New Roman"/>
      <w:b/>
      <w:bCs/>
      <w:sz w:val="27"/>
      <w:szCs w:val="27"/>
    </w:rPr>
  </w:style>
  <w:style w:type="character" w:styleId="Strong">
    <w:name w:val="Strong"/>
    <w:basedOn w:val="DefaultParagraphFont"/>
    <w:uiPriority w:val="22"/>
    <w:qFormat/>
    <w:rsid w:val="00F67CAC"/>
    <w:rPr>
      <w:b/>
      <w:bCs/>
    </w:rPr>
  </w:style>
  <w:style w:type="paragraph" w:styleId="NormalWeb">
    <w:name w:val="Normal (Web)"/>
    <w:basedOn w:val="Normal"/>
    <w:uiPriority w:val="99"/>
    <w:unhideWhenUsed/>
    <w:rsid w:val="00F67CAC"/>
    <w:pPr>
      <w:widowControl/>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ListParagraphChar">
    <w:name w:val="List Paragraph Char"/>
    <w:link w:val="ListParagraph"/>
    <w:uiPriority w:val="34"/>
    <w:locked/>
    <w:rsid w:val="006F3A90"/>
    <w:rPr>
      <w:rFonts w:ascii="Times New Roman" w:eastAsia="Times New Roman" w:hAnsi="Times New Roman" w:cs="Times New Roman"/>
      <w:lang w:eastAsia="en-US"/>
    </w:rPr>
  </w:style>
  <w:style w:type="paragraph" w:styleId="Header">
    <w:name w:val="header"/>
    <w:basedOn w:val="Normal"/>
    <w:link w:val="HeaderChar"/>
    <w:uiPriority w:val="99"/>
    <w:unhideWhenUsed/>
    <w:rsid w:val="00F35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A3B"/>
    <w:rPr>
      <w:noProof/>
    </w:rPr>
  </w:style>
  <w:style w:type="paragraph" w:styleId="Footer">
    <w:name w:val="footer"/>
    <w:basedOn w:val="Normal"/>
    <w:link w:val="FooterChar"/>
    <w:uiPriority w:val="99"/>
    <w:unhideWhenUsed/>
    <w:rsid w:val="00F35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A3B"/>
    <w:rPr>
      <w:noProof/>
    </w:rPr>
  </w:style>
  <w:style w:type="character" w:styleId="Hyperlink">
    <w:name w:val="Hyperlink"/>
    <w:basedOn w:val="DefaultParagraphFont"/>
    <w:uiPriority w:val="99"/>
    <w:unhideWhenUsed/>
    <w:rsid w:val="00F960AB"/>
    <w:rPr>
      <w:color w:val="0563C1" w:themeColor="hyperlink"/>
      <w:u w:val="single"/>
    </w:rPr>
  </w:style>
  <w:style w:type="character" w:styleId="UnresolvedMention">
    <w:name w:val="Unresolved Mention"/>
    <w:basedOn w:val="DefaultParagraphFont"/>
    <w:uiPriority w:val="99"/>
    <w:semiHidden/>
    <w:unhideWhenUsed/>
    <w:rsid w:val="00F9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9258">
      <w:bodyDiv w:val="1"/>
      <w:marLeft w:val="0"/>
      <w:marRight w:val="0"/>
      <w:marTop w:val="0"/>
      <w:marBottom w:val="0"/>
      <w:divBdr>
        <w:top w:val="none" w:sz="0" w:space="0" w:color="auto"/>
        <w:left w:val="none" w:sz="0" w:space="0" w:color="auto"/>
        <w:bottom w:val="none" w:sz="0" w:space="0" w:color="auto"/>
        <w:right w:val="none" w:sz="0" w:space="0" w:color="auto"/>
      </w:divBdr>
    </w:div>
    <w:div w:id="303779615">
      <w:bodyDiv w:val="1"/>
      <w:marLeft w:val="0"/>
      <w:marRight w:val="0"/>
      <w:marTop w:val="0"/>
      <w:marBottom w:val="0"/>
      <w:divBdr>
        <w:top w:val="none" w:sz="0" w:space="0" w:color="auto"/>
        <w:left w:val="none" w:sz="0" w:space="0" w:color="auto"/>
        <w:bottom w:val="none" w:sz="0" w:space="0" w:color="auto"/>
        <w:right w:val="none" w:sz="0" w:space="0" w:color="auto"/>
      </w:divBdr>
    </w:div>
    <w:div w:id="402027176">
      <w:bodyDiv w:val="1"/>
      <w:marLeft w:val="0"/>
      <w:marRight w:val="0"/>
      <w:marTop w:val="0"/>
      <w:marBottom w:val="0"/>
      <w:divBdr>
        <w:top w:val="none" w:sz="0" w:space="0" w:color="auto"/>
        <w:left w:val="none" w:sz="0" w:space="0" w:color="auto"/>
        <w:bottom w:val="none" w:sz="0" w:space="0" w:color="auto"/>
        <w:right w:val="none" w:sz="0" w:space="0" w:color="auto"/>
      </w:divBdr>
    </w:div>
    <w:div w:id="488250967">
      <w:bodyDiv w:val="1"/>
      <w:marLeft w:val="0"/>
      <w:marRight w:val="0"/>
      <w:marTop w:val="0"/>
      <w:marBottom w:val="0"/>
      <w:divBdr>
        <w:top w:val="none" w:sz="0" w:space="0" w:color="auto"/>
        <w:left w:val="none" w:sz="0" w:space="0" w:color="auto"/>
        <w:bottom w:val="none" w:sz="0" w:space="0" w:color="auto"/>
        <w:right w:val="none" w:sz="0" w:space="0" w:color="auto"/>
      </w:divBdr>
    </w:div>
    <w:div w:id="1112358446">
      <w:bodyDiv w:val="1"/>
      <w:marLeft w:val="0"/>
      <w:marRight w:val="0"/>
      <w:marTop w:val="0"/>
      <w:marBottom w:val="0"/>
      <w:divBdr>
        <w:top w:val="none" w:sz="0" w:space="0" w:color="auto"/>
        <w:left w:val="none" w:sz="0" w:space="0" w:color="auto"/>
        <w:bottom w:val="none" w:sz="0" w:space="0" w:color="auto"/>
        <w:right w:val="none" w:sz="0" w:space="0" w:color="auto"/>
      </w:divBdr>
    </w:div>
    <w:div w:id="1223056115">
      <w:bodyDiv w:val="1"/>
      <w:marLeft w:val="0"/>
      <w:marRight w:val="0"/>
      <w:marTop w:val="0"/>
      <w:marBottom w:val="0"/>
      <w:divBdr>
        <w:top w:val="none" w:sz="0" w:space="0" w:color="auto"/>
        <w:left w:val="none" w:sz="0" w:space="0" w:color="auto"/>
        <w:bottom w:val="none" w:sz="0" w:space="0" w:color="auto"/>
        <w:right w:val="none" w:sz="0" w:space="0" w:color="auto"/>
      </w:divBdr>
      <w:divsChild>
        <w:div w:id="1899854251">
          <w:marLeft w:val="0"/>
          <w:marRight w:val="0"/>
          <w:marTop w:val="0"/>
          <w:marBottom w:val="0"/>
          <w:divBdr>
            <w:top w:val="none" w:sz="0" w:space="0" w:color="auto"/>
            <w:left w:val="none" w:sz="0" w:space="0" w:color="auto"/>
            <w:bottom w:val="none" w:sz="0" w:space="0" w:color="auto"/>
            <w:right w:val="none" w:sz="0" w:space="0" w:color="auto"/>
          </w:divBdr>
          <w:divsChild>
            <w:div w:id="371539485">
              <w:marLeft w:val="0"/>
              <w:marRight w:val="0"/>
              <w:marTop w:val="0"/>
              <w:marBottom w:val="0"/>
              <w:divBdr>
                <w:top w:val="none" w:sz="0" w:space="0" w:color="auto"/>
                <w:left w:val="none" w:sz="0" w:space="0" w:color="auto"/>
                <w:bottom w:val="none" w:sz="0" w:space="0" w:color="auto"/>
                <w:right w:val="none" w:sz="0" w:space="0" w:color="auto"/>
              </w:divBdr>
              <w:divsChild>
                <w:div w:id="2041542458">
                  <w:marLeft w:val="0"/>
                  <w:marRight w:val="0"/>
                  <w:marTop w:val="0"/>
                  <w:marBottom w:val="0"/>
                  <w:divBdr>
                    <w:top w:val="none" w:sz="0" w:space="0" w:color="auto"/>
                    <w:left w:val="none" w:sz="0" w:space="0" w:color="auto"/>
                    <w:bottom w:val="none" w:sz="0" w:space="0" w:color="auto"/>
                    <w:right w:val="none" w:sz="0" w:space="0" w:color="auto"/>
                  </w:divBdr>
                  <w:divsChild>
                    <w:div w:id="2013560123">
                      <w:marLeft w:val="0"/>
                      <w:marRight w:val="0"/>
                      <w:marTop w:val="0"/>
                      <w:marBottom w:val="0"/>
                      <w:divBdr>
                        <w:top w:val="none" w:sz="0" w:space="0" w:color="auto"/>
                        <w:left w:val="none" w:sz="0" w:space="0" w:color="auto"/>
                        <w:bottom w:val="none" w:sz="0" w:space="0" w:color="auto"/>
                        <w:right w:val="none" w:sz="0" w:space="0" w:color="auto"/>
                      </w:divBdr>
                      <w:divsChild>
                        <w:div w:id="302347936">
                          <w:marLeft w:val="0"/>
                          <w:marRight w:val="0"/>
                          <w:marTop w:val="0"/>
                          <w:marBottom w:val="0"/>
                          <w:divBdr>
                            <w:top w:val="none" w:sz="0" w:space="0" w:color="auto"/>
                            <w:left w:val="none" w:sz="0" w:space="0" w:color="auto"/>
                            <w:bottom w:val="none" w:sz="0" w:space="0" w:color="auto"/>
                            <w:right w:val="none" w:sz="0" w:space="0" w:color="auto"/>
                          </w:divBdr>
                          <w:divsChild>
                            <w:div w:id="637616223">
                              <w:marLeft w:val="0"/>
                              <w:marRight w:val="0"/>
                              <w:marTop w:val="0"/>
                              <w:marBottom w:val="0"/>
                              <w:divBdr>
                                <w:top w:val="none" w:sz="0" w:space="0" w:color="auto"/>
                                <w:left w:val="none" w:sz="0" w:space="0" w:color="auto"/>
                                <w:bottom w:val="none" w:sz="0" w:space="0" w:color="auto"/>
                                <w:right w:val="none" w:sz="0" w:space="0" w:color="auto"/>
                              </w:divBdr>
                              <w:divsChild>
                                <w:div w:id="172838525">
                                  <w:marLeft w:val="0"/>
                                  <w:marRight w:val="0"/>
                                  <w:marTop w:val="0"/>
                                  <w:marBottom w:val="0"/>
                                  <w:divBdr>
                                    <w:top w:val="none" w:sz="0" w:space="0" w:color="auto"/>
                                    <w:left w:val="none" w:sz="0" w:space="0" w:color="auto"/>
                                    <w:bottom w:val="none" w:sz="0" w:space="0" w:color="auto"/>
                                    <w:right w:val="none" w:sz="0" w:space="0" w:color="auto"/>
                                  </w:divBdr>
                                  <w:divsChild>
                                    <w:div w:id="14586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296076">
      <w:bodyDiv w:val="1"/>
      <w:marLeft w:val="0"/>
      <w:marRight w:val="0"/>
      <w:marTop w:val="0"/>
      <w:marBottom w:val="0"/>
      <w:divBdr>
        <w:top w:val="none" w:sz="0" w:space="0" w:color="auto"/>
        <w:left w:val="none" w:sz="0" w:space="0" w:color="auto"/>
        <w:bottom w:val="none" w:sz="0" w:space="0" w:color="auto"/>
        <w:right w:val="none" w:sz="0" w:space="0" w:color="auto"/>
      </w:divBdr>
    </w:div>
    <w:div w:id="1667440201">
      <w:bodyDiv w:val="1"/>
      <w:marLeft w:val="0"/>
      <w:marRight w:val="0"/>
      <w:marTop w:val="0"/>
      <w:marBottom w:val="0"/>
      <w:divBdr>
        <w:top w:val="none" w:sz="0" w:space="0" w:color="auto"/>
        <w:left w:val="none" w:sz="0" w:space="0" w:color="auto"/>
        <w:bottom w:val="none" w:sz="0" w:space="0" w:color="auto"/>
        <w:right w:val="none" w:sz="0" w:space="0" w:color="auto"/>
      </w:divBdr>
    </w:div>
    <w:div w:id="18225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14</Pages>
  <Words>4952</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MZH</dc:creator>
  <cp:keywords/>
  <dc:description/>
  <cp:lastModifiedBy>dee kota</cp:lastModifiedBy>
  <cp:revision>70</cp:revision>
  <dcterms:created xsi:type="dcterms:W3CDTF">2025-06-02T17:43:00Z</dcterms:created>
  <dcterms:modified xsi:type="dcterms:W3CDTF">2025-06-04T12:13:00Z</dcterms:modified>
</cp:coreProperties>
</file>