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BD" w:rsidRPr="00AD2E1F" w:rsidRDefault="001939BD" w:rsidP="009C53C7">
      <w:pPr>
        <w:spacing w:after="0" w:line="276" w:lineRule="auto"/>
        <w:jc w:val="center"/>
        <w:rPr>
          <w:rFonts w:ascii="Rockwell" w:hAnsi="Rockwell"/>
          <w:b/>
          <w:bCs/>
        </w:rPr>
      </w:pPr>
      <w:r w:rsidRPr="00AD2E1F">
        <w:rPr>
          <w:rFonts w:ascii="Rockwell" w:hAnsi="Rockwell"/>
          <w:b/>
          <w:bCs/>
        </w:rPr>
        <w:t xml:space="preserve">Understanding the Adoption Dynamics and Impact of TNAU Coconut Tonic Among Coconut Farmers in western zone of </w:t>
      </w:r>
      <w:r w:rsidR="000222CC" w:rsidRPr="00AD2E1F">
        <w:rPr>
          <w:rFonts w:ascii="Rockwell" w:hAnsi="Rockwell"/>
          <w:b/>
          <w:bCs/>
        </w:rPr>
        <w:t>Tamil Nadu</w:t>
      </w:r>
    </w:p>
    <w:p w:rsidR="001939BD" w:rsidRPr="00AD2E1F" w:rsidRDefault="001939BD" w:rsidP="009C53C7">
      <w:pPr>
        <w:spacing w:after="0" w:line="276" w:lineRule="auto"/>
        <w:jc w:val="center"/>
        <w:rPr>
          <w:rFonts w:ascii="Rockwell" w:hAnsi="Rockwell"/>
          <w:b/>
          <w:bCs/>
        </w:rPr>
      </w:pPr>
    </w:p>
    <w:p w:rsidR="009C53C7" w:rsidRDefault="009C53C7" w:rsidP="009C53C7">
      <w:pPr>
        <w:spacing w:after="0" w:line="276" w:lineRule="auto"/>
        <w:jc w:val="center"/>
        <w:rPr>
          <w:rFonts w:ascii="Rockwell" w:eastAsia="Times New Roman" w:hAnsi="Rockwell" w:cs="Times New Roman"/>
          <w:color w:val="000000" w:themeColor="text1"/>
          <w:lang w:val="en-US" w:eastAsia="en-IN"/>
        </w:rPr>
      </w:pPr>
    </w:p>
    <w:p w:rsidR="007B1B16" w:rsidRPr="00AD2E1F" w:rsidRDefault="007B1B16" w:rsidP="009C53C7">
      <w:pPr>
        <w:spacing w:after="0" w:line="276" w:lineRule="auto"/>
        <w:jc w:val="center"/>
        <w:rPr>
          <w:rFonts w:ascii="Rockwell" w:eastAsia="Times New Roman" w:hAnsi="Rockwell" w:cs="Times New Roman"/>
          <w:color w:val="000000" w:themeColor="text1"/>
          <w:lang w:val="en-US" w:eastAsia="en-IN"/>
        </w:rPr>
      </w:pPr>
    </w:p>
    <w:p w:rsidR="009C53C7" w:rsidRPr="00AD2E1F" w:rsidRDefault="009C53C7" w:rsidP="009C53C7">
      <w:pPr>
        <w:spacing w:after="0" w:line="276" w:lineRule="auto"/>
        <w:jc w:val="center"/>
        <w:rPr>
          <w:rFonts w:ascii="Rockwell" w:eastAsia="Times New Roman" w:hAnsi="Rockwell" w:cs="Times New Roman"/>
          <w:b/>
          <w:bCs/>
          <w:color w:val="000000" w:themeColor="text1"/>
          <w:lang w:val="en-US" w:eastAsia="en-IN"/>
        </w:rPr>
      </w:pPr>
      <w:r w:rsidRPr="00AD2E1F">
        <w:rPr>
          <w:rFonts w:ascii="Rockwell" w:eastAsia="Times New Roman" w:hAnsi="Rockwell" w:cs="Times New Roman"/>
          <w:b/>
          <w:bCs/>
          <w:color w:val="000000" w:themeColor="text1"/>
          <w:lang w:val="en-US" w:eastAsia="en-IN"/>
        </w:rPr>
        <w:t>Abstract</w:t>
      </w:r>
    </w:p>
    <w:p w:rsidR="009C53C7" w:rsidRPr="00AD2E1F" w:rsidRDefault="009C53C7" w:rsidP="009C53C7">
      <w:pPr>
        <w:spacing w:after="0" w:line="360" w:lineRule="auto"/>
        <w:jc w:val="both"/>
        <w:rPr>
          <w:rFonts w:ascii="Rockwell" w:eastAsia="Times New Roman" w:hAnsi="Rockwell" w:cs="Times New Roman"/>
          <w:color w:val="000000" w:themeColor="text1"/>
          <w:lang w:val="en-US" w:eastAsia="en-IN"/>
        </w:rPr>
      </w:pPr>
      <w:r w:rsidRPr="00AD2E1F">
        <w:rPr>
          <w:rFonts w:ascii="Rockwell" w:eastAsia="Times New Roman" w:hAnsi="Rockwell" w:cs="Times New Roman"/>
          <w:b/>
          <w:color w:val="000000" w:themeColor="text1"/>
          <w:lang w:val="en-US" w:eastAsia="en-IN"/>
        </w:rPr>
        <w:t>Aim</w:t>
      </w:r>
      <w:r w:rsidRPr="00AD2E1F">
        <w:rPr>
          <w:rFonts w:ascii="Rockwell" w:eastAsia="Times New Roman" w:hAnsi="Rockwell" w:cs="Times New Roman"/>
          <w:color w:val="000000" w:themeColor="text1"/>
          <w:lang w:val="en-US" w:eastAsia="en-IN"/>
        </w:rPr>
        <w:t xml:space="preserve">:  To </w:t>
      </w:r>
      <w:r w:rsidR="001939BD" w:rsidRPr="00AD2E1F">
        <w:rPr>
          <w:rFonts w:ascii="Rockwell" w:eastAsia="Times New Roman" w:hAnsi="Rockwell" w:cs="Times New Roman"/>
          <w:color w:val="000000" w:themeColor="text1"/>
          <w:lang w:val="en-US" w:eastAsia="en-IN"/>
        </w:rPr>
        <w:t>understand the adoption dynamics and impact of TNAU coconut tonic</w:t>
      </w:r>
      <w:r w:rsidRPr="00AD2E1F">
        <w:rPr>
          <w:rFonts w:ascii="Rockwell" w:eastAsia="Times New Roman" w:hAnsi="Rockwell" w:cs="Times New Roman"/>
          <w:color w:val="000000" w:themeColor="text1"/>
          <w:lang w:val="en-US" w:eastAsia="en-IN"/>
        </w:rPr>
        <w:t xml:space="preserve"> </w:t>
      </w:r>
      <w:r w:rsidR="001939BD" w:rsidRPr="00AD2E1F">
        <w:rPr>
          <w:rFonts w:ascii="Rockwell" w:eastAsia="Times New Roman" w:hAnsi="Rockwell" w:cs="Times New Roman"/>
          <w:color w:val="000000" w:themeColor="text1"/>
          <w:lang w:val="en-US" w:eastAsia="en-IN"/>
        </w:rPr>
        <w:t xml:space="preserve">among </w:t>
      </w:r>
      <w:r w:rsidRPr="00AD2E1F">
        <w:rPr>
          <w:rFonts w:ascii="Rockwell" w:eastAsia="Times New Roman" w:hAnsi="Rockwell" w:cs="Times New Roman"/>
          <w:color w:val="000000" w:themeColor="text1"/>
          <w:lang w:val="en-US" w:eastAsia="en-IN"/>
        </w:rPr>
        <w:t>coconut farmers</w:t>
      </w:r>
    </w:p>
    <w:p w:rsidR="009C53C7" w:rsidRPr="00AD2E1F" w:rsidRDefault="009C53C7" w:rsidP="009C53C7">
      <w:pPr>
        <w:spacing w:after="0" w:line="360" w:lineRule="auto"/>
        <w:jc w:val="both"/>
        <w:rPr>
          <w:rFonts w:ascii="Rockwell" w:eastAsia="Times New Roman" w:hAnsi="Rockwell" w:cs="Times New Roman"/>
          <w:color w:val="000000" w:themeColor="text1"/>
          <w:lang w:val="en-US" w:eastAsia="en-IN"/>
        </w:rPr>
      </w:pPr>
      <w:r w:rsidRPr="00AD2E1F">
        <w:rPr>
          <w:rFonts w:ascii="Rockwell" w:eastAsia="Times New Roman" w:hAnsi="Rockwell" w:cs="Times New Roman"/>
          <w:b/>
          <w:color w:val="000000" w:themeColor="text1"/>
          <w:lang w:val="en-US" w:eastAsia="en-IN"/>
        </w:rPr>
        <w:t>Research Design</w:t>
      </w:r>
      <w:r w:rsidRPr="00AD2E1F">
        <w:rPr>
          <w:rFonts w:ascii="Rockwell" w:eastAsia="Times New Roman" w:hAnsi="Rockwell" w:cs="Times New Roman"/>
          <w:color w:val="000000" w:themeColor="text1"/>
          <w:lang w:val="en-US" w:eastAsia="en-IN"/>
        </w:rPr>
        <w:t>: Ex-post facto research design</w:t>
      </w:r>
    </w:p>
    <w:p w:rsidR="009C53C7" w:rsidRPr="00AD2E1F" w:rsidRDefault="009C53C7" w:rsidP="009C53C7">
      <w:pPr>
        <w:spacing w:after="0" w:line="360" w:lineRule="auto"/>
        <w:jc w:val="both"/>
        <w:rPr>
          <w:rFonts w:ascii="Rockwell" w:eastAsia="Times New Roman" w:hAnsi="Rockwell" w:cs="Times New Roman"/>
          <w:color w:val="000000" w:themeColor="text1"/>
          <w:lang w:val="en-US" w:eastAsia="en-IN"/>
        </w:rPr>
      </w:pPr>
      <w:r w:rsidRPr="00AD2E1F">
        <w:rPr>
          <w:rFonts w:ascii="Rockwell" w:eastAsia="Times New Roman" w:hAnsi="Rockwell" w:cs="Times New Roman"/>
          <w:b/>
          <w:color w:val="000000" w:themeColor="text1"/>
          <w:lang w:val="en-US" w:eastAsia="en-IN"/>
        </w:rPr>
        <w:t>Sample</w:t>
      </w:r>
      <w:r w:rsidRPr="00AD2E1F">
        <w:rPr>
          <w:rFonts w:ascii="Rockwell" w:eastAsia="Times New Roman" w:hAnsi="Rockwell" w:cs="Times New Roman"/>
          <w:color w:val="000000" w:themeColor="text1"/>
          <w:lang w:val="en-US" w:eastAsia="en-IN"/>
        </w:rPr>
        <w:t xml:space="preserve">: </w:t>
      </w:r>
      <w:r w:rsidR="001939BD" w:rsidRPr="00AD2E1F">
        <w:rPr>
          <w:rFonts w:ascii="Rockwell" w:eastAsia="Times New Roman" w:hAnsi="Rockwell" w:cs="Times New Roman"/>
          <w:color w:val="000000" w:themeColor="text1"/>
          <w:lang w:val="en-US" w:eastAsia="en-IN"/>
        </w:rPr>
        <w:t>Coconut growers in western zone</w:t>
      </w:r>
      <w:r w:rsidR="000222CC" w:rsidRPr="00AD2E1F">
        <w:rPr>
          <w:rFonts w:ascii="Rockwell" w:eastAsia="Times New Roman" w:hAnsi="Rockwell" w:cs="Times New Roman"/>
          <w:color w:val="000000" w:themeColor="text1"/>
          <w:lang w:val="en-US" w:eastAsia="en-IN"/>
        </w:rPr>
        <w:t xml:space="preserve"> (</w:t>
      </w:r>
      <w:r w:rsidR="000222CC" w:rsidRPr="00AD2E1F">
        <w:rPr>
          <w:rFonts w:ascii="Rockwell" w:eastAsia="Times New Roman" w:hAnsi="Rockwell" w:cs="Times New Roman"/>
          <w:color w:val="000000" w:themeColor="text1"/>
          <w:lang w:eastAsia="en-IN"/>
        </w:rPr>
        <w:t xml:space="preserve">Coimbatore, Tirupur and </w:t>
      </w:r>
      <w:r w:rsidR="00703125" w:rsidRPr="00AD2E1F">
        <w:rPr>
          <w:rFonts w:ascii="Rockwell" w:eastAsia="Times New Roman" w:hAnsi="Rockwell" w:cs="Times New Roman"/>
          <w:color w:val="000000" w:themeColor="text1"/>
          <w:lang w:eastAsia="en-IN"/>
        </w:rPr>
        <w:t xml:space="preserve">Erode) </w:t>
      </w:r>
      <w:r w:rsidR="00703125" w:rsidRPr="00AD2E1F">
        <w:rPr>
          <w:rFonts w:ascii="Rockwell" w:eastAsia="Times New Roman" w:hAnsi="Rockwell" w:cs="Times New Roman"/>
          <w:color w:val="000000" w:themeColor="text1"/>
          <w:lang w:val="en-US" w:eastAsia="en-IN"/>
        </w:rPr>
        <w:t>of</w:t>
      </w:r>
      <w:r w:rsidR="001939BD" w:rsidRPr="00AD2E1F">
        <w:rPr>
          <w:rFonts w:ascii="Rockwell" w:eastAsia="Times New Roman" w:hAnsi="Rockwell" w:cs="Times New Roman"/>
          <w:color w:val="000000" w:themeColor="text1"/>
          <w:lang w:val="en-US" w:eastAsia="en-IN"/>
        </w:rPr>
        <w:t xml:space="preserve"> </w:t>
      </w:r>
      <w:r w:rsidR="000222CC" w:rsidRPr="00AD2E1F">
        <w:rPr>
          <w:rFonts w:ascii="Rockwell" w:eastAsia="Times New Roman" w:hAnsi="Rockwell" w:cs="Times New Roman"/>
          <w:color w:val="000000" w:themeColor="text1"/>
          <w:lang w:val="en-US" w:eastAsia="en-IN"/>
        </w:rPr>
        <w:t xml:space="preserve">Tamil </w:t>
      </w:r>
      <w:proofErr w:type="spellStart"/>
      <w:r w:rsidR="000222CC" w:rsidRPr="00AD2E1F">
        <w:rPr>
          <w:rFonts w:ascii="Rockwell" w:eastAsia="Times New Roman" w:hAnsi="Rockwell" w:cs="Times New Roman"/>
          <w:color w:val="000000" w:themeColor="text1"/>
          <w:lang w:val="en-US" w:eastAsia="en-IN"/>
        </w:rPr>
        <w:t>nadu</w:t>
      </w:r>
      <w:proofErr w:type="spellEnd"/>
      <w:r w:rsidR="000222CC" w:rsidRPr="00AD2E1F">
        <w:rPr>
          <w:rFonts w:ascii="Rockwell" w:eastAsia="Times New Roman" w:hAnsi="Rockwell" w:cs="Times New Roman"/>
          <w:color w:val="000000" w:themeColor="text1"/>
          <w:lang w:val="en-US" w:eastAsia="en-IN"/>
        </w:rPr>
        <w:t>.</w:t>
      </w:r>
    </w:p>
    <w:p w:rsidR="009C53C7" w:rsidRPr="00AD2E1F" w:rsidRDefault="009C53C7" w:rsidP="009C53C7">
      <w:pPr>
        <w:spacing w:after="0" w:line="360" w:lineRule="auto"/>
        <w:jc w:val="both"/>
        <w:rPr>
          <w:rFonts w:ascii="Rockwell" w:hAnsi="Rockwell"/>
          <w:color w:val="000000" w:themeColor="text1"/>
        </w:rPr>
      </w:pPr>
      <w:r w:rsidRPr="00AD2E1F">
        <w:rPr>
          <w:rFonts w:ascii="Rockwell" w:eastAsia="Times New Roman" w:hAnsi="Rockwell" w:cs="Times New Roman"/>
          <w:b/>
          <w:color w:val="000000" w:themeColor="text1"/>
          <w:lang w:val="en-US" w:eastAsia="en-IN"/>
        </w:rPr>
        <w:t>Methodology</w:t>
      </w:r>
      <w:r w:rsidRPr="00AD2E1F">
        <w:rPr>
          <w:rFonts w:ascii="Rockwell" w:eastAsia="Times New Roman" w:hAnsi="Rockwell" w:cs="Times New Roman"/>
          <w:color w:val="000000" w:themeColor="text1"/>
          <w:lang w:val="en-US" w:eastAsia="en-IN"/>
        </w:rPr>
        <w:t xml:space="preserve">:  </w:t>
      </w:r>
      <w:r w:rsidRPr="00AD2E1F">
        <w:rPr>
          <w:rFonts w:ascii="Rockwell" w:hAnsi="Rockwell"/>
          <w:color w:val="000000" w:themeColor="text1"/>
        </w:rPr>
        <w:t xml:space="preserve">A </w:t>
      </w:r>
      <w:r w:rsidR="000222CC" w:rsidRPr="00AD2E1F">
        <w:rPr>
          <w:rFonts w:ascii="Rockwell" w:hAnsi="Rockwell"/>
          <w:color w:val="000000" w:themeColor="text1"/>
        </w:rPr>
        <w:t>well-structured</w:t>
      </w:r>
      <w:r w:rsidRPr="00AD2E1F">
        <w:rPr>
          <w:rFonts w:ascii="Rockwell" w:hAnsi="Rockwell"/>
          <w:color w:val="000000" w:themeColor="text1"/>
        </w:rPr>
        <w:t xml:space="preserve"> </w:t>
      </w:r>
      <w:r w:rsidR="000222CC" w:rsidRPr="00AD2E1F">
        <w:rPr>
          <w:rFonts w:ascii="Rockwell" w:hAnsi="Rockwell"/>
          <w:color w:val="000000" w:themeColor="text1"/>
        </w:rPr>
        <w:t xml:space="preserve">Interview </w:t>
      </w:r>
      <w:r w:rsidR="00703125" w:rsidRPr="00AD2E1F">
        <w:rPr>
          <w:rFonts w:ascii="Rockwell" w:hAnsi="Rockwell"/>
          <w:color w:val="000000" w:themeColor="text1"/>
        </w:rPr>
        <w:t>schedule was</w:t>
      </w:r>
      <w:r w:rsidRPr="00AD2E1F">
        <w:rPr>
          <w:rFonts w:ascii="Rockwell" w:hAnsi="Rockwell"/>
          <w:color w:val="000000" w:themeColor="text1"/>
        </w:rPr>
        <w:t xml:space="preserve"> developed and applied as data collection tool to </w:t>
      </w:r>
      <w:r w:rsidR="00EA3708" w:rsidRPr="00AD2E1F">
        <w:rPr>
          <w:rFonts w:ascii="Rockwell" w:hAnsi="Rockwell"/>
          <w:color w:val="000000" w:themeColor="text1"/>
        </w:rPr>
        <w:t>100</w:t>
      </w:r>
      <w:r w:rsidR="000222CC" w:rsidRPr="00AD2E1F">
        <w:rPr>
          <w:rFonts w:ascii="Rockwell" w:hAnsi="Rockwell"/>
          <w:color w:val="000000" w:themeColor="text1"/>
        </w:rPr>
        <w:t xml:space="preserve"> sample.</w:t>
      </w:r>
    </w:p>
    <w:p w:rsidR="00401789" w:rsidRPr="00AD2E1F" w:rsidRDefault="009C53C7" w:rsidP="00401789">
      <w:pPr>
        <w:spacing w:after="0" w:line="360" w:lineRule="auto"/>
        <w:jc w:val="both"/>
        <w:rPr>
          <w:rFonts w:ascii="Rockwell" w:eastAsia="Times New Roman" w:hAnsi="Rockwell" w:cs="Times New Roman"/>
          <w:lang w:eastAsia="en-IN"/>
        </w:rPr>
      </w:pPr>
      <w:proofErr w:type="gramStart"/>
      <w:r w:rsidRPr="00AD2E1F">
        <w:rPr>
          <w:rFonts w:ascii="Rockwell" w:eastAsia="Times New Roman" w:hAnsi="Rockwell" w:cs="Times New Roman"/>
          <w:b/>
          <w:color w:val="000000" w:themeColor="text1"/>
          <w:lang w:val="en-US" w:eastAsia="en-IN"/>
        </w:rPr>
        <w:t>Results</w:t>
      </w:r>
      <w:r w:rsidR="00401789" w:rsidRPr="00AD2E1F">
        <w:rPr>
          <w:rFonts w:ascii="Rockwell" w:eastAsia="Times New Roman" w:hAnsi="Rockwell" w:cs="Times New Roman"/>
          <w:b/>
          <w:color w:val="000000" w:themeColor="text1"/>
          <w:lang w:val="en-US" w:eastAsia="en-IN"/>
        </w:rPr>
        <w:t xml:space="preserve"> :</w:t>
      </w:r>
      <w:proofErr w:type="gramEnd"/>
      <w:r w:rsidR="00401789" w:rsidRPr="00AD2E1F">
        <w:rPr>
          <w:rFonts w:ascii="Rockwell" w:eastAsia="Times New Roman" w:hAnsi="Rockwell" w:cs="Times New Roman"/>
          <w:b/>
          <w:color w:val="000000" w:themeColor="text1"/>
          <w:lang w:val="en-US" w:eastAsia="en-IN"/>
        </w:rPr>
        <w:t xml:space="preserve"> </w:t>
      </w:r>
      <w:r w:rsidR="00401789" w:rsidRPr="00AD2E1F">
        <w:rPr>
          <w:rFonts w:ascii="Rockwell" w:eastAsia="Times New Roman" w:hAnsi="Rockwell" w:cs="Times New Roman"/>
          <w:lang w:eastAsia="en-IN"/>
        </w:rPr>
        <w:t xml:space="preserve">This study conducted in western zone of Tamil Nadu explores the underlying reasons for non-adoption, identifies constraints faced by users, and proposes actionable recommendations to improve uptake. Among the surveyed farmers, 26% had not adopted the TNAU coconut tonic despite being aware of it. Key reasons cited included lack of technical knowledge (35%), high cost (27%), unavailability of the product (27%), and doubts about its effectiveness (8%). Additionally, existing users reported several usage constraints, including irregular product availability, inadequate guidance on dosage and application, </w:t>
      </w:r>
      <w:proofErr w:type="spellStart"/>
      <w:r w:rsidR="00401789" w:rsidRPr="00AD2E1F">
        <w:rPr>
          <w:rFonts w:ascii="Rockwell" w:eastAsia="Times New Roman" w:hAnsi="Rockwell" w:cs="Times New Roman"/>
          <w:lang w:eastAsia="en-IN"/>
        </w:rPr>
        <w:t>labor</w:t>
      </w:r>
      <w:proofErr w:type="spellEnd"/>
      <w:r w:rsidR="00401789" w:rsidRPr="00AD2E1F">
        <w:rPr>
          <w:rFonts w:ascii="Rockwell" w:eastAsia="Times New Roman" w:hAnsi="Rockwell" w:cs="Times New Roman"/>
          <w:lang w:eastAsia="en-IN"/>
        </w:rPr>
        <w:t xml:space="preserve"> scarcity, and initial costs. These issues hinder consistent and effective application, especially among small and marginal farmers. To address these gaps, the study recommends strengthening local supply chains, conducting field-level demonstrations, offering financial incentives, and promoting collective action through Farmer Producer Organizations (FPOs). Furthermore, the involvement of trained rural youth and Self-Help Groups (SHGs) in application support could enhance farmer confidence and ensure proper use. </w:t>
      </w:r>
    </w:p>
    <w:p w:rsidR="009C53C7" w:rsidRPr="00AD2E1F" w:rsidRDefault="009C53C7" w:rsidP="009C53C7">
      <w:pPr>
        <w:spacing w:after="0" w:line="360" w:lineRule="auto"/>
        <w:jc w:val="both"/>
        <w:rPr>
          <w:rFonts w:ascii="Rockwell" w:eastAsia="Times New Roman" w:hAnsi="Rockwell" w:cs="Times New Roman"/>
          <w:color w:val="000000" w:themeColor="text1"/>
          <w:lang w:val="en-US" w:eastAsia="en-IN"/>
        </w:rPr>
      </w:pPr>
      <w:r w:rsidRPr="00AD2E1F">
        <w:rPr>
          <w:rFonts w:ascii="Rockwell" w:eastAsia="Times New Roman" w:hAnsi="Rockwell" w:cs="Times New Roman"/>
          <w:b/>
          <w:color w:val="000000" w:themeColor="text1"/>
          <w:lang w:val="en-US" w:eastAsia="en-IN"/>
        </w:rPr>
        <w:t>Key words</w:t>
      </w:r>
      <w:r w:rsidRPr="00AD2E1F">
        <w:rPr>
          <w:rFonts w:ascii="Rockwell" w:eastAsia="Times New Roman" w:hAnsi="Rockwell" w:cs="Times New Roman"/>
          <w:color w:val="000000" w:themeColor="text1"/>
          <w:lang w:val="en-US" w:eastAsia="en-IN"/>
        </w:rPr>
        <w:t xml:space="preserve">:  </w:t>
      </w:r>
      <w:r w:rsidR="000222CC" w:rsidRPr="00AD2E1F">
        <w:rPr>
          <w:rFonts w:ascii="Rockwell" w:eastAsia="Times New Roman" w:hAnsi="Rockwell" w:cs="Times New Roman"/>
          <w:color w:val="000000" w:themeColor="text1"/>
          <w:lang w:val="en-US" w:eastAsia="en-IN"/>
        </w:rPr>
        <w:t>TNAU Coconut tonic, adoption, impact, western zone.</w:t>
      </w:r>
    </w:p>
    <w:p w:rsidR="00401789" w:rsidRPr="00AD2E1F" w:rsidRDefault="00401789">
      <w:pPr>
        <w:rPr>
          <w:rFonts w:ascii="Rockwell" w:hAnsi="Rockwell"/>
          <w:b/>
          <w:bCs/>
        </w:rPr>
      </w:pPr>
      <w:r w:rsidRPr="00AD2E1F">
        <w:rPr>
          <w:rFonts w:ascii="Rockwell" w:hAnsi="Rockwell"/>
          <w:b/>
          <w:bCs/>
        </w:rPr>
        <w:br w:type="page"/>
      </w:r>
    </w:p>
    <w:p w:rsidR="009C53C7" w:rsidRPr="00AD2E1F" w:rsidRDefault="009C53C7" w:rsidP="009C53C7">
      <w:pPr>
        <w:jc w:val="both"/>
        <w:rPr>
          <w:rFonts w:ascii="Rockwell" w:hAnsi="Rockwell"/>
          <w:b/>
          <w:bCs/>
        </w:rPr>
      </w:pPr>
    </w:p>
    <w:p w:rsidR="00445034" w:rsidRPr="00AD2E1F" w:rsidRDefault="00445034" w:rsidP="009C53C7">
      <w:pPr>
        <w:jc w:val="both"/>
        <w:rPr>
          <w:rFonts w:ascii="Rockwell" w:hAnsi="Rockwell"/>
          <w:b/>
          <w:bCs/>
        </w:rPr>
      </w:pPr>
      <w:r w:rsidRPr="00AD2E1F">
        <w:rPr>
          <w:rFonts w:ascii="Rockwell" w:hAnsi="Rockwell"/>
          <w:b/>
          <w:bCs/>
        </w:rPr>
        <w:t>Introduction</w:t>
      </w:r>
    </w:p>
    <w:p w:rsidR="00703125" w:rsidRPr="00AD2E1F" w:rsidRDefault="00703125" w:rsidP="00703125">
      <w:pPr>
        <w:ind w:firstLine="720"/>
        <w:jc w:val="both"/>
        <w:rPr>
          <w:rFonts w:ascii="Rockwell" w:hAnsi="Rockwell"/>
        </w:rPr>
      </w:pPr>
      <w:r w:rsidRPr="00AD2E1F">
        <w:rPr>
          <w:rFonts w:ascii="Rockwell" w:hAnsi="Rockwell"/>
        </w:rPr>
        <w:t xml:space="preserve">Coconut is one of the most important plantation crops globally, with an annual production of approximately 62 million metric tonnes. The leading producers include Indonesia (17 million tonnes), the Philippines (14.8 million tonnes), and India (14.7 million tonnes), placing India third in global production. In India, coconut is cultivated across 2.1 million hectares, mainly in Kerala, Tamil Nadu, Karnataka, and Andhra Pradesh, with Kerala alone accounting for nearly 31% of the country’s output. The coconut sector contributes over </w:t>
      </w:r>
      <w:r w:rsidRPr="00AD2E1F">
        <w:rPr>
          <w:rFonts w:ascii="Times New Roman" w:hAnsi="Times New Roman" w:cs="Times New Roman"/>
        </w:rPr>
        <w:t>₹</w:t>
      </w:r>
      <w:r w:rsidRPr="00AD2E1F">
        <w:rPr>
          <w:rFonts w:ascii="Rockwell" w:hAnsi="Rockwell"/>
        </w:rPr>
        <w:t>12,000 crore to the Indian economy annually and supports the livelihoods of more than 10 million people. Among the many value-added products, coconut tonic</w:t>
      </w:r>
      <w:r w:rsidRPr="00AD2E1F">
        <w:rPr>
          <w:rFonts w:ascii="Rockwell" w:hAnsi="Rockwell" w:cs="Rockwell"/>
        </w:rPr>
        <w:t>—</w:t>
      </w:r>
      <w:r w:rsidRPr="00AD2E1F">
        <w:rPr>
          <w:rFonts w:ascii="Rockwell" w:hAnsi="Rockwell"/>
        </w:rPr>
        <w:t>extracted from tender coconut water or inflorescence sap</w:t>
      </w:r>
      <w:r w:rsidRPr="00AD2E1F">
        <w:rPr>
          <w:rFonts w:ascii="Rockwell" w:hAnsi="Rockwell" w:cs="Rockwell"/>
        </w:rPr>
        <w:t>—</w:t>
      </w:r>
      <w:r w:rsidRPr="00AD2E1F">
        <w:rPr>
          <w:rFonts w:ascii="Rockwell" w:hAnsi="Rockwell"/>
        </w:rPr>
        <w:t>holds immense promise due to its rich nutrient profile. Containing high levels of potassium (250 mg/100 ml), magnesium, and antioxidants, it serves not only as a natural health drink but also as an effective bio</w:t>
      </w:r>
      <w:r w:rsidR="00EA3708" w:rsidRPr="00AD2E1F">
        <w:rPr>
          <w:rFonts w:ascii="Rockwell" w:hAnsi="Rockwell"/>
        </w:rPr>
        <w:t>-</w:t>
      </w:r>
      <w:r w:rsidRPr="00AD2E1F">
        <w:rPr>
          <w:rFonts w:ascii="Rockwell" w:hAnsi="Rockwell"/>
        </w:rPr>
        <w:t>stimulant in agriculture. Research by the Central Plantation Crops Research Institute (CPCRI) has shown that the use of coconut tonic can increase crop yields by 10–20% and significantly improve tolerance to drought, salinity, and heat stress. With rising global interest in organic and climate-resilient farming, the market for coconut tonic and related products is expected to reach USD 8 billion by 2030, reflecting its growing significance in both nutrition and sustainable agriculture.</w:t>
      </w:r>
    </w:p>
    <w:p w:rsidR="00703125" w:rsidRPr="00AD2E1F" w:rsidRDefault="00703125" w:rsidP="00703125">
      <w:pPr>
        <w:jc w:val="both"/>
        <w:rPr>
          <w:rFonts w:ascii="Rockwell" w:hAnsi="Rockwell"/>
          <w:b/>
          <w:bCs/>
        </w:rPr>
      </w:pPr>
      <w:r w:rsidRPr="00AD2E1F">
        <w:rPr>
          <w:rFonts w:ascii="Rockwell" w:hAnsi="Rockwell"/>
          <w:b/>
          <w:bCs/>
        </w:rPr>
        <w:t>Importance of Coconut Tonic</w:t>
      </w:r>
    </w:p>
    <w:p w:rsidR="00703125" w:rsidRPr="00AD2E1F" w:rsidRDefault="00703125" w:rsidP="00703125">
      <w:pPr>
        <w:ind w:firstLine="720"/>
        <w:jc w:val="both"/>
        <w:rPr>
          <w:rFonts w:ascii="Rockwell" w:hAnsi="Rockwell"/>
        </w:rPr>
      </w:pPr>
      <w:r w:rsidRPr="00AD2E1F">
        <w:rPr>
          <w:rFonts w:ascii="Rockwell" w:hAnsi="Rockwell"/>
        </w:rPr>
        <w:t>Coconut tonic, derived primarily from tender coconut water or the sap of the coconut inflorescence, has emerged as a natural elixir both for human health and plant wellness. Rich in essential nutrients like potassium, calcium, magnesium, amino acids, and antioxidants, it is widely consumed as a hydrating drink that supports heart health, boosts energy, and aids digestion. Beyond human consumption, coconut tonic is gaining popularity in agriculture as a plant bio</w:t>
      </w:r>
      <w:r w:rsidR="00EA3708" w:rsidRPr="00AD2E1F">
        <w:rPr>
          <w:rFonts w:ascii="Rockwell" w:hAnsi="Rockwell"/>
        </w:rPr>
        <w:t>-</w:t>
      </w:r>
      <w:r w:rsidRPr="00AD2E1F">
        <w:rPr>
          <w:rFonts w:ascii="Rockwell" w:hAnsi="Rockwell"/>
        </w:rPr>
        <w:t xml:space="preserve">stimulant. It helps improve seed germination, root development, and stress tolerance in crops, especially under drought or saline conditions. By enhancing plant </w:t>
      </w:r>
      <w:proofErr w:type="spellStart"/>
      <w:r w:rsidRPr="00AD2E1F">
        <w:rPr>
          <w:rFonts w:ascii="Rockwell" w:hAnsi="Rockwell"/>
        </w:rPr>
        <w:t>vigor</w:t>
      </w:r>
      <w:proofErr w:type="spellEnd"/>
      <w:r w:rsidRPr="00AD2E1F">
        <w:rPr>
          <w:rFonts w:ascii="Rockwell" w:hAnsi="Rockwell"/>
        </w:rPr>
        <w:t xml:space="preserve"> and nutrient uptake, coconut tonic contributes to sustainable farming practices and aligns with the goals of eco-friendly agriculture.</w:t>
      </w:r>
    </w:p>
    <w:p w:rsidR="00445034" w:rsidRPr="00AD2E1F" w:rsidRDefault="00445034" w:rsidP="00703125">
      <w:pPr>
        <w:ind w:firstLine="720"/>
        <w:jc w:val="both"/>
        <w:rPr>
          <w:rFonts w:ascii="Rockwell" w:hAnsi="Rockwell"/>
        </w:rPr>
      </w:pPr>
      <w:r w:rsidRPr="00AD2E1F">
        <w:rPr>
          <w:rFonts w:ascii="Rockwell" w:hAnsi="Rockwell"/>
        </w:rPr>
        <w:t>Coconut cultivation plays a vital role in the agricultural economy of Tamil Nadu, with Coimbatore district being one of the major coconut-growing regions. In an effort to enhance productivity and address micronutrient deficiencies in coconut palms, the Tamil Nadu Agricultural University (TNAU) introduced the Coconut Tonic, a nutrient-rich formulation applied through root feeding. This tonic contains essential macro and micronutrients that aim to improve the overall health and yield of coconut palms.</w:t>
      </w:r>
    </w:p>
    <w:p w:rsidR="00445034" w:rsidRPr="00AD2E1F" w:rsidRDefault="00445034" w:rsidP="00703125">
      <w:pPr>
        <w:ind w:firstLine="720"/>
        <w:jc w:val="both"/>
        <w:rPr>
          <w:rFonts w:ascii="Rockwell" w:hAnsi="Rockwell"/>
        </w:rPr>
      </w:pPr>
      <w:r w:rsidRPr="00AD2E1F">
        <w:rPr>
          <w:rFonts w:ascii="Rockwell" w:hAnsi="Rockwell"/>
        </w:rPr>
        <w:lastRenderedPageBreak/>
        <w:t>Despite the proven scientific benefits of the tonic, its adoption among farmers has been inconsistent. Understanding the constraints faced and the benefits perceived by the farmers is essential to enhance uptake and improve coconut farming practices. This study was undertaken to assess both aspects among coconut growers in Coimbatore district.</w:t>
      </w:r>
    </w:p>
    <w:p w:rsidR="00445034" w:rsidRPr="00AD2E1F" w:rsidRDefault="00445034" w:rsidP="009C53C7">
      <w:pPr>
        <w:jc w:val="both"/>
        <w:rPr>
          <w:rFonts w:ascii="Rockwell" w:hAnsi="Rockwell"/>
          <w:b/>
          <w:bCs/>
        </w:rPr>
      </w:pPr>
      <w:r w:rsidRPr="00AD2E1F">
        <w:rPr>
          <w:rFonts w:ascii="Rockwell" w:hAnsi="Rockwell"/>
          <w:b/>
          <w:bCs/>
        </w:rPr>
        <w:t>Methodology</w:t>
      </w:r>
    </w:p>
    <w:p w:rsidR="00445034" w:rsidRPr="00AD2E1F" w:rsidRDefault="00CE0A85" w:rsidP="009A54FE">
      <w:pPr>
        <w:ind w:firstLine="720"/>
        <w:jc w:val="both"/>
        <w:rPr>
          <w:rFonts w:ascii="Rockwell" w:hAnsi="Rockwell"/>
        </w:rPr>
      </w:pPr>
      <w:r w:rsidRPr="00AD2E1F">
        <w:rPr>
          <w:rFonts w:ascii="Rockwell" w:eastAsia="Times New Roman" w:hAnsi="Rockwell" w:cs="Times New Roman"/>
          <w:color w:val="000000" w:themeColor="text1"/>
          <w:lang w:val="en-US" w:eastAsia="en-IN"/>
        </w:rPr>
        <w:t>Ex-post facto research design</w:t>
      </w:r>
      <w:r w:rsidRPr="00AD2E1F">
        <w:rPr>
          <w:rFonts w:ascii="Rockwell" w:hAnsi="Rockwell"/>
        </w:rPr>
        <w:t xml:space="preserve"> </w:t>
      </w:r>
      <w:r w:rsidR="00445034" w:rsidRPr="00AD2E1F">
        <w:rPr>
          <w:rFonts w:ascii="Rockwell" w:hAnsi="Rockwell"/>
        </w:rPr>
        <w:t>was employed for this study. Primary data were collected from 1</w:t>
      </w:r>
      <w:r w:rsidR="00675C45" w:rsidRPr="00AD2E1F">
        <w:rPr>
          <w:rFonts w:ascii="Rockwell" w:hAnsi="Rockwell"/>
        </w:rPr>
        <w:t>0</w:t>
      </w:r>
      <w:r w:rsidR="00445034" w:rsidRPr="00AD2E1F">
        <w:rPr>
          <w:rFonts w:ascii="Rockwell" w:hAnsi="Rockwell"/>
        </w:rPr>
        <w:t xml:space="preserve">0 randomly selected coconut farmers from </w:t>
      </w:r>
      <w:r w:rsidR="009A54FE" w:rsidRPr="00AD2E1F">
        <w:rPr>
          <w:rFonts w:ascii="Rockwell" w:hAnsi="Rockwell"/>
        </w:rPr>
        <w:t>Aliyar and Pollachi</w:t>
      </w:r>
      <w:r w:rsidR="00445034" w:rsidRPr="00AD2E1F">
        <w:rPr>
          <w:rFonts w:ascii="Rockwell" w:hAnsi="Rockwell"/>
        </w:rPr>
        <w:t xml:space="preserve"> blocks of Coimbatore</w:t>
      </w:r>
      <w:r w:rsidR="009A54FE" w:rsidRPr="00AD2E1F">
        <w:rPr>
          <w:rFonts w:ascii="Rockwell" w:hAnsi="Rockwell"/>
        </w:rPr>
        <w:t xml:space="preserve">, </w:t>
      </w:r>
      <w:proofErr w:type="spellStart"/>
      <w:r w:rsidR="009A54FE" w:rsidRPr="00AD2E1F">
        <w:rPr>
          <w:rFonts w:ascii="Rockwell" w:hAnsi="Rockwell"/>
        </w:rPr>
        <w:t>Kangeyam</w:t>
      </w:r>
      <w:proofErr w:type="spellEnd"/>
      <w:r w:rsidR="009A54FE" w:rsidRPr="00AD2E1F">
        <w:rPr>
          <w:rFonts w:ascii="Rockwell" w:hAnsi="Rockwell"/>
        </w:rPr>
        <w:t xml:space="preserve"> and </w:t>
      </w:r>
      <w:proofErr w:type="spellStart"/>
      <w:r w:rsidR="009A54FE" w:rsidRPr="00AD2E1F">
        <w:rPr>
          <w:rFonts w:ascii="Rockwell" w:hAnsi="Rockwell"/>
        </w:rPr>
        <w:t>Dharapuram</w:t>
      </w:r>
      <w:proofErr w:type="spellEnd"/>
      <w:r w:rsidR="009A54FE" w:rsidRPr="00AD2E1F">
        <w:rPr>
          <w:rFonts w:ascii="Rockwell" w:hAnsi="Rockwell"/>
        </w:rPr>
        <w:t xml:space="preserve"> of </w:t>
      </w:r>
      <w:proofErr w:type="spellStart"/>
      <w:r w:rsidR="009A54FE" w:rsidRPr="00AD2E1F">
        <w:rPr>
          <w:rFonts w:ascii="Rockwell" w:hAnsi="Rockwell"/>
        </w:rPr>
        <w:t>Tirupur</w:t>
      </w:r>
      <w:proofErr w:type="spellEnd"/>
      <w:r w:rsidR="009A54FE" w:rsidRPr="00AD2E1F">
        <w:rPr>
          <w:rFonts w:ascii="Rockwell" w:hAnsi="Rockwell"/>
        </w:rPr>
        <w:t xml:space="preserve"> and </w:t>
      </w:r>
      <w:proofErr w:type="spellStart"/>
      <w:r w:rsidR="009A54FE" w:rsidRPr="00AD2E1F">
        <w:rPr>
          <w:rFonts w:ascii="Rockwell" w:hAnsi="Rockwell"/>
        </w:rPr>
        <w:t>Gobichettipalayam</w:t>
      </w:r>
      <w:proofErr w:type="spellEnd"/>
      <w:r w:rsidR="009A54FE" w:rsidRPr="00AD2E1F">
        <w:rPr>
          <w:rFonts w:ascii="Rockwell" w:hAnsi="Rockwell"/>
        </w:rPr>
        <w:t xml:space="preserve"> and </w:t>
      </w:r>
      <w:proofErr w:type="spellStart"/>
      <w:r w:rsidR="009A54FE" w:rsidRPr="00AD2E1F">
        <w:rPr>
          <w:rFonts w:ascii="Rockwell" w:hAnsi="Rockwell"/>
        </w:rPr>
        <w:t>Perundurai</w:t>
      </w:r>
      <w:proofErr w:type="spellEnd"/>
      <w:r w:rsidR="009A54FE" w:rsidRPr="00AD2E1F">
        <w:rPr>
          <w:rFonts w:ascii="Rockwell" w:hAnsi="Rockwell"/>
        </w:rPr>
        <w:t xml:space="preserve"> of Erode </w:t>
      </w:r>
      <w:r w:rsidR="00445034" w:rsidRPr="00AD2E1F">
        <w:rPr>
          <w:rFonts w:ascii="Rockwell" w:hAnsi="Rockwell"/>
        </w:rPr>
        <w:t xml:space="preserve">district who had either adopted or were </w:t>
      </w:r>
      <w:r w:rsidR="00DE5C03">
        <w:rPr>
          <w:rFonts w:ascii="Rockwell" w:hAnsi="Rockwell"/>
        </w:rPr>
        <w:t xml:space="preserve">merely </w:t>
      </w:r>
      <w:r w:rsidR="00445034" w:rsidRPr="00AD2E1F">
        <w:rPr>
          <w:rFonts w:ascii="Rockwell" w:hAnsi="Rockwell"/>
        </w:rPr>
        <w:t>aware of the TNAU Coconut Tonic.</w:t>
      </w:r>
    </w:p>
    <w:p w:rsidR="00445034" w:rsidRPr="00AD2E1F" w:rsidRDefault="00445034" w:rsidP="00CE0A85">
      <w:pPr>
        <w:ind w:firstLine="720"/>
        <w:jc w:val="both"/>
        <w:rPr>
          <w:rFonts w:ascii="Rockwell" w:hAnsi="Rockwell"/>
        </w:rPr>
      </w:pPr>
      <w:r w:rsidRPr="00AD2E1F">
        <w:rPr>
          <w:rFonts w:ascii="Rockwell" w:hAnsi="Rockwell"/>
        </w:rPr>
        <w:t xml:space="preserve">The data were gathered using a structured interview schedule. The questionnaire covered demographic information, awareness levels, adoption </w:t>
      </w:r>
      <w:proofErr w:type="gramStart"/>
      <w:r w:rsidRPr="00AD2E1F">
        <w:rPr>
          <w:rFonts w:ascii="Rockwell" w:hAnsi="Rockwell"/>
        </w:rPr>
        <w:t>status,</w:t>
      </w:r>
      <w:proofErr w:type="gramEnd"/>
      <w:r w:rsidRPr="00AD2E1F">
        <w:rPr>
          <w:rFonts w:ascii="Rockwell" w:hAnsi="Rockwell"/>
        </w:rPr>
        <w:t xml:space="preserve"> constraints experienced during usage</w:t>
      </w:r>
      <w:commentRangeStart w:id="0"/>
      <w:r w:rsidRPr="00AD2E1F">
        <w:rPr>
          <w:rFonts w:ascii="Rockwell" w:hAnsi="Rockwell"/>
        </w:rPr>
        <w:t>,</w:t>
      </w:r>
      <w:commentRangeEnd w:id="0"/>
      <w:r w:rsidR="009A5BE7">
        <w:rPr>
          <w:rStyle w:val="CommentReference"/>
        </w:rPr>
        <w:commentReference w:id="0"/>
      </w:r>
      <w:r w:rsidRPr="00AD2E1F">
        <w:rPr>
          <w:rFonts w:ascii="Rockwell" w:hAnsi="Rockwell"/>
        </w:rPr>
        <w:t xml:space="preserve"> and perceived agronomic and economic benefits. Percentage analysis was used to interpret and present the findings.</w:t>
      </w:r>
    </w:p>
    <w:p w:rsidR="00445034" w:rsidRPr="00AD2E1F" w:rsidRDefault="00445034" w:rsidP="009C53C7">
      <w:pPr>
        <w:jc w:val="both"/>
        <w:rPr>
          <w:rFonts w:ascii="Rockwell" w:hAnsi="Rockwell"/>
          <w:b/>
          <w:bCs/>
        </w:rPr>
      </w:pPr>
      <w:r w:rsidRPr="00AD2E1F">
        <w:rPr>
          <w:rFonts w:ascii="Rockwell" w:hAnsi="Rockwell"/>
          <w:b/>
          <w:bCs/>
        </w:rPr>
        <w:t>Results and Discussion</w:t>
      </w:r>
    </w:p>
    <w:p w:rsidR="00CE0A85" w:rsidRPr="00AD2E1F" w:rsidRDefault="00CE0A85" w:rsidP="00CE0A85">
      <w:pPr>
        <w:jc w:val="both"/>
        <w:rPr>
          <w:rFonts w:ascii="Rockwell" w:hAnsi="Rockwell"/>
          <w:b/>
          <w:bCs/>
        </w:rPr>
      </w:pPr>
      <w:r w:rsidRPr="00AD2E1F">
        <w:rPr>
          <w:rFonts w:ascii="Rockwell" w:hAnsi="Rockwell"/>
          <w:b/>
          <w:bCs/>
        </w:rPr>
        <w:t>Awareness of Coconut Tonic</w:t>
      </w:r>
    </w:p>
    <w:p w:rsidR="00CE0A85" w:rsidRPr="00AD2E1F" w:rsidRDefault="00CE0A85" w:rsidP="00CE0A85">
      <w:pPr>
        <w:ind w:firstLine="720"/>
        <w:jc w:val="both"/>
        <w:rPr>
          <w:rFonts w:ascii="Rockwell" w:hAnsi="Rockwell"/>
        </w:rPr>
      </w:pPr>
      <w:r w:rsidRPr="00AD2E1F">
        <w:rPr>
          <w:rFonts w:ascii="Rockwell" w:hAnsi="Rockwell"/>
        </w:rPr>
        <w:t>Out of the 1</w:t>
      </w:r>
      <w:r w:rsidR="00EA3708" w:rsidRPr="00AD2E1F">
        <w:rPr>
          <w:rFonts w:ascii="Rockwell" w:hAnsi="Rockwell"/>
        </w:rPr>
        <w:t>0</w:t>
      </w:r>
      <w:r w:rsidRPr="00AD2E1F">
        <w:rPr>
          <w:rFonts w:ascii="Rockwell" w:hAnsi="Rockwell"/>
        </w:rPr>
        <w:t xml:space="preserve">0 respondents surveyed, a significant majority, </w:t>
      </w:r>
      <w:r w:rsidR="00EA3708" w:rsidRPr="00AD2E1F">
        <w:rPr>
          <w:rFonts w:ascii="Rockwell" w:hAnsi="Rockwell"/>
        </w:rPr>
        <w:t>82</w:t>
      </w:r>
      <w:r w:rsidR="00210945" w:rsidRPr="00AD2E1F">
        <w:rPr>
          <w:rFonts w:ascii="Rockwell" w:hAnsi="Rockwell"/>
        </w:rPr>
        <w:t>%</w:t>
      </w:r>
      <w:r w:rsidRPr="00AD2E1F">
        <w:rPr>
          <w:rFonts w:ascii="Rockwell" w:hAnsi="Rockwell"/>
        </w:rPr>
        <w:t xml:space="preserve"> reported being aware of TNAU Coconut Tonic, while </w:t>
      </w:r>
      <w:r w:rsidR="00210945" w:rsidRPr="00AD2E1F">
        <w:rPr>
          <w:rFonts w:ascii="Rockwell" w:hAnsi="Rockwell"/>
        </w:rPr>
        <w:t>1</w:t>
      </w:r>
      <w:r w:rsidRPr="00AD2E1F">
        <w:rPr>
          <w:rFonts w:ascii="Rockwell" w:hAnsi="Rockwell"/>
        </w:rPr>
        <w:t>8</w:t>
      </w:r>
      <w:r w:rsidR="00210945" w:rsidRPr="00AD2E1F">
        <w:rPr>
          <w:rFonts w:ascii="Rockwell" w:hAnsi="Rockwell"/>
        </w:rPr>
        <w:t>%</w:t>
      </w:r>
      <w:r w:rsidRPr="00AD2E1F">
        <w:rPr>
          <w:rFonts w:ascii="Rockwell" w:hAnsi="Rockwell"/>
        </w:rPr>
        <w:t xml:space="preserve"> stated they had no prior knowledge of the product.</w:t>
      </w:r>
    </w:p>
    <w:p w:rsidR="00CE0A85" w:rsidRPr="00AD2E1F" w:rsidRDefault="00CE0A85" w:rsidP="00CE0A85">
      <w:pPr>
        <w:ind w:firstLine="720"/>
        <w:jc w:val="both"/>
        <w:rPr>
          <w:rFonts w:ascii="Rockwell" w:hAnsi="Rockwell"/>
        </w:rPr>
      </w:pPr>
      <w:r w:rsidRPr="00AD2E1F">
        <w:rPr>
          <w:rFonts w:ascii="Rockwell" w:hAnsi="Rockwell"/>
        </w:rPr>
        <w:t xml:space="preserve">Among the </w:t>
      </w:r>
      <w:r w:rsidR="00A61FDD" w:rsidRPr="00AD2E1F">
        <w:rPr>
          <w:rFonts w:ascii="Rockwell" w:hAnsi="Rockwell"/>
        </w:rPr>
        <w:t>8</w:t>
      </w:r>
      <w:r w:rsidRPr="00AD2E1F">
        <w:rPr>
          <w:rFonts w:ascii="Rockwell" w:hAnsi="Rockwell"/>
        </w:rPr>
        <w:t>2 farmers who were aware of coconut tonic, the sources through which they learned about it were as follows:</w:t>
      </w:r>
      <w:r w:rsidR="00DE5C03">
        <w:rPr>
          <w:rFonts w:ascii="Rockwell" w:hAnsi="Rockwell"/>
        </w:rPr>
        <w:t xml:space="preserve">                                                        (n=82)</w:t>
      </w:r>
    </w:p>
    <w:tbl>
      <w:tblPr>
        <w:tblStyle w:val="TableGrid"/>
        <w:tblW w:w="5000" w:type="pct"/>
        <w:tblLook w:val="04A0"/>
      </w:tblPr>
      <w:tblGrid>
        <w:gridCol w:w="951"/>
        <w:gridCol w:w="3985"/>
        <w:gridCol w:w="2617"/>
        <w:gridCol w:w="1689"/>
      </w:tblGrid>
      <w:tr w:rsidR="00D03F9E" w:rsidRPr="00AD2E1F" w:rsidTr="00D03F9E">
        <w:tc>
          <w:tcPr>
            <w:tcW w:w="514" w:type="pct"/>
          </w:tcPr>
          <w:p w:rsidR="00D03F9E" w:rsidRPr="00AD2E1F" w:rsidRDefault="00D03F9E" w:rsidP="009F44B5">
            <w:pPr>
              <w:jc w:val="both"/>
              <w:rPr>
                <w:rFonts w:ascii="Rockwell" w:hAnsi="Rockwell"/>
                <w:b/>
                <w:bCs/>
              </w:rPr>
            </w:pPr>
            <w:proofErr w:type="spellStart"/>
            <w:r w:rsidRPr="00AD2E1F">
              <w:rPr>
                <w:rFonts w:ascii="Rockwell" w:hAnsi="Rockwell"/>
                <w:b/>
                <w:bCs/>
              </w:rPr>
              <w:t>Sl.No</w:t>
            </w:r>
            <w:proofErr w:type="spellEnd"/>
            <w:r w:rsidRPr="00AD2E1F">
              <w:rPr>
                <w:rFonts w:ascii="Rockwell" w:hAnsi="Rockwell"/>
                <w:b/>
                <w:bCs/>
              </w:rPr>
              <w:t>.</w:t>
            </w:r>
          </w:p>
        </w:tc>
        <w:tc>
          <w:tcPr>
            <w:tcW w:w="2156" w:type="pct"/>
          </w:tcPr>
          <w:p w:rsidR="00D03F9E" w:rsidRPr="00AD2E1F" w:rsidRDefault="00D03F9E" w:rsidP="009F44B5">
            <w:pPr>
              <w:jc w:val="both"/>
              <w:rPr>
                <w:rFonts w:ascii="Rockwell" w:hAnsi="Rockwell"/>
                <w:b/>
                <w:bCs/>
              </w:rPr>
            </w:pPr>
            <w:r w:rsidRPr="00AD2E1F">
              <w:rPr>
                <w:rFonts w:ascii="Rockwell" w:hAnsi="Rockwell"/>
                <w:b/>
                <w:bCs/>
              </w:rPr>
              <w:t>Source</w:t>
            </w:r>
          </w:p>
        </w:tc>
        <w:tc>
          <w:tcPr>
            <w:tcW w:w="1416" w:type="pct"/>
          </w:tcPr>
          <w:p w:rsidR="00D03F9E" w:rsidRPr="00AD2E1F" w:rsidRDefault="00D03F9E" w:rsidP="009F44B5">
            <w:pPr>
              <w:jc w:val="both"/>
              <w:rPr>
                <w:rFonts w:ascii="Rockwell" w:hAnsi="Rockwell"/>
                <w:b/>
                <w:bCs/>
              </w:rPr>
            </w:pPr>
            <w:r w:rsidRPr="00AD2E1F">
              <w:rPr>
                <w:rFonts w:ascii="Rockwell" w:hAnsi="Rockwell"/>
                <w:b/>
                <w:bCs/>
              </w:rPr>
              <w:t>No. of Respondents</w:t>
            </w:r>
          </w:p>
        </w:tc>
        <w:tc>
          <w:tcPr>
            <w:tcW w:w="914" w:type="pct"/>
          </w:tcPr>
          <w:p w:rsidR="00D03F9E" w:rsidRPr="00AD2E1F" w:rsidRDefault="00D03F9E" w:rsidP="009F44B5">
            <w:pPr>
              <w:jc w:val="both"/>
              <w:rPr>
                <w:rFonts w:ascii="Rockwell" w:hAnsi="Rockwell"/>
                <w:b/>
                <w:bCs/>
              </w:rPr>
            </w:pPr>
            <w:r w:rsidRPr="00AD2E1F">
              <w:rPr>
                <w:rFonts w:ascii="Rockwell" w:hAnsi="Rockwell"/>
                <w:b/>
                <w:bCs/>
              </w:rPr>
              <w:t>Per cent (%)</w:t>
            </w:r>
          </w:p>
        </w:tc>
      </w:tr>
      <w:tr w:rsidR="00D03F9E" w:rsidRPr="00AD2E1F" w:rsidTr="00D03F9E">
        <w:tc>
          <w:tcPr>
            <w:tcW w:w="514" w:type="pct"/>
          </w:tcPr>
          <w:p w:rsidR="00D03F9E" w:rsidRPr="00AD2E1F" w:rsidRDefault="00D03F9E" w:rsidP="009F44B5">
            <w:pPr>
              <w:jc w:val="both"/>
              <w:rPr>
                <w:rFonts w:ascii="Rockwell" w:hAnsi="Rockwell"/>
              </w:rPr>
            </w:pPr>
            <w:r w:rsidRPr="00AD2E1F">
              <w:rPr>
                <w:rFonts w:ascii="Rockwell" w:hAnsi="Rockwell"/>
              </w:rPr>
              <w:t>1</w:t>
            </w:r>
          </w:p>
        </w:tc>
        <w:tc>
          <w:tcPr>
            <w:tcW w:w="2156" w:type="pct"/>
            <w:vAlign w:val="center"/>
          </w:tcPr>
          <w:p w:rsidR="00D03F9E" w:rsidRPr="00AD2E1F" w:rsidRDefault="00D03F9E" w:rsidP="009F44B5">
            <w:pPr>
              <w:jc w:val="both"/>
              <w:rPr>
                <w:rFonts w:ascii="Rockwell" w:hAnsi="Rockwell"/>
              </w:rPr>
            </w:pPr>
            <w:r w:rsidRPr="00AD2E1F">
              <w:rPr>
                <w:rFonts w:ascii="Rockwell" w:hAnsi="Rockwell"/>
              </w:rPr>
              <w:t>Government extension programs</w:t>
            </w:r>
          </w:p>
        </w:tc>
        <w:tc>
          <w:tcPr>
            <w:tcW w:w="1416" w:type="pct"/>
            <w:vAlign w:val="center"/>
          </w:tcPr>
          <w:p w:rsidR="00D03F9E" w:rsidRPr="00AD2E1F" w:rsidRDefault="00D03F9E" w:rsidP="00D03F9E">
            <w:pPr>
              <w:jc w:val="center"/>
              <w:rPr>
                <w:rFonts w:ascii="Rockwell" w:hAnsi="Rockwell"/>
              </w:rPr>
            </w:pPr>
            <w:r w:rsidRPr="00AD2E1F">
              <w:rPr>
                <w:rFonts w:ascii="Rockwell" w:hAnsi="Rockwell"/>
              </w:rPr>
              <w:t>33</w:t>
            </w:r>
          </w:p>
        </w:tc>
        <w:tc>
          <w:tcPr>
            <w:tcW w:w="914" w:type="pct"/>
            <w:vAlign w:val="center"/>
          </w:tcPr>
          <w:p w:rsidR="00D03F9E" w:rsidRPr="00AD2E1F" w:rsidRDefault="00D03F9E" w:rsidP="00D03F9E">
            <w:pPr>
              <w:jc w:val="center"/>
              <w:rPr>
                <w:rFonts w:ascii="Rockwell" w:hAnsi="Rockwell"/>
              </w:rPr>
            </w:pPr>
            <w:r w:rsidRPr="00AD2E1F">
              <w:rPr>
                <w:rFonts w:ascii="Rockwell" w:hAnsi="Rockwell"/>
              </w:rPr>
              <w:t>40</w:t>
            </w:r>
          </w:p>
        </w:tc>
      </w:tr>
      <w:tr w:rsidR="00D03F9E" w:rsidRPr="00AD2E1F" w:rsidTr="00D03F9E">
        <w:tc>
          <w:tcPr>
            <w:tcW w:w="514" w:type="pct"/>
          </w:tcPr>
          <w:p w:rsidR="00D03F9E" w:rsidRPr="00AD2E1F" w:rsidRDefault="00D03F9E" w:rsidP="009F44B5">
            <w:pPr>
              <w:jc w:val="both"/>
              <w:rPr>
                <w:rFonts w:ascii="Rockwell" w:hAnsi="Rockwell"/>
              </w:rPr>
            </w:pPr>
            <w:r w:rsidRPr="00AD2E1F">
              <w:rPr>
                <w:rFonts w:ascii="Rockwell" w:hAnsi="Rockwell"/>
              </w:rPr>
              <w:t>2</w:t>
            </w:r>
          </w:p>
        </w:tc>
        <w:tc>
          <w:tcPr>
            <w:tcW w:w="2156" w:type="pct"/>
            <w:vAlign w:val="center"/>
          </w:tcPr>
          <w:p w:rsidR="00D03F9E" w:rsidRPr="00AD2E1F" w:rsidRDefault="00D03F9E" w:rsidP="009F44B5">
            <w:pPr>
              <w:jc w:val="both"/>
              <w:rPr>
                <w:rFonts w:ascii="Rockwell" w:hAnsi="Rockwell"/>
              </w:rPr>
            </w:pPr>
            <w:r w:rsidRPr="00AD2E1F">
              <w:rPr>
                <w:rFonts w:ascii="Rockwell" w:hAnsi="Rockwell"/>
              </w:rPr>
              <w:t>Fellow farmers</w:t>
            </w:r>
          </w:p>
        </w:tc>
        <w:tc>
          <w:tcPr>
            <w:tcW w:w="1416" w:type="pct"/>
            <w:vAlign w:val="center"/>
          </w:tcPr>
          <w:p w:rsidR="00D03F9E" w:rsidRPr="00AD2E1F" w:rsidRDefault="00D03F9E" w:rsidP="00D03F9E">
            <w:pPr>
              <w:jc w:val="center"/>
              <w:rPr>
                <w:rFonts w:ascii="Rockwell" w:hAnsi="Rockwell"/>
              </w:rPr>
            </w:pPr>
            <w:r w:rsidRPr="00AD2E1F">
              <w:rPr>
                <w:rFonts w:ascii="Rockwell" w:hAnsi="Rockwell"/>
              </w:rPr>
              <w:t>25</w:t>
            </w:r>
          </w:p>
        </w:tc>
        <w:tc>
          <w:tcPr>
            <w:tcW w:w="914" w:type="pct"/>
            <w:vAlign w:val="center"/>
          </w:tcPr>
          <w:p w:rsidR="00D03F9E" w:rsidRPr="00AD2E1F" w:rsidRDefault="00D03F9E" w:rsidP="00D03F9E">
            <w:pPr>
              <w:jc w:val="center"/>
              <w:rPr>
                <w:rFonts w:ascii="Rockwell" w:hAnsi="Rockwell"/>
              </w:rPr>
            </w:pPr>
            <w:r w:rsidRPr="00AD2E1F">
              <w:rPr>
                <w:rFonts w:ascii="Rockwell" w:hAnsi="Rockwell"/>
              </w:rPr>
              <w:t>30</w:t>
            </w:r>
          </w:p>
        </w:tc>
      </w:tr>
      <w:tr w:rsidR="00D03F9E" w:rsidRPr="00AD2E1F" w:rsidTr="00D03F9E">
        <w:tc>
          <w:tcPr>
            <w:tcW w:w="514" w:type="pct"/>
          </w:tcPr>
          <w:p w:rsidR="00D03F9E" w:rsidRPr="00AD2E1F" w:rsidRDefault="00D03F9E" w:rsidP="009F44B5">
            <w:pPr>
              <w:jc w:val="both"/>
              <w:rPr>
                <w:rFonts w:ascii="Rockwell" w:hAnsi="Rockwell"/>
              </w:rPr>
            </w:pPr>
            <w:r w:rsidRPr="00AD2E1F">
              <w:rPr>
                <w:rFonts w:ascii="Rockwell" w:hAnsi="Rockwell"/>
              </w:rPr>
              <w:t>3</w:t>
            </w:r>
          </w:p>
        </w:tc>
        <w:tc>
          <w:tcPr>
            <w:tcW w:w="2156" w:type="pct"/>
            <w:vAlign w:val="center"/>
          </w:tcPr>
          <w:p w:rsidR="00D03F9E" w:rsidRPr="00AD2E1F" w:rsidRDefault="00D03F9E" w:rsidP="009F44B5">
            <w:pPr>
              <w:jc w:val="both"/>
              <w:rPr>
                <w:rFonts w:ascii="Rockwell" w:hAnsi="Rockwell"/>
              </w:rPr>
            </w:pPr>
            <w:r w:rsidRPr="00AD2E1F">
              <w:rPr>
                <w:rFonts w:ascii="Rockwell" w:hAnsi="Rockwell"/>
              </w:rPr>
              <w:t>Input dealers</w:t>
            </w:r>
          </w:p>
        </w:tc>
        <w:tc>
          <w:tcPr>
            <w:tcW w:w="1416" w:type="pct"/>
            <w:vAlign w:val="center"/>
          </w:tcPr>
          <w:p w:rsidR="00D03F9E" w:rsidRPr="00AD2E1F" w:rsidRDefault="00D03F9E" w:rsidP="00D03F9E">
            <w:pPr>
              <w:jc w:val="center"/>
              <w:rPr>
                <w:rFonts w:ascii="Rockwell" w:hAnsi="Rockwell"/>
              </w:rPr>
            </w:pPr>
            <w:r w:rsidRPr="00AD2E1F">
              <w:rPr>
                <w:rFonts w:ascii="Rockwell" w:hAnsi="Rockwell"/>
              </w:rPr>
              <w:t>13</w:t>
            </w:r>
          </w:p>
        </w:tc>
        <w:tc>
          <w:tcPr>
            <w:tcW w:w="914" w:type="pct"/>
            <w:vAlign w:val="center"/>
          </w:tcPr>
          <w:p w:rsidR="00D03F9E" w:rsidRPr="00AD2E1F" w:rsidRDefault="00D03F9E" w:rsidP="00D03F9E">
            <w:pPr>
              <w:jc w:val="center"/>
              <w:rPr>
                <w:rFonts w:ascii="Rockwell" w:hAnsi="Rockwell"/>
              </w:rPr>
            </w:pPr>
            <w:r w:rsidRPr="00AD2E1F">
              <w:rPr>
                <w:rFonts w:ascii="Rockwell" w:hAnsi="Rockwell"/>
              </w:rPr>
              <w:t>16</w:t>
            </w:r>
          </w:p>
        </w:tc>
      </w:tr>
      <w:tr w:rsidR="00D03F9E" w:rsidRPr="00AD2E1F" w:rsidTr="00D03F9E">
        <w:tc>
          <w:tcPr>
            <w:tcW w:w="514" w:type="pct"/>
          </w:tcPr>
          <w:p w:rsidR="00D03F9E" w:rsidRPr="00AD2E1F" w:rsidRDefault="00D03F9E" w:rsidP="009F44B5">
            <w:pPr>
              <w:jc w:val="both"/>
              <w:rPr>
                <w:rFonts w:ascii="Rockwell" w:hAnsi="Rockwell"/>
              </w:rPr>
            </w:pPr>
            <w:r w:rsidRPr="00AD2E1F">
              <w:rPr>
                <w:rFonts w:ascii="Rockwell" w:hAnsi="Rockwell"/>
              </w:rPr>
              <w:t>4</w:t>
            </w:r>
          </w:p>
        </w:tc>
        <w:tc>
          <w:tcPr>
            <w:tcW w:w="2156" w:type="pct"/>
            <w:vAlign w:val="center"/>
          </w:tcPr>
          <w:p w:rsidR="00D03F9E" w:rsidRPr="00AD2E1F" w:rsidRDefault="00D03F9E" w:rsidP="009F44B5">
            <w:pPr>
              <w:jc w:val="both"/>
              <w:rPr>
                <w:rFonts w:ascii="Rockwell" w:hAnsi="Rockwell"/>
              </w:rPr>
            </w:pPr>
            <w:r w:rsidRPr="00AD2E1F">
              <w:rPr>
                <w:rFonts w:ascii="Rockwell" w:hAnsi="Rockwell"/>
              </w:rPr>
              <w:t>Social media / Internet</w:t>
            </w:r>
          </w:p>
        </w:tc>
        <w:tc>
          <w:tcPr>
            <w:tcW w:w="1416" w:type="pct"/>
            <w:vAlign w:val="center"/>
          </w:tcPr>
          <w:p w:rsidR="00D03F9E" w:rsidRPr="00AD2E1F" w:rsidRDefault="00D03F9E" w:rsidP="00D03F9E">
            <w:pPr>
              <w:jc w:val="center"/>
              <w:rPr>
                <w:rFonts w:ascii="Rockwell" w:hAnsi="Rockwell"/>
              </w:rPr>
            </w:pPr>
            <w:r w:rsidRPr="00AD2E1F">
              <w:rPr>
                <w:rFonts w:ascii="Rockwell" w:hAnsi="Rockwell"/>
              </w:rPr>
              <w:t>8</w:t>
            </w:r>
          </w:p>
        </w:tc>
        <w:tc>
          <w:tcPr>
            <w:tcW w:w="914" w:type="pct"/>
            <w:vAlign w:val="center"/>
          </w:tcPr>
          <w:p w:rsidR="00D03F9E" w:rsidRPr="00AD2E1F" w:rsidRDefault="00D03F9E" w:rsidP="00D03F9E">
            <w:pPr>
              <w:jc w:val="center"/>
              <w:rPr>
                <w:rFonts w:ascii="Rockwell" w:hAnsi="Rockwell"/>
              </w:rPr>
            </w:pPr>
            <w:r w:rsidRPr="00AD2E1F">
              <w:rPr>
                <w:rFonts w:ascii="Rockwell" w:hAnsi="Rockwell"/>
              </w:rPr>
              <w:t>10</w:t>
            </w:r>
          </w:p>
        </w:tc>
      </w:tr>
      <w:tr w:rsidR="00D03F9E" w:rsidRPr="00AD2E1F" w:rsidTr="00D03F9E">
        <w:tc>
          <w:tcPr>
            <w:tcW w:w="514" w:type="pct"/>
          </w:tcPr>
          <w:p w:rsidR="00D03F9E" w:rsidRPr="00AD2E1F" w:rsidRDefault="00D03F9E" w:rsidP="009F44B5">
            <w:pPr>
              <w:jc w:val="both"/>
              <w:rPr>
                <w:rFonts w:ascii="Rockwell" w:hAnsi="Rockwell"/>
              </w:rPr>
            </w:pPr>
            <w:r w:rsidRPr="00AD2E1F">
              <w:rPr>
                <w:rFonts w:ascii="Rockwell" w:hAnsi="Rockwell"/>
              </w:rPr>
              <w:t>5</w:t>
            </w:r>
          </w:p>
        </w:tc>
        <w:tc>
          <w:tcPr>
            <w:tcW w:w="2156" w:type="pct"/>
            <w:vAlign w:val="center"/>
          </w:tcPr>
          <w:p w:rsidR="00D03F9E" w:rsidRPr="00AD2E1F" w:rsidRDefault="00D03F9E" w:rsidP="009F44B5">
            <w:pPr>
              <w:jc w:val="both"/>
              <w:rPr>
                <w:rFonts w:ascii="Rockwell" w:hAnsi="Rockwell"/>
              </w:rPr>
            </w:pPr>
            <w:r w:rsidRPr="00AD2E1F">
              <w:rPr>
                <w:rFonts w:ascii="Rockwell" w:hAnsi="Rockwell"/>
              </w:rPr>
              <w:t>Others (TV, Agri exhibitions)</w:t>
            </w:r>
          </w:p>
        </w:tc>
        <w:tc>
          <w:tcPr>
            <w:tcW w:w="1416" w:type="pct"/>
            <w:vAlign w:val="center"/>
          </w:tcPr>
          <w:p w:rsidR="00D03F9E" w:rsidRPr="00AD2E1F" w:rsidRDefault="00D03F9E" w:rsidP="00D03F9E">
            <w:pPr>
              <w:jc w:val="center"/>
              <w:rPr>
                <w:rFonts w:ascii="Rockwell" w:hAnsi="Rockwell"/>
              </w:rPr>
            </w:pPr>
            <w:r w:rsidRPr="00AD2E1F">
              <w:rPr>
                <w:rFonts w:ascii="Rockwell" w:hAnsi="Rockwell"/>
              </w:rPr>
              <w:t>3</w:t>
            </w:r>
          </w:p>
        </w:tc>
        <w:tc>
          <w:tcPr>
            <w:tcW w:w="914" w:type="pct"/>
            <w:vAlign w:val="center"/>
          </w:tcPr>
          <w:p w:rsidR="00D03F9E" w:rsidRPr="00AD2E1F" w:rsidRDefault="00D03F9E" w:rsidP="00D03F9E">
            <w:pPr>
              <w:jc w:val="center"/>
              <w:rPr>
                <w:rFonts w:ascii="Rockwell" w:hAnsi="Rockwell"/>
              </w:rPr>
            </w:pPr>
            <w:r w:rsidRPr="00AD2E1F">
              <w:rPr>
                <w:rFonts w:ascii="Rockwell" w:hAnsi="Rockwell"/>
              </w:rPr>
              <w:t>4</w:t>
            </w:r>
          </w:p>
        </w:tc>
      </w:tr>
    </w:tbl>
    <w:p w:rsidR="00335BF7" w:rsidRPr="00AD2E1F" w:rsidRDefault="00675C45" w:rsidP="002E2F51">
      <w:pPr>
        <w:ind w:firstLine="720"/>
        <w:jc w:val="both"/>
        <w:rPr>
          <w:rFonts w:ascii="Rockwell" w:hAnsi="Rockwell"/>
        </w:rPr>
      </w:pPr>
      <w:r w:rsidRPr="00AD2E1F">
        <w:rPr>
          <w:rFonts w:ascii="Rockwell" w:hAnsi="Rockwell"/>
        </w:rPr>
        <w:t xml:space="preserve">Awareness plays a crucial role in the adoption of agricultural innovations like coconut tonic. In the present study, a </w:t>
      </w:r>
      <w:r w:rsidR="00DE5C03" w:rsidRPr="00AD2E1F">
        <w:rPr>
          <w:rFonts w:ascii="Rockwell" w:hAnsi="Rockwell"/>
        </w:rPr>
        <w:t>significant</w:t>
      </w:r>
      <w:r w:rsidRPr="00AD2E1F">
        <w:rPr>
          <w:rFonts w:ascii="Rockwell" w:hAnsi="Rockwell"/>
        </w:rPr>
        <w:t xml:space="preserve"> 82% of the farmers were aware of the TNAU Coconut Tonic, highlighting the impact of awareness campaigns and information dissemination. Government extension programs emerged as the most prominent source of awareness, accounting for 40% of responses. </w:t>
      </w:r>
      <w:r w:rsidR="00757DC1">
        <w:rPr>
          <w:rFonts w:ascii="Rockwell" w:hAnsi="Rockwell"/>
        </w:rPr>
        <w:t>Fellow farmers as p</w:t>
      </w:r>
      <w:r w:rsidRPr="00AD2E1F">
        <w:rPr>
          <w:rFonts w:ascii="Rockwell" w:hAnsi="Rockwell"/>
        </w:rPr>
        <w:t xml:space="preserve">eer influence also played a major role, with 30% of farmers reporting fellow farmers as their source—supporting Rogers’ (2003) diffusion theory, which notes the importance of interpersonal communication in technology spread. Input dealers, while commercial in nature, contributed to </w:t>
      </w:r>
      <w:r w:rsidRPr="00AD2E1F">
        <w:rPr>
          <w:rFonts w:ascii="Rockwell" w:hAnsi="Rockwell"/>
        </w:rPr>
        <w:lastRenderedPageBreak/>
        <w:t>awareness among 16% of the respondents</w:t>
      </w:r>
      <w:r w:rsidR="00335BF7" w:rsidRPr="00AD2E1F">
        <w:rPr>
          <w:rFonts w:ascii="Rockwell" w:hAnsi="Rockwell"/>
        </w:rPr>
        <w:t xml:space="preserve"> and</w:t>
      </w:r>
      <w:r w:rsidRPr="00AD2E1F">
        <w:rPr>
          <w:rFonts w:ascii="Rockwell" w:hAnsi="Rockwell"/>
        </w:rPr>
        <w:t xml:space="preserve"> </w:t>
      </w:r>
      <w:r w:rsidR="00335BF7" w:rsidRPr="00AD2E1F">
        <w:rPr>
          <w:rFonts w:ascii="Rockwell" w:hAnsi="Rockwell"/>
        </w:rPr>
        <w:t xml:space="preserve">the </w:t>
      </w:r>
      <w:r w:rsidRPr="00AD2E1F">
        <w:rPr>
          <w:rFonts w:ascii="Rockwell" w:hAnsi="Rockwell"/>
        </w:rPr>
        <w:t>retailers often act as informal extension agents.</w:t>
      </w:r>
      <w:r w:rsidR="00DE5C03">
        <w:rPr>
          <w:rFonts w:ascii="Rockwell" w:hAnsi="Rockwell"/>
        </w:rPr>
        <w:t xml:space="preserve"> </w:t>
      </w:r>
      <w:r w:rsidR="00757DC1">
        <w:rPr>
          <w:rFonts w:ascii="Rockwell" w:hAnsi="Rockwell"/>
        </w:rPr>
        <w:t xml:space="preserve">It aligns with the report of </w:t>
      </w:r>
      <w:r w:rsidR="00757DC1" w:rsidRPr="002E2F51">
        <w:rPr>
          <w:rFonts w:ascii="Rockwell" w:hAnsi="Rockwell"/>
        </w:rPr>
        <w:t xml:space="preserve">Manasa </w:t>
      </w:r>
      <w:r w:rsidR="00757DC1" w:rsidRPr="002E2F51">
        <w:rPr>
          <w:rFonts w:ascii="Rockwell" w:hAnsi="Rockwell"/>
          <w:i/>
          <w:iCs/>
        </w:rPr>
        <w:t>et al</w:t>
      </w:r>
      <w:r w:rsidR="00757DC1" w:rsidRPr="002E2F51">
        <w:rPr>
          <w:rFonts w:ascii="Rockwell" w:hAnsi="Rockwell"/>
        </w:rPr>
        <w:t>.,</w:t>
      </w:r>
      <w:r w:rsidR="00757DC1" w:rsidRPr="00AD2E1F">
        <w:rPr>
          <w:rFonts w:ascii="Rockwell" w:hAnsi="Rockwell"/>
        </w:rPr>
        <w:t xml:space="preserve"> 2023</w:t>
      </w:r>
      <w:r w:rsidR="00757DC1">
        <w:rPr>
          <w:rFonts w:ascii="Rockwell" w:hAnsi="Rockwell"/>
        </w:rPr>
        <w:t xml:space="preserve"> that t</w:t>
      </w:r>
      <w:r w:rsidR="002E2F51" w:rsidRPr="00AD2E1F">
        <w:rPr>
          <w:rFonts w:ascii="Rockwell" w:hAnsi="Rockwell"/>
        </w:rPr>
        <w:t xml:space="preserve">he success of farming activities largely depends </w:t>
      </w:r>
      <w:r w:rsidR="002E2F51" w:rsidRPr="002E2F51">
        <w:rPr>
          <w:rFonts w:ascii="Rockwell" w:hAnsi="Rockwell"/>
        </w:rPr>
        <w:t>on the timely and efficient delivery of agro services,</w:t>
      </w:r>
      <w:r w:rsidR="002E2F51" w:rsidRPr="00AD2E1F">
        <w:rPr>
          <w:rFonts w:ascii="Rockwell" w:hAnsi="Rockwell"/>
        </w:rPr>
        <w:t xml:space="preserve"> </w:t>
      </w:r>
      <w:r w:rsidR="002E2F51" w:rsidRPr="002E2F51">
        <w:rPr>
          <w:rFonts w:ascii="Rockwell" w:hAnsi="Rockwell"/>
        </w:rPr>
        <w:t>particularly those provided by input dealers</w:t>
      </w:r>
      <w:r w:rsidR="00757DC1">
        <w:rPr>
          <w:rFonts w:ascii="Rockwell" w:hAnsi="Rockwell"/>
        </w:rPr>
        <w:t>.</w:t>
      </w:r>
    </w:p>
    <w:p w:rsidR="00D50A97" w:rsidRDefault="00D50A97" w:rsidP="00D50A97">
      <w:pPr>
        <w:ind w:firstLine="720"/>
        <w:rPr>
          <w:rFonts w:ascii="Rockwell" w:hAnsi="Rockwell"/>
        </w:rPr>
      </w:pPr>
      <w:r w:rsidRPr="00D50A97">
        <w:rPr>
          <w:rFonts w:ascii="Rockwell" w:hAnsi="Rockwell"/>
          <w:noProof/>
          <w:lang w:val="en-US"/>
        </w:rPr>
        <w:drawing>
          <wp:inline distT="0" distB="0" distL="0" distR="0">
            <wp:extent cx="4873310" cy="2897746"/>
            <wp:effectExtent l="0" t="0" r="3810" b="0"/>
            <wp:docPr id="604387326"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32195" cy="2932760"/>
                    </a:xfrm>
                    <a:prstGeom prst="rect">
                      <a:avLst/>
                    </a:prstGeom>
                    <a:noFill/>
                    <a:ln>
                      <a:noFill/>
                    </a:ln>
                  </pic:spPr>
                </pic:pic>
              </a:graphicData>
            </a:graphic>
          </wp:inline>
        </w:drawing>
      </w:r>
    </w:p>
    <w:p w:rsidR="00760CDD" w:rsidRPr="00AD2E1F" w:rsidRDefault="00675C45" w:rsidP="00DE3F69">
      <w:pPr>
        <w:ind w:firstLine="720"/>
        <w:jc w:val="both"/>
        <w:rPr>
          <w:rFonts w:ascii="Rockwell" w:hAnsi="Rockwell"/>
          <w:b/>
          <w:bCs/>
        </w:rPr>
      </w:pPr>
      <w:r w:rsidRPr="00AD2E1F">
        <w:rPr>
          <w:rFonts w:ascii="Rockwell" w:hAnsi="Rockwell"/>
        </w:rPr>
        <w:t>Although traditional media and events like exhibitions had a limited contribution (4%), they still serve as complementary tools in creating awareness. Collectively, these findings underscore the multifaceted nature of information flow in rural settings and highlight the importance of integrating multiple channels to reach a wider farming audience.</w:t>
      </w:r>
      <w:r w:rsidR="00401789" w:rsidRPr="00AD2E1F">
        <w:rPr>
          <w:rFonts w:ascii="Rockwell" w:hAnsi="Rockwell"/>
        </w:rPr>
        <w:t xml:space="preserve"> </w:t>
      </w:r>
      <w:r w:rsidR="00DE3F69" w:rsidRPr="00AD2E1F">
        <w:rPr>
          <w:rFonts w:ascii="Rockwell" w:hAnsi="Rockwell"/>
        </w:rPr>
        <w:t xml:space="preserve"> Awareness dearth and accessibility were limiting TNAU’s coconut tonic use. Recently, the product was included with digital marketing platform </w:t>
      </w:r>
      <w:proofErr w:type="spellStart"/>
      <w:r w:rsidR="00D50A97" w:rsidRPr="00D50A97">
        <w:rPr>
          <w:rFonts w:ascii="Rockwell" w:hAnsi="Rockwell"/>
          <w:i/>
          <w:iCs/>
        </w:rPr>
        <w:t>viz.</w:t>
      </w:r>
      <w:proofErr w:type="gramStart"/>
      <w:r w:rsidR="00D50A97">
        <w:rPr>
          <w:rFonts w:ascii="Rockwell" w:hAnsi="Rockwell"/>
        </w:rPr>
        <w:t>,</w:t>
      </w:r>
      <w:r w:rsidR="00DE3F69" w:rsidRPr="00D50A97">
        <w:rPr>
          <w:rFonts w:ascii="Rockwell" w:hAnsi="Rockwell"/>
        </w:rPr>
        <w:t>tnauagricart</w:t>
      </w:r>
      <w:proofErr w:type="spellEnd"/>
      <w:proofErr w:type="gramEnd"/>
      <w:r w:rsidR="00D50A97" w:rsidRPr="00D50A97">
        <w:rPr>
          <w:rFonts w:ascii="Rockwell" w:hAnsi="Rockwell"/>
        </w:rPr>
        <w:t xml:space="preserve"> </w:t>
      </w:r>
      <w:r w:rsidR="00DE3F69" w:rsidRPr="00AD2E1F">
        <w:rPr>
          <w:rFonts w:ascii="Rockwell" w:hAnsi="Rockwell"/>
        </w:rPr>
        <w:t xml:space="preserve"> of TNAU</w:t>
      </w:r>
      <w:r w:rsidR="00DE3F69" w:rsidRPr="00AD2E1F">
        <w:rPr>
          <w:rFonts w:ascii="Rockwell" w:hAnsi="Rockwell"/>
          <w:b/>
          <w:bCs/>
        </w:rPr>
        <w:t xml:space="preserve">. </w:t>
      </w:r>
      <w:r w:rsidR="00DE3F69" w:rsidRPr="00AD2E1F">
        <w:rPr>
          <w:rFonts w:ascii="Rockwell" w:hAnsi="Rockwell"/>
        </w:rPr>
        <w:t>(</w:t>
      </w:r>
      <w:proofErr w:type="spellStart"/>
      <w:r w:rsidR="00DE3F69" w:rsidRPr="00AD2E1F">
        <w:rPr>
          <w:rFonts w:ascii="Rockwell" w:hAnsi="Rockwell"/>
        </w:rPr>
        <w:t>Rathinavel</w:t>
      </w:r>
      <w:proofErr w:type="spellEnd"/>
      <w:r w:rsidR="00DE3F69" w:rsidRPr="00AD2E1F">
        <w:rPr>
          <w:rFonts w:ascii="Rockwell" w:hAnsi="Rockwell"/>
        </w:rPr>
        <w:t xml:space="preserve"> </w:t>
      </w:r>
      <w:r w:rsidR="00DE3F69" w:rsidRPr="00AD2E1F">
        <w:rPr>
          <w:rFonts w:ascii="Rockwell" w:hAnsi="Rockwell"/>
          <w:i/>
          <w:iCs/>
        </w:rPr>
        <w:t>et al</w:t>
      </w:r>
      <w:r w:rsidR="00DE3F69" w:rsidRPr="00AD2E1F">
        <w:rPr>
          <w:rFonts w:ascii="Rockwell" w:hAnsi="Rockwell"/>
        </w:rPr>
        <w:t>.,2024)</w:t>
      </w:r>
    </w:p>
    <w:p w:rsidR="00CE0A85" w:rsidRPr="00AD2E1F" w:rsidRDefault="00CE0A85" w:rsidP="00CE0A85">
      <w:pPr>
        <w:jc w:val="both"/>
        <w:rPr>
          <w:rFonts w:ascii="Rockwell" w:hAnsi="Rockwell"/>
          <w:b/>
          <w:bCs/>
        </w:rPr>
      </w:pPr>
      <w:r w:rsidRPr="00AD2E1F">
        <w:rPr>
          <w:rFonts w:ascii="Rockwell" w:hAnsi="Rockwell"/>
          <w:b/>
          <w:bCs/>
        </w:rPr>
        <w:t>Adoption Status</w:t>
      </w:r>
    </w:p>
    <w:p w:rsidR="00CE0A85" w:rsidRPr="00AD2E1F" w:rsidRDefault="00CE0A85" w:rsidP="00CE0A85">
      <w:pPr>
        <w:jc w:val="both"/>
        <w:rPr>
          <w:rFonts w:ascii="Rockwell" w:hAnsi="Rockwell"/>
        </w:rPr>
      </w:pPr>
      <w:commentRangeStart w:id="1"/>
      <w:r w:rsidRPr="00AD2E1F">
        <w:rPr>
          <w:rFonts w:ascii="Rockwell" w:hAnsi="Rockwell"/>
        </w:rPr>
        <w:t xml:space="preserve">Among the </w:t>
      </w:r>
      <w:r w:rsidR="00347262" w:rsidRPr="00AD2E1F">
        <w:rPr>
          <w:rFonts w:ascii="Rockwell" w:hAnsi="Rockwell"/>
        </w:rPr>
        <w:t>8</w:t>
      </w:r>
      <w:r w:rsidRPr="00AD2E1F">
        <w:rPr>
          <w:rFonts w:ascii="Rockwell" w:hAnsi="Rockwell"/>
        </w:rPr>
        <w:t>2 farmers who were aware of the tonic:</w:t>
      </w:r>
    </w:p>
    <w:p w:rsidR="00CE0A85" w:rsidRPr="00AD2E1F" w:rsidRDefault="00347262" w:rsidP="00CE0A85">
      <w:pPr>
        <w:numPr>
          <w:ilvl w:val="0"/>
          <w:numId w:val="4"/>
        </w:numPr>
        <w:jc w:val="both"/>
        <w:rPr>
          <w:rFonts w:ascii="Rockwell" w:hAnsi="Rockwell"/>
        </w:rPr>
      </w:pPr>
      <w:r w:rsidRPr="00AD2E1F">
        <w:rPr>
          <w:rFonts w:ascii="Rockwell" w:hAnsi="Rockwell"/>
        </w:rPr>
        <w:t>56</w:t>
      </w:r>
      <w:r w:rsidR="00CE0A85" w:rsidRPr="00AD2E1F">
        <w:rPr>
          <w:rFonts w:ascii="Rockwell" w:hAnsi="Rockwell"/>
        </w:rPr>
        <w:t xml:space="preserve"> farmers (</w:t>
      </w:r>
      <w:r w:rsidRPr="00AD2E1F">
        <w:rPr>
          <w:rFonts w:ascii="Rockwell" w:hAnsi="Rockwell"/>
        </w:rPr>
        <w:t>68</w:t>
      </w:r>
      <w:r w:rsidR="00CE0A85" w:rsidRPr="00AD2E1F">
        <w:rPr>
          <w:rFonts w:ascii="Rockwell" w:hAnsi="Rockwell"/>
        </w:rPr>
        <w:t>%) had adopted it in their fields.</w:t>
      </w:r>
    </w:p>
    <w:p w:rsidR="00CE0A85" w:rsidRPr="00AD2E1F" w:rsidRDefault="00CE0A85" w:rsidP="00CE0A85">
      <w:pPr>
        <w:numPr>
          <w:ilvl w:val="0"/>
          <w:numId w:val="4"/>
        </w:numPr>
        <w:jc w:val="both"/>
        <w:rPr>
          <w:rFonts w:ascii="Rockwell" w:hAnsi="Rockwell"/>
        </w:rPr>
      </w:pPr>
      <w:r w:rsidRPr="00AD2E1F">
        <w:rPr>
          <w:rFonts w:ascii="Rockwell" w:hAnsi="Rockwell"/>
        </w:rPr>
        <w:t>2</w:t>
      </w:r>
      <w:r w:rsidR="00347262" w:rsidRPr="00AD2E1F">
        <w:rPr>
          <w:rFonts w:ascii="Rockwell" w:hAnsi="Rockwell"/>
        </w:rPr>
        <w:t>6</w:t>
      </w:r>
      <w:r w:rsidRPr="00AD2E1F">
        <w:rPr>
          <w:rFonts w:ascii="Rockwell" w:hAnsi="Rockwell"/>
        </w:rPr>
        <w:t xml:space="preserve"> farmers (</w:t>
      </w:r>
      <w:r w:rsidR="00347262" w:rsidRPr="00AD2E1F">
        <w:rPr>
          <w:rFonts w:ascii="Rockwell" w:hAnsi="Rockwell"/>
        </w:rPr>
        <w:t>32</w:t>
      </w:r>
      <w:r w:rsidRPr="00AD2E1F">
        <w:rPr>
          <w:rFonts w:ascii="Rockwell" w:hAnsi="Rockwell"/>
        </w:rPr>
        <w:t>%) had not adopted the tonic despite being aware of it.</w:t>
      </w:r>
    </w:p>
    <w:commentRangeEnd w:id="1"/>
    <w:p w:rsidR="00CE0A85" w:rsidRPr="00AD2E1F" w:rsidRDefault="009A5BE7" w:rsidP="00CE0A85">
      <w:pPr>
        <w:jc w:val="both"/>
        <w:rPr>
          <w:rFonts w:ascii="Rockwell" w:hAnsi="Rockwell"/>
          <w:b/>
          <w:bCs/>
        </w:rPr>
      </w:pPr>
      <w:r>
        <w:rPr>
          <w:rStyle w:val="CommentReference"/>
        </w:rPr>
        <w:commentReference w:id="1"/>
      </w:r>
      <w:r w:rsidR="00CE0A85" w:rsidRPr="00AD2E1F">
        <w:rPr>
          <w:rFonts w:ascii="Rockwell" w:hAnsi="Rockwell"/>
          <w:b/>
          <w:bCs/>
        </w:rPr>
        <w:t>Reasons for Non-Adoption</w:t>
      </w:r>
    </w:p>
    <w:p w:rsidR="00CE0A85" w:rsidRPr="00AD2E1F" w:rsidRDefault="00CE0A85" w:rsidP="00D03F9E">
      <w:pPr>
        <w:ind w:firstLine="720"/>
        <w:jc w:val="both"/>
        <w:rPr>
          <w:rFonts w:ascii="Rockwell" w:hAnsi="Rockwell"/>
        </w:rPr>
      </w:pPr>
      <w:r w:rsidRPr="00AD2E1F">
        <w:rPr>
          <w:rFonts w:ascii="Rockwell" w:hAnsi="Rockwell"/>
        </w:rPr>
        <w:t xml:space="preserve">The </w:t>
      </w:r>
      <w:r w:rsidR="00D03F9E" w:rsidRPr="00AD2E1F">
        <w:rPr>
          <w:rFonts w:ascii="Rockwell" w:hAnsi="Rockwell"/>
        </w:rPr>
        <w:t>26</w:t>
      </w:r>
      <w:r w:rsidRPr="00AD2E1F">
        <w:rPr>
          <w:rFonts w:ascii="Rockwell" w:hAnsi="Rockwell"/>
        </w:rPr>
        <w:t xml:space="preserve"> farmers who had not adopted the tonic despite being aware of it </w:t>
      </w:r>
      <w:commentRangeStart w:id="2"/>
      <w:r w:rsidRPr="00AD2E1F">
        <w:rPr>
          <w:rFonts w:ascii="Rockwell" w:hAnsi="Rockwell"/>
        </w:rPr>
        <w:t>cited the following reasons</w:t>
      </w:r>
      <w:commentRangeEnd w:id="2"/>
      <w:r w:rsidR="009A5BE7">
        <w:rPr>
          <w:rStyle w:val="CommentReference"/>
        </w:rPr>
        <w:commentReference w:id="2"/>
      </w:r>
      <w:r w:rsidRPr="00AD2E1F">
        <w:rPr>
          <w:rFonts w:ascii="Rockwell" w:hAnsi="Rockwell"/>
        </w:rPr>
        <w:t>:</w:t>
      </w:r>
      <w:r w:rsidR="00AE6975">
        <w:rPr>
          <w:rFonts w:ascii="Rockwell" w:hAnsi="Rockwell"/>
        </w:rPr>
        <w:t xml:space="preserve">                                                                                              (n=26)</w:t>
      </w:r>
    </w:p>
    <w:tbl>
      <w:tblPr>
        <w:tblStyle w:val="TableGrid"/>
        <w:tblW w:w="0" w:type="auto"/>
        <w:tblLook w:val="04A0"/>
      </w:tblPr>
      <w:tblGrid>
        <w:gridCol w:w="1124"/>
        <w:gridCol w:w="3549"/>
        <w:gridCol w:w="2693"/>
        <w:gridCol w:w="1650"/>
      </w:tblGrid>
      <w:tr w:rsidR="00D03F9E" w:rsidRPr="00AD2E1F" w:rsidTr="00EE3AF4">
        <w:tc>
          <w:tcPr>
            <w:tcW w:w="1124" w:type="dxa"/>
          </w:tcPr>
          <w:p w:rsidR="00D03F9E" w:rsidRPr="00AD2E1F" w:rsidRDefault="00D03F9E" w:rsidP="00D03F9E">
            <w:pPr>
              <w:jc w:val="both"/>
              <w:rPr>
                <w:rFonts w:ascii="Rockwell" w:hAnsi="Rockwell"/>
                <w:b/>
                <w:bCs/>
              </w:rPr>
            </w:pPr>
            <w:proofErr w:type="spellStart"/>
            <w:r w:rsidRPr="00AD2E1F">
              <w:rPr>
                <w:rFonts w:ascii="Rockwell" w:hAnsi="Rockwell"/>
                <w:b/>
                <w:bCs/>
              </w:rPr>
              <w:t>Sl.No</w:t>
            </w:r>
            <w:proofErr w:type="spellEnd"/>
          </w:p>
        </w:tc>
        <w:tc>
          <w:tcPr>
            <w:tcW w:w="3549" w:type="dxa"/>
          </w:tcPr>
          <w:p w:rsidR="00D03F9E" w:rsidRPr="00AD2E1F" w:rsidRDefault="00D03F9E" w:rsidP="00D03F9E">
            <w:pPr>
              <w:jc w:val="both"/>
              <w:rPr>
                <w:rFonts w:ascii="Rockwell" w:hAnsi="Rockwell"/>
                <w:b/>
                <w:bCs/>
              </w:rPr>
            </w:pPr>
            <w:r w:rsidRPr="00AD2E1F">
              <w:rPr>
                <w:rFonts w:ascii="Rockwell" w:hAnsi="Rockwell"/>
                <w:b/>
                <w:bCs/>
              </w:rPr>
              <w:t>Reason</w:t>
            </w:r>
            <w:r w:rsidR="00F7255E" w:rsidRPr="00AD2E1F">
              <w:rPr>
                <w:rFonts w:ascii="Rockwell" w:hAnsi="Rockwell"/>
                <w:b/>
                <w:bCs/>
              </w:rPr>
              <w:t>s</w:t>
            </w:r>
            <w:r w:rsidRPr="00AD2E1F">
              <w:rPr>
                <w:rFonts w:ascii="Rockwell" w:hAnsi="Rockwell"/>
                <w:b/>
                <w:bCs/>
              </w:rPr>
              <w:t xml:space="preserve"> for Non-Adoption</w:t>
            </w:r>
          </w:p>
        </w:tc>
        <w:tc>
          <w:tcPr>
            <w:tcW w:w="2693" w:type="dxa"/>
          </w:tcPr>
          <w:p w:rsidR="00D03F9E" w:rsidRPr="00AD2E1F" w:rsidRDefault="00D03F9E" w:rsidP="00D03F9E">
            <w:pPr>
              <w:jc w:val="both"/>
              <w:rPr>
                <w:rFonts w:ascii="Rockwell" w:hAnsi="Rockwell"/>
                <w:b/>
                <w:bCs/>
              </w:rPr>
            </w:pPr>
            <w:r w:rsidRPr="00AD2E1F">
              <w:rPr>
                <w:rFonts w:ascii="Rockwell" w:hAnsi="Rockwell"/>
                <w:b/>
                <w:bCs/>
              </w:rPr>
              <w:t>No. of Respondents</w:t>
            </w:r>
          </w:p>
        </w:tc>
        <w:tc>
          <w:tcPr>
            <w:tcW w:w="1650" w:type="dxa"/>
          </w:tcPr>
          <w:p w:rsidR="00D03F9E" w:rsidRPr="00AD2E1F" w:rsidRDefault="00D03F9E" w:rsidP="00593AFE">
            <w:pPr>
              <w:jc w:val="center"/>
              <w:rPr>
                <w:rFonts w:ascii="Rockwell" w:hAnsi="Rockwell"/>
                <w:b/>
                <w:bCs/>
              </w:rPr>
            </w:pPr>
            <w:r w:rsidRPr="00AD2E1F">
              <w:rPr>
                <w:rFonts w:ascii="Rockwell" w:hAnsi="Rockwell"/>
                <w:b/>
                <w:bCs/>
              </w:rPr>
              <w:t>Per</w:t>
            </w:r>
            <w:r w:rsidR="00EE3AF4" w:rsidRPr="00AD2E1F">
              <w:rPr>
                <w:rFonts w:ascii="Rockwell" w:hAnsi="Rockwell"/>
                <w:b/>
                <w:bCs/>
              </w:rPr>
              <w:t xml:space="preserve"> </w:t>
            </w:r>
            <w:r w:rsidRPr="00AD2E1F">
              <w:rPr>
                <w:rFonts w:ascii="Rockwell" w:hAnsi="Rockwell"/>
                <w:b/>
                <w:bCs/>
              </w:rPr>
              <w:t>cent (%)</w:t>
            </w:r>
          </w:p>
        </w:tc>
      </w:tr>
      <w:tr w:rsidR="00D03F9E" w:rsidRPr="00AD2E1F" w:rsidTr="00EE3AF4">
        <w:tc>
          <w:tcPr>
            <w:tcW w:w="1124" w:type="dxa"/>
          </w:tcPr>
          <w:p w:rsidR="00D03F9E" w:rsidRPr="00AD2E1F" w:rsidRDefault="00D03F9E" w:rsidP="00D03F9E">
            <w:pPr>
              <w:jc w:val="both"/>
              <w:rPr>
                <w:rFonts w:ascii="Rockwell" w:hAnsi="Rockwell"/>
              </w:rPr>
            </w:pPr>
            <w:r w:rsidRPr="00AD2E1F">
              <w:rPr>
                <w:rFonts w:ascii="Rockwell" w:hAnsi="Rockwell"/>
              </w:rPr>
              <w:t>1</w:t>
            </w:r>
          </w:p>
        </w:tc>
        <w:tc>
          <w:tcPr>
            <w:tcW w:w="3549" w:type="dxa"/>
            <w:vAlign w:val="center"/>
          </w:tcPr>
          <w:p w:rsidR="00D03F9E" w:rsidRPr="00AD2E1F" w:rsidRDefault="00D03F9E" w:rsidP="00D03F9E">
            <w:pPr>
              <w:jc w:val="both"/>
              <w:rPr>
                <w:rFonts w:ascii="Rockwell" w:hAnsi="Rockwell"/>
              </w:rPr>
            </w:pPr>
            <w:r w:rsidRPr="00AD2E1F">
              <w:rPr>
                <w:rFonts w:ascii="Rockwell" w:hAnsi="Rockwell"/>
              </w:rPr>
              <w:t>Lack of technical knowledge</w:t>
            </w:r>
          </w:p>
        </w:tc>
        <w:tc>
          <w:tcPr>
            <w:tcW w:w="2693" w:type="dxa"/>
            <w:vAlign w:val="center"/>
          </w:tcPr>
          <w:p w:rsidR="00D03F9E" w:rsidRPr="00AD2E1F" w:rsidRDefault="00D03F9E" w:rsidP="00D03F9E">
            <w:pPr>
              <w:jc w:val="center"/>
              <w:rPr>
                <w:rFonts w:ascii="Rockwell" w:hAnsi="Rockwell"/>
              </w:rPr>
            </w:pPr>
            <w:r w:rsidRPr="00AD2E1F">
              <w:rPr>
                <w:rFonts w:ascii="Rockwell" w:hAnsi="Rockwell"/>
              </w:rPr>
              <w:t>9</w:t>
            </w:r>
          </w:p>
        </w:tc>
        <w:tc>
          <w:tcPr>
            <w:tcW w:w="1650" w:type="dxa"/>
            <w:vAlign w:val="center"/>
          </w:tcPr>
          <w:p w:rsidR="00D03F9E" w:rsidRPr="00AD2E1F" w:rsidRDefault="00D03F9E" w:rsidP="00593AFE">
            <w:pPr>
              <w:jc w:val="center"/>
              <w:rPr>
                <w:rFonts w:ascii="Rockwell" w:hAnsi="Rockwell"/>
              </w:rPr>
            </w:pPr>
            <w:r w:rsidRPr="00AD2E1F">
              <w:rPr>
                <w:rFonts w:ascii="Rockwell" w:hAnsi="Rockwell"/>
              </w:rPr>
              <w:t>35</w:t>
            </w:r>
          </w:p>
        </w:tc>
      </w:tr>
      <w:tr w:rsidR="00D03F9E" w:rsidRPr="00AD2E1F" w:rsidTr="00EE3AF4">
        <w:tc>
          <w:tcPr>
            <w:tcW w:w="1124" w:type="dxa"/>
          </w:tcPr>
          <w:p w:rsidR="00D03F9E" w:rsidRPr="00AD2E1F" w:rsidRDefault="00D03F9E" w:rsidP="00D03F9E">
            <w:pPr>
              <w:jc w:val="both"/>
              <w:rPr>
                <w:rFonts w:ascii="Rockwell" w:hAnsi="Rockwell"/>
              </w:rPr>
            </w:pPr>
            <w:r w:rsidRPr="00AD2E1F">
              <w:rPr>
                <w:rFonts w:ascii="Rockwell" w:hAnsi="Rockwell"/>
              </w:rPr>
              <w:t>2</w:t>
            </w:r>
          </w:p>
        </w:tc>
        <w:tc>
          <w:tcPr>
            <w:tcW w:w="3549" w:type="dxa"/>
            <w:vAlign w:val="center"/>
          </w:tcPr>
          <w:p w:rsidR="00D03F9E" w:rsidRPr="00AD2E1F" w:rsidRDefault="00D03F9E" w:rsidP="00D03F9E">
            <w:pPr>
              <w:jc w:val="both"/>
              <w:rPr>
                <w:rFonts w:ascii="Rockwell" w:hAnsi="Rockwell"/>
              </w:rPr>
            </w:pPr>
            <w:r w:rsidRPr="00AD2E1F">
              <w:rPr>
                <w:rFonts w:ascii="Rockwell" w:hAnsi="Rockwell"/>
              </w:rPr>
              <w:t>High cost</w:t>
            </w:r>
          </w:p>
        </w:tc>
        <w:tc>
          <w:tcPr>
            <w:tcW w:w="2693" w:type="dxa"/>
            <w:vAlign w:val="center"/>
          </w:tcPr>
          <w:p w:rsidR="00D03F9E" w:rsidRPr="00AD2E1F" w:rsidRDefault="00D03F9E" w:rsidP="00D03F9E">
            <w:pPr>
              <w:jc w:val="center"/>
              <w:rPr>
                <w:rFonts w:ascii="Rockwell" w:hAnsi="Rockwell"/>
              </w:rPr>
            </w:pPr>
            <w:r w:rsidRPr="00AD2E1F">
              <w:rPr>
                <w:rFonts w:ascii="Rockwell" w:hAnsi="Rockwell"/>
              </w:rPr>
              <w:t>7</w:t>
            </w:r>
          </w:p>
        </w:tc>
        <w:tc>
          <w:tcPr>
            <w:tcW w:w="1650" w:type="dxa"/>
            <w:vAlign w:val="center"/>
          </w:tcPr>
          <w:p w:rsidR="00D03F9E" w:rsidRPr="00AD2E1F" w:rsidRDefault="00D03F9E" w:rsidP="00593AFE">
            <w:pPr>
              <w:jc w:val="center"/>
              <w:rPr>
                <w:rFonts w:ascii="Rockwell" w:hAnsi="Rockwell"/>
              </w:rPr>
            </w:pPr>
            <w:r w:rsidRPr="00AD2E1F">
              <w:rPr>
                <w:rFonts w:ascii="Rockwell" w:hAnsi="Rockwell"/>
              </w:rPr>
              <w:t>27</w:t>
            </w:r>
          </w:p>
        </w:tc>
      </w:tr>
      <w:tr w:rsidR="00D03F9E" w:rsidRPr="00AD2E1F" w:rsidTr="00EE3AF4">
        <w:tc>
          <w:tcPr>
            <w:tcW w:w="1124" w:type="dxa"/>
          </w:tcPr>
          <w:p w:rsidR="00D03F9E" w:rsidRPr="00AD2E1F" w:rsidRDefault="00D03F9E" w:rsidP="00D03F9E">
            <w:pPr>
              <w:jc w:val="both"/>
              <w:rPr>
                <w:rFonts w:ascii="Rockwell" w:hAnsi="Rockwell"/>
              </w:rPr>
            </w:pPr>
            <w:r w:rsidRPr="00AD2E1F">
              <w:rPr>
                <w:rFonts w:ascii="Rockwell" w:hAnsi="Rockwell"/>
              </w:rPr>
              <w:t>3</w:t>
            </w:r>
          </w:p>
        </w:tc>
        <w:tc>
          <w:tcPr>
            <w:tcW w:w="3549" w:type="dxa"/>
            <w:vAlign w:val="center"/>
          </w:tcPr>
          <w:p w:rsidR="00D03F9E" w:rsidRPr="00AD2E1F" w:rsidRDefault="00D03F9E" w:rsidP="00D03F9E">
            <w:pPr>
              <w:jc w:val="both"/>
              <w:rPr>
                <w:rFonts w:ascii="Rockwell" w:hAnsi="Rockwell"/>
              </w:rPr>
            </w:pPr>
            <w:r w:rsidRPr="00AD2E1F">
              <w:rPr>
                <w:rFonts w:ascii="Rockwell" w:hAnsi="Rockwell"/>
              </w:rPr>
              <w:t>Unavailability of the product</w:t>
            </w:r>
          </w:p>
        </w:tc>
        <w:tc>
          <w:tcPr>
            <w:tcW w:w="2693" w:type="dxa"/>
            <w:vAlign w:val="center"/>
          </w:tcPr>
          <w:p w:rsidR="00D03F9E" w:rsidRPr="00AD2E1F" w:rsidRDefault="00D03F9E" w:rsidP="00D03F9E">
            <w:pPr>
              <w:jc w:val="center"/>
              <w:rPr>
                <w:rFonts w:ascii="Rockwell" w:hAnsi="Rockwell"/>
              </w:rPr>
            </w:pPr>
            <w:r w:rsidRPr="00AD2E1F">
              <w:rPr>
                <w:rFonts w:ascii="Rockwell" w:hAnsi="Rockwell"/>
              </w:rPr>
              <w:t>7</w:t>
            </w:r>
          </w:p>
        </w:tc>
        <w:tc>
          <w:tcPr>
            <w:tcW w:w="1650" w:type="dxa"/>
            <w:vAlign w:val="center"/>
          </w:tcPr>
          <w:p w:rsidR="00D03F9E" w:rsidRPr="00AD2E1F" w:rsidRDefault="005D1B93" w:rsidP="00593AFE">
            <w:pPr>
              <w:jc w:val="center"/>
              <w:rPr>
                <w:rFonts w:ascii="Rockwell" w:hAnsi="Rockwell"/>
              </w:rPr>
            </w:pPr>
            <w:r w:rsidRPr="00AD2E1F">
              <w:rPr>
                <w:rFonts w:ascii="Rockwell" w:hAnsi="Rockwell"/>
              </w:rPr>
              <w:t>27</w:t>
            </w:r>
          </w:p>
        </w:tc>
      </w:tr>
      <w:tr w:rsidR="00D03F9E" w:rsidRPr="00AD2E1F" w:rsidTr="00EE3AF4">
        <w:tc>
          <w:tcPr>
            <w:tcW w:w="1124" w:type="dxa"/>
          </w:tcPr>
          <w:p w:rsidR="00D03F9E" w:rsidRPr="00AD2E1F" w:rsidRDefault="00D03F9E" w:rsidP="00D03F9E">
            <w:pPr>
              <w:jc w:val="both"/>
              <w:rPr>
                <w:rFonts w:ascii="Rockwell" w:hAnsi="Rockwell"/>
              </w:rPr>
            </w:pPr>
            <w:r w:rsidRPr="00AD2E1F">
              <w:rPr>
                <w:rFonts w:ascii="Rockwell" w:hAnsi="Rockwell"/>
              </w:rPr>
              <w:t>4</w:t>
            </w:r>
          </w:p>
        </w:tc>
        <w:tc>
          <w:tcPr>
            <w:tcW w:w="3549" w:type="dxa"/>
            <w:vAlign w:val="center"/>
          </w:tcPr>
          <w:p w:rsidR="00D03F9E" w:rsidRPr="00AD2E1F" w:rsidRDefault="00D03F9E" w:rsidP="00D03F9E">
            <w:pPr>
              <w:jc w:val="both"/>
              <w:rPr>
                <w:rFonts w:ascii="Rockwell" w:hAnsi="Rockwell"/>
              </w:rPr>
            </w:pPr>
            <w:r w:rsidRPr="00AD2E1F">
              <w:rPr>
                <w:rFonts w:ascii="Rockwell" w:hAnsi="Rockwell"/>
              </w:rPr>
              <w:t>Doubts about effectiveness</w:t>
            </w:r>
          </w:p>
        </w:tc>
        <w:tc>
          <w:tcPr>
            <w:tcW w:w="2693" w:type="dxa"/>
            <w:vAlign w:val="center"/>
          </w:tcPr>
          <w:p w:rsidR="00D03F9E" w:rsidRPr="00AD2E1F" w:rsidRDefault="00AE6975" w:rsidP="00D03F9E">
            <w:pPr>
              <w:jc w:val="center"/>
              <w:rPr>
                <w:rFonts w:ascii="Rockwell" w:hAnsi="Rockwell"/>
              </w:rPr>
            </w:pPr>
            <w:r>
              <w:rPr>
                <w:rFonts w:ascii="Rockwell" w:hAnsi="Rockwell"/>
              </w:rPr>
              <w:t>3</w:t>
            </w:r>
          </w:p>
        </w:tc>
        <w:tc>
          <w:tcPr>
            <w:tcW w:w="1650" w:type="dxa"/>
            <w:vAlign w:val="center"/>
          </w:tcPr>
          <w:p w:rsidR="00D03F9E" w:rsidRPr="00AD2E1F" w:rsidRDefault="00AE6975" w:rsidP="00593AFE">
            <w:pPr>
              <w:jc w:val="center"/>
              <w:rPr>
                <w:rFonts w:ascii="Rockwell" w:hAnsi="Rockwell"/>
              </w:rPr>
            </w:pPr>
            <w:r>
              <w:rPr>
                <w:rFonts w:ascii="Rockwell" w:hAnsi="Rockwell"/>
              </w:rPr>
              <w:t>11</w:t>
            </w:r>
          </w:p>
        </w:tc>
      </w:tr>
    </w:tbl>
    <w:p w:rsidR="00D03F9E" w:rsidRPr="00AD2E1F" w:rsidRDefault="00D03F9E" w:rsidP="00CE0A85">
      <w:pPr>
        <w:jc w:val="both"/>
        <w:rPr>
          <w:rFonts w:ascii="Rockwell" w:hAnsi="Rockwell"/>
        </w:rPr>
      </w:pPr>
    </w:p>
    <w:p w:rsidR="00361318" w:rsidRDefault="00593AFE" w:rsidP="00593AFE">
      <w:pPr>
        <w:ind w:firstLine="720"/>
        <w:jc w:val="both"/>
        <w:rPr>
          <w:rFonts w:ascii="Rockwell" w:hAnsi="Rockwell"/>
        </w:rPr>
      </w:pPr>
      <w:r w:rsidRPr="00AD2E1F">
        <w:rPr>
          <w:rFonts w:ascii="Rockwell" w:hAnsi="Rockwell"/>
        </w:rPr>
        <w:t xml:space="preserve">Among the 26 farmers who were aware of the coconut tonic but chose not to adopt it, several key reasons were identified. The predominant barrier, cited by 35% of respondents, was a lack of technical knowledge regarding the proper usage and benefits of the tonic. Additionally, 27% of farmers pointed to the high cost of the product as a significant constraint, while an equal percentage (27%) reported difficulty in accessing or unavailability of the tonic in local markets. </w:t>
      </w:r>
      <w:r w:rsidR="00361318" w:rsidRPr="00361318">
        <w:rPr>
          <w:rFonts w:ascii="Rockwell" w:hAnsi="Rockwell"/>
        </w:rPr>
        <w:t xml:space="preserve">Around 11% of the respondents remained doubtful about the </w:t>
      </w:r>
      <w:r w:rsidR="00361318">
        <w:rPr>
          <w:rFonts w:ascii="Rockwell" w:hAnsi="Rockwell"/>
        </w:rPr>
        <w:t xml:space="preserve">coconut </w:t>
      </w:r>
      <w:r w:rsidR="00361318" w:rsidRPr="00361318">
        <w:rPr>
          <w:rFonts w:ascii="Rockwell" w:hAnsi="Rockwell"/>
        </w:rPr>
        <w:t>tonic’s effectiveness, which made them hesitant to adopt it</w:t>
      </w:r>
      <w:r w:rsidR="00361318">
        <w:rPr>
          <w:rFonts w:ascii="Rockwell" w:hAnsi="Rockwell"/>
        </w:rPr>
        <w:t>.</w:t>
      </w:r>
    </w:p>
    <w:p w:rsidR="00593AFE" w:rsidRPr="00AD2E1F" w:rsidRDefault="00593AFE" w:rsidP="00593AFE">
      <w:pPr>
        <w:ind w:firstLine="720"/>
        <w:jc w:val="both"/>
        <w:rPr>
          <w:rFonts w:ascii="Rockwell" w:hAnsi="Rockwell"/>
        </w:rPr>
      </w:pPr>
      <w:r w:rsidRPr="00AD2E1F">
        <w:rPr>
          <w:rFonts w:ascii="Rockwell" w:hAnsi="Rockwell"/>
        </w:rPr>
        <w:t>These findings highlight the need for targeted awareness programs, cost-reduction strategies, and improved distribution networks to enhance adoption rates among coconut farmers.</w:t>
      </w:r>
    </w:p>
    <w:p w:rsidR="00445034" w:rsidRPr="00AD2E1F" w:rsidRDefault="00445034" w:rsidP="009C53C7">
      <w:pPr>
        <w:jc w:val="both"/>
        <w:rPr>
          <w:rFonts w:ascii="Rockwell" w:hAnsi="Rockwell"/>
          <w:b/>
          <w:bCs/>
        </w:rPr>
      </w:pPr>
      <w:r w:rsidRPr="00AD2E1F">
        <w:rPr>
          <w:rFonts w:ascii="Rockwell" w:hAnsi="Rockwell"/>
          <w:b/>
          <w:bCs/>
        </w:rPr>
        <w:t xml:space="preserve">Constraints </w:t>
      </w:r>
      <w:r w:rsidR="00593AFE" w:rsidRPr="00AD2E1F">
        <w:rPr>
          <w:rFonts w:ascii="Rockwell" w:hAnsi="Rockwell"/>
          <w:b/>
          <w:bCs/>
        </w:rPr>
        <w:t>f</w:t>
      </w:r>
      <w:r w:rsidRPr="00AD2E1F">
        <w:rPr>
          <w:rFonts w:ascii="Rockwell" w:hAnsi="Rockwell"/>
          <w:b/>
          <w:bCs/>
        </w:rPr>
        <w:t xml:space="preserve">aced by </w:t>
      </w:r>
      <w:r w:rsidR="0037585B" w:rsidRPr="00AD2E1F">
        <w:rPr>
          <w:rFonts w:ascii="Rockwell" w:hAnsi="Rockwell"/>
          <w:b/>
          <w:bCs/>
        </w:rPr>
        <w:t>coconut f</w:t>
      </w:r>
      <w:r w:rsidRPr="00AD2E1F">
        <w:rPr>
          <w:rFonts w:ascii="Rockwell" w:hAnsi="Rockwell"/>
          <w:b/>
          <w:bCs/>
        </w:rPr>
        <w:t>armers</w:t>
      </w:r>
    </w:p>
    <w:p w:rsidR="00445034" w:rsidRPr="00AD2E1F" w:rsidRDefault="00445034" w:rsidP="00EE3AF4">
      <w:pPr>
        <w:ind w:firstLine="720"/>
        <w:jc w:val="both"/>
        <w:rPr>
          <w:rFonts w:ascii="Rockwell" w:hAnsi="Rockwell"/>
        </w:rPr>
      </w:pPr>
      <w:r w:rsidRPr="00AD2E1F">
        <w:rPr>
          <w:rFonts w:ascii="Rockwell" w:hAnsi="Rockwell"/>
        </w:rPr>
        <w:t xml:space="preserve">A wide range of constraints was reported by the respondents, as summarized in the table </w:t>
      </w:r>
      <w:commentRangeStart w:id="3"/>
      <w:r w:rsidRPr="00AD2E1F">
        <w:rPr>
          <w:rFonts w:ascii="Rockwell" w:hAnsi="Rockwell"/>
        </w:rPr>
        <w:t>below</w:t>
      </w:r>
      <w:commentRangeEnd w:id="3"/>
      <w:r w:rsidR="00EC2E49">
        <w:rPr>
          <w:rStyle w:val="CommentReference"/>
        </w:rPr>
        <w:commentReference w:id="3"/>
      </w:r>
      <w:r w:rsidRPr="00AD2E1F">
        <w:rPr>
          <w:rFonts w:ascii="Rockwell" w:hAnsi="Rockwell"/>
        </w:rPr>
        <w:t>:</w:t>
      </w:r>
    </w:p>
    <w:tbl>
      <w:tblPr>
        <w:tblStyle w:val="TableGrid"/>
        <w:tblW w:w="0" w:type="auto"/>
        <w:jc w:val="center"/>
        <w:tblLook w:val="04A0"/>
      </w:tblPr>
      <w:tblGrid>
        <w:gridCol w:w="846"/>
        <w:gridCol w:w="4961"/>
        <w:gridCol w:w="1985"/>
      </w:tblGrid>
      <w:tr w:rsidR="00EE3AF4" w:rsidRPr="00AD2E1F" w:rsidTr="00361318">
        <w:trPr>
          <w:jc w:val="center"/>
        </w:trPr>
        <w:tc>
          <w:tcPr>
            <w:tcW w:w="846" w:type="dxa"/>
          </w:tcPr>
          <w:p w:rsidR="00EE3AF4" w:rsidRPr="00AD2E1F" w:rsidRDefault="00EE3AF4" w:rsidP="00EE3AF4">
            <w:pPr>
              <w:jc w:val="both"/>
              <w:rPr>
                <w:rFonts w:ascii="Rockwell" w:hAnsi="Rockwell"/>
                <w:b/>
                <w:bCs/>
              </w:rPr>
            </w:pPr>
            <w:proofErr w:type="spellStart"/>
            <w:r w:rsidRPr="00AD2E1F">
              <w:rPr>
                <w:rFonts w:ascii="Rockwell" w:hAnsi="Rockwell"/>
                <w:b/>
                <w:bCs/>
              </w:rPr>
              <w:t>Sl.No</w:t>
            </w:r>
            <w:proofErr w:type="spellEnd"/>
          </w:p>
        </w:tc>
        <w:tc>
          <w:tcPr>
            <w:tcW w:w="4961" w:type="dxa"/>
            <w:vAlign w:val="center"/>
          </w:tcPr>
          <w:p w:rsidR="00EE3AF4" w:rsidRPr="00AD2E1F" w:rsidRDefault="00EE3AF4" w:rsidP="00EE3AF4">
            <w:pPr>
              <w:jc w:val="both"/>
              <w:rPr>
                <w:rFonts w:ascii="Rockwell" w:hAnsi="Rockwell"/>
                <w:b/>
                <w:bCs/>
              </w:rPr>
            </w:pPr>
            <w:r w:rsidRPr="00AD2E1F">
              <w:rPr>
                <w:rFonts w:ascii="Rockwell" w:hAnsi="Rockwell"/>
                <w:b/>
                <w:bCs/>
              </w:rPr>
              <w:t>Constraints</w:t>
            </w:r>
          </w:p>
        </w:tc>
        <w:tc>
          <w:tcPr>
            <w:tcW w:w="1985" w:type="dxa"/>
            <w:vAlign w:val="center"/>
          </w:tcPr>
          <w:p w:rsidR="00EE3AF4" w:rsidRPr="00AD2E1F" w:rsidRDefault="00EE3AF4" w:rsidP="0037585B">
            <w:pPr>
              <w:jc w:val="center"/>
              <w:rPr>
                <w:rFonts w:ascii="Rockwell" w:hAnsi="Rockwell"/>
                <w:b/>
                <w:bCs/>
              </w:rPr>
            </w:pPr>
            <w:r w:rsidRPr="00AD2E1F">
              <w:rPr>
                <w:rFonts w:ascii="Rockwell" w:hAnsi="Rockwell"/>
                <w:b/>
                <w:bCs/>
              </w:rPr>
              <w:t>Per cent (%)</w:t>
            </w:r>
            <w:r w:rsidR="00361318">
              <w:rPr>
                <w:rFonts w:ascii="Rockwell" w:hAnsi="Rockwell"/>
                <w:b/>
                <w:bCs/>
              </w:rPr>
              <w:t>*</w:t>
            </w:r>
          </w:p>
        </w:tc>
      </w:tr>
      <w:tr w:rsidR="00EE3AF4" w:rsidRPr="00AD2E1F" w:rsidTr="00361318">
        <w:trPr>
          <w:jc w:val="center"/>
        </w:trPr>
        <w:tc>
          <w:tcPr>
            <w:tcW w:w="846" w:type="dxa"/>
          </w:tcPr>
          <w:p w:rsidR="00EE3AF4" w:rsidRPr="00AD2E1F" w:rsidRDefault="00EE3AF4" w:rsidP="00EE3AF4">
            <w:pPr>
              <w:jc w:val="both"/>
              <w:rPr>
                <w:rFonts w:ascii="Rockwell" w:hAnsi="Rockwell"/>
              </w:rPr>
            </w:pPr>
            <w:r w:rsidRPr="00AD2E1F">
              <w:rPr>
                <w:rFonts w:ascii="Rockwell" w:hAnsi="Rockwell"/>
              </w:rPr>
              <w:t>1</w:t>
            </w:r>
          </w:p>
        </w:tc>
        <w:tc>
          <w:tcPr>
            <w:tcW w:w="4961" w:type="dxa"/>
            <w:vAlign w:val="center"/>
          </w:tcPr>
          <w:p w:rsidR="00EE3AF4" w:rsidRPr="00AD2E1F" w:rsidRDefault="00EE3AF4" w:rsidP="00EE3AF4">
            <w:pPr>
              <w:jc w:val="both"/>
              <w:rPr>
                <w:rFonts w:ascii="Rockwell" w:hAnsi="Rockwell"/>
              </w:rPr>
            </w:pPr>
            <w:r w:rsidRPr="00AD2E1F">
              <w:rPr>
                <w:rFonts w:ascii="Rockwell" w:hAnsi="Rockwell"/>
              </w:rPr>
              <w:t>Limited availability in local markets</w:t>
            </w:r>
          </w:p>
        </w:tc>
        <w:tc>
          <w:tcPr>
            <w:tcW w:w="1985" w:type="dxa"/>
            <w:vAlign w:val="center"/>
          </w:tcPr>
          <w:p w:rsidR="00EE3AF4" w:rsidRPr="00AD2E1F" w:rsidRDefault="00EE3AF4" w:rsidP="0037585B">
            <w:pPr>
              <w:jc w:val="center"/>
              <w:rPr>
                <w:rFonts w:ascii="Rockwell" w:hAnsi="Rockwell"/>
              </w:rPr>
            </w:pPr>
            <w:r w:rsidRPr="00AD2E1F">
              <w:rPr>
                <w:rFonts w:ascii="Rockwell" w:hAnsi="Rockwell"/>
              </w:rPr>
              <w:t>75</w:t>
            </w:r>
          </w:p>
        </w:tc>
      </w:tr>
      <w:tr w:rsidR="00EE3AF4" w:rsidRPr="00AD2E1F" w:rsidTr="00361318">
        <w:trPr>
          <w:jc w:val="center"/>
        </w:trPr>
        <w:tc>
          <w:tcPr>
            <w:tcW w:w="846" w:type="dxa"/>
          </w:tcPr>
          <w:p w:rsidR="00EE3AF4" w:rsidRPr="00AD2E1F" w:rsidRDefault="00EE3AF4" w:rsidP="00EE3AF4">
            <w:pPr>
              <w:jc w:val="both"/>
              <w:rPr>
                <w:rFonts w:ascii="Rockwell" w:hAnsi="Rockwell"/>
              </w:rPr>
            </w:pPr>
            <w:r w:rsidRPr="00AD2E1F">
              <w:rPr>
                <w:rFonts w:ascii="Rockwell" w:hAnsi="Rockwell"/>
              </w:rPr>
              <w:t>2</w:t>
            </w:r>
          </w:p>
        </w:tc>
        <w:tc>
          <w:tcPr>
            <w:tcW w:w="4961" w:type="dxa"/>
            <w:vAlign w:val="center"/>
          </w:tcPr>
          <w:p w:rsidR="00EE3AF4" w:rsidRPr="00AD2E1F" w:rsidRDefault="00EE3AF4" w:rsidP="00EE3AF4">
            <w:pPr>
              <w:jc w:val="both"/>
              <w:rPr>
                <w:rFonts w:ascii="Rockwell" w:hAnsi="Rockwell"/>
              </w:rPr>
            </w:pPr>
            <w:r w:rsidRPr="00AD2E1F">
              <w:rPr>
                <w:rFonts w:ascii="Rockwell" w:hAnsi="Rockwell"/>
              </w:rPr>
              <w:t xml:space="preserve">Lack of technical knowledge about usage </w:t>
            </w:r>
          </w:p>
        </w:tc>
        <w:tc>
          <w:tcPr>
            <w:tcW w:w="1985" w:type="dxa"/>
            <w:vAlign w:val="center"/>
          </w:tcPr>
          <w:p w:rsidR="00EE3AF4" w:rsidRPr="00AD2E1F" w:rsidRDefault="00EE3AF4" w:rsidP="0037585B">
            <w:pPr>
              <w:jc w:val="center"/>
              <w:rPr>
                <w:rFonts w:ascii="Rockwell" w:hAnsi="Rockwell"/>
              </w:rPr>
            </w:pPr>
            <w:r w:rsidRPr="00AD2E1F">
              <w:rPr>
                <w:rFonts w:ascii="Rockwell" w:hAnsi="Rockwell"/>
              </w:rPr>
              <w:t>66</w:t>
            </w:r>
          </w:p>
        </w:tc>
      </w:tr>
      <w:tr w:rsidR="00EE3AF4" w:rsidRPr="00AD2E1F" w:rsidTr="00361318">
        <w:trPr>
          <w:jc w:val="center"/>
        </w:trPr>
        <w:tc>
          <w:tcPr>
            <w:tcW w:w="846" w:type="dxa"/>
          </w:tcPr>
          <w:p w:rsidR="00EE3AF4" w:rsidRPr="00AD2E1F" w:rsidRDefault="00EE3AF4" w:rsidP="00EE3AF4">
            <w:pPr>
              <w:jc w:val="both"/>
              <w:rPr>
                <w:rFonts w:ascii="Rockwell" w:hAnsi="Rockwell"/>
              </w:rPr>
            </w:pPr>
            <w:r w:rsidRPr="00AD2E1F">
              <w:rPr>
                <w:rFonts w:ascii="Rockwell" w:hAnsi="Rockwell"/>
              </w:rPr>
              <w:t>3</w:t>
            </w:r>
          </w:p>
        </w:tc>
        <w:tc>
          <w:tcPr>
            <w:tcW w:w="4961" w:type="dxa"/>
            <w:vAlign w:val="center"/>
          </w:tcPr>
          <w:p w:rsidR="00EE3AF4" w:rsidRPr="00AD2E1F" w:rsidRDefault="00EE3AF4" w:rsidP="00EE3AF4">
            <w:pPr>
              <w:jc w:val="both"/>
              <w:rPr>
                <w:rFonts w:ascii="Rockwell" w:hAnsi="Rockwell"/>
              </w:rPr>
            </w:pPr>
            <w:r w:rsidRPr="00AD2E1F">
              <w:rPr>
                <w:rFonts w:ascii="Rockwell" w:hAnsi="Rockwell"/>
              </w:rPr>
              <w:t>Shortage of skilled labour for root feeding</w:t>
            </w:r>
          </w:p>
        </w:tc>
        <w:tc>
          <w:tcPr>
            <w:tcW w:w="1985" w:type="dxa"/>
            <w:vAlign w:val="center"/>
          </w:tcPr>
          <w:p w:rsidR="00EE3AF4" w:rsidRPr="00AD2E1F" w:rsidRDefault="00EE3AF4" w:rsidP="0037585B">
            <w:pPr>
              <w:jc w:val="center"/>
              <w:rPr>
                <w:rFonts w:ascii="Rockwell" w:hAnsi="Rockwell"/>
              </w:rPr>
            </w:pPr>
            <w:r w:rsidRPr="00AD2E1F">
              <w:rPr>
                <w:rFonts w:ascii="Rockwell" w:hAnsi="Rockwell"/>
              </w:rPr>
              <w:t>62</w:t>
            </w:r>
          </w:p>
        </w:tc>
      </w:tr>
      <w:tr w:rsidR="00EE3AF4" w:rsidRPr="00AD2E1F" w:rsidTr="00361318">
        <w:trPr>
          <w:jc w:val="center"/>
        </w:trPr>
        <w:tc>
          <w:tcPr>
            <w:tcW w:w="846" w:type="dxa"/>
          </w:tcPr>
          <w:p w:rsidR="00EE3AF4" w:rsidRPr="00AD2E1F" w:rsidRDefault="00EE3AF4" w:rsidP="00EE3AF4">
            <w:pPr>
              <w:jc w:val="both"/>
              <w:rPr>
                <w:rFonts w:ascii="Rockwell" w:hAnsi="Rockwell"/>
              </w:rPr>
            </w:pPr>
            <w:r w:rsidRPr="00AD2E1F">
              <w:rPr>
                <w:rFonts w:ascii="Rockwell" w:hAnsi="Rockwell"/>
              </w:rPr>
              <w:t>4</w:t>
            </w:r>
          </w:p>
        </w:tc>
        <w:tc>
          <w:tcPr>
            <w:tcW w:w="4961" w:type="dxa"/>
            <w:vAlign w:val="center"/>
          </w:tcPr>
          <w:p w:rsidR="00EE3AF4" w:rsidRPr="00AD2E1F" w:rsidRDefault="00EE3AF4" w:rsidP="00EE3AF4">
            <w:pPr>
              <w:jc w:val="both"/>
              <w:rPr>
                <w:rFonts w:ascii="Rockwell" w:hAnsi="Rockwell"/>
              </w:rPr>
            </w:pPr>
            <w:r w:rsidRPr="00AD2E1F">
              <w:rPr>
                <w:rFonts w:ascii="Rockwell" w:hAnsi="Rockwell"/>
              </w:rPr>
              <w:t>High cost of tonic and materials</w:t>
            </w:r>
          </w:p>
        </w:tc>
        <w:tc>
          <w:tcPr>
            <w:tcW w:w="1985" w:type="dxa"/>
            <w:vAlign w:val="center"/>
          </w:tcPr>
          <w:p w:rsidR="00EE3AF4" w:rsidRPr="00AD2E1F" w:rsidRDefault="00EE3AF4" w:rsidP="0037585B">
            <w:pPr>
              <w:jc w:val="center"/>
              <w:rPr>
                <w:rFonts w:ascii="Rockwell" w:hAnsi="Rockwell"/>
              </w:rPr>
            </w:pPr>
            <w:r w:rsidRPr="00AD2E1F">
              <w:rPr>
                <w:rFonts w:ascii="Rockwell" w:hAnsi="Rockwell"/>
              </w:rPr>
              <w:t>58</w:t>
            </w:r>
          </w:p>
        </w:tc>
      </w:tr>
      <w:tr w:rsidR="00EE3AF4" w:rsidRPr="00AD2E1F" w:rsidTr="00361318">
        <w:trPr>
          <w:jc w:val="center"/>
        </w:trPr>
        <w:tc>
          <w:tcPr>
            <w:tcW w:w="846" w:type="dxa"/>
          </w:tcPr>
          <w:p w:rsidR="00EE3AF4" w:rsidRPr="00AD2E1F" w:rsidRDefault="00405583" w:rsidP="00EE3AF4">
            <w:pPr>
              <w:jc w:val="both"/>
              <w:rPr>
                <w:rFonts w:ascii="Rockwell" w:hAnsi="Rockwell"/>
              </w:rPr>
            </w:pPr>
            <w:r w:rsidRPr="00AD2E1F">
              <w:rPr>
                <w:rFonts w:ascii="Rockwell" w:hAnsi="Rockwell"/>
              </w:rPr>
              <w:t>5</w:t>
            </w:r>
          </w:p>
        </w:tc>
        <w:tc>
          <w:tcPr>
            <w:tcW w:w="4961" w:type="dxa"/>
            <w:vAlign w:val="center"/>
          </w:tcPr>
          <w:p w:rsidR="00EE3AF4" w:rsidRPr="00AD2E1F" w:rsidRDefault="00EE3AF4" w:rsidP="00EE3AF4">
            <w:pPr>
              <w:jc w:val="both"/>
              <w:rPr>
                <w:rFonts w:ascii="Rockwell" w:hAnsi="Rockwell"/>
              </w:rPr>
            </w:pPr>
            <w:r w:rsidRPr="00AD2E1F">
              <w:rPr>
                <w:rFonts w:ascii="Rockwell" w:hAnsi="Rockwell"/>
              </w:rPr>
              <w:t>Low absorption in waterlogged areas</w:t>
            </w:r>
          </w:p>
        </w:tc>
        <w:tc>
          <w:tcPr>
            <w:tcW w:w="1985" w:type="dxa"/>
            <w:vAlign w:val="center"/>
          </w:tcPr>
          <w:p w:rsidR="00EE3AF4" w:rsidRPr="00AD2E1F" w:rsidRDefault="00EE3AF4" w:rsidP="0037585B">
            <w:pPr>
              <w:jc w:val="center"/>
              <w:rPr>
                <w:rFonts w:ascii="Rockwell" w:hAnsi="Rockwell"/>
              </w:rPr>
            </w:pPr>
            <w:r w:rsidRPr="00AD2E1F">
              <w:rPr>
                <w:rFonts w:ascii="Rockwell" w:hAnsi="Rockwell"/>
              </w:rPr>
              <w:t>40</w:t>
            </w:r>
          </w:p>
        </w:tc>
      </w:tr>
      <w:tr w:rsidR="00EE3AF4" w:rsidRPr="00AD2E1F" w:rsidTr="00361318">
        <w:trPr>
          <w:jc w:val="center"/>
        </w:trPr>
        <w:tc>
          <w:tcPr>
            <w:tcW w:w="846" w:type="dxa"/>
          </w:tcPr>
          <w:p w:rsidR="00EE3AF4" w:rsidRPr="00AD2E1F" w:rsidRDefault="00405583" w:rsidP="00EE3AF4">
            <w:pPr>
              <w:jc w:val="both"/>
              <w:rPr>
                <w:rFonts w:ascii="Rockwell" w:hAnsi="Rockwell"/>
              </w:rPr>
            </w:pPr>
            <w:r w:rsidRPr="00AD2E1F">
              <w:rPr>
                <w:rFonts w:ascii="Rockwell" w:hAnsi="Rockwell"/>
              </w:rPr>
              <w:t>6</w:t>
            </w:r>
          </w:p>
        </w:tc>
        <w:tc>
          <w:tcPr>
            <w:tcW w:w="4961" w:type="dxa"/>
            <w:vAlign w:val="center"/>
          </w:tcPr>
          <w:p w:rsidR="00EE3AF4" w:rsidRPr="00AD2E1F" w:rsidRDefault="00EE3AF4" w:rsidP="00EE3AF4">
            <w:pPr>
              <w:jc w:val="both"/>
              <w:rPr>
                <w:rFonts w:ascii="Rockwell" w:hAnsi="Rockwell"/>
              </w:rPr>
            </w:pPr>
            <w:r w:rsidRPr="00AD2E1F">
              <w:rPr>
                <w:rFonts w:ascii="Rockwell" w:hAnsi="Rockwell"/>
              </w:rPr>
              <w:t>Labour migration and rising wage rates</w:t>
            </w:r>
          </w:p>
        </w:tc>
        <w:tc>
          <w:tcPr>
            <w:tcW w:w="1985" w:type="dxa"/>
            <w:vAlign w:val="center"/>
          </w:tcPr>
          <w:p w:rsidR="00EE3AF4" w:rsidRPr="00AD2E1F" w:rsidRDefault="00EE3AF4" w:rsidP="0037585B">
            <w:pPr>
              <w:jc w:val="center"/>
              <w:rPr>
                <w:rFonts w:ascii="Rockwell" w:hAnsi="Rockwell"/>
              </w:rPr>
            </w:pPr>
            <w:r w:rsidRPr="00AD2E1F">
              <w:rPr>
                <w:rFonts w:ascii="Rockwell" w:hAnsi="Rockwell"/>
              </w:rPr>
              <w:t>39</w:t>
            </w:r>
          </w:p>
        </w:tc>
      </w:tr>
    </w:tbl>
    <w:p w:rsidR="00EE3AF4" w:rsidRPr="00361318" w:rsidRDefault="00361318" w:rsidP="00361318">
      <w:pPr>
        <w:pStyle w:val="ListParagraph"/>
        <w:jc w:val="right"/>
        <w:rPr>
          <w:rFonts w:ascii="Rockwell" w:hAnsi="Rockwell"/>
          <w:sz w:val="20"/>
          <w:szCs w:val="20"/>
        </w:rPr>
      </w:pPr>
      <w:r w:rsidRPr="00361318">
        <w:rPr>
          <w:rFonts w:ascii="Rockwell" w:hAnsi="Rockwell"/>
          <w:sz w:val="20"/>
          <w:szCs w:val="20"/>
          <w:vertAlign w:val="superscript"/>
        </w:rPr>
        <w:t>*</w:t>
      </w:r>
      <w:r w:rsidRPr="00361318">
        <w:rPr>
          <w:rFonts w:ascii="Rockwell" w:hAnsi="Rockwell"/>
          <w:sz w:val="20"/>
          <w:szCs w:val="20"/>
        </w:rPr>
        <w:t>Multiple responses</w:t>
      </w:r>
    </w:p>
    <w:p w:rsidR="00405583" w:rsidRPr="009F7D28" w:rsidRDefault="00445034" w:rsidP="00405583">
      <w:pPr>
        <w:ind w:firstLine="360"/>
        <w:jc w:val="both"/>
        <w:rPr>
          <w:rFonts w:ascii="Rockwell" w:hAnsi="Rockwell"/>
        </w:rPr>
      </w:pPr>
      <w:r w:rsidRPr="009F7D28">
        <w:rPr>
          <w:rFonts w:ascii="Rockwell" w:hAnsi="Rockwell"/>
        </w:rPr>
        <w:t>A major constraint was the limited availability of the tonic (75%), with most farmers unaware of digital purchase options like the TNAU Agri Cart.</w:t>
      </w:r>
      <w:r w:rsidR="00405583" w:rsidRPr="009F7D28">
        <w:rPr>
          <w:rFonts w:ascii="Rockwell" w:hAnsi="Rockwell"/>
        </w:rPr>
        <w:t xml:space="preserve"> This aligns with the findings of </w:t>
      </w:r>
      <w:r w:rsidR="00B6090D" w:rsidRPr="009F7D28">
        <w:rPr>
          <w:rFonts w:ascii="Rockwell" w:hAnsi="Rockwell"/>
        </w:rPr>
        <w:t xml:space="preserve">Karthickraja </w:t>
      </w:r>
      <w:r w:rsidR="00B6090D" w:rsidRPr="009F7D28">
        <w:rPr>
          <w:rFonts w:ascii="Rockwell" w:hAnsi="Rockwell"/>
          <w:i/>
          <w:iCs/>
        </w:rPr>
        <w:t>et al</w:t>
      </w:r>
      <w:r w:rsidR="00B6090D" w:rsidRPr="009F7D28">
        <w:rPr>
          <w:rFonts w:ascii="Rockwell" w:hAnsi="Rockwell"/>
        </w:rPr>
        <w:t>.</w:t>
      </w:r>
      <w:proofErr w:type="gramStart"/>
      <w:r w:rsidR="00B6090D" w:rsidRPr="009F7D28">
        <w:rPr>
          <w:rFonts w:ascii="Rockwell" w:hAnsi="Rockwell"/>
        </w:rPr>
        <w:t>,(</w:t>
      </w:r>
      <w:proofErr w:type="gramEnd"/>
      <w:r w:rsidR="00B6090D" w:rsidRPr="009F7D28">
        <w:rPr>
          <w:rFonts w:ascii="Rockwell" w:hAnsi="Rockwell"/>
        </w:rPr>
        <w:t xml:space="preserve">2023) </w:t>
      </w:r>
      <w:r w:rsidR="009F7D28" w:rsidRPr="009F7D28">
        <w:rPr>
          <w:rFonts w:ascii="Rockwell" w:hAnsi="Rockwell"/>
        </w:rPr>
        <w:t xml:space="preserve">who </w:t>
      </w:r>
      <w:r w:rsidR="00B6090D" w:rsidRPr="009F7D28">
        <w:rPr>
          <w:rFonts w:ascii="Rockwell" w:hAnsi="Rockwell"/>
        </w:rPr>
        <w:t xml:space="preserve">suggested that government take necessary steps to take additional sales centres to overcome this constraint. </w:t>
      </w:r>
    </w:p>
    <w:p w:rsidR="007C29D1" w:rsidRDefault="007C29D1" w:rsidP="007C29D1">
      <w:pPr>
        <w:jc w:val="center"/>
        <w:rPr>
          <w:rFonts w:ascii="Rockwell" w:hAnsi="Rockwell"/>
        </w:rPr>
      </w:pPr>
      <w:r>
        <w:rPr>
          <w:noProof/>
          <w:lang w:val="en-US"/>
        </w:rPr>
        <w:lastRenderedPageBreak/>
        <w:drawing>
          <wp:inline distT="0" distB="0" distL="0" distR="0">
            <wp:extent cx="4572000" cy="2743200"/>
            <wp:effectExtent l="0" t="0" r="0" b="0"/>
            <wp:docPr id="720436296"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A96D86B-06A4-E914-161D-3A3ABC0F1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Rockwell" w:hAnsi="Rockwell"/>
        </w:rPr>
        <w:br w:type="page"/>
      </w:r>
    </w:p>
    <w:p w:rsidR="005653FA" w:rsidRDefault="00445034" w:rsidP="005653FA">
      <w:pPr>
        <w:ind w:firstLine="360"/>
        <w:jc w:val="both"/>
        <w:rPr>
          <w:rFonts w:ascii="Rockwell" w:hAnsi="Rockwell"/>
        </w:rPr>
      </w:pPr>
      <w:r w:rsidRPr="00AD2E1F">
        <w:rPr>
          <w:rFonts w:ascii="Rockwell" w:hAnsi="Rockwell"/>
        </w:rPr>
        <w:lastRenderedPageBreak/>
        <w:t>Lack of technical knowledge</w:t>
      </w:r>
      <w:r w:rsidR="00183702">
        <w:rPr>
          <w:rFonts w:ascii="Rockwell" w:hAnsi="Rockwell"/>
        </w:rPr>
        <w:t xml:space="preserve"> (66%)</w:t>
      </w:r>
      <w:r w:rsidRPr="00AD2E1F">
        <w:rPr>
          <w:rFonts w:ascii="Rockwell" w:hAnsi="Rockwell"/>
        </w:rPr>
        <w:t xml:space="preserve"> and skilled labour </w:t>
      </w:r>
      <w:r w:rsidR="00183702">
        <w:rPr>
          <w:rFonts w:ascii="Rockwell" w:hAnsi="Rockwell"/>
        </w:rPr>
        <w:t xml:space="preserve">(62%) </w:t>
      </w:r>
      <w:r w:rsidRPr="00AD2E1F">
        <w:rPr>
          <w:rFonts w:ascii="Rockwell" w:hAnsi="Rockwell"/>
        </w:rPr>
        <w:t xml:space="preserve">was </w:t>
      </w:r>
      <w:r w:rsidR="00183702">
        <w:rPr>
          <w:rFonts w:ascii="Rockwell" w:hAnsi="Rockwell"/>
        </w:rPr>
        <w:t>other</w:t>
      </w:r>
      <w:r w:rsidRPr="00AD2E1F">
        <w:rPr>
          <w:rFonts w:ascii="Rockwell" w:hAnsi="Rockwell"/>
        </w:rPr>
        <w:t xml:space="preserve"> key barrier</w:t>
      </w:r>
      <w:r w:rsidR="00183702">
        <w:rPr>
          <w:rFonts w:ascii="Rockwell" w:hAnsi="Rockwell"/>
        </w:rPr>
        <w:t>s</w:t>
      </w:r>
      <w:r w:rsidRPr="00AD2E1F">
        <w:rPr>
          <w:rFonts w:ascii="Rockwell" w:hAnsi="Rockwell"/>
        </w:rPr>
        <w:t>, indicating difficulty in root identification and correct application.</w:t>
      </w:r>
      <w:r w:rsidR="00405583" w:rsidRPr="00AD2E1F">
        <w:rPr>
          <w:rFonts w:ascii="Rockwell" w:hAnsi="Rockwell"/>
        </w:rPr>
        <w:t xml:space="preserve"> Despite the known benefits of coconut tonic in enhancing nut setting and improving yield, several constraints hinder its widespread usage among coconut farmers. A key limitation is the lack of awareness and technical knowledge among farmers regarding its appropriate application and dosage. </w:t>
      </w:r>
    </w:p>
    <w:p w:rsidR="008900D3" w:rsidRPr="00AD2E1F" w:rsidRDefault="00445034" w:rsidP="008900D3">
      <w:pPr>
        <w:ind w:firstLine="360"/>
        <w:jc w:val="both"/>
        <w:rPr>
          <w:rFonts w:ascii="Rockwell" w:hAnsi="Rockwell"/>
        </w:rPr>
      </w:pPr>
      <w:r w:rsidRPr="00AD2E1F">
        <w:rPr>
          <w:rFonts w:ascii="Rockwell" w:hAnsi="Rockwell"/>
        </w:rPr>
        <w:t>Economic factors such as the high cost of the tonic</w:t>
      </w:r>
      <w:r w:rsidR="00ED2412" w:rsidRPr="00AD2E1F">
        <w:rPr>
          <w:rFonts w:ascii="Rockwell" w:hAnsi="Rockwell"/>
        </w:rPr>
        <w:t xml:space="preserve"> (58%)</w:t>
      </w:r>
      <w:r w:rsidRPr="00AD2E1F">
        <w:rPr>
          <w:rFonts w:ascii="Rockwell" w:hAnsi="Rockwell"/>
        </w:rPr>
        <w:t xml:space="preserve"> and associated labour expenses discouraged adoption </w:t>
      </w:r>
      <w:commentRangeStart w:id="4"/>
      <w:r w:rsidRPr="00AD2E1F">
        <w:rPr>
          <w:rFonts w:ascii="Rockwell" w:hAnsi="Rockwell"/>
        </w:rPr>
        <w:t>among smallholders</w:t>
      </w:r>
      <w:commentRangeEnd w:id="4"/>
      <w:r w:rsidR="00EC2E49">
        <w:rPr>
          <w:rStyle w:val="CommentReference"/>
        </w:rPr>
        <w:commentReference w:id="4"/>
      </w:r>
      <w:r w:rsidRPr="00AD2E1F">
        <w:rPr>
          <w:rFonts w:ascii="Rockwell" w:hAnsi="Rockwell"/>
        </w:rPr>
        <w:t>.</w:t>
      </w:r>
      <w:r w:rsidR="00ED2412" w:rsidRPr="00AD2E1F">
        <w:rPr>
          <w:rFonts w:ascii="Rockwell" w:hAnsi="Rockwell"/>
        </w:rPr>
        <w:t xml:space="preserve"> </w:t>
      </w:r>
      <w:r w:rsidR="00D4315E" w:rsidRPr="00D4315E">
        <w:rPr>
          <w:rFonts w:ascii="Rockwell" w:hAnsi="Rockwell"/>
        </w:rPr>
        <w:t xml:space="preserve">Biophysical </w:t>
      </w:r>
      <w:r w:rsidR="00D4315E">
        <w:rPr>
          <w:rFonts w:ascii="Rockwell" w:hAnsi="Rockwell"/>
        </w:rPr>
        <w:t xml:space="preserve">and soil related </w:t>
      </w:r>
      <w:r w:rsidR="00D4315E" w:rsidRPr="00D4315E">
        <w:rPr>
          <w:rFonts w:ascii="Rockwell" w:hAnsi="Rockwell"/>
        </w:rPr>
        <w:t>challenge such as reduced root absorption in waterlogged soils were reported by 40% of the respondents</w:t>
      </w:r>
    </w:p>
    <w:p w:rsidR="008900D3" w:rsidRPr="00AD2E1F" w:rsidRDefault="00405583" w:rsidP="00401789">
      <w:pPr>
        <w:ind w:firstLine="360"/>
        <w:jc w:val="both"/>
        <w:rPr>
          <w:rFonts w:ascii="Rockwell" w:hAnsi="Rockwell"/>
          <w:b/>
          <w:bCs/>
        </w:rPr>
      </w:pPr>
      <w:r w:rsidRPr="00AD2E1F">
        <w:rPr>
          <w:rFonts w:ascii="Rockwell" w:hAnsi="Rockwell"/>
        </w:rPr>
        <w:t>Addressing these issues through effective awareness campaigns, farmer training, improved supply chain systems, and subsidies could significantly boost the adoption of coconut tonic technology.</w:t>
      </w:r>
      <w:r w:rsidR="00401789" w:rsidRPr="00AD2E1F">
        <w:rPr>
          <w:rFonts w:ascii="Rockwell" w:hAnsi="Rockwell"/>
        </w:rPr>
        <w:t xml:space="preserve"> </w:t>
      </w:r>
    </w:p>
    <w:p w:rsidR="00445034" w:rsidRPr="00AD2E1F" w:rsidRDefault="00445034" w:rsidP="009C53C7">
      <w:pPr>
        <w:jc w:val="both"/>
        <w:rPr>
          <w:rFonts w:ascii="Rockwell" w:hAnsi="Rockwell"/>
          <w:b/>
          <w:bCs/>
        </w:rPr>
      </w:pPr>
      <w:r w:rsidRPr="00AD2E1F">
        <w:rPr>
          <w:rFonts w:ascii="Rockwell" w:hAnsi="Rockwell"/>
          <w:b/>
          <w:bCs/>
        </w:rPr>
        <w:t>Perceived Benefits of Coconut Tonic</w:t>
      </w:r>
    </w:p>
    <w:p w:rsidR="00445034" w:rsidRPr="00AD2E1F" w:rsidRDefault="00445034" w:rsidP="009C53C7">
      <w:pPr>
        <w:jc w:val="both"/>
        <w:rPr>
          <w:rFonts w:ascii="Rockwell" w:hAnsi="Rockwell"/>
        </w:rPr>
      </w:pPr>
      <w:r w:rsidRPr="00AD2E1F">
        <w:rPr>
          <w:rFonts w:ascii="Rockwell" w:hAnsi="Rockwell"/>
        </w:rPr>
        <w:t xml:space="preserve">Farmers who successfully adopted the tonic reported several benefits, both agronomic and </w:t>
      </w:r>
      <w:commentRangeStart w:id="5"/>
      <w:r w:rsidRPr="00AD2E1F">
        <w:rPr>
          <w:rFonts w:ascii="Rockwell" w:hAnsi="Rockwell"/>
        </w:rPr>
        <w:t>economic</w:t>
      </w:r>
      <w:commentRangeEnd w:id="5"/>
      <w:r w:rsidR="00EC2E49">
        <w:rPr>
          <w:rStyle w:val="CommentReference"/>
        </w:rPr>
        <w:commentReference w:id="5"/>
      </w:r>
      <w:r w:rsidRPr="00AD2E1F">
        <w:rPr>
          <w:rFonts w:ascii="Rockwell" w:hAnsi="Rockwell"/>
        </w:rPr>
        <w:t>:</w:t>
      </w:r>
    </w:p>
    <w:tbl>
      <w:tblPr>
        <w:tblStyle w:val="TableGrid"/>
        <w:tblW w:w="7933" w:type="dxa"/>
        <w:tblInd w:w="539" w:type="dxa"/>
        <w:tblLook w:val="04A0"/>
      </w:tblPr>
      <w:tblGrid>
        <w:gridCol w:w="988"/>
        <w:gridCol w:w="5022"/>
        <w:gridCol w:w="1923"/>
      </w:tblGrid>
      <w:tr w:rsidR="00405583" w:rsidRPr="00AD2E1F" w:rsidTr="00405583">
        <w:tc>
          <w:tcPr>
            <w:tcW w:w="988" w:type="dxa"/>
          </w:tcPr>
          <w:p w:rsidR="00405583" w:rsidRPr="00AD2E1F" w:rsidRDefault="00405583" w:rsidP="00405583">
            <w:pPr>
              <w:jc w:val="both"/>
              <w:rPr>
                <w:rFonts w:ascii="Rockwell" w:hAnsi="Rockwell"/>
                <w:b/>
                <w:bCs/>
              </w:rPr>
            </w:pPr>
            <w:proofErr w:type="spellStart"/>
            <w:r w:rsidRPr="00AD2E1F">
              <w:rPr>
                <w:rFonts w:ascii="Rockwell" w:hAnsi="Rockwell"/>
                <w:b/>
                <w:bCs/>
              </w:rPr>
              <w:t>Sl.No</w:t>
            </w:r>
            <w:proofErr w:type="spellEnd"/>
          </w:p>
        </w:tc>
        <w:tc>
          <w:tcPr>
            <w:tcW w:w="5022" w:type="dxa"/>
            <w:vAlign w:val="center"/>
          </w:tcPr>
          <w:p w:rsidR="00405583" w:rsidRPr="00AD2E1F" w:rsidRDefault="00405583" w:rsidP="00405583">
            <w:pPr>
              <w:jc w:val="both"/>
              <w:rPr>
                <w:rFonts w:ascii="Rockwell" w:hAnsi="Rockwell"/>
                <w:b/>
                <w:bCs/>
              </w:rPr>
            </w:pPr>
            <w:r w:rsidRPr="00AD2E1F">
              <w:rPr>
                <w:rFonts w:ascii="Rockwell" w:hAnsi="Rockwell"/>
                <w:b/>
                <w:bCs/>
              </w:rPr>
              <w:t>Perceived Benefits</w:t>
            </w:r>
          </w:p>
        </w:tc>
        <w:tc>
          <w:tcPr>
            <w:tcW w:w="1923" w:type="dxa"/>
            <w:vAlign w:val="center"/>
          </w:tcPr>
          <w:p w:rsidR="00405583" w:rsidRPr="00AD2E1F" w:rsidRDefault="00405583" w:rsidP="008E3319">
            <w:pPr>
              <w:jc w:val="center"/>
              <w:rPr>
                <w:rFonts w:ascii="Rockwell" w:hAnsi="Rockwell"/>
                <w:b/>
                <w:bCs/>
              </w:rPr>
            </w:pPr>
            <w:r w:rsidRPr="00AD2E1F">
              <w:rPr>
                <w:rFonts w:ascii="Rockwell" w:hAnsi="Rockwell"/>
                <w:b/>
                <w:bCs/>
              </w:rPr>
              <w:t>Per cent (%)</w:t>
            </w:r>
            <w:r w:rsidR="007C29D1">
              <w:rPr>
                <w:rFonts w:ascii="Rockwell" w:hAnsi="Rockwell"/>
                <w:b/>
                <w:bCs/>
              </w:rPr>
              <w:t xml:space="preserve"> *</w:t>
            </w:r>
          </w:p>
        </w:tc>
      </w:tr>
      <w:tr w:rsidR="00405583" w:rsidRPr="00AD2E1F" w:rsidTr="00405583">
        <w:tc>
          <w:tcPr>
            <w:tcW w:w="988" w:type="dxa"/>
          </w:tcPr>
          <w:p w:rsidR="00405583" w:rsidRPr="00AD2E1F" w:rsidRDefault="00405583" w:rsidP="00405583">
            <w:pPr>
              <w:jc w:val="both"/>
              <w:rPr>
                <w:rFonts w:ascii="Rockwell" w:hAnsi="Rockwell"/>
              </w:rPr>
            </w:pPr>
            <w:r w:rsidRPr="00AD2E1F">
              <w:rPr>
                <w:rFonts w:ascii="Rockwell" w:hAnsi="Rockwell"/>
              </w:rPr>
              <w:t>1</w:t>
            </w:r>
          </w:p>
        </w:tc>
        <w:tc>
          <w:tcPr>
            <w:tcW w:w="5022" w:type="dxa"/>
            <w:vAlign w:val="center"/>
          </w:tcPr>
          <w:p w:rsidR="00405583" w:rsidRPr="00AD2E1F" w:rsidRDefault="00405583" w:rsidP="00405583">
            <w:pPr>
              <w:jc w:val="both"/>
              <w:rPr>
                <w:rFonts w:ascii="Rockwell" w:hAnsi="Rockwell"/>
              </w:rPr>
            </w:pPr>
            <w:r w:rsidRPr="00AD2E1F">
              <w:rPr>
                <w:rFonts w:ascii="Rockwell" w:hAnsi="Rockwell"/>
              </w:rPr>
              <w:t>Increase in nut yield per tree</w:t>
            </w:r>
          </w:p>
        </w:tc>
        <w:tc>
          <w:tcPr>
            <w:tcW w:w="1923" w:type="dxa"/>
            <w:vAlign w:val="center"/>
          </w:tcPr>
          <w:p w:rsidR="00405583" w:rsidRPr="00AD2E1F" w:rsidRDefault="00405583" w:rsidP="008E3319">
            <w:pPr>
              <w:jc w:val="center"/>
              <w:rPr>
                <w:rFonts w:ascii="Rockwell" w:hAnsi="Rockwell"/>
              </w:rPr>
            </w:pPr>
            <w:r w:rsidRPr="00AD2E1F">
              <w:rPr>
                <w:rFonts w:ascii="Rockwell" w:hAnsi="Rockwell"/>
              </w:rPr>
              <w:t>78</w:t>
            </w:r>
          </w:p>
        </w:tc>
      </w:tr>
      <w:tr w:rsidR="00405583" w:rsidRPr="00AD2E1F" w:rsidTr="00405583">
        <w:tc>
          <w:tcPr>
            <w:tcW w:w="988" w:type="dxa"/>
          </w:tcPr>
          <w:p w:rsidR="00405583" w:rsidRPr="00AD2E1F" w:rsidRDefault="00405583" w:rsidP="00405583">
            <w:pPr>
              <w:jc w:val="both"/>
              <w:rPr>
                <w:rFonts w:ascii="Rockwell" w:hAnsi="Rockwell"/>
              </w:rPr>
            </w:pPr>
            <w:r w:rsidRPr="00AD2E1F">
              <w:rPr>
                <w:rFonts w:ascii="Rockwell" w:hAnsi="Rockwell"/>
              </w:rPr>
              <w:t>2</w:t>
            </w:r>
          </w:p>
        </w:tc>
        <w:tc>
          <w:tcPr>
            <w:tcW w:w="5022" w:type="dxa"/>
            <w:vAlign w:val="center"/>
          </w:tcPr>
          <w:p w:rsidR="00405583" w:rsidRPr="00AD2E1F" w:rsidRDefault="00405583" w:rsidP="00405583">
            <w:pPr>
              <w:jc w:val="both"/>
              <w:rPr>
                <w:rFonts w:ascii="Rockwell" w:hAnsi="Rockwell"/>
              </w:rPr>
            </w:pPr>
            <w:r w:rsidRPr="00AD2E1F">
              <w:rPr>
                <w:rFonts w:ascii="Rockwell" w:hAnsi="Rockwell"/>
              </w:rPr>
              <w:t>Reduction in button shedding</w:t>
            </w:r>
          </w:p>
        </w:tc>
        <w:tc>
          <w:tcPr>
            <w:tcW w:w="1923" w:type="dxa"/>
            <w:vAlign w:val="center"/>
          </w:tcPr>
          <w:p w:rsidR="00405583" w:rsidRPr="00AD2E1F" w:rsidRDefault="00405583" w:rsidP="008E3319">
            <w:pPr>
              <w:jc w:val="center"/>
              <w:rPr>
                <w:rFonts w:ascii="Rockwell" w:hAnsi="Rockwell"/>
              </w:rPr>
            </w:pPr>
            <w:r w:rsidRPr="00AD2E1F">
              <w:rPr>
                <w:rFonts w:ascii="Rockwell" w:hAnsi="Rockwell"/>
              </w:rPr>
              <w:t>71</w:t>
            </w:r>
          </w:p>
        </w:tc>
      </w:tr>
      <w:tr w:rsidR="00405583" w:rsidRPr="00AD2E1F" w:rsidTr="00405583">
        <w:tc>
          <w:tcPr>
            <w:tcW w:w="988" w:type="dxa"/>
          </w:tcPr>
          <w:p w:rsidR="00405583" w:rsidRPr="00AD2E1F" w:rsidRDefault="00405583" w:rsidP="00405583">
            <w:pPr>
              <w:jc w:val="both"/>
              <w:rPr>
                <w:rFonts w:ascii="Rockwell" w:hAnsi="Rockwell"/>
              </w:rPr>
            </w:pPr>
            <w:r w:rsidRPr="00AD2E1F">
              <w:rPr>
                <w:rFonts w:ascii="Rockwell" w:hAnsi="Rockwell"/>
              </w:rPr>
              <w:t>3</w:t>
            </w:r>
          </w:p>
        </w:tc>
        <w:tc>
          <w:tcPr>
            <w:tcW w:w="5022" w:type="dxa"/>
            <w:vAlign w:val="center"/>
          </w:tcPr>
          <w:p w:rsidR="00405583" w:rsidRPr="00AD2E1F" w:rsidRDefault="00405583" w:rsidP="00405583">
            <w:pPr>
              <w:jc w:val="both"/>
              <w:rPr>
                <w:rFonts w:ascii="Rockwell" w:hAnsi="Rockwell"/>
              </w:rPr>
            </w:pPr>
            <w:r w:rsidRPr="00AD2E1F">
              <w:rPr>
                <w:rFonts w:ascii="Rockwell" w:hAnsi="Rockwell"/>
              </w:rPr>
              <w:t>Improved greenness and Vigor of leaves</w:t>
            </w:r>
          </w:p>
        </w:tc>
        <w:tc>
          <w:tcPr>
            <w:tcW w:w="1923" w:type="dxa"/>
            <w:vAlign w:val="center"/>
          </w:tcPr>
          <w:p w:rsidR="00405583" w:rsidRPr="00AD2E1F" w:rsidRDefault="00405583" w:rsidP="008E3319">
            <w:pPr>
              <w:jc w:val="center"/>
              <w:rPr>
                <w:rFonts w:ascii="Rockwell" w:hAnsi="Rockwell"/>
              </w:rPr>
            </w:pPr>
            <w:r w:rsidRPr="00AD2E1F">
              <w:rPr>
                <w:rFonts w:ascii="Rockwell" w:hAnsi="Rockwell"/>
              </w:rPr>
              <w:t>70</w:t>
            </w:r>
          </w:p>
        </w:tc>
      </w:tr>
      <w:tr w:rsidR="00405583" w:rsidRPr="00AD2E1F" w:rsidTr="00405583">
        <w:tc>
          <w:tcPr>
            <w:tcW w:w="988" w:type="dxa"/>
          </w:tcPr>
          <w:p w:rsidR="00405583" w:rsidRPr="00AD2E1F" w:rsidRDefault="00405583" w:rsidP="00405583">
            <w:pPr>
              <w:jc w:val="both"/>
              <w:rPr>
                <w:rFonts w:ascii="Rockwell" w:hAnsi="Rockwell"/>
              </w:rPr>
            </w:pPr>
            <w:r w:rsidRPr="00AD2E1F">
              <w:rPr>
                <w:rFonts w:ascii="Rockwell" w:hAnsi="Rockwell"/>
              </w:rPr>
              <w:t>4</w:t>
            </w:r>
          </w:p>
        </w:tc>
        <w:tc>
          <w:tcPr>
            <w:tcW w:w="5022" w:type="dxa"/>
            <w:vAlign w:val="center"/>
          </w:tcPr>
          <w:p w:rsidR="00405583" w:rsidRPr="00AD2E1F" w:rsidRDefault="00405583" w:rsidP="00405583">
            <w:pPr>
              <w:jc w:val="both"/>
              <w:rPr>
                <w:rFonts w:ascii="Rockwell" w:hAnsi="Rockwell"/>
              </w:rPr>
            </w:pPr>
            <w:r w:rsidRPr="00AD2E1F">
              <w:rPr>
                <w:rFonts w:ascii="Rockwell" w:hAnsi="Rockwell"/>
              </w:rPr>
              <w:t>Enhanced pest and disease resistance</w:t>
            </w:r>
          </w:p>
        </w:tc>
        <w:tc>
          <w:tcPr>
            <w:tcW w:w="1923" w:type="dxa"/>
            <w:vAlign w:val="center"/>
          </w:tcPr>
          <w:p w:rsidR="00405583" w:rsidRPr="00AD2E1F" w:rsidRDefault="00405583" w:rsidP="008E3319">
            <w:pPr>
              <w:jc w:val="center"/>
              <w:rPr>
                <w:rFonts w:ascii="Rockwell" w:hAnsi="Rockwell"/>
              </w:rPr>
            </w:pPr>
            <w:r w:rsidRPr="00AD2E1F">
              <w:rPr>
                <w:rFonts w:ascii="Rockwell" w:hAnsi="Rockwell"/>
              </w:rPr>
              <w:t>60</w:t>
            </w:r>
          </w:p>
        </w:tc>
      </w:tr>
      <w:tr w:rsidR="00405583" w:rsidRPr="00AD2E1F" w:rsidTr="00405583">
        <w:tc>
          <w:tcPr>
            <w:tcW w:w="988" w:type="dxa"/>
          </w:tcPr>
          <w:p w:rsidR="00405583" w:rsidRPr="00AD2E1F" w:rsidRDefault="00405583" w:rsidP="00405583">
            <w:pPr>
              <w:jc w:val="both"/>
              <w:rPr>
                <w:rFonts w:ascii="Rockwell" w:hAnsi="Rockwell"/>
              </w:rPr>
            </w:pPr>
            <w:r w:rsidRPr="00AD2E1F">
              <w:rPr>
                <w:rFonts w:ascii="Rockwell" w:hAnsi="Rockwell"/>
              </w:rPr>
              <w:t>5</w:t>
            </w:r>
          </w:p>
        </w:tc>
        <w:tc>
          <w:tcPr>
            <w:tcW w:w="5022" w:type="dxa"/>
            <w:vAlign w:val="center"/>
          </w:tcPr>
          <w:p w:rsidR="00405583" w:rsidRPr="00AD2E1F" w:rsidRDefault="00405583" w:rsidP="00405583">
            <w:pPr>
              <w:jc w:val="both"/>
              <w:rPr>
                <w:rFonts w:ascii="Rockwell" w:hAnsi="Rockwell"/>
              </w:rPr>
            </w:pPr>
            <w:r w:rsidRPr="00AD2E1F">
              <w:rPr>
                <w:rFonts w:ascii="Rockwell" w:hAnsi="Rockwell"/>
              </w:rPr>
              <w:t>Correction of micronutrient deficiencies</w:t>
            </w:r>
          </w:p>
        </w:tc>
        <w:tc>
          <w:tcPr>
            <w:tcW w:w="1923" w:type="dxa"/>
            <w:vAlign w:val="center"/>
          </w:tcPr>
          <w:p w:rsidR="00405583" w:rsidRPr="00AD2E1F" w:rsidRDefault="00405583" w:rsidP="008E3319">
            <w:pPr>
              <w:jc w:val="center"/>
              <w:rPr>
                <w:rFonts w:ascii="Rockwell" w:hAnsi="Rockwell"/>
              </w:rPr>
            </w:pPr>
            <w:r w:rsidRPr="00AD2E1F">
              <w:rPr>
                <w:rFonts w:ascii="Rockwell" w:hAnsi="Rockwell"/>
              </w:rPr>
              <w:t>59</w:t>
            </w:r>
          </w:p>
        </w:tc>
      </w:tr>
      <w:tr w:rsidR="00405583" w:rsidRPr="00AD2E1F" w:rsidTr="00405583">
        <w:tc>
          <w:tcPr>
            <w:tcW w:w="988" w:type="dxa"/>
          </w:tcPr>
          <w:p w:rsidR="00405583" w:rsidRPr="00AD2E1F" w:rsidRDefault="00405583" w:rsidP="00405583">
            <w:pPr>
              <w:jc w:val="both"/>
              <w:rPr>
                <w:rFonts w:ascii="Rockwell" w:hAnsi="Rockwell"/>
              </w:rPr>
            </w:pPr>
            <w:r w:rsidRPr="00AD2E1F">
              <w:rPr>
                <w:rFonts w:ascii="Rockwell" w:hAnsi="Rockwell"/>
              </w:rPr>
              <w:t>6</w:t>
            </w:r>
          </w:p>
        </w:tc>
        <w:tc>
          <w:tcPr>
            <w:tcW w:w="5022" w:type="dxa"/>
            <w:vAlign w:val="center"/>
          </w:tcPr>
          <w:p w:rsidR="00405583" w:rsidRPr="00AD2E1F" w:rsidRDefault="00405583" w:rsidP="00405583">
            <w:pPr>
              <w:jc w:val="both"/>
              <w:rPr>
                <w:rFonts w:ascii="Rockwell" w:hAnsi="Rockwell"/>
              </w:rPr>
            </w:pPr>
            <w:r w:rsidRPr="00AD2E1F">
              <w:rPr>
                <w:rFonts w:ascii="Rockwell" w:hAnsi="Rockwell"/>
              </w:rPr>
              <w:t>Better root activity and nutrient uptake</w:t>
            </w:r>
          </w:p>
        </w:tc>
        <w:tc>
          <w:tcPr>
            <w:tcW w:w="1923" w:type="dxa"/>
            <w:vAlign w:val="center"/>
          </w:tcPr>
          <w:p w:rsidR="00405583" w:rsidRPr="00AD2E1F" w:rsidRDefault="00405583" w:rsidP="008E3319">
            <w:pPr>
              <w:jc w:val="center"/>
              <w:rPr>
                <w:rFonts w:ascii="Rockwell" w:hAnsi="Rockwell"/>
              </w:rPr>
            </w:pPr>
            <w:r w:rsidRPr="00AD2E1F">
              <w:rPr>
                <w:rFonts w:ascii="Rockwell" w:hAnsi="Rockwell"/>
              </w:rPr>
              <w:t>57</w:t>
            </w:r>
          </w:p>
        </w:tc>
      </w:tr>
      <w:tr w:rsidR="00405583" w:rsidRPr="00AD2E1F" w:rsidTr="00405583">
        <w:tc>
          <w:tcPr>
            <w:tcW w:w="988" w:type="dxa"/>
          </w:tcPr>
          <w:p w:rsidR="00405583" w:rsidRPr="00AD2E1F" w:rsidRDefault="00405583" w:rsidP="00405583">
            <w:pPr>
              <w:jc w:val="both"/>
              <w:rPr>
                <w:rFonts w:ascii="Rockwell" w:hAnsi="Rockwell"/>
              </w:rPr>
            </w:pPr>
            <w:r w:rsidRPr="00AD2E1F">
              <w:rPr>
                <w:rFonts w:ascii="Rockwell" w:hAnsi="Rockwell"/>
              </w:rPr>
              <w:t>7</w:t>
            </w:r>
          </w:p>
        </w:tc>
        <w:tc>
          <w:tcPr>
            <w:tcW w:w="5022" w:type="dxa"/>
            <w:vAlign w:val="center"/>
          </w:tcPr>
          <w:p w:rsidR="00405583" w:rsidRPr="00AD2E1F" w:rsidRDefault="00405583" w:rsidP="00405583">
            <w:pPr>
              <w:jc w:val="both"/>
              <w:rPr>
                <w:rFonts w:ascii="Rockwell" w:hAnsi="Rockwell"/>
              </w:rPr>
            </w:pPr>
            <w:r w:rsidRPr="00AD2E1F">
              <w:rPr>
                <w:rFonts w:ascii="Rockwell" w:hAnsi="Rockwell"/>
              </w:rPr>
              <w:t>Increased copra and oil yield</w:t>
            </w:r>
          </w:p>
        </w:tc>
        <w:tc>
          <w:tcPr>
            <w:tcW w:w="1923" w:type="dxa"/>
            <w:vAlign w:val="center"/>
          </w:tcPr>
          <w:p w:rsidR="00405583" w:rsidRPr="00AD2E1F" w:rsidRDefault="00405583" w:rsidP="008E3319">
            <w:pPr>
              <w:jc w:val="center"/>
              <w:rPr>
                <w:rFonts w:ascii="Rockwell" w:hAnsi="Rockwell"/>
              </w:rPr>
            </w:pPr>
            <w:r w:rsidRPr="00AD2E1F">
              <w:rPr>
                <w:rFonts w:ascii="Rockwell" w:hAnsi="Rockwell"/>
              </w:rPr>
              <w:t>52</w:t>
            </w:r>
          </w:p>
        </w:tc>
      </w:tr>
      <w:tr w:rsidR="00405583" w:rsidRPr="00AD2E1F" w:rsidTr="00405583">
        <w:tc>
          <w:tcPr>
            <w:tcW w:w="988" w:type="dxa"/>
          </w:tcPr>
          <w:p w:rsidR="00405583" w:rsidRPr="00AD2E1F" w:rsidRDefault="00405583" w:rsidP="00405583">
            <w:pPr>
              <w:jc w:val="both"/>
              <w:rPr>
                <w:rFonts w:ascii="Rockwell" w:hAnsi="Rockwell"/>
              </w:rPr>
            </w:pPr>
            <w:r w:rsidRPr="00AD2E1F">
              <w:rPr>
                <w:rFonts w:ascii="Rockwell" w:hAnsi="Rockwell"/>
              </w:rPr>
              <w:t>8</w:t>
            </w:r>
          </w:p>
        </w:tc>
        <w:tc>
          <w:tcPr>
            <w:tcW w:w="5022" w:type="dxa"/>
            <w:vAlign w:val="center"/>
          </w:tcPr>
          <w:p w:rsidR="00405583" w:rsidRPr="00AD2E1F" w:rsidRDefault="00405583" w:rsidP="00405583">
            <w:pPr>
              <w:jc w:val="both"/>
              <w:rPr>
                <w:rFonts w:ascii="Rockwell" w:hAnsi="Rockwell"/>
              </w:rPr>
            </w:pPr>
            <w:r w:rsidRPr="00AD2E1F">
              <w:rPr>
                <w:rFonts w:ascii="Rockwell" w:hAnsi="Rockwell"/>
              </w:rPr>
              <w:t>Cost-effective in long-term</w:t>
            </w:r>
          </w:p>
        </w:tc>
        <w:tc>
          <w:tcPr>
            <w:tcW w:w="1923" w:type="dxa"/>
            <w:vAlign w:val="center"/>
          </w:tcPr>
          <w:p w:rsidR="00405583" w:rsidRPr="00AD2E1F" w:rsidRDefault="00405583" w:rsidP="008E3319">
            <w:pPr>
              <w:jc w:val="center"/>
              <w:rPr>
                <w:rFonts w:ascii="Rockwell" w:hAnsi="Rockwell"/>
              </w:rPr>
            </w:pPr>
            <w:r w:rsidRPr="00AD2E1F">
              <w:rPr>
                <w:rFonts w:ascii="Rockwell" w:hAnsi="Rockwell"/>
              </w:rPr>
              <w:t>51</w:t>
            </w:r>
          </w:p>
        </w:tc>
      </w:tr>
    </w:tbl>
    <w:p w:rsidR="007C29D1" w:rsidRPr="00361318" w:rsidRDefault="007C29D1" w:rsidP="007C29D1">
      <w:pPr>
        <w:pStyle w:val="ListParagraph"/>
        <w:jc w:val="right"/>
        <w:rPr>
          <w:rFonts w:ascii="Rockwell" w:hAnsi="Rockwell"/>
          <w:sz w:val="20"/>
          <w:szCs w:val="20"/>
        </w:rPr>
      </w:pPr>
      <w:r w:rsidRPr="00361318">
        <w:rPr>
          <w:rFonts w:ascii="Rockwell" w:hAnsi="Rockwell"/>
          <w:sz w:val="20"/>
          <w:szCs w:val="20"/>
          <w:vertAlign w:val="superscript"/>
        </w:rPr>
        <w:t>*</w:t>
      </w:r>
      <w:r w:rsidRPr="00361318">
        <w:rPr>
          <w:rFonts w:ascii="Rockwell" w:hAnsi="Rockwell"/>
          <w:sz w:val="20"/>
          <w:szCs w:val="20"/>
        </w:rPr>
        <w:t>Multiple responses</w:t>
      </w:r>
    </w:p>
    <w:p w:rsidR="005E03F1" w:rsidRPr="00AD2E1F" w:rsidRDefault="008E3319" w:rsidP="008E3319">
      <w:pPr>
        <w:ind w:firstLine="720"/>
        <w:jc w:val="both"/>
        <w:rPr>
          <w:rFonts w:ascii="Rockwell" w:hAnsi="Rockwell"/>
        </w:rPr>
      </w:pPr>
      <w:r w:rsidRPr="00AD2E1F">
        <w:rPr>
          <w:rFonts w:ascii="Rockwell" w:hAnsi="Rockwell"/>
        </w:rPr>
        <w:t xml:space="preserve">A review of farmers' perceptions reveals that the application of coconut tonic is associated with a wide range of agronomic benefits. The most widely reported advantage is an increase in nut yield per tree, cited by 78% of respondents, indicating its direct impact on productivity. </w:t>
      </w:r>
      <w:r w:rsidR="005E03F1" w:rsidRPr="00AD2E1F">
        <w:rPr>
          <w:rFonts w:ascii="Rockwell" w:hAnsi="Rockwell"/>
        </w:rPr>
        <w:t xml:space="preserve">The application of coconut tonic has gained considerable attention among coconut cultivators due to its perceived ability to enhance nut production, palm health, and overall productivity. </w:t>
      </w:r>
    </w:p>
    <w:p w:rsidR="00A60E34" w:rsidRPr="00D4315E" w:rsidRDefault="008E3319" w:rsidP="00D4315E">
      <w:pPr>
        <w:ind w:firstLine="720"/>
        <w:jc w:val="both"/>
        <w:rPr>
          <w:rFonts w:ascii="Rockwell" w:hAnsi="Rockwell"/>
        </w:rPr>
      </w:pPr>
      <w:r w:rsidRPr="00AD2E1F">
        <w:rPr>
          <w:rFonts w:ascii="Rockwell" w:hAnsi="Rockwell"/>
        </w:rPr>
        <w:t xml:space="preserve">This is closely followed by a reduction in button shedding (71%) and improved greenness and </w:t>
      </w:r>
      <w:proofErr w:type="spellStart"/>
      <w:r w:rsidRPr="00AD2E1F">
        <w:rPr>
          <w:rFonts w:ascii="Rockwell" w:hAnsi="Rockwell"/>
        </w:rPr>
        <w:t>vigor</w:t>
      </w:r>
      <w:proofErr w:type="spellEnd"/>
      <w:r w:rsidRPr="00AD2E1F">
        <w:rPr>
          <w:rFonts w:ascii="Rockwell" w:hAnsi="Rockwell"/>
        </w:rPr>
        <w:t xml:space="preserve"> of leaves (70%), both of which are indicators of improved plant health. Additionally, enhanced resistance to pests and diseases (60%) and the correction of micronutrient deficiencies (59%) suggest the tonic’s potential role in plant </w:t>
      </w:r>
      <w:proofErr w:type="spellStart"/>
      <w:r w:rsidRPr="00AD2E1F">
        <w:rPr>
          <w:rFonts w:ascii="Rockwell" w:hAnsi="Rockwell"/>
        </w:rPr>
        <w:t>defense</w:t>
      </w:r>
      <w:proofErr w:type="spellEnd"/>
      <w:r w:rsidRPr="00AD2E1F">
        <w:rPr>
          <w:rFonts w:ascii="Rockwell" w:hAnsi="Rockwell"/>
        </w:rPr>
        <w:t xml:space="preserve"> and nutrition. Improvements in root activity and nutrient uptake (57%) further support these claims, while 52% of users noted an increase in copra and oil yield, indicating economic benefits. </w:t>
      </w:r>
      <w:r w:rsidR="00150603" w:rsidRPr="00AD2E1F">
        <w:rPr>
          <w:rFonts w:ascii="Rockwell" w:hAnsi="Rockwell"/>
        </w:rPr>
        <w:t xml:space="preserve">The results are well </w:t>
      </w:r>
      <w:r w:rsidR="00150603" w:rsidRPr="00AD2E1F">
        <w:rPr>
          <w:rFonts w:ascii="Rockwell" w:hAnsi="Rockwell"/>
        </w:rPr>
        <w:lastRenderedPageBreak/>
        <w:t xml:space="preserve">aligned with the study of Kalarani </w:t>
      </w:r>
      <w:r w:rsidR="00150603" w:rsidRPr="00AD2E1F">
        <w:rPr>
          <w:rFonts w:ascii="Rockwell" w:hAnsi="Rockwell"/>
          <w:i/>
          <w:iCs/>
        </w:rPr>
        <w:t>et al.,</w:t>
      </w:r>
      <w:r w:rsidR="00150603" w:rsidRPr="00AD2E1F">
        <w:rPr>
          <w:rFonts w:ascii="Rockwell" w:hAnsi="Rockwell"/>
        </w:rPr>
        <w:t xml:space="preserve"> (2008) who have reported that the root feeding of TNAU coconut tonic showed its supremacy in increasing yield gradually from 8612 nuts to 9830 nuts/year/acre after adoption of coconut tonic over a period of years.</w:t>
      </w:r>
      <w:r w:rsidR="00D4315E">
        <w:rPr>
          <w:rFonts w:ascii="Rockwell" w:hAnsi="Rockwell"/>
        </w:rPr>
        <w:t xml:space="preserve"> </w:t>
      </w:r>
      <w:r w:rsidR="00202AED">
        <w:rPr>
          <w:rFonts w:ascii="Rockwell" w:hAnsi="Rockwell"/>
        </w:rPr>
        <w:t xml:space="preserve"> </w:t>
      </w:r>
      <w:r w:rsidR="00202AED" w:rsidRPr="00202AED">
        <w:rPr>
          <w:rFonts w:ascii="Rockwell" w:hAnsi="Rockwell"/>
        </w:rPr>
        <w:t xml:space="preserve">Fifty-one </w:t>
      </w:r>
      <w:r w:rsidR="00202AED">
        <w:rPr>
          <w:rFonts w:ascii="Rockwell" w:hAnsi="Rockwell"/>
        </w:rPr>
        <w:t>percentage of the respondents</w:t>
      </w:r>
      <w:r w:rsidR="00202AED" w:rsidRPr="00202AED">
        <w:rPr>
          <w:rFonts w:ascii="Rockwell" w:hAnsi="Rockwell"/>
        </w:rPr>
        <w:t xml:space="preserve"> viewed it as economically viable in the long term, reflecting their confidence in its sustained financial benefits.</w:t>
      </w:r>
      <w:r w:rsidR="00202AED">
        <w:rPr>
          <w:rFonts w:ascii="Rockwell" w:hAnsi="Rockwell"/>
        </w:rPr>
        <w:t xml:space="preserve"> </w:t>
      </w:r>
      <w:r w:rsidR="00D4315E" w:rsidRPr="00D4315E">
        <w:rPr>
          <w:rFonts w:ascii="Rockwell" w:hAnsi="Rockwell"/>
        </w:rPr>
        <w:t xml:space="preserve">The study </w:t>
      </w:r>
      <w:r w:rsidR="00202AED">
        <w:rPr>
          <w:rFonts w:ascii="Rockwell" w:hAnsi="Rockwell"/>
        </w:rPr>
        <w:t xml:space="preserve">of </w:t>
      </w:r>
      <w:r w:rsidR="00202AED" w:rsidRPr="00AD2E1F">
        <w:rPr>
          <w:rFonts w:ascii="Rockwell" w:hAnsi="Rockwell"/>
        </w:rPr>
        <w:t xml:space="preserve">Kalarani </w:t>
      </w:r>
      <w:r w:rsidR="00202AED" w:rsidRPr="00AD2E1F">
        <w:rPr>
          <w:rFonts w:ascii="Rockwell" w:hAnsi="Rockwell"/>
          <w:i/>
          <w:iCs/>
        </w:rPr>
        <w:t>et al.,</w:t>
      </w:r>
      <w:r w:rsidR="00202AED" w:rsidRPr="00AD2E1F">
        <w:rPr>
          <w:rFonts w:ascii="Rockwell" w:hAnsi="Rockwell"/>
        </w:rPr>
        <w:t xml:space="preserve"> (2008</w:t>
      </w:r>
      <w:r w:rsidR="00202AED">
        <w:rPr>
          <w:rFonts w:ascii="Rockwell" w:hAnsi="Rockwell"/>
        </w:rPr>
        <w:t>)</w:t>
      </w:r>
      <w:r w:rsidR="00D4315E" w:rsidRPr="00D4315E">
        <w:rPr>
          <w:rFonts w:ascii="Rockwell" w:hAnsi="Rockwell"/>
        </w:rPr>
        <w:t xml:space="preserve"> highlighted that the marginal benefit-cost ratio steadily improved from 1:2.49 to 1:3.04 over time.</w:t>
      </w:r>
    </w:p>
    <w:p w:rsidR="000E05A8" w:rsidRDefault="000E05A8" w:rsidP="00094505">
      <w:pPr>
        <w:ind w:firstLine="720"/>
        <w:jc w:val="both"/>
        <w:rPr>
          <w:rFonts w:ascii="Rockwell" w:hAnsi="Rockwell"/>
        </w:rPr>
      </w:pPr>
      <w:r>
        <w:rPr>
          <w:noProof/>
          <w:lang w:val="en-US"/>
        </w:rPr>
        <w:drawing>
          <wp:inline distT="0" distB="0" distL="0" distR="0">
            <wp:extent cx="5323151" cy="3934496"/>
            <wp:effectExtent l="0" t="0" r="11430" b="8890"/>
            <wp:docPr id="62621906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61B98F3-5D5C-DAC6-0E65-960E447862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5034" w:rsidRPr="00AD2E1F" w:rsidRDefault="00445034" w:rsidP="00094505">
      <w:pPr>
        <w:ind w:firstLine="720"/>
        <w:jc w:val="both"/>
        <w:rPr>
          <w:rFonts w:ascii="Rockwell" w:hAnsi="Rockwell"/>
        </w:rPr>
      </w:pPr>
      <w:r w:rsidRPr="00AD2E1F">
        <w:rPr>
          <w:rFonts w:ascii="Rockwell" w:hAnsi="Rockwell"/>
        </w:rPr>
        <w:t>The study highlights a dual narrative around the adoption of TNAU Coconut Tonic among coconut growers in Coimbatore. On one hand, the tonic delivers remarkable benefits in terms of yield improvement, plant health, and economic gains. On the other, several constraints—especially related to accessibility, lack of training, labour shortages, and cost—pose serious challenges to widespread adoption.</w:t>
      </w:r>
    </w:p>
    <w:p w:rsidR="008E3319" w:rsidRPr="00AD2E1F" w:rsidRDefault="008E3319" w:rsidP="00094505">
      <w:pPr>
        <w:ind w:firstLine="720"/>
        <w:jc w:val="both"/>
        <w:rPr>
          <w:rFonts w:ascii="Rockwell" w:hAnsi="Rockwell"/>
        </w:rPr>
      </w:pPr>
      <w:r w:rsidRPr="00AD2E1F">
        <w:rPr>
          <w:rFonts w:ascii="Rockwell" w:hAnsi="Rockwell"/>
        </w:rPr>
        <w:t>These benefits make coconut tonic a promising input, particularly in traditional coconut-growing regions where soil fertility issues and declining yields are major concerns.</w:t>
      </w:r>
    </w:p>
    <w:p w:rsidR="00445034" w:rsidRPr="00AD2E1F" w:rsidRDefault="00A60E34" w:rsidP="009C53C7">
      <w:pPr>
        <w:jc w:val="both"/>
        <w:rPr>
          <w:rFonts w:ascii="Rockwell" w:hAnsi="Rockwell"/>
          <w:b/>
          <w:bCs/>
        </w:rPr>
      </w:pPr>
      <w:r w:rsidRPr="00AD2E1F">
        <w:rPr>
          <w:rFonts w:ascii="Rockwell" w:hAnsi="Rockwell"/>
          <w:b/>
          <w:bCs/>
        </w:rPr>
        <w:t>The way forward</w:t>
      </w:r>
      <w:r w:rsidR="00445034" w:rsidRPr="00AD2E1F">
        <w:rPr>
          <w:rFonts w:ascii="Rockwell" w:hAnsi="Rockwell"/>
          <w:b/>
          <w:bCs/>
        </w:rPr>
        <w:t>:</w:t>
      </w:r>
    </w:p>
    <w:p w:rsidR="00A60E34" w:rsidRPr="00AD2E1F" w:rsidRDefault="00A60E34" w:rsidP="00A60E34">
      <w:pPr>
        <w:ind w:firstLine="360"/>
        <w:jc w:val="both"/>
        <w:rPr>
          <w:rFonts w:ascii="Rockwell" w:hAnsi="Rockwell"/>
        </w:rPr>
      </w:pPr>
      <w:r w:rsidRPr="00AD2E1F">
        <w:rPr>
          <w:rFonts w:ascii="Rockwell" w:hAnsi="Rockwell"/>
        </w:rPr>
        <w:t xml:space="preserve">To enhance the adoption of coconut tonic among coconut growers, a multifaceted strategy is essential. First, strengthening local distribution networks is crucial to ensure the tonic is readily available in rural and remote areas, minimizing delays and increasing timely access for farmers. Accessibility must be </w:t>
      </w:r>
      <w:r w:rsidRPr="00AD2E1F">
        <w:rPr>
          <w:rFonts w:ascii="Rockwell" w:hAnsi="Rockwell"/>
        </w:rPr>
        <w:lastRenderedPageBreak/>
        <w:t xml:space="preserve">complemented by hands-on field-level training and demonstrations, which are vital for building farmers' confidence and competence in proper application techniques. </w:t>
      </w:r>
    </w:p>
    <w:p w:rsidR="00A60E34" w:rsidRPr="00AD2E1F" w:rsidRDefault="00A60E34" w:rsidP="00A60E34">
      <w:pPr>
        <w:ind w:firstLine="360"/>
        <w:jc w:val="both"/>
        <w:rPr>
          <w:rFonts w:ascii="Rockwell" w:hAnsi="Rockwell"/>
        </w:rPr>
      </w:pPr>
      <w:r w:rsidRPr="00AD2E1F">
        <w:rPr>
          <w:rFonts w:ascii="Rockwell" w:hAnsi="Rockwell"/>
        </w:rPr>
        <w:t xml:space="preserve">Many farmers are hesitant to adopt new inputs due to lack of familiarity, and practical exposure can significantly bridge this gap. In addition, financial support mechanisms, such as subsidies or incentives, are particularly important for marginal and small-scale farmers who may find the initial investment burdensome. Collective approaches, such as promoting the role of Farmer Producer Organizations (FPOs), can facilitate bulk procurement and shared services, thereby reducing per-unit costs and enhancing bargaining power. </w:t>
      </w:r>
    </w:p>
    <w:p w:rsidR="00A60E34" w:rsidRPr="00AD2E1F" w:rsidRDefault="00A60E34" w:rsidP="00A60E34">
      <w:pPr>
        <w:ind w:firstLine="360"/>
        <w:jc w:val="both"/>
        <w:rPr>
          <w:rFonts w:ascii="Rockwell" w:hAnsi="Rockwell"/>
        </w:rPr>
      </w:pPr>
      <w:r w:rsidRPr="00AD2E1F">
        <w:rPr>
          <w:rFonts w:ascii="Rockwell" w:hAnsi="Rockwell"/>
        </w:rPr>
        <w:t>Furthermore, the deployment of trained rural youth or Self-Help Group (SHG) members as professional service providers can ensure correct and consistent application, while also generating rural employment. These coordinated efforts can significantly improve the reach, affordability, and proper utilization of coconut tonic, ultimately contributing to better crop productivity and farmer well-being.</w:t>
      </w:r>
    </w:p>
    <w:p w:rsidR="00A60E34" w:rsidRPr="00AD2E1F" w:rsidRDefault="00A60E34" w:rsidP="00A60E34">
      <w:pPr>
        <w:ind w:firstLine="360"/>
        <w:jc w:val="both"/>
        <w:rPr>
          <w:rFonts w:ascii="Rockwell" w:hAnsi="Rockwell"/>
        </w:rPr>
      </w:pPr>
      <w:commentRangeStart w:id="6"/>
      <w:r w:rsidRPr="00AD2E1F">
        <w:rPr>
          <w:rFonts w:ascii="Rockwell" w:hAnsi="Rockwell"/>
        </w:rPr>
        <w:t xml:space="preserve">Several researchers have emphasized the importance of promoting coconut tonic use among farmers to boost coconut productivity and sustainability. </w:t>
      </w:r>
    </w:p>
    <w:p w:rsidR="00445034" w:rsidRPr="00AD2E1F" w:rsidRDefault="00445034" w:rsidP="00094505">
      <w:pPr>
        <w:ind w:firstLine="360"/>
        <w:jc w:val="both"/>
        <w:rPr>
          <w:rFonts w:ascii="Rockwell" w:hAnsi="Rockwell"/>
        </w:rPr>
      </w:pPr>
      <w:r w:rsidRPr="00AD2E1F">
        <w:rPr>
          <w:rFonts w:ascii="Rockwell" w:hAnsi="Rockwell"/>
        </w:rPr>
        <w:t>By addressing the key barriers and leveraging the tonic’s proven benefits, TNAU Coconut Tonic can become a sustainable and scalable solution for improving coconut productivity in Tamil Nadu.</w:t>
      </w:r>
    </w:p>
    <w:commentRangeEnd w:id="6"/>
    <w:p w:rsidR="008E3319" w:rsidRPr="00AD2E1F" w:rsidRDefault="00EC2E49" w:rsidP="008E3319">
      <w:pPr>
        <w:rPr>
          <w:rFonts w:ascii="Rockwell" w:hAnsi="Rockwell"/>
          <w:b/>
          <w:bCs/>
        </w:rPr>
      </w:pPr>
      <w:r>
        <w:rPr>
          <w:rStyle w:val="CommentReference"/>
        </w:rPr>
        <w:commentReference w:id="6"/>
      </w:r>
      <w:r w:rsidR="008E3319" w:rsidRPr="00AD2E1F">
        <w:rPr>
          <w:rFonts w:ascii="Rockwell" w:hAnsi="Rockwell"/>
          <w:b/>
          <w:bCs/>
        </w:rPr>
        <w:t>References</w:t>
      </w:r>
    </w:p>
    <w:p w:rsidR="00955094" w:rsidRDefault="00955094" w:rsidP="00CE7057">
      <w:pPr>
        <w:pStyle w:val="NormalWeb"/>
        <w:spacing w:before="0" w:beforeAutospacing="0" w:after="0" w:afterAutospacing="0"/>
        <w:jc w:val="both"/>
        <w:rPr>
          <w:rFonts w:ascii="Rockwell" w:hAnsi="Rockwell"/>
        </w:rPr>
      </w:pPr>
      <w:r w:rsidRPr="00AD2E1F">
        <w:rPr>
          <w:rFonts w:ascii="Rockwell" w:hAnsi="Rockwell"/>
        </w:rPr>
        <w:t>Kalarani M, Raja D, Janaki P. Popularization of TNAU Coconut Tonic and its impact. Agriculture Update 200</w:t>
      </w:r>
      <w:r w:rsidR="00150603" w:rsidRPr="00AD2E1F">
        <w:rPr>
          <w:rFonts w:ascii="Rockwell" w:hAnsi="Rockwell"/>
        </w:rPr>
        <w:t>8</w:t>
      </w:r>
      <w:r w:rsidRPr="00AD2E1F">
        <w:rPr>
          <w:rFonts w:ascii="Rockwell" w:hAnsi="Rockwell"/>
        </w:rPr>
        <w:t xml:space="preserve">;4(1/2): 36-40. </w:t>
      </w:r>
    </w:p>
    <w:p w:rsidR="00CE7057" w:rsidRPr="00CE7057" w:rsidRDefault="00CE7057" w:rsidP="00CE7057">
      <w:pPr>
        <w:pStyle w:val="NormalWeb"/>
        <w:spacing w:before="0" w:beforeAutospacing="0" w:after="0" w:afterAutospacing="0"/>
        <w:jc w:val="both"/>
        <w:rPr>
          <w:rFonts w:ascii="Rockwell" w:hAnsi="Rockwell"/>
          <w:sz w:val="10"/>
          <w:szCs w:val="10"/>
        </w:rPr>
      </w:pPr>
    </w:p>
    <w:p w:rsidR="005935D1" w:rsidRDefault="00DE3F69" w:rsidP="00CE7057">
      <w:pPr>
        <w:pStyle w:val="NormalWeb"/>
        <w:spacing w:before="0" w:beforeAutospacing="0" w:after="0" w:afterAutospacing="0"/>
        <w:jc w:val="both"/>
        <w:rPr>
          <w:rFonts w:ascii="Rockwell" w:hAnsi="Rockwell"/>
        </w:rPr>
      </w:pPr>
      <w:proofErr w:type="spellStart"/>
      <w:r w:rsidRPr="00DE3F69">
        <w:rPr>
          <w:rFonts w:ascii="Rockwell" w:hAnsi="Rockwell"/>
        </w:rPr>
        <w:t>Manasa</w:t>
      </w:r>
      <w:proofErr w:type="spellEnd"/>
      <w:r w:rsidRPr="00DE3F69">
        <w:rPr>
          <w:rFonts w:ascii="Rockwell" w:hAnsi="Rockwell"/>
        </w:rPr>
        <w:t xml:space="preserve"> K, </w:t>
      </w:r>
      <w:proofErr w:type="spellStart"/>
      <w:r w:rsidRPr="00DE3F69">
        <w:rPr>
          <w:rFonts w:ascii="Rockwell" w:hAnsi="Rockwell"/>
        </w:rPr>
        <w:t>Jirli</w:t>
      </w:r>
      <w:proofErr w:type="spellEnd"/>
      <w:r w:rsidRPr="00DE3F69">
        <w:rPr>
          <w:rFonts w:ascii="Rockwell" w:hAnsi="Rockwell"/>
        </w:rPr>
        <w:t xml:space="preserve"> B, </w:t>
      </w:r>
      <w:proofErr w:type="spellStart"/>
      <w:r w:rsidRPr="00DE3F69">
        <w:rPr>
          <w:rFonts w:ascii="Rockwell" w:hAnsi="Rockwell"/>
        </w:rPr>
        <w:t>Srishailam</w:t>
      </w:r>
      <w:proofErr w:type="spellEnd"/>
      <w:r w:rsidRPr="00DE3F69">
        <w:rPr>
          <w:rFonts w:ascii="Rockwell" w:hAnsi="Rockwell"/>
        </w:rPr>
        <w:t xml:space="preserve"> B, Ravi G. A critical</w:t>
      </w:r>
      <w:r w:rsidR="00955094" w:rsidRPr="00AD2E1F">
        <w:rPr>
          <w:rFonts w:ascii="Rockwell" w:hAnsi="Rockwell"/>
        </w:rPr>
        <w:t xml:space="preserve"> </w:t>
      </w:r>
      <w:r w:rsidRPr="00DE3F69">
        <w:rPr>
          <w:rFonts w:ascii="Rockwell" w:hAnsi="Rockwell"/>
        </w:rPr>
        <w:t xml:space="preserve">study on availability of agricultural inputs with the </w:t>
      </w:r>
      <w:proofErr w:type="spellStart"/>
      <w:r w:rsidRPr="00DE3F69">
        <w:rPr>
          <w:rFonts w:ascii="Rockwell" w:hAnsi="Rockwell"/>
        </w:rPr>
        <w:t>agri</w:t>
      </w:r>
      <w:proofErr w:type="spellEnd"/>
      <w:r w:rsidR="00955094" w:rsidRPr="00AD2E1F">
        <w:rPr>
          <w:rFonts w:ascii="Rockwell" w:hAnsi="Rockwell"/>
        </w:rPr>
        <w:t xml:space="preserve"> </w:t>
      </w:r>
      <w:r w:rsidRPr="00DE3F69">
        <w:rPr>
          <w:rFonts w:ascii="Rockwell" w:hAnsi="Rockwell"/>
        </w:rPr>
        <w:t xml:space="preserve">input dealers of </w:t>
      </w:r>
      <w:proofErr w:type="spellStart"/>
      <w:r w:rsidRPr="00DE3F69">
        <w:rPr>
          <w:rFonts w:ascii="Rockwell" w:hAnsi="Rockwell"/>
        </w:rPr>
        <w:t>Nagarkarnool</w:t>
      </w:r>
      <w:proofErr w:type="spellEnd"/>
      <w:r w:rsidRPr="00DE3F69">
        <w:rPr>
          <w:rFonts w:ascii="Rockwell" w:hAnsi="Rockwell"/>
        </w:rPr>
        <w:t xml:space="preserve"> and </w:t>
      </w:r>
      <w:proofErr w:type="spellStart"/>
      <w:r w:rsidRPr="00DE3F69">
        <w:rPr>
          <w:rFonts w:ascii="Rockwell" w:hAnsi="Rockwell"/>
        </w:rPr>
        <w:t>Wanaparthy</w:t>
      </w:r>
      <w:proofErr w:type="spellEnd"/>
      <w:r w:rsidRPr="00DE3F69">
        <w:rPr>
          <w:rFonts w:ascii="Rockwell" w:hAnsi="Rockwell"/>
        </w:rPr>
        <w:t xml:space="preserve"> </w:t>
      </w:r>
      <w:proofErr w:type="gramStart"/>
      <w:r w:rsidRPr="00DE3F69">
        <w:rPr>
          <w:rFonts w:ascii="Rockwell" w:hAnsi="Rockwell"/>
        </w:rPr>
        <w:t>districts</w:t>
      </w:r>
      <w:r w:rsidRPr="00AD2E1F">
        <w:rPr>
          <w:rFonts w:ascii="Rockwell" w:hAnsi="Rockwell"/>
        </w:rPr>
        <w:t xml:space="preserve">  </w:t>
      </w:r>
      <w:r w:rsidRPr="00DE3F69">
        <w:rPr>
          <w:rFonts w:ascii="Rockwell" w:hAnsi="Rockwell"/>
        </w:rPr>
        <w:t>of</w:t>
      </w:r>
      <w:proofErr w:type="gramEnd"/>
      <w:r w:rsidRPr="00DE3F69">
        <w:rPr>
          <w:rFonts w:ascii="Rockwell" w:hAnsi="Rockwell"/>
        </w:rPr>
        <w:t xml:space="preserve"> Telangana State, India. Asian J Agric. Ext Econ</w:t>
      </w:r>
      <w:r w:rsidRPr="00AD2E1F">
        <w:rPr>
          <w:rFonts w:ascii="Rockwell" w:hAnsi="Rockwell"/>
        </w:rPr>
        <w:t xml:space="preserve"> </w:t>
      </w:r>
      <w:proofErr w:type="spellStart"/>
      <w:r w:rsidRPr="00AD2E1F">
        <w:rPr>
          <w:rFonts w:ascii="Rockwell" w:hAnsi="Rockwell"/>
        </w:rPr>
        <w:t>Sociol</w:t>
      </w:r>
      <w:proofErr w:type="spellEnd"/>
      <w:r w:rsidRPr="00AD2E1F">
        <w:rPr>
          <w:rFonts w:ascii="Rockwell" w:hAnsi="Rockwell"/>
        </w:rPr>
        <w:t>. 2023;41(3):61-68.</w:t>
      </w:r>
    </w:p>
    <w:p w:rsidR="00CE7057" w:rsidRPr="00CE7057" w:rsidRDefault="00CE7057" w:rsidP="00CE7057">
      <w:pPr>
        <w:pStyle w:val="NormalWeb"/>
        <w:spacing w:before="0" w:beforeAutospacing="0" w:after="0" w:afterAutospacing="0"/>
        <w:jc w:val="both"/>
        <w:rPr>
          <w:rFonts w:ascii="Rockwell" w:hAnsi="Rockwell"/>
          <w:sz w:val="12"/>
          <w:szCs w:val="12"/>
        </w:rPr>
      </w:pPr>
    </w:p>
    <w:p w:rsidR="00D90FE3" w:rsidRDefault="00D90FE3" w:rsidP="00CE7057">
      <w:pPr>
        <w:pStyle w:val="NormalWeb"/>
        <w:spacing w:before="0" w:beforeAutospacing="0" w:after="0" w:afterAutospacing="0"/>
        <w:jc w:val="both"/>
        <w:rPr>
          <w:rFonts w:ascii="Rockwell" w:hAnsi="Rockwell"/>
        </w:rPr>
      </w:pPr>
      <w:proofErr w:type="spellStart"/>
      <w:r w:rsidRPr="00D90FE3">
        <w:rPr>
          <w:rFonts w:ascii="Rockwell" w:hAnsi="Rockwell"/>
        </w:rPr>
        <w:t>Rathinavel</w:t>
      </w:r>
      <w:proofErr w:type="spellEnd"/>
      <w:r w:rsidRPr="00D90FE3">
        <w:rPr>
          <w:rFonts w:ascii="Rockwell" w:hAnsi="Rockwell"/>
        </w:rPr>
        <w:t xml:space="preserve"> S, A </w:t>
      </w:r>
      <w:proofErr w:type="spellStart"/>
      <w:r w:rsidRPr="00D90FE3">
        <w:rPr>
          <w:rFonts w:ascii="Rockwell" w:hAnsi="Rockwell"/>
        </w:rPr>
        <w:t>Surendrakumar</w:t>
      </w:r>
      <w:proofErr w:type="spellEnd"/>
      <w:r w:rsidRPr="00D90FE3">
        <w:rPr>
          <w:rFonts w:ascii="Rockwell" w:hAnsi="Rockwell"/>
        </w:rPr>
        <w:t>, R Kavitha1, Sanjeevi  and B Suthakar</w:t>
      </w:r>
      <w:r w:rsidRPr="00AD2E1F">
        <w:rPr>
          <w:rFonts w:ascii="Rockwell" w:hAnsi="Rockwell"/>
        </w:rPr>
        <w:t>,</w:t>
      </w:r>
      <w:r w:rsidRPr="00D90FE3">
        <w:rPr>
          <w:rFonts w:ascii="Rockwell" w:hAnsi="Rockwell"/>
        </w:rPr>
        <w:t xml:space="preserve"> Key challenges faced in coconut farming across Coimbatore and </w:t>
      </w:r>
      <w:proofErr w:type="spellStart"/>
      <w:r w:rsidRPr="00D90FE3">
        <w:rPr>
          <w:rFonts w:ascii="Rockwell" w:hAnsi="Rockwell"/>
        </w:rPr>
        <w:t>Tirupur</w:t>
      </w:r>
      <w:proofErr w:type="spellEnd"/>
      <w:r w:rsidRPr="00D90FE3">
        <w:rPr>
          <w:rFonts w:ascii="Rockwell" w:hAnsi="Rockwell"/>
        </w:rPr>
        <w:t xml:space="preserve"> districts, Tamil </w:t>
      </w:r>
      <w:proofErr w:type="spellStart"/>
      <w:r w:rsidRPr="00D90FE3">
        <w:rPr>
          <w:rFonts w:ascii="Rockwell" w:hAnsi="Rockwell"/>
        </w:rPr>
        <w:t>Nadu</w:t>
      </w:r>
      <w:r w:rsidRPr="00AD2E1F">
        <w:rPr>
          <w:rFonts w:ascii="Rockwell" w:hAnsi="Rockwell"/>
        </w:rPr>
        <w:t>,Volume</w:t>
      </w:r>
      <w:proofErr w:type="spellEnd"/>
      <w:r w:rsidRPr="00AD2E1F">
        <w:rPr>
          <w:rFonts w:ascii="Rockwell" w:hAnsi="Rockwell"/>
        </w:rPr>
        <w:t xml:space="preserve"> 7; Issue 9; September 2024; 896-901</w:t>
      </w:r>
    </w:p>
    <w:p w:rsidR="00CE7057" w:rsidRPr="00AD2E1F" w:rsidRDefault="00CE7057" w:rsidP="00CE7057">
      <w:pPr>
        <w:pStyle w:val="NormalWeb"/>
        <w:spacing w:before="0" w:beforeAutospacing="0" w:after="0" w:afterAutospacing="0"/>
        <w:jc w:val="both"/>
        <w:rPr>
          <w:rFonts w:ascii="Rockwell" w:hAnsi="Rockwell"/>
        </w:rPr>
      </w:pPr>
    </w:p>
    <w:p w:rsidR="00B746FB" w:rsidRPr="00F7255E" w:rsidRDefault="00955094" w:rsidP="003627C1">
      <w:pPr>
        <w:pStyle w:val="NormalWeb"/>
        <w:spacing w:before="0" w:beforeAutospacing="0" w:after="0" w:afterAutospacing="0"/>
        <w:jc w:val="both"/>
        <w:rPr>
          <w:rFonts w:ascii="Rockwell" w:hAnsi="Rockwell"/>
        </w:rPr>
      </w:pPr>
      <w:r w:rsidRPr="00AD2E1F">
        <w:rPr>
          <w:rFonts w:ascii="Rockwell" w:hAnsi="Rockwell"/>
        </w:rPr>
        <w:t xml:space="preserve">Rogers, E. M. (2003). </w:t>
      </w:r>
      <w:r w:rsidRPr="00AD2E1F">
        <w:rPr>
          <w:rStyle w:val="Emphasis"/>
          <w:rFonts w:ascii="Rockwell" w:eastAsiaTheme="majorEastAsia" w:hAnsi="Rockwell"/>
        </w:rPr>
        <w:t>Diffusion of innovations</w:t>
      </w:r>
      <w:r w:rsidRPr="00AD2E1F">
        <w:rPr>
          <w:rFonts w:ascii="Rockwell" w:hAnsi="Rockwell"/>
        </w:rPr>
        <w:t xml:space="preserve"> (5th ed.). Free Press.</w:t>
      </w:r>
    </w:p>
    <w:sectPr w:rsidR="00B746FB" w:rsidRPr="00F7255E" w:rsidSect="00EA2E1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5-05-30T05:55:00Z" w:initials="A">
    <w:p w:rsidR="009A5BE7" w:rsidRDefault="009A5BE7">
      <w:pPr>
        <w:pStyle w:val="CommentText"/>
      </w:pPr>
      <w:r>
        <w:rPr>
          <w:rStyle w:val="CommentReference"/>
        </w:rPr>
        <w:annotationRef/>
      </w:r>
      <w:r>
        <w:t>Remove comma</w:t>
      </w:r>
    </w:p>
  </w:comment>
  <w:comment w:id="1" w:author="Admin" w:date="2025-05-30T05:58:00Z" w:initials="A">
    <w:p w:rsidR="009A5BE7" w:rsidRDefault="009A5BE7">
      <w:pPr>
        <w:pStyle w:val="CommentText"/>
      </w:pPr>
      <w:r>
        <w:rPr>
          <w:rStyle w:val="CommentReference"/>
        </w:rPr>
        <w:annotationRef/>
      </w:r>
      <w:r>
        <w:t xml:space="preserve">This can be combined and written in a sentence </w:t>
      </w:r>
    </w:p>
  </w:comment>
  <w:comment w:id="2" w:author="Admin" w:date="2025-05-30T05:59:00Z" w:initials="A">
    <w:p w:rsidR="009A5BE7" w:rsidRDefault="009A5BE7">
      <w:pPr>
        <w:pStyle w:val="CommentText"/>
      </w:pPr>
      <w:r>
        <w:rPr>
          <w:rStyle w:val="CommentReference"/>
        </w:rPr>
        <w:annotationRef/>
      </w:r>
      <w:proofErr w:type="gramStart"/>
      <w:r>
        <w:t>alignment</w:t>
      </w:r>
      <w:proofErr w:type="gramEnd"/>
    </w:p>
  </w:comment>
  <w:comment w:id="3" w:author="Admin" w:date="2025-05-30T06:01:00Z" w:initials="A">
    <w:p w:rsidR="00EC2E49" w:rsidRDefault="00EC2E49">
      <w:pPr>
        <w:pStyle w:val="CommentText"/>
      </w:pPr>
      <w:r>
        <w:rPr>
          <w:rStyle w:val="CommentReference"/>
        </w:rPr>
        <w:annotationRef/>
      </w:r>
      <w:proofErr w:type="gramStart"/>
      <w:r>
        <w:t>n</w:t>
      </w:r>
      <w:proofErr w:type="gramEnd"/>
      <w:r>
        <w:t xml:space="preserve"> is not mentioned here</w:t>
      </w:r>
    </w:p>
  </w:comment>
  <w:comment w:id="4" w:author="Admin" w:date="2025-05-30T06:02:00Z" w:initials="A">
    <w:p w:rsidR="00EC2E49" w:rsidRDefault="00EC2E49">
      <w:pPr>
        <w:pStyle w:val="CommentText"/>
      </w:pPr>
      <w:r>
        <w:rPr>
          <w:rStyle w:val="CommentReference"/>
        </w:rPr>
        <w:annotationRef/>
      </w:r>
      <w:proofErr w:type="gramStart"/>
      <w:r>
        <w:t>where</w:t>
      </w:r>
      <w:proofErr w:type="gramEnd"/>
      <w:r>
        <w:t xml:space="preserve"> is the evidence that they are small holders</w:t>
      </w:r>
    </w:p>
  </w:comment>
  <w:comment w:id="5" w:author="Admin" w:date="2025-05-30T06:02:00Z" w:initials="A">
    <w:p w:rsidR="00EC2E49" w:rsidRDefault="00EC2E49">
      <w:pPr>
        <w:pStyle w:val="CommentText"/>
      </w:pPr>
      <w:r>
        <w:rPr>
          <w:rStyle w:val="CommentReference"/>
        </w:rPr>
        <w:annotationRef/>
      </w:r>
      <w:proofErr w:type="gramStart"/>
      <w:r>
        <w:t>n</w:t>
      </w:r>
      <w:proofErr w:type="gramEnd"/>
      <w:r>
        <w:t xml:space="preserve"> should be given</w:t>
      </w:r>
    </w:p>
  </w:comment>
  <w:comment w:id="6" w:author="Admin" w:date="2025-05-30T06:07:00Z" w:initials="A">
    <w:p w:rsidR="00EC2E49" w:rsidRDefault="00EC2E49">
      <w:pPr>
        <w:pStyle w:val="CommentText"/>
      </w:pPr>
      <w:r>
        <w:rPr>
          <w:rStyle w:val="CommentReference"/>
        </w:rPr>
        <w:annotationRef/>
      </w:r>
      <w:r>
        <w:t xml:space="preserve">both can be </w:t>
      </w:r>
      <w:r>
        <w:t>combined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C32" w:rsidRDefault="004A0C32" w:rsidP="007B1B16">
      <w:pPr>
        <w:spacing w:after="0" w:line="240" w:lineRule="auto"/>
      </w:pPr>
      <w:r>
        <w:separator/>
      </w:r>
    </w:p>
  </w:endnote>
  <w:endnote w:type="continuationSeparator" w:id="0">
    <w:p w:rsidR="004A0C32" w:rsidRDefault="004A0C32" w:rsidP="007B1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B16" w:rsidRDefault="007B1B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B16" w:rsidRDefault="007B1B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B16" w:rsidRDefault="007B1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C32" w:rsidRDefault="004A0C32" w:rsidP="007B1B16">
      <w:pPr>
        <w:spacing w:after="0" w:line="240" w:lineRule="auto"/>
      </w:pPr>
      <w:r>
        <w:separator/>
      </w:r>
    </w:p>
  </w:footnote>
  <w:footnote w:type="continuationSeparator" w:id="0">
    <w:p w:rsidR="004A0C32" w:rsidRDefault="004A0C32" w:rsidP="007B1B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B16" w:rsidRDefault="00EA2E1D">
    <w:pPr>
      <w:pStyle w:val="Header"/>
    </w:pPr>
    <w:r w:rsidRPr="00EA2E1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7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B16" w:rsidRDefault="00EA2E1D">
    <w:pPr>
      <w:pStyle w:val="Header"/>
    </w:pPr>
    <w:r w:rsidRPr="00EA2E1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7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B16" w:rsidRDefault="00EA2E1D">
    <w:pPr>
      <w:pStyle w:val="Header"/>
    </w:pPr>
    <w:r w:rsidRPr="00EA2E1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7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D6477"/>
    <w:multiLevelType w:val="hybridMultilevel"/>
    <w:tmpl w:val="04987D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90771C"/>
    <w:multiLevelType w:val="multilevel"/>
    <w:tmpl w:val="7CDC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762EA3"/>
    <w:multiLevelType w:val="multilevel"/>
    <w:tmpl w:val="C69E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9213F"/>
    <w:multiLevelType w:val="multilevel"/>
    <w:tmpl w:val="48D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0D3B52"/>
    <w:multiLevelType w:val="multilevel"/>
    <w:tmpl w:val="E590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B746FB"/>
    <w:rsid w:val="000222CC"/>
    <w:rsid w:val="00070D10"/>
    <w:rsid w:val="00094505"/>
    <w:rsid w:val="000E05A8"/>
    <w:rsid w:val="00150603"/>
    <w:rsid w:val="00183702"/>
    <w:rsid w:val="001939BD"/>
    <w:rsid w:val="001A6E20"/>
    <w:rsid w:val="00202AED"/>
    <w:rsid w:val="00210945"/>
    <w:rsid w:val="002421A6"/>
    <w:rsid w:val="002E2F51"/>
    <w:rsid w:val="003160E4"/>
    <w:rsid w:val="00335BF7"/>
    <w:rsid w:val="00347262"/>
    <w:rsid w:val="00361318"/>
    <w:rsid w:val="003627C1"/>
    <w:rsid w:val="0037585B"/>
    <w:rsid w:val="00401789"/>
    <w:rsid w:val="00405583"/>
    <w:rsid w:val="00445034"/>
    <w:rsid w:val="00474209"/>
    <w:rsid w:val="004A0AEC"/>
    <w:rsid w:val="004A0C32"/>
    <w:rsid w:val="004B0602"/>
    <w:rsid w:val="005653FA"/>
    <w:rsid w:val="005935D1"/>
    <w:rsid w:val="00593AFE"/>
    <w:rsid w:val="005D1B93"/>
    <w:rsid w:val="005D2094"/>
    <w:rsid w:val="005E03F1"/>
    <w:rsid w:val="00615B24"/>
    <w:rsid w:val="00675C45"/>
    <w:rsid w:val="006A28BD"/>
    <w:rsid w:val="00703125"/>
    <w:rsid w:val="007138F0"/>
    <w:rsid w:val="00720C41"/>
    <w:rsid w:val="00727F72"/>
    <w:rsid w:val="0073732C"/>
    <w:rsid w:val="00757DC1"/>
    <w:rsid w:val="00760CDD"/>
    <w:rsid w:val="007B1B16"/>
    <w:rsid w:val="007C29D1"/>
    <w:rsid w:val="00836D40"/>
    <w:rsid w:val="00846C83"/>
    <w:rsid w:val="008900D3"/>
    <w:rsid w:val="008E2C81"/>
    <w:rsid w:val="008E3319"/>
    <w:rsid w:val="008F0AF7"/>
    <w:rsid w:val="009449E0"/>
    <w:rsid w:val="00952EC5"/>
    <w:rsid w:val="00955094"/>
    <w:rsid w:val="00976EF9"/>
    <w:rsid w:val="009A54FE"/>
    <w:rsid w:val="009A5BE7"/>
    <w:rsid w:val="009C53C7"/>
    <w:rsid w:val="009F44B5"/>
    <w:rsid w:val="009F7D28"/>
    <w:rsid w:val="00A60E34"/>
    <w:rsid w:val="00A61FDD"/>
    <w:rsid w:val="00AD2E1F"/>
    <w:rsid w:val="00AE6975"/>
    <w:rsid w:val="00B32378"/>
    <w:rsid w:val="00B6090D"/>
    <w:rsid w:val="00B746FB"/>
    <w:rsid w:val="00C42903"/>
    <w:rsid w:val="00CC5ABB"/>
    <w:rsid w:val="00CE0A85"/>
    <w:rsid w:val="00CE7057"/>
    <w:rsid w:val="00D03F9E"/>
    <w:rsid w:val="00D4315E"/>
    <w:rsid w:val="00D50A97"/>
    <w:rsid w:val="00D90FE3"/>
    <w:rsid w:val="00DB716E"/>
    <w:rsid w:val="00DE3F69"/>
    <w:rsid w:val="00DE5C03"/>
    <w:rsid w:val="00E246A9"/>
    <w:rsid w:val="00E40C01"/>
    <w:rsid w:val="00EA2E1D"/>
    <w:rsid w:val="00EA3708"/>
    <w:rsid w:val="00EC2E49"/>
    <w:rsid w:val="00ED2412"/>
    <w:rsid w:val="00EE3AF4"/>
    <w:rsid w:val="00EF3D76"/>
    <w:rsid w:val="00F7255E"/>
    <w:rsid w:val="00FA6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E1D"/>
  </w:style>
  <w:style w:type="paragraph" w:styleId="Heading1">
    <w:name w:val="heading 1"/>
    <w:basedOn w:val="Normal"/>
    <w:next w:val="Normal"/>
    <w:link w:val="Heading1Char"/>
    <w:uiPriority w:val="9"/>
    <w:qFormat/>
    <w:rsid w:val="00B74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6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6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6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6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6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6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6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6FB"/>
    <w:rPr>
      <w:rFonts w:eastAsiaTheme="majorEastAsia" w:cstheme="majorBidi"/>
      <w:color w:val="272727" w:themeColor="text1" w:themeTint="D8"/>
    </w:rPr>
  </w:style>
  <w:style w:type="paragraph" w:styleId="Title">
    <w:name w:val="Title"/>
    <w:basedOn w:val="Normal"/>
    <w:next w:val="Normal"/>
    <w:link w:val="TitleChar"/>
    <w:uiPriority w:val="10"/>
    <w:qFormat/>
    <w:rsid w:val="00B74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6FB"/>
    <w:pPr>
      <w:spacing w:before="160"/>
      <w:jc w:val="center"/>
    </w:pPr>
    <w:rPr>
      <w:i/>
      <w:iCs/>
      <w:color w:val="404040" w:themeColor="text1" w:themeTint="BF"/>
    </w:rPr>
  </w:style>
  <w:style w:type="character" w:customStyle="1" w:styleId="QuoteChar">
    <w:name w:val="Quote Char"/>
    <w:basedOn w:val="DefaultParagraphFont"/>
    <w:link w:val="Quote"/>
    <w:uiPriority w:val="29"/>
    <w:rsid w:val="00B746FB"/>
    <w:rPr>
      <w:i/>
      <w:iCs/>
      <w:color w:val="404040" w:themeColor="text1" w:themeTint="BF"/>
    </w:rPr>
  </w:style>
  <w:style w:type="paragraph" w:styleId="ListParagraph">
    <w:name w:val="List Paragraph"/>
    <w:basedOn w:val="Normal"/>
    <w:uiPriority w:val="34"/>
    <w:qFormat/>
    <w:rsid w:val="00B746FB"/>
    <w:pPr>
      <w:ind w:left="720"/>
      <w:contextualSpacing/>
    </w:pPr>
  </w:style>
  <w:style w:type="character" w:styleId="IntenseEmphasis">
    <w:name w:val="Intense Emphasis"/>
    <w:basedOn w:val="DefaultParagraphFont"/>
    <w:uiPriority w:val="21"/>
    <w:qFormat/>
    <w:rsid w:val="00B746FB"/>
    <w:rPr>
      <w:i/>
      <w:iCs/>
      <w:color w:val="2F5496" w:themeColor="accent1" w:themeShade="BF"/>
    </w:rPr>
  </w:style>
  <w:style w:type="paragraph" w:styleId="IntenseQuote">
    <w:name w:val="Intense Quote"/>
    <w:basedOn w:val="Normal"/>
    <w:next w:val="Normal"/>
    <w:link w:val="IntenseQuoteChar"/>
    <w:uiPriority w:val="30"/>
    <w:qFormat/>
    <w:rsid w:val="00B74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6FB"/>
    <w:rPr>
      <w:i/>
      <w:iCs/>
      <w:color w:val="2F5496" w:themeColor="accent1" w:themeShade="BF"/>
    </w:rPr>
  </w:style>
  <w:style w:type="character" w:styleId="IntenseReference">
    <w:name w:val="Intense Reference"/>
    <w:basedOn w:val="DefaultParagraphFont"/>
    <w:uiPriority w:val="32"/>
    <w:qFormat/>
    <w:rsid w:val="00B746FB"/>
    <w:rPr>
      <w:b/>
      <w:bCs/>
      <w:smallCaps/>
      <w:color w:val="2F5496" w:themeColor="accent1" w:themeShade="BF"/>
      <w:spacing w:val="5"/>
    </w:rPr>
  </w:style>
  <w:style w:type="character" w:styleId="Hyperlink">
    <w:name w:val="Hyperlink"/>
    <w:basedOn w:val="DefaultParagraphFont"/>
    <w:uiPriority w:val="99"/>
    <w:unhideWhenUsed/>
    <w:rsid w:val="009C53C7"/>
    <w:rPr>
      <w:color w:val="0563C1" w:themeColor="hyperlink"/>
      <w:u w:val="single"/>
    </w:rPr>
  </w:style>
  <w:style w:type="character" w:customStyle="1" w:styleId="UnresolvedMention">
    <w:name w:val="Unresolved Mention"/>
    <w:basedOn w:val="DefaultParagraphFont"/>
    <w:uiPriority w:val="99"/>
    <w:semiHidden/>
    <w:unhideWhenUsed/>
    <w:rsid w:val="000222CC"/>
    <w:rPr>
      <w:color w:val="605E5C"/>
      <w:shd w:val="clear" w:color="auto" w:fill="E1DFDD"/>
    </w:rPr>
  </w:style>
  <w:style w:type="table" w:styleId="TableGrid">
    <w:name w:val="Table Grid"/>
    <w:basedOn w:val="TableNormal"/>
    <w:uiPriority w:val="39"/>
    <w:rsid w:val="009F4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B716E"/>
    <w:pPr>
      <w:spacing w:before="100" w:beforeAutospacing="1" w:after="100" w:afterAutospacing="1" w:line="240" w:lineRule="auto"/>
    </w:pPr>
    <w:rPr>
      <w:rFonts w:ascii="Times New Roman" w:eastAsia="Times New Roman" w:hAnsi="Times New Roman" w:cs="Times New Roman"/>
      <w:kern w:val="0"/>
      <w:lang w:eastAsia="en-IN"/>
    </w:rPr>
  </w:style>
  <w:style w:type="character" w:styleId="Emphasis">
    <w:name w:val="Emphasis"/>
    <w:basedOn w:val="DefaultParagraphFont"/>
    <w:uiPriority w:val="20"/>
    <w:qFormat/>
    <w:rsid w:val="00DB716E"/>
    <w:rPr>
      <w:i/>
      <w:iCs/>
    </w:rPr>
  </w:style>
  <w:style w:type="paragraph" w:styleId="Header">
    <w:name w:val="header"/>
    <w:basedOn w:val="Normal"/>
    <w:link w:val="HeaderChar"/>
    <w:uiPriority w:val="99"/>
    <w:unhideWhenUsed/>
    <w:rsid w:val="007B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B16"/>
  </w:style>
  <w:style w:type="paragraph" w:styleId="Footer">
    <w:name w:val="footer"/>
    <w:basedOn w:val="Normal"/>
    <w:link w:val="FooterChar"/>
    <w:uiPriority w:val="99"/>
    <w:unhideWhenUsed/>
    <w:rsid w:val="007B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B16"/>
  </w:style>
  <w:style w:type="character" w:styleId="CommentReference">
    <w:name w:val="annotation reference"/>
    <w:basedOn w:val="DefaultParagraphFont"/>
    <w:uiPriority w:val="99"/>
    <w:semiHidden/>
    <w:unhideWhenUsed/>
    <w:rsid w:val="009A5BE7"/>
    <w:rPr>
      <w:sz w:val="16"/>
      <w:szCs w:val="16"/>
    </w:rPr>
  </w:style>
  <w:style w:type="paragraph" w:styleId="CommentText">
    <w:name w:val="annotation text"/>
    <w:basedOn w:val="Normal"/>
    <w:link w:val="CommentTextChar"/>
    <w:uiPriority w:val="99"/>
    <w:semiHidden/>
    <w:unhideWhenUsed/>
    <w:rsid w:val="009A5BE7"/>
    <w:pPr>
      <w:spacing w:line="240" w:lineRule="auto"/>
    </w:pPr>
    <w:rPr>
      <w:sz w:val="20"/>
      <w:szCs w:val="20"/>
    </w:rPr>
  </w:style>
  <w:style w:type="character" w:customStyle="1" w:styleId="CommentTextChar">
    <w:name w:val="Comment Text Char"/>
    <w:basedOn w:val="DefaultParagraphFont"/>
    <w:link w:val="CommentText"/>
    <w:uiPriority w:val="99"/>
    <w:semiHidden/>
    <w:rsid w:val="009A5BE7"/>
    <w:rPr>
      <w:sz w:val="20"/>
      <w:szCs w:val="20"/>
    </w:rPr>
  </w:style>
  <w:style w:type="paragraph" w:styleId="CommentSubject">
    <w:name w:val="annotation subject"/>
    <w:basedOn w:val="CommentText"/>
    <w:next w:val="CommentText"/>
    <w:link w:val="CommentSubjectChar"/>
    <w:uiPriority w:val="99"/>
    <w:semiHidden/>
    <w:unhideWhenUsed/>
    <w:rsid w:val="009A5BE7"/>
    <w:rPr>
      <w:b/>
      <w:bCs/>
    </w:rPr>
  </w:style>
  <w:style w:type="character" w:customStyle="1" w:styleId="CommentSubjectChar">
    <w:name w:val="Comment Subject Char"/>
    <w:basedOn w:val="CommentTextChar"/>
    <w:link w:val="CommentSubject"/>
    <w:uiPriority w:val="99"/>
    <w:semiHidden/>
    <w:rsid w:val="009A5BE7"/>
    <w:rPr>
      <w:b/>
      <w:bCs/>
    </w:rPr>
  </w:style>
  <w:style w:type="paragraph" w:styleId="BalloonText">
    <w:name w:val="Balloon Text"/>
    <w:basedOn w:val="Normal"/>
    <w:link w:val="BalloonTextChar"/>
    <w:uiPriority w:val="99"/>
    <w:semiHidden/>
    <w:unhideWhenUsed/>
    <w:rsid w:val="009A5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B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9666391">
      <w:bodyDiv w:val="1"/>
      <w:marLeft w:val="0"/>
      <w:marRight w:val="0"/>
      <w:marTop w:val="0"/>
      <w:marBottom w:val="0"/>
      <w:divBdr>
        <w:top w:val="none" w:sz="0" w:space="0" w:color="auto"/>
        <w:left w:val="none" w:sz="0" w:space="0" w:color="auto"/>
        <w:bottom w:val="none" w:sz="0" w:space="0" w:color="auto"/>
        <w:right w:val="none" w:sz="0" w:space="0" w:color="auto"/>
      </w:divBdr>
    </w:div>
    <w:div w:id="396054350">
      <w:bodyDiv w:val="1"/>
      <w:marLeft w:val="0"/>
      <w:marRight w:val="0"/>
      <w:marTop w:val="0"/>
      <w:marBottom w:val="0"/>
      <w:divBdr>
        <w:top w:val="none" w:sz="0" w:space="0" w:color="auto"/>
        <w:left w:val="none" w:sz="0" w:space="0" w:color="auto"/>
        <w:bottom w:val="none" w:sz="0" w:space="0" w:color="auto"/>
        <w:right w:val="none" w:sz="0" w:space="0" w:color="auto"/>
      </w:divBdr>
    </w:div>
    <w:div w:id="646250966">
      <w:bodyDiv w:val="1"/>
      <w:marLeft w:val="0"/>
      <w:marRight w:val="0"/>
      <w:marTop w:val="0"/>
      <w:marBottom w:val="0"/>
      <w:divBdr>
        <w:top w:val="none" w:sz="0" w:space="0" w:color="auto"/>
        <w:left w:val="none" w:sz="0" w:space="0" w:color="auto"/>
        <w:bottom w:val="none" w:sz="0" w:space="0" w:color="auto"/>
        <w:right w:val="none" w:sz="0" w:space="0" w:color="auto"/>
      </w:divBdr>
      <w:divsChild>
        <w:div w:id="776868037">
          <w:marLeft w:val="0"/>
          <w:marRight w:val="0"/>
          <w:marTop w:val="0"/>
          <w:marBottom w:val="0"/>
          <w:divBdr>
            <w:top w:val="none" w:sz="0" w:space="0" w:color="auto"/>
            <w:left w:val="none" w:sz="0" w:space="0" w:color="auto"/>
            <w:bottom w:val="none" w:sz="0" w:space="0" w:color="auto"/>
            <w:right w:val="none" w:sz="0" w:space="0" w:color="auto"/>
          </w:divBdr>
          <w:divsChild>
            <w:div w:id="1653606612">
              <w:marLeft w:val="0"/>
              <w:marRight w:val="0"/>
              <w:marTop w:val="0"/>
              <w:marBottom w:val="0"/>
              <w:divBdr>
                <w:top w:val="none" w:sz="0" w:space="0" w:color="auto"/>
                <w:left w:val="none" w:sz="0" w:space="0" w:color="auto"/>
                <w:bottom w:val="none" w:sz="0" w:space="0" w:color="auto"/>
                <w:right w:val="none" w:sz="0" w:space="0" w:color="auto"/>
              </w:divBdr>
            </w:div>
          </w:divsChild>
        </w:div>
        <w:div w:id="28603738">
          <w:marLeft w:val="0"/>
          <w:marRight w:val="0"/>
          <w:marTop w:val="0"/>
          <w:marBottom w:val="0"/>
          <w:divBdr>
            <w:top w:val="none" w:sz="0" w:space="0" w:color="auto"/>
            <w:left w:val="none" w:sz="0" w:space="0" w:color="auto"/>
            <w:bottom w:val="none" w:sz="0" w:space="0" w:color="auto"/>
            <w:right w:val="none" w:sz="0" w:space="0" w:color="auto"/>
          </w:divBdr>
          <w:divsChild>
            <w:div w:id="7391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313">
      <w:bodyDiv w:val="1"/>
      <w:marLeft w:val="0"/>
      <w:marRight w:val="0"/>
      <w:marTop w:val="0"/>
      <w:marBottom w:val="0"/>
      <w:divBdr>
        <w:top w:val="none" w:sz="0" w:space="0" w:color="auto"/>
        <w:left w:val="none" w:sz="0" w:space="0" w:color="auto"/>
        <w:bottom w:val="none" w:sz="0" w:space="0" w:color="auto"/>
        <w:right w:val="none" w:sz="0" w:space="0" w:color="auto"/>
      </w:divBdr>
      <w:divsChild>
        <w:div w:id="1101023097">
          <w:marLeft w:val="0"/>
          <w:marRight w:val="0"/>
          <w:marTop w:val="0"/>
          <w:marBottom w:val="0"/>
          <w:divBdr>
            <w:top w:val="none" w:sz="0" w:space="0" w:color="auto"/>
            <w:left w:val="none" w:sz="0" w:space="0" w:color="auto"/>
            <w:bottom w:val="none" w:sz="0" w:space="0" w:color="auto"/>
            <w:right w:val="none" w:sz="0" w:space="0" w:color="auto"/>
          </w:divBdr>
          <w:divsChild>
            <w:div w:id="1142428128">
              <w:marLeft w:val="0"/>
              <w:marRight w:val="0"/>
              <w:marTop w:val="0"/>
              <w:marBottom w:val="0"/>
              <w:divBdr>
                <w:top w:val="none" w:sz="0" w:space="0" w:color="auto"/>
                <w:left w:val="none" w:sz="0" w:space="0" w:color="auto"/>
                <w:bottom w:val="none" w:sz="0" w:space="0" w:color="auto"/>
                <w:right w:val="none" w:sz="0" w:space="0" w:color="auto"/>
              </w:divBdr>
            </w:div>
          </w:divsChild>
        </w:div>
        <w:div w:id="2120568795">
          <w:marLeft w:val="0"/>
          <w:marRight w:val="0"/>
          <w:marTop w:val="0"/>
          <w:marBottom w:val="0"/>
          <w:divBdr>
            <w:top w:val="none" w:sz="0" w:space="0" w:color="auto"/>
            <w:left w:val="none" w:sz="0" w:space="0" w:color="auto"/>
            <w:bottom w:val="none" w:sz="0" w:space="0" w:color="auto"/>
            <w:right w:val="none" w:sz="0" w:space="0" w:color="auto"/>
          </w:divBdr>
          <w:divsChild>
            <w:div w:id="2232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5708">
      <w:bodyDiv w:val="1"/>
      <w:marLeft w:val="0"/>
      <w:marRight w:val="0"/>
      <w:marTop w:val="0"/>
      <w:marBottom w:val="0"/>
      <w:divBdr>
        <w:top w:val="none" w:sz="0" w:space="0" w:color="auto"/>
        <w:left w:val="none" w:sz="0" w:space="0" w:color="auto"/>
        <w:bottom w:val="none" w:sz="0" w:space="0" w:color="auto"/>
        <w:right w:val="none" w:sz="0" w:space="0" w:color="auto"/>
      </w:divBdr>
      <w:divsChild>
        <w:div w:id="1658918611">
          <w:marLeft w:val="0"/>
          <w:marRight w:val="0"/>
          <w:marTop w:val="0"/>
          <w:marBottom w:val="0"/>
          <w:divBdr>
            <w:top w:val="none" w:sz="0" w:space="0" w:color="auto"/>
            <w:left w:val="none" w:sz="0" w:space="0" w:color="auto"/>
            <w:bottom w:val="none" w:sz="0" w:space="0" w:color="auto"/>
            <w:right w:val="none" w:sz="0" w:space="0" w:color="auto"/>
          </w:divBdr>
          <w:divsChild>
            <w:div w:id="220488190">
              <w:marLeft w:val="0"/>
              <w:marRight w:val="0"/>
              <w:marTop w:val="0"/>
              <w:marBottom w:val="0"/>
              <w:divBdr>
                <w:top w:val="none" w:sz="0" w:space="0" w:color="auto"/>
                <w:left w:val="none" w:sz="0" w:space="0" w:color="auto"/>
                <w:bottom w:val="none" w:sz="0" w:space="0" w:color="auto"/>
                <w:right w:val="none" w:sz="0" w:space="0" w:color="auto"/>
              </w:divBdr>
            </w:div>
          </w:divsChild>
        </w:div>
        <w:div w:id="1068112749">
          <w:marLeft w:val="0"/>
          <w:marRight w:val="0"/>
          <w:marTop w:val="0"/>
          <w:marBottom w:val="0"/>
          <w:divBdr>
            <w:top w:val="none" w:sz="0" w:space="0" w:color="auto"/>
            <w:left w:val="none" w:sz="0" w:space="0" w:color="auto"/>
            <w:bottom w:val="none" w:sz="0" w:space="0" w:color="auto"/>
            <w:right w:val="none" w:sz="0" w:space="0" w:color="auto"/>
          </w:divBdr>
          <w:divsChild>
            <w:div w:id="8547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80752">
      <w:bodyDiv w:val="1"/>
      <w:marLeft w:val="0"/>
      <w:marRight w:val="0"/>
      <w:marTop w:val="0"/>
      <w:marBottom w:val="0"/>
      <w:divBdr>
        <w:top w:val="none" w:sz="0" w:space="0" w:color="auto"/>
        <w:left w:val="none" w:sz="0" w:space="0" w:color="auto"/>
        <w:bottom w:val="none" w:sz="0" w:space="0" w:color="auto"/>
        <w:right w:val="none" w:sz="0" w:space="0" w:color="auto"/>
      </w:divBdr>
    </w:div>
    <w:div w:id="1209683195">
      <w:bodyDiv w:val="1"/>
      <w:marLeft w:val="0"/>
      <w:marRight w:val="0"/>
      <w:marTop w:val="0"/>
      <w:marBottom w:val="0"/>
      <w:divBdr>
        <w:top w:val="none" w:sz="0" w:space="0" w:color="auto"/>
        <w:left w:val="none" w:sz="0" w:space="0" w:color="auto"/>
        <w:bottom w:val="none" w:sz="0" w:space="0" w:color="auto"/>
        <w:right w:val="none" w:sz="0" w:space="0" w:color="auto"/>
      </w:divBdr>
    </w:div>
    <w:div w:id="1310985943">
      <w:bodyDiv w:val="1"/>
      <w:marLeft w:val="0"/>
      <w:marRight w:val="0"/>
      <w:marTop w:val="0"/>
      <w:marBottom w:val="0"/>
      <w:divBdr>
        <w:top w:val="none" w:sz="0" w:space="0" w:color="auto"/>
        <w:left w:val="none" w:sz="0" w:space="0" w:color="auto"/>
        <w:bottom w:val="none" w:sz="0" w:space="0" w:color="auto"/>
        <w:right w:val="none" w:sz="0" w:space="0" w:color="auto"/>
      </w:divBdr>
    </w:div>
    <w:div w:id="1422020696">
      <w:bodyDiv w:val="1"/>
      <w:marLeft w:val="0"/>
      <w:marRight w:val="0"/>
      <w:marTop w:val="0"/>
      <w:marBottom w:val="0"/>
      <w:divBdr>
        <w:top w:val="none" w:sz="0" w:space="0" w:color="auto"/>
        <w:left w:val="none" w:sz="0" w:space="0" w:color="auto"/>
        <w:bottom w:val="none" w:sz="0" w:space="0" w:color="auto"/>
        <w:right w:val="none" w:sz="0" w:space="0" w:color="auto"/>
      </w:divBdr>
    </w:div>
    <w:div w:id="1434939970">
      <w:bodyDiv w:val="1"/>
      <w:marLeft w:val="0"/>
      <w:marRight w:val="0"/>
      <w:marTop w:val="0"/>
      <w:marBottom w:val="0"/>
      <w:divBdr>
        <w:top w:val="none" w:sz="0" w:space="0" w:color="auto"/>
        <w:left w:val="none" w:sz="0" w:space="0" w:color="auto"/>
        <w:bottom w:val="none" w:sz="0" w:space="0" w:color="auto"/>
        <w:right w:val="none" w:sz="0" w:space="0" w:color="auto"/>
      </w:divBdr>
    </w:div>
    <w:div w:id="1472942416">
      <w:bodyDiv w:val="1"/>
      <w:marLeft w:val="0"/>
      <w:marRight w:val="0"/>
      <w:marTop w:val="0"/>
      <w:marBottom w:val="0"/>
      <w:divBdr>
        <w:top w:val="none" w:sz="0" w:space="0" w:color="auto"/>
        <w:left w:val="none" w:sz="0" w:space="0" w:color="auto"/>
        <w:bottom w:val="none" w:sz="0" w:space="0" w:color="auto"/>
        <w:right w:val="none" w:sz="0" w:space="0" w:color="auto"/>
      </w:divBdr>
    </w:div>
    <w:div w:id="1518154653">
      <w:bodyDiv w:val="1"/>
      <w:marLeft w:val="0"/>
      <w:marRight w:val="0"/>
      <w:marTop w:val="0"/>
      <w:marBottom w:val="0"/>
      <w:divBdr>
        <w:top w:val="none" w:sz="0" w:space="0" w:color="auto"/>
        <w:left w:val="none" w:sz="0" w:space="0" w:color="auto"/>
        <w:bottom w:val="none" w:sz="0" w:space="0" w:color="auto"/>
        <w:right w:val="none" w:sz="0" w:space="0" w:color="auto"/>
      </w:divBdr>
      <w:divsChild>
        <w:div w:id="2034649394">
          <w:marLeft w:val="0"/>
          <w:marRight w:val="0"/>
          <w:marTop w:val="0"/>
          <w:marBottom w:val="0"/>
          <w:divBdr>
            <w:top w:val="none" w:sz="0" w:space="0" w:color="auto"/>
            <w:left w:val="none" w:sz="0" w:space="0" w:color="auto"/>
            <w:bottom w:val="none" w:sz="0" w:space="0" w:color="auto"/>
            <w:right w:val="none" w:sz="0" w:space="0" w:color="auto"/>
          </w:divBdr>
          <w:divsChild>
            <w:div w:id="1767071453">
              <w:marLeft w:val="0"/>
              <w:marRight w:val="0"/>
              <w:marTop w:val="0"/>
              <w:marBottom w:val="0"/>
              <w:divBdr>
                <w:top w:val="none" w:sz="0" w:space="0" w:color="auto"/>
                <w:left w:val="none" w:sz="0" w:space="0" w:color="auto"/>
                <w:bottom w:val="none" w:sz="0" w:space="0" w:color="auto"/>
                <w:right w:val="none" w:sz="0" w:space="0" w:color="auto"/>
              </w:divBdr>
            </w:div>
          </w:divsChild>
        </w:div>
        <w:div w:id="852303010">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8063">
      <w:bodyDiv w:val="1"/>
      <w:marLeft w:val="0"/>
      <w:marRight w:val="0"/>
      <w:marTop w:val="0"/>
      <w:marBottom w:val="0"/>
      <w:divBdr>
        <w:top w:val="none" w:sz="0" w:space="0" w:color="auto"/>
        <w:left w:val="none" w:sz="0" w:space="0" w:color="auto"/>
        <w:bottom w:val="none" w:sz="0" w:space="0" w:color="auto"/>
        <w:right w:val="none" w:sz="0" w:space="0" w:color="auto"/>
      </w:divBdr>
    </w:div>
    <w:div w:id="1719820827">
      <w:bodyDiv w:val="1"/>
      <w:marLeft w:val="0"/>
      <w:marRight w:val="0"/>
      <w:marTop w:val="0"/>
      <w:marBottom w:val="0"/>
      <w:divBdr>
        <w:top w:val="none" w:sz="0" w:space="0" w:color="auto"/>
        <w:left w:val="none" w:sz="0" w:space="0" w:color="auto"/>
        <w:bottom w:val="none" w:sz="0" w:space="0" w:color="auto"/>
        <w:right w:val="none" w:sz="0" w:space="0" w:color="auto"/>
      </w:divBdr>
    </w:div>
    <w:div w:id="1930458820">
      <w:bodyDiv w:val="1"/>
      <w:marLeft w:val="0"/>
      <w:marRight w:val="0"/>
      <w:marTop w:val="0"/>
      <w:marBottom w:val="0"/>
      <w:divBdr>
        <w:top w:val="none" w:sz="0" w:space="0" w:color="auto"/>
        <w:left w:val="none" w:sz="0" w:space="0" w:color="auto"/>
        <w:bottom w:val="none" w:sz="0" w:space="0" w:color="auto"/>
        <w:right w:val="none" w:sz="0" w:space="0" w:color="auto"/>
      </w:divBdr>
    </w:div>
    <w:div w:id="2129885481">
      <w:bodyDiv w:val="1"/>
      <w:marLeft w:val="0"/>
      <w:marRight w:val="0"/>
      <w:marTop w:val="0"/>
      <w:marBottom w:val="0"/>
      <w:divBdr>
        <w:top w:val="none" w:sz="0" w:space="0" w:color="auto"/>
        <w:left w:val="none" w:sz="0" w:space="0" w:color="auto"/>
        <w:bottom w:val="none" w:sz="0" w:space="0" w:color="auto"/>
        <w:right w:val="none" w:sz="0" w:space="0" w:color="auto"/>
      </w:divBdr>
    </w:div>
    <w:div w:id="21305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19.3.2025%20BACK%20UP%20SRPADMA\SRP%20D%20DRIVE%2019.3.25\2024\RAWE%202025\reference\source%20files\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9.3.2025%20BACK%20UP%20SRPADMA\SRP%20D%20DRIVE%2019.3.25\2024\RAWE%202025\reference\source%20files\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plotArea>
      <c:layout/>
      <c:barChart>
        <c:barDir val="bar"/>
        <c:grouping val="clustered"/>
        <c:varyColors val="1"/>
        <c:ser>
          <c:idx val="0"/>
          <c:order val="0"/>
          <c:tx>
            <c:strRef>
              <c:f>Sheet1!$C$1</c:f>
              <c:strCache>
                <c:ptCount val="1"/>
                <c:pt idx="0">
                  <c:v>Percentage</c:v>
                </c:pt>
              </c:strCache>
            </c:strRef>
          </c:tx>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46C5-4EEE-B221-DB8D1E712F15}"/>
              </c:ext>
            </c:extLst>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46C5-4EEE-B221-DB8D1E712F15}"/>
              </c:ext>
            </c:extLst>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46C5-4EEE-B221-DB8D1E712F15}"/>
              </c:ext>
            </c:extLst>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46C5-4EEE-B221-DB8D1E712F15}"/>
              </c:ext>
            </c:extLst>
          </c:dPt>
          <c:dPt>
            <c:idx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9-46C5-4EEE-B221-DB8D1E712F15}"/>
              </c:ext>
            </c:extLst>
          </c:dPt>
          <c:dPt>
            <c:idx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B-46C5-4EEE-B221-DB8D1E712F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Sheet1!$B$2:$B$7</c:f>
              <c:strCache>
                <c:ptCount val="6"/>
                <c:pt idx="0">
                  <c:v>Limited availability in local markets</c:v>
                </c:pt>
                <c:pt idx="1">
                  <c:v>Lack of technical knowledge about usage</c:v>
                </c:pt>
                <c:pt idx="2">
                  <c:v>Shortage of skilled labour for root feeding</c:v>
                </c:pt>
                <c:pt idx="3">
                  <c:v>High cost of tonic and materials</c:v>
                </c:pt>
                <c:pt idx="4">
                  <c:v>Low absorption in waterlogged areas</c:v>
                </c:pt>
                <c:pt idx="5">
                  <c:v>Labour migration and rising wage rates</c:v>
                </c:pt>
              </c:strCache>
            </c:strRef>
          </c:cat>
          <c:val>
            <c:numRef>
              <c:f>Sheet1!$C$2:$C$7</c:f>
              <c:numCache>
                <c:formatCode>General</c:formatCode>
                <c:ptCount val="6"/>
                <c:pt idx="0">
                  <c:v>75</c:v>
                </c:pt>
                <c:pt idx="1">
                  <c:v>66</c:v>
                </c:pt>
                <c:pt idx="2">
                  <c:v>62</c:v>
                </c:pt>
                <c:pt idx="3">
                  <c:v>58</c:v>
                </c:pt>
                <c:pt idx="4">
                  <c:v>40</c:v>
                </c:pt>
                <c:pt idx="5">
                  <c:v>39</c:v>
                </c:pt>
              </c:numCache>
            </c:numRef>
          </c:val>
          <c:extLst xmlns:c16r2="http://schemas.microsoft.com/office/drawing/2015/06/chart">
            <c:ext xmlns:c16="http://schemas.microsoft.com/office/drawing/2014/chart" uri="{C3380CC4-5D6E-409C-BE32-E72D297353CC}">
              <c16:uniqueId val="{0000000C-46C5-4EEE-B221-DB8D1E712F15}"/>
            </c:ext>
          </c:extLst>
        </c:ser>
        <c:dLbls>
          <c:showVal val="1"/>
        </c:dLbls>
        <c:axId val="223318016"/>
        <c:axId val="223319936"/>
      </c:barChart>
      <c:catAx>
        <c:axId val="223318016"/>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319936"/>
        <c:crosses val="autoZero"/>
        <c:auto val="1"/>
        <c:lblAlgn val="ctr"/>
        <c:lblOffset val="100"/>
      </c:catAx>
      <c:valAx>
        <c:axId val="22331993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31801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Perceived Benefits</a:t>
            </a:r>
          </a:p>
        </c:rich>
      </c:tx>
      <c:spPr>
        <a:noFill/>
        <a:ln>
          <a:noFill/>
        </a:ln>
        <a:effectLst/>
      </c:spPr>
    </c:title>
    <c:view3D>
      <c:rotX val="50"/>
      <c:depthPercent val="100"/>
      <c:perspective val="6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Sheet2!$C$1</c:f>
              <c:strCache>
                <c:ptCount val="1"/>
                <c:pt idx="0">
                  <c:v>Per cent (%) </c:v>
                </c:pt>
              </c:strCache>
            </c:strRef>
          </c:tx>
          <c:explosion val="12"/>
          <c:dPt>
            <c:idx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53B8-4C3F-B6E8-C3BBB7A2ED8A}"/>
              </c:ext>
            </c:extLst>
          </c:dPt>
          <c:dPt>
            <c:idx val="1"/>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53B8-4C3F-B6E8-C3BBB7A2ED8A}"/>
              </c:ext>
            </c:extLst>
          </c:dPt>
          <c:dPt>
            <c:idx val="2"/>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53B8-4C3F-B6E8-C3BBB7A2ED8A}"/>
              </c:ext>
            </c:extLst>
          </c:dPt>
          <c:dPt>
            <c:idx val="3"/>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7-53B8-4C3F-B6E8-C3BBB7A2ED8A}"/>
              </c:ext>
            </c:extLst>
          </c:dPt>
          <c:dPt>
            <c:idx val="4"/>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9-53B8-4C3F-B6E8-C3BBB7A2ED8A}"/>
              </c:ext>
            </c:extLst>
          </c:dPt>
          <c:dPt>
            <c:idx val="5"/>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B-53B8-4C3F-B6E8-C3BBB7A2ED8A}"/>
              </c:ext>
            </c:extLst>
          </c:dPt>
          <c:dPt>
            <c:idx val="6"/>
            <c:explosion val="17"/>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D-53B8-4C3F-B6E8-C3BBB7A2ED8A}"/>
              </c:ext>
            </c:extLst>
          </c:dPt>
          <c:dPt>
            <c:idx val="7"/>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F-53B8-4C3F-B6E8-C3BBB7A2ED8A}"/>
              </c:ext>
            </c:extLst>
          </c:dPt>
          <c:dLbls>
            <c:dLbl>
              <c:idx val="0"/>
              <c:tx>
                <c:rich>
                  <a:bodyPr/>
                  <a:lstStyle/>
                  <a:p>
                    <a:fld id="{35F2CD26-ECCB-4477-98F8-3E6DBCDB3ECE}" type="VALUE">
                      <a:rPr lang="en-US"/>
                      <a:pPr/>
                      <a:t>[VALUE]</a:t>
                    </a:fld>
                    <a:r>
                      <a:rPr lang="en-US" baseline="0"/>
                      <a:t> %</a:t>
                    </a:r>
                  </a:p>
                </c:rich>
              </c:tx>
              <c:dLblPos val="inEnd"/>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53B8-4C3F-B6E8-C3BBB7A2ED8A}"/>
                </c:ext>
              </c:extLst>
            </c:dLbl>
            <c:dLbl>
              <c:idx val="1"/>
              <c:tx>
                <c:rich>
                  <a:bodyPr/>
                  <a:lstStyle/>
                  <a:p>
                    <a:fld id="{C4D7337E-96B3-414C-89A4-E59FBE5C27B1}" type="VALUE">
                      <a:rPr lang="en-US"/>
                      <a:pPr/>
                      <a:t>[VALUE]</a:t>
                    </a:fld>
                    <a:r>
                      <a:rPr lang="en-US" baseline="0"/>
                      <a:t>%</a:t>
                    </a:r>
                  </a:p>
                </c:rich>
              </c:tx>
              <c:dLblPos val="inEnd"/>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53B8-4C3F-B6E8-C3BBB7A2ED8A}"/>
                </c:ext>
              </c:extLst>
            </c:dLbl>
            <c:dLbl>
              <c:idx val="2"/>
              <c:tx>
                <c:rich>
                  <a:bodyPr/>
                  <a:lstStyle/>
                  <a:p>
                    <a:fld id="{80C8D308-DD4B-40BE-AEC3-8C0079E8FBB1}" type="VALUE">
                      <a:rPr lang="en-US"/>
                      <a:pPr/>
                      <a:t>[VALUE]</a:t>
                    </a:fld>
                    <a:r>
                      <a:rPr lang="en-US" baseline="0"/>
                      <a:t> %</a:t>
                    </a:r>
                  </a:p>
                </c:rich>
              </c:tx>
              <c:dLblPos val="inEnd"/>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53B8-4C3F-B6E8-C3BBB7A2ED8A}"/>
                </c:ext>
              </c:extLst>
            </c:dLbl>
            <c:dLbl>
              <c:idx val="3"/>
              <c:tx>
                <c:rich>
                  <a:bodyPr/>
                  <a:lstStyle/>
                  <a:p>
                    <a:fld id="{DDAFC261-266D-45B2-9443-BEAD3B556C41}" type="VALUE">
                      <a:rPr lang="en-US"/>
                      <a:pPr/>
                      <a:t>[VALUE]</a:t>
                    </a:fld>
                    <a:r>
                      <a:rPr lang="en-US"/>
                      <a:t>%</a:t>
                    </a:r>
                  </a:p>
                </c:rich>
              </c:tx>
              <c:dLblPos val="inEnd"/>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53B8-4C3F-B6E8-C3BBB7A2ED8A}"/>
                </c:ext>
              </c:extLst>
            </c:dLbl>
            <c:dLbl>
              <c:idx val="4"/>
              <c:tx>
                <c:rich>
                  <a:bodyPr/>
                  <a:lstStyle/>
                  <a:p>
                    <a:fld id="{012E52F2-81A1-4EAC-B427-B12C428647FF}" type="VALUE">
                      <a:rPr lang="en-US"/>
                      <a:pPr/>
                      <a:t>[VALUE]</a:t>
                    </a:fld>
                    <a:r>
                      <a:rPr lang="en-US" baseline="0"/>
                      <a:t>%</a:t>
                    </a:r>
                  </a:p>
                </c:rich>
              </c:tx>
              <c:dLblPos val="inEnd"/>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53B8-4C3F-B6E8-C3BBB7A2ED8A}"/>
                </c:ext>
              </c:extLst>
            </c:dLbl>
            <c:dLbl>
              <c:idx val="5"/>
              <c:tx>
                <c:rich>
                  <a:bodyPr/>
                  <a:lstStyle/>
                  <a:p>
                    <a:fld id="{DA5C5DCF-A686-467A-A47C-D7A09A85DF27}" type="VALUE">
                      <a:rPr lang="en-US"/>
                      <a:pPr/>
                      <a:t>[VALUE]</a:t>
                    </a:fld>
                    <a:r>
                      <a:rPr lang="en-US" baseline="0"/>
                      <a:t>%</a:t>
                    </a:r>
                  </a:p>
                </c:rich>
              </c:tx>
              <c:dLblPos val="inEnd"/>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53B8-4C3F-B6E8-C3BBB7A2ED8A}"/>
                </c:ext>
              </c:extLst>
            </c:dLbl>
            <c:dLbl>
              <c:idx val="6"/>
              <c:tx>
                <c:rich>
                  <a:bodyPr/>
                  <a:lstStyle/>
                  <a:p>
                    <a:fld id="{75433E24-2797-4FB1-8060-1577F2F96501}" type="VALUE">
                      <a:rPr lang="en-US"/>
                      <a:pPr/>
                      <a:t>[VALUE]</a:t>
                    </a:fld>
                    <a:r>
                      <a:rPr lang="en-US" baseline="0"/>
                      <a:t>%</a:t>
                    </a:r>
                  </a:p>
                </c:rich>
              </c:tx>
              <c:dLblPos val="inEnd"/>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53B8-4C3F-B6E8-C3BBB7A2ED8A}"/>
                </c:ext>
              </c:extLst>
            </c:dLbl>
            <c:dLbl>
              <c:idx val="7"/>
              <c:tx>
                <c:rich>
                  <a:bodyPr/>
                  <a:lstStyle/>
                  <a:p>
                    <a:fld id="{E7F81A4D-CD59-4DE0-9367-D98EADDECF17}" type="VALUE">
                      <a:rPr lang="en-US"/>
                      <a:pPr/>
                      <a:t>[VALUE]</a:t>
                    </a:fld>
                    <a:r>
                      <a:rPr lang="en-US" baseline="0"/>
                      <a:t>%</a:t>
                    </a:r>
                  </a:p>
                </c:rich>
              </c:tx>
              <c:dLblPos val="inEnd"/>
              <c:showVal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F-53B8-4C3F-B6E8-C3BBB7A2ED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Sheet2!$B$2:$B$9</c:f>
              <c:strCache>
                <c:ptCount val="8"/>
                <c:pt idx="0">
                  <c:v>Increase in nut yield per tree (78)</c:v>
                </c:pt>
                <c:pt idx="1">
                  <c:v>Reduction in button shedding (71)</c:v>
                </c:pt>
                <c:pt idx="2">
                  <c:v>Improved greenness and Vigor of leaves (70)</c:v>
                </c:pt>
                <c:pt idx="3">
                  <c:v>Enhanced pest and disease resistance (60)</c:v>
                </c:pt>
                <c:pt idx="4">
                  <c:v>Correction of micronutrient deficiencies (59)</c:v>
                </c:pt>
                <c:pt idx="5">
                  <c:v>Better root activity and nutrient uptake (57)</c:v>
                </c:pt>
                <c:pt idx="6">
                  <c:v>Increased copra and oil yield (52)</c:v>
                </c:pt>
                <c:pt idx="7">
                  <c:v>Cost-effective in long-term (51)</c:v>
                </c:pt>
              </c:strCache>
            </c:strRef>
          </c:cat>
          <c:val>
            <c:numRef>
              <c:f>Sheet2!$C$2:$C$9</c:f>
              <c:numCache>
                <c:formatCode>General</c:formatCode>
                <c:ptCount val="8"/>
                <c:pt idx="0">
                  <c:v>78</c:v>
                </c:pt>
                <c:pt idx="1">
                  <c:v>71</c:v>
                </c:pt>
                <c:pt idx="2">
                  <c:v>70</c:v>
                </c:pt>
                <c:pt idx="3">
                  <c:v>60</c:v>
                </c:pt>
                <c:pt idx="4">
                  <c:v>59</c:v>
                </c:pt>
                <c:pt idx="5">
                  <c:v>57</c:v>
                </c:pt>
                <c:pt idx="6">
                  <c:v>52</c:v>
                </c:pt>
                <c:pt idx="7">
                  <c:v>51</c:v>
                </c:pt>
              </c:numCache>
            </c:numRef>
          </c:val>
          <c:extLst xmlns:c16r2="http://schemas.microsoft.com/office/drawing/2015/06/chart">
            <c:ext xmlns:c16="http://schemas.microsoft.com/office/drawing/2014/chart" uri="{C3380CC4-5D6E-409C-BE32-E72D297353CC}">
              <c16:uniqueId val="{00000010-53B8-4C3F-B6E8-C3BBB7A2ED8A}"/>
            </c:ext>
          </c:extLst>
        </c:ser>
        <c:dLbls>
          <c:showPercent val="1"/>
        </c:dLbls>
      </c:pie3D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2348</Words>
  <Characters>13389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QB DIP</dc:creator>
  <cp:lastModifiedBy>Admin</cp:lastModifiedBy>
  <cp:revision>3</cp:revision>
  <dcterms:created xsi:type="dcterms:W3CDTF">2025-05-30T00:19:00Z</dcterms:created>
  <dcterms:modified xsi:type="dcterms:W3CDTF">2025-05-30T00:37:00Z</dcterms:modified>
</cp:coreProperties>
</file>