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CD352">
      <w:pPr>
        <w:ind w:firstLine="720"/>
        <w:jc w:val="center"/>
        <w:rPr>
          <w:rFonts w:ascii="Times New Roman" w:hAnsi="Times New Roman" w:cs="Times New Roman"/>
          <w:b/>
          <w:sz w:val="28"/>
          <w:szCs w:val="28"/>
        </w:rPr>
      </w:pPr>
      <w:r>
        <w:rPr>
          <w:rFonts w:ascii="Times New Roman" w:hAnsi="Times New Roman" w:cs="Times New Roman"/>
          <w:b/>
          <w:bCs/>
          <w:i/>
          <w:iCs/>
          <w:sz w:val="28"/>
          <w:szCs w:val="28"/>
          <w:u w:val="single"/>
        </w:rPr>
        <w:t>Original Research Article</w:t>
      </w:r>
    </w:p>
    <w:p w14:paraId="44D0F755">
      <w:pPr>
        <w:ind w:firstLine="720"/>
        <w:jc w:val="center"/>
        <w:rPr>
          <w:rFonts w:ascii="Times New Roman" w:hAnsi="Times New Roman" w:cs="Times New Roman"/>
          <w:b/>
          <w:sz w:val="28"/>
          <w:szCs w:val="28"/>
        </w:rPr>
      </w:pPr>
      <w:r>
        <w:rPr>
          <w:rFonts w:ascii="Times New Roman" w:hAnsi="Times New Roman" w:cs="Times New Roman"/>
          <w:b/>
          <w:sz w:val="28"/>
          <w:szCs w:val="28"/>
        </w:rPr>
        <w:t>Accuracy Assessment of Box-Jenkins SARIMA Model for Forecasting Potential Evapotranspiration in Bidar District</w:t>
      </w:r>
    </w:p>
    <w:p w14:paraId="291A43CC">
      <w:pPr>
        <w:spacing w:line="360" w:lineRule="auto"/>
        <w:rPr>
          <w:rFonts w:ascii="Times New Roman" w:hAnsi="Times New Roman" w:cs="Times New Roman"/>
          <w:b/>
          <w:sz w:val="28"/>
          <w:szCs w:val="28"/>
        </w:rPr>
      </w:pPr>
    </w:p>
    <w:p w14:paraId="6F782EF3">
      <w:pPr>
        <w:spacing w:line="360" w:lineRule="auto"/>
        <w:rPr>
          <w:rFonts w:ascii="Times New Roman" w:hAnsi="Times New Roman" w:cs="Times New Roman"/>
          <w:b/>
          <w:sz w:val="28"/>
          <w:szCs w:val="28"/>
        </w:rPr>
      </w:pPr>
      <w:r>
        <w:rPr>
          <w:rFonts w:ascii="Times New Roman" w:hAnsi="Times New Roman" w:cs="Times New Roman"/>
          <w:b/>
          <w:sz w:val="28"/>
          <w:szCs w:val="28"/>
        </w:rPr>
        <w:t>ABSTRACT</w:t>
      </w:r>
    </w:p>
    <w:p w14:paraId="2F7A88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Accurate prediction of potential evapotranspiration (PET) is crucial for effective irrigation management and sustainable water resource planning. This study focuses on modeling and forecasting PET for various locations in Bidar district, Karnataka, India. PET was estimated using the Thornthwaite method based on daily maximum and minimum temperature data. For forecasting, Seasonal Autoregressive Integrated Moving Average (SARIMA) models were developed utilizing the Autocorrelation Function (ACF) and Partial Autocorrelation Function (PACF) analyses. Model selection was based on the lowest values of Akaike Information Criterion (AIC) and Bayesian Information Criterion (BIC). The selected SARIMA models were </w:t>
      </w:r>
      <w:r>
        <w:rPr>
          <w:rFonts w:ascii="Times New Roman" w:hAnsi="Times New Roman" w:cs="Times New Roman"/>
          <w:i/>
          <w:iCs/>
          <w:sz w:val="24"/>
          <w:szCs w:val="24"/>
        </w:rPr>
        <w:t>viz.,</w:t>
      </w:r>
      <w:r>
        <w:rPr>
          <w:rFonts w:ascii="Times New Roman" w:hAnsi="Times New Roman" w:cs="Times New Roman"/>
          <w:sz w:val="24"/>
          <w:szCs w:val="24"/>
        </w:rPr>
        <w:t xml:space="preserve"> ARIMA(2,0,2)(2,1,0)</w:t>
      </w:r>
      <w:r>
        <w:rPr>
          <w:rFonts w:ascii="Times New Roman" w:hAnsi="Times New Roman" w:cs="Times New Roman"/>
          <w:sz w:val="24"/>
          <w:szCs w:val="24"/>
          <w:vertAlign w:val="subscript"/>
        </w:rPr>
        <w:t>12</w:t>
      </w:r>
      <w:r>
        <w:rPr>
          <w:rFonts w:ascii="Times New Roman" w:hAnsi="Times New Roman" w:cs="Times New Roman"/>
          <w:sz w:val="24"/>
          <w:szCs w:val="24"/>
        </w:rPr>
        <w:t xml:space="preserve"> for Bidar, ARIMA(1,0,0)(2,1,0)</w:t>
      </w:r>
      <w:r>
        <w:rPr>
          <w:rFonts w:ascii="Times New Roman" w:hAnsi="Times New Roman" w:cs="Times New Roman"/>
          <w:sz w:val="24"/>
          <w:szCs w:val="24"/>
          <w:vertAlign w:val="subscript"/>
        </w:rPr>
        <w:t>12</w:t>
      </w:r>
      <w:r>
        <w:rPr>
          <w:rFonts w:ascii="Times New Roman" w:hAnsi="Times New Roman" w:cs="Times New Roman"/>
          <w:sz w:val="24"/>
          <w:szCs w:val="24"/>
        </w:rPr>
        <w:t xml:space="preserve"> for Aurad, ARIMA(2,0,2)(2,1,0)</w:t>
      </w:r>
      <w:r>
        <w:rPr>
          <w:rFonts w:ascii="Times New Roman" w:hAnsi="Times New Roman" w:cs="Times New Roman"/>
          <w:sz w:val="24"/>
          <w:szCs w:val="24"/>
          <w:vertAlign w:val="subscript"/>
        </w:rPr>
        <w:t>12</w:t>
      </w:r>
      <w:r>
        <w:rPr>
          <w:rFonts w:ascii="Times New Roman" w:hAnsi="Times New Roman" w:cs="Times New Roman"/>
          <w:sz w:val="24"/>
          <w:szCs w:val="24"/>
        </w:rPr>
        <w:t xml:space="preserve"> for Bhalki and Humnabad and ARIMA(1,0,0)(2,1,0)</w:t>
      </w:r>
      <w:r>
        <w:rPr>
          <w:rFonts w:ascii="Times New Roman" w:hAnsi="Times New Roman" w:cs="Times New Roman"/>
          <w:sz w:val="24"/>
          <w:szCs w:val="24"/>
          <w:vertAlign w:val="subscript"/>
        </w:rPr>
        <w:t>12</w:t>
      </w:r>
      <w:r>
        <w:rPr>
          <w:rFonts w:ascii="Times New Roman" w:hAnsi="Times New Roman" w:cs="Times New Roman"/>
          <w:sz w:val="24"/>
          <w:szCs w:val="24"/>
        </w:rPr>
        <w:t xml:space="preserve"> for Basavakalyan. Among these, the models for Aurad and Bhalki demonstrated superior predictive performance. All five models showed satisfactory accuracy for short-term forecasting, particularly for a lead time of one month. The study underscores the applicability of SARIMA models in enhancing decision-making for irrigation scheduling and command area management, thereby contributing to improved agricultural water use efficiency.</w:t>
      </w:r>
    </w:p>
    <w:p w14:paraId="60580080">
      <w:pPr>
        <w:spacing w:line="36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Keywords: ACF, PACF, SARIMA, PET.</w:t>
      </w:r>
    </w:p>
    <w:p w14:paraId="7326C260">
      <w:pPr>
        <w:spacing w:line="360" w:lineRule="auto"/>
        <w:jc w:val="both"/>
        <w:rPr>
          <w:rFonts w:ascii="Times New Roman" w:hAnsi="Times New Roman" w:eastAsia="Times New Roman" w:cs="Times New Roman"/>
          <w:bCs/>
          <w:sz w:val="24"/>
          <w:szCs w:val="24"/>
          <w:lang w:eastAsia="en-IN"/>
        </w:rPr>
      </w:pPr>
    </w:p>
    <w:p w14:paraId="615991F4">
      <w:pPr>
        <w:spacing w:line="360" w:lineRule="auto"/>
        <w:jc w:val="both"/>
        <w:rPr>
          <w:rFonts w:ascii="Times New Roman" w:hAnsi="Times New Roman" w:cs="Times New Roman"/>
          <w:sz w:val="24"/>
          <w:szCs w:val="24"/>
        </w:rPr>
      </w:pPr>
    </w:p>
    <w:p w14:paraId="2B182783">
      <w:pPr>
        <w:spacing w:line="360" w:lineRule="auto"/>
        <w:ind w:firstLine="720"/>
        <w:jc w:val="center"/>
        <w:rPr>
          <w:rFonts w:ascii="Times New Roman" w:hAnsi="Times New Roman" w:cs="Times New Roman"/>
          <w:b/>
          <w:sz w:val="24"/>
          <w:szCs w:val="24"/>
        </w:rPr>
      </w:pPr>
      <w:commentRangeStart w:id="0"/>
      <w:r>
        <w:rPr>
          <w:rFonts w:ascii="Times New Roman" w:hAnsi="Times New Roman" w:cs="Times New Roman"/>
          <w:b/>
          <w:sz w:val="24"/>
          <w:szCs w:val="24"/>
        </w:rPr>
        <w:t>INTRODUCTION</w:t>
      </w:r>
      <w:commentRangeEnd w:id="0"/>
      <w:r>
        <w:commentReference w:id="0"/>
      </w:r>
    </w:p>
    <w:p w14:paraId="3A3F37FD">
      <w:pPr>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Evapotranspiration (ET) is one of the most significant components of the hydrologic cycle, as a large proportion of the precipitation falling on land surfaces returns to the atmosphere through this process (</w:t>
      </w:r>
      <w:r>
        <w:rPr>
          <w:rFonts w:ascii="Times New Roman" w:hAnsi="Times New Roman" w:cs="Times New Roman"/>
          <w:color w:val="000000" w:themeColor="text1"/>
          <w:sz w:val="24"/>
          <w:szCs w:val="24"/>
          <w:lang w:val="en-IN"/>
          <w14:textFill>
            <w14:solidFill>
              <w14:schemeClr w14:val="tx1"/>
            </w14:solidFill>
          </w14:textFill>
        </w:rPr>
        <w:t xml:space="preserve">Asadi </w:t>
      </w:r>
      <w:r>
        <w:rPr>
          <w:rFonts w:ascii="Times New Roman" w:hAnsi="Times New Roman" w:cs="Times New Roman"/>
          <w:i/>
          <w:iCs/>
          <w:color w:val="000000" w:themeColor="text1"/>
          <w:sz w:val="24"/>
          <w:szCs w:val="24"/>
          <w:lang w:val="en-IN"/>
          <w14:textFill>
            <w14:solidFill>
              <w14:schemeClr w14:val="tx1"/>
            </w14:solidFill>
          </w14:textFill>
        </w:rPr>
        <w:t>et al</w:t>
      </w:r>
      <w:r>
        <w:rPr>
          <w:rFonts w:ascii="Times New Roman" w:hAnsi="Times New Roman" w:cs="Times New Roman"/>
          <w:color w:val="000000" w:themeColor="text1"/>
          <w:sz w:val="24"/>
          <w:szCs w:val="24"/>
          <w:lang w:val="en-IN"/>
          <w14:textFill>
            <w14:solidFill>
              <w14:schemeClr w14:val="tx1"/>
            </w14:solidFill>
          </w14:textFill>
        </w:rPr>
        <w:t xml:space="preserve">., 2013; Patil </w:t>
      </w:r>
      <w:r>
        <w:rPr>
          <w:rFonts w:ascii="Times New Roman" w:hAnsi="Times New Roman" w:cs="Times New Roman"/>
          <w:i/>
          <w:iCs/>
          <w:color w:val="000000" w:themeColor="text1"/>
          <w:sz w:val="24"/>
          <w:szCs w:val="24"/>
          <w:lang w:val="en-IN"/>
          <w14:textFill>
            <w14:solidFill>
              <w14:schemeClr w14:val="tx1"/>
            </w14:solidFill>
          </w14:textFill>
        </w:rPr>
        <w:t>et al</w:t>
      </w:r>
      <w:r>
        <w:rPr>
          <w:rFonts w:ascii="Times New Roman" w:hAnsi="Times New Roman" w:cs="Times New Roman"/>
          <w:color w:val="000000" w:themeColor="text1"/>
          <w:sz w:val="24"/>
          <w:szCs w:val="24"/>
          <w:lang w:val="en-IN"/>
          <w14:textFill>
            <w14:solidFill>
              <w14:schemeClr w14:val="tx1"/>
            </w14:solidFill>
          </w14:textFill>
        </w:rPr>
        <w:t>., 2022</w:t>
      </w:r>
      <w:r>
        <w:rPr>
          <w:rFonts w:ascii="Times New Roman" w:hAnsi="Times New Roman" w:cs="Times New Roman"/>
          <w:sz w:val="24"/>
          <w:szCs w:val="24"/>
          <w:lang w:val="en-IN"/>
        </w:rPr>
        <w:t xml:space="preserve">). Globally, approximately 60% of annual precipitation is consumed by ET, making its quantification essential for diverse applications such as crop production, water resource management and environmental assessment (Aruna </w:t>
      </w:r>
      <w:r>
        <w:rPr>
          <w:rFonts w:ascii="Times New Roman" w:hAnsi="Times New Roman" w:cs="Times New Roman"/>
          <w:i/>
          <w:iCs/>
          <w:sz w:val="24"/>
          <w:szCs w:val="24"/>
          <w:lang w:val="en-IN"/>
        </w:rPr>
        <w:t>et al</w:t>
      </w:r>
      <w:r>
        <w:rPr>
          <w:rFonts w:ascii="Times New Roman" w:hAnsi="Times New Roman" w:cs="Times New Roman"/>
          <w:sz w:val="24"/>
          <w:szCs w:val="24"/>
          <w:lang w:val="en-IN"/>
        </w:rPr>
        <w:t>., 2017). As a dominant factor in the field water balance, accurate estimation of ET is vital for effective irrigation scheduling and optimizing agricultural productivity. The volume of water required to meet the evapotranspiration demand of crops directly influences both the quantity and quality of agricultural yield. Consequently, ET data has become increasingly important in the design and management of irrigation systems and overall water resource planning. The ET process is primarily driven by meteorological variables such as air temperature, relative humidity, solar radiation and wind speed. Given its variability and dependency on environmental factors, stochastic modeling offers a robust framework for understanding and forecasting ET.</w:t>
      </w:r>
    </w:p>
    <w:p w14:paraId="2653A9FF">
      <w:pPr>
        <w:spacing w:line="360" w:lineRule="auto"/>
        <w:ind w:firstLine="720"/>
        <w:jc w:val="both"/>
        <w:rPr>
          <w:rFonts w:ascii="Times New Roman" w:hAnsi="Times New Roman" w:cs="Times New Roman"/>
          <w:color w:val="000000" w:themeColor="text1"/>
          <w:sz w:val="24"/>
          <w:szCs w:val="24"/>
          <w:lang w:val="en-IN"/>
          <w14:textFill>
            <w14:solidFill>
              <w14:schemeClr w14:val="tx1"/>
            </w14:solidFill>
          </w14:textFill>
        </w:rPr>
      </w:pPr>
      <w:r>
        <w:rPr>
          <w:rFonts w:ascii="Times New Roman" w:hAnsi="Times New Roman" w:cs="Times New Roman"/>
          <w:sz w:val="24"/>
          <w:szCs w:val="24"/>
          <w:lang w:val="en-IN"/>
        </w:rPr>
        <w:t>Stochastic time series models, particularly linear models like the Auto-Regressive Integrated Moving Average (ARIMA), are widely used in hydrology due to their ability to capture temporal patterns and randomness in data. These models are instrumental in integrating on-farm systems with broader water management frameworks and support the real-time operation of irrigation infrastructure. ARIMA models are especially useful for developing synthetic datasets and generating forecasts needed for planning and decision-making in agricultural water management. The ARIMA model forecasts future values as a linear function of past observations and forecast errors, making it well-suited for time-dependent hydrological variables (</w:t>
      </w:r>
      <w:r>
        <w:rPr>
          <w:rFonts w:ascii="Times New Roman" w:hAnsi="Times New Roman" w:cs="Times New Roman"/>
          <w:color w:val="000000" w:themeColor="text1"/>
          <w:sz w:val="24"/>
          <w:szCs w:val="24"/>
          <w:lang w:val="en-IN"/>
          <w14:textFill>
            <w14:solidFill>
              <w14:schemeClr w14:val="tx1"/>
            </w14:solidFill>
          </w14:textFill>
        </w:rPr>
        <w:t xml:space="preserve">Gorlapalli </w:t>
      </w:r>
      <w:r>
        <w:rPr>
          <w:rFonts w:ascii="Times New Roman" w:hAnsi="Times New Roman" w:cs="Times New Roman"/>
          <w:i/>
          <w:iCs/>
          <w:color w:val="000000" w:themeColor="text1"/>
          <w:sz w:val="24"/>
          <w:szCs w:val="24"/>
          <w:lang w:val="en-IN"/>
          <w14:textFill>
            <w14:solidFill>
              <w14:schemeClr w14:val="tx1"/>
            </w14:solidFill>
          </w14:textFill>
        </w:rPr>
        <w:t>et al</w:t>
      </w:r>
      <w:r>
        <w:rPr>
          <w:rFonts w:ascii="Times New Roman" w:hAnsi="Times New Roman" w:cs="Times New Roman"/>
          <w:color w:val="000000" w:themeColor="text1"/>
          <w:sz w:val="24"/>
          <w:szCs w:val="24"/>
          <w:lang w:val="en-IN"/>
          <w14:textFill>
            <w14:solidFill>
              <w14:schemeClr w14:val="tx1"/>
            </w14:solidFill>
          </w14:textFill>
        </w:rPr>
        <w:t>., 2022).</w:t>
      </w:r>
    </w:p>
    <w:p w14:paraId="72AD613E">
      <w:pPr>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Previous studies have demonstrated the effectiveness of ARIMA models in modeling various hydrological time series. For instance, </w:t>
      </w:r>
      <w:r>
        <w:rPr>
          <w:rFonts w:ascii="Times New Roman" w:hAnsi="Times New Roman" w:cs="Times New Roman"/>
          <w:color w:val="000000" w:themeColor="text1"/>
          <w:sz w:val="24"/>
          <w:szCs w:val="24"/>
          <w:lang w:val="en-IN"/>
          <w14:textFill>
            <w14:solidFill>
              <w14:schemeClr w14:val="tx1"/>
            </w14:solidFill>
          </w14:textFill>
        </w:rPr>
        <w:t xml:space="preserve">Popale and Gorantiwar (2014) applied </w:t>
      </w:r>
      <w:r>
        <w:rPr>
          <w:rFonts w:ascii="Times New Roman" w:hAnsi="Times New Roman" w:cs="Times New Roman"/>
          <w:sz w:val="24"/>
          <w:szCs w:val="24"/>
          <w:lang w:val="en-IN"/>
        </w:rPr>
        <w:t xml:space="preserve">the ARIMA model to forecast rainfall in the Rahuri region, </w:t>
      </w:r>
      <w:r>
        <w:rPr>
          <w:rFonts w:ascii="Times New Roman" w:hAnsi="Times New Roman" w:cs="Times New Roman"/>
          <w:color w:val="000000" w:themeColor="text1"/>
          <w:sz w:val="24"/>
          <w:szCs w:val="24"/>
          <w:lang w:val="en-IN"/>
          <w14:textFill>
            <w14:solidFill>
              <w14:schemeClr w14:val="tx1"/>
            </w14:solidFill>
          </w14:textFill>
        </w:rPr>
        <w:t xml:space="preserve">while </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Popale and Gorantiwar, 2014</w:t>
      </w:r>
      <w:r>
        <w:rPr>
          <w:rFonts w:ascii="Times New Roman" w:hAnsi="Times New Roman" w:cs="Times New Roman"/>
          <w:bCs/>
          <w:sz w:val="24"/>
          <w:szCs w:val="24"/>
        </w:rPr>
        <w:t xml:space="preserve">; shrikant </w:t>
      </w:r>
      <w:r>
        <w:rPr>
          <w:rFonts w:ascii="Times New Roman" w:hAnsi="Times New Roman" w:cs="Times New Roman"/>
          <w:bCs/>
          <w:i/>
          <w:sz w:val="24"/>
          <w:szCs w:val="24"/>
        </w:rPr>
        <w:t>et al</w:t>
      </w:r>
      <w:r>
        <w:rPr>
          <w:rFonts w:ascii="Times New Roman" w:hAnsi="Times New Roman" w:cs="Times New Roman"/>
          <w:bCs/>
          <w:sz w:val="24"/>
          <w:szCs w:val="24"/>
        </w:rPr>
        <w:t>., 2023</w:t>
      </w:r>
      <w:r>
        <w:rPr>
          <w:rFonts w:ascii="Times New Roman" w:hAnsi="Times New Roman" w:cs="Times New Roman"/>
        </w:rPr>
        <w:t xml:space="preserve">; Rahul </w:t>
      </w:r>
      <w:r>
        <w:rPr>
          <w:rFonts w:ascii="Times New Roman" w:hAnsi="Times New Roman" w:cs="Times New Roman"/>
          <w:i/>
        </w:rPr>
        <w:t>et al</w:t>
      </w:r>
      <w:r>
        <w:rPr>
          <w:rFonts w:ascii="Times New Roman" w:hAnsi="Times New Roman" w:cs="Times New Roman"/>
        </w:rPr>
        <w:t>., 2020</w:t>
      </w:r>
      <w:r>
        <w:rPr>
          <w:rFonts w:ascii="Times New Roman" w:hAnsi="Times New Roman" w:cs="Times New Roman"/>
          <w:bCs/>
          <w:sz w:val="24"/>
          <w:szCs w:val="24"/>
        </w:rPr>
        <w:t>)</w:t>
      </w:r>
      <w:r>
        <w:rPr>
          <w:rFonts w:ascii="Times New Roman" w:hAnsi="Times New Roman" w:cs="Times New Roman"/>
          <w:sz w:val="24"/>
          <w:szCs w:val="24"/>
          <w:lang w:val="en-IN"/>
        </w:rPr>
        <w:t xml:space="preserve"> used it to analysed for evapotranspiration data. Other studies, such as those by Hamdi </w:t>
      </w:r>
      <w:r>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 (2008), Asadi </w:t>
      </w:r>
      <w:r>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 (2014) and Salas </w:t>
      </w:r>
      <w:r>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 (1980), have highlighted the usefulness of seasonal ARIMA models for predicting ET across different climatic regions.</w:t>
      </w:r>
    </w:p>
    <w:p w14:paraId="43E0B1A6">
      <w:pPr>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Understanding ET is also crucial for watershed management and hydrological modeling, particularly in the context of irrigated agriculture (Dutta </w:t>
      </w:r>
      <w:r>
        <w:rPr>
          <w:rFonts w:ascii="Times New Roman" w:hAnsi="Times New Roman" w:cs="Times New Roman"/>
          <w:i/>
          <w:iCs/>
          <w:sz w:val="24"/>
          <w:szCs w:val="24"/>
          <w:lang w:val="en-IN"/>
        </w:rPr>
        <w:t>et al</w:t>
      </w:r>
      <w:r>
        <w:rPr>
          <w:rFonts w:ascii="Times New Roman" w:hAnsi="Times New Roman" w:cs="Times New Roman"/>
          <w:sz w:val="24"/>
          <w:szCs w:val="24"/>
          <w:lang w:val="en-IN"/>
        </w:rPr>
        <w:t>., 2016). Since crop water requirement (CWR) is largely determined by ET accounting for more than 95% of it analyzing historical ET data is essential for efficient water resource utilization. In this context, the present study aims to develop a time series model to analyze and forecast reference crop evapotranspiration for Bidar district, Karnataka, India. The objective is to support informed decision-making in irrigation scheduling and water resource management.</w:t>
      </w:r>
    </w:p>
    <w:p w14:paraId="1E0C183B">
      <w:pPr>
        <w:spacing w:line="360" w:lineRule="auto"/>
        <w:rPr>
          <w:rStyle w:val="9"/>
          <w:color w:val="000000" w:themeColor="text1"/>
          <w:u w:val="none"/>
          <w:shd w:val="clear" w:color="auto" w:fill="FFFFFF"/>
          <w14:textFill>
            <w14:solidFill>
              <w14:schemeClr w14:val="tx1"/>
            </w14:solidFill>
          </w14:textFill>
        </w:rPr>
      </w:pPr>
      <w:r>
        <w:rPr>
          <w:rFonts w:ascii="Times New Roman" w:hAnsi="Times New Roman" w:cs="Times New Roman"/>
          <w:b/>
          <w:sz w:val="24"/>
          <w:szCs w:val="24"/>
        </w:rPr>
        <w:t>MATERIALS AND METHODOLOGY</w:t>
      </w:r>
    </w:p>
    <w:p w14:paraId="6599EE5E">
      <w:pPr>
        <w:spacing w:line="360" w:lineRule="auto"/>
        <w:jc w:val="both"/>
        <w:rPr>
          <w:rFonts w:ascii="Times New Roman" w:hAnsi="Times New Roman" w:cs="Times New Roman"/>
          <w:sz w:val="24"/>
          <w:szCs w:val="24"/>
          <w:lang w:val="en-IN"/>
        </w:rPr>
      </w:pPr>
      <w:r>
        <w:rPr>
          <w:rStyle w:val="9"/>
          <w:color w:val="000000" w:themeColor="text1"/>
          <w:u w:val="none"/>
          <w:shd w:val="clear" w:color="auto" w:fill="FFFFFF"/>
          <w14:textFill>
            <w14:solidFill>
              <w14:schemeClr w14:val="tx1"/>
            </w14:solidFill>
          </w14:textFill>
        </w:rPr>
        <w:tab/>
      </w:r>
      <w:r>
        <w:rPr>
          <w:rFonts w:ascii="Times New Roman" w:hAnsi="Times New Roman" w:cs="Times New Roman"/>
          <w:sz w:val="24"/>
          <w:szCs w:val="24"/>
          <w:lang w:val="en-IN"/>
        </w:rPr>
        <w:t>The study was conducted in Bidar district, situated at the trijunction of Karnataka, Maharashtra, and Telangana in India. Geographically, Bidar lies at 17.9°N latitude and 77.5°E longitude, centrally positioned on the Deccan Plateau at an elevation of approximately 2,300 feet above mean sea level. The district shares its eastern boundary with Nizamabad and Medak districts of Telangana, its western boundary with Latur, Nanded, and Osmanabad districts of Maharashtra, and its southern boundary with the Gulbarga district of Karnataka. The soils in Bidar are predominantly deep (&gt;100 cm), well-drained, gravelly red clayey soils, formed over lateritic plateaus. These soils exhibit slightly acidic to neutral pH values (around 6.6) and are characterized by low cation exchange capacity (CEC).</w:t>
      </w:r>
    </w:p>
    <w:p w14:paraId="7069282F">
      <w:pPr>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The region experiences a distinct winter season from November to mid-February. Among Karnataka's cities, Bidar is notably colder during this period, with December being the coldest month. During this month, the mean daily maximum and minimum temperatures are approximately 27.3°C and 13.4°C, respectively. Nighttime temperatures frequently range between 11°C and 12°C.In the present study, potential evapotranspiration (PET) was estimated using the Thornthwaite method, which accounts for temperature-based climatological data. For forecasting purposes, time series analysis was carried out using Autoregressive Integrated Moving Average (ARIMA) models. This approach enabled the assessment of temporal trends and the development of predictive models for PET data.</w:t>
      </w:r>
    </w:p>
    <w:p w14:paraId="1CDE9CAB">
      <w:pPr>
        <w:spacing w:line="360" w:lineRule="auto"/>
        <w:ind w:firstLine="720"/>
        <w:jc w:val="both"/>
        <w:rPr>
          <w:rFonts w:ascii="Times New Roman" w:hAnsi="Times New Roman" w:cs="Times New Roman"/>
          <w:sz w:val="24"/>
          <w:szCs w:val="24"/>
          <w:lang w:val="en-IN"/>
        </w:rPr>
      </w:pPr>
    </w:p>
    <w:p w14:paraId="12DDC900">
      <w:pPr>
        <w:spacing w:line="360" w:lineRule="auto"/>
        <w:jc w:val="both"/>
        <w:rPr>
          <w:rFonts w:ascii="Times New Roman" w:hAnsi="Times New Roman" w:cs="Times New Roman"/>
          <w:b/>
          <w:color w:val="000000" w:themeColor="text1"/>
          <w:sz w:val="24"/>
          <w:szCs w:val="24"/>
          <w:shd w:val="clear" w:color="auto" w:fill="FFFFFF"/>
          <w14:textFill>
            <w14:solidFill>
              <w14:schemeClr w14:val="tx1"/>
            </w14:solidFill>
          </w14:textFill>
        </w:rPr>
      </w:pPr>
      <w:r>
        <w:rPr>
          <w:rFonts w:ascii="Times New Roman" w:hAnsi="Times New Roman" w:cs="Times New Roman"/>
          <w:b/>
          <w:color w:val="000000" w:themeColor="text1"/>
          <w:sz w:val="24"/>
          <w:szCs w:val="24"/>
          <w:shd w:val="clear" w:color="auto" w:fill="FFFFFF"/>
          <w14:textFill>
            <w14:solidFill>
              <w14:schemeClr w14:val="tx1"/>
            </w14:solidFill>
          </w14:textFill>
        </w:rPr>
        <w:t>Thornthwaite method (Potential evapotranspiration)</w:t>
      </w:r>
    </w:p>
    <w:p w14:paraId="02E892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study, potential evapotranspiration (PET) was estimated using the Thornthwaite method, which is based on mean monthly air temperature and adjusted for latitude-specific day length variations. The Thornthwaite equation used for the estimation is given by</w:t>
      </w:r>
    </w:p>
    <w:p w14:paraId="5565D709">
      <w:pPr>
        <w:autoSpaceDE w:val="0"/>
        <w:autoSpaceDN w:val="0"/>
        <w:adjustRightInd w:val="0"/>
        <w:spacing w:after="0" w:line="360" w:lineRule="auto"/>
        <w:jc w:val="center"/>
        <w:rPr>
          <w:rFonts w:ascii="Times New Roman" w:hAnsi="Times New Roman" w:cs="Times New Roman"/>
          <w:sz w:val="24"/>
          <w:szCs w:val="24"/>
          <w:oMath/>
        </w:rPr>
      </w:pPr>
      <m:oMathPara>
        <m:oMath>
          <m:r>
            <m:rPr>
              <m:nor/>
              <m:sty m:val="p"/>
            </m:rPr>
            <w:rPr>
              <w:rFonts w:ascii="Times New Roman" w:hAnsi="Times New Roman" w:cs="Times New Roman"/>
              <w:b w:val="0"/>
              <w:i w:val="0"/>
              <w:sz w:val="24"/>
              <w:szCs w:val="24"/>
            </w:rPr>
            <m:t>PET=16K</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nor/>
                          <m:sty m:val="p"/>
                        </m:rPr>
                        <w:rPr>
                          <w:rFonts w:ascii="Times New Roman" w:hAnsi="Times New Roman" w:cs="Times New Roman"/>
                          <w:b w:val="0"/>
                          <w:i w:val="0"/>
                          <w:sz w:val="24"/>
                          <w:szCs w:val="24"/>
                        </w:rPr>
                        <m:t>10T</m:t>
                      </m:r>
                      <m:ctrlPr>
                        <w:rPr>
                          <w:rFonts w:ascii="Cambria Math" w:hAnsi="Times New Roman" w:cs="Times New Roman"/>
                          <w:i/>
                          <w:sz w:val="24"/>
                          <w:szCs w:val="24"/>
                        </w:rPr>
                      </m:ctrlPr>
                    </m:num>
                    <m:den>
                      <m:r>
                        <m:rPr>
                          <m:nor/>
                          <m:sty m:val="p"/>
                        </m:rPr>
                        <w:rPr>
                          <w:rFonts w:ascii="Times New Roman" w:hAnsi="Times New Roman" w:cs="Times New Roman"/>
                          <w:b w:val="0"/>
                          <w:i w:val="0"/>
                          <w:sz w:val="24"/>
                          <w:szCs w:val="24"/>
                        </w:rPr>
                        <m:t>I</m:t>
                      </m:r>
                      <m:ctrlPr>
                        <w:rPr>
                          <w:rFonts w:ascii="Cambria Math" w:hAnsi="Times New Roman" w:cs="Times New Roman"/>
                          <w:i/>
                          <w:sz w:val="24"/>
                          <w:szCs w:val="24"/>
                        </w:rPr>
                      </m:ctrlPr>
                    </m:den>
                  </m:f>
                  <m:ctrlPr>
                    <w:rPr>
                      <w:rFonts w:ascii="Cambria Math" w:hAnsi="Times New Roman" w:cs="Times New Roman"/>
                      <w:i/>
                      <w:sz w:val="24"/>
                      <w:szCs w:val="24"/>
                    </w:rPr>
                  </m:ctrlPr>
                </m:e>
              </m:d>
              <m:ctrlPr>
                <w:rPr>
                  <w:rFonts w:ascii="Cambria Math" w:hAnsi="Times New Roman" w:cs="Times New Roman"/>
                  <w:i/>
                  <w:sz w:val="24"/>
                  <w:szCs w:val="24"/>
                </w:rPr>
              </m:ctrlPr>
            </m:e>
            <m:sup>
              <m:r>
                <m:rPr>
                  <m:nor/>
                  <m:sty m:val="p"/>
                </m:rPr>
                <w:rPr>
                  <w:rFonts w:ascii="Times New Roman" w:hAnsi="Times New Roman" w:cs="Times New Roman"/>
                  <w:b w:val="0"/>
                  <w:i w:val="0"/>
                  <w:sz w:val="24"/>
                  <w:szCs w:val="24"/>
                </w:rPr>
                <m:t>m</m:t>
              </m:r>
              <m:ctrlPr>
                <w:rPr>
                  <w:rFonts w:ascii="Cambria Math" w:hAnsi="Times New Roman" w:cs="Times New Roman"/>
                  <w:i/>
                  <w:sz w:val="24"/>
                  <w:szCs w:val="24"/>
                </w:rPr>
              </m:ctrlPr>
            </m:sup>
          </m:sSup>
        </m:oMath>
      </m:oMathPara>
    </w:p>
    <w:p w14:paraId="3EF754E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Where T is monthly mean temperature (°C), I is heat index calculated as the sum of 12 month index values, m is an empirically derived exponent dependent on the heat index.</w:t>
      </w:r>
      <w:r>
        <w:t xml:space="preserve"> </w:t>
      </w:r>
      <w:r>
        <w:rPr>
          <w:rFonts w:ascii="Times New Roman" w:hAnsi="Times New Roman" w:cs="Times New Roman"/>
          <w:sz w:val="24"/>
          <w:szCs w:val="24"/>
        </w:rPr>
        <w:t>K is a monthly correction coefficient based on the location's latitude and the number of daylight hours.</w:t>
      </w:r>
      <w:r>
        <w:t xml:space="preserve"> </w:t>
      </w:r>
      <w:r>
        <w:rPr>
          <w:rFonts w:ascii="Times New Roman" w:hAnsi="Times New Roman" w:cs="Times New Roman"/>
          <w:sz w:val="24"/>
          <w:szCs w:val="24"/>
        </w:rPr>
        <w:t>The exponent m is calculated using the following polynomial expression</w:t>
      </w:r>
    </w:p>
    <w:p w14:paraId="3181EE1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m=6.75 × 10</w:t>
      </w:r>
      <w:r>
        <w:rPr>
          <w:rFonts w:ascii="Times New Roman" w:hAnsi="Times New Roman" w:cs="Times New Roman"/>
          <w:sz w:val="24"/>
          <w:szCs w:val="24"/>
          <w:vertAlign w:val="superscript"/>
        </w:rPr>
        <w:t>−7</w:t>
      </w:r>
      <w:r>
        <w:rPr>
          <w:rFonts w:ascii="Times New Roman" w:hAnsi="Times New Roman" w:cs="Times New Roman"/>
          <w:sz w:val="24"/>
          <w:szCs w:val="24"/>
        </w:rPr>
        <w:t>·</w:t>
      </w:r>
      <w:r>
        <w:rPr>
          <w:rFonts w:ascii="Times New Roman" w:hAnsi="Times New Roman" w:cs="Times New Roman"/>
          <w:i/>
          <w:sz w:val="24"/>
          <w:szCs w:val="24"/>
        </w:rPr>
        <w:t>I</w:t>
      </w:r>
      <w:r>
        <w:rPr>
          <w:rFonts w:ascii="Times New Roman" w:hAnsi="Times New Roman" w:cs="Times New Roman"/>
          <w:i/>
          <w:sz w:val="24"/>
          <w:szCs w:val="24"/>
          <w:vertAlign w:val="superscript"/>
        </w:rPr>
        <w:t>3</w:t>
      </w:r>
      <w:r>
        <w:rPr>
          <w:rFonts w:ascii="Times New Roman" w:hAnsi="Times New Roman" w:cs="Times New Roman"/>
          <w:sz w:val="24"/>
          <w:szCs w:val="24"/>
        </w:rPr>
        <w:t xml:space="preserve"> – 7.71 × 10</w:t>
      </w:r>
      <w:r>
        <w:rPr>
          <w:rFonts w:ascii="Times New Roman" w:hAnsi="Times New Roman" w:cs="Times New Roman"/>
          <w:sz w:val="24"/>
          <w:szCs w:val="24"/>
          <w:vertAlign w:val="superscript"/>
        </w:rPr>
        <w:t>−7</w:t>
      </w:r>
      <w:r>
        <w:rPr>
          <w:rFonts w:ascii="Times New Roman" w:hAnsi="Times New Roman" w:cs="Times New Roman"/>
          <w:sz w:val="24"/>
          <w:szCs w:val="24"/>
        </w:rPr>
        <w:t>·</w:t>
      </w:r>
      <w:r>
        <w:rPr>
          <w:rFonts w:ascii="Times New Roman" w:hAnsi="Times New Roman" w:cs="Times New Roman"/>
          <w:i/>
          <w:sz w:val="24"/>
          <w:szCs w:val="24"/>
        </w:rPr>
        <w:t>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+ 1.79 × 10</w:t>
      </w:r>
      <w:r>
        <w:rPr>
          <w:rFonts w:ascii="Times New Roman" w:hAnsi="Times New Roman" w:cs="Times New Roman"/>
          <w:sz w:val="24"/>
          <w:szCs w:val="24"/>
          <w:vertAlign w:val="superscript"/>
        </w:rPr>
        <w:t xml:space="preserve"> −2</w:t>
      </w:r>
      <w:r>
        <w:rPr>
          <w:rFonts w:ascii="Times New Roman" w:hAnsi="Times New Roman" w:cs="Times New Roman"/>
          <w:sz w:val="24"/>
          <w:szCs w:val="24"/>
        </w:rPr>
        <w:t>·I + 0.492</w:t>
      </w:r>
    </w:p>
    <w:p w14:paraId="1B8F70E9">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en-IN"/>
        </w:rPr>
        <w:t>The correction coefficient K accounts for the variation in day length due to geographic latitude and differs for each month. This method provides a temperature-based estimate of PET, making it suitable for climatological and hydrological studies, particularly in regions where only temperature data are readily available.</w:t>
      </w:r>
    </w:p>
    <w:p w14:paraId="609730E8">
      <w:pPr>
        <w:autoSpaceDE w:val="0"/>
        <w:autoSpaceDN w:val="0"/>
        <w:adjustRightInd w:val="0"/>
        <w:spacing w:after="0" w:line="360" w:lineRule="auto"/>
        <w:rPr>
          <w:rFonts w:ascii="Times New Roman" w:hAnsi="Times New Roman" w:cs="Times New Roman"/>
          <w:sz w:val="24"/>
          <w:szCs w:val="24"/>
        </w:rPr>
      </w:pPr>
    </w:p>
    <w:p w14:paraId="233C249A">
      <w:pPr>
        <w:autoSpaceDE w:val="0"/>
        <w:autoSpaceDN w:val="0"/>
        <w:adjustRightInd w:val="0"/>
        <w:spacing w:after="0" w:line="360" w:lineRule="auto"/>
        <w:rPr>
          <w:rFonts w:ascii="Times New Roman" w:hAnsi="Times New Roman" w:cs="Times New Roman"/>
          <w:sz w:val="2"/>
          <w:szCs w:val="24"/>
        </w:rPr>
      </w:pPr>
    </w:p>
    <w:p w14:paraId="5554E6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Auto correlation test (Box Ljung test)</w:t>
      </w:r>
    </w:p>
    <w:p w14:paraId="350D9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null hypothesis of the Box Ljung Test, H</w:t>
      </w:r>
      <w:r>
        <w:rPr>
          <w:rFonts w:ascii="Times New Roman" w:hAnsi="Times New Roman" w:cs="Times New Roman"/>
          <w:sz w:val="24"/>
          <w:szCs w:val="24"/>
          <w:vertAlign w:val="subscript"/>
        </w:rPr>
        <w:t>0</w:t>
      </w:r>
      <w:r>
        <w:rPr>
          <w:rFonts w:ascii="Times New Roman" w:hAnsi="Times New Roman" w:cs="Times New Roman"/>
          <w:sz w:val="24"/>
          <w:szCs w:val="24"/>
        </w:rPr>
        <w:t>, is that model does not show lack of fit (or in simple terms-the model is just fine). The alternate hypothesis, H</w:t>
      </w:r>
      <w:r>
        <w:rPr>
          <w:rFonts w:ascii="Times New Roman" w:hAnsi="Times New Roman" w:cs="Times New Roman"/>
          <w:sz w:val="24"/>
          <w:szCs w:val="24"/>
          <w:vertAlign w:val="subscript"/>
        </w:rPr>
        <w:t>a</w:t>
      </w:r>
      <w:r>
        <w:rPr>
          <w:rFonts w:ascii="Times New Roman" w:hAnsi="Times New Roman" w:cs="Times New Roman"/>
          <w:sz w:val="24"/>
          <w:szCs w:val="24"/>
        </w:rPr>
        <w:t xml:space="preserve">, is just that the model does show a lack of fit. A significant p-value in this test rejects the null hypothesis that the time series </w:t>
      </w:r>
      <w:commentRangeStart w:id="1"/>
      <w:r>
        <w:rPr>
          <w:rFonts w:ascii="Times New Roman" w:hAnsi="Times New Roman" w:cs="Times New Roman"/>
          <w:sz w:val="24"/>
          <w:szCs w:val="24"/>
        </w:rPr>
        <w:t>isn’t auto correlated.</w:t>
      </w:r>
      <w:commentRangeEnd w:id="1"/>
      <w:r>
        <w:commentReference w:id="1"/>
      </w:r>
    </w:p>
    <w:p w14:paraId="665CB709">
      <w:pPr>
        <w:spacing w:after="0" w:line="360" w:lineRule="auto"/>
        <w:ind w:firstLine="720"/>
        <w:jc w:val="both"/>
        <w:rPr>
          <w:rFonts w:ascii="Times New Roman" w:hAnsi="Times New Roman" w:cs="Times New Roman"/>
          <w:sz w:val="24"/>
          <w:szCs w:val="24"/>
        </w:rPr>
      </w:pPr>
    </w:p>
    <w:p w14:paraId="0DE6B1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Stationary test (Dickey fuller test)</w:t>
      </w:r>
    </w:p>
    <w:p w14:paraId="18808D00">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To assess the adequacy of the fitted time series model, the Box–Ljung test was applied to the residuals. The null hypothesis (H₀) states that the model residuals are independently distributed, implying no significant autocorrelation and an adequate model fit. The alternative hypothesis (H₁) suggests that the residuals are autocorrelated, indicating a potential lack of fit.</w:t>
      </w:r>
    </w:p>
    <w:p w14:paraId="16AE05CE">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 statistically significant p-value (typically </w:t>
      </w:r>
      <w:r>
        <w:rPr>
          <w:rFonts w:ascii="Times New Roman" w:hAnsi="Times New Roman" w:cs="Times New Roman"/>
          <w:i/>
          <w:iCs/>
          <w:sz w:val="24"/>
          <w:szCs w:val="24"/>
          <w:lang w:val="en-IN"/>
        </w:rPr>
        <w:t>p</w:t>
      </w:r>
      <w:r>
        <w:rPr>
          <w:rFonts w:ascii="Times New Roman" w:hAnsi="Times New Roman" w:cs="Times New Roman"/>
          <w:sz w:val="24"/>
          <w:szCs w:val="24"/>
          <w:lang w:val="en-IN"/>
        </w:rPr>
        <w:t xml:space="preserve"> &lt; 0.05) leads to the rejection of the null hypothesis, implying that the residuals exhibit autocorrelation and the model may be inadequate. Conversely, a non-significant p-value supports the conclusion that the residuals resemble white noise, confirming that the model sufficiently captures the structure of the time series data.</w:t>
      </w:r>
    </w:p>
    <w:p w14:paraId="2E95C7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Description of the stochastic models</w:t>
      </w:r>
      <w:r>
        <w:rPr>
          <w:rFonts w:ascii="Times New Roman" w:hAnsi="Times New Roman" w:cs="Times New Roman"/>
          <w:sz w:val="24"/>
          <w:szCs w:val="24"/>
        </w:rPr>
        <w:tab/>
      </w:r>
    </w:p>
    <w:p w14:paraId="795E1944">
      <w:pPr>
        <w:spacing w:after="0" w:line="360" w:lineRule="auto"/>
        <w:jc w:val="both"/>
        <w:rPr>
          <w:rFonts w:ascii="Times New Roman" w:hAnsi="Times New Roman" w:cs="Times New Roman"/>
          <w:sz w:val="6"/>
          <w:szCs w:val="24"/>
        </w:rPr>
      </w:pPr>
      <w:r>
        <w:rPr>
          <w:rFonts w:ascii="Times New Roman" w:hAnsi="Times New Roman" w:cs="Times New Roman"/>
          <w:sz w:val="24"/>
          <w:szCs w:val="24"/>
        </w:rPr>
        <w:tab/>
      </w:r>
      <w:r>
        <w:rPr>
          <w:rFonts w:ascii="Times New Roman" w:hAnsi="Times New Roman" w:cs="Times New Roman"/>
          <w:sz w:val="24"/>
          <w:szCs w:val="24"/>
        </w:rPr>
        <w:t>Stochastic models, commonly known as time series models, are widely employed in the analysis and forecasting of temporal data across various fields, including mathematics, economics, engineering, and hydrology. These models provide a structured framework for capturing the underlying patterns and variability in time-dependent datasets. In hydrological studies, time series modeling techniques have proven effective in simulating the behavior of complex and inherently unpredictable systems. They offer a robust analytical approach for forecasting future values based on historical observations and for evaluating the accuracy of the predictions (Mishra and Desai, 2005).</w:t>
      </w:r>
    </w:p>
    <w:p w14:paraId="29FC40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ARIMA models </w:t>
      </w:r>
    </w:p>
    <w:p w14:paraId="13FA542E">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ab/>
      </w:r>
      <w:r>
        <w:rPr>
          <w:rFonts w:ascii="Times New Roman" w:hAnsi="Times New Roman" w:cs="Times New Roman"/>
          <w:sz w:val="24"/>
          <w:szCs w:val="24"/>
          <w:lang w:val="en-IN"/>
        </w:rPr>
        <w:t>Autoregressive Integrated Moving Average (ARIMA) models represent a widely used class of stochastic models for time series forecasting. These models combine Autoregressive (AR) and Moving Average (MA) components and are particularly effective for analyzing stationary time series data. When applied to non-stationary data, ARIMA models require differencing of the original series to achieve stationarity.</w:t>
      </w:r>
    </w:p>
    <w:p w14:paraId="19FF515E">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 an ARIMA model, the current value of the time series is expressed as a linear function of its past </w:t>
      </w:r>
      <w:r>
        <w:rPr>
          <w:rFonts w:ascii="Times New Roman" w:hAnsi="Times New Roman" w:cs="Times New Roman"/>
          <w:b/>
          <w:bCs/>
          <w:sz w:val="24"/>
          <w:szCs w:val="24"/>
          <w:lang w:val="en-IN"/>
        </w:rPr>
        <w:t>p</w:t>
      </w:r>
      <w:r>
        <w:rPr>
          <w:rFonts w:ascii="Times New Roman" w:hAnsi="Times New Roman" w:cs="Times New Roman"/>
          <w:sz w:val="24"/>
          <w:szCs w:val="24"/>
          <w:lang w:val="en-IN"/>
        </w:rPr>
        <w:t xml:space="preserve"> lagged values (AR terms), </w:t>
      </w:r>
      <w:r>
        <w:rPr>
          <w:rFonts w:ascii="Times New Roman" w:hAnsi="Times New Roman" w:cs="Times New Roman"/>
          <w:b/>
          <w:bCs/>
          <w:sz w:val="24"/>
          <w:szCs w:val="24"/>
          <w:lang w:val="en-IN"/>
        </w:rPr>
        <w:t>q</w:t>
      </w:r>
      <w:r>
        <w:rPr>
          <w:rFonts w:ascii="Times New Roman" w:hAnsi="Times New Roman" w:cs="Times New Roman"/>
          <w:sz w:val="24"/>
          <w:szCs w:val="24"/>
          <w:lang w:val="en-IN"/>
        </w:rPr>
        <w:t xml:space="preserve"> past error terms (MA terms), and a random error component. The general form of a non-seasonal ARIMA model is denoted by ARIMA (</w:t>
      </w:r>
      <w:r>
        <w:rPr>
          <w:rFonts w:ascii="Times New Roman" w:hAnsi="Times New Roman" w:cs="Times New Roman"/>
          <w:i/>
          <w:iCs/>
          <w:sz w:val="24"/>
          <w:szCs w:val="24"/>
          <w:lang w:val="en-IN"/>
        </w:rPr>
        <w:t>p</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d</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q</w:t>
      </w:r>
      <w:r>
        <w:rPr>
          <w:rFonts w:ascii="Times New Roman" w:hAnsi="Times New Roman" w:cs="Times New Roman"/>
          <w:sz w:val="24"/>
          <w:szCs w:val="24"/>
          <w:lang w:val="en-IN"/>
        </w:rPr>
        <w:t xml:space="preserve">), where </w:t>
      </w:r>
      <w:r>
        <w:rPr>
          <w:rFonts w:ascii="Times New Roman" w:hAnsi="Times New Roman" w:cs="Times New Roman"/>
          <w:i/>
          <w:iCs/>
          <w:sz w:val="24"/>
          <w:szCs w:val="24"/>
          <w:lang w:val="en-IN"/>
        </w:rPr>
        <w:t>p</w:t>
      </w:r>
      <w:r>
        <w:rPr>
          <w:rFonts w:ascii="Times New Roman" w:hAnsi="Times New Roman" w:cs="Times New Roman"/>
          <w:sz w:val="24"/>
          <w:szCs w:val="24"/>
          <w:lang w:val="en-IN"/>
        </w:rPr>
        <w:t xml:space="preserve"> is the order of the autoregressive part, </w:t>
      </w:r>
      <w:r>
        <w:rPr>
          <w:rFonts w:ascii="Times New Roman" w:hAnsi="Times New Roman" w:cs="Times New Roman"/>
          <w:i/>
          <w:iCs/>
          <w:sz w:val="24"/>
          <w:szCs w:val="24"/>
          <w:lang w:val="en-IN"/>
        </w:rPr>
        <w:t>d</w:t>
      </w:r>
      <w:r>
        <w:rPr>
          <w:rFonts w:ascii="Times New Roman" w:hAnsi="Times New Roman" w:cs="Times New Roman"/>
          <w:sz w:val="24"/>
          <w:szCs w:val="24"/>
          <w:lang w:val="en-IN"/>
        </w:rPr>
        <w:t xml:space="preserve"> is the degree of differencing required to achieve stationarity, </w:t>
      </w:r>
      <w:r>
        <w:rPr>
          <w:rFonts w:ascii="Times New Roman" w:hAnsi="Times New Roman" w:cs="Times New Roman"/>
          <w:i/>
          <w:iCs/>
          <w:sz w:val="24"/>
          <w:szCs w:val="24"/>
          <w:lang w:val="en-IN"/>
        </w:rPr>
        <w:t>q</w:t>
      </w:r>
      <w:r>
        <w:rPr>
          <w:rFonts w:ascii="Times New Roman" w:hAnsi="Times New Roman" w:cs="Times New Roman"/>
          <w:sz w:val="24"/>
          <w:szCs w:val="24"/>
          <w:lang w:val="en-IN"/>
        </w:rPr>
        <w:t xml:space="preserve"> is the order of the moving average part. The model was originally developed by Box and Jenkins (1976) as a methodological framework for forecasting based on the intrinsic stochastic properties of the time series, without the need for constructing external explanatory models.</w:t>
      </w:r>
    </w:p>
    <w:p w14:paraId="72E13892">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general form of a non-seasonal ARIMA model can be expressed as:</w:t>
      </w:r>
    </w:p>
    <w:p w14:paraId="67AC1683">
      <w:pPr>
        <w:spacing w:after="0" w:line="360" w:lineRule="auto"/>
        <w:jc w:val="both"/>
        <w:rPr>
          <w:rFonts w:ascii="Times New Roman" w:hAnsi="Times New Roman" w:cs="Times New Roman"/>
          <w:sz w:val="24"/>
          <w:szCs w:val="24"/>
        </w:rPr>
      </w:pPr>
    </w:p>
    <w:p w14:paraId="4FE8923B">
      <w:pPr>
        <w:spacing w:after="0" w:line="360" w:lineRule="auto"/>
        <w:rPr>
          <w:rFonts w:ascii="Times New Roman" w:hAnsi="Times New Roman" w:cs="Times New Roman" w:eastAsiaTheme="minorEastAsia"/>
          <w:sz w:val="24"/>
          <w:szCs w:val="24"/>
        </w:rPr>
      </w:pPr>
      <m:oMathPara>
        <m:oMath>
          <m:r>
            <m:rPr>
              <m:nor/>
              <m:sty m:val="p"/>
            </m:rPr>
            <w:rPr>
              <w:rFonts w:ascii="Times New Roman" w:hAnsi="Cambria Math" w:cs="Times New Roman"/>
              <w:b w:val="0"/>
              <w:i w:val="0"/>
              <w:sz w:val="24"/>
              <w:szCs w:val="24"/>
            </w:rPr>
            <m:t>∅</m:t>
          </m:r>
          <m:d>
            <m:dPr>
              <m:ctrlPr>
                <w:rPr>
                  <w:rFonts w:ascii="Cambria Math" w:hAnsi="Times New Roman" w:cs="Times New Roman"/>
                  <w:i/>
                  <w:sz w:val="24"/>
                  <w:szCs w:val="24"/>
                </w:rPr>
              </m:ctrlPr>
            </m:dPr>
            <m:e>
              <m:r>
                <m:rPr>
                  <m:nor/>
                  <m:sty m:val="p"/>
                </m:rPr>
                <w:rPr>
                  <w:rFonts w:ascii="Times New Roman" w:hAnsi="Times New Roman" w:cs="Times New Roman"/>
                  <w:b w:val="0"/>
                  <w:i w:val="0"/>
                  <w:sz w:val="24"/>
                  <w:szCs w:val="24"/>
                </w:rPr>
                <m:t>B</m:t>
              </m:r>
              <m:ctrlPr>
                <w:rPr>
                  <w:rFonts w:ascii="Cambria Math" w:hAnsi="Times New Roman" w:cs="Times New Roman"/>
                  <w:i/>
                  <w:sz w:val="24"/>
                  <w:szCs w:val="24"/>
                </w:rPr>
              </m:ctrlPr>
            </m:e>
          </m:d>
          <m:sSubSup>
            <m:sSubSupPr>
              <m:ctrlPr>
                <w:rPr>
                  <w:rFonts w:ascii="Cambria Math" w:hAnsi="Times New Roman" w:cs="Times New Roman"/>
                  <w:i/>
                  <w:sz w:val="24"/>
                  <w:szCs w:val="24"/>
                </w:rPr>
              </m:ctrlPr>
            </m:sSubSupPr>
            <m:e>
              <m:r>
                <m:rPr>
                  <m:nor/>
                  <m:sty m:val="p"/>
                </m:rPr>
                <w:rPr>
                  <w:rFonts w:ascii="Cambria Math" w:hAnsi="Cambria Math" w:cs="Times New Roman"/>
                  <w:b w:val="0"/>
                  <w:i w:val="0"/>
                  <w:sz w:val="24"/>
                  <w:szCs w:val="24"/>
                </w:rPr>
                <m:t>∇</m:t>
              </m:r>
              <m:ctrlPr>
                <w:rPr>
                  <w:rFonts w:ascii="Cambria Math" w:hAnsi="Times New Roman" w:cs="Times New Roman"/>
                  <w:i/>
                  <w:sz w:val="24"/>
                  <w:szCs w:val="24"/>
                </w:rPr>
              </m:ctrlPr>
            </m:e>
            <m:sub>
              <m:sSub>
                <m:sSubPr>
                  <m:ctrlPr>
                    <w:rPr>
                      <w:rFonts w:ascii="Cambria Math" w:hAnsi="Times New Roman" w:cs="Times New Roman"/>
                      <w:i/>
                      <w:sz w:val="24"/>
                      <w:szCs w:val="24"/>
                    </w:rPr>
                  </m:ctrlPr>
                </m:sSubPr>
                <m:e>
                  <m:r>
                    <m:rPr>
                      <m:nor/>
                      <m:sty m:val="p"/>
                    </m:rPr>
                    <w:rPr>
                      <w:rFonts w:ascii="Times New Roman" w:hAnsi="Times New Roman" w:cs="Times New Roman"/>
                      <w:b w:val="0"/>
                      <w:i w:val="0"/>
                      <w:sz w:val="24"/>
                      <w:szCs w:val="24"/>
                    </w:rPr>
                    <m:t>Z</m:t>
                  </m:r>
                  <m:ctrlPr>
                    <w:rPr>
                      <w:rFonts w:ascii="Cambria Math" w:hAnsi="Times New Roman" w:cs="Times New Roman"/>
                      <w:i/>
                      <w:sz w:val="24"/>
                      <w:szCs w:val="24"/>
                    </w:rPr>
                  </m:ctrlPr>
                </m:e>
                <m:sub>
                  <m:r>
                    <m:rPr>
                      <m:nor/>
                      <m:sty m:val="p"/>
                    </m:rPr>
                    <w:rPr>
                      <w:rFonts w:ascii="Times New Roman" w:hAnsi="Times New Roman" w:cs="Times New Roman"/>
                      <w:b w:val="0"/>
                      <w:i w:val="0"/>
                      <w:sz w:val="24"/>
                      <w:szCs w:val="24"/>
                    </w:rPr>
                    <m:t>t</m:t>
                  </m:r>
                  <m:ctrlPr>
                    <w:rPr>
                      <w:rFonts w:ascii="Cambria Math" w:hAnsi="Times New Roman" w:cs="Times New Roman"/>
                      <w:i/>
                      <w:sz w:val="24"/>
                      <w:szCs w:val="24"/>
                    </w:rPr>
                  </m:ctrlPr>
                </m:sub>
              </m:sSub>
              <m:ctrlPr>
                <w:rPr>
                  <w:rFonts w:ascii="Cambria Math" w:hAnsi="Times New Roman" w:cs="Times New Roman"/>
                  <w:i/>
                  <w:sz w:val="24"/>
                  <w:szCs w:val="24"/>
                </w:rPr>
              </m:ctrlPr>
            </m:sub>
            <m:sup>
              <m:r>
                <m:rPr>
                  <m:nor/>
                  <m:sty m:val="p"/>
                </m:rPr>
                <w:rPr>
                  <w:rFonts w:ascii="Times New Roman" w:hAnsi="Times New Roman" w:cs="Times New Roman"/>
                  <w:b w:val="0"/>
                  <w:i w:val="0"/>
                  <w:sz w:val="24"/>
                  <w:szCs w:val="24"/>
                </w:rPr>
                <m:t>d</m:t>
              </m:r>
              <m:ctrlPr>
                <w:rPr>
                  <w:rFonts w:ascii="Cambria Math" w:hAnsi="Times New Roman" w:cs="Times New Roman"/>
                  <w:i/>
                  <w:sz w:val="24"/>
                  <w:szCs w:val="24"/>
                </w:rPr>
              </m:ctrlPr>
            </m:sup>
          </m:sSubSup>
          <m:r>
            <m:rPr>
              <m:nor/>
              <m:sty m:val="p"/>
            </m:rPr>
            <w:rPr>
              <w:rFonts w:ascii="Times New Roman" w:hAnsi="Times New Roman" w:cs="Times New Roman"/>
              <w:b w:val="0"/>
              <w:i w:val="0"/>
              <w:sz w:val="24"/>
              <w:szCs w:val="24"/>
            </w:rPr>
            <m:t>= θ(B)</m:t>
          </m:r>
          <m:sSub>
            <m:sSubPr>
              <m:ctrlPr>
                <w:rPr>
                  <w:rFonts w:ascii="Cambria Math" w:hAnsi="Times New Roman" w:cs="Times New Roman"/>
                  <w:i/>
                  <w:sz w:val="24"/>
                  <w:szCs w:val="24"/>
                </w:rPr>
              </m:ctrlPr>
            </m:sSubPr>
            <m:e>
              <m:r>
                <m:rPr>
                  <m:nor/>
                  <m:sty m:val="p"/>
                </m:rPr>
                <w:rPr>
                  <w:rFonts w:ascii="Times New Roman" w:hAnsi="Times New Roman" w:cs="Times New Roman"/>
                  <w:b w:val="0"/>
                  <w:i w:val="0"/>
                  <w:sz w:val="24"/>
                  <w:szCs w:val="24"/>
                </w:rPr>
                <m:t>a</m:t>
              </m:r>
              <m:ctrlPr>
                <w:rPr>
                  <w:rFonts w:ascii="Cambria Math" w:hAnsi="Times New Roman" w:cs="Times New Roman"/>
                  <w:i/>
                  <w:sz w:val="24"/>
                  <w:szCs w:val="24"/>
                </w:rPr>
              </m:ctrlPr>
            </m:e>
            <m:sub>
              <m:r>
                <m:rPr>
                  <m:nor/>
                  <m:sty m:val="p"/>
                </m:rPr>
                <w:rPr>
                  <w:rFonts w:ascii="Times New Roman" w:hAnsi="Times New Roman" w:cs="Times New Roman"/>
                  <w:b w:val="0"/>
                  <w:i w:val="0"/>
                  <w:sz w:val="24"/>
                  <w:szCs w:val="24"/>
                </w:rPr>
                <m:t>t</m:t>
              </m:r>
              <m:ctrlPr>
                <w:rPr>
                  <w:rFonts w:ascii="Cambria Math" w:hAnsi="Times New Roman" w:cs="Times New Roman"/>
                  <w:i/>
                  <w:sz w:val="24"/>
                  <w:szCs w:val="24"/>
                </w:rPr>
              </m:ctrlPr>
            </m:sub>
          </m:sSub>
        </m:oMath>
      </m:oMathPara>
    </w:p>
    <w:p w14:paraId="3754F023">
      <w:pPr>
        <w:spacing w:after="0" w:line="360" w:lineRule="auto"/>
        <w:rPr>
          <w:rFonts w:ascii="Times New Roman" w:hAnsi="Times New Roman" w:cs="Times New Roman"/>
          <w:sz w:val="24"/>
          <w:szCs w:val="24"/>
          <w:lang w:val="en-IN"/>
        </w:rPr>
      </w:pPr>
      <w:r>
        <w:rPr>
          <w:rFonts w:ascii="Times New Roman" w:hAnsi="Times New Roman" w:cs="Times New Roman"/>
          <w:sz w:val="24"/>
          <w:szCs w:val="24"/>
        </w:rPr>
        <w:tab/>
      </w:r>
      <w:r>
        <w:rPr>
          <w:lang w:val="en-IN"/>
        </w:rPr>
        <w:t xml:space="preserve">Where, </w:t>
      </w:r>
      <w:r>
        <w:rPr>
          <w:rFonts w:ascii="Times New Roman" w:hAnsi="Times New Roman" w:cs="Times New Roman"/>
          <w:sz w:val="24"/>
          <w:szCs w:val="24"/>
          <w:lang w:val="en-IN"/>
        </w:rPr>
        <w:t>z</w:t>
      </w:r>
      <w:r>
        <w:rPr>
          <w:rFonts w:ascii="Times New Roman" w:hAnsi="Times New Roman" w:cs="Times New Roman"/>
          <w:sz w:val="24"/>
          <w:szCs w:val="24"/>
          <w:vertAlign w:val="subscript"/>
          <w:lang w:val="en-IN"/>
        </w:rPr>
        <w:t>t</w:t>
      </w:r>
      <w:r>
        <w:rPr>
          <w:rFonts w:ascii="Times New Roman" w:hAnsi="Times New Roman" w:cs="Times New Roman"/>
          <w:sz w:val="24"/>
          <w:szCs w:val="24"/>
          <w:lang w:val="en-IN"/>
        </w:rPr>
        <w:t xml:space="preserve"> is the original time series, </w:t>
      </w:r>
      <w:r>
        <w:rPr>
          <w:rFonts w:ascii="Cambria Math" w:hAnsi="Cambria Math" w:cs="Cambria Math"/>
          <w:sz w:val="24"/>
          <w:szCs w:val="24"/>
          <w:lang w:val="en-IN"/>
        </w:rPr>
        <w:t>∇</w:t>
      </w:r>
      <w:r>
        <w:rPr>
          <w:rFonts w:ascii="Times New Roman" w:hAnsi="Times New Roman" w:cs="Times New Roman"/>
          <w:sz w:val="24"/>
          <w:szCs w:val="24"/>
          <w:vertAlign w:val="superscript"/>
          <w:lang w:val="en-IN"/>
        </w:rPr>
        <w:t>d</w:t>
      </w:r>
      <w:r>
        <w:rPr>
          <w:rFonts w:ascii="Times New Roman" w:hAnsi="Times New Roman" w:cs="Times New Roman"/>
          <w:sz w:val="24"/>
          <w:szCs w:val="24"/>
          <w:lang w:val="en-IN"/>
        </w:rPr>
        <w:t xml:space="preserve"> denotes the differencing operator applied </w:t>
      </w:r>
      <w:r>
        <w:rPr>
          <w:rFonts w:ascii="Times New Roman" w:hAnsi="Times New Roman" w:cs="Times New Roman"/>
          <w:i/>
          <w:iCs/>
          <w:sz w:val="24"/>
          <w:szCs w:val="24"/>
          <w:lang w:val="en-IN"/>
        </w:rPr>
        <w:t>d</w:t>
      </w:r>
      <w:r>
        <w:rPr>
          <w:rFonts w:ascii="Times New Roman" w:hAnsi="Times New Roman" w:cs="Times New Roman"/>
          <w:sz w:val="24"/>
          <w:szCs w:val="24"/>
          <w:lang w:val="en-IN"/>
        </w:rPr>
        <w:t xml:space="preserve"> times,</w:t>
      </w:r>
      <w:r>
        <w:rPr>
          <w:lang w:val="en-IN"/>
        </w:rPr>
        <w:t xml:space="preserve"> </w:t>
      </w:r>
      <w:r>
        <w:rPr>
          <w:rFonts w:ascii="Times New Roman" w:hAnsi="Times New Roman" w:cs="Times New Roman"/>
          <w:sz w:val="24"/>
          <w:szCs w:val="24"/>
          <w:lang w:val="en-IN"/>
        </w:rPr>
        <w:t>a</w:t>
      </w:r>
      <w:r>
        <w:rPr>
          <w:rFonts w:ascii="Times New Roman" w:hAnsi="Times New Roman" w:cs="Times New Roman"/>
          <w:sz w:val="24"/>
          <w:szCs w:val="24"/>
          <w:vertAlign w:val="subscript"/>
          <w:lang w:val="en-IN"/>
        </w:rPr>
        <w:t>t</w:t>
      </w:r>
      <w:r>
        <w:rPr>
          <w:rFonts w:ascii="Times New Roman" w:hAnsi="Times New Roman" w:cs="Times New Roman"/>
          <w:sz w:val="24"/>
          <w:szCs w:val="24"/>
          <w:lang w:val="en-IN"/>
        </w:rPr>
        <w:t xml:space="preserve"> is a white noise error term,</w:t>
      </w:r>
      <w:r>
        <w:rPr>
          <w:lang w:val="en-IN"/>
        </w:rPr>
        <w:t xml:space="preserve"> </w:t>
      </w:r>
      <w:r>
        <w:rPr>
          <w:rFonts w:ascii="Times New Roman" w:hAnsi="Times New Roman" w:cs="Times New Roman"/>
          <w:sz w:val="24"/>
          <w:szCs w:val="24"/>
          <w:lang w:val="en-IN"/>
        </w:rPr>
        <w:t>ϕ(B) and θ(B) are polynomials in the backshift operator B, representing the AR and MA parts, respectively.</w:t>
      </w:r>
    </w:p>
    <w:p w14:paraId="154A7421">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The autoregressive operator of order p is given by</w:t>
      </w:r>
    </w:p>
    <w:p w14:paraId="091F040E">
      <w:pPr>
        <w:spacing w:after="0" w:line="360" w:lineRule="auto"/>
        <w:rPr>
          <w:rFonts w:ascii="Cambria Math" w:hAnsi="Times New Roman" w:cs="Times New Roman" w:eastAsiaTheme="minorEastAsia"/>
          <w:sz w:val="24"/>
          <w:szCs w:val="24"/>
          <w:oMath/>
        </w:rPr>
      </w:pPr>
      <m:oMathPara>
        <m:oMath>
          <m:r>
            <m:rPr/>
            <w:rPr>
              <w:rFonts w:ascii="Cambria Math" w:hAnsi="Cambria Math" w:cs="Times New Roman"/>
              <w:sz w:val="24"/>
              <w:szCs w:val="24"/>
            </w:rPr>
            <m:t>∅</m:t>
          </m:r>
          <m:d>
            <m:dPr>
              <m:ctrlPr>
                <w:rPr>
                  <w:rFonts w:ascii="Cambria Math" w:hAnsi="Times New Roman" w:cs="Times New Roman"/>
                  <w:i/>
                  <w:sz w:val="24"/>
                  <w:szCs w:val="24"/>
                </w:rPr>
              </m:ctrlPr>
            </m:dPr>
            <m:e>
              <m:r>
                <m:rPr/>
                <w:rPr>
                  <w:rFonts w:ascii="Cambria Math" w:hAnsi="Cambria Math" w:cs="Times New Roman"/>
                  <w:sz w:val="24"/>
                  <w:szCs w:val="24"/>
                </w:rPr>
                <m:t>B</m:t>
              </m:r>
              <m:ctrlPr>
                <w:rPr>
                  <w:rFonts w:ascii="Cambria Math" w:hAnsi="Times New Roman" w:cs="Times New Roman"/>
                  <w:i/>
                  <w:sz w:val="24"/>
                  <w:szCs w:val="24"/>
                </w:rPr>
              </m:ctrlPr>
            </m:e>
          </m:d>
          <m:r>
            <m:rPr/>
            <w:rPr>
              <w:rFonts w:ascii="Cambria Math" w:hAnsi="Times New Roman" w:cs="Times New Roman"/>
              <w:sz w:val="24"/>
              <w:szCs w:val="24"/>
            </w:rPr>
            <m:t>=</m:t>
          </m:r>
          <m:d>
            <m:dPr>
              <m:ctrlPr>
                <w:rPr>
                  <w:rFonts w:ascii="Cambria Math" w:hAnsi="Times New Roman" w:cs="Times New Roman"/>
                  <w:i/>
                  <w:sz w:val="24"/>
                  <w:szCs w:val="24"/>
                </w:rPr>
              </m:ctrlPr>
            </m:dPr>
            <m:e>
              <m:r>
                <m:rPr/>
                <w:rPr>
                  <w:rFonts w:ascii="Cambria Math" w:hAnsi="Times New Roman" w:cs="Times New Roman"/>
                  <w:sz w:val="24"/>
                  <w:szCs w:val="24"/>
                </w:rPr>
                <m:t>1−</m:t>
              </m:r>
              <m:sSub>
                <m:sSubPr>
                  <m:ctrlPr>
                    <w:rPr>
                      <w:rFonts w:ascii="Cambria Math" w:hAnsi="Times New Roman" w:cs="Times New Roman"/>
                      <w:i/>
                      <w:sz w:val="24"/>
                      <w:szCs w:val="24"/>
                    </w:rPr>
                  </m:ctrlPr>
                </m:sSubPr>
                <m:e>
                  <m:r>
                    <m:rPr/>
                    <w:rPr>
                      <w:rFonts w:ascii="Times New Roman" w:hAnsi="Cambria Math" w:cs="Times New Roman"/>
                      <w:sz w:val="24"/>
                      <w:szCs w:val="24"/>
                    </w:rPr>
                    <m:t>∅</m:t>
                  </m:r>
                  <m:ctrlPr>
                    <w:rPr>
                      <w:rFonts w:ascii="Cambria Math" w:hAnsi="Times New Roman" w:cs="Times New Roman"/>
                      <w:i/>
                      <w:sz w:val="24"/>
                      <w:szCs w:val="24"/>
                    </w:rPr>
                  </m:ctrlPr>
                </m:e>
                <m:sub>
                  <m:r>
                    <m:rPr/>
                    <w:rPr>
                      <w:rFonts w:ascii="Cambria Math" w:hAnsi="Times New Roman" w:cs="Times New Roman"/>
                      <w:sz w:val="24"/>
                      <w:szCs w:val="24"/>
                    </w:rPr>
                    <m:t>1</m:t>
                  </m:r>
                  <m:ctrlPr>
                    <w:rPr>
                      <w:rFonts w:ascii="Cambria Math" w:hAnsi="Times New Roman" w:cs="Times New Roman"/>
                      <w:i/>
                      <w:sz w:val="24"/>
                      <w:szCs w:val="24"/>
                    </w:rPr>
                  </m:ctrlPr>
                </m:sub>
              </m:sSub>
              <m:r>
                <m:rPr/>
                <w:rPr>
                  <w:rFonts w:ascii="Cambria Math" w:hAnsi="Cambria Math" w:cs="Times New Roman"/>
                  <w:sz w:val="24"/>
                  <w:szCs w:val="24"/>
                </w:rPr>
                <m:t>B</m:t>
              </m:r>
              <m:r>
                <m:rPr/>
                <w:rPr>
                  <w:rFonts w:ascii="Times New Roman" w:hAnsi="Times New Roman" w:cs="Times New Roman"/>
                  <w:sz w:val="24"/>
                  <w:szCs w:val="24"/>
                </w:rPr>
                <m:t>−</m:t>
              </m:r>
              <m:sSub>
                <m:sSubPr>
                  <m:ctrlPr>
                    <w:rPr>
                      <w:rFonts w:ascii="Cambria Math" w:hAnsi="Times New Roman" w:cs="Times New Roman"/>
                      <w:i/>
                      <w:sz w:val="24"/>
                      <w:szCs w:val="24"/>
                    </w:rPr>
                  </m:ctrlPr>
                </m:sSubPr>
                <m:e>
                  <m:r>
                    <m:rPr/>
                    <w:rPr>
                      <w:rFonts w:ascii="Times New Roman" w:hAnsi="Cambria Math" w:cs="Times New Roman"/>
                      <w:sz w:val="24"/>
                      <w:szCs w:val="24"/>
                    </w:rPr>
                    <m:t>∅</m:t>
                  </m:r>
                  <m:ctrlPr>
                    <w:rPr>
                      <w:rFonts w:ascii="Cambria Math" w:hAnsi="Times New Roman" w:cs="Times New Roman"/>
                      <w:i/>
                      <w:sz w:val="24"/>
                      <w:szCs w:val="24"/>
                    </w:rPr>
                  </m:ctrlPr>
                </m:e>
                <m:sub>
                  <m:r>
                    <m:rPr/>
                    <w:rPr>
                      <w:rFonts w:ascii="Cambria Math" w:hAnsi="Times New Roman" w:cs="Times New Roman"/>
                      <w:sz w:val="24"/>
                      <w:szCs w:val="24"/>
                    </w:rPr>
                    <m:t>2</m:t>
                  </m:r>
                  <m:ctrlPr>
                    <w:rPr>
                      <w:rFonts w:ascii="Cambria Math" w:hAnsi="Times New Roman" w:cs="Times New Roman"/>
                      <w:i/>
                      <w:sz w:val="24"/>
                      <w:szCs w:val="24"/>
                    </w:rPr>
                  </m:ctrlPr>
                </m:sub>
              </m:sSub>
              <m:sSup>
                <m:sSupPr>
                  <m:ctrlPr>
                    <w:rPr>
                      <w:rFonts w:ascii="Cambria Math" w:hAnsi="Times New Roman" w:cs="Times New Roman"/>
                      <w:i/>
                      <w:sz w:val="24"/>
                      <w:szCs w:val="24"/>
                    </w:rPr>
                  </m:ctrlPr>
                </m:sSupPr>
                <m:e>
                  <m:r>
                    <m:rPr/>
                    <w:rPr>
                      <w:rFonts w:ascii="Cambria Math" w:hAnsi="Cambria Math" w:cs="Times New Roman"/>
                      <w:sz w:val="24"/>
                      <w:szCs w:val="24"/>
                    </w:rPr>
                    <m:t>B</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r>
                <m:rPr/>
                <w:rPr>
                  <w:rFonts w:ascii="Times New Roman" w:hAnsi="Times New Roman" w:cs="Times New Roman"/>
                  <w:sz w:val="24"/>
                  <w:szCs w:val="24"/>
                </w:rPr>
                <m:t>−…</m:t>
              </m:r>
              <m:sSub>
                <m:sSubPr>
                  <m:ctrlPr>
                    <w:rPr>
                      <w:rFonts w:ascii="Cambria Math" w:hAnsi="Times New Roman" w:cs="Times New Roman"/>
                      <w:i/>
                      <w:sz w:val="24"/>
                      <w:szCs w:val="24"/>
                    </w:rPr>
                  </m:ctrlPr>
                </m:sSubPr>
                <m:e>
                  <m:r>
                    <m:rPr/>
                    <w:rPr>
                      <w:rFonts w:ascii="Times New Roman" w:hAnsi="Cambria Math" w:cs="Times New Roman"/>
                      <w:sz w:val="24"/>
                      <w:szCs w:val="24"/>
                    </w:rPr>
                    <m:t>∅</m:t>
                  </m:r>
                  <m:ctrlPr>
                    <w:rPr>
                      <w:rFonts w:ascii="Cambria Math" w:hAnsi="Times New Roman" w:cs="Times New Roman"/>
                      <w:i/>
                      <w:sz w:val="24"/>
                      <w:szCs w:val="24"/>
                    </w:rPr>
                  </m:ctrlPr>
                </m:e>
                <m:sub>
                  <m:r>
                    <m:rPr/>
                    <w:rPr>
                      <w:rFonts w:ascii="Cambria Math" w:hAnsi="Cambria Math" w:cs="Times New Roman"/>
                      <w:sz w:val="24"/>
                      <w:szCs w:val="24"/>
                    </w:rPr>
                    <m:t>p</m:t>
                  </m:r>
                  <m:ctrlPr>
                    <w:rPr>
                      <w:rFonts w:ascii="Cambria Math" w:hAnsi="Times New Roman" w:cs="Times New Roman"/>
                      <w:i/>
                      <w:sz w:val="24"/>
                      <w:szCs w:val="24"/>
                    </w:rPr>
                  </m:ctrlPr>
                </m:sub>
              </m:sSub>
              <m:sSup>
                <m:sSupPr>
                  <m:ctrlPr>
                    <w:rPr>
                      <w:rFonts w:ascii="Cambria Math" w:hAnsi="Times New Roman" w:cs="Times New Roman"/>
                      <w:i/>
                      <w:sz w:val="24"/>
                      <w:szCs w:val="24"/>
                    </w:rPr>
                  </m:ctrlPr>
                </m:sSupPr>
                <m:e>
                  <m:r>
                    <m:rPr/>
                    <w:rPr>
                      <w:rFonts w:ascii="Cambria Math" w:hAnsi="Cambria Math" w:cs="Times New Roman"/>
                      <w:sz w:val="24"/>
                      <w:szCs w:val="24"/>
                    </w:rPr>
                    <m:t>B</m:t>
                  </m:r>
                  <m:ctrlPr>
                    <w:rPr>
                      <w:rFonts w:ascii="Cambria Math" w:hAnsi="Times New Roman" w:cs="Times New Roman"/>
                      <w:i/>
                      <w:sz w:val="24"/>
                      <w:szCs w:val="24"/>
                    </w:rPr>
                  </m:ctrlPr>
                </m:e>
                <m:sup>
                  <m:r>
                    <m:rPr/>
                    <w:rPr>
                      <w:rFonts w:ascii="Cambria Math" w:hAnsi="Cambria Math" w:cs="Times New Roman"/>
                      <w:sz w:val="24"/>
                      <w:szCs w:val="24"/>
                    </w:rPr>
                    <m:t>p</m:t>
                  </m:r>
                  <m:ctrlPr>
                    <w:rPr>
                      <w:rFonts w:ascii="Cambria Math" w:hAnsi="Times New Roman" w:cs="Times New Roman"/>
                      <w:i/>
                      <w:sz w:val="24"/>
                      <w:szCs w:val="24"/>
                    </w:rPr>
                  </m:ctrlPr>
                </m:sup>
              </m:sSup>
              <m:ctrlPr>
                <w:rPr>
                  <w:rFonts w:ascii="Cambria Math" w:hAnsi="Times New Roman" w:cs="Times New Roman"/>
                  <w:i/>
                  <w:sz w:val="24"/>
                  <w:szCs w:val="24"/>
                </w:rPr>
              </m:ctrlPr>
            </m:e>
          </m:d>
        </m:oMath>
      </m:oMathPara>
    </w:p>
    <w:p w14:paraId="05EB3DDE">
      <w:pPr>
        <w:spacing w:after="0" w:line="360" w:lineRule="auto"/>
        <w:jc w:val="center"/>
        <w:rPr>
          <w:rFonts w:ascii="Times New Roman" w:hAnsi="Times New Roman" w:cs="Times New Roman" w:eastAsiaTheme="minorEastAsia"/>
          <w:sz w:val="8"/>
          <w:szCs w:val="24"/>
        </w:rPr>
      </w:pPr>
    </w:p>
    <w:p w14:paraId="2CB12A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moving average operator of order </w:t>
      </w:r>
      <w:r>
        <w:rPr>
          <w:rFonts w:ascii="Times New Roman" w:hAnsi="Times New Roman" w:cs="Times New Roman"/>
          <w:i/>
          <w:iCs/>
          <w:sz w:val="24"/>
          <w:szCs w:val="24"/>
        </w:rPr>
        <w:t>q</w:t>
      </w:r>
      <w:r>
        <w:rPr>
          <w:rFonts w:ascii="Times New Roman" w:hAnsi="Times New Roman" w:cs="Times New Roman"/>
          <w:sz w:val="24"/>
          <w:szCs w:val="24"/>
        </w:rPr>
        <w:t xml:space="preserve"> is expressed as      </w:t>
      </w:r>
    </w:p>
    <w:p w14:paraId="23BDA9E0">
      <w:pPr>
        <w:spacing w:line="360" w:lineRule="auto"/>
        <w:jc w:val="both"/>
        <w:rPr>
          <w:rFonts w:ascii="Times New Roman" w:hAnsi="Times New Roman" w:cs="Times New Roman" w:eastAsiaTheme="minorEastAsia"/>
          <w:sz w:val="24"/>
          <w:szCs w:val="24"/>
        </w:rPr>
      </w:pPr>
      <m:oMathPara>
        <m:oMath>
          <m:r>
            <m:rPr/>
            <w:rPr>
              <w:rFonts w:ascii="Cambria Math" w:hAnsi="Cambria Math" w:cs="Times New Roman"/>
              <w:sz w:val="24"/>
              <w:szCs w:val="24"/>
            </w:rPr>
            <m:t>θ</m:t>
          </m:r>
          <m:d>
            <m:dPr>
              <m:ctrlPr>
                <w:rPr>
                  <w:rFonts w:ascii="Cambria Math" w:hAnsi="Times New Roman" w:cs="Times New Roman"/>
                  <w:i/>
                  <w:sz w:val="24"/>
                  <w:szCs w:val="24"/>
                </w:rPr>
              </m:ctrlPr>
            </m:dPr>
            <m:e>
              <m:r>
                <m:rPr/>
                <w:rPr>
                  <w:rFonts w:ascii="Cambria Math" w:hAnsi="Cambria Math" w:cs="Times New Roman"/>
                  <w:sz w:val="24"/>
                  <w:szCs w:val="24"/>
                </w:rPr>
                <m:t>B</m:t>
              </m:r>
              <m:ctrlPr>
                <w:rPr>
                  <w:rFonts w:ascii="Cambria Math" w:hAnsi="Times New Roman" w:cs="Times New Roman"/>
                  <w:i/>
                  <w:sz w:val="24"/>
                  <w:szCs w:val="24"/>
                </w:rPr>
              </m:ctrlPr>
            </m:e>
          </m:d>
          <m:r>
            <m:rPr/>
            <w:rPr>
              <w:rFonts w:ascii="Cambria Math" w:hAnsi="Times New Roman" w:cs="Times New Roman"/>
              <w:sz w:val="24"/>
              <w:szCs w:val="24"/>
            </w:rPr>
            <m:t>=</m:t>
          </m:r>
          <m:d>
            <m:dPr>
              <m:ctrlPr>
                <w:rPr>
                  <w:rFonts w:ascii="Cambria Math" w:hAnsi="Times New Roman" w:cs="Times New Roman"/>
                  <w:i/>
                  <w:sz w:val="24"/>
                  <w:szCs w:val="24"/>
                </w:rPr>
              </m:ctrlPr>
            </m:dPr>
            <m:e>
              <m:r>
                <m:rPr/>
                <w:rPr>
                  <w:rFonts w:ascii="Cambria Math" w:hAnsi="Times New Roman" w:cs="Times New Roman"/>
                  <w:sz w:val="24"/>
                  <w:szCs w:val="24"/>
                </w:rPr>
                <m:t>1−</m:t>
              </m:r>
              <m:sSub>
                <m:sSubPr>
                  <m:ctrlPr>
                    <w:rPr>
                      <w:rFonts w:ascii="Cambria Math" w:hAnsi="Times New Roman" w:cs="Times New Roman"/>
                      <w:i/>
                      <w:sz w:val="24"/>
                      <w:szCs w:val="24"/>
                    </w:rPr>
                  </m:ctrlPr>
                </m:sSubPr>
                <m:e>
                  <m:r>
                    <m:rPr/>
                    <w:rPr>
                      <w:rFonts w:ascii="Cambria Math" w:hAnsi="Cambria Math" w:cs="Times New Roman"/>
                      <w:sz w:val="24"/>
                      <w:szCs w:val="24"/>
                    </w:rPr>
                    <m:t>θ</m:t>
                  </m:r>
                  <m:ctrlPr>
                    <w:rPr>
                      <w:rFonts w:ascii="Cambria Math" w:hAnsi="Times New Roman" w:cs="Times New Roman"/>
                      <w:i/>
                      <w:sz w:val="24"/>
                      <w:szCs w:val="24"/>
                    </w:rPr>
                  </m:ctrlPr>
                </m:e>
                <m:sub>
                  <m:r>
                    <m:rPr/>
                    <w:rPr>
                      <w:rFonts w:ascii="Cambria Math" w:hAnsi="Times New Roman" w:cs="Times New Roman"/>
                      <w:sz w:val="24"/>
                      <w:szCs w:val="24"/>
                    </w:rPr>
                    <m:t>1</m:t>
                  </m:r>
                  <m:ctrlPr>
                    <w:rPr>
                      <w:rFonts w:ascii="Cambria Math" w:hAnsi="Times New Roman" w:cs="Times New Roman"/>
                      <w:i/>
                      <w:sz w:val="24"/>
                      <w:szCs w:val="24"/>
                    </w:rPr>
                  </m:ctrlPr>
                </m:sub>
              </m:sSub>
              <m:r>
                <m:rPr/>
                <w:rPr>
                  <w:rFonts w:ascii="Cambria Math" w:hAnsi="Cambria Math" w:cs="Times New Roman"/>
                  <w:sz w:val="24"/>
                  <w:szCs w:val="24"/>
                </w:rPr>
                <m:t>B</m:t>
              </m:r>
              <m:r>
                <m:rPr/>
                <w:rPr>
                  <w:rFonts w:ascii="Times New Roman" w:hAnsi="Times New Roman" w:cs="Times New Roman"/>
                  <w:sz w:val="24"/>
                  <w:szCs w:val="24"/>
                </w:rPr>
                <m:t>−</m:t>
              </m:r>
              <m:sSub>
                <m:sSubPr>
                  <m:ctrlPr>
                    <w:rPr>
                      <w:rFonts w:ascii="Cambria Math" w:hAnsi="Times New Roman" w:cs="Times New Roman"/>
                      <w:i/>
                      <w:sz w:val="24"/>
                      <w:szCs w:val="24"/>
                    </w:rPr>
                  </m:ctrlPr>
                </m:sSubPr>
                <m:e>
                  <m:r>
                    <m:rPr/>
                    <w:rPr>
                      <w:rFonts w:ascii="Cambria Math" w:hAnsi="Cambria Math" w:cs="Times New Roman"/>
                      <w:sz w:val="24"/>
                      <w:szCs w:val="24"/>
                    </w:rPr>
                    <m:t>θ</m:t>
                  </m:r>
                  <m:ctrlPr>
                    <w:rPr>
                      <w:rFonts w:ascii="Cambria Math" w:hAnsi="Times New Roman" w:cs="Times New Roman"/>
                      <w:i/>
                      <w:sz w:val="24"/>
                      <w:szCs w:val="24"/>
                    </w:rPr>
                  </m:ctrlPr>
                </m:e>
                <m:sub>
                  <m:r>
                    <m:rPr/>
                    <w:rPr>
                      <w:rFonts w:ascii="Cambria Math" w:hAnsi="Times New Roman" w:cs="Times New Roman"/>
                      <w:sz w:val="24"/>
                      <w:szCs w:val="24"/>
                    </w:rPr>
                    <m:t>2</m:t>
                  </m:r>
                  <m:ctrlPr>
                    <w:rPr>
                      <w:rFonts w:ascii="Cambria Math" w:hAnsi="Times New Roman" w:cs="Times New Roman"/>
                      <w:i/>
                      <w:sz w:val="24"/>
                      <w:szCs w:val="24"/>
                    </w:rPr>
                  </m:ctrlPr>
                </m:sub>
              </m:sSub>
              <m:sSup>
                <m:sSupPr>
                  <m:ctrlPr>
                    <w:rPr>
                      <w:rFonts w:ascii="Cambria Math" w:hAnsi="Times New Roman" w:cs="Times New Roman"/>
                      <w:i/>
                      <w:sz w:val="24"/>
                      <w:szCs w:val="24"/>
                    </w:rPr>
                  </m:ctrlPr>
                </m:sSupPr>
                <m:e>
                  <m:r>
                    <m:rPr/>
                    <w:rPr>
                      <w:rFonts w:ascii="Cambria Math" w:hAnsi="Cambria Math" w:cs="Times New Roman"/>
                      <w:sz w:val="24"/>
                      <w:szCs w:val="24"/>
                    </w:rPr>
                    <m:t>B</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r>
                <m:rPr/>
                <w:rPr>
                  <w:rFonts w:ascii="Times New Roman" w:hAnsi="Times New Roman" w:cs="Times New Roman"/>
                  <w:sz w:val="24"/>
                  <w:szCs w:val="24"/>
                </w:rPr>
                <m:t>−…</m:t>
              </m:r>
              <m:sSub>
                <m:sSubPr>
                  <m:ctrlPr>
                    <w:rPr>
                      <w:rFonts w:ascii="Cambria Math" w:hAnsi="Times New Roman" w:cs="Times New Roman"/>
                      <w:i/>
                      <w:sz w:val="24"/>
                      <w:szCs w:val="24"/>
                    </w:rPr>
                  </m:ctrlPr>
                </m:sSubPr>
                <m:e>
                  <m:r>
                    <m:rPr/>
                    <w:rPr>
                      <w:rFonts w:ascii="Cambria Math" w:hAnsi="Cambria Math" w:cs="Times New Roman"/>
                      <w:sz w:val="24"/>
                      <w:szCs w:val="24"/>
                    </w:rPr>
                    <m:t>θ</m:t>
                  </m:r>
                  <m:ctrlPr>
                    <w:rPr>
                      <w:rFonts w:ascii="Cambria Math" w:hAnsi="Times New Roman" w:cs="Times New Roman"/>
                      <w:i/>
                      <w:sz w:val="24"/>
                      <w:szCs w:val="24"/>
                    </w:rPr>
                  </m:ctrlPr>
                </m:e>
                <m:sub>
                  <m:r>
                    <m:rPr/>
                    <w:rPr>
                      <w:rFonts w:ascii="Cambria Math" w:hAnsi="Cambria Math" w:cs="Times New Roman"/>
                      <w:sz w:val="24"/>
                      <w:szCs w:val="24"/>
                    </w:rPr>
                    <m:t>q</m:t>
                  </m:r>
                  <m:ctrlPr>
                    <w:rPr>
                      <w:rFonts w:ascii="Cambria Math" w:hAnsi="Times New Roman" w:cs="Times New Roman"/>
                      <w:i/>
                      <w:sz w:val="24"/>
                      <w:szCs w:val="24"/>
                    </w:rPr>
                  </m:ctrlPr>
                </m:sub>
              </m:sSub>
              <m:sSup>
                <m:sSupPr>
                  <m:ctrlPr>
                    <w:rPr>
                      <w:rFonts w:ascii="Cambria Math" w:hAnsi="Times New Roman" w:cs="Times New Roman"/>
                      <w:i/>
                      <w:sz w:val="24"/>
                      <w:szCs w:val="24"/>
                    </w:rPr>
                  </m:ctrlPr>
                </m:sSupPr>
                <m:e>
                  <m:r>
                    <m:rPr/>
                    <w:rPr>
                      <w:rFonts w:ascii="Cambria Math" w:hAnsi="Cambria Math" w:cs="Times New Roman"/>
                      <w:sz w:val="24"/>
                      <w:szCs w:val="24"/>
                    </w:rPr>
                    <m:t>B</m:t>
                  </m:r>
                  <m:ctrlPr>
                    <w:rPr>
                      <w:rFonts w:ascii="Cambria Math" w:hAnsi="Times New Roman" w:cs="Times New Roman"/>
                      <w:i/>
                      <w:sz w:val="24"/>
                      <w:szCs w:val="24"/>
                    </w:rPr>
                  </m:ctrlPr>
                </m:e>
                <m:sup>
                  <m:r>
                    <m:rPr/>
                    <w:rPr>
                      <w:rFonts w:ascii="Cambria Math" w:hAnsi="Cambria Math" w:cs="Times New Roman"/>
                      <w:sz w:val="24"/>
                      <w:szCs w:val="24"/>
                    </w:rPr>
                    <m:t>q</m:t>
                  </m:r>
                  <m:ctrlPr>
                    <w:rPr>
                      <w:rFonts w:ascii="Cambria Math" w:hAnsi="Times New Roman" w:cs="Times New Roman"/>
                      <w:i/>
                      <w:sz w:val="24"/>
                      <w:szCs w:val="24"/>
                    </w:rPr>
                  </m:ctrlPr>
                </m:sup>
              </m:sSup>
              <m:ctrlPr>
                <w:rPr>
                  <w:rFonts w:ascii="Cambria Math" w:hAnsi="Times New Roman" w:cs="Times New Roman"/>
                  <w:i/>
                  <w:sz w:val="24"/>
                  <w:szCs w:val="24"/>
                </w:rPr>
              </m:ctrlPr>
            </m:e>
          </m:d>
        </m:oMath>
      </m:oMathPara>
    </w:p>
    <w:p w14:paraId="121A2985">
      <w:pPr>
        <w:spacing w:line="360" w:lineRule="auto"/>
        <w:jc w:val="both"/>
        <w:rPr>
          <w:rFonts w:ascii="Cambria Math" w:hAnsi="Times New Roman" w:cs="Times New Roman" w:eastAsiaTheme="minorEastAsia"/>
          <w:sz w:val="24"/>
          <w:szCs w:val="24"/>
          <w:oMath/>
        </w:rPr>
      </w:pPr>
      <w:r>
        <w:rPr>
          <w:rFonts w:ascii="Times New Roman" w:hAnsi="Times New Roman" w:cs="Times New Roman" w:eastAsiaTheme="minorEastAsia"/>
          <w:sz w:val="24"/>
          <w:szCs w:val="24"/>
        </w:rPr>
        <w:t>ARIMA models provide a flexible and powerful approach for modeling time-dependent data, allowing each variable to be described using its own lagged values and stochastic error terms (Mishra and Desai, 2005).</w:t>
      </w:r>
    </w:p>
    <w:p w14:paraId="3E2AB71D">
      <w:pPr>
        <w:spacing w:after="0" w:line="360" w:lineRule="auto"/>
        <w:rPr>
          <w:rFonts w:ascii="Times New Roman" w:hAnsi="Times New Roman" w:cs="Times New Roman"/>
          <w:sz w:val="24"/>
          <w:szCs w:val="24"/>
        </w:rPr>
      </w:pPr>
      <w:r>
        <w:rPr>
          <w:rFonts w:ascii="Times New Roman" w:hAnsi="Times New Roman" w:cs="Times New Roman"/>
          <w:b/>
          <w:sz w:val="24"/>
          <w:szCs w:val="24"/>
        </w:rPr>
        <w:t>Seasonal ARIMA models</w:t>
      </w:r>
    </w:p>
    <w:p w14:paraId="07BFAA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Many time series features the cyclic. Quite frequently such characteristics are on an annual period in hydrologic time series mainly due to earth's rotation around the sun. Such type of series are cyclically non-stationary. After removing the determinist cyclic effects from a series, the ARIMA approach may be applied to obtain a linear model for the stochastic part of the series</w:t>
      </w:r>
      <w:r>
        <w:rPr>
          <w:rFonts w:ascii="Times New Roman" w:hAnsi="Times New Roman" w:cs="Times New Roman"/>
        </w:rPr>
        <w:t xml:space="preserve"> (</w:t>
      </w:r>
      <w:r>
        <w:rPr>
          <w:rFonts w:ascii="Times New Roman" w:hAnsi="Times New Roman" w:cs="Times New Roman"/>
          <w:sz w:val="24"/>
          <w:szCs w:val="24"/>
        </w:rPr>
        <w:t xml:space="preserve">Gorantiwar </w:t>
      </w:r>
      <w:r>
        <w:rPr>
          <w:rFonts w:ascii="Times New Roman" w:hAnsi="Times New Roman" w:cs="Times New Roman"/>
          <w:i/>
          <w:sz w:val="24"/>
          <w:szCs w:val="24"/>
        </w:rPr>
        <w:t>et al</w:t>
      </w:r>
      <w:r>
        <w:rPr>
          <w:rFonts w:ascii="Times New Roman" w:hAnsi="Times New Roman" w:cs="Times New Roman"/>
          <w:sz w:val="24"/>
          <w:szCs w:val="24"/>
        </w:rPr>
        <w:t xml:space="preserve">. 2011). Box </w:t>
      </w:r>
      <w:r>
        <w:rPr>
          <w:rFonts w:ascii="Times New Roman" w:hAnsi="Times New Roman" w:cs="Times New Roman"/>
          <w:i/>
          <w:color w:val="000000" w:themeColor="text1"/>
          <w:sz w:val="24"/>
          <w:szCs w:val="24"/>
          <w14:textFill>
            <w14:solidFill>
              <w14:schemeClr w14:val="tx1"/>
            </w14:solidFill>
          </w14:textFill>
        </w:rPr>
        <w:t>et al</w:t>
      </w:r>
      <w:r>
        <w:rPr>
          <w:rFonts w:ascii="Times New Roman" w:hAnsi="Times New Roman" w:cs="Times New Roman"/>
          <w:color w:val="000000" w:themeColor="text1"/>
          <w:sz w:val="24"/>
          <w:szCs w:val="24"/>
          <w14:textFill>
            <w14:solidFill>
              <w14:schemeClr w14:val="tx1"/>
            </w14:solidFill>
          </w14:textFill>
        </w:rPr>
        <w:t xml:space="preserve">. (1994) standardized </w:t>
      </w:r>
      <w:r>
        <w:rPr>
          <w:rFonts w:ascii="Times New Roman" w:hAnsi="Times New Roman" w:cs="Times New Roman"/>
          <w:sz w:val="24"/>
          <w:szCs w:val="24"/>
        </w:rPr>
        <w:t xml:space="preserve">the ARIMA model to address seasonality, and defined a general multiplicative seasonal ARIMA model commonly referred to as SARIMA models. An inherent advantage of the SARIMA family of models is that the description of time series requires few model parameters, which exhibit non-stationarity both in season and throughout. In general, the SARIMA model described as ARIMA </w:t>
      </w:r>
      <w:r>
        <w:rPr>
          <w:rFonts w:ascii="Times New Roman" w:hAnsi="Times New Roman" w:cs="Times New Roman"/>
          <w:i/>
          <w:sz w:val="24"/>
          <w:szCs w:val="24"/>
        </w:rPr>
        <w:t>(p, d, q) (P, D, Q)s</w:t>
      </w:r>
      <w:r>
        <w:rPr>
          <w:rFonts w:ascii="Times New Roman" w:hAnsi="Times New Roman" w:cs="Times New Roman"/>
          <w:sz w:val="24"/>
          <w:szCs w:val="24"/>
        </w:rPr>
        <w:t xml:space="preserve">, where </w:t>
      </w:r>
      <w:r>
        <w:rPr>
          <w:rFonts w:ascii="Times New Roman" w:hAnsi="Times New Roman" w:cs="Times New Roman"/>
          <w:i/>
          <w:sz w:val="24"/>
          <w:szCs w:val="24"/>
        </w:rPr>
        <w:t>(p, d, q)</w:t>
      </w:r>
      <w:r>
        <w:rPr>
          <w:rFonts w:ascii="Times New Roman" w:hAnsi="Times New Roman" w:cs="Times New Roman"/>
          <w:sz w:val="24"/>
          <w:szCs w:val="24"/>
        </w:rPr>
        <w:t xml:space="preserve"> is the non-seasonal part of the model and </w:t>
      </w:r>
      <w:r>
        <w:rPr>
          <w:rFonts w:ascii="Times New Roman" w:hAnsi="Times New Roman" w:cs="Times New Roman"/>
          <w:i/>
          <w:sz w:val="24"/>
          <w:szCs w:val="24"/>
        </w:rPr>
        <w:t>(P, D, Q)s</w:t>
      </w:r>
      <w:r>
        <w:rPr>
          <w:rFonts w:ascii="Times New Roman" w:hAnsi="Times New Roman" w:cs="Times New Roman"/>
          <w:sz w:val="24"/>
          <w:szCs w:val="24"/>
        </w:rPr>
        <w:t xml:space="preserve"> is the seasonal part of the model, which is mentioned below :</w:t>
      </w:r>
    </w:p>
    <w:p w14:paraId="5F0F11AF">
      <w:pPr>
        <w:spacing w:after="0" w:line="360" w:lineRule="auto"/>
        <w:jc w:val="both"/>
        <w:rPr>
          <w:rFonts w:ascii="Times New Roman" w:hAnsi="Times New Roman" w:cs="Times New Roman"/>
          <w:sz w:val="2"/>
          <w:szCs w:val="24"/>
        </w:rPr>
      </w:pPr>
    </w:p>
    <w:p w14:paraId="602650BF">
      <w:pPr>
        <w:spacing w:after="0" w:line="360" w:lineRule="auto"/>
        <w:jc w:val="center"/>
        <w:rPr>
          <w:rFonts w:ascii="Cambria Math" w:hAnsi="Times New Roman" w:cs="Times New Roman" w:eastAsiaTheme="minorEastAsia"/>
          <w:sz w:val="24"/>
          <w:szCs w:val="24"/>
          <w:oMath/>
        </w:rPr>
      </w:pPr>
      <m:oMathPara>
        <m:oMath>
          <m:sSub>
            <m:sSubPr>
              <m:ctrlPr>
                <w:rPr>
                  <w:rFonts w:ascii="Cambria Math" w:hAnsi="Times New Roman" w:cs="Times New Roman"/>
                  <w:i/>
                  <w:sz w:val="24"/>
                  <w:szCs w:val="24"/>
                </w:rPr>
              </m:ctrlPr>
            </m:sSubPr>
            <m:e>
              <m:r>
                <m:rPr/>
                <w:rPr>
                  <w:rFonts w:ascii="Times New Roman" w:hAnsi="Cambria Math" w:cs="Times New Roman"/>
                  <w:sz w:val="24"/>
                  <w:szCs w:val="24"/>
                </w:rPr>
                <m:t>∅</m:t>
              </m:r>
              <m:ctrlPr>
                <w:rPr>
                  <w:rFonts w:ascii="Cambria Math" w:hAnsi="Times New Roman" w:cs="Times New Roman"/>
                  <w:i/>
                  <w:sz w:val="24"/>
                  <w:szCs w:val="24"/>
                </w:rPr>
              </m:ctrlPr>
            </m:e>
            <m:sub>
              <m:r>
                <m:rPr/>
                <w:rPr>
                  <w:rFonts w:ascii="Cambria Math" w:hAnsi="Cambria Math" w:cs="Times New Roman"/>
                  <w:sz w:val="24"/>
                  <w:szCs w:val="24"/>
                </w:rPr>
                <m:t>p</m:t>
              </m:r>
              <m:ctrlPr>
                <w:rPr>
                  <w:rFonts w:ascii="Cambria Math" w:hAnsi="Times New Roman" w:cs="Times New Roman"/>
                  <w:i/>
                  <w:sz w:val="24"/>
                  <w:szCs w:val="24"/>
                </w:rPr>
              </m:ctrlPr>
            </m:sub>
          </m:sSub>
          <m:d>
            <m:dPr>
              <m:ctrlPr>
                <w:rPr>
                  <w:rFonts w:ascii="Cambria Math" w:hAnsi="Times New Roman" w:cs="Times New Roman"/>
                  <w:i/>
                  <w:sz w:val="24"/>
                  <w:szCs w:val="24"/>
                </w:rPr>
              </m:ctrlPr>
            </m:dPr>
            <m:e>
              <m:r>
                <m:rPr/>
                <w:rPr>
                  <w:rFonts w:ascii="Cambria Math" w:hAnsi="Cambria Math" w:cs="Times New Roman"/>
                  <w:sz w:val="24"/>
                  <w:szCs w:val="24"/>
                </w:rPr>
                <m:t>B</m:t>
              </m:r>
              <m:ctrlPr>
                <w:rPr>
                  <w:rFonts w:ascii="Cambria Math" w:hAnsi="Times New Roman" w:cs="Times New Roman"/>
                  <w:i/>
                  <w:sz w:val="24"/>
                  <w:szCs w:val="24"/>
                </w:rPr>
              </m:ctrlPr>
            </m:e>
          </m:d>
          <m:sSub>
            <m:sSubPr>
              <m:ctrlPr>
                <w:rPr>
                  <w:rFonts w:ascii="Cambria Math" w:hAnsi="Times New Roman" w:cs="Times New Roman"/>
                  <w:i/>
                  <w:sz w:val="24"/>
                  <w:szCs w:val="24"/>
                </w:rPr>
              </m:ctrlPr>
            </m:sSubPr>
            <m:e>
              <m:r>
                <m:rPr/>
                <w:rPr>
                  <w:rFonts w:ascii="Cambria Math" w:hAnsi="Cambria Math" w:cs="Times New Roman"/>
                  <w:sz w:val="24"/>
                  <w:szCs w:val="24"/>
                </w:rPr>
                <m:t>Φ</m:t>
              </m:r>
              <m:ctrlPr>
                <w:rPr>
                  <w:rFonts w:ascii="Cambria Math" w:hAnsi="Times New Roman" w:cs="Times New Roman"/>
                  <w:i/>
                  <w:sz w:val="24"/>
                  <w:szCs w:val="24"/>
                </w:rPr>
              </m:ctrlPr>
            </m:e>
            <m:sub>
              <m:r>
                <m:rPr/>
                <w:rPr>
                  <w:rFonts w:ascii="Cambria Math" w:hAnsi="Cambria Math" w:cs="Times New Roman"/>
                  <w:sz w:val="24"/>
                  <w:szCs w:val="24"/>
                </w:rPr>
                <m:t>p</m:t>
              </m:r>
              <m:ctrlPr>
                <w:rPr>
                  <w:rFonts w:ascii="Cambria Math" w:hAnsi="Times New Roman" w:cs="Times New Roman"/>
                  <w:i/>
                  <w:sz w:val="24"/>
                  <w:szCs w:val="24"/>
                </w:rPr>
              </m:ctrlPr>
            </m:sub>
          </m:sSub>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m:rPr/>
                    <w:rPr>
                      <w:rFonts w:ascii="Cambria Math" w:hAnsi="Cambria Math" w:cs="Times New Roman"/>
                      <w:sz w:val="24"/>
                      <w:szCs w:val="24"/>
                    </w:rPr>
                    <m:t>B</m:t>
                  </m:r>
                  <m:ctrlPr>
                    <w:rPr>
                      <w:rFonts w:ascii="Cambria Math" w:hAnsi="Times New Roman" w:cs="Times New Roman"/>
                      <w:i/>
                      <w:sz w:val="24"/>
                      <w:szCs w:val="24"/>
                    </w:rPr>
                  </m:ctrlPr>
                </m:e>
                <m:sup>
                  <m:r>
                    <m:rPr/>
                    <w:rPr>
                      <w:rFonts w:ascii="Cambria Math" w:hAnsi="Cambria Math" w:cs="Times New Roman"/>
                      <w:sz w:val="24"/>
                      <w:szCs w:val="24"/>
                    </w:rPr>
                    <m:t>s</m:t>
                  </m:r>
                  <m:ctrlPr>
                    <w:rPr>
                      <w:rFonts w:ascii="Cambria Math" w:hAnsi="Times New Roman" w:cs="Times New Roman"/>
                      <w:i/>
                      <w:sz w:val="24"/>
                      <w:szCs w:val="24"/>
                    </w:rPr>
                  </m:ctrlPr>
                </m:sup>
              </m:sSup>
              <m:ctrlPr>
                <w:rPr>
                  <w:rFonts w:ascii="Cambria Math" w:hAnsi="Times New Roman" w:cs="Times New Roman"/>
                  <w:i/>
                  <w:sz w:val="24"/>
                  <w:szCs w:val="24"/>
                </w:rPr>
              </m:ctrlPr>
            </m:e>
          </m:d>
          <m:sSup>
            <m:sSupPr>
              <m:ctrlPr>
                <w:rPr>
                  <w:rFonts w:ascii="Cambria Math" w:hAnsi="Times New Roman" w:cs="Times New Roman"/>
                  <w:i/>
                  <w:sz w:val="24"/>
                  <w:szCs w:val="24"/>
                </w:rPr>
              </m:ctrlPr>
            </m:sSupPr>
            <m:e>
              <m:r>
                <m:rPr/>
                <w:rPr>
                  <w:rFonts w:ascii="Cambria Math" w:hAnsi="Cambria Math" w:cs="Times New Roman"/>
                  <w:sz w:val="24"/>
                  <w:szCs w:val="24"/>
                </w:rPr>
                <m:t>∇</m:t>
              </m:r>
              <m:ctrlPr>
                <w:rPr>
                  <w:rFonts w:ascii="Cambria Math" w:hAnsi="Times New Roman" w:cs="Times New Roman"/>
                  <w:i/>
                  <w:sz w:val="24"/>
                  <w:szCs w:val="24"/>
                </w:rPr>
              </m:ctrlPr>
            </m:e>
            <m:sup>
              <m:r>
                <m:rPr/>
                <w:rPr>
                  <w:rFonts w:ascii="Cambria Math" w:hAnsi="Cambria Math" w:cs="Times New Roman"/>
                  <w:sz w:val="24"/>
                  <w:szCs w:val="24"/>
                </w:rPr>
                <m:t>d</m:t>
              </m:r>
              <m:ctrlPr>
                <w:rPr>
                  <w:rFonts w:ascii="Cambria Math" w:hAnsi="Times New Roman" w:cs="Times New Roman"/>
                  <w:i/>
                  <w:sz w:val="24"/>
                  <w:szCs w:val="24"/>
                </w:rPr>
              </m:ctrlPr>
            </m:sup>
          </m:sSup>
          <m:sSubSup>
            <m:sSubSupPr>
              <m:ctrlPr>
                <w:rPr>
                  <w:rFonts w:ascii="Cambria Math" w:hAnsi="Times New Roman" w:cs="Times New Roman"/>
                  <w:i/>
                  <w:sz w:val="24"/>
                  <w:szCs w:val="24"/>
                </w:rPr>
              </m:ctrlPr>
            </m:sSubSupPr>
            <m:e>
              <m:r>
                <m:rPr/>
                <w:rPr>
                  <w:rFonts w:ascii="Cambria Math" w:hAnsi="Cambria Math" w:cs="Times New Roman"/>
                  <w:sz w:val="24"/>
                  <w:szCs w:val="24"/>
                </w:rPr>
                <m:t>∇</m:t>
              </m:r>
              <m:ctrlPr>
                <w:rPr>
                  <w:rFonts w:ascii="Cambria Math" w:hAnsi="Times New Roman" w:cs="Times New Roman"/>
                  <w:i/>
                  <w:sz w:val="24"/>
                  <w:szCs w:val="24"/>
                </w:rPr>
              </m:ctrlPr>
            </m:e>
            <m:sub>
              <m:r>
                <m:rPr/>
                <w:rPr>
                  <w:rFonts w:ascii="Cambria Math" w:hAnsi="Cambria Math" w:cs="Times New Roman"/>
                  <w:sz w:val="24"/>
                  <w:szCs w:val="24"/>
                </w:rPr>
                <m:t>s</m:t>
              </m:r>
              <m:ctrlPr>
                <w:rPr>
                  <w:rFonts w:ascii="Cambria Math" w:hAnsi="Times New Roman" w:cs="Times New Roman"/>
                  <w:i/>
                  <w:sz w:val="24"/>
                  <w:szCs w:val="24"/>
                </w:rPr>
              </m:ctrlPr>
            </m:sub>
            <m:sup>
              <m:r>
                <m:rPr/>
                <w:rPr>
                  <w:rFonts w:ascii="Cambria Math" w:hAnsi="Cambria Math" w:cs="Times New Roman"/>
                  <w:sz w:val="24"/>
                  <w:szCs w:val="24"/>
                </w:rPr>
                <m:t>D</m:t>
              </m:r>
              <m:ctrlPr>
                <w:rPr>
                  <w:rFonts w:ascii="Cambria Math" w:hAnsi="Times New Roman" w:cs="Times New Roman"/>
                  <w:i/>
                  <w:sz w:val="24"/>
                  <w:szCs w:val="24"/>
                </w:rPr>
              </m:ctrlPr>
            </m:sup>
          </m:sSubSup>
          <m:sSub>
            <m:sSubPr>
              <m:ctrlPr>
                <w:rPr>
                  <w:rFonts w:ascii="Cambria Math" w:hAnsi="Times New Roman" w:cs="Times New Roman"/>
                  <w:i/>
                  <w:sz w:val="24"/>
                  <w:szCs w:val="24"/>
                </w:rPr>
              </m:ctrlPr>
            </m:sSubPr>
            <m:e>
              <m:r>
                <m:rPr/>
                <w:rPr>
                  <w:rFonts w:ascii="Cambria Math" w:hAnsi="Cambria Math" w:cs="Times New Roman"/>
                  <w:sz w:val="24"/>
                  <w:szCs w:val="24"/>
                </w:rPr>
                <m:t>Z</m:t>
              </m:r>
              <m:ctrlPr>
                <w:rPr>
                  <w:rFonts w:ascii="Cambria Math" w:hAnsi="Times New Roman" w:cs="Times New Roman"/>
                  <w:i/>
                  <w:sz w:val="24"/>
                  <w:szCs w:val="24"/>
                </w:rPr>
              </m:ctrlPr>
            </m:e>
            <m:sub>
              <m:r>
                <m:rPr/>
                <w:rPr>
                  <w:rFonts w:ascii="Cambria Math" w:hAnsi="Cambria Math" w:cs="Times New Roman"/>
                  <w:sz w:val="24"/>
                  <w:szCs w:val="24"/>
                </w:rPr>
                <m:t>t</m:t>
              </m:r>
              <m:ctrlPr>
                <w:rPr>
                  <w:rFonts w:ascii="Cambria Math" w:hAnsi="Times New Roman" w:cs="Times New Roman"/>
                  <w:i/>
                  <w:sz w:val="24"/>
                  <w:szCs w:val="24"/>
                </w:rPr>
              </m:ctrlPr>
            </m:sub>
          </m:sSub>
          <m:r>
            <m:rPr/>
            <w:rPr>
              <w:rFonts w:ascii="Cambria Math" w:hAnsi="Times New Roman" w:cs="Times New Roman"/>
              <w:sz w:val="24"/>
              <w:szCs w:val="24"/>
            </w:rPr>
            <m:t xml:space="preserve">= </m:t>
          </m:r>
          <m:sSub>
            <m:sSubPr>
              <m:ctrlPr>
                <w:rPr>
                  <w:rFonts w:ascii="Cambria Math" w:hAnsi="Times New Roman" w:cs="Times New Roman"/>
                  <w:i/>
                  <w:sz w:val="24"/>
                  <w:szCs w:val="24"/>
                </w:rPr>
              </m:ctrlPr>
            </m:sSubPr>
            <m:e>
              <m:r>
                <m:rPr/>
                <w:rPr>
                  <w:rFonts w:ascii="Cambria Math" w:hAnsi="Cambria Math" w:cs="Times New Roman"/>
                  <w:sz w:val="24"/>
                  <w:szCs w:val="24"/>
                </w:rPr>
                <m:t>θ</m:t>
              </m:r>
              <m:ctrlPr>
                <w:rPr>
                  <w:rFonts w:ascii="Cambria Math" w:hAnsi="Times New Roman" w:cs="Times New Roman"/>
                  <w:i/>
                  <w:sz w:val="24"/>
                  <w:szCs w:val="24"/>
                </w:rPr>
              </m:ctrlPr>
            </m:e>
            <m:sub>
              <m:r>
                <m:rPr/>
                <w:rPr>
                  <w:rFonts w:ascii="Cambria Math" w:hAnsi="Cambria Math" w:cs="Times New Roman"/>
                  <w:sz w:val="24"/>
                  <w:szCs w:val="24"/>
                </w:rPr>
                <m:t>p</m:t>
              </m:r>
              <m:ctrlPr>
                <w:rPr>
                  <w:rFonts w:ascii="Cambria Math" w:hAnsi="Times New Roman" w:cs="Times New Roman"/>
                  <w:i/>
                  <w:sz w:val="24"/>
                  <w:szCs w:val="24"/>
                </w:rPr>
              </m:ctrlPr>
            </m:sub>
          </m:sSub>
          <m:r>
            <m:rPr/>
            <w:rPr>
              <w:rFonts w:ascii="Cambria Math" w:hAnsi="Times New Roman" w:cs="Times New Roman"/>
              <w:sz w:val="24"/>
              <w:szCs w:val="24"/>
            </w:rPr>
            <m:t>(</m:t>
          </m:r>
          <m:r>
            <m:rPr/>
            <w:rPr>
              <w:rFonts w:ascii="Cambria Math" w:hAnsi="Cambria Math" w:cs="Times New Roman"/>
              <w:sz w:val="24"/>
              <w:szCs w:val="24"/>
            </w:rPr>
            <m:t>B</m:t>
          </m:r>
          <m:r>
            <m:rPr/>
            <w:rPr>
              <w:rFonts w:ascii="Cambria Math" w:hAnsi="Times New Roman" w:cs="Times New Roman"/>
              <w:sz w:val="24"/>
              <w:szCs w:val="24"/>
            </w:rPr>
            <m:t>)</m:t>
          </m:r>
          <m:sSub>
            <m:sSubPr>
              <m:ctrlPr>
                <w:rPr>
                  <w:rFonts w:ascii="Cambria Math" w:hAnsi="Times New Roman" w:cs="Times New Roman"/>
                  <w:i/>
                  <w:sz w:val="24"/>
                  <w:szCs w:val="24"/>
                </w:rPr>
              </m:ctrlPr>
            </m:sSubPr>
            <m:e>
              <m:r>
                <m:rPr/>
                <w:rPr>
                  <w:rFonts w:ascii="Cambria Math" w:hAnsi="Cambria Math" w:cs="Times New Roman"/>
                  <w:sz w:val="24"/>
                  <w:szCs w:val="24"/>
                </w:rPr>
                <m:t>φ</m:t>
              </m:r>
              <m:ctrlPr>
                <w:rPr>
                  <w:rFonts w:ascii="Cambria Math" w:hAnsi="Times New Roman" w:cs="Times New Roman"/>
                  <w:i/>
                  <w:sz w:val="24"/>
                  <w:szCs w:val="24"/>
                </w:rPr>
              </m:ctrlPr>
            </m:e>
            <m:sub>
              <m:r>
                <m:rPr/>
                <w:rPr>
                  <w:rFonts w:ascii="Cambria Math" w:hAnsi="Cambria Math" w:cs="Times New Roman"/>
                  <w:sz w:val="24"/>
                  <w:szCs w:val="24"/>
                </w:rPr>
                <m:t>Q</m:t>
              </m:r>
              <m:ctrlPr>
                <w:rPr>
                  <w:rFonts w:ascii="Cambria Math" w:hAnsi="Times New Roman" w:cs="Times New Roman"/>
                  <w:i/>
                  <w:sz w:val="24"/>
                  <w:szCs w:val="24"/>
                </w:rPr>
              </m:ctrlPr>
            </m:sub>
          </m:sSub>
          <m:r>
            <m:rPr/>
            <w:rPr>
              <w:rFonts w:ascii="Cambria Math" w:hAnsi="Times New Roman" w:cs="Times New Roman"/>
              <w:sz w:val="24"/>
              <w:szCs w:val="24"/>
            </w:rPr>
            <m:t>(</m:t>
          </m:r>
          <m:sSup>
            <m:sSupPr>
              <m:ctrlPr>
                <w:rPr>
                  <w:rFonts w:ascii="Cambria Math" w:hAnsi="Times New Roman" w:cs="Times New Roman"/>
                  <w:i/>
                  <w:sz w:val="24"/>
                  <w:szCs w:val="24"/>
                </w:rPr>
              </m:ctrlPr>
            </m:sSupPr>
            <m:e>
              <m:r>
                <m:rPr/>
                <w:rPr>
                  <w:rFonts w:ascii="Cambria Math" w:hAnsi="Cambria Math" w:cs="Times New Roman"/>
                  <w:sz w:val="24"/>
                  <w:szCs w:val="24"/>
                </w:rPr>
                <m:t>B</m:t>
              </m:r>
              <m:ctrlPr>
                <w:rPr>
                  <w:rFonts w:ascii="Cambria Math" w:hAnsi="Times New Roman" w:cs="Times New Roman"/>
                  <w:i/>
                  <w:sz w:val="24"/>
                  <w:szCs w:val="24"/>
                </w:rPr>
              </m:ctrlPr>
            </m:e>
            <m:sup>
              <m:r>
                <m:rPr/>
                <w:rPr>
                  <w:rFonts w:ascii="Cambria Math" w:hAnsi="Cambria Math" w:cs="Times New Roman"/>
                  <w:sz w:val="24"/>
                  <w:szCs w:val="24"/>
                </w:rPr>
                <m:t>s</m:t>
              </m:r>
              <m:ctrlPr>
                <w:rPr>
                  <w:rFonts w:ascii="Cambria Math" w:hAnsi="Times New Roman" w:cs="Times New Roman"/>
                  <w:i/>
                  <w:sz w:val="24"/>
                  <w:szCs w:val="24"/>
                </w:rPr>
              </m:ctrlPr>
            </m:sup>
          </m:sSup>
          <m:r>
            <m:rPr/>
            <w:rPr>
              <w:rFonts w:ascii="Cambria Math" w:hAnsi="Times New Roman" w:cs="Times New Roman"/>
              <w:sz w:val="24"/>
              <w:szCs w:val="24"/>
            </w:rPr>
            <m:t>)</m:t>
          </m:r>
          <m:sSub>
            <m:sSubPr>
              <m:ctrlPr>
                <w:rPr>
                  <w:rFonts w:ascii="Cambria Math" w:hAnsi="Times New Roman" w:cs="Times New Roman"/>
                  <w:i/>
                  <w:sz w:val="24"/>
                  <w:szCs w:val="24"/>
                </w:rPr>
              </m:ctrlPr>
            </m:sSubPr>
            <m:e>
              <m:r>
                <m:rPr/>
                <w:rPr>
                  <w:rFonts w:ascii="Cambria Math" w:hAnsi="Cambria Math" w:cs="Times New Roman"/>
                  <w:sz w:val="24"/>
                  <w:szCs w:val="24"/>
                </w:rPr>
                <m:t>a</m:t>
              </m:r>
              <m:ctrlPr>
                <w:rPr>
                  <w:rFonts w:ascii="Cambria Math" w:hAnsi="Times New Roman" w:cs="Times New Roman"/>
                  <w:i/>
                  <w:sz w:val="24"/>
                  <w:szCs w:val="24"/>
                </w:rPr>
              </m:ctrlPr>
            </m:e>
            <m:sub>
              <m:r>
                <m:rPr/>
                <w:rPr>
                  <w:rFonts w:ascii="Cambria Math" w:hAnsi="Cambria Math" w:cs="Times New Roman"/>
                  <w:sz w:val="24"/>
                  <w:szCs w:val="24"/>
                </w:rPr>
                <m:t>t</m:t>
              </m:r>
              <m:ctrlPr>
                <w:rPr>
                  <w:rFonts w:ascii="Cambria Math" w:hAnsi="Times New Roman" w:cs="Times New Roman"/>
                  <w:i/>
                  <w:sz w:val="24"/>
                  <w:szCs w:val="24"/>
                </w:rPr>
              </m:ctrlPr>
            </m:sub>
          </m:sSub>
        </m:oMath>
      </m:oMathPara>
    </w:p>
    <w:p w14:paraId="38F497FD">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where </w:t>
      </w:r>
      <w:r>
        <w:rPr>
          <w:rFonts w:ascii="Times New Roman" w:hAnsi="Times New Roman" w:cs="Times New Roman"/>
          <w:i/>
          <w:sz w:val="24"/>
          <w:szCs w:val="24"/>
        </w:rPr>
        <w:t>p</w:t>
      </w:r>
      <w:r>
        <w:rPr>
          <w:rFonts w:ascii="Times New Roman" w:hAnsi="Times New Roman" w:cs="Times New Roman"/>
          <w:sz w:val="24"/>
          <w:szCs w:val="24"/>
        </w:rPr>
        <w:t xml:space="preserve"> is the order of non-seasonal autoregression, </w:t>
      </w:r>
      <w:r>
        <w:rPr>
          <w:rFonts w:ascii="Times New Roman" w:hAnsi="Times New Roman" w:cs="Times New Roman"/>
          <w:i/>
          <w:sz w:val="24"/>
          <w:szCs w:val="24"/>
        </w:rPr>
        <w:t>d</w:t>
      </w:r>
      <w:r>
        <w:rPr>
          <w:rFonts w:ascii="Times New Roman" w:hAnsi="Times New Roman" w:cs="Times New Roman"/>
          <w:sz w:val="24"/>
          <w:szCs w:val="24"/>
        </w:rPr>
        <w:t xml:space="preserve"> is the number of regular differencing, </w:t>
      </w:r>
      <w:r>
        <w:rPr>
          <w:rFonts w:ascii="Times New Roman" w:hAnsi="Times New Roman" w:cs="Times New Roman"/>
          <w:i/>
          <w:sz w:val="24"/>
          <w:szCs w:val="24"/>
        </w:rPr>
        <w:t>q</w:t>
      </w:r>
      <w:r>
        <w:rPr>
          <w:rFonts w:ascii="Times New Roman" w:hAnsi="Times New Roman" w:cs="Times New Roman"/>
          <w:sz w:val="24"/>
          <w:szCs w:val="24"/>
        </w:rPr>
        <w:t xml:space="preserve"> is the order of nonseasonal MA, </w:t>
      </w:r>
      <w:r>
        <w:rPr>
          <w:rFonts w:ascii="Times New Roman" w:hAnsi="Times New Roman" w:cs="Times New Roman"/>
          <w:i/>
          <w:sz w:val="24"/>
          <w:szCs w:val="24"/>
        </w:rPr>
        <w:t>P</w:t>
      </w:r>
      <w:r>
        <w:rPr>
          <w:rFonts w:ascii="Times New Roman" w:hAnsi="Times New Roman" w:cs="Times New Roman"/>
          <w:sz w:val="24"/>
          <w:szCs w:val="24"/>
        </w:rPr>
        <w:t xml:space="preserve"> is the order of seasonal autoregression, </w:t>
      </w:r>
      <w:r>
        <w:rPr>
          <w:rFonts w:ascii="Times New Roman" w:hAnsi="Times New Roman" w:cs="Times New Roman"/>
          <w:i/>
          <w:sz w:val="24"/>
          <w:szCs w:val="24"/>
        </w:rPr>
        <w:t>D</w:t>
      </w:r>
      <w:r>
        <w:rPr>
          <w:rFonts w:ascii="Times New Roman" w:hAnsi="Times New Roman" w:cs="Times New Roman"/>
          <w:sz w:val="24"/>
          <w:szCs w:val="24"/>
        </w:rPr>
        <w:t xml:space="preserve"> is the number of seasonal differencing, </w:t>
      </w:r>
      <w:r>
        <w:rPr>
          <w:rFonts w:ascii="Times New Roman" w:hAnsi="Times New Roman" w:cs="Times New Roman"/>
          <w:i/>
          <w:sz w:val="24"/>
          <w:szCs w:val="24"/>
        </w:rPr>
        <w:t>Q</w:t>
      </w:r>
      <w:r>
        <w:rPr>
          <w:rFonts w:ascii="Times New Roman" w:hAnsi="Times New Roman" w:cs="Times New Roman"/>
          <w:sz w:val="24"/>
          <w:szCs w:val="24"/>
        </w:rPr>
        <w:t xml:space="preserve"> is the order of seasonal MA, </w:t>
      </w:r>
      <w:r>
        <w:rPr>
          <w:rFonts w:ascii="Times New Roman" w:hAnsi="Times New Roman" w:cs="Times New Roman"/>
          <w:i/>
          <w:sz w:val="24"/>
          <w:szCs w:val="24"/>
        </w:rPr>
        <w:t>s</w:t>
      </w:r>
      <w:r>
        <w:rPr>
          <w:rFonts w:ascii="Times New Roman" w:hAnsi="Times New Roman" w:cs="Times New Roman"/>
          <w:sz w:val="24"/>
          <w:szCs w:val="24"/>
        </w:rPr>
        <w:t xml:space="preserve"> is the length of season, seasonal AR parameter of order P and seasonal MA parameter of order Q.</w:t>
      </w:r>
    </w:p>
    <w:p w14:paraId="1A778E44">
      <w:pPr>
        <w:pStyle w:val="12"/>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Model identification </w:t>
      </w:r>
    </w:p>
    <w:p w14:paraId="0C29E5A7">
      <w:pPr>
        <w:spacing w:after="0" w:line="36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 first step in ARIMA modeling involves identifying a suitable model structure that best represents the behavior of the time series. This was achieved by examining the patterns of the Autocorrelation Function (ACF) and Partial Autocorrelation Function (PACF), which are commonly used to determine the appropriate orders of the autoregressive (</w:t>
      </w:r>
      <w:r>
        <w:rPr>
          <w:rFonts w:ascii="Times New Roman" w:hAnsi="Times New Roman" w:eastAsia="Times New Roman" w:cs="Times New Roman"/>
          <w:i/>
          <w:iCs/>
          <w:sz w:val="24"/>
          <w:szCs w:val="24"/>
          <w:lang w:eastAsia="en-IN"/>
        </w:rPr>
        <w:t>p</w:t>
      </w:r>
      <w:r>
        <w:rPr>
          <w:rFonts w:ascii="Times New Roman" w:hAnsi="Times New Roman" w:eastAsia="Times New Roman" w:cs="Times New Roman"/>
          <w:sz w:val="24"/>
          <w:szCs w:val="24"/>
          <w:lang w:eastAsia="en-IN"/>
        </w:rPr>
        <w:t>) and moving average (</w:t>
      </w:r>
      <w:r>
        <w:rPr>
          <w:rFonts w:ascii="Times New Roman" w:hAnsi="Times New Roman" w:eastAsia="Times New Roman" w:cs="Times New Roman"/>
          <w:i/>
          <w:iCs/>
          <w:sz w:val="24"/>
          <w:szCs w:val="24"/>
          <w:lang w:eastAsia="en-IN"/>
        </w:rPr>
        <w:t>q</w:t>
      </w:r>
      <w:r>
        <w:rPr>
          <w:rFonts w:ascii="Times New Roman" w:hAnsi="Times New Roman" w:eastAsia="Times New Roman" w:cs="Times New Roman"/>
          <w:sz w:val="24"/>
          <w:szCs w:val="24"/>
          <w:lang w:eastAsia="en-IN"/>
        </w:rPr>
        <w:t>) components (Mishra and Desai, 2005; Hsin-Fu Yeh and Hsin-Li Hsu, 2019). The shapes and cut-offs in ACF and PACF plots provide diagnostic clues regarding the type and order of ARIMA models that may be appropriate for the series. Once preliminary models were proposed based on ACF and PACF analysis, the final model selection was guided by evaluating two statistical criteria: the Akaike Information Criterion (AIC) and the Bayesian Information Criterion (BIC), also referred to as the Schwarz Bayesian Criterion (SBC). These criteria help in ranking competing models, where lower values indicate a better trade-off between model fit and complexity.</w:t>
      </w:r>
    </w:p>
    <w:p w14:paraId="555C152C">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 AIC and BIC are computed using the following formulas</w:t>
      </w:r>
    </w:p>
    <w:p w14:paraId="5AB0F1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513468D1">
      <w:pPr>
        <w:tabs>
          <w:tab w:val="center" w:pos="4693"/>
          <w:tab w:val="left" w:pos="8100"/>
        </w:tabs>
        <w:spacing w:after="0"/>
        <w:ind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AIC= -2 log (L) + 2k</w:t>
      </w:r>
      <w:r>
        <w:rPr>
          <w:rFonts w:ascii="Times New Roman" w:hAnsi="Times New Roman" w:cs="Times New Roman"/>
          <w:sz w:val="24"/>
          <w:szCs w:val="24"/>
        </w:rPr>
        <w:tab/>
      </w:r>
    </w:p>
    <w:p w14:paraId="62A5F423">
      <w:pPr>
        <w:tabs>
          <w:tab w:val="center" w:pos="4693"/>
          <w:tab w:val="left" w:pos="8055"/>
        </w:tabs>
        <w:spacing w:after="0"/>
        <w:ind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SBC= -2 log (L) + k ln(n)</w:t>
      </w:r>
      <w:r>
        <w:rPr>
          <w:rFonts w:ascii="Times New Roman" w:hAnsi="Times New Roman" w:cs="Times New Roman"/>
          <w:sz w:val="24"/>
          <w:szCs w:val="24"/>
        </w:rPr>
        <w:tab/>
      </w:r>
    </w:p>
    <w:p w14:paraId="1393D73B">
      <w:pPr>
        <w:spacing w:after="0"/>
        <w:ind w:firstLine="360"/>
        <w:jc w:val="center"/>
        <w:rPr>
          <w:rFonts w:ascii="Times New Roman" w:hAnsi="Times New Roman" w:cs="Times New Roman"/>
          <w:sz w:val="24"/>
          <w:szCs w:val="24"/>
        </w:rPr>
      </w:pPr>
    </w:p>
    <w:p w14:paraId="1EAB17C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Where k is the number of estimated parameters in the model</w:t>
      </w:r>
      <w:r>
        <w:rPr>
          <w:i/>
          <w:iCs/>
        </w:rPr>
        <w:t xml:space="preserve"> </w:t>
      </w:r>
      <w:r>
        <w:rPr>
          <w:rFonts w:ascii="Times New Roman" w:hAnsi="Times New Roman" w:cs="Times New Roman"/>
          <w:i/>
          <w:iCs/>
          <w:sz w:val="24"/>
          <w:szCs w:val="24"/>
        </w:rPr>
        <w:t>L</w:t>
      </w:r>
      <w:r>
        <w:rPr>
          <w:rFonts w:ascii="Times New Roman" w:hAnsi="Times New Roman" w:cs="Times New Roman"/>
          <w:sz w:val="24"/>
          <w:szCs w:val="24"/>
        </w:rPr>
        <w:t xml:space="preserve"> is the likelihood function of the fitted ARIMA model, and </w:t>
      </w:r>
      <w:r>
        <w:rPr>
          <w:rFonts w:ascii="Times New Roman" w:hAnsi="Times New Roman" w:cs="Times New Roman"/>
          <w:i/>
          <w:iCs/>
          <w:sz w:val="24"/>
          <w:szCs w:val="24"/>
        </w:rPr>
        <w:t>n</w:t>
      </w:r>
      <w:r>
        <w:rPr>
          <w:rFonts w:ascii="Times New Roman" w:hAnsi="Times New Roman" w:cs="Times New Roman"/>
          <w:sz w:val="24"/>
          <w:szCs w:val="24"/>
        </w:rPr>
        <w:t xml:space="preserve"> is the number of observations in the time series.</w:t>
      </w:r>
    </w:p>
    <w:p w14:paraId="14E5AF72">
      <w:pPr>
        <w:pStyle w:val="1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Parameter estimation</w:t>
      </w:r>
    </w:p>
    <w:p w14:paraId="4A8862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estimation of model parameters was achieved after identification of the appropriate model as an essential step. The model estimate values for the AR and MA parts were calculated using Maximum likelihood. The AR and MA parameters were tested to make sure that they are statistically significant or not. </w:t>
      </w:r>
    </w:p>
    <w:p w14:paraId="6D39DFFD">
      <w:pPr>
        <w:pStyle w:val="12"/>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Diagnostic checking</w:t>
      </w:r>
    </w:p>
    <w:p w14:paraId="6052D7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Diagnostic checking is the final and critical step in ARIMA model development, aimed at validating the adequacy of the selected model. This involves evaluating whether the residuals behave like white noise-uncorrelated and normally distributed. In this study, the Residual Autocorrelation Function (RACF) was examined to assess the randomness of residuals. A lack of significant autocorrelation in the RACF confirmed that the residuals were consistent with white noise, indicating a well-fitted model.</w:t>
      </w:r>
    </w:p>
    <w:p w14:paraId="6515093F">
      <w:pPr>
        <w:pStyle w:val="12"/>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Drought forecasting</w:t>
      </w:r>
    </w:p>
    <w:p w14:paraId="7310AF6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PET was forecasted at 1 to 6 months lead times using the best-fit ARIMA models derived from historical data. For each lead time, predictions were evaluated by comparing the basic statistical properties of the observed and forecasted PET series to ensure consistency. For example, a 1-month lead time forecast made in January 2017 corresponds to a prediction for February 2017. Model performance was assessed using correlation coefficient (R), root mean square error (RMSE) and mean absolute error (MAE) between observed and predicted values across all lead times.</w:t>
      </w:r>
    </w:p>
    <w:p w14:paraId="62268D89">
      <w:pPr>
        <w:spacing w:line="360" w:lineRule="auto"/>
        <w:jc w:val="both"/>
        <w:rPr>
          <w:rFonts w:ascii="Times New Roman" w:hAnsi="Times New Roman" w:cs="Times New Roman"/>
          <w:b/>
          <w:color w:val="000000" w:themeColor="text1"/>
          <w:sz w:val="24"/>
          <w:szCs w:val="24"/>
          <w:shd w:val="clear" w:color="auto" w:fill="FFFFFF"/>
          <w14:textFill>
            <w14:solidFill>
              <w14:schemeClr w14:val="tx1"/>
            </w14:solidFill>
          </w14:textFill>
        </w:rPr>
      </w:pPr>
      <w:r>
        <w:rPr>
          <w:rFonts w:ascii="Times New Roman" w:hAnsi="Times New Roman" w:cs="Times New Roman"/>
          <w:b/>
          <w:color w:val="000000" w:themeColor="text1"/>
          <w:sz w:val="24"/>
          <w:szCs w:val="24"/>
          <w:shd w:val="clear" w:color="auto" w:fill="FFFFFF"/>
          <w14:textFill>
            <w14:solidFill>
              <w14:schemeClr w14:val="tx1"/>
            </w14:solidFill>
          </w14:textFill>
        </w:rPr>
        <w:t>Input Dataset and software</w:t>
      </w:r>
    </w:p>
    <w:p w14:paraId="7D9BEC8D">
      <w:pPr>
        <w:spacing w:line="360" w:lineRule="auto"/>
        <w:jc w:val="both"/>
        <w:rPr>
          <w:rFonts w:ascii="Times New Roman" w:hAnsi="Times New Roman" w:cs="Times New Roman"/>
          <w:color w:val="000000" w:themeColor="text1"/>
          <w:sz w:val="24"/>
          <w:szCs w:val="24"/>
          <w:shd w:val="clear" w:color="auto" w:fill="FFFFFF"/>
          <w:lang w:val="en-IN"/>
          <w14:textFill>
            <w14:solidFill>
              <w14:schemeClr w14:val="tx1"/>
            </w14:solidFill>
          </w14:textFill>
        </w:rPr>
      </w:pPr>
      <w:r>
        <w:rPr>
          <w:rFonts w:ascii="Times New Roman" w:hAnsi="Times New Roman" w:cs="Times New Roman"/>
          <w:color w:val="000000" w:themeColor="text1"/>
          <w:sz w:val="24"/>
          <w:szCs w:val="24"/>
          <w:shd w:val="clear" w:color="auto" w:fill="FFFFFF"/>
          <w:lang w:val="en-IN"/>
          <w14:textFill>
            <w14:solidFill>
              <w14:schemeClr w14:val="tx1"/>
            </w14:solidFill>
          </w14:textFill>
        </w:rPr>
        <w:t>The time series dataset of maximum and minimum temperatures was obtained from the NASA LARC database, covering the period 1990 to 2023. Data from 1990 to 2020 were used for model development, while the years 2021 to 2023 were reserved for model validation. PET was estimated using Microsoft Excel and SARIMA models were developed and implemented in R Studio.</w:t>
      </w:r>
    </w:p>
    <w:p w14:paraId="2732BFE0">
      <w:pPr>
        <w:pStyle w:val="12"/>
        <w:numPr>
          <w:ilvl w:val="0"/>
          <w:numId w:val="1"/>
        </w:numPr>
        <w:ind w:left="360"/>
        <w:rPr>
          <w:rFonts w:ascii="Times New Roman" w:hAnsi="Times New Roman" w:cs="Times New Roman"/>
          <w:b/>
          <w:sz w:val="24"/>
        </w:rPr>
      </w:pPr>
      <w:r>
        <w:rPr>
          <w:rFonts w:ascii="Times New Roman" w:hAnsi="Times New Roman" w:cs="Times New Roman"/>
          <w:b/>
          <w:sz w:val="24"/>
        </w:rPr>
        <w:t>RESULTS AND DISCUSSION</w:t>
      </w:r>
    </w:p>
    <w:p w14:paraId="2357822F">
      <w:pPr>
        <w:spacing w:line="360" w:lineRule="auto"/>
        <w:ind w:firstLine="360"/>
        <w:jc w:val="both"/>
        <w:rPr>
          <w:rFonts w:ascii="Times New Roman" w:hAnsi="Times New Roman" w:cs="Times New Roman"/>
          <w:sz w:val="24"/>
          <w:szCs w:val="24"/>
          <w:lang w:val="en-IN"/>
        </w:rPr>
      </w:pPr>
      <w:r>
        <w:rPr>
          <w:rFonts w:ascii="Times New Roman" w:hAnsi="Times New Roman" w:cs="Times New Roman"/>
          <w:sz w:val="24"/>
          <w:szCs w:val="24"/>
          <w:lang w:val="en-IN"/>
        </w:rPr>
        <w:t>The model development process began with prerequisite tests to assess stationarity and autocorrelation of the time series data. Autocorrelation was evaluated using the Box test and the corresponding test statistics along with p-values are presented in Table 1. The test statistics for the Box test, expressed as Chi-square values with associated p-values of 0.01, were 180.07, 179.19, 183.12, 186.6 and 179.19 for Bidar, Aurad, Bhalki, Humnabad and Basavakalyan, respectively. These significant results at the 5% significance level indicate the presence of autocorrelation in the datasets. Additionally, the ADF test was conducted to check the stationarity of the series. The test results revealed the presence of seasonality in the data, necessitating seasonal differencing to achieve stationarity. The details of the differencing applied to each dataset are summarized in Table 2.</w:t>
      </w:r>
    </w:p>
    <w:p w14:paraId="1BEE79D4">
      <w:pPr>
        <w:spacing w:after="0" w:line="360" w:lineRule="auto"/>
        <w:jc w:val="both"/>
        <w:rPr>
          <w:rFonts w:ascii="Times New Roman" w:hAnsi="Times New Roman" w:cs="Times New Roman"/>
          <w:sz w:val="24"/>
          <w:szCs w:val="24"/>
        </w:rPr>
      </w:pPr>
      <w:r>
        <w:rPr>
          <w:rFonts w:ascii="Times New Roman" w:hAnsi="Times New Roman" w:eastAsia="Times New Roman" w:cs="Times New Roman"/>
          <w:bCs/>
          <w:sz w:val="24"/>
          <w:szCs w:val="24"/>
          <w:lang w:eastAsia="en-IN"/>
        </w:rPr>
        <w:tab/>
      </w:r>
      <w:r>
        <w:rPr>
          <w:rFonts w:ascii="Times New Roman" w:hAnsi="Times New Roman" w:eastAsia="Times New Roman" w:cs="Times New Roman"/>
          <w:bCs/>
          <w:sz w:val="24"/>
          <w:szCs w:val="24"/>
          <w:lang w:eastAsia="en-IN"/>
        </w:rPr>
        <w:t xml:space="preserve">The principal step in the Box-Jenkins ARIMA model building process is the identification of an appropriate model. Different orders of autoregressive (AR) and moving average (MA) parameters, denoted by </w:t>
      </w:r>
      <w:r>
        <w:rPr>
          <w:rFonts w:ascii="Times New Roman" w:hAnsi="Times New Roman" w:eastAsia="Times New Roman" w:cs="Times New Roman"/>
          <w:bCs/>
          <w:i/>
          <w:iCs/>
          <w:sz w:val="24"/>
          <w:szCs w:val="24"/>
          <w:lang w:eastAsia="en-IN"/>
        </w:rPr>
        <w:t>p</w:t>
      </w:r>
      <w:r>
        <w:rPr>
          <w:rFonts w:ascii="Times New Roman" w:hAnsi="Times New Roman" w:eastAsia="Times New Roman" w:cs="Times New Roman"/>
          <w:bCs/>
          <w:sz w:val="24"/>
          <w:szCs w:val="24"/>
          <w:lang w:eastAsia="en-IN"/>
        </w:rPr>
        <w:t xml:space="preserve"> and </w:t>
      </w:r>
      <w:r>
        <w:rPr>
          <w:rFonts w:ascii="Times New Roman" w:hAnsi="Times New Roman" w:eastAsia="Times New Roman" w:cs="Times New Roman"/>
          <w:bCs/>
          <w:i/>
          <w:iCs/>
          <w:sz w:val="24"/>
          <w:szCs w:val="24"/>
          <w:lang w:eastAsia="en-IN"/>
        </w:rPr>
        <w:t>q</w:t>
      </w:r>
      <w:r>
        <w:rPr>
          <w:rFonts w:ascii="Times New Roman" w:hAnsi="Times New Roman" w:eastAsia="Times New Roman" w:cs="Times New Roman"/>
          <w:bCs/>
          <w:sz w:val="24"/>
          <w:szCs w:val="24"/>
          <w:lang w:eastAsia="en-IN"/>
        </w:rPr>
        <w:t>, were evaluated and the combination that yielded the highest log-likelihood along with the lowest values of Akaike Information Criterion (AIC) and Bayesian Information Criterion (BIC) was selected as the best model. The results of model development for the Bidar, Aurad, Bhalki, Humnabad and Basavakalyan stations are presented in Tables 3 and 4. The autocorrelation function (ACF) and partial autocorrelation function (PACF) plots, shown in Figures 1 and 2, revealed seasonality in the data. Accordingly, seasonal ARIMA models incorporating seasonal differencing were adopted, as detailed in Table 4. The best-fitting models for the respective stations were ARIMA (2,0,2)(2,1,0)[12] for Bidar, ARIMA (1,0,0)(2,1,0)[12] for Aurad, ARIMA (2,0,2)(2,1,0)[12] for Bhalki, ARIMA (2,0,2)(2,1,0)[12] for Humnabad and ARIMA (1,0,0)(2,1,0)[12] for Basavakalyan. These models produced maximum log-likelihood values of -1696.61, -1643.42, -1648.44, -1601.17 and -1643.42, respectively. Parameter estimates for each station are provided in Table 4. Furthermore, residuals obtained by differencing the original series with the fitted values were analyzed and found to behave as white noise, confirming the adequacy of the selected models as shown in Table 5.</w:t>
      </w:r>
    </w:p>
    <w:p w14:paraId="40E8F9D9">
      <w:pPr>
        <w:autoSpaceDE w:val="0"/>
        <w:autoSpaceDN w:val="0"/>
        <w:adjustRightInd w:val="0"/>
        <w:spacing w:after="0" w:line="360" w:lineRule="auto"/>
        <w:jc w:val="both"/>
        <w:rPr>
          <w:rFonts w:ascii="Times New Roman" w:hAnsi="Times New Roman" w:eastAsia="Times New Roman" w:cs="Times New Roman"/>
          <w:bCs/>
          <w:sz w:val="24"/>
          <w:szCs w:val="24"/>
          <w:lang w:val="en-IN" w:eastAsia="en-IN"/>
        </w:rPr>
      </w:pPr>
      <w:r>
        <w:rPr>
          <w:rFonts w:ascii="Times New Roman" w:hAnsi="Times New Roman" w:eastAsia="Times New Roman" w:cs="Times New Roman"/>
          <w:bCs/>
          <w:sz w:val="24"/>
          <w:szCs w:val="24"/>
          <w:lang w:eastAsia="en-IN"/>
        </w:rPr>
        <w:tab/>
      </w:r>
      <w:r>
        <w:rPr>
          <w:rFonts w:ascii="Times New Roman" w:hAnsi="Times New Roman" w:eastAsia="Times New Roman" w:cs="Times New Roman"/>
          <w:bCs/>
          <w:sz w:val="24"/>
          <w:szCs w:val="24"/>
          <w:lang w:val="en-IN" w:eastAsia="en-IN"/>
        </w:rPr>
        <w:t>Following the development of ARIMA models for the five taluks, forecasting was performed at multiple lead times ranging from 1 to 6 months. The results, presented in Table 6, indicate that forecasts at a 1 month lead time exhibited strong performance across all stations, with correlation coefficients of 0.90, 0.93, 0.87, 0.90, and 0.91 for Bidar, Aurad, Bhalki, Humnabad and Basavakalyan, respectively. Both the root mean square error (RMSE) and mean absolute error (MAE) were lowest at the 1 month lead and increased progressively with longer lead times, suggesting that the stochastic models are most suitable for forecasting up to a 1 month lead time. It is evident from Table 6 that forecasting errors increase substantially as lead time extends beyond one month. Therefore, seasonal ARIMA models demonstrated optimal suitability for 1 month lead forecasting of potential evapotranspiration in the Basavakalyan region.</w:t>
      </w:r>
    </w:p>
    <w:p w14:paraId="44C5C429">
      <w:pPr>
        <w:autoSpaceDE w:val="0"/>
        <w:autoSpaceDN w:val="0"/>
        <w:adjustRightInd w:val="0"/>
        <w:spacing w:after="0" w:line="360" w:lineRule="auto"/>
        <w:ind w:firstLine="720"/>
        <w:jc w:val="both"/>
        <w:rPr>
          <w:rFonts w:ascii="Times New Roman" w:hAnsi="Times New Roman" w:eastAsia="Times New Roman" w:cs="Times New Roman"/>
          <w:bCs/>
          <w:sz w:val="24"/>
          <w:szCs w:val="24"/>
          <w:lang w:val="en-IN" w:eastAsia="en-IN"/>
        </w:rPr>
      </w:pPr>
      <w:r>
        <w:rPr>
          <w:rFonts w:ascii="Times New Roman" w:hAnsi="Times New Roman" w:eastAsia="Times New Roman" w:cs="Times New Roman"/>
          <w:bCs/>
          <w:sz w:val="24"/>
          <w:szCs w:val="24"/>
          <w:lang w:val="en-IN" w:eastAsia="en-IN"/>
        </w:rPr>
        <w:t>To further validate the forecasts, basic statistical properties of the observed and predicted data at the 1-month lead time were compared using the t-test for means and F-test for standard deviations, following Haan (1977), as summarized in Table 7. The calculated t-values for means fell within the critical values (±1.71 for a two-tailed test at the 5% significance level), indicating no significant difference between the observed and predicted mean values. Similarly, the calculated F-values for standard deviations were less than the critical values at the 5% significance level, confirming that the variability of the predicted data matches that of the observed series. These results demonstrate that the forecasted data reliably preserve the fundamental statistical characteristics of the observed potential evapotranspiration series.</w:t>
      </w:r>
    </w:p>
    <w:p w14:paraId="26C48A1E">
      <w:pPr>
        <w:autoSpaceDE w:val="0"/>
        <w:autoSpaceDN w:val="0"/>
        <w:adjustRightInd w:val="0"/>
        <w:spacing w:after="0" w:line="360" w:lineRule="auto"/>
        <w:jc w:val="both"/>
        <w:rPr>
          <w:rFonts w:ascii="Times New Roman" w:hAnsi="Times New Roman" w:cs="Times New Roman"/>
          <w:sz w:val="24"/>
          <w:szCs w:val="24"/>
          <w:lang w:val="en-IN"/>
        </w:rPr>
      </w:pPr>
    </w:p>
    <w:p w14:paraId="5CF35B0B">
      <w:pPr>
        <w:rPr>
          <w:rFonts w:ascii="Times New Roman" w:hAnsi="Times New Roman" w:cs="Times New Roman"/>
          <w:b/>
          <w:bCs/>
          <w:sz w:val="24"/>
          <w:szCs w:val="24"/>
        </w:rPr>
      </w:pPr>
      <w:r>
        <w:rPr>
          <w:rFonts w:ascii="Times New Roman" w:hAnsi="Times New Roman" w:cs="Times New Roman"/>
          <w:b/>
          <w:bCs/>
          <w:sz w:val="24"/>
          <w:szCs w:val="24"/>
        </w:rPr>
        <w:t>CONCLUSION</w:t>
      </w:r>
    </w:p>
    <w:p w14:paraId="0ABBF3C9">
      <w:pPr>
        <w:spacing w:line="360" w:lineRule="auto"/>
        <w:jc w:val="both"/>
        <w:rPr>
          <w:lang w:val="en-IN"/>
        </w:rPr>
      </w:pPr>
      <w:r>
        <w:rPr>
          <w:rFonts w:ascii="Times New Roman" w:hAnsi="Times New Roman" w:cs="Times New Roman"/>
          <w:sz w:val="24"/>
          <w:szCs w:val="24"/>
        </w:rPr>
        <w:tab/>
      </w:r>
      <w:r>
        <w:rPr>
          <w:rFonts w:ascii="Times New Roman" w:hAnsi="Times New Roman" w:cs="Times New Roman"/>
          <w:sz w:val="24"/>
          <w:szCs w:val="24"/>
          <w:lang w:val="en-IN"/>
        </w:rPr>
        <w:t xml:space="preserve">The present study successfully </w:t>
      </w:r>
      <w:commentRangeStart w:id="2"/>
      <w:r>
        <w:rPr>
          <w:rFonts w:ascii="Times New Roman" w:hAnsi="Times New Roman" w:cs="Times New Roman"/>
          <w:sz w:val="24"/>
          <w:szCs w:val="24"/>
          <w:lang w:val="en-IN"/>
        </w:rPr>
        <w:t>developed</w:t>
      </w:r>
      <w:commentRangeEnd w:id="2"/>
      <w:r>
        <w:commentReference w:id="2"/>
      </w:r>
      <w:r>
        <w:rPr>
          <w:rFonts w:ascii="Times New Roman" w:hAnsi="Times New Roman" w:cs="Times New Roman"/>
          <w:sz w:val="24"/>
          <w:szCs w:val="24"/>
          <w:lang w:val="en-IN"/>
        </w:rPr>
        <w:t xml:space="preserve"> Seasonal ARIMA models for forecasting potential evapotranspiration (PET) across five taluks-Bidar, Aurad, Bhalki, Humnabad and Basavakalyan using historical temperature data from 1990 to 2023. Preliminary statistical tests confirmed the presence of autocorrelation and seasonality in the data, necessitating seasonal differencing to achieve stationarity. The best-fit SARIMA models were identified for each location using model selection criteria such as log-likelihood, AIC, and BIC and validated through residual diagnostics that confirmed the residuals approximated white noise. The forecasting performance was evaluated across lead times from 1 to 6 months. Among these, 1-month lead time predictions demonstrated the highest accuracy, with strong correlation coefficients (</w:t>
      </w:r>
      <w:r>
        <w:commentReference w:id="3"/>
      </w:r>
      <w:r>
        <w:rPr>
          <w:rFonts w:ascii="Times New Roman" w:hAnsi="Times New Roman" w:cs="Times New Roman"/>
          <w:sz w:val="24"/>
          <w:szCs w:val="24"/>
          <w:lang w:val="en-IN"/>
        </w:rPr>
        <w:t>R ranging from 0.87 to 0.93) and</w:t>
      </w:r>
      <w:commentRangeStart w:id="4"/>
      <w:r>
        <w:rPr>
          <w:rFonts w:ascii="Times New Roman" w:hAnsi="Times New Roman" w:cs="Times New Roman"/>
          <w:sz w:val="24"/>
          <w:szCs w:val="24"/>
          <w:lang w:val="en-IN"/>
        </w:rPr>
        <w:t xml:space="preserve"> lower error metrics (RMSE and MAE)</w:t>
      </w:r>
      <w:commentRangeEnd w:id="4"/>
      <w:r>
        <w:commentReference w:id="4"/>
      </w:r>
      <w:r>
        <w:rPr>
          <w:rFonts w:ascii="Times New Roman" w:hAnsi="Times New Roman" w:cs="Times New Roman"/>
          <w:sz w:val="24"/>
          <w:szCs w:val="24"/>
          <w:lang w:val="en-IN"/>
        </w:rPr>
        <w:t>, making these models highly reliable for short-term forecasting. Error values increased with longer lead times, indicating reduced model performance beyond the 1-month horizon. Statistical validation using t-tests and F-tests confirmed that the forecasted PET series maintained the core statistical properties of the observed data, with no significant differences in mean or variance at the 5% significance level. These findings underscore the robustness and reliability of SARIMA models in accurately forecasting short-term PET, providing a valuable tool for water resource planning, agricultural scheduling and climate-resilient decision-making in the region.</w:t>
      </w:r>
    </w:p>
    <w:p w14:paraId="7180C3AB">
      <w:pPr>
        <w:jc w:val="center"/>
        <w:rPr>
          <w:rFonts w:ascii="Times New Roman" w:hAnsi="Times New Roman" w:cs="Times New Roman"/>
          <w:sz w:val="24"/>
          <w:szCs w:val="24"/>
        </w:rPr>
      </w:pPr>
      <w:commentRangeStart w:id="5"/>
      <w:r>
        <w:rPr>
          <w:rFonts w:ascii="Times New Roman" w:hAnsi="Times New Roman" w:cs="Times New Roman"/>
          <w:b/>
          <w:bCs/>
          <w:sz w:val="24"/>
          <w:szCs w:val="24"/>
        </w:rPr>
        <w:t>REFERENCES</w:t>
      </w:r>
      <w:commentRangeEnd w:id="5"/>
      <w:r>
        <w:commentReference w:id="5"/>
      </w:r>
    </w:p>
    <w:p w14:paraId="6C637E28">
      <w:pPr>
        <w:spacing w:before="240"/>
        <w:ind w:left="567" w:hanging="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Aruna, K. T., Satish Kumar, U., Ayyanagowdar, M. S., Srinivasa Reddy, G. V., and Shanwad, U. K. (2017). Estimation of crop coefficient (Kc) values for groundnut crop with evaluated crop evapotranspiration at different moisture deficit levels under agro climatic condition of Raichur, Karnataka. </w:t>
      </w:r>
      <w:r>
        <w:rPr>
          <w:rFonts w:ascii="Times New Roman" w:hAnsi="Times New Roman" w:cs="Times New Roman"/>
          <w:i/>
          <w:iCs/>
          <w:color w:val="000000" w:themeColor="text1"/>
          <w:sz w:val="24"/>
          <w:szCs w:val="24"/>
          <w14:textFill>
            <w14:solidFill>
              <w14:schemeClr w14:val="tx1"/>
            </w14:solidFill>
          </w14:textFill>
        </w:rPr>
        <w:t>Green Farming</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i/>
          <w:iCs/>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(5), 1161-1164.</w:t>
      </w:r>
    </w:p>
    <w:p w14:paraId="3FEBB2FA">
      <w:pPr>
        <w:spacing w:before="240"/>
        <w:ind w:left="567" w:hanging="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Asadi, A., Vahdat, S. F., and Sarraf, A. (2014). The forecasting of potential evapotranspiration using time series analysis in humid and semi humid regions. </w:t>
      </w:r>
      <w:r>
        <w:rPr>
          <w:rFonts w:ascii="Times New Roman" w:hAnsi="Times New Roman" w:cs="Times New Roman"/>
          <w:i/>
          <w:iCs/>
          <w:color w:val="000000" w:themeColor="text1"/>
          <w:sz w:val="24"/>
          <w:szCs w:val="24"/>
          <w14:textFill>
            <w14:solidFill>
              <w14:schemeClr w14:val="tx1"/>
            </w14:solidFill>
          </w14:textFill>
        </w:rPr>
        <w:t>American Journal of Engineering Research</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i/>
          <w:iCs/>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(12), 296-302.</w:t>
      </w:r>
    </w:p>
    <w:p w14:paraId="503DF0C5">
      <w:pPr>
        <w:autoSpaceDE w:val="0"/>
        <w:autoSpaceDN w:val="0"/>
        <w:adjustRightInd w:val="0"/>
        <w:spacing w:before="240" w:after="0"/>
        <w:ind w:left="567" w:hanging="567"/>
        <w:jc w:val="both"/>
        <w:rPr>
          <w:rFonts w:ascii="Times New Roman" w:hAnsi="Times New Roman" w:cs="Times New Roman"/>
          <w:bCs/>
          <w:sz w:val="24"/>
          <w:szCs w:val="24"/>
        </w:rPr>
      </w:pPr>
      <w:r>
        <w:rPr>
          <w:rFonts w:ascii="Times New Roman" w:hAnsi="Times New Roman" w:cs="Times New Roman"/>
          <w:bCs/>
          <w:sz w:val="24"/>
          <w:szCs w:val="24"/>
        </w:rPr>
        <w:t>Box, G. E. P. and Jenkins, G. M., 1976, “Time series analysis forecasting and control”, Holden-Day, San Francisco.</w:t>
      </w:r>
    </w:p>
    <w:p w14:paraId="734A8822">
      <w:pPr>
        <w:autoSpaceDE w:val="0"/>
        <w:autoSpaceDN w:val="0"/>
        <w:adjustRightInd w:val="0"/>
        <w:spacing w:before="240" w:after="0"/>
        <w:ind w:left="567" w:hanging="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Box, G. E. P. Jenkins, G. M. and Reinsel, G. C., 1994, “Time Series Analysis, Forecasting and Control”, (3</w:t>
      </w:r>
      <w:r>
        <w:rPr>
          <w:rFonts w:ascii="Times New Roman" w:hAnsi="Times New Roman" w:cs="Times New Roman"/>
          <w:color w:val="000000" w:themeColor="text1"/>
          <w:sz w:val="24"/>
          <w:szCs w:val="24"/>
          <w:vertAlign w:val="superscript"/>
          <w14:textFill>
            <w14:solidFill>
              <w14:schemeClr w14:val="tx1"/>
            </w14:solidFill>
          </w14:textFill>
        </w:rPr>
        <w:t>rd</w:t>
      </w:r>
      <w:r>
        <w:rPr>
          <w:rFonts w:ascii="Times New Roman" w:hAnsi="Times New Roman" w:cs="Times New Roman"/>
          <w:color w:val="000000" w:themeColor="text1"/>
          <w:sz w:val="24"/>
          <w:szCs w:val="24"/>
          <w14:textFill>
            <w14:solidFill>
              <w14:schemeClr w14:val="tx1"/>
            </w14:solidFill>
          </w14:textFill>
        </w:rPr>
        <w:t xml:space="preserve"> Edition), Englewood Cliffs, N.J. Prentice Hall.</w:t>
      </w:r>
    </w:p>
    <w:p w14:paraId="2528CE36">
      <w:pPr>
        <w:autoSpaceDE w:val="0"/>
        <w:autoSpaceDN w:val="0"/>
        <w:adjustRightInd w:val="0"/>
        <w:spacing w:before="240" w:after="0"/>
        <w:ind w:left="567" w:hanging="567"/>
        <w:jc w:val="both"/>
        <w:rPr>
          <w:rFonts w:ascii="Times New Roman" w:hAnsi="Times New Roman" w:cs="Times New Roman"/>
          <w:color w:val="000000" w:themeColor="text1"/>
          <w:sz w:val="24"/>
          <w:szCs w:val="24"/>
          <w:lang w:val="en-IN"/>
          <w14:textFill>
            <w14:solidFill>
              <w14:schemeClr w14:val="tx1"/>
            </w14:solidFill>
          </w14:textFill>
        </w:rPr>
      </w:pPr>
      <w:r>
        <w:rPr>
          <w:rFonts w:ascii="Times New Roman" w:hAnsi="Times New Roman" w:cs="Times New Roman"/>
          <w:color w:val="000000" w:themeColor="text1"/>
          <w:sz w:val="24"/>
          <w:szCs w:val="24"/>
          <w:lang w:val="en-IN"/>
          <w14:textFill>
            <w14:solidFill>
              <w14:schemeClr w14:val="tx1"/>
            </w14:solidFill>
          </w14:textFill>
        </w:rPr>
        <w:t xml:space="preserve">Dutta, B., Smith, W. N., Grant, B. B., Pattey, E., Desjardins, R. L. and Li, C., 2016, “Model development in DNDC for the prediction of evapotranspiration and water use in temperate field cropping systems”. </w:t>
      </w:r>
      <w:r>
        <w:rPr>
          <w:rFonts w:ascii="Times New Roman" w:hAnsi="Times New Roman" w:cs="Times New Roman"/>
          <w:i/>
          <w:iCs/>
          <w:color w:val="000000" w:themeColor="text1"/>
          <w:sz w:val="24"/>
          <w:szCs w:val="24"/>
          <w:lang w:val="en-IN"/>
          <w14:textFill>
            <w14:solidFill>
              <w14:schemeClr w14:val="tx1"/>
            </w14:solidFill>
          </w14:textFill>
        </w:rPr>
        <w:t>Environmental Modelling &amp; Software</w:t>
      </w:r>
      <w:r>
        <w:rPr>
          <w:rFonts w:ascii="Times New Roman" w:hAnsi="Times New Roman" w:cs="Times New Roman"/>
          <w:color w:val="000000" w:themeColor="text1"/>
          <w:sz w:val="24"/>
          <w:szCs w:val="24"/>
          <w:lang w:val="en-IN"/>
          <w14:textFill>
            <w14:solidFill>
              <w14:schemeClr w14:val="tx1"/>
            </w14:solidFill>
          </w14:textFill>
        </w:rPr>
        <w:t xml:space="preserve">, </w:t>
      </w:r>
      <w:r>
        <w:rPr>
          <w:rFonts w:ascii="Times New Roman" w:hAnsi="Times New Roman" w:cs="Times New Roman"/>
          <w:b/>
          <w:bCs/>
          <w:color w:val="000000" w:themeColor="text1"/>
          <w:sz w:val="24"/>
          <w:szCs w:val="24"/>
          <w:lang w:val="en-IN"/>
          <w14:textFill>
            <w14:solidFill>
              <w14:schemeClr w14:val="tx1"/>
            </w14:solidFill>
          </w14:textFill>
        </w:rPr>
        <w:t xml:space="preserve">80, </w:t>
      </w:r>
      <w:r>
        <w:rPr>
          <w:rFonts w:ascii="Times New Roman" w:hAnsi="Times New Roman" w:cs="Times New Roman"/>
          <w:color w:val="000000" w:themeColor="text1"/>
          <w:sz w:val="24"/>
          <w:szCs w:val="24"/>
          <w:lang w:val="en-IN"/>
          <w14:textFill>
            <w14:solidFill>
              <w14:schemeClr w14:val="tx1"/>
            </w14:solidFill>
          </w14:textFill>
        </w:rPr>
        <w:t>1, 9-25.</w:t>
      </w:r>
    </w:p>
    <w:p w14:paraId="297BC4D6">
      <w:pPr>
        <w:autoSpaceDE w:val="0"/>
        <w:autoSpaceDN w:val="0"/>
        <w:adjustRightInd w:val="0"/>
        <w:spacing w:before="240" w:after="0"/>
        <w:ind w:left="567" w:hanging="567"/>
        <w:jc w:val="both"/>
        <w:rPr>
          <w:rFonts w:ascii="Times New Roman" w:hAnsi="Times New Roman" w:cs="Times New Roman"/>
          <w:sz w:val="24"/>
          <w:szCs w:val="24"/>
        </w:rPr>
      </w:pPr>
      <w:r>
        <w:rPr>
          <w:rFonts w:ascii="Times New Roman" w:hAnsi="Times New Roman" w:cs="Times New Roman"/>
          <w:sz w:val="24"/>
          <w:szCs w:val="24"/>
        </w:rPr>
        <w:t>Gorantiwar, S. D., Meshram, D. T., &amp; Mittal, H. K. (2011). Seasonal ARIMA model for generation and forecasting evapotranspirtion of Solapur district of Maharashtra. </w:t>
      </w:r>
      <w:r>
        <w:rPr>
          <w:rFonts w:ascii="Times New Roman" w:hAnsi="Times New Roman" w:cs="Times New Roman"/>
          <w:i/>
          <w:iCs/>
          <w:sz w:val="24"/>
          <w:szCs w:val="24"/>
        </w:rPr>
        <w:t>Journal of Agrometeorology</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(2), 119-122.</w:t>
      </w:r>
    </w:p>
    <w:p w14:paraId="0C3B09B5">
      <w:pPr>
        <w:autoSpaceDE w:val="0"/>
        <w:autoSpaceDN w:val="0"/>
        <w:adjustRightInd w:val="0"/>
        <w:spacing w:before="240" w:after="0"/>
        <w:ind w:left="567" w:hanging="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Gorlapalli, A., Kallakuri, S., Sreekanth, P. D., Patil, R., Bandumula, N., Ondrasek, G., and Rathod, S. (2022). Characterization and prediction of water stress using time series and artificial intelligence models. </w:t>
      </w:r>
      <w:r>
        <w:rPr>
          <w:rFonts w:ascii="Times New Roman" w:hAnsi="Times New Roman" w:cs="Times New Roman"/>
          <w:i/>
          <w:iCs/>
          <w:color w:val="000000" w:themeColor="text1"/>
          <w:sz w:val="24"/>
          <w:szCs w:val="24"/>
          <w14:textFill>
            <w14:solidFill>
              <w14:schemeClr w14:val="tx1"/>
            </w14:solidFill>
          </w14:textFill>
        </w:rPr>
        <w:t>Sustainability</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i/>
          <w:iCs/>
          <w:color w:val="000000" w:themeColor="text1"/>
          <w:sz w:val="24"/>
          <w:szCs w:val="24"/>
          <w14:textFill>
            <w14:solidFill>
              <w14:schemeClr w14:val="tx1"/>
            </w14:solidFill>
          </w14:textFill>
        </w:rPr>
        <w:t>14</w:t>
      </w:r>
      <w:r>
        <w:rPr>
          <w:rFonts w:ascii="Times New Roman" w:hAnsi="Times New Roman" w:cs="Times New Roman"/>
          <w:color w:val="000000" w:themeColor="text1"/>
          <w:sz w:val="24"/>
          <w:szCs w:val="24"/>
          <w14:textFill>
            <w14:solidFill>
              <w14:schemeClr w14:val="tx1"/>
            </w14:solidFill>
          </w14:textFill>
        </w:rPr>
        <w:t>(11), 6690.</w:t>
      </w:r>
    </w:p>
    <w:p w14:paraId="4FF00E90">
      <w:pPr>
        <w:autoSpaceDE w:val="0"/>
        <w:autoSpaceDN w:val="0"/>
        <w:adjustRightInd w:val="0"/>
        <w:spacing w:before="240" w:after="0"/>
        <w:ind w:left="567" w:hanging="567"/>
        <w:jc w:val="both"/>
        <w:rPr>
          <w:rFonts w:ascii="Times New Roman" w:hAnsi="Times New Roman" w:cs="Times New Roman"/>
          <w:sz w:val="24"/>
          <w:szCs w:val="24"/>
        </w:rPr>
      </w:pPr>
      <w:r>
        <w:rPr>
          <w:rFonts w:ascii="Times New Roman" w:hAnsi="Times New Roman" w:cs="Times New Roman"/>
          <w:sz w:val="24"/>
          <w:szCs w:val="24"/>
        </w:rPr>
        <w:t>Hamdi, M. R., Bdour, A. N., and Tarawneh, Z. S. (2008). Developing reference crop evapotranspiration time series simulation model using Class a Pan: a case study for the Jordan Valley/Jordan. </w:t>
      </w:r>
      <w:r>
        <w:rPr>
          <w:rFonts w:ascii="Times New Roman" w:hAnsi="Times New Roman" w:cs="Times New Roman"/>
          <w:i/>
          <w:iCs/>
          <w:sz w:val="24"/>
          <w:szCs w:val="24"/>
        </w:rPr>
        <w:t>Jordan J. Earth Environ. Sci</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(1), 33-44.</w:t>
      </w:r>
    </w:p>
    <w:p w14:paraId="5DE105CA">
      <w:pPr>
        <w:autoSpaceDE w:val="0"/>
        <w:autoSpaceDN w:val="0"/>
        <w:adjustRightInd w:val="0"/>
        <w:spacing w:before="240" w:after="0"/>
        <w:ind w:left="567" w:hanging="567"/>
        <w:jc w:val="both"/>
        <w:rPr>
          <w:rFonts w:ascii="Times New Roman" w:hAnsi="Times New Roman" w:cs="Times New Roman"/>
          <w:sz w:val="24"/>
          <w:szCs w:val="24"/>
          <w:lang w:val="en-IN"/>
        </w:rPr>
      </w:pPr>
      <w:r>
        <w:rPr>
          <w:rFonts w:ascii="Times New Roman" w:hAnsi="Times New Roman" w:cs="Times New Roman"/>
          <w:sz w:val="24"/>
          <w:szCs w:val="24"/>
          <w:lang w:val="en-IN"/>
        </w:rPr>
        <w:t>Haan, C. T., 1977, “Statistical methods in hydrology”, Iowa State Press, Iowa.</w:t>
      </w:r>
    </w:p>
    <w:p w14:paraId="476B91CA">
      <w:pPr>
        <w:autoSpaceDE w:val="0"/>
        <w:autoSpaceDN w:val="0"/>
        <w:adjustRightInd w:val="0"/>
        <w:spacing w:before="240" w:after="0"/>
        <w:ind w:left="567" w:hanging="567"/>
        <w:jc w:val="both"/>
        <w:rPr>
          <w:rFonts w:ascii="Times New Roman" w:hAnsi="Times New Roman" w:cs="Times New Roman"/>
          <w:sz w:val="24"/>
          <w:szCs w:val="24"/>
        </w:rPr>
      </w:pPr>
      <w:r>
        <w:rPr>
          <w:rFonts w:ascii="Times New Roman" w:hAnsi="Times New Roman" w:cs="Times New Roman"/>
          <w:sz w:val="24"/>
          <w:szCs w:val="24"/>
        </w:rPr>
        <w:t>Mishra, A. K., &amp; Desai, V. R. (2005). Drought forecasting using stochastic models. </w:t>
      </w:r>
      <w:r>
        <w:rPr>
          <w:rFonts w:ascii="Times New Roman" w:hAnsi="Times New Roman" w:cs="Times New Roman"/>
          <w:i/>
          <w:iCs/>
          <w:sz w:val="24"/>
          <w:szCs w:val="24"/>
        </w:rPr>
        <w:t>Stochastic environmental research and risk assessment</w:t>
      </w:r>
      <w:r>
        <w:rPr>
          <w:rFonts w:ascii="Times New Roman" w:hAnsi="Times New Roman" w:cs="Times New Roman"/>
          <w:sz w:val="24"/>
          <w:szCs w:val="24"/>
        </w:rPr>
        <w:t>, </w:t>
      </w:r>
      <w:r>
        <w:rPr>
          <w:rFonts w:ascii="Times New Roman" w:hAnsi="Times New Roman" w:cs="Times New Roman"/>
          <w:i/>
          <w:iCs/>
          <w:sz w:val="24"/>
          <w:szCs w:val="24"/>
        </w:rPr>
        <w:t>19</w:t>
      </w:r>
      <w:r>
        <w:rPr>
          <w:rFonts w:ascii="Times New Roman" w:hAnsi="Times New Roman" w:cs="Times New Roman"/>
          <w:sz w:val="24"/>
          <w:szCs w:val="24"/>
        </w:rPr>
        <w:t>, 326-339.</w:t>
      </w:r>
    </w:p>
    <w:p w14:paraId="0BF86299">
      <w:pPr>
        <w:autoSpaceDE w:val="0"/>
        <w:autoSpaceDN w:val="0"/>
        <w:adjustRightInd w:val="0"/>
        <w:spacing w:before="240" w:after="0"/>
        <w:ind w:left="567" w:hanging="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Patil, R., Nagaraj, D. M., Polisgowdar, B. S., and Rathod, S. (2022). Forecasting potential evapotranspiration for Raichur district using seasonal ARIMA model. </w:t>
      </w:r>
      <w:r>
        <w:rPr>
          <w:rFonts w:ascii="Times New Roman" w:hAnsi="Times New Roman" w:cs="Times New Roman"/>
          <w:i/>
          <w:iCs/>
          <w:color w:val="000000" w:themeColor="text1"/>
          <w:sz w:val="24"/>
          <w:szCs w:val="24"/>
          <w14:textFill>
            <w14:solidFill>
              <w14:schemeClr w14:val="tx1"/>
            </w14:solidFill>
          </w14:textFill>
        </w:rPr>
        <w:t>Mausam</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i/>
          <w:iCs/>
          <w:color w:val="000000" w:themeColor="text1"/>
          <w:sz w:val="24"/>
          <w:szCs w:val="24"/>
          <w14:textFill>
            <w14:solidFill>
              <w14:schemeClr w14:val="tx1"/>
            </w14:solidFill>
          </w14:textFill>
        </w:rPr>
        <w:t>73</w:t>
      </w:r>
      <w:r>
        <w:rPr>
          <w:rFonts w:ascii="Times New Roman" w:hAnsi="Times New Roman" w:cs="Times New Roman"/>
          <w:color w:val="000000" w:themeColor="text1"/>
          <w:sz w:val="24"/>
          <w:szCs w:val="24"/>
          <w14:textFill>
            <w14:solidFill>
              <w14:schemeClr w14:val="tx1"/>
            </w14:solidFill>
          </w14:textFill>
        </w:rPr>
        <w:t>(2), 433-440.</w:t>
      </w:r>
    </w:p>
    <w:p w14:paraId="52EB4D44">
      <w:pPr>
        <w:autoSpaceDE w:val="0"/>
        <w:autoSpaceDN w:val="0"/>
        <w:adjustRightInd w:val="0"/>
        <w:spacing w:before="240" w:after="0"/>
        <w:ind w:left="567" w:hanging="567"/>
        <w:jc w:val="both"/>
        <w:rPr>
          <w:rFonts w:ascii="Times New Roman" w:hAnsi="Times New Roman" w:cs="Times New Roman"/>
          <w:sz w:val="24"/>
          <w:szCs w:val="24"/>
        </w:rPr>
      </w:pPr>
      <w:r>
        <w:rPr>
          <w:rFonts w:ascii="Times New Roman" w:hAnsi="Times New Roman" w:cs="Times New Roman"/>
          <w:sz w:val="24"/>
          <w:szCs w:val="24"/>
        </w:rPr>
        <w:t>Patil, R., Nagaraj, D.M., Polisgowdar, B.S. and Rathod, S., 2022. Forecasting potential evapotranspiration for Raichur district using seasonal ARIMA model. </w:t>
      </w:r>
      <w:r>
        <w:rPr>
          <w:rFonts w:ascii="Times New Roman" w:hAnsi="Times New Roman" w:cs="Times New Roman"/>
          <w:i/>
          <w:iCs/>
          <w:sz w:val="24"/>
          <w:szCs w:val="24"/>
        </w:rPr>
        <w:t>Mausam</w:t>
      </w:r>
      <w:r>
        <w:rPr>
          <w:rFonts w:ascii="Times New Roman" w:hAnsi="Times New Roman" w:cs="Times New Roman"/>
          <w:sz w:val="24"/>
          <w:szCs w:val="24"/>
        </w:rPr>
        <w:t>, </w:t>
      </w:r>
      <w:r>
        <w:rPr>
          <w:rFonts w:ascii="Times New Roman" w:hAnsi="Times New Roman" w:cs="Times New Roman"/>
          <w:i/>
          <w:iCs/>
          <w:sz w:val="24"/>
          <w:szCs w:val="24"/>
        </w:rPr>
        <w:t>73</w:t>
      </w:r>
      <w:r>
        <w:rPr>
          <w:rFonts w:ascii="Times New Roman" w:hAnsi="Times New Roman" w:cs="Times New Roman"/>
          <w:sz w:val="24"/>
          <w:szCs w:val="24"/>
        </w:rPr>
        <w:t>(2), 433-440.</w:t>
      </w:r>
    </w:p>
    <w:p w14:paraId="280000B2">
      <w:pPr>
        <w:autoSpaceDE w:val="0"/>
        <w:autoSpaceDN w:val="0"/>
        <w:adjustRightInd w:val="0"/>
        <w:spacing w:before="240" w:after="0"/>
        <w:ind w:left="567" w:hanging="567"/>
        <w:jc w:val="both"/>
        <w:rPr>
          <w:rFonts w:ascii="Times New Roman" w:hAnsi="Times New Roman" w:cs="Times New Roman"/>
          <w:color w:val="000000" w:themeColor="text1"/>
          <w:sz w:val="24"/>
          <w:szCs w:val="24"/>
          <w:lang w:val="en-I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Popale, P. G., &amp; Gorantiwar, S. D. (2014). Stochastic generation and forecasting of weekly rainfall for Rahuri Region. </w:t>
      </w:r>
      <w:r>
        <w:rPr>
          <w:rFonts w:ascii="Times New Roman" w:hAnsi="Times New Roman" w:cs="Times New Roman"/>
          <w:i/>
          <w:iCs/>
          <w:color w:val="000000" w:themeColor="text1"/>
          <w:sz w:val="24"/>
          <w:szCs w:val="24"/>
          <w14:textFill>
            <w14:solidFill>
              <w14:schemeClr w14:val="tx1"/>
            </w14:solidFill>
          </w14:textFill>
        </w:rPr>
        <w:t>International Journal of Innovative Research in Science, Engineering and Technology</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i/>
          <w:iCs/>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(4), 185-196.</w:t>
      </w:r>
    </w:p>
    <w:p w14:paraId="3DB63C2A">
      <w:pPr>
        <w:autoSpaceDE w:val="0"/>
        <w:autoSpaceDN w:val="0"/>
        <w:adjustRightInd w:val="0"/>
        <w:spacing w:before="240" w:after="0"/>
        <w:ind w:left="567" w:hanging="567"/>
        <w:jc w:val="both"/>
        <w:rPr>
          <w:rFonts w:ascii="Times New Roman" w:hAnsi="Times New Roman" w:cs="Times New Roman"/>
          <w:sz w:val="24"/>
          <w:szCs w:val="24"/>
        </w:rPr>
      </w:pPr>
      <w:r>
        <w:rPr>
          <w:rFonts w:ascii="Times New Roman" w:hAnsi="Times New Roman" w:cs="Times New Roman"/>
          <w:sz w:val="24"/>
          <w:szCs w:val="24"/>
        </w:rPr>
        <w:t>Salas, J. D. Delleure, J. W. Yevjevich, V. and Lane, W. L., 1980, “Applied Modeling of Hydrologic Time Series”, Water Res. Publ., Colorado, USA</w:t>
      </w:r>
    </w:p>
    <w:p w14:paraId="132EFD9D">
      <w:pPr>
        <w:autoSpaceDE w:val="0"/>
        <w:autoSpaceDN w:val="0"/>
        <w:adjustRightInd w:val="0"/>
        <w:spacing w:before="240" w:after="0"/>
        <w:ind w:left="567" w:hanging="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Shrikant, R.S., Manjunath, K.M., Patil, R. and Kulkarni, P.S., 2023. Predicting Potential Evapotranspiration for Kalaburagi District using a Seasonal Arima Model. </w:t>
      </w:r>
      <w:r>
        <w:rPr>
          <w:rFonts w:ascii="Times New Roman" w:hAnsi="Times New Roman" w:cs="Times New Roman"/>
          <w:i/>
          <w:iCs/>
          <w:color w:val="000000" w:themeColor="text1"/>
          <w:sz w:val="24"/>
          <w:szCs w:val="24"/>
          <w14:textFill>
            <w14:solidFill>
              <w14:schemeClr w14:val="tx1"/>
            </w14:solidFill>
          </w14:textFill>
        </w:rPr>
        <w:t>International Journal of Environment and Climate Change</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i/>
          <w:iCs/>
          <w:color w:val="000000" w:themeColor="text1"/>
          <w:sz w:val="24"/>
          <w:szCs w:val="24"/>
          <w14:textFill>
            <w14:solidFill>
              <w14:schemeClr w14:val="tx1"/>
            </w14:solidFill>
          </w14:textFill>
        </w:rPr>
        <w:t>13</w:t>
      </w:r>
      <w:r>
        <w:rPr>
          <w:rFonts w:ascii="Times New Roman" w:hAnsi="Times New Roman" w:cs="Times New Roman"/>
          <w:color w:val="000000" w:themeColor="text1"/>
          <w:sz w:val="24"/>
          <w:szCs w:val="24"/>
          <w14:textFill>
            <w14:solidFill>
              <w14:schemeClr w14:val="tx1"/>
            </w14:solidFill>
          </w14:textFill>
        </w:rPr>
        <w:t>(11), 2073-2082.</w:t>
      </w:r>
    </w:p>
    <w:p w14:paraId="0CC42829">
      <w:pPr>
        <w:autoSpaceDE w:val="0"/>
        <w:autoSpaceDN w:val="0"/>
        <w:adjustRightInd w:val="0"/>
        <w:spacing w:before="240" w:after="0"/>
        <w:ind w:left="567" w:hanging="567"/>
        <w:jc w:val="both"/>
        <w:rPr>
          <w:rFonts w:ascii="Times New Roman" w:hAnsi="Times New Roman" w:cs="Times New Roman"/>
          <w:sz w:val="24"/>
          <w:szCs w:val="24"/>
        </w:rPr>
      </w:pPr>
      <w:r>
        <w:rPr>
          <w:rFonts w:ascii="Times New Roman" w:hAnsi="Times New Roman" w:cs="Times New Roman"/>
          <w:sz w:val="24"/>
          <w:szCs w:val="24"/>
        </w:rPr>
        <w:t>Yeh, H. F., &amp; Hsu, H. L. (2019). Stochastic model for drought forecasting in the Southern Taiwan Basin. </w:t>
      </w:r>
      <w:r>
        <w:rPr>
          <w:rFonts w:ascii="Times New Roman" w:hAnsi="Times New Roman" w:cs="Times New Roman"/>
          <w:i/>
          <w:iCs/>
          <w:sz w:val="24"/>
          <w:szCs w:val="24"/>
        </w:rPr>
        <w:t>Water</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(10), 2041.</w:t>
      </w:r>
    </w:p>
    <w:p w14:paraId="346CFF97">
      <w:pPr>
        <w:spacing w:line="360" w:lineRule="auto"/>
        <w:rPr>
          <w:rFonts w:ascii="Times New Roman" w:hAnsi="Times New Roman" w:cs="Times New Roman"/>
          <w:b/>
          <w:color w:val="FF0000"/>
          <w:sz w:val="24"/>
          <w:szCs w:val="24"/>
        </w:rPr>
      </w:pPr>
    </w:p>
    <w:p w14:paraId="54961500">
      <w:pPr>
        <w:autoSpaceDE w:val="0"/>
        <w:autoSpaceDN w:val="0"/>
        <w:adjustRightInd w:val="0"/>
        <w:spacing w:before="240" w:after="0" w:line="240" w:lineRule="auto"/>
        <w:jc w:val="both"/>
        <w:rPr>
          <w:rFonts w:ascii="Times New Roman" w:hAnsi="Times New Roman" w:cs="Times New Roman"/>
          <w:sz w:val="24"/>
          <w:szCs w:val="24"/>
        </w:rPr>
      </w:pPr>
    </w:p>
    <w:p w14:paraId="1CB09657">
      <w:pPr>
        <w:autoSpaceDE w:val="0"/>
        <w:autoSpaceDN w:val="0"/>
        <w:adjustRightInd w:val="0"/>
        <w:spacing w:before="240" w:after="0" w:line="240" w:lineRule="auto"/>
        <w:jc w:val="both"/>
        <w:rPr>
          <w:rFonts w:ascii="Times New Roman" w:hAnsi="Times New Roman" w:cs="Times New Roman"/>
          <w:sz w:val="24"/>
          <w:szCs w:val="24"/>
        </w:rPr>
      </w:pPr>
    </w:p>
    <w:p w14:paraId="3D844C51">
      <w:pPr>
        <w:autoSpaceDE w:val="0"/>
        <w:autoSpaceDN w:val="0"/>
        <w:adjustRightInd w:val="0"/>
        <w:spacing w:before="240" w:after="0" w:line="240" w:lineRule="auto"/>
        <w:jc w:val="both"/>
        <w:rPr>
          <w:rFonts w:ascii="Times New Roman" w:hAnsi="Times New Roman" w:cs="Times New Roman"/>
          <w:sz w:val="24"/>
          <w:szCs w:val="24"/>
        </w:rPr>
      </w:pPr>
    </w:p>
    <w:p w14:paraId="1770888F">
      <w:pPr>
        <w:autoSpaceDE w:val="0"/>
        <w:autoSpaceDN w:val="0"/>
        <w:adjustRightInd w:val="0"/>
        <w:spacing w:before="240" w:after="0" w:line="240" w:lineRule="auto"/>
        <w:jc w:val="both"/>
        <w:rPr>
          <w:rFonts w:ascii="Times New Roman" w:hAnsi="Times New Roman" w:cs="Times New Roman"/>
          <w:sz w:val="24"/>
          <w:szCs w:val="24"/>
        </w:rPr>
      </w:pPr>
    </w:p>
    <w:p w14:paraId="53339437">
      <w:pPr>
        <w:autoSpaceDE w:val="0"/>
        <w:autoSpaceDN w:val="0"/>
        <w:adjustRightInd w:val="0"/>
        <w:spacing w:before="240" w:after="0" w:line="240" w:lineRule="auto"/>
        <w:jc w:val="both"/>
        <w:rPr>
          <w:rFonts w:ascii="Times New Roman" w:hAnsi="Times New Roman" w:cs="Times New Roman"/>
          <w:sz w:val="24"/>
          <w:szCs w:val="24"/>
        </w:rPr>
      </w:pPr>
    </w:p>
    <w:p w14:paraId="7CC9D9A5">
      <w:pPr>
        <w:autoSpaceDE w:val="0"/>
        <w:autoSpaceDN w:val="0"/>
        <w:adjustRightInd w:val="0"/>
        <w:spacing w:before="240" w:after="0" w:line="240" w:lineRule="auto"/>
        <w:jc w:val="both"/>
        <w:rPr>
          <w:rFonts w:ascii="Times New Roman" w:hAnsi="Times New Roman" w:cs="Times New Roman"/>
          <w:sz w:val="24"/>
          <w:szCs w:val="24"/>
        </w:rPr>
      </w:pPr>
    </w:p>
    <w:p w14:paraId="66AF7CB6">
      <w:pPr>
        <w:autoSpaceDE w:val="0"/>
        <w:autoSpaceDN w:val="0"/>
        <w:adjustRightInd w:val="0"/>
        <w:spacing w:before="240" w:after="0" w:line="240" w:lineRule="auto"/>
        <w:jc w:val="both"/>
        <w:rPr>
          <w:rFonts w:ascii="Times New Roman" w:hAnsi="Times New Roman" w:cs="Times New Roman"/>
          <w:sz w:val="24"/>
          <w:szCs w:val="24"/>
        </w:rPr>
      </w:pPr>
    </w:p>
    <w:p w14:paraId="75503000">
      <w:pPr>
        <w:autoSpaceDE w:val="0"/>
        <w:autoSpaceDN w:val="0"/>
        <w:adjustRightInd w:val="0"/>
        <w:spacing w:before="240" w:after="0" w:line="240" w:lineRule="auto"/>
        <w:jc w:val="both"/>
        <w:rPr>
          <w:rFonts w:ascii="Times New Roman" w:hAnsi="Times New Roman" w:cs="Times New Roman"/>
          <w:sz w:val="24"/>
          <w:szCs w:val="24"/>
        </w:rPr>
      </w:pPr>
    </w:p>
    <w:p w14:paraId="204E60B2">
      <w:pPr>
        <w:autoSpaceDE w:val="0"/>
        <w:autoSpaceDN w:val="0"/>
        <w:adjustRightInd w:val="0"/>
        <w:spacing w:before="240" w:after="0" w:line="240" w:lineRule="auto"/>
        <w:jc w:val="both"/>
        <w:rPr>
          <w:rFonts w:ascii="Times New Roman" w:hAnsi="Times New Roman" w:cs="Times New Roman"/>
          <w:sz w:val="24"/>
          <w:szCs w:val="24"/>
        </w:rPr>
      </w:pPr>
    </w:p>
    <w:p w14:paraId="79E04754">
      <w:pPr>
        <w:autoSpaceDE w:val="0"/>
        <w:autoSpaceDN w:val="0"/>
        <w:adjustRightInd w:val="0"/>
        <w:spacing w:before="240" w:after="0" w:line="240" w:lineRule="auto"/>
        <w:jc w:val="both"/>
        <w:rPr>
          <w:rFonts w:ascii="Times New Roman" w:hAnsi="Times New Roman" w:cs="Times New Roman"/>
          <w:sz w:val="24"/>
          <w:szCs w:val="24"/>
        </w:rPr>
      </w:pPr>
    </w:p>
    <w:p w14:paraId="2C1D6A56">
      <w:pPr>
        <w:autoSpaceDE w:val="0"/>
        <w:autoSpaceDN w:val="0"/>
        <w:adjustRightInd w:val="0"/>
        <w:spacing w:after="0" w:line="240" w:lineRule="auto"/>
        <w:ind w:left="567" w:hanging="567"/>
        <w:jc w:val="both"/>
        <w:rPr>
          <w:rFonts w:ascii="Times New Roman" w:hAnsi="Times New Roman" w:cs="Times New Roman"/>
          <w:sz w:val="24"/>
          <w:szCs w:val="24"/>
        </w:rPr>
      </w:pPr>
    </w:p>
    <w:p w14:paraId="04AF3D3F">
      <w:pPr>
        <w:autoSpaceDE w:val="0"/>
        <w:autoSpaceDN w:val="0"/>
        <w:adjustRightInd w:val="0"/>
        <w:spacing w:after="0" w:line="240" w:lineRule="auto"/>
        <w:ind w:left="567" w:hanging="567"/>
        <w:jc w:val="both"/>
        <w:rPr>
          <w:rFonts w:ascii="Times New Roman" w:hAnsi="Times New Roman" w:cs="Times New Roman"/>
          <w:sz w:val="24"/>
          <w:szCs w:val="24"/>
        </w:rPr>
      </w:pPr>
    </w:p>
    <w:p w14:paraId="4EC6FBCE">
      <w:pPr>
        <w:autoSpaceDE w:val="0"/>
        <w:autoSpaceDN w:val="0"/>
        <w:adjustRightInd w:val="0"/>
        <w:spacing w:after="0" w:line="240" w:lineRule="auto"/>
        <w:ind w:left="567" w:hanging="567"/>
        <w:jc w:val="both"/>
        <w:rPr>
          <w:rFonts w:ascii="Times New Roman" w:hAnsi="Times New Roman" w:cs="Times New Roman"/>
          <w:sz w:val="24"/>
          <w:szCs w:val="24"/>
        </w:rPr>
      </w:pPr>
    </w:p>
    <w:p w14:paraId="00EDA67A">
      <w:pPr>
        <w:autoSpaceDE w:val="0"/>
        <w:autoSpaceDN w:val="0"/>
        <w:adjustRightInd w:val="0"/>
        <w:spacing w:after="0" w:line="240" w:lineRule="auto"/>
        <w:ind w:left="567" w:hanging="567"/>
        <w:jc w:val="both"/>
        <w:rPr>
          <w:rFonts w:ascii="Times New Roman" w:hAnsi="Times New Roman" w:cs="Times New Roman"/>
          <w:sz w:val="24"/>
          <w:szCs w:val="24"/>
        </w:rPr>
      </w:pPr>
    </w:p>
    <w:p w14:paraId="7F8532CA">
      <w:pPr>
        <w:ind w:firstLine="630"/>
        <w:jc w:val="center"/>
        <w:rPr>
          <w:rFonts w:ascii="Times New Roman" w:hAnsi="Times New Roman" w:cs="Times New Roman"/>
          <w:b/>
        </w:rPr>
      </w:pPr>
      <w:r>
        <w:rPr>
          <w:rFonts w:ascii="Times New Roman" w:hAnsi="Times New Roman" w:cs="Times New Roman"/>
          <w:b/>
        </w:rPr>
        <w:drawing>
          <wp:inline distT="0" distB="0" distL="0" distR="0">
            <wp:extent cx="4398010" cy="2619375"/>
            <wp:effectExtent l="19050" t="0" r="2540" b="0"/>
            <wp:docPr id="2" name="Picture 1" descr="C:\Users\HP\Desktop\mausam\ac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HP\Desktop\mausam\acf1.jpeg"/>
                    <pic:cNvPicPr>
                      <a:picLocks noChangeAspect="1" noChangeArrowheads="1"/>
                    </pic:cNvPicPr>
                  </pic:nvPicPr>
                  <pic:blipFill>
                    <a:blip r:embed="rId14"/>
                    <a:srcRect t="12975"/>
                    <a:stretch>
                      <a:fillRect/>
                    </a:stretch>
                  </pic:blipFill>
                  <pic:spPr>
                    <a:xfrm>
                      <a:off x="0" y="0"/>
                      <a:ext cx="4398010" cy="2619375"/>
                    </a:xfrm>
                    <a:prstGeom prst="rect">
                      <a:avLst/>
                    </a:prstGeom>
                    <a:noFill/>
                    <a:ln w="9525">
                      <a:noFill/>
                      <a:miter lim="800000"/>
                      <a:headEnd/>
                      <a:tailEnd/>
                    </a:ln>
                  </pic:spPr>
                </pic:pic>
              </a:graphicData>
            </a:graphic>
          </wp:inline>
        </w:drawing>
      </w:r>
    </w:p>
    <w:p w14:paraId="33FA6F83">
      <w:pPr>
        <w:ind w:firstLine="630"/>
        <w:jc w:val="center"/>
        <w:rPr>
          <w:rFonts w:ascii="Times New Roman" w:hAnsi="Times New Roman" w:cs="Times New Roman"/>
          <w:b/>
        </w:rPr>
      </w:pPr>
      <w:r>
        <w:rPr>
          <w:rFonts w:ascii="Times New Roman" w:hAnsi="Times New Roman" w:cs="Times New Roman"/>
          <w:b/>
        </w:rPr>
        <w:t>Fig. 1 Autocorrelation function plot of PET time series for Bhalki Station</w:t>
      </w:r>
    </w:p>
    <w:p w14:paraId="2994BF72">
      <w:pPr>
        <w:rPr>
          <w:rFonts w:ascii="Times New Roman" w:hAnsi="Times New Roman" w:cs="Times New Roman"/>
          <w:b/>
        </w:rPr>
      </w:pPr>
    </w:p>
    <w:p w14:paraId="4A813D7F">
      <w:pPr>
        <w:ind w:firstLine="630"/>
        <w:jc w:val="center"/>
        <w:rPr>
          <w:rFonts w:ascii="Times New Roman" w:hAnsi="Times New Roman" w:cs="Times New Roman"/>
          <w:b/>
        </w:rPr>
      </w:pPr>
      <w:r>
        <w:rPr>
          <w:rFonts w:ascii="Times New Roman" w:hAnsi="Times New Roman" w:cs="Times New Roman"/>
          <w:b/>
        </w:rPr>
        <w:drawing>
          <wp:inline distT="0" distB="0" distL="0" distR="0">
            <wp:extent cx="4076700" cy="2428875"/>
            <wp:effectExtent l="19050" t="0" r="0" b="0"/>
            <wp:docPr id="3" name="Picture 2" descr="C:\Users\HP\Desktop\mausam\pac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HP\Desktop\mausam\pacf.jpeg"/>
                    <pic:cNvPicPr>
                      <a:picLocks noChangeAspect="1" noChangeArrowheads="1"/>
                    </pic:cNvPicPr>
                  </pic:nvPicPr>
                  <pic:blipFill>
                    <a:blip r:embed="rId15"/>
                    <a:srcRect t="12969"/>
                    <a:stretch>
                      <a:fillRect/>
                    </a:stretch>
                  </pic:blipFill>
                  <pic:spPr>
                    <a:xfrm>
                      <a:off x="0" y="0"/>
                      <a:ext cx="4076700" cy="2428875"/>
                    </a:xfrm>
                    <a:prstGeom prst="rect">
                      <a:avLst/>
                    </a:prstGeom>
                    <a:noFill/>
                    <a:ln w="9525">
                      <a:noFill/>
                      <a:miter lim="800000"/>
                      <a:headEnd/>
                      <a:tailEnd/>
                    </a:ln>
                  </pic:spPr>
                </pic:pic>
              </a:graphicData>
            </a:graphic>
          </wp:inline>
        </w:drawing>
      </w:r>
    </w:p>
    <w:p w14:paraId="5B211D1B">
      <w:pPr>
        <w:rPr>
          <w:rFonts w:ascii="Times New Roman" w:hAnsi="Times New Roman" w:cs="Times New Roman"/>
          <w:b/>
          <w:sz w:val="2"/>
        </w:rPr>
      </w:pPr>
    </w:p>
    <w:p w14:paraId="20668B33">
      <w:pPr>
        <w:ind w:firstLine="630"/>
        <w:jc w:val="center"/>
        <w:rPr>
          <w:rFonts w:ascii="Times New Roman" w:hAnsi="Times New Roman" w:cs="Times New Roman"/>
          <w:b/>
        </w:rPr>
      </w:pPr>
      <w:r>
        <w:rPr>
          <w:rFonts w:ascii="Times New Roman" w:hAnsi="Times New Roman" w:cs="Times New Roman"/>
          <w:b/>
        </w:rPr>
        <w:t>Fig. 2 Partial autocorrelation function plot of PET time series for Bhalki Station</w:t>
      </w:r>
    </w:p>
    <w:p w14:paraId="62047218">
      <w:pPr>
        <w:rPr>
          <w:rFonts w:ascii="Times New Roman" w:hAnsi="Times New Roman" w:cs="Times New Roman"/>
          <w:b/>
        </w:rPr>
      </w:pPr>
    </w:p>
    <w:p w14:paraId="5F99F5CF">
      <w:pPr>
        <w:ind w:firstLine="630"/>
        <w:jc w:val="center"/>
        <w:rPr>
          <w:rFonts w:ascii="Times New Roman" w:hAnsi="Times New Roman" w:cs="Times New Roman"/>
          <w:b/>
        </w:rPr>
      </w:pPr>
      <w:r>
        <w:rPr>
          <w:rFonts w:ascii="Times New Roman" w:hAnsi="Times New Roman" w:cs="Times New Roman"/>
          <w:b/>
        </w:rPr>
        <w:t>Table 1 Auto correlation test for different station</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26"/>
        <w:gridCol w:w="1843"/>
        <w:gridCol w:w="1984"/>
      </w:tblGrid>
      <w:tr w14:paraId="6396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3077E00A">
            <w:pPr>
              <w:spacing w:after="0" w:line="240" w:lineRule="auto"/>
              <w:jc w:val="center"/>
              <w:rPr>
                <w:rFonts w:ascii="Times New Roman" w:hAnsi="Times New Roman" w:cs="Times New Roman"/>
                <w:b/>
                <w:bCs/>
              </w:rPr>
            </w:pPr>
            <w:r>
              <w:rPr>
                <w:rFonts w:ascii="Times New Roman" w:hAnsi="Times New Roman" w:cs="Times New Roman"/>
                <w:b/>
                <w:bCs/>
              </w:rPr>
              <w:t>Station</w:t>
            </w:r>
          </w:p>
        </w:tc>
        <w:tc>
          <w:tcPr>
            <w:tcW w:w="2126" w:type="dxa"/>
            <w:vAlign w:val="bottom"/>
          </w:tcPr>
          <w:p w14:paraId="01DAB14F">
            <w:pPr>
              <w:spacing w:after="0" w:line="240" w:lineRule="auto"/>
              <w:jc w:val="center"/>
              <w:rPr>
                <w:rFonts w:ascii="Times New Roman" w:hAnsi="Times New Roman" w:cs="Times New Roman"/>
                <w:b/>
                <w:bCs/>
              </w:rPr>
            </w:pPr>
            <w:r>
              <w:rPr>
                <w:rFonts w:ascii="Times New Roman" w:hAnsi="Times New Roman" w:cs="Times New Roman"/>
                <w:b/>
                <w:bCs/>
              </w:rPr>
              <w:t>Chi-Square</w:t>
            </w:r>
          </w:p>
        </w:tc>
        <w:tc>
          <w:tcPr>
            <w:tcW w:w="1843" w:type="dxa"/>
            <w:vAlign w:val="bottom"/>
          </w:tcPr>
          <w:p w14:paraId="3DD0D6BA">
            <w:pPr>
              <w:spacing w:after="0" w:line="240" w:lineRule="auto"/>
              <w:jc w:val="center"/>
              <w:rPr>
                <w:rFonts w:ascii="Times New Roman" w:hAnsi="Times New Roman" w:cs="Times New Roman"/>
                <w:b/>
                <w:bCs/>
              </w:rPr>
            </w:pPr>
            <w:r>
              <w:rPr>
                <w:rFonts w:ascii="Times New Roman" w:hAnsi="Times New Roman" w:cs="Times New Roman"/>
                <w:b/>
                <w:bCs/>
              </w:rPr>
              <w:t>Lag order</w:t>
            </w:r>
          </w:p>
        </w:tc>
        <w:tc>
          <w:tcPr>
            <w:tcW w:w="1984" w:type="dxa"/>
            <w:vAlign w:val="bottom"/>
          </w:tcPr>
          <w:p w14:paraId="0FCA6BCD">
            <w:pPr>
              <w:spacing w:after="0" w:line="240" w:lineRule="auto"/>
              <w:jc w:val="center"/>
              <w:rPr>
                <w:rFonts w:ascii="Times New Roman" w:hAnsi="Times New Roman" w:cs="Times New Roman"/>
                <w:b/>
                <w:bCs/>
              </w:rPr>
            </w:pPr>
            <w:r>
              <w:rPr>
                <w:rFonts w:ascii="Times New Roman" w:hAnsi="Times New Roman" w:cs="Times New Roman"/>
                <w:b/>
                <w:bCs/>
              </w:rPr>
              <w:t>P-value</w:t>
            </w:r>
          </w:p>
        </w:tc>
      </w:tr>
      <w:tr w14:paraId="3A3C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191C2E90">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p>
        </w:tc>
        <w:tc>
          <w:tcPr>
            <w:tcW w:w="2126" w:type="dxa"/>
            <w:vAlign w:val="bottom"/>
          </w:tcPr>
          <w:p w14:paraId="693305A7">
            <w:pPr>
              <w:spacing w:after="0" w:line="240" w:lineRule="auto"/>
              <w:jc w:val="center"/>
              <w:rPr>
                <w:rFonts w:ascii="Times New Roman" w:hAnsi="Times New Roman" w:cs="Times New Roman"/>
              </w:rPr>
            </w:pPr>
            <w:r>
              <w:rPr>
                <w:rFonts w:ascii="Times New Roman" w:hAnsi="Times New Roman" w:cs="Times New Roman"/>
              </w:rPr>
              <w:t>180.07</w:t>
            </w:r>
          </w:p>
        </w:tc>
        <w:tc>
          <w:tcPr>
            <w:tcW w:w="1843" w:type="dxa"/>
            <w:vAlign w:val="bottom"/>
          </w:tcPr>
          <w:p w14:paraId="656CD279">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1AD360FF">
            <w:pPr>
              <w:spacing w:after="0" w:line="240" w:lineRule="auto"/>
              <w:jc w:val="center"/>
              <w:rPr>
                <w:rFonts w:ascii="Times New Roman" w:hAnsi="Times New Roman" w:cs="Times New Roman"/>
              </w:rPr>
            </w:pPr>
            <w:r>
              <w:rPr>
                <w:rFonts w:ascii="Times New Roman" w:hAnsi="Times New Roman" w:cs="Times New Roman"/>
              </w:rPr>
              <w:t>&lt;0.001</w:t>
            </w:r>
          </w:p>
        </w:tc>
      </w:tr>
      <w:tr w14:paraId="4C93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4D4A1C5B">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Aurad, </w:t>
            </w:r>
          </w:p>
        </w:tc>
        <w:tc>
          <w:tcPr>
            <w:tcW w:w="2126" w:type="dxa"/>
            <w:vAlign w:val="bottom"/>
          </w:tcPr>
          <w:p w14:paraId="2F2EB231">
            <w:pPr>
              <w:spacing w:after="0" w:line="240" w:lineRule="auto"/>
              <w:jc w:val="center"/>
              <w:rPr>
                <w:rFonts w:ascii="Times New Roman" w:hAnsi="Times New Roman" w:cs="Times New Roman"/>
              </w:rPr>
            </w:pPr>
            <w:r>
              <w:rPr>
                <w:rFonts w:ascii="Times New Roman" w:hAnsi="Times New Roman" w:cs="Times New Roman"/>
              </w:rPr>
              <w:t>179.19</w:t>
            </w:r>
          </w:p>
        </w:tc>
        <w:tc>
          <w:tcPr>
            <w:tcW w:w="1843" w:type="dxa"/>
            <w:vAlign w:val="bottom"/>
          </w:tcPr>
          <w:p w14:paraId="2D76C131">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3FDE41E7">
            <w:pPr>
              <w:spacing w:after="0" w:line="240" w:lineRule="auto"/>
              <w:jc w:val="center"/>
              <w:rPr>
                <w:rFonts w:ascii="Times New Roman" w:hAnsi="Times New Roman" w:cs="Times New Roman"/>
              </w:rPr>
            </w:pPr>
            <w:r>
              <w:rPr>
                <w:rFonts w:ascii="Times New Roman" w:hAnsi="Times New Roman" w:cs="Times New Roman"/>
              </w:rPr>
              <w:t>&lt;0.001</w:t>
            </w:r>
          </w:p>
        </w:tc>
      </w:tr>
      <w:tr w14:paraId="57DA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41090E3A">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Bhalki, </w:t>
            </w:r>
          </w:p>
        </w:tc>
        <w:tc>
          <w:tcPr>
            <w:tcW w:w="2126" w:type="dxa"/>
            <w:vAlign w:val="bottom"/>
          </w:tcPr>
          <w:p w14:paraId="1373A256">
            <w:pPr>
              <w:spacing w:after="0" w:line="240" w:lineRule="auto"/>
              <w:jc w:val="center"/>
              <w:rPr>
                <w:rFonts w:ascii="Times New Roman" w:hAnsi="Times New Roman" w:cs="Times New Roman"/>
              </w:rPr>
            </w:pPr>
            <w:r>
              <w:rPr>
                <w:rFonts w:ascii="Times New Roman" w:hAnsi="Times New Roman" w:cs="Times New Roman"/>
              </w:rPr>
              <w:t>183.12</w:t>
            </w:r>
          </w:p>
        </w:tc>
        <w:tc>
          <w:tcPr>
            <w:tcW w:w="1843" w:type="dxa"/>
            <w:vAlign w:val="bottom"/>
          </w:tcPr>
          <w:p w14:paraId="562779DC">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437AC4BD">
            <w:pPr>
              <w:spacing w:after="0" w:line="240" w:lineRule="auto"/>
              <w:jc w:val="center"/>
              <w:rPr>
                <w:rFonts w:ascii="Times New Roman" w:hAnsi="Times New Roman" w:cs="Times New Roman"/>
              </w:rPr>
            </w:pPr>
            <w:r>
              <w:rPr>
                <w:rFonts w:ascii="Times New Roman" w:hAnsi="Times New Roman" w:cs="Times New Roman"/>
              </w:rPr>
              <w:t>&lt;0.001</w:t>
            </w:r>
          </w:p>
        </w:tc>
      </w:tr>
      <w:tr w14:paraId="1EB4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6F0867EE">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Humnabad, </w:t>
            </w:r>
          </w:p>
        </w:tc>
        <w:tc>
          <w:tcPr>
            <w:tcW w:w="2126" w:type="dxa"/>
            <w:vAlign w:val="bottom"/>
          </w:tcPr>
          <w:p w14:paraId="3087FFEF">
            <w:pPr>
              <w:spacing w:after="0" w:line="240" w:lineRule="auto"/>
              <w:jc w:val="center"/>
              <w:rPr>
                <w:rFonts w:ascii="Times New Roman" w:hAnsi="Times New Roman" w:cs="Times New Roman"/>
              </w:rPr>
            </w:pPr>
            <w:r>
              <w:rPr>
                <w:rFonts w:ascii="Times New Roman" w:hAnsi="Times New Roman" w:cs="Times New Roman"/>
              </w:rPr>
              <w:t>186.6</w:t>
            </w:r>
          </w:p>
        </w:tc>
        <w:tc>
          <w:tcPr>
            <w:tcW w:w="1843" w:type="dxa"/>
            <w:vAlign w:val="bottom"/>
          </w:tcPr>
          <w:p w14:paraId="6C725202">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78C0FCED">
            <w:pPr>
              <w:spacing w:after="0" w:line="240" w:lineRule="auto"/>
              <w:jc w:val="center"/>
              <w:rPr>
                <w:rFonts w:ascii="Times New Roman" w:hAnsi="Times New Roman" w:cs="Times New Roman"/>
              </w:rPr>
            </w:pPr>
            <w:r>
              <w:rPr>
                <w:rFonts w:ascii="Times New Roman" w:hAnsi="Times New Roman" w:cs="Times New Roman"/>
              </w:rPr>
              <w:t>&lt;0.001</w:t>
            </w:r>
          </w:p>
        </w:tc>
      </w:tr>
      <w:tr w14:paraId="7902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B7DBBC1">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Basavakalyan</w:t>
            </w:r>
          </w:p>
        </w:tc>
        <w:tc>
          <w:tcPr>
            <w:tcW w:w="2126" w:type="dxa"/>
            <w:vAlign w:val="bottom"/>
          </w:tcPr>
          <w:p w14:paraId="2198C7C3">
            <w:pPr>
              <w:spacing w:after="0" w:line="240" w:lineRule="auto"/>
              <w:jc w:val="center"/>
              <w:rPr>
                <w:rFonts w:ascii="Times New Roman" w:hAnsi="Times New Roman" w:cs="Times New Roman"/>
              </w:rPr>
            </w:pPr>
            <w:r>
              <w:rPr>
                <w:rFonts w:ascii="Times New Roman" w:hAnsi="Times New Roman" w:cs="Times New Roman"/>
              </w:rPr>
              <w:t>179.19</w:t>
            </w:r>
          </w:p>
        </w:tc>
        <w:tc>
          <w:tcPr>
            <w:tcW w:w="1843" w:type="dxa"/>
            <w:vAlign w:val="bottom"/>
          </w:tcPr>
          <w:p w14:paraId="7D344600">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596E56C0">
            <w:pPr>
              <w:spacing w:after="0" w:line="240" w:lineRule="auto"/>
              <w:jc w:val="center"/>
              <w:rPr>
                <w:rFonts w:ascii="Times New Roman" w:hAnsi="Times New Roman" w:cs="Times New Roman"/>
              </w:rPr>
            </w:pPr>
            <w:r>
              <w:rPr>
                <w:rFonts w:ascii="Times New Roman" w:hAnsi="Times New Roman" w:cs="Times New Roman"/>
              </w:rPr>
              <w:t>&lt;0.001</w:t>
            </w:r>
          </w:p>
        </w:tc>
      </w:tr>
    </w:tbl>
    <w:p w14:paraId="7D9FBFAA">
      <w:pPr>
        <w:jc w:val="right"/>
        <w:rPr>
          <w:rFonts w:ascii="Times New Roman" w:hAnsi="Times New Roman" w:cs="Times New Roman"/>
          <w:sz w:val="2"/>
        </w:rPr>
      </w:pPr>
    </w:p>
    <w:p w14:paraId="7488C714">
      <w:pPr>
        <w:tabs>
          <w:tab w:val="left" w:pos="1988"/>
        </w:tabs>
        <w:ind w:firstLine="630"/>
        <w:jc w:val="center"/>
        <w:rPr>
          <w:rFonts w:ascii="Times New Roman" w:hAnsi="Times New Roman" w:cs="Times New Roman"/>
          <w:b/>
          <w:sz w:val="4"/>
        </w:rPr>
      </w:pPr>
      <w:r>
        <w:rPr>
          <w:rFonts w:ascii="Times New Roman" w:hAnsi="Times New Roman" w:cs="Times New Roman"/>
          <w:b/>
        </w:rPr>
        <w:t>Table 2 Stationarity test for different station</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26"/>
        <w:gridCol w:w="1843"/>
        <w:gridCol w:w="1984"/>
      </w:tblGrid>
      <w:tr w14:paraId="5CD2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3E4A40E1">
            <w:pPr>
              <w:spacing w:after="0" w:line="240" w:lineRule="auto"/>
              <w:jc w:val="center"/>
              <w:rPr>
                <w:rFonts w:ascii="Times New Roman" w:hAnsi="Times New Roman" w:cs="Times New Roman"/>
                <w:b/>
                <w:bCs/>
              </w:rPr>
            </w:pPr>
            <w:r>
              <w:rPr>
                <w:rFonts w:ascii="Times New Roman" w:hAnsi="Times New Roman" w:cs="Times New Roman"/>
                <w:b/>
                <w:bCs/>
              </w:rPr>
              <w:t>Station</w:t>
            </w:r>
          </w:p>
        </w:tc>
        <w:tc>
          <w:tcPr>
            <w:tcW w:w="2126" w:type="dxa"/>
            <w:vAlign w:val="bottom"/>
          </w:tcPr>
          <w:p w14:paraId="41A7BFE5">
            <w:pPr>
              <w:spacing w:after="0" w:line="240" w:lineRule="auto"/>
              <w:jc w:val="center"/>
              <w:rPr>
                <w:rFonts w:ascii="Times New Roman" w:hAnsi="Times New Roman" w:cs="Times New Roman"/>
                <w:b/>
                <w:bCs/>
              </w:rPr>
            </w:pPr>
            <w:r>
              <w:rPr>
                <w:rFonts w:ascii="Times New Roman" w:hAnsi="Times New Roman" w:cs="Times New Roman"/>
                <w:b/>
                <w:bCs/>
              </w:rPr>
              <w:t>Dickey fuller</w:t>
            </w:r>
          </w:p>
        </w:tc>
        <w:tc>
          <w:tcPr>
            <w:tcW w:w="1843" w:type="dxa"/>
            <w:vAlign w:val="bottom"/>
          </w:tcPr>
          <w:p w14:paraId="5B798AF5">
            <w:pPr>
              <w:spacing w:after="0" w:line="240" w:lineRule="auto"/>
              <w:jc w:val="center"/>
              <w:rPr>
                <w:rFonts w:ascii="Times New Roman" w:hAnsi="Times New Roman" w:cs="Times New Roman"/>
                <w:b/>
                <w:bCs/>
              </w:rPr>
            </w:pPr>
            <w:r>
              <w:rPr>
                <w:rFonts w:ascii="Times New Roman" w:hAnsi="Times New Roman" w:cs="Times New Roman"/>
                <w:b/>
                <w:bCs/>
              </w:rPr>
              <w:t>Lag order</w:t>
            </w:r>
          </w:p>
        </w:tc>
        <w:tc>
          <w:tcPr>
            <w:tcW w:w="1984" w:type="dxa"/>
            <w:vAlign w:val="bottom"/>
          </w:tcPr>
          <w:p w14:paraId="60D4BFE1">
            <w:pPr>
              <w:spacing w:after="0" w:line="240" w:lineRule="auto"/>
              <w:jc w:val="center"/>
              <w:rPr>
                <w:rFonts w:ascii="Times New Roman" w:hAnsi="Times New Roman" w:cs="Times New Roman"/>
                <w:b/>
                <w:bCs/>
              </w:rPr>
            </w:pPr>
            <w:r>
              <w:rPr>
                <w:rFonts w:ascii="Times New Roman" w:hAnsi="Times New Roman" w:cs="Times New Roman"/>
                <w:b/>
                <w:bCs/>
              </w:rPr>
              <w:t>P-value</w:t>
            </w:r>
          </w:p>
        </w:tc>
      </w:tr>
      <w:tr w14:paraId="00C7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FE26970">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p>
        </w:tc>
        <w:tc>
          <w:tcPr>
            <w:tcW w:w="2126" w:type="dxa"/>
            <w:vAlign w:val="bottom"/>
          </w:tcPr>
          <w:p w14:paraId="2BF3FD1A">
            <w:pPr>
              <w:spacing w:after="0" w:line="240" w:lineRule="auto"/>
              <w:jc w:val="center"/>
              <w:rPr>
                <w:rFonts w:ascii="Times New Roman" w:hAnsi="Times New Roman" w:cs="Times New Roman"/>
              </w:rPr>
            </w:pPr>
            <w:r>
              <w:rPr>
                <w:rFonts w:ascii="Times New Roman" w:hAnsi="Times New Roman" w:cs="Times New Roman"/>
              </w:rPr>
              <w:t>-18.754</w:t>
            </w:r>
          </w:p>
        </w:tc>
        <w:tc>
          <w:tcPr>
            <w:tcW w:w="1843" w:type="dxa"/>
            <w:vAlign w:val="bottom"/>
          </w:tcPr>
          <w:p w14:paraId="4A419B65">
            <w:pPr>
              <w:spacing w:after="0" w:line="240" w:lineRule="auto"/>
              <w:jc w:val="center"/>
              <w:rPr>
                <w:rFonts w:ascii="Times New Roman" w:hAnsi="Times New Roman" w:cs="Times New Roman"/>
              </w:rPr>
            </w:pPr>
            <w:r>
              <w:rPr>
                <w:rFonts w:ascii="Times New Roman" w:hAnsi="Times New Roman" w:cs="Times New Roman"/>
              </w:rPr>
              <w:t>7</w:t>
            </w:r>
          </w:p>
        </w:tc>
        <w:tc>
          <w:tcPr>
            <w:tcW w:w="1984" w:type="dxa"/>
            <w:vAlign w:val="bottom"/>
          </w:tcPr>
          <w:p w14:paraId="51F3606F">
            <w:pPr>
              <w:spacing w:after="0" w:line="240" w:lineRule="auto"/>
              <w:jc w:val="center"/>
              <w:rPr>
                <w:rFonts w:ascii="Times New Roman" w:hAnsi="Times New Roman" w:cs="Times New Roman"/>
              </w:rPr>
            </w:pPr>
            <w:r>
              <w:rPr>
                <w:rFonts w:ascii="Times New Roman" w:hAnsi="Times New Roman" w:cs="Times New Roman"/>
              </w:rPr>
              <w:t>0.01</w:t>
            </w:r>
          </w:p>
        </w:tc>
      </w:tr>
      <w:tr w14:paraId="5FDB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DD3AA26">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Aurad, </w:t>
            </w:r>
          </w:p>
        </w:tc>
        <w:tc>
          <w:tcPr>
            <w:tcW w:w="2126" w:type="dxa"/>
            <w:vAlign w:val="bottom"/>
          </w:tcPr>
          <w:p w14:paraId="3C335DD4">
            <w:pPr>
              <w:spacing w:after="0" w:line="240" w:lineRule="auto"/>
              <w:jc w:val="center"/>
              <w:rPr>
                <w:rFonts w:ascii="Times New Roman" w:hAnsi="Times New Roman" w:cs="Times New Roman"/>
              </w:rPr>
            </w:pPr>
            <w:r>
              <w:rPr>
                <w:rFonts w:ascii="Times New Roman" w:hAnsi="Times New Roman" w:cs="Times New Roman"/>
              </w:rPr>
              <w:t>-17.721</w:t>
            </w:r>
          </w:p>
        </w:tc>
        <w:tc>
          <w:tcPr>
            <w:tcW w:w="1843" w:type="dxa"/>
            <w:vAlign w:val="bottom"/>
          </w:tcPr>
          <w:p w14:paraId="19A3744C">
            <w:pPr>
              <w:spacing w:after="0" w:line="240" w:lineRule="auto"/>
              <w:jc w:val="center"/>
              <w:rPr>
                <w:rFonts w:ascii="Times New Roman" w:hAnsi="Times New Roman" w:cs="Times New Roman"/>
              </w:rPr>
            </w:pPr>
            <w:r>
              <w:rPr>
                <w:rFonts w:ascii="Times New Roman" w:hAnsi="Times New Roman" w:cs="Times New Roman"/>
              </w:rPr>
              <w:t>7</w:t>
            </w:r>
          </w:p>
        </w:tc>
        <w:tc>
          <w:tcPr>
            <w:tcW w:w="1984" w:type="dxa"/>
            <w:vAlign w:val="bottom"/>
          </w:tcPr>
          <w:p w14:paraId="2EB138C4">
            <w:pPr>
              <w:spacing w:after="0" w:line="240" w:lineRule="auto"/>
              <w:jc w:val="center"/>
              <w:rPr>
                <w:rFonts w:ascii="Times New Roman" w:hAnsi="Times New Roman" w:cs="Times New Roman"/>
              </w:rPr>
            </w:pPr>
            <w:r>
              <w:rPr>
                <w:rFonts w:ascii="Times New Roman" w:hAnsi="Times New Roman" w:cs="Times New Roman"/>
              </w:rPr>
              <w:t>0.01</w:t>
            </w:r>
          </w:p>
        </w:tc>
      </w:tr>
      <w:tr w14:paraId="0FC7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007E5C8A">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Bhalki, </w:t>
            </w:r>
          </w:p>
        </w:tc>
        <w:tc>
          <w:tcPr>
            <w:tcW w:w="2126" w:type="dxa"/>
            <w:vAlign w:val="bottom"/>
          </w:tcPr>
          <w:p w14:paraId="0AB0DCBF">
            <w:pPr>
              <w:spacing w:after="0" w:line="240" w:lineRule="auto"/>
              <w:jc w:val="center"/>
              <w:rPr>
                <w:rFonts w:ascii="Times New Roman" w:hAnsi="Times New Roman" w:cs="Times New Roman"/>
              </w:rPr>
            </w:pPr>
            <w:r>
              <w:rPr>
                <w:rFonts w:ascii="Times New Roman" w:hAnsi="Times New Roman" w:cs="Times New Roman"/>
              </w:rPr>
              <w:t>-16.306</w:t>
            </w:r>
          </w:p>
        </w:tc>
        <w:tc>
          <w:tcPr>
            <w:tcW w:w="1843" w:type="dxa"/>
            <w:vAlign w:val="bottom"/>
          </w:tcPr>
          <w:p w14:paraId="3E115139">
            <w:pPr>
              <w:spacing w:after="0" w:line="240" w:lineRule="auto"/>
              <w:jc w:val="center"/>
              <w:rPr>
                <w:rFonts w:ascii="Times New Roman" w:hAnsi="Times New Roman" w:cs="Times New Roman"/>
              </w:rPr>
            </w:pPr>
            <w:r>
              <w:rPr>
                <w:rFonts w:ascii="Times New Roman" w:hAnsi="Times New Roman" w:cs="Times New Roman"/>
              </w:rPr>
              <w:t>7</w:t>
            </w:r>
          </w:p>
        </w:tc>
        <w:tc>
          <w:tcPr>
            <w:tcW w:w="1984" w:type="dxa"/>
            <w:vAlign w:val="bottom"/>
          </w:tcPr>
          <w:p w14:paraId="3965C1C6">
            <w:pPr>
              <w:spacing w:after="0" w:line="240" w:lineRule="auto"/>
              <w:jc w:val="center"/>
              <w:rPr>
                <w:rFonts w:ascii="Times New Roman" w:hAnsi="Times New Roman" w:cs="Times New Roman"/>
              </w:rPr>
            </w:pPr>
            <w:r>
              <w:rPr>
                <w:rFonts w:ascii="Times New Roman" w:hAnsi="Times New Roman" w:cs="Times New Roman"/>
              </w:rPr>
              <w:t>0.01</w:t>
            </w:r>
          </w:p>
        </w:tc>
      </w:tr>
      <w:tr w14:paraId="5E65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909CDBE">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Humnabad, </w:t>
            </w:r>
          </w:p>
        </w:tc>
        <w:tc>
          <w:tcPr>
            <w:tcW w:w="2126" w:type="dxa"/>
            <w:vAlign w:val="bottom"/>
          </w:tcPr>
          <w:p w14:paraId="0826F59A">
            <w:pPr>
              <w:spacing w:after="0" w:line="240" w:lineRule="auto"/>
              <w:jc w:val="center"/>
              <w:rPr>
                <w:rFonts w:ascii="Times New Roman" w:hAnsi="Times New Roman" w:cs="Times New Roman"/>
              </w:rPr>
            </w:pPr>
            <w:r>
              <w:rPr>
                <w:rFonts w:ascii="Times New Roman" w:hAnsi="Times New Roman" w:cs="Times New Roman"/>
              </w:rPr>
              <w:t>-18.598</w:t>
            </w:r>
          </w:p>
        </w:tc>
        <w:tc>
          <w:tcPr>
            <w:tcW w:w="1843" w:type="dxa"/>
            <w:vAlign w:val="bottom"/>
          </w:tcPr>
          <w:p w14:paraId="59A8C6EC">
            <w:pPr>
              <w:spacing w:after="0" w:line="240" w:lineRule="auto"/>
              <w:jc w:val="center"/>
              <w:rPr>
                <w:rFonts w:ascii="Times New Roman" w:hAnsi="Times New Roman" w:cs="Times New Roman"/>
              </w:rPr>
            </w:pPr>
            <w:r>
              <w:rPr>
                <w:rFonts w:ascii="Times New Roman" w:hAnsi="Times New Roman" w:cs="Times New Roman"/>
              </w:rPr>
              <w:t>7</w:t>
            </w:r>
          </w:p>
        </w:tc>
        <w:tc>
          <w:tcPr>
            <w:tcW w:w="1984" w:type="dxa"/>
            <w:vAlign w:val="bottom"/>
          </w:tcPr>
          <w:p w14:paraId="3AE42B7E">
            <w:pPr>
              <w:spacing w:after="0" w:line="240" w:lineRule="auto"/>
              <w:jc w:val="center"/>
              <w:rPr>
                <w:rFonts w:ascii="Times New Roman" w:hAnsi="Times New Roman" w:cs="Times New Roman"/>
              </w:rPr>
            </w:pPr>
            <w:r>
              <w:rPr>
                <w:rFonts w:ascii="Times New Roman" w:hAnsi="Times New Roman" w:cs="Times New Roman"/>
              </w:rPr>
              <w:t>0.01</w:t>
            </w:r>
          </w:p>
        </w:tc>
      </w:tr>
      <w:tr w14:paraId="5DAE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21B41A7">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Basavakalyan</w:t>
            </w:r>
          </w:p>
        </w:tc>
        <w:tc>
          <w:tcPr>
            <w:tcW w:w="2126" w:type="dxa"/>
            <w:vAlign w:val="bottom"/>
          </w:tcPr>
          <w:p w14:paraId="1AB28F7E">
            <w:pPr>
              <w:spacing w:after="0" w:line="240" w:lineRule="auto"/>
              <w:jc w:val="center"/>
              <w:rPr>
                <w:rFonts w:ascii="Times New Roman" w:hAnsi="Times New Roman" w:cs="Times New Roman"/>
              </w:rPr>
            </w:pPr>
            <w:r>
              <w:rPr>
                <w:rFonts w:ascii="Times New Roman" w:hAnsi="Times New Roman" w:cs="Times New Roman"/>
              </w:rPr>
              <w:t>-17.721</w:t>
            </w:r>
          </w:p>
        </w:tc>
        <w:tc>
          <w:tcPr>
            <w:tcW w:w="1843" w:type="dxa"/>
            <w:vAlign w:val="bottom"/>
          </w:tcPr>
          <w:p w14:paraId="4F3796EF">
            <w:pPr>
              <w:spacing w:after="0" w:line="240" w:lineRule="auto"/>
              <w:jc w:val="center"/>
              <w:rPr>
                <w:rFonts w:ascii="Times New Roman" w:hAnsi="Times New Roman" w:cs="Times New Roman"/>
              </w:rPr>
            </w:pPr>
            <w:r>
              <w:rPr>
                <w:rFonts w:ascii="Times New Roman" w:hAnsi="Times New Roman" w:cs="Times New Roman"/>
              </w:rPr>
              <w:t>7</w:t>
            </w:r>
          </w:p>
        </w:tc>
        <w:tc>
          <w:tcPr>
            <w:tcW w:w="1984" w:type="dxa"/>
            <w:vAlign w:val="bottom"/>
          </w:tcPr>
          <w:p w14:paraId="22A63793">
            <w:pPr>
              <w:spacing w:after="0" w:line="240" w:lineRule="auto"/>
              <w:jc w:val="center"/>
              <w:rPr>
                <w:rFonts w:ascii="Times New Roman" w:hAnsi="Times New Roman" w:cs="Times New Roman"/>
              </w:rPr>
            </w:pPr>
            <w:r>
              <w:rPr>
                <w:rFonts w:ascii="Times New Roman" w:hAnsi="Times New Roman" w:cs="Times New Roman"/>
              </w:rPr>
              <w:t>0.01</w:t>
            </w:r>
          </w:p>
        </w:tc>
      </w:tr>
    </w:tbl>
    <w:p w14:paraId="17E24C98">
      <w:pPr>
        <w:ind w:firstLine="1170"/>
        <w:rPr>
          <w:rFonts w:ascii="Times New Roman" w:hAnsi="Times New Roman" w:cs="Times New Roman"/>
          <w:b/>
        </w:rPr>
      </w:pPr>
    </w:p>
    <w:p w14:paraId="5FA12F45">
      <w:pPr>
        <w:rPr>
          <w:rFonts w:ascii="Times New Roman" w:hAnsi="Times New Roman" w:cs="Times New Roman"/>
          <w:b/>
        </w:rPr>
      </w:pPr>
      <w:r>
        <w:rPr>
          <w:rFonts w:ascii="Times New Roman" w:hAnsi="Times New Roman" w:cs="Times New Roman"/>
          <w:b/>
        </w:rPr>
        <w:t>Table 3 Log likelihood AIC and BIC values of ARIMA model for different station</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2387"/>
        <w:gridCol w:w="1470"/>
        <w:gridCol w:w="1366"/>
        <w:gridCol w:w="1251"/>
      </w:tblGrid>
      <w:tr w14:paraId="3A0F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vAlign w:val="center"/>
          </w:tcPr>
          <w:p w14:paraId="459F51EB">
            <w:pPr>
              <w:spacing w:after="0" w:line="240" w:lineRule="auto"/>
              <w:jc w:val="center"/>
              <w:rPr>
                <w:rFonts w:ascii="Times New Roman" w:hAnsi="Times New Roman" w:cs="Times New Roman"/>
                <w:b/>
                <w:bCs/>
              </w:rPr>
            </w:pPr>
            <w:r>
              <w:rPr>
                <w:rFonts w:ascii="Times New Roman" w:hAnsi="Times New Roman" w:cs="Times New Roman"/>
                <w:b/>
                <w:bCs/>
              </w:rPr>
              <w:t>Stations</w:t>
            </w:r>
          </w:p>
        </w:tc>
        <w:tc>
          <w:tcPr>
            <w:tcW w:w="2385" w:type="dxa"/>
            <w:vAlign w:val="bottom"/>
          </w:tcPr>
          <w:p w14:paraId="0C1674C6">
            <w:pPr>
              <w:spacing w:after="0" w:line="240" w:lineRule="auto"/>
              <w:jc w:val="center"/>
              <w:rPr>
                <w:rFonts w:ascii="Times New Roman" w:hAnsi="Times New Roman" w:cs="Times New Roman"/>
                <w:b/>
                <w:bCs/>
              </w:rPr>
            </w:pPr>
            <w:r>
              <w:rPr>
                <w:rFonts w:ascii="Times New Roman" w:hAnsi="Times New Roman" w:cs="Times New Roman"/>
                <w:b/>
                <w:bCs/>
              </w:rPr>
              <w:t>Model</w:t>
            </w:r>
          </w:p>
        </w:tc>
        <w:tc>
          <w:tcPr>
            <w:tcW w:w="1470" w:type="dxa"/>
            <w:vAlign w:val="bottom"/>
          </w:tcPr>
          <w:p w14:paraId="548A7F95">
            <w:pPr>
              <w:spacing w:after="0" w:line="240" w:lineRule="auto"/>
              <w:jc w:val="center"/>
              <w:rPr>
                <w:rFonts w:ascii="Times New Roman" w:hAnsi="Times New Roman" w:cs="Times New Roman"/>
                <w:b/>
                <w:bCs/>
              </w:rPr>
            </w:pPr>
            <w:r>
              <w:rPr>
                <w:rFonts w:ascii="Times New Roman" w:hAnsi="Times New Roman" w:cs="Times New Roman"/>
                <w:b/>
                <w:bCs/>
              </w:rPr>
              <w:t>Log-Likelihood</w:t>
            </w:r>
          </w:p>
        </w:tc>
        <w:tc>
          <w:tcPr>
            <w:tcW w:w="1366" w:type="dxa"/>
            <w:vAlign w:val="center"/>
          </w:tcPr>
          <w:p w14:paraId="604D650C">
            <w:pPr>
              <w:spacing w:after="0" w:line="240" w:lineRule="auto"/>
              <w:jc w:val="center"/>
              <w:rPr>
                <w:rFonts w:ascii="Times New Roman" w:hAnsi="Times New Roman" w:cs="Times New Roman"/>
                <w:b/>
                <w:bCs/>
              </w:rPr>
            </w:pPr>
            <w:r>
              <w:rPr>
                <w:rFonts w:ascii="Times New Roman" w:hAnsi="Times New Roman" w:cs="Times New Roman"/>
                <w:b/>
                <w:bCs/>
              </w:rPr>
              <w:t>AIC</w:t>
            </w:r>
          </w:p>
        </w:tc>
        <w:tc>
          <w:tcPr>
            <w:tcW w:w="1251" w:type="dxa"/>
            <w:vAlign w:val="center"/>
          </w:tcPr>
          <w:p w14:paraId="142A691C">
            <w:pPr>
              <w:spacing w:after="0" w:line="240" w:lineRule="auto"/>
              <w:jc w:val="center"/>
              <w:rPr>
                <w:rFonts w:ascii="Times New Roman" w:hAnsi="Times New Roman" w:cs="Times New Roman"/>
                <w:b/>
                <w:bCs/>
              </w:rPr>
            </w:pPr>
            <w:r>
              <w:rPr>
                <w:rFonts w:ascii="Times New Roman" w:hAnsi="Times New Roman" w:cs="Times New Roman"/>
                <w:b/>
                <w:bCs/>
              </w:rPr>
              <w:t>BIC</w:t>
            </w:r>
          </w:p>
        </w:tc>
      </w:tr>
      <w:tr w14:paraId="6DC0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tcPr>
          <w:p w14:paraId="6F3D86C8">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p>
        </w:tc>
        <w:tc>
          <w:tcPr>
            <w:tcW w:w="2385" w:type="dxa"/>
            <w:vAlign w:val="bottom"/>
          </w:tcPr>
          <w:p w14:paraId="2668A80F">
            <w:pPr>
              <w:spacing w:after="0" w:line="240" w:lineRule="auto"/>
              <w:jc w:val="center"/>
              <w:rPr>
                <w:rFonts w:ascii="Times New Roman" w:hAnsi="Times New Roman" w:cs="Times New Roman"/>
              </w:rPr>
            </w:pPr>
            <w:r>
              <w:rPr>
                <w:rFonts w:ascii="Times New Roman" w:hAnsi="Times New Roman" w:cs="Times New Roman"/>
              </w:rPr>
              <w:t>SARIMA(2,0,2)(2,1,0)</w:t>
            </w:r>
            <w:r>
              <w:rPr>
                <w:rFonts w:ascii="Times New Roman" w:hAnsi="Times New Roman" w:cs="Times New Roman"/>
                <w:vertAlign w:val="subscript"/>
              </w:rPr>
              <w:t>12</w:t>
            </w:r>
          </w:p>
        </w:tc>
        <w:tc>
          <w:tcPr>
            <w:tcW w:w="1470" w:type="dxa"/>
            <w:vAlign w:val="bottom"/>
          </w:tcPr>
          <w:p w14:paraId="1804159A">
            <w:pPr>
              <w:spacing w:after="0" w:line="240" w:lineRule="auto"/>
              <w:jc w:val="center"/>
              <w:rPr>
                <w:rFonts w:ascii="Times New Roman" w:hAnsi="Times New Roman" w:cs="Times New Roman"/>
              </w:rPr>
            </w:pPr>
            <w:r>
              <w:rPr>
                <w:rFonts w:ascii="Times New Roman" w:hAnsi="Times New Roman" w:cs="Times New Roman"/>
              </w:rPr>
              <w:t>-1696.61</w:t>
            </w:r>
          </w:p>
        </w:tc>
        <w:tc>
          <w:tcPr>
            <w:tcW w:w="1366" w:type="dxa"/>
            <w:vAlign w:val="bottom"/>
          </w:tcPr>
          <w:p w14:paraId="6FBD79BA">
            <w:pPr>
              <w:spacing w:after="0" w:line="240" w:lineRule="auto"/>
              <w:jc w:val="center"/>
              <w:rPr>
                <w:rFonts w:ascii="Times New Roman" w:hAnsi="Times New Roman" w:cs="Times New Roman"/>
              </w:rPr>
            </w:pPr>
            <w:r>
              <w:rPr>
                <w:rFonts w:ascii="Times New Roman" w:hAnsi="Times New Roman" w:cs="Times New Roman"/>
              </w:rPr>
              <w:t>3409.22</w:t>
            </w:r>
          </w:p>
        </w:tc>
        <w:tc>
          <w:tcPr>
            <w:tcW w:w="1251" w:type="dxa"/>
          </w:tcPr>
          <w:p w14:paraId="52F3CB08">
            <w:pPr>
              <w:spacing w:after="0" w:line="240" w:lineRule="auto"/>
              <w:jc w:val="center"/>
              <w:rPr>
                <w:rFonts w:ascii="Times New Roman" w:hAnsi="Times New Roman" w:cs="Times New Roman"/>
              </w:rPr>
            </w:pPr>
            <w:r>
              <w:rPr>
                <w:rFonts w:ascii="Times New Roman" w:hAnsi="Times New Roman" w:cs="Times New Roman"/>
              </w:rPr>
              <w:t>3440.03</w:t>
            </w:r>
          </w:p>
        </w:tc>
      </w:tr>
      <w:tr w14:paraId="5CB8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tcPr>
          <w:p w14:paraId="1957E46C">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Aurad, </w:t>
            </w:r>
          </w:p>
        </w:tc>
        <w:tc>
          <w:tcPr>
            <w:tcW w:w="2385" w:type="dxa"/>
            <w:vAlign w:val="bottom"/>
          </w:tcPr>
          <w:p w14:paraId="5BE2C2FF">
            <w:pPr>
              <w:spacing w:after="0" w:line="240" w:lineRule="auto"/>
              <w:jc w:val="center"/>
              <w:rPr>
                <w:rFonts w:ascii="Times New Roman" w:hAnsi="Times New Roman" w:cs="Times New Roman"/>
              </w:rPr>
            </w:pPr>
            <w:r>
              <w:rPr>
                <w:rFonts w:ascii="Times New Roman" w:hAnsi="Times New Roman" w:cs="Times New Roman"/>
              </w:rPr>
              <w:t>SARIMA(1,0,0)(2,1,0)</w:t>
            </w:r>
            <w:r>
              <w:rPr>
                <w:rFonts w:ascii="Times New Roman" w:hAnsi="Times New Roman" w:cs="Times New Roman"/>
                <w:vertAlign w:val="subscript"/>
              </w:rPr>
              <w:t>12</w:t>
            </w:r>
          </w:p>
        </w:tc>
        <w:tc>
          <w:tcPr>
            <w:tcW w:w="1470" w:type="dxa"/>
            <w:vAlign w:val="bottom"/>
          </w:tcPr>
          <w:p w14:paraId="255FA095">
            <w:pPr>
              <w:spacing w:after="0" w:line="240" w:lineRule="auto"/>
              <w:jc w:val="center"/>
              <w:rPr>
                <w:rFonts w:ascii="Times New Roman" w:hAnsi="Times New Roman" w:cs="Times New Roman"/>
              </w:rPr>
            </w:pPr>
            <w:r>
              <w:rPr>
                <w:rFonts w:ascii="Times New Roman" w:hAnsi="Times New Roman" w:cs="Times New Roman"/>
              </w:rPr>
              <w:t>-1643.42</w:t>
            </w:r>
          </w:p>
        </w:tc>
        <w:tc>
          <w:tcPr>
            <w:tcW w:w="1366" w:type="dxa"/>
            <w:vAlign w:val="bottom"/>
          </w:tcPr>
          <w:p w14:paraId="60A035D7">
            <w:pPr>
              <w:spacing w:after="0" w:line="240" w:lineRule="auto"/>
              <w:jc w:val="center"/>
              <w:rPr>
                <w:rFonts w:ascii="Times New Roman" w:hAnsi="Times New Roman" w:cs="Times New Roman"/>
              </w:rPr>
            </w:pPr>
            <w:r>
              <w:rPr>
                <w:rFonts w:ascii="Times New Roman" w:hAnsi="Times New Roman" w:cs="Times New Roman"/>
              </w:rPr>
              <w:t>3296.83</w:t>
            </w:r>
          </w:p>
        </w:tc>
        <w:tc>
          <w:tcPr>
            <w:tcW w:w="1251" w:type="dxa"/>
          </w:tcPr>
          <w:p w14:paraId="7D3E5E68">
            <w:pPr>
              <w:spacing w:after="0" w:line="240" w:lineRule="auto"/>
              <w:jc w:val="center"/>
              <w:rPr>
                <w:rFonts w:ascii="Times New Roman" w:hAnsi="Times New Roman" w:cs="Times New Roman"/>
              </w:rPr>
            </w:pPr>
            <w:r>
              <w:rPr>
                <w:rFonts w:ascii="Times New Roman" w:hAnsi="Times New Roman" w:cs="Times New Roman"/>
              </w:rPr>
              <w:t>3316.1</w:t>
            </w:r>
          </w:p>
        </w:tc>
      </w:tr>
      <w:tr w14:paraId="3B6A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tcPr>
          <w:p w14:paraId="33A3A03B">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Bhalki, </w:t>
            </w:r>
          </w:p>
        </w:tc>
        <w:tc>
          <w:tcPr>
            <w:tcW w:w="2385" w:type="dxa"/>
            <w:vAlign w:val="bottom"/>
          </w:tcPr>
          <w:p w14:paraId="2746B939">
            <w:pPr>
              <w:spacing w:after="0" w:line="240" w:lineRule="auto"/>
              <w:jc w:val="center"/>
              <w:rPr>
                <w:rFonts w:ascii="Times New Roman" w:hAnsi="Times New Roman" w:cs="Times New Roman"/>
              </w:rPr>
            </w:pPr>
            <w:r>
              <w:rPr>
                <w:rFonts w:ascii="Times New Roman" w:hAnsi="Times New Roman" w:cs="Times New Roman"/>
              </w:rPr>
              <w:t>SARIMA(2,0,2)(2,1,0)</w:t>
            </w:r>
            <w:r>
              <w:rPr>
                <w:rFonts w:ascii="Times New Roman" w:hAnsi="Times New Roman" w:cs="Times New Roman"/>
                <w:vertAlign w:val="subscript"/>
              </w:rPr>
              <w:t>12</w:t>
            </w:r>
          </w:p>
        </w:tc>
        <w:tc>
          <w:tcPr>
            <w:tcW w:w="1470" w:type="dxa"/>
            <w:vAlign w:val="bottom"/>
          </w:tcPr>
          <w:p w14:paraId="5F3C859D">
            <w:pPr>
              <w:spacing w:after="0" w:line="240" w:lineRule="auto"/>
              <w:jc w:val="center"/>
              <w:rPr>
                <w:rFonts w:ascii="Times New Roman" w:hAnsi="Times New Roman" w:cs="Times New Roman"/>
              </w:rPr>
            </w:pPr>
            <w:r>
              <w:rPr>
                <w:rFonts w:ascii="Times New Roman" w:hAnsi="Times New Roman" w:cs="Times New Roman"/>
              </w:rPr>
              <w:t>-1648.44</w:t>
            </w:r>
          </w:p>
        </w:tc>
        <w:tc>
          <w:tcPr>
            <w:tcW w:w="1366" w:type="dxa"/>
            <w:vAlign w:val="bottom"/>
          </w:tcPr>
          <w:p w14:paraId="2FDEC3EF">
            <w:pPr>
              <w:spacing w:after="0" w:line="240" w:lineRule="auto"/>
              <w:jc w:val="center"/>
              <w:rPr>
                <w:rFonts w:ascii="Times New Roman" w:hAnsi="Times New Roman" w:cs="Times New Roman"/>
              </w:rPr>
            </w:pPr>
            <w:r>
              <w:rPr>
                <w:rFonts w:ascii="Times New Roman" w:hAnsi="Times New Roman" w:cs="Times New Roman"/>
              </w:rPr>
              <w:t>3312.88</w:t>
            </w:r>
          </w:p>
        </w:tc>
        <w:tc>
          <w:tcPr>
            <w:tcW w:w="1251" w:type="dxa"/>
          </w:tcPr>
          <w:p w14:paraId="100F70E2">
            <w:pPr>
              <w:spacing w:after="0" w:line="240" w:lineRule="auto"/>
              <w:jc w:val="center"/>
              <w:rPr>
                <w:rFonts w:ascii="Times New Roman" w:hAnsi="Times New Roman" w:cs="Times New Roman"/>
              </w:rPr>
            </w:pPr>
            <w:r>
              <w:rPr>
                <w:rFonts w:ascii="Times New Roman" w:hAnsi="Times New Roman" w:cs="Times New Roman"/>
              </w:rPr>
              <w:t>3343.7</w:t>
            </w:r>
          </w:p>
        </w:tc>
      </w:tr>
      <w:tr w14:paraId="5581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tcPr>
          <w:p w14:paraId="76F535D7">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Humnabad, </w:t>
            </w:r>
          </w:p>
        </w:tc>
        <w:tc>
          <w:tcPr>
            <w:tcW w:w="2385" w:type="dxa"/>
            <w:vAlign w:val="bottom"/>
          </w:tcPr>
          <w:p w14:paraId="381F6680">
            <w:pPr>
              <w:spacing w:after="0" w:line="240" w:lineRule="auto"/>
              <w:jc w:val="center"/>
              <w:rPr>
                <w:rFonts w:ascii="Times New Roman" w:hAnsi="Times New Roman" w:cs="Times New Roman"/>
              </w:rPr>
            </w:pPr>
            <w:r>
              <w:rPr>
                <w:rFonts w:ascii="Times New Roman" w:hAnsi="Times New Roman" w:cs="Times New Roman"/>
              </w:rPr>
              <w:t>SARIMA(2,0,2)(2,1,0)</w:t>
            </w:r>
            <w:r>
              <w:rPr>
                <w:rFonts w:ascii="Times New Roman" w:hAnsi="Times New Roman" w:cs="Times New Roman"/>
                <w:vertAlign w:val="subscript"/>
              </w:rPr>
              <w:t>12</w:t>
            </w:r>
          </w:p>
        </w:tc>
        <w:tc>
          <w:tcPr>
            <w:tcW w:w="1470" w:type="dxa"/>
            <w:vAlign w:val="bottom"/>
          </w:tcPr>
          <w:p w14:paraId="27AC1DD5">
            <w:pPr>
              <w:spacing w:after="0" w:line="240" w:lineRule="auto"/>
              <w:jc w:val="center"/>
              <w:rPr>
                <w:rFonts w:ascii="Times New Roman" w:hAnsi="Times New Roman" w:cs="Times New Roman"/>
              </w:rPr>
            </w:pPr>
            <w:r>
              <w:rPr>
                <w:rFonts w:ascii="Times New Roman" w:hAnsi="Times New Roman" w:cs="Times New Roman"/>
              </w:rPr>
              <w:t>-1601.17</w:t>
            </w:r>
          </w:p>
        </w:tc>
        <w:tc>
          <w:tcPr>
            <w:tcW w:w="1366" w:type="dxa"/>
            <w:vAlign w:val="bottom"/>
          </w:tcPr>
          <w:p w14:paraId="11014C59">
            <w:pPr>
              <w:spacing w:after="0" w:line="240" w:lineRule="auto"/>
              <w:jc w:val="center"/>
              <w:rPr>
                <w:rFonts w:ascii="Times New Roman" w:hAnsi="Times New Roman" w:cs="Times New Roman"/>
              </w:rPr>
            </w:pPr>
            <w:commentRangeStart w:id="6"/>
            <w:r>
              <w:rPr>
                <w:rFonts w:ascii="Times New Roman" w:hAnsi="Times New Roman" w:cs="Times New Roman"/>
              </w:rPr>
              <w:t>3218.33</w:t>
            </w:r>
          </w:p>
        </w:tc>
        <w:tc>
          <w:tcPr>
            <w:tcW w:w="1251" w:type="dxa"/>
          </w:tcPr>
          <w:p w14:paraId="79DAAF3F">
            <w:pPr>
              <w:spacing w:after="0" w:line="240" w:lineRule="auto"/>
              <w:jc w:val="center"/>
              <w:rPr>
                <w:rFonts w:ascii="Times New Roman" w:hAnsi="Times New Roman" w:cs="Times New Roman"/>
              </w:rPr>
            </w:pPr>
            <w:r>
              <w:rPr>
                <w:rFonts w:ascii="Times New Roman" w:hAnsi="Times New Roman" w:cs="Times New Roman"/>
              </w:rPr>
              <w:t>3249.15</w:t>
            </w:r>
            <w:commentRangeEnd w:id="6"/>
            <w:r>
              <w:commentReference w:id="6"/>
            </w:r>
          </w:p>
        </w:tc>
      </w:tr>
      <w:tr w14:paraId="58DA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tcPr>
          <w:p w14:paraId="7603AD9F">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Basavakalyan</w:t>
            </w:r>
          </w:p>
        </w:tc>
        <w:tc>
          <w:tcPr>
            <w:tcW w:w="2385" w:type="dxa"/>
            <w:vAlign w:val="bottom"/>
          </w:tcPr>
          <w:p w14:paraId="0628AA32">
            <w:pPr>
              <w:spacing w:after="0" w:line="240" w:lineRule="auto"/>
              <w:jc w:val="center"/>
              <w:rPr>
                <w:rFonts w:ascii="Times New Roman" w:hAnsi="Times New Roman" w:cs="Times New Roman"/>
              </w:rPr>
            </w:pPr>
            <w:r>
              <w:rPr>
                <w:rFonts w:ascii="Times New Roman" w:hAnsi="Times New Roman" w:cs="Times New Roman"/>
              </w:rPr>
              <w:t>SARIMA(1,0,0)(2,1,0)</w:t>
            </w:r>
            <w:r>
              <w:rPr>
                <w:rFonts w:ascii="Times New Roman" w:hAnsi="Times New Roman" w:cs="Times New Roman"/>
                <w:vertAlign w:val="subscript"/>
              </w:rPr>
              <w:t>12</w:t>
            </w:r>
          </w:p>
        </w:tc>
        <w:tc>
          <w:tcPr>
            <w:tcW w:w="1470" w:type="dxa"/>
            <w:vAlign w:val="bottom"/>
          </w:tcPr>
          <w:p w14:paraId="6115F656">
            <w:pPr>
              <w:spacing w:after="0" w:line="240" w:lineRule="auto"/>
              <w:jc w:val="center"/>
              <w:rPr>
                <w:rFonts w:ascii="Times New Roman" w:hAnsi="Times New Roman" w:cs="Times New Roman"/>
              </w:rPr>
            </w:pPr>
            <w:r>
              <w:rPr>
                <w:rFonts w:ascii="Times New Roman" w:hAnsi="Times New Roman" w:cs="Times New Roman"/>
              </w:rPr>
              <w:t>-1643.42</w:t>
            </w:r>
          </w:p>
        </w:tc>
        <w:tc>
          <w:tcPr>
            <w:tcW w:w="1366" w:type="dxa"/>
            <w:vAlign w:val="bottom"/>
          </w:tcPr>
          <w:p w14:paraId="22982799">
            <w:pPr>
              <w:spacing w:after="0" w:line="240" w:lineRule="auto"/>
              <w:jc w:val="center"/>
              <w:rPr>
                <w:rFonts w:ascii="Times New Roman" w:hAnsi="Times New Roman" w:cs="Times New Roman"/>
              </w:rPr>
            </w:pPr>
            <w:r>
              <w:rPr>
                <w:rFonts w:ascii="Times New Roman" w:hAnsi="Times New Roman" w:cs="Times New Roman"/>
              </w:rPr>
              <w:t>3296.83</w:t>
            </w:r>
          </w:p>
        </w:tc>
        <w:tc>
          <w:tcPr>
            <w:tcW w:w="1251" w:type="dxa"/>
          </w:tcPr>
          <w:p w14:paraId="4233D0B4">
            <w:pPr>
              <w:spacing w:after="0" w:line="240" w:lineRule="auto"/>
              <w:jc w:val="center"/>
              <w:rPr>
                <w:rFonts w:ascii="Times New Roman" w:hAnsi="Times New Roman" w:cs="Times New Roman"/>
              </w:rPr>
            </w:pPr>
            <w:r>
              <w:rPr>
                <w:rFonts w:ascii="Times New Roman" w:hAnsi="Times New Roman" w:cs="Times New Roman"/>
              </w:rPr>
              <w:t>3316.1</w:t>
            </w:r>
          </w:p>
        </w:tc>
      </w:tr>
    </w:tbl>
    <w:p w14:paraId="4D657CDF">
      <w:pPr>
        <w:rPr>
          <w:rFonts w:ascii="Times New Roman" w:hAnsi="Times New Roman" w:cs="Times New Roman"/>
          <w:b/>
        </w:rPr>
      </w:pPr>
    </w:p>
    <w:p w14:paraId="49745C77">
      <w:pPr>
        <w:rPr>
          <w:rFonts w:ascii="Times New Roman" w:hAnsi="Times New Roman" w:cs="Times New Roman"/>
          <w:b/>
        </w:rPr>
      </w:pPr>
    </w:p>
    <w:p w14:paraId="100C18D3">
      <w:pPr>
        <w:rPr>
          <w:rFonts w:ascii="Times New Roman" w:hAnsi="Times New Roman" w:cs="Times New Roman"/>
          <w:b/>
        </w:rPr>
      </w:pPr>
    </w:p>
    <w:p w14:paraId="3B211717">
      <w:pPr>
        <w:rPr>
          <w:rFonts w:ascii="Times New Roman" w:hAnsi="Times New Roman" w:cs="Times New Roman"/>
          <w:b/>
        </w:rPr>
      </w:pPr>
    </w:p>
    <w:p w14:paraId="7F7FAF48">
      <w:pPr>
        <w:rPr>
          <w:rFonts w:ascii="Times New Roman" w:hAnsi="Times New Roman" w:cs="Times New Roman"/>
          <w:b/>
        </w:rPr>
      </w:pPr>
    </w:p>
    <w:p w14:paraId="60746CDE">
      <w:pPr>
        <w:rPr>
          <w:rFonts w:ascii="Times New Roman" w:hAnsi="Times New Roman" w:cs="Times New Roman"/>
          <w:b/>
        </w:rPr>
      </w:pPr>
    </w:p>
    <w:p w14:paraId="6D816978">
      <w:pPr>
        <w:rPr>
          <w:rFonts w:ascii="Times New Roman" w:hAnsi="Times New Roman" w:cs="Times New Roman"/>
          <w:b/>
        </w:rPr>
      </w:pPr>
    </w:p>
    <w:p w14:paraId="32FC93AD">
      <w:pPr>
        <w:rPr>
          <w:rFonts w:ascii="Times New Roman" w:hAnsi="Times New Roman" w:cs="Times New Roman"/>
          <w:b/>
        </w:rPr>
      </w:pPr>
    </w:p>
    <w:p w14:paraId="63589A12">
      <w:pPr>
        <w:rPr>
          <w:rFonts w:ascii="Times New Roman" w:hAnsi="Times New Roman" w:cs="Times New Roman"/>
          <w:b/>
        </w:rPr>
      </w:pPr>
    </w:p>
    <w:p w14:paraId="27F00FDD">
      <w:pPr>
        <w:jc w:val="center"/>
        <w:rPr>
          <w:rFonts w:ascii="Times New Roman" w:hAnsi="Times New Roman" w:cs="Times New Roman"/>
          <w:b/>
        </w:rPr>
      </w:pPr>
      <w:r>
        <w:rPr>
          <w:rFonts w:ascii="Times New Roman" w:hAnsi="Times New Roman" w:cs="Times New Roman"/>
          <w:b/>
        </w:rPr>
        <w:t>Table 4 Parameter estimation of SARIMA by maximum likelihood method for different station</w:t>
      </w:r>
    </w:p>
    <w:tbl>
      <w:tblPr>
        <w:tblStyle w:val="3"/>
        <w:tblW w:w="9096" w:type="dxa"/>
        <w:jc w:val="center"/>
        <w:tblLayout w:type="fixed"/>
        <w:tblCellMar>
          <w:top w:w="0" w:type="dxa"/>
          <w:left w:w="108" w:type="dxa"/>
          <w:bottom w:w="0" w:type="dxa"/>
          <w:right w:w="108" w:type="dxa"/>
        </w:tblCellMar>
      </w:tblPr>
      <w:tblGrid>
        <w:gridCol w:w="1716"/>
        <w:gridCol w:w="1776"/>
        <w:gridCol w:w="1352"/>
        <w:gridCol w:w="1134"/>
        <w:gridCol w:w="951"/>
        <w:gridCol w:w="1175"/>
        <w:gridCol w:w="992"/>
      </w:tblGrid>
      <w:tr w14:paraId="4D3A1784">
        <w:tblPrEx>
          <w:tblCellMar>
            <w:top w:w="0" w:type="dxa"/>
            <w:left w:w="108" w:type="dxa"/>
            <w:bottom w:w="0" w:type="dxa"/>
            <w:right w:w="108" w:type="dxa"/>
          </w:tblCellMar>
        </w:tblPrEx>
        <w:trPr>
          <w:trHeight w:val="615" w:hRule="atLeast"/>
          <w:jc w:val="center"/>
        </w:trPr>
        <w:tc>
          <w:tcPr>
            <w:tcW w:w="1716" w:type="dxa"/>
            <w:tcBorders>
              <w:top w:val="single" w:color="auto" w:sz="8" w:space="0"/>
              <w:left w:val="single" w:color="auto" w:sz="8" w:space="0"/>
              <w:bottom w:val="single" w:color="auto" w:sz="8" w:space="0"/>
              <w:right w:val="single" w:color="auto" w:sz="8" w:space="0"/>
            </w:tcBorders>
            <w:shd w:val="clear" w:color="auto" w:fill="auto"/>
            <w:vAlign w:val="center"/>
          </w:tcPr>
          <w:p w14:paraId="3F9D6B8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Station</w:t>
            </w:r>
          </w:p>
        </w:tc>
        <w:tc>
          <w:tcPr>
            <w:tcW w:w="1776" w:type="dxa"/>
            <w:tcBorders>
              <w:top w:val="single" w:color="auto" w:sz="8" w:space="0"/>
              <w:left w:val="nil"/>
              <w:bottom w:val="single" w:color="auto" w:sz="8" w:space="0"/>
              <w:right w:val="single" w:color="auto" w:sz="8" w:space="0"/>
            </w:tcBorders>
            <w:shd w:val="clear" w:color="auto" w:fill="auto"/>
            <w:vAlign w:val="center"/>
          </w:tcPr>
          <w:p w14:paraId="1531DBA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Model</w:t>
            </w:r>
          </w:p>
        </w:tc>
        <w:tc>
          <w:tcPr>
            <w:tcW w:w="1352" w:type="dxa"/>
            <w:tcBorders>
              <w:top w:val="single" w:color="auto" w:sz="8" w:space="0"/>
              <w:left w:val="nil"/>
              <w:bottom w:val="single" w:color="auto" w:sz="8" w:space="0"/>
              <w:right w:val="single" w:color="auto" w:sz="8" w:space="0"/>
            </w:tcBorders>
            <w:shd w:val="clear" w:color="auto" w:fill="auto"/>
            <w:vAlign w:val="center"/>
          </w:tcPr>
          <w:p w14:paraId="34C45A74">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Parameters</w:t>
            </w:r>
          </w:p>
        </w:tc>
        <w:tc>
          <w:tcPr>
            <w:tcW w:w="1134" w:type="dxa"/>
            <w:tcBorders>
              <w:top w:val="single" w:color="auto" w:sz="8" w:space="0"/>
              <w:left w:val="nil"/>
              <w:bottom w:val="single" w:color="auto" w:sz="8" w:space="0"/>
              <w:right w:val="single" w:color="auto" w:sz="8" w:space="0"/>
            </w:tcBorders>
            <w:shd w:val="clear" w:color="auto" w:fill="auto"/>
            <w:vAlign w:val="center"/>
          </w:tcPr>
          <w:p w14:paraId="6BCEE43D">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Estimate</w:t>
            </w:r>
          </w:p>
        </w:tc>
        <w:tc>
          <w:tcPr>
            <w:tcW w:w="951" w:type="dxa"/>
            <w:tcBorders>
              <w:top w:val="single" w:color="auto" w:sz="8" w:space="0"/>
              <w:left w:val="nil"/>
              <w:bottom w:val="single" w:color="auto" w:sz="8" w:space="0"/>
              <w:right w:val="single" w:color="auto" w:sz="8" w:space="0"/>
            </w:tcBorders>
            <w:shd w:val="clear" w:color="auto" w:fill="auto"/>
            <w:vAlign w:val="center"/>
          </w:tcPr>
          <w:p w14:paraId="7B16D8A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S.E.</w:t>
            </w:r>
          </w:p>
        </w:tc>
        <w:tc>
          <w:tcPr>
            <w:tcW w:w="1175" w:type="dxa"/>
            <w:tcBorders>
              <w:top w:val="single" w:color="auto" w:sz="8" w:space="0"/>
              <w:left w:val="nil"/>
              <w:bottom w:val="single" w:color="auto" w:sz="8" w:space="0"/>
              <w:right w:val="single" w:color="auto" w:sz="8" w:space="0"/>
            </w:tcBorders>
            <w:shd w:val="clear" w:color="auto" w:fill="auto"/>
            <w:vAlign w:val="center"/>
          </w:tcPr>
          <w:p w14:paraId="3682F02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Z value</w:t>
            </w:r>
          </w:p>
        </w:tc>
        <w:tc>
          <w:tcPr>
            <w:tcW w:w="992" w:type="dxa"/>
            <w:tcBorders>
              <w:top w:val="single" w:color="auto" w:sz="8" w:space="0"/>
              <w:left w:val="nil"/>
              <w:bottom w:val="single" w:color="auto" w:sz="8" w:space="0"/>
              <w:right w:val="single" w:color="auto" w:sz="8" w:space="0"/>
            </w:tcBorders>
            <w:shd w:val="clear" w:color="auto" w:fill="auto"/>
            <w:vAlign w:val="center"/>
          </w:tcPr>
          <w:p w14:paraId="58443F3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P-value</w:t>
            </w:r>
          </w:p>
        </w:tc>
      </w:tr>
      <w:tr w14:paraId="11A30908">
        <w:tblPrEx>
          <w:tblCellMar>
            <w:top w:w="0" w:type="dxa"/>
            <w:left w:w="108" w:type="dxa"/>
            <w:bottom w:w="0" w:type="dxa"/>
            <w:right w:w="108" w:type="dxa"/>
          </w:tblCellMar>
        </w:tblPrEx>
        <w:trPr>
          <w:trHeight w:val="315" w:hRule="atLeast"/>
          <w:jc w:val="center"/>
        </w:trPr>
        <w:tc>
          <w:tcPr>
            <w:tcW w:w="1716" w:type="dxa"/>
            <w:vMerge w:val="restart"/>
            <w:tcBorders>
              <w:top w:val="nil"/>
              <w:left w:val="single" w:color="auto" w:sz="8" w:space="0"/>
              <w:bottom w:val="single" w:color="000000" w:sz="8" w:space="0"/>
              <w:right w:val="single" w:color="auto" w:sz="8" w:space="0"/>
            </w:tcBorders>
            <w:shd w:val="clear" w:color="auto" w:fill="auto"/>
          </w:tcPr>
          <w:p w14:paraId="48A50A6E">
            <w:pPr>
              <w:spacing w:after="0" w:line="240" w:lineRule="auto"/>
              <w:jc w:val="center"/>
              <w:rPr>
                <w:rFonts w:ascii="Times New Roman" w:hAnsi="Times New Roman" w:cs="Times New Roman"/>
                <w:color w:val="000000"/>
                <w:sz w:val="24"/>
                <w:szCs w:val="24"/>
                <w:shd w:val="clear" w:color="auto" w:fill="FFFFFF"/>
              </w:rPr>
            </w:pPr>
          </w:p>
          <w:p w14:paraId="7E8DF1E1">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p>
          <w:p w14:paraId="26852F5D">
            <w:pPr>
              <w:spacing w:after="0" w:line="240" w:lineRule="auto"/>
              <w:jc w:val="center"/>
              <w:rPr>
                <w:rFonts w:ascii="Times New Roman" w:hAnsi="Times New Roman" w:cs="Times New Roman"/>
              </w:rPr>
            </w:pPr>
          </w:p>
        </w:tc>
        <w:tc>
          <w:tcPr>
            <w:tcW w:w="1776" w:type="dxa"/>
            <w:vMerge w:val="restart"/>
            <w:tcBorders>
              <w:top w:val="nil"/>
              <w:left w:val="nil"/>
              <w:right w:val="single" w:color="auto" w:sz="8" w:space="0"/>
            </w:tcBorders>
            <w:shd w:val="clear" w:color="auto" w:fill="auto"/>
            <w:vAlign w:val="center"/>
          </w:tcPr>
          <w:p w14:paraId="0DF85A7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rPr>
              <w:t>SARIMA (2,0,2)(2,1,0)</w:t>
            </w:r>
            <w:r>
              <w:rPr>
                <w:rFonts w:ascii="Times New Roman" w:hAnsi="Times New Roman" w:cs="Times New Roman"/>
                <w:vertAlign w:val="subscript"/>
              </w:rPr>
              <w:t>12</w:t>
            </w:r>
          </w:p>
        </w:tc>
        <w:tc>
          <w:tcPr>
            <w:tcW w:w="1352" w:type="dxa"/>
            <w:tcBorders>
              <w:top w:val="nil"/>
              <w:left w:val="nil"/>
              <w:bottom w:val="single" w:color="auto" w:sz="8" w:space="0"/>
              <w:right w:val="single" w:color="auto" w:sz="8" w:space="0"/>
            </w:tcBorders>
            <w:shd w:val="clear" w:color="auto" w:fill="auto"/>
            <w:vAlign w:val="center"/>
          </w:tcPr>
          <w:p w14:paraId="0BB30BC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AR1</w:t>
            </w:r>
          </w:p>
        </w:tc>
        <w:tc>
          <w:tcPr>
            <w:tcW w:w="1134" w:type="dxa"/>
            <w:tcBorders>
              <w:top w:val="nil"/>
              <w:left w:val="nil"/>
              <w:bottom w:val="single" w:color="auto" w:sz="8" w:space="0"/>
              <w:right w:val="single" w:color="auto" w:sz="8" w:space="0"/>
            </w:tcBorders>
            <w:shd w:val="clear" w:color="auto" w:fill="auto"/>
            <w:vAlign w:val="bottom"/>
          </w:tcPr>
          <w:p w14:paraId="6ED8946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0.003032</w:t>
            </w:r>
          </w:p>
        </w:tc>
        <w:tc>
          <w:tcPr>
            <w:tcW w:w="951" w:type="dxa"/>
            <w:tcBorders>
              <w:top w:val="nil"/>
              <w:left w:val="nil"/>
              <w:bottom w:val="single" w:color="auto" w:sz="8" w:space="0"/>
              <w:right w:val="single" w:color="auto" w:sz="8" w:space="0"/>
            </w:tcBorders>
            <w:shd w:val="clear" w:color="auto" w:fill="auto"/>
            <w:vAlign w:val="bottom"/>
          </w:tcPr>
          <w:p w14:paraId="05C1567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0.4114</w:t>
            </w:r>
          </w:p>
        </w:tc>
        <w:tc>
          <w:tcPr>
            <w:tcW w:w="1175" w:type="dxa"/>
            <w:tcBorders>
              <w:top w:val="nil"/>
              <w:left w:val="nil"/>
              <w:bottom w:val="single" w:color="auto" w:sz="8" w:space="0"/>
              <w:right w:val="single" w:color="auto" w:sz="8" w:space="0"/>
            </w:tcBorders>
            <w:shd w:val="clear" w:color="auto" w:fill="auto"/>
            <w:vAlign w:val="bottom"/>
          </w:tcPr>
          <w:p w14:paraId="651DAA4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0.0074</w:t>
            </w:r>
          </w:p>
        </w:tc>
        <w:tc>
          <w:tcPr>
            <w:tcW w:w="992" w:type="dxa"/>
            <w:tcBorders>
              <w:top w:val="nil"/>
              <w:left w:val="nil"/>
              <w:bottom w:val="single" w:color="auto" w:sz="8" w:space="0"/>
              <w:right w:val="single" w:color="auto" w:sz="8" w:space="0"/>
            </w:tcBorders>
            <w:shd w:val="clear" w:color="auto" w:fill="auto"/>
            <w:vAlign w:val="bottom"/>
          </w:tcPr>
          <w:p w14:paraId="3E1A4A5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0.9941</w:t>
            </w:r>
          </w:p>
        </w:tc>
      </w:tr>
      <w:tr w14:paraId="0FC63128">
        <w:tblPrEx>
          <w:tblCellMar>
            <w:top w:w="0" w:type="dxa"/>
            <w:left w:w="108" w:type="dxa"/>
            <w:bottom w:w="0" w:type="dxa"/>
            <w:right w:w="108" w:type="dxa"/>
          </w:tblCellMar>
        </w:tblPrEx>
        <w:trPr>
          <w:trHeight w:val="355" w:hRule="atLeast"/>
          <w:jc w:val="center"/>
        </w:trPr>
        <w:tc>
          <w:tcPr>
            <w:tcW w:w="1716" w:type="dxa"/>
            <w:vMerge w:val="continue"/>
            <w:tcBorders>
              <w:top w:val="nil"/>
              <w:left w:val="single" w:color="auto" w:sz="8" w:space="0"/>
              <w:bottom w:val="single" w:color="000000" w:sz="8" w:space="0"/>
              <w:right w:val="single" w:color="auto" w:sz="8" w:space="0"/>
            </w:tcBorders>
          </w:tcPr>
          <w:p w14:paraId="369E436F">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right w:val="single" w:color="auto" w:sz="8" w:space="0"/>
            </w:tcBorders>
            <w:shd w:val="clear" w:color="auto" w:fill="auto"/>
            <w:vAlign w:val="center"/>
          </w:tcPr>
          <w:p w14:paraId="708DD6C2">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0C74BDB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AR2</w:t>
            </w:r>
          </w:p>
        </w:tc>
        <w:tc>
          <w:tcPr>
            <w:tcW w:w="1134" w:type="dxa"/>
            <w:tcBorders>
              <w:top w:val="nil"/>
              <w:left w:val="nil"/>
              <w:bottom w:val="single" w:color="auto" w:sz="8" w:space="0"/>
              <w:right w:val="single" w:color="auto" w:sz="8" w:space="0"/>
            </w:tcBorders>
            <w:shd w:val="clear" w:color="auto" w:fill="auto"/>
            <w:vAlign w:val="bottom"/>
          </w:tcPr>
          <w:p w14:paraId="759F35C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0.147119</w:t>
            </w:r>
          </w:p>
        </w:tc>
        <w:tc>
          <w:tcPr>
            <w:tcW w:w="951" w:type="dxa"/>
            <w:tcBorders>
              <w:top w:val="nil"/>
              <w:left w:val="nil"/>
              <w:bottom w:val="single" w:color="auto" w:sz="8" w:space="0"/>
              <w:right w:val="single" w:color="auto" w:sz="8" w:space="0"/>
            </w:tcBorders>
            <w:shd w:val="clear" w:color="auto" w:fill="auto"/>
            <w:vAlign w:val="bottom"/>
          </w:tcPr>
          <w:p w14:paraId="77DDF4E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0.3059</w:t>
            </w:r>
          </w:p>
        </w:tc>
        <w:tc>
          <w:tcPr>
            <w:tcW w:w="1175" w:type="dxa"/>
            <w:tcBorders>
              <w:top w:val="nil"/>
              <w:left w:val="nil"/>
              <w:bottom w:val="single" w:color="auto" w:sz="8" w:space="0"/>
              <w:right w:val="single" w:color="auto" w:sz="8" w:space="0"/>
            </w:tcBorders>
            <w:shd w:val="clear" w:color="auto" w:fill="auto"/>
            <w:vAlign w:val="bottom"/>
          </w:tcPr>
          <w:p w14:paraId="1908CFA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0.4808</w:t>
            </w:r>
          </w:p>
        </w:tc>
        <w:tc>
          <w:tcPr>
            <w:tcW w:w="992" w:type="dxa"/>
            <w:tcBorders>
              <w:top w:val="nil"/>
              <w:left w:val="nil"/>
              <w:bottom w:val="single" w:color="auto" w:sz="8" w:space="0"/>
              <w:right w:val="single" w:color="auto" w:sz="8" w:space="0"/>
            </w:tcBorders>
            <w:shd w:val="clear" w:color="auto" w:fill="auto"/>
            <w:vAlign w:val="bottom"/>
          </w:tcPr>
          <w:p w14:paraId="0212369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0.6306</w:t>
            </w:r>
          </w:p>
        </w:tc>
      </w:tr>
      <w:tr w14:paraId="271F7FCD">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41587246">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right w:val="single" w:color="auto" w:sz="8" w:space="0"/>
            </w:tcBorders>
            <w:shd w:val="clear" w:color="auto" w:fill="auto"/>
            <w:vAlign w:val="center"/>
          </w:tcPr>
          <w:p w14:paraId="7924AE62">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0F42E65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MA1</w:t>
            </w:r>
          </w:p>
        </w:tc>
        <w:tc>
          <w:tcPr>
            <w:tcW w:w="1134" w:type="dxa"/>
            <w:tcBorders>
              <w:top w:val="nil"/>
              <w:left w:val="nil"/>
              <w:bottom w:val="single" w:color="auto" w:sz="8" w:space="0"/>
              <w:right w:val="single" w:color="auto" w:sz="8" w:space="0"/>
            </w:tcBorders>
            <w:shd w:val="clear" w:color="auto" w:fill="auto"/>
            <w:vAlign w:val="bottom"/>
          </w:tcPr>
          <w:p w14:paraId="148B00C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0.266402</w:t>
            </w:r>
          </w:p>
        </w:tc>
        <w:tc>
          <w:tcPr>
            <w:tcW w:w="951" w:type="dxa"/>
            <w:tcBorders>
              <w:top w:val="nil"/>
              <w:left w:val="nil"/>
              <w:bottom w:val="single" w:color="auto" w:sz="8" w:space="0"/>
              <w:right w:val="single" w:color="auto" w:sz="8" w:space="0"/>
            </w:tcBorders>
            <w:shd w:val="clear" w:color="auto" w:fill="auto"/>
            <w:vAlign w:val="bottom"/>
          </w:tcPr>
          <w:p w14:paraId="33A8B69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0.4111</w:t>
            </w:r>
          </w:p>
        </w:tc>
        <w:tc>
          <w:tcPr>
            <w:tcW w:w="1175" w:type="dxa"/>
            <w:tcBorders>
              <w:top w:val="nil"/>
              <w:left w:val="nil"/>
              <w:bottom w:val="single" w:color="auto" w:sz="8" w:space="0"/>
              <w:right w:val="single" w:color="auto" w:sz="8" w:space="0"/>
            </w:tcBorders>
            <w:shd w:val="clear" w:color="auto" w:fill="auto"/>
            <w:vAlign w:val="bottom"/>
          </w:tcPr>
          <w:p w14:paraId="6A71ADD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0.6479</w:t>
            </w:r>
          </w:p>
        </w:tc>
        <w:tc>
          <w:tcPr>
            <w:tcW w:w="992" w:type="dxa"/>
            <w:tcBorders>
              <w:top w:val="nil"/>
              <w:left w:val="nil"/>
              <w:bottom w:val="single" w:color="auto" w:sz="8" w:space="0"/>
              <w:right w:val="single" w:color="auto" w:sz="8" w:space="0"/>
            </w:tcBorders>
            <w:shd w:val="clear" w:color="auto" w:fill="auto"/>
            <w:vAlign w:val="bottom"/>
          </w:tcPr>
          <w:p w14:paraId="262651D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0.517</w:t>
            </w:r>
          </w:p>
        </w:tc>
      </w:tr>
      <w:tr w14:paraId="37D2307C">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7E76A041">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right w:val="single" w:color="auto" w:sz="8" w:space="0"/>
            </w:tcBorders>
            <w:shd w:val="clear" w:color="auto" w:fill="auto"/>
            <w:vAlign w:val="center"/>
          </w:tcPr>
          <w:p w14:paraId="27EED414">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104ABD7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MA2</w:t>
            </w:r>
          </w:p>
        </w:tc>
        <w:tc>
          <w:tcPr>
            <w:tcW w:w="1134" w:type="dxa"/>
            <w:tcBorders>
              <w:top w:val="nil"/>
              <w:left w:val="nil"/>
              <w:bottom w:val="single" w:color="auto" w:sz="8" w:space="0"/>
              <w:right w:val="single" w:color="auto" w:sz="8" w:space="0"/>
            </w:tcBorders>
            <w:shd w:val="clear" w:color="auto" w:fill="auto"/>
            <w:vAlign w:val="bottom"/>
          </w:tcPr>
          <w:p w14:paraId="1E541D0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0.054287</w:t>
            </w:r>
          </w:p>
        </w:tc>
        <w:tc>
          <w:tcPr>
            <w:tcW w:w="951" w:type="dxa"/>
            <w:tcBorders>
              <w:top w:val="nil"/>
              <w:left w:val="nil"/>
              <w:bottom w:val="single" w:color="auto" w:sz="8" w:space="0"/>
              <w:right w:val="single" w:color="auto" w:sz="8" w:space="0"/>
            </w:tcBorders>
            <w:shd w:val="clear" w:color="auto" w:fill="auto"/>
            <w:vAlign w:val="bottom"/>
          </w:tcPr>
          <w:p w14:paraId="1BEB883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0.2376</w:t>
            </w:r>
          </w:p>
        </w:tc>
        <w:tc>
          <w:tcPr>
            <w:tcW w:w="1175" w:type="dxa"/>
            <w:tcBorders>
              <w:top w:val="nil"/>
              <w:left w:val="nil"/>
              <w:bottom w:val="single" w:color="auto" w:sz="8" w:space="0"/>
              <w:right w:val="single" w:color="auto" w:sz="8" w:space="0"/>
            </w:tcBorders>
            <w:shd w:val="clear" w:color="auto" w:fill="auto"/>
            <w:vAlign w:val="bottom"/>
          </w:tcPr>
          <w:p w14:paraId="35D56F9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0.2284</w:t>
            </w:r>
          </w:p>
        </w:tc>
        <w:tc>
          <w:tcPr>
            <w:tcW w:w="992" w:type="dxa"/>
            <w:tcBorders>
              <w:top w:val="nil"/>
              <w:left w:val="nil"/>
              <w:bottom w:val="single" w:color="auto" w:sz="8" w:space="0"/>
              <w:right w:val="single" w:color="auto" w:sz="8" w:space="0"/>
            </w:tcBorders>
            <w:shd w:val="clear" w:color="auto" w:fill="auto"/>
            <w:vAlign w:val="bottom"/>
          </w:tcPr>
          <w:p w14:paraId="5825A90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0.8193</w:t>
            </w:r>
          </w:p>
        </w:tc>
      </w:tr>
      <w:tr w14:paraId="68537301">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159ACEB4">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right w:val="single" w:color="auto" w:sz="8" w:space="0"/>
            </w:tcBorders>
            <w:shd w:val="clear" w:color="auto" w:fill="auto"/>
            <w:vAlign w:val="center"/>
          </w:tcPr>
          <w:p w14:paraId="6EF89812">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51EECBB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SAR1</w:t>
            </w:r>
          </w:p>
        </w:tc>
        <w:tc>
          <w:tcPr>
            <w:tcW w:w="1134" w:type="dxa"/>
            <w:tcBorders>
              <w:top w:val="nil"/>
              <w:left w:val="nil"/>
              <w:bottom w:val="single" w:color="auto" w:sz="8" w:space="0"/>
              <w:right w:val="single" w:color="auto" w:sz="8" w:space="0"/>
            </w:tcBorders>
            <w:shd w:val="clear" w:color="auto" w:fill="auto"/>
            <w:vAlign w:val="bottom"/>
          </w:tcPr>
          <w:p w14:paraId="510A424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-0.74656</w:t>
            </w:r>
          </w:p>
        </w:tc>
        <w:tc>
          <w:tcPr>
            <w:tcW w:w="951" w:type="dxa"/>
            <w:tcBorders>
              <w:top w:val="nil"/>
              <w:left w:val="nil"/>
              <w:bottom w:val="single" w:color="auto" w:sz="8" w:space="0"/>
              <w:right w:val="single" w:color="auto" w:sz="8" w:space="0"/>
            </w:tcBorders>
            <w:shd w:val="clear" w:color="auto" w:fill="auto"/>
            <w:vAlign w:val="bottom"/>
          </w:tcPr>
          <w:p w14:paraId="119EC33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0.0552</w:t>
            </w:r>
          </w:p>
        </w:tc>
        <w:tc>
          <w:tcPr>
            <w:tcW w:w="1175" w:type="dxa"/>
            <w:tcBorders>
              <w:top w:val="nil"/>
              <w:left w:val="nil"/>
              <w:bottom w:val="single" w:color="auto" w:sz="8" w:space="0"/>
              <w:right w:val="single" w:color="auto" w:sz="8" w:space="0"/>
            </w:tcBorders>
            <w:shd w:val="clear" w:color="auto" w:fill="auto"/>
            <w:vAlign w:val="bottom"/>
          </w:tcPr>
          <w:p w14:paraId="12B2F74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-13.5248</w:t>
            </w:r>
          </w:p>
        </w:tc>
        <w:tc>
          <w:tcPr>
            <w:tcW w:w="992" w:type="dxa"/>
            <w:tcBorders>
              <w:top w:val="nil"/>
              <w:left w:val="nil"/>
              <w:bottom w:val="single" w:color="auto" w:sz="8" w:space="0"/>
              <w:right w:val="single" w:color="auto" w:sz="8" w:space="0"/>
            </w:tcBorders>
            <w:shd w:val="clear" w:color="auto" w:fill="auto"/>
            <w:vAlign w:val="bottom"/>
          </w:tcPr>
          <w:p w14:paraId="76C46B4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 0.001</w:t>
            </w:r>
          </w:p>
        </w:tc>
      </w:tr>
      <w:tr w14:paraId="21C52602">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646FD7D6">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right w:val="single" w:color="auto" w:sz="8" w:space="0"/>
            </w:tcBorders>
            <w:shd w:val="clear" w:color="auto" w:fill="auto"/>
            <w:vAlign w:val="center"/>
          </w:tcPr>
          <w:p w14:paraId="31B80ADA">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7C852C6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SMA1</w:t>
            </w:r>
          </w:p>
        </w:tc>
        <w:tc>
          <w:tcPr>
            <w:tcW w:w="1134" w:type="dxa"/>
            <w:tcBorders>
              <w:top w:val="nil"/>
              <w:left w:val="nil"/>
              <w:bottom w:val="single" w:color="auto" w:sz="8" w:space="0"/>
              <w:right w:val="single" w:color="auto" w:sz="8" w:space="0"/>
            </w:tcBorders>
            <w:shd w:val="clear" w:color="auto" w:fill="auto"/>
            <w:vAlign w:val="bottom"/>
          </w:tcPr>
          <w:p w14:paraId="1C064CA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-0.2985</w:t>
            </w:r>
          </w:p>
        </w:tc>
        <w:tc>
          <w:tcPr>
            <w:tcW w:w="951" w:type="dxa"/>
            <w:tcBorders>
              <w:top w:val="nil"/>
              <w:left w:val="nil"/>
              <w:bottom w:val="single" w:color="auto" w:sz="8" w:space="0"/>
              <w:right w:val="single" w:color="auto" w:sz="8" w:space="0"/>
            </w:tcBorders>
            <w:shd w:val="clear" w:color="auto" w:fill="auto"/>
            <w:vAlign w:val="bottom"/>
          </w:tcPr>
          <w:p w14:paraId="38B6A03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0.0550</w:t>
            </w:r>
          </w:p>
        </w:tc>
        <w:tc>
          <w:tcPr>
            <w:tcW w:w="1175" w:type="dxa"/>
            <w:tcBorders>
              <w:top w:val="nil"/>
              <w:left w:val="nil"/>
              <w:bottom w:val="single" w:color="auto" w:sz="8" w:space="0"/>
              <w:right w:val="single" w:color="auto" w:sz="8" w:space="0"/>
            </w:tcBorders>
            <w:shd w:val="clear" w:color="auto" w:fill="auto"/>
            <w:vAlign w:val="bottom"/>
          </w:tcPr>
          <w:p w14:paraId="512D551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-5.4268</w:t>
            </w:r>
          </w:p>
        </w:tc>
        <w:tc>
          <w:tcPr>
            <w:tcW w:w="992" w:type="dxa"/>
            <w:tcBorders>
              <w:top w:val="nil"/>
              <w:left w:val="nil"/>
              <w:bottom w:val="single" w:color="auto" w:sz="8" w:space="0"/>
              <w:right w:val="single" w:color="auto" w:sz="8" w:space="0"/>
            </w:tcBorders>
            <w:shd w:val="clear" w:color="auto" w:fill="auto"/>
            <w:vAlign w:val="bottom"/>
          </w:tcPr>
          <w:p w14:paraId="5327326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&lt;0.001</w:t>
            </w:r>
          </w:p>
        </w:tc>
      </w:tr>
      <w:tr w14:paraId="3648775F">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234FE1FC">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bottom w:val="single" w:color="auto" w:sz="8" w:space="0"/>
              <w:right w:val="single" w:color="auto" w:sz="8" w:space="0"/>
            </w:tcBorders>
            <w:shd w:val="clear" w:color="auto" w:fill="auto"/>
            <w:vAlign w:val="center"/>
          </w:tcPr>
          <w:p w14:paraId="4A9D506C">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10230AD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SMA2</w:t>
            </w:r>
          </w:p>
        </w:tc>
        <w:tc>
          <w:tcPr>
            <w:tcW w:w="1134" w:type="dxa"/>
            <w:tcBorders>
              <w:top w:val="nil"/>
              <w:left w:val="nil"/>
              <w:bottom w:val="single" w:color="auto" w:sz="8" w:space="0"/>
              <w:right w:val="single" w:color="auto" w:sz="8" w:space="0"/>
            </w:tcBorders>
            <w:shd w:val="clear" w:color="auto" w:fill="auto"/>
            <w:vAlign w:val="bottom"/>
          </w:tcPr>
          <w:p w14:paraId="2B63982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0.003032</w:t>
            </w:r>
          </w:p>
        </w:tc>
        <w:tc>
          <w:tcPr>
            <w:tcW w:w="951" w:type="dxa"/>
            <w:tcBorders>
              <w:top w:val="nil"/>
              <w:left w:val="nil"/>
              <w:bottom w:val="single" w:color="auto" w:sz="8" w:space="0"/>
              <w:right w:val="single" w:color="auto" w:sz="8" w:space="0"/>
            </w:tcBorders>
            <w:shd w:val="clear" w:color="auto" w:fill="auto"/>
            <w:vAlign w:val="bottom"/>
          </w:tcPr>
          <w:p w14:paraId="26D0AC9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0.4114</w:t>
            </w:r>
          </w:p>
        </w:tc>
        <w:tc>
          <w:tcPr>
            <w:tcW w:w="1175" w:type="dxa"/>
            <w:tcBorders>
              <w:top w:val="nil"/>
              <w:left w:val="nil"/>
              <w:bottom w:val="single" w:color="auto" w:sz="8" w:space="0"/>
              <w:right w:val="single" w:color="auto" w:sz="8" w:space="0"/>
            </w:tcBorders>
            <w:shd w:val="clear" w:color="auto" w:fill="auto"/>
            <w:vAlign w:val="bottom"/>
          </w:tcPr>
          <w:p w14:paraId="2E790A7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0.0074</w:t>
            </w:r>
          </w:p>
        </w:tc>
        <w:tc>
          <w:tcPr>
            <w:tcW w:w="992" w:type="dxa"/>
            <w:tcBorders>
              <w:top w:val="nil"/>
              <w:left w:val="nil"/>
              <w:bottom w:val="single" w:color="auto" w:sz="8" w:space="0"/>
              <w:right w:val="single" w:color="auto" w:sz="8" w:space="0"/>
            </w:tcBorders>
            <w:shd w:val="clear" w:color="auto" w:fill="auto"/>
            <w:vAlign w:val="bottom"/>
          </w:tcPr>
          <w:p w14:paraId="7492941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0.9941</w:t>
            </w:r>
          </w:p>
        </w:tc>
      </w:tr>
      <w:tr w14:paraId="3E7326CD">
        <w:tblPrEx>
          <w:tblCellMar>
            <w:top w:w="0" w:type="dxa"/>
            <w:left w:w="108" w:type="dxa"/>
            <w:bottom w:w="0" w:type="dxa"/>
            <w:right w:w="108" w:type="dxa"/>
          </w:tblCellMar>
        </w:tblPrEx>
        <w:trPr>
          <w:trHeight w:val="315" w:hRule="atLeast"/>
          <w:jc w:val="center"/>
        </w:trPr>
        <w:tc>
          <w:tcPr>
            <w:tcW w:w="1716" w:type="dxa"/>
            <w:vMerge w:val="restart"/>
            <w:tcBorders>
              <w:top w:val="nil"/>
              <w:left w:val="single" w:color="auto" w:sz="8" w:space="0"/>
              <w:right w:val="single" w:color="auto" w:sz="8" w:space="0"/>
            </w:tcBorders>
            <w:shd w:val="clear" w:color="auto" w:fill="auto"/>
          </w:tcPr>
          <w:p w14:paraId="15184DC2">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Aurad, </w:t>
            </w:r>
          </w:p>
          <w:p w14:paraId="606BC193">
            <w:pPr>
              <w:spacing w:after="0" w:line="240" w:lineRule="auto"/>
              <w:jc w:val="center"/>
              <w:rPr>
                <w:rFonts w:ascii="Times New Roman" w:hAnsi="Times New Roman" w:cs="Times New Roman"/>
              </w:rPr>
            </w:pPr>
          </w:p>
        </w:tc>
        <w:tc>
          <w:tcPr>
            <w:tcW w:w="1776" w:type="dxa"/>
            <w:vMerge w:val="restart"/>
            <w:tcBorders>
              <w:top w:val="nil"/>
              <w:left w:val="nil"/>
              <w:right w:val="single" w:color="auto" w:sz="8" w:space="0"/>
            </w:tcBorders>
            <w:shd w:val="clear" w:color="auto" w:fill="auto"/>
            <w:vAlign w:val="center"/>
          </w:tcPr>
          <w:p w14:paraId="661418A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rPr>
              <w:t>SARIMA (1,0,0)(2,1,0)</w:t>
            </w:r>
            <w:r>
              <w:rPr>
                <w:rFonts w:ascii="Times New Roman" w:hAnsi="Times New Roman" w:cs="Times New Roman"/>
                <w:vertAlign w:val="subscript"/>
              </w:rPr>
              <w:t>12</w:t>
            </w:r>
          </w:p>
        </w:tc>
        <w:tc>
          <w:tcPr>
            <w:tcW w:w="1352" w:type="dxa"/>
            <w:tcBorders>
              <w:top w:val="nil"/>
              <w:left w:val="nil"/>
              <w:bottom w:val="single" w:color="auto" w:sz="8" w:space="0"/>
              <w:right w:val="single" w:color="auto" w:sz="8" w:space="0"/>
            </w:tcBorders>
            <w:shd w:val="clear" w:color="auto" w:fill="auto"/>
            <w:vAlign w:val="center"/>
          </w:tcPr>
          <w:p w14:paraId="2C018D7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AR1</w:t>
            </w:r>
          </w:p>
        </w:tc>
        <w:tc>
          <w:tcPr>
            <w:tcW w:w="1134" w:type="dxa"/>
            <w:tcBorders>
              <w:top w:val="nil"/>
              <w:left w:val="nil"/>
              <w:bottom w:val="single" w:color="auto" w:sz="8" w:space="0"/>
              <w:right w:val="single" w:color="auto" w:sz="8" w:space="0"/>
            </w:tcBorders>
            <w:shd w:val="clear" w:color="auto" w:fill="auto"/>
            <w:vAlign w:val="bottom"/>
          </w:tcPr>
          <w:p w14:paraId="529CD1D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0.325123</w:t>
            </w:r>
          </w:p>
        </w:tc>
        <w:tc>
          <w:tcPr>
            <w:tcW w:w="951" w:type="dxa"/>
            <w:tcBorders>
              <w:top w:val="nil"/>
              <w:left w:val="nil"/>
              <w:bottom w:val="single" w:color="auto" w:sz="8" w:space="0"/>
              <w:right w:val="single" w:color="auto" w:sz="8" w:space="0"/>
            </w:tcBorders>
            <w:shd w:val="clear" w:color="auto" w:fill="auto"/>
            <w:vAlign w:val="bottom"/>
          </w:tcPr>
          <w:p w14:paraId="652A129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0.0509</w:t>
            </w:r>
          </w:p>
        </w:tc>
        <w:tc>
          <w:tcPr>
            <w:tcW w:w="1175" w:type="dxa"/>
            <w:tcBorders>
              <w:top w:val="nil"/>
              <w:left w:val="nil"/>
              <w:bottom w:val="single" w:color="auto" w:sz="8" w:space="0"/>
              <w:right w:val="single" w:color="auto" w:sz="8" w:space="0"/>
            </w:tcBorders>
            <w:shd w:val="clear" w:color="auto" w:fill="auto"/>
            <w:vAlign w:val="bottom"/>
          </w:tcPr>
          <w:p w14:paraId="1A19337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6.3832</w:t>
            </w:r>
          </w:p>
        </w:tc>
        <w:tc>
          <w:tcPr>
            <w:tcW w:w="992" w:type="dxa"/>
            <w:tcBorders>
              <w:top w:val="nil"/>
              <w:left w:val="nil"/>
              <w:bottom w:val="single" w:color="auto" w:sz="8" w:space="0"/>
              <w:right w:val="single" w:color="auto" w:sz="8" w:space="0"/>
            </w:tcBorders>
            <w:shd w:val="clear" w:color="auto" w:fill="auto"/>
            <w:vAlign w:val="bottom"/>
          </w:tcPr>
          <w:p w14:paraId="53D8C7B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&lt;0.001</w:t>
            </w:r>
          </w:p>
        </w:tc>
      </w:tr>
      <w:tr w14:paraId="2E2A27AA">
        <w:tblPrEx>
          <w:tblCellMar>
            <w:top w:w="0" w:type="dxa"/>
            <w:left w:w="108" w:type="dxa"/>
            <w:bottom w:w="0" w:type="dxa"/>
            <w:right w:w="108" w:type="dxa"/>
          </w:tblCellMar>
        </w:tblPrEx>
        <w:trPr>
          <w:trHeight w:val="373" w:hRule="atLeast"/>
          <w:jc w:val="center"/>
        </w:trPr>
        <w:tc>
          <w:tcPr>
            <w:tcW w:w="1716" w:type="dxa"/>
            <w:vMerge w:val="continue"/>
            <w:tcBorders>
              <w:left w:val="single" w:color="auto" w:sz="8" w:space="0"/>
              <w:right w:val="single" w:color="auto" w:sz="8" w:space="0"/>
            </w:tcBorders>
          </w:tcPr>
          <w:p w14:paraId="62A46674">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right w:val="single" w:color="auto" w:sz="8" w:space="0"/>
            </w:tcBorders>
            <w:shd w:val="clear" w:color="auto" w:fill="auto"/>
            <w:vAlign w:val="center"/>
          </w:tcPr>
          <w:p w14:paraId="57FB6421">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623D26B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AR2</w:t>
            </w:r>
          </w:p>
        </w:tc>
        <w:tc>
          <w:tcPr>
            <w:tcW w:w="1134" w:type="dxa"/>
            <w:tcBorders>
              <w:top w:val="nil"/>
              <w:left w:val="nil"/>
              <w:bottom w:val="single" w:color="auto" w:sz="8" w:space="0"/>
              <w:right w:val="single" w:color="auto" w:sz="8" w:space="0"/>
            </w:tcBorders>
            <w:shd w:val="clear" w:color="auto" w:fill="auto"/>
            <w:vAlign w:val="bottom"/>
          </w:tcPr>
          <w:p w14:paraId="5F034DC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-0.75897</w:t>
            </w:r>
          </w:p>
        </w:tc>
        <w:tc>
          <w:tcPr>
            <w:tcW w:w="951" w:type="dxa"/>
            <w:tcBorders>
              <w:top w:val="nil"/>
              <w:left w:val="nil"/>
              <w:bottom w:val="single" w:color="auto" w:sz="8" w:space="0"/>
              <w:right w:val="single" w:color="auto" w:sz="8" w:space="0"/>
            </w:tcBorders>
            <w:shd w:val="clear" w:color="auto" w:fill="auto"/>
            <w:vAlign w:val="bottom"/>
          </w:tcPr>
          <w:p w14:paraId="1CCC1C4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0.0540</w:t>
            </w:r>
          </w:p>
        </w:tc>
        <w:tc>
          <w:tcPr>
            <w:tcW w:w="1175" w:type="dxa"/>
            <w:tcBorders>
              <w:top w:val="nil"/>
              <w:left w:val="nil"/>
              <w:bottom w:val="single" w:color="auto" w:sz="8" w:space="0"/>
              <w:right w:val="single" w:color="auto" w:sz="8" w:space="0"/>
            </w:tcBorders>
            <w:shd w:val="clear" w:color="auto" w:fill="auto"/>
            <w:vAlign w:val="bottom"/>
          </w:tcPr>
          <w:p w14:paraId="5D654D6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-14.0378</w:t>
            </w:r>
          </w:p>
        </w:tc>
        <w:tc>
          <w:tcPr>
            <w:tcW w:w="992" w:type="dxa"/>
            <w:tcBorders>
              <w:top w:val="nil"/>
              <w:left w:val="nil"/>
              <w:bottom w:val="single" w:color="auto" w:sz="8" w:space="0"/>
              <w:right w:val="single" w:color="auto" w:sz="8" w:space="0"/>
            </w:tcBorders>
            <w:shd w:val="clear" w:color="auto" w:fill="auto"/>
            <w:vAlign w:val="bottom"/>
          </w:tcPr>
          <w:p w14:paraId="1256FCB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&lt;0.001</w:t>
            </w:r>
          </w:p>
        </w:tc>
      </w:tr>
      <w:tr w14:paraId="31A1A5B9">
        <w:tblPrEx>
          <w:tblCellMar>
            <w:top w:w="0" w:type="dxa"/>
            <w:left w:w="108" w:type="dxa"/>
            <w:bottom w:w="0" w:type="dxa"/>
            <w:right w:w="108" w:type="dxa"/>
          </w:tblCellMar>
        </w:tblPrEx>
        <w:trPr>
          <w:trHeight w:val="315" w:hRule="atLeast"/>
          <w:jc w:val="center"/>
        </w:trPr>
        <w:tc>
          <w:tcPr>
            <w:tcW w:w="1716" w:type="dxa"/>
            <w:vMerge w:val="continue"/>
            <w:tcBorders>
              <w:left w:val="single" w:color="auto" w:sz="8" w:space="0"/>
              <w:right w:val="single" w:color="auto" w:sz="8" w:space="0"/>
            </w:tcBorders>
          </w:tcPr>
          <w:p w14:paraId="22407229">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right w:val="single" w:color="auto" w:sz="8" w:space="0"/>
            </w:tcBorders>
            <w:shd w:val="clear" w:color="auto" w:fill="auto"/>
            <w:vAlign w:val="center"/>
          </w:tcPr>
          <w:p w14:paraId="1D685AB9">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476D3E2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MA1</w:t>
            </w:r>
          </w:p>
        </w:tc>
        <w:tc>
          <w:tcPr>
            <w:tcW w:w="1134" w:type="dxa"/>
            <w:tcBorders>
              <w:top w:val="nil"/>
              <w:left w:val="nil"/>
              <w:bottom w:val="single" w:color="auto" w:sz="8" w:space="0"/>
              <w:right w:val="single" w:color="auto" w:sz="8" w:space="0"/>
            </w:tcBorders>
            <w:shd w:val="clear" w:color="auto" w:fill="auto"/>
            <w:vAlign w:val="bottom"/>
          </w:tcPr>
          <w:p w14:paraId="44F63AE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-0.29225</w:t>
            </w:r>
          </w:p>
        </w:tc>
        <w:tc>
          <w:tcPr>
            <w:tcW w:w="951" w:type="dxa"/>
            <w:tcBorders>
              <w:top w:val="nil"/>
              <w:left w:val="nil"/>
              <w:bottom w:val="single" w:color="auto" w:sz="8" w:space="0"/>
              <w:right w:val="single" w:color="auto" w:sz="8" w:space="0"/>
            </w:tcBorders>
            <w:shd w:val="clear" w:color="auto" w:fill="auto"/>
            <w:vAlign w:val="bottom"/>
          </w:tcPr>
          <w:p w14:paraId="353F915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0.0537</w:t>
            </w:r>
          </w:p>
        </w:tc>
        <w:tc>
          <w:tcPr>
            <w:tcW w:w="1175" w:type="dxa"/>
            <w:tcBorders>
              <w:top w:val="nil"/>
              <w:left w:val="nil"/>
              <w:bottom w:val="single" w:color="auto" w:sz="8" w:space="0"/>
              <w:right w:val="single" w:color="auto" w:sz="8" w:space="0"/>
            </w:tcBorders>
            <w:shd w:val="clear" w:color="auto" w:fill="auto"/>
            <w:vAlign w:val="bottom"/>
          </w:tcPr>
          <w:p w14:paraId="62B8222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-5.4383</w:t>
            </w:r>
          </w:p>
        </w:tc>
        <w:tc>
          <w:tcPr>
            <w:tcW w:w="992" w:type="dxa"/>
            <w:tcBorders>
              <w:top w:val="nil"/>
              <w:left w:val="nil"/>
              <w:bottom w:val="single" w:color="auto" w:sz="8" w:space="0"/>
              <w:right w:val="single" w:color="auto" w:sz="8" w:space="0"/>
            </w:tcBorders>
            <w:shd w:val="clear" w:color="auto" w:fill="auto"/>
            <w:vAlign w:val="bottom"/>
          </w:tcPr>
          <w:p w14:paraId="4D041B8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&lt;0.001</w:t>
            </w:r>
          </w:p>
        </w:tc>
      </w:tr>
      <w:tr w14:paraId="1D1F666F">
        <w:tblPrEx>
          <w:tblCellMar>
            <w:top w:w="0" w:type="dxa"/>
            <w:left w:w="108" w:type="dxa"/>
            <w:bottom w:w="0" w:type="dxa"/>
            <w:right w:w="108" w:type="dxa"/>
          </w:tblCellMar>
        </w:tblPrEx>
        <w:trPr>
          <w:trHeight w:val="315" w:hRule="atLeast"/>
          <w:jc w:val="center"/>
        </w:trPr>
        <w:tc>
          <w:tcPr>
            <w:tcW w:w="1716" w:type="dxa"/>
            <w:vMerge w:val="continue"/>
            <w:tcBorders>
              <w:left w:val="single" w:color="auto" w:sz="8" w:space="0"/>
              <w:right w:val="single" w:color="auto" w:sz="8" w:space="0"/>
            </w:tcBorders>
          </w:tcPr>
          <w:p w14:paraId="215F7836">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right w:val="single" w:color="auto" w:sz="8" w:space="0"/>
            </w:tcBorders>
            <w:shd w:val="clear" w:color="auto" w:fill="auto"/>
            <w:vAlign w:val="center"/>
          </w:tcPr>
          <w:p w14:paraId="66936676">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4" w:space="0"/>
              <w:right w:val="single" w:color="auto" w:sz="8" w:space="0"/>
            </w:tcBorders>
            <w:shd w:val="clear" w:color="auto" w:fill="auto"/>
            <w:vAlign w:val="center"/>
          </w:tcPr>
          <w:p w14:paraId="3FCEBB9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SAR1</w:t>
            </w:r>
          </w:p>
        </w:tc>
        <w:tc>
          <w:tcPr>
            <w:tcW w:w="1134" w:type="dxa"/>
            <w:tcBorders>
              <w:top w:val="nil"/>
              <w:left w:val="nil"/>
              <w:bottom w:val="single" w:color="auto" w:sz="8" w:space="0"/>
              <w:right w:val="single" w:color="auto" w:sz="8" w:space="0"/>
            </w:tcBorders>
            <w:shd w:val="clear" w:color="auto" w:fill="auto"/>
            <w:vAlign w:val="bottom"/>
          </w:tcPr>
          <w:p w14:paraId="78FEAFC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0.048693</w:t>
            </w:r>
          </w:p>
        </w:tc>
        <w:tc>
          <w:tcPr>
            <w:tcW w:w="951" w:type="dxa"/>
            <w:tcBorders>
              <w:top w:val="nil"/>
              <w:left w:val="nil"/>
              <w:bottom w:val="single" w:color="auto" w:sz="8" w:space="0"/>
              <w:right w:val="single" w:color="auto" w:sz="8" w:space="0"/>
            </w:tcBorders>
            <w:shd w:val="clear" w:color="auto" w:fill="auto"/>
            <w:vAlign w:val="bottom"/>
          </w:tcPr>
          <w:p w14:paraId="5DAB043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0.0888</w:t>
            </w:r>
          </w:p>
        </w:tc>
        <w:tc>
          <w:tcPr>
            <w:tcW w:w="1175" w:type="dxa"/>
            <w:tcBorders>
              <w:top w:val="nil"/>
              <w:left w:val="nil"/>
              <w:bottom w:val="single" w:color="auto" w:sz="8" w:space="0"/>
              <w:right w:val="single" w:color="auto" w:sz="8" w:space="0"/>
            </w:tcBorders>
            <w:shd w:val="clear" w:color="auto" w:fill="auto"/>
            <w:vAlign w:val="bottom"/>
          </w:tcPr>
          <w:p w14:paraId="04CCB8F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0.5483</w:t>
            </w:r>
          </w:p>
        </w:tc>
        <w:tc>
          <w:tcPr>
            <w:tcW w:w="992" w:type="dxa"/>
            <w:tcBorders>
              <w:top w:val="nil"/>
              <w:left w:val="nil"/>
              <w:bottom w:val="single" w:color="auto" w:sz="8" w:space="0"/>
              <w:right w:val="single" w:color="auto" w:sz="8" w:space="0"/>
            </w:tcBorders>
            <w:shd w:val="clear" w:color="auto" w:fill="auto"/>
            <w:vAlign w:val="bottom"/>
          </w:tcPr>
          <w:p w14:paraId="3CE0F4E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0.5835</w:t>
            </w:r>
          </w:p>
        </w:tc>
      </w:tr>
      <w:tr w14:paraId="2CED9AB0">
        <w:tblPrEx>
          <w:tblCellMar>
            <w:top w:w="0" w:type="dxa"/>
            <w:left w:w="108" w:type="dxa"/>
            <w:bottom w:w="0" w:type="dxa"/>
            <w:right w:w="108" w:type="dxa"/>
          </w:tblCellMar>
        </w:tblPrEx>
        <w:trPr>
          <w:trHeight w:val="315" w:hRule="atLeast"/>
          <w:jc w:val="center"/>
        </w:trPr>
        <w:tc>
          <w:tcPr>
            <w:tcW w:w="1716" w:type="dxa"/>
            <w:vMerge w:val="continue"/>
            <w:tcBorders>
              <w:left w:val="single" w:color="auto" w:sz="8" w:space="0"/>
              <w:bottom w:val="single" w:color="000000" w:sz="8" w:space="0"/>
              <w:right w:val="single" w:color="auto" w:sz="8" w:space="0"/>
            </w:tcBorders>
          </w:tcPr>
          <w:p w14:paraId="58A96C1E">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left w:val="nil"/>
              <w:bottom w:val="single" w:color="auto" w:sz="4" w:space="0"/>
              <w:right w:val="single" w:color="auto" w:sz="8" w:space="0"/>
            </w:tcBorders>
            <w:shd w:val="clear" w:color="auto" w:fill="auto"/>
            <w:vAlign w:val="center"/>
          </w:tcPr>
          <w:p w14:paraId="76A592C9">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4" w:space="0"/>
              <w:right w:val="single" w:color="auto" w:sz="8" w:space="0"/>
            </w:tcBorders>
            <w:shd w:val="clear" w:color="auto" w:fill="auto"/>
            <w:vAlign w:val="center"/>
          </w:tcPr>
          <w:p w14:paraId="48FD2BB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SAR2</w:t>
            </w:r>
          </w:p>
        </w:tc>
        <w:tc>
          <w:tcPr>
            <w:tcW w:w="1134" w:type="dxa"/>
            <w:tcBorders>
              <w:top w:val="nil"/>
              <w:left w:val="nil"/>
              <w:bottom w:val="single" w:color="auto" w:sz="8" w:space="0"/>
              <w:right w:val="single" w:color="auto" w:sz="8" w:space="0"/>
            </w:tcBorders>
            <w:shd w:val="clear" w:color="auto" w:fill="auto"/>
            <w:vAlign w:val="bottom"/>
          </w:tcPr>
          <w:p w14:paraId="33821D1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0.325123</w:t>
            </w:r>
          </w:p>
        </w:tc>
        <w:tc>
          <w:tcPr>
            <w:tcW w:w="951" w:type="dxa"/>
            <w:tcBorders>
              <w:top w:val="nil"/>
              <w:left w:val="nil"/>
              <w:bottom w:val="single" w:color="auto" w:sz="8" w:space="0"/>
              <w:right w:val="single" w:color="auto" w:sz="8" w:space="0"/>
            </w:tcBorders>
            <w:shd w:val="clear" w:color="auto" w:fill="auto"/>
            <w:vAlign w:val="bottom"/>
          </w:tcPr>
          <w:p w14:paraId="21A3A60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0.0509</w:t>
            </w:r>
          </w:p>
        </w:tc>
        <w:tc>
          <w:tcPr>
            <w:tcW w:w="1175" w:type="dxa"/>
            <w:tcBorders>
              <w:top w:val="nil"/>
              <w:left w:val="nil"/>
              <w:bottom w:val="single" w:color="auto" w:sz="8" w:space="0"/>
              <w:right w:val="single" w:color="auto" w:sz="8" w:space="0"/>
            </w:tcBorders>
            <w:shd w:val="clear" w:color="auto" w:fill="auto"/>
            <w:vAlign w:val="bottom"/>
          </w:tcPr>
          <w:p w14:paraId="1E24E86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6.3832</w:t>
            </w:r>
          </w:p>
        </w:tc>
        <w:tc>
          <w:tcPr>
            <w:tcW w:w="992" w:type="dxa"/>
            <w:tcBorders>
              <w:top w:val="nil"/>
              <w:left w:val="nil"/>
              <w:bottom w:val="single" w:color="auto" w:sz="8" w:space="0"/>
              <w:right w:val="single" w:color="auto" w:sz="8" w:space="0"/>
            </w:tcBorders>
            <w:shd w:val="clear" w:color="auto" w:fill="auto"/>
            <w:vAlign w:val="bottom"/>
          </w:tcPr>
          <w:p w14:paraId="08F4A86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&lt;0.001</w:t>
            </w:r>
          </w:p>
        </w:tc>
      </w:tr>
      <w:tr w14:paraId="0BDBFF14">
        <w:tblPrEx>
          <w:tblCellMar>
            <w:top w:w="0" w:type="dxa"/>
            <w:left w:w="108" w:type="dxa"/>
            <w:bottom w:w="0" w:type="dxa"/>
            <w:right w:w="108" w:type="dxa"/>
          </w:tblCellMar>
        </w:tblPrEx>
        <w:trPr>
          <w:trHeight w:val="315" w:hRule="atLeast"/>
          <w:jc w:val="center"/>
        </w:trPr>
        <w:tc>
          <w:tcPr>
            <w:tcW w:w="1716" w:type="dxa"/>
            <w:vMerge w:val="restart"/>
            <w:tcBorders>
              <w:top w:val="nil"/>
              <w:left w:val="single" w:color="auto" w:sz="8" w:space="0"/>
              <w:bottom w:val="single" w:color="000000" w:sz="8" w:space="0"/>
              <w:right w:val="single" w:color="auto" w:sz="8" w:space="0"/>
            </w:tcBorders>
            <w:shd w:val="clear" w:color="auto" w:fill="auto"/>
          </w:tcPr>
          <w:p w14:paraId="325423E9">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Bhalki, </w:t>
            </w:r>
          </w:p>
          <w:p w14:paraId="60F2708B">
            <w:pPr>
              <w:spacing w:after="0" w:line="240" w:lineRule="auto"/>
              <w:jc w:val="center"/>
              <w:rPr>
                <w:rFonts w:ascii="Times New Roman" w:hAnsi="Times New Roman" w:cs="Times New Roman"/>
              </w:rPr>
            </w:pPr>
          </w:p>
        </w:tc>
        <w:tc>
          <w:tcPr>
            <w:tcW w:w="177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22BDA93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rPr>
              <w:t>SARIMA (2,0,2)(2,1,0)</w:t>
            </w:r>
            <w:r>
              <w:rPr>
                <w:rFonts w:ascii="Times New Roman" w:hAnsi="Times New Roman" w:cs="Times New Roman"/>
                <w:vertAlign w:val="subscript"/>
              </w:rPr>
              <w:t>12</w:t>
            </w:r>
          </w:p>
        </w:tc>
        <w:tc>
          <w:tcPr>
            <w:tcW w:w="1352" w:type="dxa"/>
            <w:tcBorders>
              <w:top w:val="single" w:color="auto" w:sz="4" w:space="0"/>
              <w:left w:val="nil"/>
              <w:bottom w:val="single" w:color="auto" w:sz="8" w:space="0"/>
              <w:right w:val="single" w:color="auto" w:sz="8" w:space="0"/>
            </w:tcBorders>
            <w:shd w:val="clear" w:color="auto" w:fill="auto"/>
            <w:vAlign w:val="center"/>
          </w:tcPr>
          <w:p w14:paraId="6110C76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AR1</w:t>
            </w:r>
          </w:p>
        </w:tc>
        <w:tc>
          <w:tcPr>
            <w:tcW w:w="1134" w:type="dxa"/>
            <w:tcBorders>
              <w:top w:val="nil"/>
              <w:left w:val="nil"/>
              <w:bottom w:val="single" w:color="auto" w:sz="8" w:space="0"/>
              <w:right w:val="single" w:color="auto" w:sz="8" w:space="0"/>
            </w:tcBorders>
            <w:shd w:val="clear" w:color="auto" w:fill="auto"/>
            <w:vAlign w:val="bottom"/>
          </w:tcPr>
          <w:p w14:paraId="5BBF2F0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-0.03499</w:t>
            </w:r>
          </w:p>
        </w:tc>
        <w:tc>
          <w:tcPr>
            <w:tcW w:w="951" w:type="dxa"/>
            <w:tcBorders>
              <w:top w:val="nil"/>
              <w:left w:val="nil"/>
              <w:bottom w:val="single" w:color="auto" w:sz="8" w:space="0"/>
              <w:right w:val="single" w:color="auto" w:sz="8" w:space="0"/>
            </w:tcBorders>
            <w:shd w:val="clear" w:color="auto" w:fill="auto"/>
            <w:vAlign w:val="bottom"/>
          </w:tcPr>
          <w:p w14:paraId="507D2E7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0.3918</w:t>
            </w:r>
          </w:p>
        </w:tc>
        <w:tc>
          <w:tcPr>
            <w:tcW w:w="1175" w:type="dxa"/>
            <w:tcBorders>
              <w:top w:val="nil"/>
              <w:left w:val="nil"/>
              <w:bottom w:val="single" w:color="auto" w:sz="8" w:space="0"/>
              <w:right w:val="single" w:color="auto" w:sz="8" w:space="0"/>
            </w:tcBorders>
            <w:shd w:val="clear" w:color="auto" w:fill="auto"/>
            <w:vAlign w:val="bottom"/>
          </w:tcPr>
          <w:p w14:paraId="6D6C40C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-0.0893</w:t>
            </w:r>
          </w:p>
        </w:tc>
        <w:tc>
          <w:tcPr>
            <w:tcW w:w="992" w:type="dxa"/>
            <w:tcBorders>
              <w:top w:val="nil"/>
              <w:left w:val="nil"/>
              <w:bottom w:val="single" w:color="auto" w:sz="8" w:space="0"/>
              <w:right w:val="single" w:color="auto" w:sz="8" w:space="0"/>
            </w:tcBorders>
            <w:shd w:val="clear" w:color="auto" w:fill="auto"/>
            <w:vAlign w:val="bottom"/>
          </w:tcPr>
          <w:p w14:paraId="6CFEF3C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0.9289</w:t>
            </w:r>
          </w:p>
        </w:tc>
      </w:tr>
      <w:tr w14:paraId="616E06C4">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11D562A2">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000000" w:sz="8" w:space="0"/>
              <w:right w:val="single" w:color="auto" w:sz="8" w:space="0"/>
            </w:tcBorders>
            <w:vAlign w:val="center"/>
          </w:tcPr>
          <w:p w14:paraId="42359574">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1CB34A4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MA1</w:t>
            </w:r>
          </w:p>
        </w:tc>
        <w:tc>
          <w:tcPr>
            <w:tcW w:w="1134" w:type="dxa"/>
            <w:tcBorders>
              <w:top w:val="nil"/>
              <w:left w:val="nil"/>
              <w:bottom w:val="single" w:color="auto" w:sz="8" w:space="0"/>
              <w:right w:val="single" w:color="auto" w:sz="8" w:space="0"/>
            </w:tcBorders>
            <w:shd w:val="clear" w:color="auto" w:fill="auto"/>
            <w:vAlign w:val="bottom"/>
          </w:tcPr>
          <w:p w14:paraId="25343B3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0.160075</w:t>
            </w:r>
          </w:p>
        </w:tc>
        <w:tc>
          <w:tcPr>
            <w:tcW w:w="951" w:type="dxa"/>
            <w:tcBorders>
              <w:top w:val="nil"/>
              <w:left w:val="nil"/>
              <w:bottom w:val="single" w:color="auto" w:sz="8" w:space="0"/>
              <w:right w:val="single" w:color="auto" w:sz="8" w:space="0"/>
            </w:tcBorders>
            <w:shd w:val="clear" w:color="auto" w:fill="auto"/>
            <w:vAlign w:val="bottom"/>
          </w:tcPr>
          <w:p w14:paraId="5FCF744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0.2839</w:t>
            </w:r>
          </w:p>
        </w:tc>
        <w:tc>
          <w:tcPr>
            <w:tcW w:w="1175" w:type="dxa"/>
            <w:tcBorders>
              <w:top w:val="nil"/>
              <w:left w:val="nil"/>
              <w:bottom w:val="single" w:color="auto" w:sz="8" w:space="0"/>
              <w:right w:val="single" w:color="auto" w:sz="8" w:space="0"/>
            </w:tcBorders>
            <w:shd w:val="clear" w:color="auto" w:fill="auto"/>
            <w:vAlign w:val="bottom"/>
          </w:tcPr>
          <w:p w14:paraId="34ACD1D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0.5637</w:t>
            </w:r>
          </w:p>
        </w:tc>
        <w:tc>
          <w:tcPr>
            <w:tcW w:w="992" w:type="dxa"/>
            <w:tcBorders>
              <w:top w:val="nil"/>
              <w:left w:val="nil"/>
              <w:bottom w:val="single" w:color="auto" w:sz="8" w:space="0"/>
              <w:right w:val="single" w:color="auto" w:sz="8" w:space="0"/>
            </w:tcBorders>
            <w:shd w:val="clear" w:color="auto" w:fill="auto"/>
            <w:vAlign w:val="bottom"/>
          </w:tcPr>
          <w:p w14:paraId="64F9E25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0.573</w:t>
            </w:r>
          </w:p>
        </w:tc>
      </w:tr>
      <w:tr w14:paraId="17A7C29A">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55066624">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000000" w:sz="8" w:space="0"/>
              <w:right w:val="single" w:color="auto" w:sz="8" w:space="0"/>
            </w:tcBorders>
            <w:vAlign w:val="center"/>
          </w:tcPr>
          <w:p w14:paraId="71896438">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3ED69CD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SAR1</w:t>
            </w:r>
          </w:p>
        </w:tc>
        <w:tc>
          <w:tcPr>
            <w:tcW w:w="1134" w:type="dxa"/>
            <w:tcBorders>
              <w:top w:val="nil"/>
              <w:left w:val="nil"/>
              <w:bottom w:val="single" w:color="auto" w:sz="8" w:space="0"/>
              <w:right w:val="single" w:color="auto" w:sz="8" w:space="0"/>
            </w:tcBorders>
            <w:shd w:val="clear" w:color="auto" w:fill="auto"/>
            <w:vAlign w:val="bottom"/>
          </w:tcPr>
          <w:p w14:paraId="4A4B147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0.336675</w:t>
            </w:r>
          </w:p>
        </w:tc>
        <w:tc>
          <w:tcPr>
            <w:tcW w:w="951" w:type="dxa"/>
            <w:tcBorders>
              <w:top w:val="nil"/>
              <w:left w:val="nil"/>
              <w:bottom w:val="single" w:color="auto" w:sz="8" w:space="0"/>
              <w:right w:val="single" w:color="auto" w:sz="8" w:space="0"/>
            </w:tcBorders>
            <w:shd w:val="clear" w:color="auto" w:fill="auto"/>
            <w:vAlign w:val="bottom"/>
          </w:tcPr>
          <w:p w14:paraId="3D5CA31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0.3915</w:t>
            </w:r>
          </w:p>
        </w:tc>
        <w:tc>
          <w:tcPr>
            <w:tcW w:w="1175" w:type="dxa"/>
            <w:tcBorders>
              <w:top w:val="nil"/>
              <w:left w:val="nil"/>
              <w:bottom w:val="single" w:color="auto" w:sz="8" w:space="0"/>
              <w:right w:val="single" w:color="auto" w:sz="8" w:space="0"/>
            </w:tcBorders>
            <w:shd w:val="clear" w:color="auto" w:fill="auto"/>
            <w:vAlign w:val="bottom"/>
          </w:tcPr>
          <w:p w14:paraId="25EAB53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0.8598</w:t>
            </w:r>
          </w:p>
        </w:tc>
        <w:tc>
          <w:tcPr>
            <w:tcW w:w="992" w:type="dxa"/>
            <w:tcBorders>
              <w:top w:val="nil"/>
              <w:left w:val="nil"/>
              <w:bottom w:val="single" w:color="auto" w:sz="8" w:space="0"/>
              <w:right w:val="single" w:color="auto" w:sz="8" w:space="0"/>
            </w:tcBorders>
            <w:shd w:val="clear" w:color="auto" w:fill="auto"/>
            <w:vAlign w:val="bottom"/>
          </w:tcPr>
          <w:p w14:paraId="383656A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0.3899</w:t>
            </w:r>
          </w:p>
        </w:tc>
      </w:tr>
      <w:tr w14:paraId="210C2C2B">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19E157AD">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000000" w:sz="8" w:space="0"/>
              <w:right w:val="single" w:color="auto" w:sz="8" w:space="0"/>
            </w:tcBorders>
            <w:vAlign w:val="center"/>
          </w:tcPr>
          <w:p w14:paraId="74ED577E">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5042803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SMA1</w:t>
            </w:r>
          </w:p>
        </w:tc>
        <w:tc>
          <w:tcPr>
            <w:tcW w:w="1134" w:type="dxa"/>
            <w:tcBorders>
              <w:top w:val="nil"/>
              <w:left w:val="nil"/>
              <w:bottom w:val="single" w:color="auto" w:sz="8" w:space="0"/>
              <w:right w:val="single" w:color="auto" w:sz="8" w:space="0"/>
            </w:tcBorders>
            <w:shd w:val="clear" w:color="auto" w:fill="auto"/>
            <w:vAlign w:val="bottom"/>
          </w:tcPr>
          <w:p w14:paraId="223CEF1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0.053646</w:t>
            </w:r>
          </w:p>
        </w:tc>
        <w:tc>
          <w:tcPr>
            <w:tcW w:w="951" w:type="dxa"/>
            <w:tcBorders>
              <w:top w:val="nil"/>
              <w:left w:val="nil"/>
              <w:bottom w:val="single" w:color="auto" w:sz="8" w:space="0"/>
              <w:right w:val="single" w:color="auto" w:sz="8" w:space="0"/>
            </w:tcBorders>
            <w:shd w:val="clear" w:color="auto" w:fill="auto"/>
            <w:vAlign w:val="bottom"/>
          </w:tcPr>
          <w:p w14:paraId="16ACC83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0.2179</w:t>
            </w:r>
          </w:p>
        </w:tc>
        <w:tc>
          <w:tcPr>
            <w:tcW w:w="1175" w:type="dxa"/>
            <w:tcBorders>
              <w:top w:val="nil"/>
              <w:left w:val="nil"/>
              <w:bottom w:val="single" w:color="auto" w:sz="8" w:space="0"/>
              <w:right w:val="single" w:color="auto" w:sz="8" w:space="0"/>
            </w:tcBorders>
            <w:shd w:val="clear" w:color="auto" w:fill="auto"/>
            <w:vAlign w:val="bottom"/>
          </w:tcPr>
          <w:p w14:paraId="7D8948F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0.2462</w:t>
            </w:r>
          </w:p>
        </w:tc>
        <w:tc>
          <w:tcPr>
            <w:tcW w:w="992" w:type="dxa"/>
            <w:tcBorders>
              <w:top w:val="nil"/>
              <w:left w:val="nil"/>
              <w:bottom w:val="single" w:color="auto" w:sz="8" w:space="0"/>
              <w:right w:val="single" w:color="auto" w:sz="8" w:space="0"/>
            </w:tcBorders>
            <w:shd w:val="clear" w:color="auto" w:fill="auto"/>
            <w:vAlign w:val="bottom"/>
          </w:tcPr>
          <w:p w14:paraId="16C1BA1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0.8056</w:t>
            </w:r>
          </w:p>
        </w:tc>
      </w:tr>
      <w:tr w14:paraId="0A302524">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6B07291D">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000000" w:sz="8" w:space="0"/>
              <w:right w:val="single" w:color="auto" w:sz="8" w:space="0"/>
            </w:tcBorders>
            <w:vAlign w:val="center"/>
          </w:tcPr>
          <w:p w14:paraId="0CC11FEB">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67F240E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SMA2</w:t>
            </w:r>
          </w:p>
        </w:tc>
        <w:tc>
          <w:tcPr>
            <w:tcW w:w="1134" w:type="dxa"/>
            <w:tcBorders>
              <w:top w:val="nil"/>
              <w:left w:val="nil"/>
              <w:bottom w:val="single" w:color="auto" w:sz="8" w:space="0"/>
              <w:right w:val="single" w:color="auto" w:sz="8" w:space="0"/>
            </w:tcBorders>
            <w:shd w:val="clear" w:color="auto" w:fill="auto"/>
            <w:vAlign w:val="bottom"/>
          </w:tcPr>
          <w:p w14:paraId="53AFCEA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-0.75184</w:t>
            </w:r>
          </w:p>
        </w:tc>
        <w:tc>
          <w:tcPr>
            <w:tcW w:w="951" w:type="dxa"/>
            <w:tcBorders>
              <w:top w:val="nil"/>
              <w:left w:val="nil"/>
              <w:bottom w:val="single" w:color="auto" w:sz="8" w:space="0"/>
              <w:right w:val="single" w:color="auto" w:sz="8" w:space="0"/>
            </w:tcBorders>
            <w:shd w:val="clear" w:color="auto" w:fill="auto"/>
            <w:vAlign w:val="bottom"/>
          </w:tcPr>
          <w:p w14:paraId="1A97D17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0.0549</w:t>
            </w:r>
          </w:p>
        </w:tc>
        <w:tc>
          <w:tcPr>
            <w:tcW w:w="1175" w:type="dxa"/>
            <w:tcBorders>
              <w:top w:val="nil"/>
              <w:left w:val="nil"/>
              <w:bottom w:val="single" w:color="auto" w:sz="8" w:space="0"/>
              <w:right w:val="single" w:color="auto" w:sz="8" w:space="0"/>
            </w:tcBorders>
            <w:shd w:val="clear" w:color="auto" w:fill="auto"/>
            <w:vAlign w:val="bottom"/>
          </w:tcPr>
          <w:p w14:paraId="4D4C3C5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-13.6799</w:t>
            </w:r>
          </w:p>
        </w:tc>
        <w:tc>
          <w:tcPr>
            <w:tcW w:w="992" w:type="dxa"/>
            <w:tcBorders>
              <w:top w:val="nil"/>
              <w:left w:val="nil"/>
              <w:bottom w:val="single" w:color="auto" w:sz="8" w:space="0"/>
              <w:right w:val="single" w:color="auto" w:sz="8" w:space="0"/>
            </w:tcBorders>
            <w:shd w:val="clear" w:color="auto" w:fill="auto"/>
            <w:vAlign w:val="bottom"/>
          </w:tcPr>
          <w:p w14:paraId="00B3BB9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 0.001</w:t>
            </w:r>
          </w:p>
        </w:tc>
      </w:tr>
      <w:tr w14:paraId="63371AA7">
        <w:tblPrEx>
          <w:tblCellMar>
            <w:top w:w="0" w:type="dxa"/>
            <w:left w:w="108" w:type="dxa"/>
            <w:bottom w:w="0" w:type="dxa"/>
            <w:right w:w="108" w:type="dxa"/>
          </w:tblCellMar>
        </w:tblPrEx>
        <w:trPr>
          <w:trHeight w:val="315" w:hRule="atLeast"/>
          <w:jc w:val="center"/>
        </w:trPr>
        <w:tc>
          <w:tcPr>
            <w:tcW w:w="1716" w:type="dxa"/>
            <w:vMerge w:val="restart"/>
            <w:tcBorders>
              <w:top w:val="nil"/>
              <w:left w:val="single" w:color="auto" w:sz="8" w:space="0"/>
              <w:bottom w:val="single" w:color="000000" w:sz="8" w:space="0"/>
              <w:right w:val="single" w:color="auto" w:sz="8" w:space="0"/>
            </w:tcBorders>
            <w:shd w:val="clear" w:color="auto" w:fill="auto"/>
          </w:tcPr>
          <w:p w14:paraId="740D79AB">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Humnabad, </w:t>
            </w:r>
          </w:p>
          <w:p w14:paraId="4401852D">
            <w:pPr>
              <w:spacing w:after="0" w:line="240" w:lineRule="auto"/>
              <w:jc w:val="center"/>
              <w:rPr>
                <w:rFonts w:ascii="Times New Roman" w:hAnsi="Times New Roman" w:cs="Times New Roman"/>
              </w:rPr>
            </w:pPr>
          </w:p>
        </w:tc>
        <w:tc>
          <w:tcPr>
            <w:tcW w:w="1776" w:type="dxa"/>
            <w:vMerge w:val="restart"/>
            <w:tcBorders>
              <w:top w:val="nil"/>
              <w:left w:val="single" w:color="auto" w:sz="8" w:space="0"/>
              <w:bottom w:val="single" w:color="000000" w:sz="8" w:space="0"/>
              <w:right w:val="single" w:color="auto" w:sz="8" w:space="0"/>
            </w:tcBorders>
            <w:shd w:val="clear" w:color="auto" w:fill="auto"/>
            <w:vAlign w:val="center"/>
          </w:tcPr>
          <w:p w14:paraId="19F95E8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rPr>
              <w:t>SARIMA   (2,0,2)(2,1,0)</w:t>
            </w:r>
            <w:r>
              <w:rPr>
                <w:rFonts w:ascii="Times New Roman" w:hAnsi="Times New Roman" w:cs="Times New Roman"/>
                <w:vertAlign w:val="subscript"/>
              </w:rPr>
              <w:t>12</w:t>
            </w:r>
          </w:p>
        </w:tc>
        <w:tc>
          <w:tcPr>
            <w:tcW w:w="1352" w:type="dxa"/>
            <w:tcBorders>
              <w:top w:val="nil"/>
              <w:left w:val="nil"/>
              <w:bottom w:val="single" w:color="auto" w:sz="8" w:space="0"/>
              <w:right w:val="single" w:color="auto" w:sz="8" w:space="0"/>
            </w:tcBorders>
            <w:shd w:val="clear" w:color="auto" w:fill="auto"/>
            <w:vAlign w:val="center"/>
          </w:tcPr>
          <w:p w14:paraId="0EACAF7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AR1</w:t>
            </w:r>
          </w:p>
        </w:tc>
        <w:tc>
          <w:tcPr>
            <w:tcW w:w="1134" w:type="dxa"/>
            <w:tcBorders>
              <w:top w:val="nil"/>
              <w:left w:val="nil"/>
              <w:bottom w:val="single" w:color="auto" w:sz="8" w:space="0"/>
              <w:right w:val="single" w:color="auto" w:sz="8" w:space="0"/>
            </w:tcBorders>
            <w:shd w:val="clear" w:color="auto" w:fill="auto"/>
            <w:vAlign w:val="bottom"/>
          </w:tcPr>
          <w:p w14:paraId="11D4788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-0.02091</w:t>
            </w:r>
          </w:p>
        </w:tc>
        <w:tc>
          <w:tcPr>
            <w:tcW w:w="951" w:type="dxa"/>
            <w:tcBorders>
              <w:top w:val="nil"/>
              <w:left w:val="nil"/>
              <w:bottom w:val="single" w:color="auto" w:sz="8" w:space="0"/>
              <w:right w:val="single" w:color="auto" w:sz="8" w:space="0"/>
            </w:tcBorders>
            <w:shd w:val="clear" w:color="auto" w:fill="auto"/>
            <w:vAlign w:val="bottom"/>
          </w:tcPr>
          <w:p w14:paraId="1F21403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0.3993</w:t>
            </w:r>
          </w:p>
        </w:tc>
        <w:tc>
          <w:tcPr>
            <w:tcW w:w="1175" w:type="dxa"/>
            <w:tcBorders>
              <w:top w:val="nil"/>
              <w:left w:val="nil"/>
              <w:bottom w:val="single" w:color="auto" w:sz="8" w:space="0"/>
              <w:right w:val="single" w:color="auto" w:sz="8" w:space="0"/>
            </w:tcBorders>
            <w:shd w:val="clear" w:color="auto" w:fill="auto"/>
            <w:vAlign w:val="bottom"/>
          </w:tcPr>
          <w:p w14:paraId="59A86D8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-0.0524</w:t>
            </w:r>
          </w:p>
        </w:tc>
        <w:tc>
          <w:tcPr>
            <w:tcW w:w="992" w:type="dxa"/>
            <w:tcBorders>
              <w:top w:val="nil"/>
              <w:left w:val="nil"/>
              <w:bottom w:val="single" w:color="auto" w:sz="8" w:space="0"/>
              <w:right w:val="single" w:color="auto" w:sz="8" w:space="0"/>
            </w:tcBorders>
            <w:shd w:val="clear" w:color="auto" w:fill="auto"/>
            <w:vAlign w:val="bottom"/>
          </w:tcPr>
          <w:p w14:paraId="2D7E595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0.9582</w:t>
            </w:r>
          </w:p>
        </w:tc>
      </w:tr>
      <w:tr w14:paraId="4FF073C4">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540658A6">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000000" w:sz="8" w:space="0"/>
              <w:right w:val="single" w:color="auto" w:sz="8" w:space="0"/>
            </w:tcBorders>
            <w:vAlign w:val="center"/>
          </w:tcPr>
          <w:p w14:paraId="1283CC4C">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654139F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MA1</w:t>
            </w:r>
          </w:p>
        </w:tc>
        <w:tc>
          <w:tcPr>
            <w:tcW w:w="1134" w:type="dxa"/>
            <w:tcBorders>
              <w:top w:val="nil"/>
              <w:left w:val="nil"/>
              <w:bottom w:val="single" w:color="auto" w:sz="8" w:space="0"/>
              <w:right w:val="single" w:color="auto" w:sz="8" w:space="0"/>
            </w:tcBorders>
            <w:shd w:val="clear" w:color="auto" w:fill="auto"/>
            <w:vAlign w:val="bottom"/>
          </w:tcPr>
          <w:p w14:paraId="125A18C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0.072121</w:t>
            </w:r>
          </w:p>
        </w:tc>
        <w:tc>
          <w:tcPr>
            <w:tcW w:w="951" w:type="dxa"/>
            <w:tcBorders>
              <w:top w:val="nil"/>
              <w:left w:val="nil"/>
              <w:bottom w:val="single" w:color="auto" w:sz="8" w:space="0"/>
              <w:right w:val="single" w:color="auto" w:sz="8" w:space="0"/>
            </w:tcBorders>
            <w:shd w:val="clear" w:color="auto" w:fill="auto"/>
            <w:vAlign w:val="bottom"/>
          </w:tcPr>
          <w:p w14:paraId="2574F51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0.2670</w:t>
            </w:r>
          </w:p>
        </w:tc>
        <w:tc>
          <w:tcPr>
            <w:tcW w:w="1175" w:type="dxa"/>
            <w:tcBorders>
              <w:top w:val="nil"/>
              <w:left w:val="nil"/>
              <w:bottom w:val="single" w:color="auto" w:sz="8" w:space="0"/>
              <w:right w:val="single" w:color="auto" w:sz="8" w:space="0"/>
            </w:tcBorders>
            <w:shd w:val="clear" w:color="auto" w:fill="auto"/>
            <w:vAlign w:val="bottom"/>
          </w:tcPr>
          <w:p w14:paraId="12EB3DB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0.2701</w:t>
            </w:r>
          </w:p>
        </w:tc>
        <w:tc>
          <w:tcPr>
            <w:tcW w:w="992" w:type="dxa"/>
            <w:tcBorders>
              <w:top w:val="nil"/>
              <w:left w:val="nil"/>
              <w:bottom w:val="single" w:color="auto" w:sz="8" w:space="0"/>
              <w:right w:val="single" w:color="auto" w:sz="8" w:space="0"/>
            </w:tcBorders>
            <w:shd w:val="clear" w:color="auto" w:fill="auto"/>
            <w:vAlign w:val="bottom"/>
          </w:tcPr>
          <w:p w14:paraId="65AA439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0.7871</w:t>
            </w:r>
          </w:p>
        </w:tc>
      </w:tr>
      <w:tr w14:paraId="5A977212">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5695F39A">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000000" w:sz="8" w:space="0"/>
              <w:right w:val="single" w:color="auto" w:sz="8" w:space="0"/>
            </w:tcBorders>
            <w:vAlign w:val="center"/>
          </w:tcPr>
          <w:p w14:paraId="51AF4D23">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4D2F0AA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SAR1</w:t>
            </w:r>
          </w:p>
        </w:tc>
        <w:tc>
          <w:tcPr>
            <w:tcW w:w="1134" w:type="dxa"/>
            <w:tcBorders>
              <w:top w:val="nil"/>
              <w:left w:val="nil"/>
              <w:bottom w:val="single" w:color="auto" w:sz="8" w:space="0"/>
              <w:right w:val="single" w:color="auto" w:sz="8" w:space="0"/>
            </w:tcBorders>
            <w:shd w:val="clear" w:color="auto" w:fill="auto"/>
            <w:vAlign w:val="bottom"/>
          </w:tcPr>
          <w:p w14:paraId="20B8D22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0.364237</w:t>
            </w:r>
          </w:p>
        </w:tc>
        <w:tc>
          <w:tcPr>
            <w:tcW w:w="951" w:type="dxa"/>
            <w:tcBorders>
              <w:top w:val="nil"/>
              <w:left w:val="nil"/>
              <w:bottom w:val="single" w:color="auto" w:sz="8" w:space="0"/>
              <w:right w:val="single" w:color="auto" w:sz="8" w:space="0"/>
            </w:tcBorders>
            <w:shd w:val="clear" w:color="auto" w:fill="auto"/>
            <w:vAlign w:val="bottom"/>
          </w:tcPr>
          <w:p w14:paraId="6D631D6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0.3966</w:t>
            </w:r>
          </w:p>
        </w:tc>
        <w:tc>
          <w:tcPr>
            <w:tcW w:w="1175" w:type="dxa"/>
            <w:tcBorders>
              <w:top w:val="nil"/>
              <w:left w:val="nil"/>
              <w:bottom w:val="single" w:color="auto" w:sz="8" w:space="0"/>
              <w:right w:val="single" w:color="auto" w:sz="8" w:space="0"/>
            </w:tcBorders>
            <w:shd w:val="clear" w:color="auto" w:fill="auto"/>
            <w:vAlign w:val="bottom"/>
          </w:tcPr>
          <w:p w14:paraId="0E6CB0B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0.9182</w:t>
            </w:r>
          </w:p>
        </w:tc>
        <w:tc>
          <w:tcPr>
            <w:tcW w:w="992" w:type="dxa"/>
            <w:tcBorders>
              <w:top w:val="nil"/>
              <w:left w:val="nil"/>
              <w:bottom w:val="single" w:color="auto" w:sz="8" w:space="0"/>
              <w:right w:val="single" w:color="auto" w:sz="8" w:space="0"/>
            </w:tcBorders>
            <w:shd w:val="clear" w:color="auto" w:fill="auto"/>
            <w:vAlign w:val="bottom"/>
          </w:tcPr>
          <w:p w14:paraId="7AC45FA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0.3585</w:t>
            </w:r>
          </w:p>
        </w:tc>
      </w:tr>
      <w:tr w14:paraId="5C599A8F">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7F00110D">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000000" w:sz="8" w:space="0"/>
              <w:right w:val="single" w:color="auto" w:sz="8" w:space="0"/>
            </w:tcBorders>
            <w:vAlign w:val="center"/>
          </w:tcPr>
          <w:p w14:paraId="409B0ADF">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8" w:space="0"/>
              <w:right w:val="single" w:color="auto" w:sz="8" w:space="0"/>
            </w:tcBorders>
            <w:shd w:val="clear" w:color="auto" w:fill="auto"/>
            <w:vAlign w:val="center"/>
          </w:tcPr>
          <w:p w14:paraId="16FCDD4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SMA1</w:t>
            </w:r>
          </w:p>
        </w:tc>
        <w:tc>
          <w:tcPr>
            <w:tcW w:w="1134" w:type="dxa"/>
            <w:tcBorders>
              <w:top w:val="nil"/>
              <w:left w:val="nil"/>
              <w:bottom w:val="single" w:color="auto" w:sz="8" w:space="0"/>
              <w:right w:val="single" w:color="auto" w:sz="8" w:space="0"/>
            </w:tcBorders>
            <w:shd w:val="clear" w:color="auto" w:fill="auto"/>
            <w:vAlign w:val="bottom"/>
          </w:tcPr>
          <w:p w14:paraId="7DC11B6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0.13887</w:t>
            </w:r>
          </w:p>
        </w:tc>
        <w:tc>
          <w:tcPr>
            <w:tcW w:w="951" w:type="dxa"/>
            <w:tcBorders>
              <w:top w:val="nil"/>
              <w:left w:val="nil"/>
              <w:bottom w:val="single" w:color="auto" w:sz="8" w:space="0"/>
              <w:right w:val="single" w:color="auto" w:sz="8" w:space="0"/>
            </w:tcBorders>
            <w:shd w:val="clear" w:color="auto" w:fill="auto"/>
            <w:vAlign w:val="bottom"/>
          </w:tcPr>
          <w:p w14:paraId="7445CE0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0.1839</w:t>
            </w:r>
          </w:p>
        </w:tc>
        <w:tc>
          <w:tcPr>
            <w:tcW w:w="1175" w:type="dxa"/>
            <w:tcBorders>
              <w:top w:val="nil"/>
              <w:left w:val="nil"/>
              <w:bottom w:val="single" w:color="auto" w:sz="8" w:space="0"/>
              <w:right w:val="single" w:color="auto" w:sz="8" w:space="0"/>
            </w:tcBorders>
            <w:shd w:val="clear" w:color="auto" w:fill="auto"/>
            <w:vAlign w:val="bottom"/>
          </w:tcPr>
          <w:p w14:paraId="34FDF3F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0.755</w:t>
            </w:r>
          </w:p>
        </w:tc>
        <w:tc>
          <w:tcPr>
            <w:tcW w:w="992" w:type="dxa"/>
            <w:tcBorders>
              <w:top w:val="nil"/>
              <w:left w:val="nil"/>
              <w:bottom w:val="single" w:color="auto" w:sz="8" w:space="0"/>
              <w:right w:val="single" w:color="auto" w:sz="8" w:space="0"/>
            </w:tcBorders>
            <w:shd w:val="clear" w:color="auto" w:fill="auto"/>
            <w:vAlign w:val="bottom"/>
          </w:tcPr>
          <w:p w14:paraId="0D85AD6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0.4503</w:t>
            </w:r>
          </w:p>
        </w:tc>
      </w:tr>
      <w:tr w14:paraId="1C794BC5">
        <w:tblPrEx>
          <w:tblCellMar>
            <w:top w:w="0" w:type="dxa"/>
            <w:left w:w="108" w:type="dxa"/>
            <w:bottom w:w="0" w:type="dxa"/>
            <w:right w:w="108" w:type="dxa"/>
          </w:tblCellMar>
        </w:tblPrEx>
        <w:trPr>
          <w:trHeight w:val="315" w:hRule="atLeast"/>
          <w:jc w:val="center"/>
        </w:trPr>
        <w:tc>
          <w:tcPr>
            <w:tcW w:w="1716" w:type="dxa"/>
            <w:vMerge w:val="continue"/>
            <w:tcBorders>
              <w:top w:val="nil"/>
              <w:left w:val="single" w:color="auto" w:sz="8" w:space="0"/>
              <w:bottom w:val="single" w:color="000000" w:sz="8" w:space="0"/>
              <w:right w:val="single" w:color="auto" w:sz="8" w:space="0"/>
            </w:tcBorders>
          </w:tcPr>
          <w:p w14:paraId="748B59DB">
            <w:pPr>
              <w:spacing w:after="0" w:line="240" w:lineRule="auto"/>
              <w:jc w:val="center"/>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000000" w:sz="8" w:space="0"/>
              <w:right w:val="single" w:color="auto" w:sz="8" w:space="0"/>
            </w:tcBorders>
            <w:vAlign w:val="center"/>
          </w:tcPr>
          <w:p w14:paraId="210314B5">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nil"/>
              <w:left w:val="nil"/>
              <w:bottom w:val="single" w:color="auto" w:sz="4" w:space="0"/>
              <w:right w:val="single" w:color="auto" w:sz="8" w:space="0"/>
            </w:tcBorders>
            <w:shd w:val="clear" w:color="auto" w:fill="auto"/>
            <w:vAlign w:val="center"/>
          </w:tcPr>
          <w:p w14:paraId="0E3E17D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SMA2</w:t>
            </w:r>
          </w:p>
        </w:tc>
        <w:tc>
          <w:tcPr>
            <w:tcW w:w="1134" w:type="dxa"/>
            <w:tcBorders>
              <w:top w:val="nil"/>
              <w:left w:val="nil"/>
              <w:bottom w:val="single" w:color="auto" w:sz="4" w:space="0"/>
              <w:right w:val="single" w:color="auto" w:sz="8" w:space="0"/>
            </w:tcBorders>
            <w:shd w:val="clear" w:color="auto" w:fill="auto"/>
            <w:vAlign w:val="bottom"/>
          </w:tcPr>
          <w:p w14:paraId="7F25031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-0.77703</w:t>
            </w:r>
          </w:p>
        </w:tc>
        <w:tc>
          <w:tcPr>
            <w:tcW w:w="951" w:type="dxa"/>
            <w:tcBorders>
              <w:top w:val="nil"/>
              <w:left w:val="nil"/>
              <w:bottom w:val="single" w:color="auto" w:sz="4" w:space="0"/>
              <w:right w:val="single" w:color="auto" w:sz="8" w:space="0"/>
            </w:tcBorders>
            <w:shd w:val="clear" w:color="auto" w:fill="auto"/>
            <w:vAlign w:val="bottom"/>
          </w:tcPr>
          <w:p w14:paraId="49F3A85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0.0535</w:t>
            </w:r>
          </w:p>
        </w:tc>
        <w:tc>
          <w:tcPr>
            <w:tcW w:w="1175" w:type="dxa"/>
            <w:tcBorders>
              <w:top w:val="nil"/>
              <w:left w:val="nil"/>
              <w:bottom w:val="single" w:color="auto" w:sz="4" w:space="0"/>
              <w:right w:val="single" w:color="auto" w:sz="8" w:space="0"/>
            </w:tcBorders>
            <w:shd w:val="clear" w:color="auto" w:fill="auto"/>
            <w:vAlign w:val="bottom"/>
          </w:tcPr>
          <w:p w14:paraId="238D497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-14.505</w:t>
            </w:r>
          </w:p>
        </w:tc>
        <w:tc>
          <w:tcPr>
            <w:tcW w:w="992" w:type="dxa"/>
            <w:tcBorders>
              <w:top w:val="nil"/>
              <w:left w:val="nil"/>
              <w:bottom w:val="single" w:color="auto" w:sz="4" w:space="0"/>
              <w:right w:val="single" w:color="auto" w:sz="8" w:space="0"/>
            </w:tcBorders>
            <w:shd w:val="clear" w:color="auto" w:fill="auto"/>
            <w:vAlign w:val="bottom"/>
          </w:tcPr>
          <w:p w14:paraId="7E479DA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 0.001</w:t>
            </w:r>
          </w:p>
        </w:tc>
      </w:tr>
      <w:tr w14:paraId="36C3F854">
        <w:tblPrEx>
          <w:tblCellMar>
            <w:top w:w="0" w:type="dxa"/>
            <w:left w:w="108" w:type="dxa"/>
            <w:bottom w:w="0" w:type="dxa"/>
            <w:right w:w="108" w:type="dxa"/>
          </w:tblCellMar>
        </w:tblPrEx>
        <w:trPr>
          <w:trHeight w:val="295" w:hRule="atLeast"/>
          <w:jc w:val="center"/>
        </w:trPr>
        <w:tc>
          <w:tcPr>
            <w:tcW w:w="1716" w:type="dxa"/>
            <w:vMerge w:val="restart"/>
            <w:tcBorders>
              <w:top w:val="nil"/>
              <w:left w:val="single" w:color="auto" w:sz="8" w:space="0"/>
              <w:right w:val="single" w:color="auto" w:sz="8" w:space="0"/>
            </w:tcBorders>
          </w:tcPr>
          <w:p w14:paraId="745C8E85">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 </w:t>
            </w:r>
          </w:p>
          <w:p w14:paraId="1DD468DF">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Basavakalyan</w:t>
            </w:r>
          </w:p>
        </w:tc>
        <w:tc>
          <w:tcPr>
            <w:tcW w:w="1776" w:type="dxa"/>
            <w:vMerge w:val="restart"/>
            <w:tcBorders>
              <w:top w:val="nil"/>
              <w:left w:val="single" w:color="auto" w:sz="8" w:space="0"/>
              <w:right w:val="single" w:color="auto" w:sz="8" w:space="0"/>
            </w:tcBorders>
            <w:vAlign w:val="center"/>
          </w:tcPr>
          <w:p w14:paraId="78C80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SARIMA</w:t>
            </w:r>
          </w:p>
          <w:p w14:paraId="2C48E86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sz w:val="24"/>
                <w:szCs w:val="24"/>
              </w:rPr>
              <w:t>(1,0,0)(2,1,0)</w:t>
            </w:r>
            <w:r>
              <w:rPr>
                <w:rFonts w:ascii="Times New Roman" w:hAnsi="Times New Roman" w:cs="Times New Roman"/>
                <w:sz w:val="24"/>
                <w:szCs w:val="24"/>
                <w:vertAlign w:val="subscript"/>
              </w:rPr>
              <w:t>12</w:t>
            </w:r>
          </w:p>
        </w:tc>
        <w:tc>
          <w:tcPr>
            <w:tcW w:w="1352" w:type="dxa"/>
            <w:tcBorders>
              <w:top w:val="single" w:color="auto" w:sz="4" w:space="0"/>
              <w:left w:val="nil"/>
              <w:bottom w:val="single" w:color="auto" w:sz="4" w:space="0"/>
              <w:right w:val="single" w:color="auto" w:sz="8" w:space="0"/>
            </w:tcBorders>
            <w:shd w:val="clear" w:color="auto" w:fill="auto"/>
            <w:vAlign w:val="center"/>
          </w:tcPr>
          <w:p w14:paraId="0407F35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AR1</w:t>
            </w:r>
          </w:p>
        </w:tc>
        <w:tc>
          <w:tcPr>
            <w:tcW w:w="1134" w:type="dxa"/>
            <w:tcBorders>
              <w:top w:val="single" w:color="auto" w:sz="4" w:space="0"/>
              <w:left w:val="nil"/>
              <w:bottom w:val="single" w:color="auto" w:sz="4" w:space="0"/>
              <w:right w:val="single" w:color="auto" w:sz="8" w:space="0"/>
            </w:tcBorders>
            <w:shd w:val="clear" w:color="auto" w:fill="auto"/>
            <w:vAlign w:val="bottom"/>
          </w:tcPr>
          <w:p w14:paraId="400DF34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0.325123</w:t>
            </w:r>
          </w:p>
        </w:tc>
        <w:tc>
          <w:tcPr>
            <w:tcW w:w="951" w:type="dxa"/>
            <w:tcBorders>
              <w:top w:val="single" w:color="auto" w:sz="4" w:space="0"/>
              <w:left w:val="nil"/>
              <w:bottom w:val="single" w:color="auto" w:sz="4" w:space="0"/>
              <w:right w:val="single" w:color="auto" w:sz="8" w:space="0"/>
            </w:tcBorders>
            <w:shd w:val="clear" w:color="auto" w:fill="auto"/>
            <w:vAlign w:val="bottom"/>
          </w:tcPr>
          <w:p w14:paraId="723A622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0.0509</w:t>
            </w:r>
          </w:p>
        </w:tc>
        <w:tc>
          <w:tcPr>
            <w:tcW w:w="1175" w:type="dxa"/>
            <w:tcBorders>
              <w:top w:val="single" w:color="auto" w:sz="4" w:space="0"/>
              <w:left w:val="nil"/>
              <w:bottom w:val="single" w:color="auto" w:sz="4" w:space="0"/>
              <w:right w:val="single" w:color="auto" w:sz="8" w:space="0"/>
            </w:tcBorders>
            <w:shd w:val="clear" w:color="auto" w:fill="auto"/>
            <w:vAlign w:val="bottom"/>
          </w:tcPr>
          <w:p w14:paraId="44D5367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6.3832</w:t>
            </w:r>
          </w:p>
        </w:tc>
        <w:tc>
          <w:tcPr>
            <w:tcW w:w="992" w:type="dxa"/>
            <w:tcBorders>
              <w:top w:val="single" w:color="auto" w:sz="4" w:space="0"/>
              <w:left w:val="nil"/>
              <w:bottom w:val="single" w:color="auto" w:sz="4" w:space="0"/>
              <w:right w:val="single" w:color="auto" w:sz="8" w:space="0"/>
            </w:tcBorders>
            <w:shd w:val="clear" w:color="auto" w:fill="auto"/>
            <w:vAlign w:val="bottom"/>
          </w:tcPr>
          <w:p w14:paraId="429705BD">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 0.001</w:t>
            </w:r>
          </w:p>
        </w:tc>
      </w:tr>
      <w:tr w14:paraId="5448193E">
        <w:tblPrEx>
          <w:tblCellMar>
            <w:top w:w="0" w:type="dxa"/>
            <w:left w:w="108" w:type="dxa"/>
            <w:bottom w:w="0" w:type="dxa"/>
            <w:right w:w="108" w:type="dxa"/>
          </w:tblCellMar>
        </w:tblPrEx>
        <w:trPr>
          <w:trHeight w:val="312" w:hRule="atLeast"/>
          <w:jc w:val="center"/>
        </w:trPr>
        <w:tc>
          <w:tcPr>
            <w:tcW w:w="1716" w:type="dxa"/>
            <w:vMerge w:val="continue"/>
            <w:tcBorders>
              <w:top w:val="nil"/>
              <w:left w:val="single" w:color="auto" w:sz="8" w:space="0"/>
              <w:right w:val="single" w:color="auto" w:sz="8" w:space="0"/>
            </w:tcBorders>
            <w:vAlign w:val="center"/>
          </w:tcPr>
          <w:p w14:paraId="171A9219">
            <w:pPr>
              <w:spacing w:after="0" w:line="240" w:lineRule="auto"/>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right w:val="single" w:color="auto" w:sz="8" w:space="0"/>
            </w:tcBorders>
            <w:vAlign w:val="center"/>
          </w:tcPr>
          <w:p w14:paraId="71638BEA">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single" w:color="auto" w:sz="4" w:space="0"/>
              <w:left w:val="nil"/>
              <w:bottom w:val="single" w:color="auto" w:sz="4" w:space="0"/>
              <w:right w:val="single" w:color="auto" w:sz="8" w:space="0"/>
            </w:tcBorders>
            <w:shd w:val="clear" w:color="auto" w:fill="auto"/>
            <w:vAlign w:val="center"/>
          </w:tcPr>
          <w:p w14:paraId="12FB911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SAR1</w:t>
            </w:r>
          </w:p>
        </w:tc>
        <w:tc>
          <w:tcPr>
            <w:tcW w:w="1134" w:type="dxa"/>
            <w:tcBorders>
              <w:top w:val="single" w:color="auto" w:sz="4" w:space="0"/>
              <w:left w:val="nil"/>
              <w:bottom w:val="single" w:color="auto" w:sz="4" w:space="0"/>
              <w:right w:val="single" w:color="auto" w:sz="8" w:space="0"/>
            </w:tcBorders>
            <w:shd w:val="clear" w:color="auto" w:fill="auto"/>
            <w:vAlign w:val="bottom"/>
          </w:tcPr>
          <w:p w14:paraId="57FAB7D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-0.75897</w:t>
            </w:r>
          </w:p>
        </w:tc>
        <w:tc>
          <w:tcPr>
            <w:tcW w:w="951" w:type="dxa"/>
            <w:tcBorders>
              <w:top w:val="single" w:color="auto" w:sz="4" w:space="0"/>
              <w:left w:val="nil"/>
              <w:bottom w:val="single" w:color="auto" w:sz="4" w:space="0"/>
              <w:right w:val="single" w:color="auto" w:sz="8" w:space="0"/>
            </w:tcBorders>
            <w:shd w:val="clear" w:color="auto" w:fill="auto"/>
            <w:vAlign w:val="bottom"/>
          </w:tcPr>
          <w:p w14:paraId="486A7BD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0.0540</w:t>
            </w:r>
          </w:p>
        </w:tc>
        <w:tc>
          <w:tcPr>
            <w:tcW w:w="1175" w:type="dxa"/>
            <w:tcBorders>
              <w:top w:val="single" w:color="auto" w:sz="4" w:space="0"/>
              <w:left w:val="nil"/>
              <w:bottom w:val="single" w:color="auto" w:sz="4" w:space="0"/>
              <w:right w:val="single" w:color="auto" w:sz="8" w:space="0"/>
            </w:tcBorders>
            <w:shd w:val="clear" w:color="auto" w:fill="auto"/>
            <w:vAlign w:val="bottom"/>
          </w:tcPr>
          <w:p w14:paraId="381D68F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-14.0378</w:t>
            </w:r>
          </w:p>
        </w:tc>
        <w:tc>
          <w:tcPr>
            <w:tcW w:w="992" w:type="dxa"/>
            <w:tcBorders>
              <w:top w:val="single" w:color="auto" w:sz="4" w:space="0"/>
              <w:left w:val="nil"/>
              <w:bottom w:val="single" w:color="auto" w:sz="4" w:space="0"/>
              <w:right w:val="single" w:color="auto" w:sz="8" w:space="0"/>
            </w:tcBorders>
            <w:shd w:val="clear" w:color="auto" w:fill="auto"/>
            <w:vAlign w:val="bottom"/>
          </w:tcPr>
          <w:p w14:paraId="5B512D6A">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 0.001</w:t>
            </w:r>
          </w:p>
        </w:tc>
      </w:tr>
      <w:tr w14:paraId="1DDFA3D5">
        <w:tblPrEx>
          <w:tblCellMar>
            <w:top w:w="0" w:type="dxa"/>
            <w:left w:w="108" w:type="dxa"/>
            <w:bottom w:w="0" w:type="dxa"/>
            <w:right w:w="108" w:type="dxa"/>
          </w:tblCellMar>
        </w:tblPrEx>
        <w:trPr>
          <w:trHeight w:val="312" w:hRule="atLeast"/>
          <w:jc w:val="center"/>
        </w:trPr>
        <w:tc>
          <w:tcPr>
            <w:tcW w:w="1716" w:type="dxa"/>
            <w:vMerge w:val="continue"/>
            <w:tcBorders>
              <w:top w:val="nil"/>
              <w:left w:val="single" w:color="auto" w:sz="8" w:space="0"/>
              <w:bottom w:val="single" w:color="auto" w:sz="4" w:space="0"/>
              <w:right w:val="single" w:color="auto" w:sz="8" w:space="0"/>
            </w:tcBorders>
            <w:vAlign w:val="center"/>
          </w:tcPr>
          <w:p w14:paraId="6CFD4247">
            <w:pPr>
              <w:spacing w:after="0" w:line="240" w:lineRule="auto"/>
              <w:rPr>
                <w:rFonts w:ascii="Times New Roman" w:hAnsi="Times New Roman" w:eastAsia="Times New Roman" w:cs="Times New Roman"/>
                <w:color w:val="000000"/>
                <w:sz w:val="24"/>
                <w:szCs w:val="24"/>
                <w:lang w:eastAsia="en-IN"/>
              </w:rPr>
            </w:pPr>
          </w:p>
        </w:tc>
        <w:tc>
          <w:tcPr>
            <w:tcW w:w="1776" w:type="dxa"/>
            <w:vMerge w:val="continue"/>
            <w:tcBorders>
              <w:top w:val="nil"/>
              <w:left w:val="single" w:color="auto" w:sz="8" w:space="0"/>
              <w:bottom w:val="single" w:color="auto" w:sz="4" w:space="0"/>
              <w:right w:val="single" w:color="auto" w:sz="8" w:space="0"/>
            </w:tcBorders>
            <w:vAlign w:val="center"/>
          </w:tcPr>
          <w:p w14:paraId="4AE48711">
            <w:pPr>
              <w:spacing w:after="0" w:line="240" w:lineRule="auto"/>
              <w:jc w:val="center"/>
              <w:rPr>
                <w:rFonts w:ascii="Times New Roman" w:hAnsi="Times New Roman" w:eastAsia="Times New Roman" w:cs="Times New Roman"/>
                <w:color w:val="000000"/>
                <w:sz w:val="24"/>
                <w:szCs w:val="24"/>
                <w:lang w:eastAsia="en-IN"/>
              </w:rPr>
            </w:pPr>
          </w:p>
        </w:tc>
        <w:tc>
          <w:tcPr>
            <w:tcW w:w="1352" w:type="dxa"/>
            <w:tcBorders>
              <w:top w:val="single" w:color="auto" w:sz="4" w:space="0"/>
              <w:left w:val="nil"/>
              <w:bottom w:val="single" w:color="auto" w:sz="4" w:space="0"/>
              <w:right w:val="single" w:color="auto" w:sz="8" w:space="0"/>
            </w:tcBorders>
            <w:shd w:val="clear" w:color="auto" w:fill="auto"/>
            <w:vAlign w:val="center"/>
          </w:tcPr>
          <w:p w14:paraId="3C1E78F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SAR2</w:t>
            </w:r>
          </w:p>
        </w:tc>
        <w:tc>
          <w:tcPr>
            <w:tcW w:w="1134" w:type="dxa"/>
            <w:tcBorders>
              <w:top w:val="single" w:color="auto" w:sz="4" w:space="0"/>
              <w:left w:val="nil"/>
              <w:bottom w:val="single" w:color="auto" w:sz="4" w:space="0"/>
              <w:right w:val="single" w:color="auto" w:sz="8" w:space="0"/>
            </w:tcBorders>
            <w:shd w:val="clear" w:color="auto" w:fill="auto"/>
            <w:vAlign w:val="bottom"/>
          </w:tcPr>
          <w:p w14:paraId="78132A6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-0.29225</w:t>
            </w:r>
          </w:p>
        </w:tc>
        <w:tc>
          <w:tcPr>
            <w:tcW w:w="951" w:type="dxa"/>
            <w:tcBorders>
              <w:top w:val="single" w:color="auto" w:sz="4" w:space="0"/>
              <w:left w:val="nil"/>
              <w:bottom w:val="single" w:color="auto" w:sz="4" w:space="0"/>
              <w:right w:val="single" w:color="auto" w:sz="8" w:space="0"/>
            </w:tcBorders>
            <w:shd w:val="clear" w:color="auto" w:fill="auto"/>
            <w:vAlign w:val="bottom"/>
          </w:tcPr>
          <w:p w14:paraId="124F156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0.0537</w:t>
            </w:r>
          </w:p>
        </w:tc>
        <w:tc>
          <w:tcPr>
            <w:tcW w:w="1175" w:type="dxa"/>
            <w:tcBorders>
              <w:top w:val="single" w:color="auto" w:sz="4" w:space="0"/>
              <w:left w:val="nil"/>
              <w:bottom w:val="single" w:color="auto" w:sz="4" w:space="0"/>
              <w:right w:val="single" w:color="auto" w:sz="8" w:space="0"/>
            </w:tcBorders>
            <w:shd w:val="clear" w:color="auto" w:fill="auto"/>
            <w:vAlign w:val="bottom"/>
          </w:tcPr>
          <w:p w14:paraId="7EF5C63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-5.4383</w:t>
            </w:r>
          </w:p>
        </w:tc>
        <w:tc>
          <w:tcPr>
            <w:tcW w:w="992" w:type="dxa"/>
            <w:tcBorders>
              <w:top w:val="single" w:color="auto" w:sz="4" w:space="0"/>
              <w:left w:val="nil"/>
              <w:bottom w:val="single" w:color="auto" w:sz="4" w:space="0"/>
              <w:right w:val="single" w:color="auto" w:sz="8" w:space="0"/>
            </w:tcBorders>
            <w:shd w:val="clear" w:color="auto" w:fill="auto"/>
            <w:vAlign w:val="bottom"/>
          </w:tcPr>
          <w:p w14:paraId="35C33BF3">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cs="Times New Roman"/>
                <w:color w:val="000000"/>
                <w:sz w:val="24"/>
                <w:szCs w:val="24"/>
              </w:rPr>
              <w:t>&lt; 0.001</w:t>
            </w:r>
          </w:p>
        </w:tc>
      </w:tr>
    </w:tbl>
    <w:p w14:paraId="279CF1F4">
      <w:pPr>
        <w:rPr>
          <w:rFonts w:ascii="Times New Roman" w:hAnsi="Times New Roman" w:cs="Times New Roman"/>
        </w:rPr>
      </w:pPr>
    </w:p>
    <w:p w14:paraId="4AFAF3BC">
      <w:pPr>
        <w:rPr>
          <w:rFonts w:ascii="Times New Roman" w:hAnsi="Times New Roman" w:cs="Times New Roman"/>
        </w:rPr>
      </w:pPr>
    </w:p>
    <w:p w14:paraId="186541D3">
      <w:pPr>
        <w:rPr>
          <w:rFonts w:ascii="Times New Roman" w:hAnsi="Times New Roman" w:cs="Times New Roman"/>
        </w:rPr>
      </w:pPr>
    </w:p>
    <w:p w14:paraId="7F9AFCE9">
      <w:pPr>
        <w:rPr>
          <w:rFonts w:ascii="Times New Roman" w:hAnsi="Times New Roman" w:cs="Times New Roman"/>
        </w:rPr>
      </w:pPr>
    </w:p>
    <w:p w14:paraId="26DDBE72">
      <w:pPr>
        <w:rPr>
          <w:rFonts w:ascii="Times New Roman" w:hAnsi="Times New Roman" w:cs="Times New Roman"/>
        </w:rPr>
      </w:pPr>
    </w:p>
    <w:p w14:paraId="0E45A01D">
      <w:pPr>
        <w:rPr>
          <w:rFonts w:ascii="Times New Roman" w:hAnsi="Times New Roman" w:cs="Times New Roman"/>
        </w:rPr>
      </w:pPr>
    </w:p>
    <w:p w14:paraId="73DCC03E">
      <w:pPr>
        <w:rPr>
          <w:rFonts w:ascii="Times New Roman" w:hAnsi="Times New Roman" w:cs="Times New Roman"/>
        </w:rPr>
      </w:pPr>
    </w:p>
    <w:p w14:paraId="70C6B08B">
      <w:pPr>
        <w:rPr>
          <w:rFonts w:ascii="Times New Roman" w:hAnsi="Times New Roman" w:cs="Times New Roman"/>
        </w:rPr>
      </w:pPr>
    </w:p>
    <w:p w14:paraId="5E77F6D3">
      <w:pPr>
        <w:rPr>
          <w:rFonts w:ascii="Times New Roman" w:hAnsi="Times New Roman" w:cs="Times New Roman"/>
        </w:rPr>
      </w:pPr>
    </w:p>
    <w:p w14:paraId="112AA5A0">
      <w:pPr>
        <w:rPr>
          <w:rFonts w:ascii="Times New Roman" w:hAnsi="Times New Roman" w:cs="Times New Roman"/>
        </w:rPr>
      </w:pPr>
    </w:p>
    <w:p w14:paraId="77E57EDC">
      <w:pPr>
        <w:jc w:val="center"/>
        <w:rPr>
          <w:rFonts w:ascii="Times New Roman" w:hAnsi="Times New Roman" w:cs="Times New Roman"/>
          <w:b/>
        </w:rPr>
      </w:pPr>
      <w:r>
        <w:rPr>
          <w:rFonts w:ascii="Times New Roman" w:hAnsi="Times New Roman" w:cs="Times New Roman"/>
          <w:b/>
        </w:rPr>
        <w:t xml:space="preserve">Table 5 Auto correlation check for residuals of </w:t>
      </w:r>
      <w:r>
        <w:rPr>
          <w:rFonts w:ascii="Times New Roman" w:hAnsi="Times New Roman" w:eastAsia="Times New Roman" w:cs="Times New Roman"/>
          <w:color w:val="000000"/>
          <w:sz w:val="24"/>
          <w:szCs w:val="24"/>
          <w:lang w:eastAsia="en-IN"/>
        </w:rPr>
        <w:t xml:space="preserve">Seasonal </w:t>
      </w:r>
      <w:r>
        <w:rPr>
          <w:rFonts w:ascii="Times New Roman" w:hAnsi="Times New Roman" w:cs="Times New Roman"/>
          <w:b/>
        </w:rPr>
        <w:t>ARIMA model at different station</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26"/>
        <w:gridCol w:w="1843"/>
        <w:gridCol w:w="1984"/>
      </w:tblGrid>
      <w:tr w14:paraId="13DC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3A40C6D1">
            <w:pPr>
              <w:spacing w:after="0" w:line="240" w:lineRule="auto"/>
              <w:jc w:val="center"/>
              <w:rPr>
                <w:rFonts w:ascii="Times New Roman" w:hAnsi="Times New Roman" w:cs="Times New Roman"/>
                <w:b/>
                <w:bCs/>
              </w:rPr>
            </w:pPr>
            <w:r>
              <w:rPr>
                <w:rFonts w:ascii="Times New Roman" w:hAnsi="Times New Roman" w:cs="Times New Roman"/>
                <w:b/>
                <w:bCs/>
              </w:rPr>
              <w:t>Station</w:t>
            </w:r>
          </w:p>
        </w:tc>
        <w:tc>
          <w:tcPr>
            <w:tcW w:w="2126" w:type="dxa"/>
            <w:vAlign w:val="bottom"/>
          </w:tcPr>
          <w:p w14:paraId="6218145E">
            <w:pPr>
              <w:spacing w:after="0" w:line="240" w:lineRule="auto"/>
              <w:jc w:val="center"/>
              <w:rPr>
                <w:rFonts w:ascii="Times New Roman" w:hAnsi="Times New Roman" w:cs="Times New Roman"/>
                <w:b/>
                <w:bCs/>
              </w:rPr>
            </w:pPr>
            <w:r>
              <w:rPr>
                <w:rFonts w:ascii="Times New Roman" w:hAnsi="Times New Roman" w:cs="Times New Roman"/>
                <w:b/>
                <w:bCs/>
              </w:rPr>
              <w:t>Chi-Square</w:t>
            </w:r>
          </w:p>
        </w:tc>
        <w:tc>
          <w:tcPr>
            <w:tcW w:w="1843" w:type="dxa"/>
            <w:vAlign w:val="bottom"/>
          </w:tcPr>
          <w:p w14:paraId="50D24F30">
            <w:pPr>
              <w:spacing w:after="0" w:line="240" w:lineRule="auto"/>
              <w:jc w:val="center"/>
              <w:rPr>
                <w:rFonts w:ascii="Times New Roman" w:hAnsi="Times New Roman" w:cs="Times New Roman"/>
                <w:b/>
                <w:bCs/>
              </w:rPr>
            </w:pPr>
            <w:r>
              <w:rPr>
                <w:rFonts w:ascii="Times New Roman" w:hAnsi="Times New Roman" w:cs="Times New Roman"/>
                <w:b/>
                <w:bCs/>
              </w:rPr>
              <w:t>Lag order</w:t>
            </w:r>
          </w:p>
        </w:tc>
        <w:tc>
          <w:tcPr>
            <w:tcW w:w="1984" w:type="dxa"/>
            <w:vAlign w:val="bottom"/>
          </w:tcPr>
          <w:p w14:paraId="2F34B3A3">
            <w:pPr>
              <w:spacing w:after="0" w:line="240" w:lineRule="auto"/>
              <w:jc w:val="center"/>
              <w:rPr>
                <w:rFonts w:ascii="Times New Roman" w:hAnsi="Times New Roman" w:cs="Times New Roman"/>
                <w:b/>
                <w:bCs/>
              </w:rPr>
            </w:pPr>
            <w:r>
              <w:rPr>
                <w:rFonts w:ascii="Times New Roman" w:hAnsi="Times New Roman" w:cs="Times New Roman"/>
                <w:b/>
                <w:bCs/>
              </w:rPr>
              <w:t>P-value</w:t>
            </w:r>
          </w:p>
        </w:tc>
      </w:tr>
      <w:tr w14:paraId="4BF3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05A2A126">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p>
        </w:tc>
        <w:tc>
          <w:tcPr>
            <w:tcW w:w="2126" w:type="dxa"/>
            <w:vAlign w:val="bottom"/>
          </w:tcPr>
          <w:p w14:paraId="4B0CEE32">
            <w:pPr>
              <w:spacing w:after="0" w:line="240" w:lineRule="auto"/>
              <w:jc w:val="center"/>
              <w:rPr>
                <w:rFonts w:ascii="Times New Roman" w:hAnsi="Times New Roman" w:cs="Times New Roman"/>
              </w:rPr>
            </w:pPr>
            <w:r>
              <w:rPr>
                <w:rFonts w:ascii="Times New Roman" w:hAnsi="Times New Roman" w:cs="Times New Roman"/>
              </w:rPr>
              <w:t>2.10</w:t>
            </w:r>
          </w:p>
        </w:tc>
        <w:tc>
          <w:tcPr>
            <w:tcW w:w="1843" w:type="dxa"/>
            <w:vAlign w:val="bottom"/>
          </w:tcPr>
          <w:p w14:paraId="4A1AC144">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7F752404">
            <w:pPr>
              <w:spacing w:after="0" w:line="240" w:lineRule="auto"/>
              <w:jc w:val="center"/>
              <w:rPr>
                <w:rFonts w:ascii="Times New Roman" w:hAnsi="Times New Roman" w:cs="Times New Roman"/>
              </w:rPr>
            </w:pPr>
            <w:r>
              <w:rPr>
                <w:rFonts w:ascii="Times New Roman" w:hAnsi="Times New Roman" w:cs="Times New Roman"/>
              </w:rPr>
              <w:t>0.14</w:t>
            </w:r>
          </w:p>
        </w:tc>
      </w:tr>
      <w:tr w14:paraId="0B6D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5FC9C739">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Aurad, </w:t>
            </w:r>
          </w:p>
        </w:tc>
        <w:tc>
          <w:tcPr>
            <w:tcW w:w="2126" w:type="dxa"/>
            <w:vAlign w:val="bottom"/>
          </w:tcPr>
          <w:p w14:paraId="5AECBFA8">
            <w:pPr>
              <w:spacing w:after="0" w:line="240" w:lineRule="auto"/>
              <w:jc w:val="center"/>
              <w:rPr>
                <w:rFonts w:ascii="Times New Roman" w:hAnsi="Times New Roman" w:cs="Times New Roman"/>
              </w:rPr>
            </w:pPr>
            <w:r>
              <w:rPr>
                <w:rFonts w:ascii="Times New Roman" w:hAnsi="Times New Roman" w:cs="Times New Roman"/>
              </w:rPr>
              <w:t>0.04</w:t>
            </w:r>
          </w:p>
        </w:tc>
        <w:tc>
          <w:tcPr>
            <w:tcW w:w="1843" w:type="dxa"/>
            <w:vAlign w:val="bottom"/>
          </w:tcPr>
          <w:p w14:paraId="478163BA">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49DBAC4A">
            <w:pPr>
              <w:spacing w:after="0" w:line="240" w:lineRule="auto"/>
              <w:jc w:val="center"/>
              <w:rPr>
                <w:rFonts w:ascii="Times New Roman" w:hAnsi="Times New Roman" w:cs="Times New Roman"/>
              </w:rPr>
            </w:pPr>
            <w:r>
              <w:rPr>
                <w:rFonts w:ascii="Times New Roman" w:hAnsi="Times New Roman" w:cs="Times New Roman"/>
              </w:rPr>
              <w:t>0.82</w:t>
            </w:r>
          </w:p>
        </w:tc>
      </w:tr>
      <w:tr w14:paraId="30FA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EC5D453">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Bhalki, </w:t>
            </w:r>
          </w:p>
        </w:tc>
        <w:tc>
          <w:tcPr>
            <w:tcW w:w="2126" w:type="dxa"/>
            <w:vAlign w:val="bottom"/>
          </w:tcPr>
          <w:p w14:paraId="066F7A81">
            <w:pPr>
              <w:spacing w:after="0" w:line="240" w:lineRule="auto"/>
              <w:jc w:val="center"/>
              <w:rPr>
                <w:rFonts w:ascii="Times New Roman" w:hAnsi="Times New Roman" w:cs="Times New Roman"/>
              </w:rPr>
            </w:pPr>
            <w:r>
              <w:rPr>
                <w:rFonts w:ascii="Times New Roman" w:hAnsi="Times New Roman" w:cs="Times New Roman"/>
              </w:rPr>
              <w:t>0.01</w:t>
            </w:r>
          </w:p>
        </w:tc>
        <w:tc>
          <w:tcPr>
            <w:tcW w:w="1843" w:type="dxa"/>
            <w:vAlign w:val="bottom"/>
          </w:tcPr>
          <w:p w14:paraId="7DBB4E32">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15B3E23B">
            <w:pPr>
              <w:spacing w:after="0" w:line="240" w:lineRule="auto"/>
              <w:jc w:val="center"/>
              <w:rPr>
                <w:rFonts w:ascii="Times New Roman" w:hAnsi="Times New Roman" w:cs="Times New Roman"/>
              </w:rPr>
            </w:pPr>
            <w:r>
              <w:rPr>
                <w:rFonts w:ascii="Times New Roman" w:hAnsi="Times New Roman" w:cs="Times New Roman"/>
              </w:rPr>
              <w:t>0.91</w:t>
            </w:r>
          </w:p>
        </w:tc>
      </w:tr>
      <w:tr w14:paraId="15C4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1CD43674">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Humnabad, </w:t>
            </w:r>
          </w:p>
        </w:tc>
        <w:tc>
          <w:tcPr>
            <w:tcW w:w="2126" w:type="dxa"/>
            <w:vAlign w:val="bottom"/>
          </w:tcPr>
          <w:p w14:paraId="1439C6F3">
            <w:pPr>
              <w:spacing w:after="0" w:line="240" w:lineRule="auto"/>
              <w:jc w:val="center"/>
              <w:rPr>
                <w:rFonts w:ascii="Times New Roman" w:hAnsi="Times New Roman" w:cs="Times New Roman"/>
              </w:rPr>
            </w:pPr>
            <w:r>
              <w:rPr>
                <w:rFonts w:ascii="Times New Roman" w:hAnsi="Times New Roman" w:cs="Times New Roman"/>
              </w:rPr>
              <w:t>2.27</w:t>
            </w:r>
          </w:p>
        </w:tc>
        <w:tc>
          <w:tcPr>
            <w:tcW w:w="1843" w:type="dxa"/>
            <w:vAlign w:val="bottom"/>
          </w:tcPr>
          <w:p w14:paraId="079224B5">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0C96F1B9">
            <w:pPr>
              <w:spacing w:after="0" w:line="240" w:lineRule="auto"/>
              <w:jc w:val="center"/>
              <w:rPr>
                <w:rFonts w:ascii="Times New Roman" w:hAnsi="Times New Roman" w:cs="Times New Roman"/>
              </w:rPr>
            </w:pPr>
            <w:r>
              <w:rPr>
                <w:rFonts w:ascii="Times New Roman" w:hAnsi="Times New Roman" w:cs="Times New Roman"/>
              </w:rPr>
              <w:t>0.13</w:t>
            </w:r>
          </w:p>
        </w:tc>
      </w:tr>
      <w:tr w14:paraId="776F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1B8D91E5">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Basavakalyan</w:t>
            </w:r>
          </w:p>
        </w:tc>
        <w:tc>
          <w:tcPr>
            <w:tcW w:w="2126" w:type="dxa"/>
            <w:vAlign w:val="bottom"/>
          </w:tcPr>
          <w:p w14:paraId="2122B424">
            <w:pPr>
              <w:spacing w:after="0" w:line="240" w:lineRule="auto"/>
              <w:jc w:val="center"/>
              <w:rPr>
                <w:rFonts w:ascii="Times New Roman" w:hAnsi="Times New Roman" w:cs="Times New Roman"/>
              </w:rPr>
            </w:pPr>
            <w:r>
              <w:rPr>
                <w:rFonts w:ascii="Times New Roman" w:hAnsi="Times New Roman" w:cs="Times New Roman"/>
              </w:rPr>
              <w:t>2.04</w:t>
            </w:r>
          </w:p>
        </w:tc>
        <w:tc>
          <w:tcPr>
            <w:tcW w:w="1843" w:type="dxa"/>
            <w:vAlign w:val="bottom"/>
          </w:tcPr>
          <w:p w14:paraId="4B659A86">
            <w:pPr>
              <w:spacing w:after="0" w:line="240" w:lineRule="auto"/>
              <w:jc w:val="center"/>
              <w:rPr>
                <w:rFonts w:ascii="Times New Roman" w:hAnsi="Times New Roman" w:cs="Times New Roman"/>
              </w:rPr>
            </w:pPr>
            <w:r>
              <w:rPr>
                <w:rFonts w:ascii="Times New Roman" w:hAnsi="Times New Roman" w:cs="Times New Roman"/>
              </w:rPr>
              <w:t>1</w:t>
            </w:r>
          </w:p>
        </w:tc>
        <w:tc>
          <w:tcPr>
            <w:tcW w:w="1984" w:type="dxa"/>
            <w:vAlign w:val="bottom"/>
          </w:tcPr>
          <w:p w14:paraId="13E5F188">
            <w:pPr>
              <w:spacing w:after="0" w:line="240" w:lineRule="auto"/>
              <w:jc w:val="center"/>
              <w:rPr>
                <w:rFonts w:ascii="Times New Roman" w:hAnsi="Times New Roman" w:cs="Times New Roman"/>
              </w:rPr>
            </w:pPr>
            <w:r>
              <w:rPr>
                <w:rFonts w:ascii="Times New Roman" w:hAnsi="Times New Roman" w:cs="Times New Roman"/>
              </w:rPr>
              <w:t>0.17</w:t>
            </w:r>
          </w:p>
        </w:tc>
      </w:tr>
    </w:tbl>
    <w:p w14:paraId="10BEEB7C">
      <w:pPr>
        <w:spacing w:line="360" w:lineRule="auto"/>
        <w:rPr>
          <w:rFonts w:ascii="Times New Roman" w:hAnsi="Times New Roman" w:cs="Times New Roman"/>
          <w:b/>
          <w:sz w:val="24"/>
          <w:szCs w:val="24"/>
        </w:rPr>
      </w:pPr>
    </w:p>
    <w:p w14:paraId="075CA4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6 Performance measure of Seasonal ARIMA models at different stations</w:t>
      </w:r>
    </w:p>
    <w:tbl>
      <w:tblPr>
        <w:tblStyle w:val="3"/>
        <w:tblW w:w="5000" w:type="pct"/>
        <w:tblInd w:w="-72" w:type="dxa"/>
        <w:tblLayout w:type="fixed"/>
        <w:tblCellMar>
          <w:top w:w="0" w:type="dxa"/>
          <w:left w:w="108" w:type="dxa"/>
          <w:bottom w:w="0" w:type="dxa"/>
          <w:right w:w="108" w:type="dxa"/>
        </w:tblCellMar>
      </w:tblPr>
      <w:tblGrid>
        <w:gridCol w:w="1387"/>
        <w:gridCol w:w="1638"/>
        <w:gridCol w:w="1435"/>
        <w:gridCol w:w="804"/>
        <w:gridCol w:w="900"/>
        <w:gridCol w:w="804"/>
        <w:gridCol w:w="804"/>
        <w:gridCol w:w="916"/>
        <w:gridCol w:w="889"/>
      </w:tblGrid>
      <w:tr w14:paraId="55093D89">
        <w:tblPrEx>
          <w:tblCellMar>
            <w:top w:w="0" w:type="dxa"/>
            <w:left w:w="108" w:type="dxa"/>
            <w:bottom w:w="0" w:type="dxa"/>
            <w:right w:w="108" w:type="dxa"/>
          </w:tblCellMar>
        </w:tblPrEx>
        <w:trPr>
          <w:trHeight w:val="315" w:hRule="atLeast"/>
        </w:trPr>
        <w:tc>
          <w:tcPr>
            <w:tcW w:w="72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15170C">
            <w:pPr>
              <w:spacing w:after="0" w:line="240" w:lineRule="auto"/>
              <w:jc w:val="center"/>
              <w:rPr>
                <w:rFonts w:ascii="Times New Roman" w:hAnsi="Times New Roman" w:eastAsia="Times New Roman" w:cs="Times New Roman"/>
                <w:b/>
                <w:bCs/>
                <w:color w:val="000000"/>
                <w:sz w:val="23"/>
                <w:szCs w:val="23"/>
                <w:lang w:eastAsia="en-IN"/>
              </w:rPr>
            </w:pPr>
            <w:r>
              <w:rPr>
                <w:rFonts w:ascii="Times New Roman" w:hAnsi="Times New Roman" w:eastAsia="Times New Roman" w:cs="Times New Roman"/>
                <w:b/>
                <w:bCs/>
                <w:color w:val="000000"/>
                <w:sz w:val="23"/>
                <w:szCs w:val="23"/>
                <w:lang w:eastAsia="en-IN"/>
              </w:rPr>
              <w:t>Station</w:t>
            </w:r>
          </w:p>
        </w:tc>
        <w:tc>
          <w:tcPr>
            <w:tcW w:w="855" w:type="pct"/>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2C21CFE6">
            <w:pPr>
              <w:spacing w:after="0" w:line="240" w:lineRule="auto"/>
              <w:jc w:val="center"/>
              <w:rPr>
                <w:rFonts w:ascii="Times New Roman" w:hAnsi="Times New Roman" w:eastAsia="Times New Roman" w:cs="Times New Roman"/>
                <w:b/>
                <w:bCs/>
                <w:color w:val="000000"/>
                <w:sz w:val="23"/>
                <w:szCs w:val="23"/>
                <w:lang w:eastAsia="en-IN"/>
              </w:rPr>
            </w:pPr>
            <w:r>
              <w:rPr>
                <w:rFonts w:ascii="Times New Roman" w:hAnsi="Times New Roman" w:eastAsia="Times New Roman" w:cs="Times New Roman"/>
                <w:b/>
                <w:bCs/>
                <w:color w:val="000000"/>
                <w:sz w:val="23"/>
                <w:szCs w:val="23"/>
                <w:lang w:eastAsia="en-IN"/>
              </w:rPr>
              <w:t>Model</w:t>
            </w:r>
          </w:p>
        </w:tc>
        <w:tc>
          <w:tcPr>
            <w:tcW w:w="749" w:type="pct"/>
            <w:vMerge w:val="restart"/>
            <w:tcBorders>
              <w:top w:val="single" w:color="auto" w:sz="4" w:space="0"/>
              <w:left w:val="nil"/>
              <w:right w:val="single" w:color="auto" w:sz="4" w:space="0"/>
            </w:tcBorders>
            <w:shd w:val="clear" w:color="auto" w:fill="auto"/>
            <w:noWrap/>
            <w:vAlign w:val="center"/>
          </w:tcPr>
          <w:p w14:paraId="2831684C">
            <w:pPr>
              <w:spacing w:after="0" w:line="240" w:lineRule="auto"/>
              <w:jc w:val="center"/>
              <w:rPr>
                <w:rFonts w:ascii="Times New Roman" w:hAnsi="Times New Roman" w:eastAsia="Times New Roman" w:cs="Times New Roman"/>
                <w:b/>
                <w:bCs/>
                <w:color w:val="000000"/>
                <w:sz w:val="23"/>
                <w:szCs w:val="23"/>
                <w:lang w:eastAsia="en-IN"/>
              </w:rPr>
            </w:pPr>
          </w:p>
          <w:p w14:paraId="0A7AF8DD">
            <w:pPr>
              <w:spacing w:after="0" w:line="240" w:lineRule="auto"/>
              <w:jc w:val="center"/>
              <w:rPr>
                <w:rFonts w:ascii="Times New Roman" w:hAnsi="Times New Roman" w:eastAsia="Times New Roman" w:cs="Times New Roman"/>
                <w:b/>
                <w:bCs/>
                <w:color w:val="000000"/>
                <w:sz w:val="23"/>
                <w:szCs w:val="23"/>
                <w:lang w:eastAsia="en-IN"/>
              </w:rPr>
            </w:pPr>
            <w:r>
              <w:rPr>
                <w:rFonts w:ascii="Times New Roman" w:hAnsi="Times New Roman" w:eastAsia="Times New Roman" w:cs="Times New Roman"/>
                <w:b/>
                <w:bCs/>
                <w:color w:val="000000"/>
                <w:sz w:val="23"/>
                <w:szCs w:val="23"/>
                <w:lang w:eastAsia="en-IN"/>
              </w:rPr>
              <w:t>Performance measures</w:t>
            </w:r>
          </w:p>
        </w:tc>
        <w:tc>
          <w:tcPr>
            <w:tcW w:w="2672" w:type="pct"/>
            <w:gridSpan w:val="6"/>
            <w:tcBorders>
              <w:top w:val="single" w:color="auto" w:sz="4" w:space="0"/>
              <w:left w:val="nil"/>
              <w:bottom w:val="single" w:color="auto" w:sz="4" w:space="0"/>
              <w:right w:val="single" w:color="auto" w:sz="4" w:space="0"/>
            </w:tcBorders>
            <w:shd w:val="clear" w:color="auto" w:fill="auto"/>
            <w:noWrap/>
            <w:vAlign w:val="center"/>
          </w:tcPr>
          <w:p w14:paraId="2AA9F42D">
            <w:pPr>
              <w:spacing w:after="0" w:line="240" w:lineRule="auto"/>
              <w:jc w:val="center"/>
              <w:rPr>
                <w:rFonts w:ascii="Times New Roman" w:hAnsi="Times New Roman" w:eastAsia="Times New Roman" w:cs="Times New Roman"/>
                <w:b/>
                <w:bCs/>
                <w:color w:val="000000"/>
                <w:sz w:val="23"/>
                <w:szCs w:val="23"/>
                <w:lang w:eastAsia="en-IN"/>
              </w:rPr>
            </w:pPr>
          </w:p>
        </w:tc>
      </w:tr>
      <w:tr w14:paraId="0EECA1C3">
        <w:tblPrEx>
          <w:tblCellMar>
            <w:top w:w="0" w:type="dxa"/>
            <w:left w:w="108" w:type="dxa"/>
            <w:bottom w:w="0" w:type="dxa"/>
            <w:right w:w="108" w:type="dxa"/>
          </w:tblCellMar>
        </w:tblPrEx>
        <w:trPr>
          <w:trHeight w:val="630"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5E8A8CC8">
            <w:pPr>
              <w:spacing w:after="0" w:line="240" w:lineRule="auto"/>
              <w:jc w:val="center"/>
              <w:rPr>
                <w:rFonts w:ascii="Times New Roman" w:hAnsi="Times New Roman" w:eastAsia="Times New Roman" w:cs="Times New Roman"/>
                <w:b/>
                <w:bCs/>
                <w:color w:val="000000"/>
                <w:sz w:val="23"/>
                <w:szCs w:val="23"/>
                <w:lang w:eastAsia="en-IN"/>
              </w:rPr>
            </w:pPr>
          </w:p>
        </w:tc>
        <w:tc>
          <w:tcPr>
            <w:tcW w:w="855" w:type="pct"/>
            <w:vMerge w:val="continue"/>
            <w:tcBorders>
              <w:top w:val="single" w:color="auto" w:sz="4" w:space="0"/>
              <w:left w:val="single" w:color="auto" w:sz="4" w:space="0"/>
              <w:bottom w:val="single" w:color="000000" w:sz="4" w:space="0"/>
              <w:right w:val="single" w:color="000000" w:sz="4" w:space="0"/>
            </w:tcBorders>
            <w:vAlign w:val="center"/>
          </w:tcPr>
          <w:p w14:paraId="0447B099">
            <w:pPr>
              <w:spacing w:after="0" w:line="240" w:lineRule="auto"/>
              <w:jc w:val="center"/>
              <w:rPr>
                <w:rFonts w:ascii="Times New Roman" w:hAnsi="Times New Roman" w:eastAsia="Times New Roman" w:cs="Times New Roman"/>
                <w:b/>
                <w:bCs/>
                <w:color w:val="000000"/>
                <w:sz w:val="23"/>
                <w:szCs w:val="23"/>
                <w:lang w:eastAsia="en-IN"/>
              </w:rPr>
            </w:pPr>
          </w:p>
        </w:tc>
        <w:tc>
          <w:tcPr>
            <w:tcW w:w="749" w:type="pct"/>
            <w:vMerge w:val="continue"/>
            <w:tcBorders>
              <w:left w:val="nil"/>
              <w:bottom w:val="single" w:color="auto" w:sz="4" w:space="0"/>
              <w:right w:val="single" w:color="auto" w:sz="4" w:space="0"/>
            </w:tcBorders>
            <w:shd w:val="clear" w:color="auto" w:fill="auto"/>
            <w:vAlign w:val="center"/>
          </w:tcPr>
          <w:p w14:paraId="4D4E8C30">
            <w:pPr>
              <w:spacing w:after="0" w:line="240" w:lineRule="auto"/>
              <w:jc w:val="center"/>
              <w:rPr>
                <w:rFonts w:ascii="Times New Roman" w:hAnsi="Times New Roman" w:eastAsia="Times New Roman" w:cs="Times New Roman"/>
                <w:b/>
                <w:bCs/>
                <w:color w:val="000000"/>
                <w:sz w:val="23"/>
                <w:szCs w:val="23"/>
                <w:lang w:eastAsia="en-IN"/>
              </w:rPr>
            </w:pPr>
          </w:p>
        </w:tc>
        <w:tc>
          <w:tcPr>
            <w:tcW w:w="2673" w:type="pct"/>
            <w:gridSpan w:val="6"/>
            <w:tcBorders>
              <w:top w:val="single" w:color="auto" w:sz="4" w:space="0"/>
              <w:left w:val="nil"/>
              <w:bottom w:val="single" w:color="auto" w:sz="4" w:space="0"/>
              <w:right w:val="single" w:color="000000" w:sz="4" w:space="0"/>
            </w:tcBorders>
            <w:shd w:val="clear" w:color="auto" w:fill="auto"/>
            <w:noWrap/>
            <w:vAlign w:val="center"/>
          </w:tcPr>
          <w:p w14:paraId="5964E687">
            <w:pPr>
              <w:spacing w:after="0" w:line="240" w:lineRule="auto"/>
              <w:jc w:val="center"/>
              <w:rPr>
                <w:rFonts w:ascii="Times New Roman" w:hAnsi="Times New Roman" w:eastAsia="Times New Roman" w:cs="Times New Roman"/>
                <w:b/>
                <w:bCs/>
                <w:color w:val="000000"/>
                <w:sz w:val="23"/>
                <w:szCs w:val="23"/>
                <w:lang w:eastAsia="en-IN"/>
              </w:rPr>
            </w:pPr>
            <w:r>
              <w:rPr>
                <w:rFonts w:ascii="Times New Roman" w:hAnsi="Times New Roman" w:eastAsia="Times New Roman" w:cs="Times New Roman"/>
                <w:b/>
                <w:bCs/>
                <w:color w:val="000000"/>
                <w:sz w:val="23"/>
                <w:szCs w:val="23"/>
                <w:lang w:eastAsia="en-IN"/>
              </w:rPr>
              <w:t>Lead time</w:t>
            </w:r>
          </w:p>
        </w:tc>
      </w:tr>
      <w:tr w14:paraId="180A90ED">
        <w:tblPrEx>
          <w:tblCellMar>
            <w:top w:w="0" w:type="dxa"/>
            <w:left w:w="108" w:type="dxa"/>
            <w:bottom w:w="0" w:type="dxa"/>
            <w:right w:w="108" w:type="dxa"/>
          </w:tblCellMar>
        </w:tblPrEx>
        <w:trPr>
          <w:trHeight w:val="315" w:hRule="atLeast"/>
        </w:trPr>
        <w:tc>
          <w:tcPr>
            <w:tcW w:w="72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066BB7">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cs="Times New Roman"/>
                <w:color w:val="000000"/>
                <w:sz w:val="24"/>
                <w:szCs w:val="24"/>
                <w:shd w:val="clear" w:color="auto" w:fill="FFFFFF"/>
              </w:rPr>
              <w:t>Bidar</w:t>
            </w:r>
          </w:p>
        </w:tc>
        <w:tc>
          <w:tcPr>
            <w:tcW w:w="855" w:type="pct"/>
            <w:vMerge w:val="restart"/>
            <w:tcBorders>
              <w:top w:val="nil"/>
              <w:left w:val="nil"/>
              <w:right w:val="single" w:color="auto" w:sz="4" w:space="0"/>
            </w:tcBorders>
            <w:shd w:val="clear" w:color="auto" w:fill="auto"/>
            <w:noWrap/>
            <w:vAlign w:val="center"/>
          </w:tcPr>
          <w:p w14:paraId="3C5F15F6">
            <w:pPr>
              <w:spacing w:after="0" w:line="240" w:lineRule="auto"/>
              <w:jc w:val="center"/>
              <w:rPr>
                <w:rFonts w:ascii="Times New Roman" w:hAnsi="Times New Roman" w:eastAsia="Times New Roman" w:cs="Times New Roman"/>
                <w:color w:val="000000"/>
                <w:sz w:val="23"/>
                <w:szCs w:val="23"/>
                <w:lang w:eastAsia="en-IN"/>
              </w:rPr>
            </w:pPr>
          </w:p>
          <w:p w14:paraId="26DA46F9">
            <w:pPr>
              <w:spacing w:after="0" w:line="240" w:lineRule="auto"/>
              <w:jc w:val="center"/>
              <w:rPr>
                <w:rFonts w:ascii="Times New Roman" w:hAnsi="Times New Roman" w:eastAsia="Times New Roman" w:cs="Times New Roman"/>
                <w:color w:val="000000"/>
                <w:sz w:val="23"/>
                <w:szCs w:val="23"/>
                <w:lang w:eastAsia="en-IN"/>
              </w:rPr>
            </w:pPr>
          </w:p>
          <w:p w14:paraId="1EE198AC">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ARIMA</w:t>
            </w:r>
          </w:p>
          <w:p w14:paraId="4FAACCA2">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cs="Times New Roman"/>
                <w:sz w:val="23"/>
                <w:szCs w:val="23"/>
              </w:rPr>
              <w:t>(2,0,2)(1,1,2)</w:t>
            </w:r>
            <w:r>
              <w:rPr>
                <w:rFonts w:ascii="Times New Roman" w:hAnsi="Times New Roman" w:cs="Times New Roman"/>
                <w:sz w:val="23"/>
                <w:szCs w:val="23"/>
                <w:vertAlign w:val="subscript"/>
              </w:rPr>
              <w:t>12</w:t>
            </w:r>
          </w:p>
          <w:p w14:paraId="66794DFF">
            <w:pPr>
              <w:spacing w:after="0" w:line="240" w:lineRule="auto"/>
              <w:jc w:val="center"/>
              <w:rPr>
                <w:rFonts w:ascii="Times New Roman" w:hAnsi="Times New Roman" w:eastAsia="Times New Roman" w:cs="Times New Roman"/>
                <w:color w:val="000000"/>
                <w:sz w:val="23"/>
                <w:szCs w:val="23"/>
                <w:lang w:eastAsia="en-IN"/>
              </w:rPr>
            </w:pPr>
          </w:p>
          <w:p w14:paraId="56B22619">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0B6C6D98">
            <w:pPr>
              <w:spacing w:after="0" w:line="240" w:lineRule="auto"/>
              <w:jc w:val="center"/>
              <w:rPr>
                <w:rFonts w:ascii="Times New Roman" w:hAnsi="Times New Roman" w:eastAsia="Times New Roman" w:cs="Times New Roman"/>
                <w:color w:val="000000"/>
                <w:sz w:val="23"/>
                <w:szCs w:val="23"/>
                <w:lang w:eastAsia="en-IN"/>
              </w:rPr>
            </w:pPr>
          </w:p>
        </w:tc>
        <w:tc>
          <w:tcPr>
            <w:tcW w:w="420" w:type="pct"/>
            <w:tcBorders>
              <w:top w:val="nil"/>
              <w:left w:val="nil"/>
              <w:bottom w:val="single" w:color="auto" w:sz="4" w:space="0"/>
              <w:right w:val="single" w:color="auto" w:sz="4" w:space="0"/>
            </w:tcBorders>
            <w:shd w:val="clear" w:color="auto" w:fill="auto"/>
            <w:noWrap/>
            <w:vAlign w:val="center"/>
          </w:tcPr>
          <w:p w14:paraId="59B511E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w:t>
            </w:r>
          </w:p>
        </w:tc>
        <w:tc>
          <w:tcPr>
            <w:tcW w:w="470" w:type="pct"/>
            <w:tcBorders>
              <w:top w:val="nil"/>
              <w:left w:val="nil"/>
              <w:bottom w:val="single" w:color="auto" w:sz="4" w:space="0"/>
              <w:right w:val="single" w:color="auto" w:sz="4" w:space="0"/>
            </w:tcBorders>
            <w:shd w:val="clear" w:color="auto" w:fill="auto"/>
            <w:noWrap/>
            <w:vAlign w:val="center"/>
          </w:tcPr>
          <w:p w14:paraId="127C6871">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w:t>
            </w:r>
          </w:p>
        </w:tc>
        <w:tc>
          <w:tcPr>
            <w:tcW w:w="420" w:type="pct"/>
            <w:tcBorders>
              <w:top w:val="nil"/>
              <w:left w:val="nil"/>
              <w:bottom w:val="single" w:color="auto" w:sz="4" w:space="0"/>
              <w:right w:val="single" w:color="auto" w:sz="4" w:space="0"/>
            </w:tcBorders>
            <w:shd w:val="clear" w:color="auto" w:fill="auto"/>
            <w:noWrap/>
            <w:vAlign w:val="center"/>
          </w:tcPr>
          <w:p w14:paraId="49BF8041">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w:t>
            </w:r>
          </w:p>
        </w:tc>
        <w:tc>
          <w:tcPr>
            <w:tcW w:w="420" w:type="pct"/>
            <w:tcBorders>
              <w:top w:val="nil"/>
              <w:left w:val="nil"/>
              <w:bottom w:val="single" w:color="auto" w:sz="4" w:space="0"/>
              <w:right w:val="single" w:color="auto" w:sz="4" w:space="0"/>
            </w:tcBorders>
            <w:shd w:val="clear" w:color="auto" w:fill="auto"/>
            <w:noWrap/>
            <w:vAlign w:val="center"/>
          </w:tcPr>
          <w:p w14:paraId="52A8293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w:t>
            </w:r>
          </w:p>
        </w:tc>
        <w:tc>
          <w:tcPr>
            <w:tcW w:w="478" w:type="pct"/>
            <w:tcBorders>
              <w:top w:val="nil"/>
              <w:left w:val="nil"/>
              <w:bottom w:val="single" w:color="auto" w:sz="4" w:space="0"/>
              <w:right w:val="single" w:color="auto" w:sz="4" w:space="0"/>
            </w:tcBorders>
            <w:shd w:val="clear" w:color="auto" w:fill="auto"/>
            <w:noWrap/>
            <w:vAlign w:val="center"/>
          </w:tcPr>
          <w:p w14:paraId="1841D02A">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w:t>
            </w:r>
          </w:p>
        </w:tc>
        <w:tc>
          <w:tcPr>
            <w:tcW w:w="466" w:type="pct"/>
            <w:tcBorders>
              <w:top w:val="nil"/>
              <w:left w:val="nil"/>
              <w:bottom w:val="single" w:color="auto" w:sz="4" w:space="0"/>
              <w:right w:val="single" w:color="auto" w:sz="4" w:space="0"/>
            </w:tcBorders>
            <w:shd w:val="clear" w:color="auto" w:fill="auto"/>
            <w:noWrap/>
            <w:vAlign w:val="center"/>
          </w:tcPr>
          <w:p w14:paraId="2FDBA30A">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6</w:t>
            </w:r>
          </w:p>
        </w:tc>
      </w:tr>
      <w:tr w14:paraId="63BD1777">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686682DA">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right w:val="single" w:color="auto" w:sz="4" w:space="0"/>
            </w:tcBorders>
            <w:shd w:val="clear" w:color="auto" w:fill="auto"/>
            <w:noWrap/>
            <w:vAlign w:val="center"/>
          </w:tcPr>
          <w:p w14:paraId="3FB6CC39">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62C5772E">
            <w:pPr>
              <w:spacing w:after="0" w:line="240" w:lineRule="auto"/>
              <w:jc w:val="center"/>
              <w:rPr>
                <w:rFonts w:ascii="Times New Roman" w:hAnsi="Times New Roman" w:eastAsia="Times New Roman" w:cs="Times New Roman"/>
                <w:color w:val="000000"/>
                <w:sz w:val="23"/>
                <w:szCs w:val="23"/>
                <w:lang w:eastAsia="en-IN"/>
              </w:rPr>
            </w:pPr>
            <w:commentRangeStart w:id="7"/>
            <w:r>
              <w:rPr>
                <w:rFonts w:ascii="Times New Roman" w:hAnsi="Times New Roman" w:eastAsia="Times New Roman" w:cs="Times New Roman"/>
                <w:color w:val="000000"/>
                <w:sz w:val="23"/>
                <w:szCs w:val="23"/>
                <w:lang w:eastAsia="en-IN"/>
              </w:rPr>
              <w:t>RMSE</w:t>
            </w:r>
            <w:commentRangeEnd w:id="7"/>
            <w:r>
              <w:commentReference w:id="7"/>
            </w:r>
          </w:p>
        </w:tc>
        <w:tc>
          <w:tcPr>
            <w:tcW w:w="420" w:type="pct"/>
            <w:tcBorders>
              <w:top w:val="nil"/>
              <w:left w:val="nil"/>
              <w:bottom w:val="single" w:color="auto" w:sz="4" w:space="0"/>
              <w:right w:val="single" w:color="auto" w:sz="4" w:space="0"/>
            </w:tcBorders>
            <w:shd w:val="clear" w:color="auto" w:fill="auto"/>
            <w:noWrap/>
            <w:vAlign w:val="center"/>
          </w:tcPr>
          <w:p w14:paraId="4C79FCB2">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17.43</w:t>
            </w:r>
          </w:p>
        </w:tc>
        <w:tc>
          <w:tcPr>
            <w:tcW w:w="470" w:type="pct"/>
            <w:tcBorders>
              <w:top w:val="nil"/>
              <w:left w:val="nil"/>
              <w:bottom w:val="single" w:color="auto" w:sz="4" w:space="0"/>
              <w:right w:val="single" w:color="auto" w:sz="4" w:space="0"/>
            </w:tcBorders>
            <w:shd w:val="clear" w:color="auto" w:fill="auto"/>
            <w:noWrap/>
            <w:vAlign w:val="center"/>
          </w:tcPr>
          <w:p w14:paraId="7EE0227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24.80</w:t>
            </w:r>
          </w:p>
        </w:tc>
        <w:tc>
          <w:tcPr>
            <w:tcW w:w="420" w:type="pct"/>
            <w:tcBorders>
              <w:top w:val="nil"/>
              <w:left w:val="nil"/>
              <w:bottom w:val="single" w:color="auto" w:sz="4" w:space="0"/>
              <w:right w:val="single" w:color="auto" w:sz="4" w:space="0"/>
            </w:tcBorders>
            <w:shd w:val="clear" w:color="auto" w:fill="auto"/>
            <w:noWrap/>
            <w:vAlign w:val="center"/>
          </w:tcPr>
          <w:p w14:paraId="7796F4FC">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25.29</w:t>
            </w:r>
          </w:p>
        </w:tc>
        <w:tc>
          <w:tcPr>
            <w:tcW w:w="420" w:type="pct"/>
            <w:tcBorders>
              <w:top w:val="nil"/>
              <w:left w:val="nil"/>
              <w:bottom w:val="single" w:color="auto" w:sz="4" w:space="0"/>
              <w:right w:val="single" w:color="auto" w:sz="4" w:space="0"/>
            </w:tcBorders>
            <w:shd w:val="clear" w:color="auto" w:fill="auto"/>
            <w:noWrap/>
            <w:vAlign w:val="center"/>
          </w:tcPr>
          <w:p w14:paraId="75416BF1">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24.84</w:t>
            </w:r>
          </w:p>
        </w:tc>
        <w:tc>
          <w:tcPr>
            <w:tcW w:w="478" w:type="pct"/>
            <w:tcBorders>
              <w:top w:val="nil"/>
              <w:left w:val="nil"/>
              <w:bottom w:val="single" w:color="auto" w:sz="4" w:space="0"/>
              <w:right w:val="single" w:color="auto" w:sz="4" w:space="0"/>
            </w:tcBorders>
            <w:shd w:val="clear" w:color="auto" w:fill="auto"/>
            <w:noWrap/>
            <w:vAlign w:val="center"/>
          </w:tcPr>
          <w:p w14:paraId="69D6FB41">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23.14</w:t>
            </w:r>
          </w:p>
        </w:tc>
        <w:tc>
          <w:tcPr>
            <w:tcW w:w="466" w:type="pct"/>
            <w:tcBorders>
              <w:top w:val="nil"/>
              <w:left w:val="nil"/>
              <w:bottom w:val="single" w:color="auto" w:sz="4" w:space="0"/>
              <w:right w:val="single" w:color="auto" w:sz="4" w:space="0"/>
            </w:tcBorders>
            <w:shd w:val="clear" w:color="auto" w:fill="auto"/>
            <w:noWrap/>
            <w:vAlign w:val="center"/>
          </w:tcPr>
          <w:p w14:paraId="7771CC72">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22.15</w:t>
            </w:r>
          </w:p>
        </w:tc>
      </w:tr>
      <w:tr w14:paraId="207DB7D2">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683A195A">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right w:val="single" w:color="auto" w:sz="4" w:space="0"/>
            </w:tcBorders>
            <w:vAlign w:val="center"/>
          </w:tcPr>
          <w:p w14:paraId="17EB8BD5">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426020B4">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MAPE</w:t>
            </w:r>
          </w:p>
        </w:tc>
        <w:tc>
          <w:tcPr>
            <w:tcW w:w="420" w:type="pct"/>
            <w:tcBorders>
              <w:top w:val="nil"/>
              <w:left w:val="nil"/>
              <w:bottom w:val="single" w:color="auto" w:sz="4" w:space="0"/>
              <w:right w:val="single" w:color="auto" w:sz="4" w:space="0"/>
            </w:tcBorders>
            <w:shd w:val="clear" w:color="auto" w:fill="auto"/>
            <w:noWrap/>
            <w:vAlign w:val="center"/>
          </w:tcPr>
          <w:p w14:paraId="7CD3675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23.31</w:t>
            </w:r>
          </w:p>
        </w:tc>
        <w:tc>
          <w:tcPr>
            <w:tcW w:w="470" w:type="pct"/>
            <w:tcBorders>
              <w:top w:val="nil"/>
              <w:left w:val="nil"/>
              <w:bottom w:val="single" w:color="auto" w:sz="4" w:space="0"/>
              <w:right w:val="single" w:color="auto" w:sz="4" w:space="0"/>
            </w:tcBorders>
            <w:shd w:val="clear" w:color="auto" w:fill="auto"/>
            <w:noWrap/>
            <w:vAlign w:val="center"/>
          </w:tcPr>
          <w:p w14:paraId="552F64AB">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14.56</w:t>
            </w:r>
          </w:p>
        </w:tc>
        <w:tc>
          <w:tcPr>
            <w:tcW w:w="420" w:type="pct"/>
            <w:tcBorders>
              <w:top w:val="nil"/>
              <w:left w:val="nil"/>
              <w:bottom w:val="single" w:color="auto" w:sz="4" w:space="0"/>
              <w:right w:val="single" w:color="auto" w:sz="4" w:space="0"/>
            </w:tcBorders>
            <w:shd w:val="clear" w:color="auto" w:fill="auto"/>
            <w:noWrap/>
            <w:vAlign w:val="center"/>
          </w:tcPr>
          <w:p w14:paraId="1635D0A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14.25</w:t>
            </w:r>
          </w:p>
        </w:tc>
        <w:tc>
          <w:tcPr>
            <w:tcW w:w="420" w:type="pct"/>
            <w:tcBorders>
              <w:top w:val="nil"/>
              <w:left w:val="nil"/>
              <w:bottom w:val="single" w:color="auto" w:sz="4" w:space="0"/>
              <w:right w:val="single" w:color="auto" w:sz="4" w:space="0"/>
            </w:tcBorders>
            <w:shd w:val="clear" w:color="auto" w:fill="auto"/>
            <w:noWrap/>
            <w:vAlign w:val="center"/>
          </w:tcPr>
          <w:p w14:paraId="2992A363">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13.75</w:t>
            </w:r>
          </w:p>
        </w:tc>
        <w:tc>
          <w:tcPr>
            <w:tcW w:w="478" w:type="pct"/>
            <w:tcBorders>
              <w:top w:val="nil"/>
              <w:left w:val="nil"/>
              <w:bottom w:val="single" w:color="auto" w:sz="4" w:space="0"/>
              <w:right w:val="single" w:color="auto" w:sz="4" w:space="0"/>
            </w:tcBorders>
            <w:shd w:val="clear" w:color="auto" w:fill="auto"/>
            <w:noWrap/>
            <w:vAlign w:val="center"/>
          </w:tcPr>
          <w:p w14:paraId="7992C51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15.14</w:t>
            </w:r>
          </w:p>
        </w:tc>
        <w:tc>
          <w:tcPr>
            <w:tcW w:w="466" w:type="pct"/>
            <w:tcBorders>
              <w:top w:val="nil"/>
              <w:left w:val="nil"/>
              <w:bottom w:val="single" w:color="auto" w:sz="4" w:space="0"/>
              <w:right w:val="single" w:color="auto" w:sz="4" w:space="0"/>
            </w:tcBorders>
            <w:shd w:val="clear" w:color="auto" w:fill="auto"/>
            <w:noWrap/>
            <w:vAlign w:val="center"/>
          </w:tcPr>
          <w:p w14:paraId="0E9FB8B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13.93</w:t>
            </w:r>
          </w:p>
        </w:tc>
      </w:tr>
      <w:tr w14:paraId="0B71F012">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1201B262">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right w:val="single" w:color="auto" w:sz="4" w:space="0"/>
            </w:tcBorders>
            <w:vAlign w:val="center"/>
          </w:tcPr>
          <w:p w14:paraId="66250AD4">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361D4DD1">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MAE</w:t>
            </w:r>
          </w:p>
        </w:tc>
        <w:tc>
          <w:tcPr>
            <w:tcW w:w="420" w:type="pct"/>
            <w:tcBorders>
              <w:top w:val="nil"/>
              <w:left w:val="nil"/>
              <w:bottom w:val="single" w:color="auto" w:sz="4" w:space="0"/>
              <w:right w:val="single" w:color="auto" w:sz="4" w:space="0"/>
            </w:tcBorders>
            <w:shd w:val="clear" w:color="auto" w:fill="auto"/>
            <w:noWrap/>
            <w:vAlign w:val="center"/>
          </w:tcPr>
          <w:p w14:paraId="1D3F2CDC">
            <w:pPr>
              <w:spacing w:after="0"/>
              <w:jc w:val="center"/>
              <w:rPr>
                <w:rFonts w:ascii="Times New Roman" w:hAnsi="Times New Roman" w:cs="Times New Roman"/>
                <w:sz w:val="23"/>
                <w:szCs w:val="23"/>
              </w:rPr>
            </w:pPr>
            <w:r>
              <w:rPr>
                <w:rFonts w:ascii="Times New Roman" w:hAnsi="Times New Roman" w:cs="Times New Roman"/>
                <w:sz w:val="23"/>
                <w:szCs w:val="23"/>
              </w:rPr>
              <w:t>13.64</w:t>
            </w:r>
          </w:p>
        </w:tc>
        <w:tc>
          <w:tcPr>
            <w:tcW w:w="470" w:type="pct"/>
            <w:tcBorders>
              <w:top w:val="nil"/>
              <w:left w:val="nil"/>
              <w:bottom w:val="single" w:color="auto" w:sz="4" w:space="0"/>
              <w:right w:val="single" w:color="auto" w:sz="4" w:space="0"/>
            </w:tcBorders>
            <w:shd w:val="clear" w:color="auto" w:fill="auto"/>
            <w:noWrap/>
            <w:vAlign w:val="center"/>
          </w:tcPr>
          <w:p w14:paraId="1BA8B6E9">
            <w:pPr>
              <w:spacing w:after="0"/>
              <w:jc w:val="center"/>
              <w:rPr>
                <w:rFonts w:ascii="Times New Roman" w:hAnsi="Times New Roman" w:cs="Times New Roman"/>
                <w:sz w:val="23"/>
                <w:szCs w:val="23"/>
              </w:rPr>
            </w:pPr>
            <w:r>
              <w:rPr>
                <w:rFonts w:ascii="Times New Roman" w:hAnsi="Times New Roman" w:cs="Times New Roman"/>
                <w:sz w:val="23"/>
                <w:szCs w:val="23"/>
              </w:rPr>
              <w:t>21.10</w:t>
            </w:r>
          </w:p>
        </w:tc>
        <w:tc>
          <w:tcPr>
            <w:tcW w:w="420" w:type="pct"/>
            <w:tcBorders>
              <w:top w:val="nil"/>
              <w:left w:val="nil"/>
              <w:bottom w:val="single" w:color="auto" w:sz="4" w:space="0"/>
              <w:right w:val="single" w:color="auto" w:sz="4" w:space="0"/>
            </w:tcBorders>
            <w:shd w:val="clear" w:color="auto" w:fill="auto"/>
            <w:noWrap/>
            <w:vAlign w:val="center"/>
          </w:tcPr>
          <w:p w14:paraId="327DCAF5">
            <w:pPr>
              <w:spacing w:after="0"/>
              <w:jc w:val="center"/>
              <w:rPr>
                <w:rFonts w:ascii="Times New Roman" w:hAnsi="Times New Roman" w:cs="Times New Roman"/>
                <w:sz w:val="23"/>
                <w:szCs w:val="23"/>
              </w:rPr>
            </w:pPr>
            <w:r>
              <w:rPr>
                <w:rFonts w:ascii="Times New Roman" w:hAnsi="Times New Roman" w:cs="Times New Roman"/>
                <w:sz w:val="23"/>
                <w:szCs w:val="23"/>
              </w:rPr>
              <w:t>20.55</w:t>
            </w:r>
          </w:p>
        </w:tc>
        <w:tc>
          <w:tcPr>
            <w:tcW w:w="420" w:type="pct"/>
            <w:tcBorders>
              <w:top w:val="nil"/>
              <w:left w:val="nil"/>
              <w:bottom w:val="single" w:color="auto" w:sz="4" w:space="0"/>
              <w:right w:val="single" w:color="auto" w:sz="4" w:space="0"/>
            </w:tcBorders>
            <w:shd w:val="clear" w:color="auto" w:fill="auto"/>
            <w:noWrap/>
            <w:vAlign w:val="center"/>
          </w:tcPr>
          <w:p w14:paraId="1EDFE954">
            <w:pPr>
              <w:spacing w:after="0"/>
              <w:jc w:val="center"/>
              <w:rPr>
                <w:rFonts w:ascii="Times New Roman" w:hAnsi="Times New Roman" w:cs="Times New Roman"/>
                <w:sz w:val="23"/>
                <w:szCs w:val="23"/>
              </w:rPr>
            </w:pPr>
            <w:r>
              <w:rPr>
                <w:rFonts w:ascii="Times New Roman" w:hAnsi="Times New Roman" w:cs="Times New Roman"/>
                <w:sz w:val="23"/>
                <w:szCs w:val="23"/>
              </w:rPr>
              <w:t>19.81</w:t>
            </w:r>
          </w:p>
        </w:tc>
        <w:tc>
          <w:tcPr>
            <w:tcW w:w="478" w:type="pct"/>
            <w:tcBorders>
              <w:top w:val="nil"/>
              <w:left w:val="nil"/>
              <w:bottom w:val="single" w:color="auto" w:sz="4" w:space="0"/>
              <w:right w:val="single" w:color="auto" w:sz="4" w:space="0"/>
            </w:tcBorders>
            <w:shd w:val="clear" w:color="auto" w:fill="auto"/>
            <w:noWrap/>
            <w:vAlign w:val="center"/>
          </w:tcPr>
          <w:p w14:paraId="0F070A91">
            <w:pPr>
              <w:spacing w:after="0"/>
              <w:jc w:val="center"/>
              <w:rPr>
                <w:rFonts w:ascii="Times New Roman" w:hAnsi="Times New Roman" w:cs="Times New Roman"/>
                <w:sz w:val="23"/>
                <w:szCs w:val="23"/>
              </w:rPr>
            </w:pPr>
            <w:r>
              <w:rPr>
                <w:rFonts w:ascii="Times New Roman" w:hAnsi="Times New Roman" w:cs="Times New Roman"/>
                <w:sz w:val="23"/>
                <w:szCs w:val="23"/>
              </w:rPr>
              <w:t>20.10</w:t>
            </w:r>
          </w:p>
        </w:tc>
        <w:tc>
          <w:tcPr>
            <w:tcW w:w="466" w:type="pct"/>
            <w:tcBorders>
              <w:top w:val="nil"/>
              <w:left w:val="nil"/>
              <w:bottom w:val="single" w:color="auto" w:sz="4" w:space="0"/>
              <w:right w:val="single" w:color="auto" w:sz="4" w:space="0"/>
            </w:tcBorders>
            <w:shd w:val="clear" w:color="auto" w:fill="auto"/>
            <w:noWrap/>
            <w:vAlign w:val="center"/>
          </w:tcPr>
          <w:p w14:paraId="1C2D285B">
            <w:pPr>
              <w:spacing w:after="0"/>
              <w:jc w:val="center"/>
              <w:rPr>
                <w:rFonts w:ascii="Times New Roman" w:hAnsi="Times New Roman" w:cs="Times New Roman"/>
                <w:sz w:val="23"/>
                <w:szCs w:val="23"/>
              </w:rPr>
            </w:pPr>
            <w:r>
              <w:rPr>
                <w:rFonts w:ascii="Times New Roman" w:hAnsi="Times New Roman" w:cs="Times New Roman"/>
                <w:sz w:val="23"/>
                <w:szCs w:val="23"/>
              </w:rPr>
              <w:t>17.35</w:t>
            </w:r>
          </w:p>
        </w:tc>
      </w:tr>
      <w:tr w14:paraId="09DAF778">
        <w:tblPrEx>
          <w:tblCellMar>
            <w:top w:w="0" w:type="dxa"/>
            <w:left w:w="108" w:type="dxa"/>
            <w:bottom w:w="0" w:type="dxa"/>
            <w:right w:w="108" w:type="dxa"/>
          </w:tblCellMar>
        </w:tblPrEx>
        <w:trPr>
          <w:trHeight w:val="343"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2D13A12E">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bottom w:val="single" w:color="000000" w:sz="4" w:space="0"/>
              <w:right w:val="single" w:color="auto" w:sz="4" w:space="0"/>
            </w:tcBorders>
            <w:vAlign w:val="center"/>
          </w:tcPr>
          <w:p w14:paraId="651B35DA">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5FEDEBB9">
            <w:pPr>
              <w:spacing w:after="0" w:line="240" w:lineRule="auto"/>
              <w:jc w:val="center"/>
              <w:rPr>
                <w:rFonts w:hint="default" w:ascii="Times New Roman" w:hAnsi="Times New Roman" w:eastAsia="Times New Roman" w:cs="Times New Roman"/>
                <w:color w:val="000000"/>
                <w:sz w:val="23"/>
                <w:szCs w:val="23"/>
                <w:lang w:val="en-US" w:eastAsia="en-IN"/>
              </w:rPr>
            </w:pPr>
            <w:commentRangeStart w:id="8"/>
            <w:r>
              <w:rPr>
                <w:rFonts w:ascii="Times New Roman" w:hAnsi="Times New Roman" w:eastAsia="Times New Roman" w:cs="Times New Roman"/>
                <w:color w:val="000000"/>
                <w:sz w:val="23"/>
                <w:szCs w:val="23"/>
                <w:lang w:eastAsia="en-IN"/>
              </w:rPr>
              <w:t>R</w:t>
            </w:r>
            <w:commentRangeEnd w:id="8"/>
            <w:r>
              <w:commentReference w:id="8"/>
            </w:r>
          </w:p>
        </w:tc>
        <w:tc>
          <w:tcPr>
            <w:tcW w:w="420" w:type="pct"/>
            <w:tcBorders>
              <w:top w:val="nil"/>
              <w:left w:val="nil"/>
              <w:bottom w:val="single" w:color="auto" w:sz="4" w:space="0"/>
              <w:right w:val="single" w:color="auto" w:sz="4" w:space="0"/>
            </w:tcBorders>
            <w:shd w:val="clear" w:color="auto" w:fill="auto"/>
            <w:noWrap/>
            <w:vAlign w:val="center"/>
          </w:tcPr>
          <w:p w14:paraId="4578F7E4">
            <w:pPr>
              <w:spacing w:after="0"/>
              <w:jc w:val="center"/>
              <w:rPr>
                <w:rFonts w:ascii="Times New Roman" w:hAnsi="Times New Roman" w:cs="Times New Roman"/>
                <w:sz w:val="23"/>
                <w:szCs w:val="23"/>
              </w:rPr>
            </w:pPr>
            <w:r>
              <w:rPr>
                <w:rFonts w:ascii="Times New Roman" w:hAnsi="Times New Roman" w:cs="Times New Roman"/>
                <w:sz w:val="23"/>
                <w:szCs w:val="23"/>
              </w:rPr>
              <w:t>0.90</w:t>
            </w:r>
          </w:p>
        </w:tc>
        <w:tc>
          <w:tcPr>
            <w:tcW w:w="470" w:type="pct"/>
            <w:tcBorders>
              <w:top w:val="nil"/>
              <w:left w:val="nil"/>
              <w:bottom w:val="single" w:color="auto" w:sz="4" w:space="0"/>
              <w:right w:val="single" w:color="auto" w:sz="4" w:space="0"/>
            </w:tcBorders>
            <w:shd w:val="clear" w:color="auto" w:fill="auto"/>
            <w:noWrap/>
            <w:vAlign w:val="center"/>
          </w:tcPr>
          <w:p w14:paraId="4CCABDF1">
            <w:pPr>
              <w:spacing w:after="0"/>
              <w:jc w:val="center"/>
              <w:rPr>
                <w:rFonts w:ascii="Times New Roman" w:hAnsi="Times New Roman" w:cs="Times New Roman"/>
                <w:sz w:val="23"/>
                <w:szCs w:val="23"/>
              </w:rPr>
            </w:pPr>
            <w:r>
              <w:rPr>
                <w:rFonts w:ascii="Times New Roman" w:hAnsi="Times New Roman" w:cs="Times New Roman"/>
                <w:sz w:val="23"/>
                <w:szCs w:val="23"/>
              </w:rPr>
              <w:t>0.83</w:t>
            </w:r>
          </w:p>
        </w:tc>
        <w:tc>
          <w:tcPr>
            <w:tcW w:w="420" w:type="pct"/>
            <w:tcBorders>
              <w:top w:val="nil"/>
              <w:left w:val="nil"/>
              <w:bottom w:val="single" w:color="auto" w:sz="4" w:space="0"/>
              <w:right w:val="single" w:color="auto" w:sz="4" w:space="0"/>
            </w:tcBorders>
            <w:shd w:val="clear" w:color="auto" w:fill="auto"/>
            <w:noWrap/>
            <w:vAlign w:val="center"/>
          </w:tcPr>
          <w:p w14:paraId="18E5B7C5">
            <w:pPr>
              <w:spacing w:after="0"/>
              <w:jc w:val="center"/>
              <w:rPr>
                <w:rFonts w:ascii="Times New Roman" w:hAnsi="Times New Roman" w:cs="Times New Roman"/>
                <w:sz w:val="23"/>
                <w:szCs w:val="23"/>
              </w:rPr>
            </w:pPr>
            <w:r>
              <w:rPr>
                <w:rFonts w:ascii="Times New Roman" w:hAnsi="Times New Roman" w:cs="Times New Roman"/>
                <w:sz w:val="23"/>
                <w:szCs w:val="23"/>
              </w:rPr>
              <w:t>0.85</w:t>
            </w:r>
          </w:p>
        </w:tc>
        <w:tc>
          <w:tcPr>
            <w:tcW w:w="420" w:type="pct"/>
            <w:tcBorders>
              <w:top w:val="nil"/>
              <w:left w:val="nil"/>
              <w:bottom w:val="single" w:color="auto" w:sz="4" w:space="0"/>
              <w:right w:val="single" w:color="auto" w:sz="4" w:space="0"/>
            </w:tcBorders>
            <w:shd w:val="clear" w:color="auto" w:fill="auto"/>
            <w:noWrap/>
            <w:vAlign w:val="center"/>
          </w:tcPr>
          <w:p w14:paraId="3FC7C5A7">
            <w:pPr>
              <w:spacing w:after="0"/>
              <w:jc w:val="center"/>
              <w:rPr>
                <w:rFonts w:ascii="Times New Roman" w:hAnsi="Times New Roman" w:cs="Times New Roman"/>
                <w:sz w:val="23"/>
                <w:szCs w:val="23"/>
              </w:rPr>
            </w:pPr>
            <w:r>
              <w:rPr>
                <w:rFonts w:ascii="Times New Roman" w:hAnsi="Times New Roman" w:cs="Times New Roman"/>
                <w:sz w:val="23"/>
                <w:szCs w:val="23"/>
              </w:rPr>
              <w:t>0.83</w:t>
            </w:r>
          </w:p>
        </w:tc>
        <w:tc>
          <w:tcPr>
            <w:tcW w:w="478" w:type="pct"/>
            <w:tcBorders>
              <w:top w:val="nil"/>
              <w:left w:val="nil"/>
              <w:bottom w:val="single" w:color="auto" w:sz="4" w:space="0"/>
              <w:right w:val="single" w:color="auto" w:sz="4" w:space="0"/>
            </w:tcBorders>
            <w:shd w:val="clear" w:color="auto" w:fill="auto"/>
            <w:noWrap/>
            <w:vAlign w:val="center"/>
          </w:tcPr>
          <w:p w14:paraId="6DF65D46">
            <w:pPr>
              <w:spacing w:after="0"/>
              <w:jc w:val="center"/>
              <w:rPr>
                <w:rFonts w:ascii="Times New Roman" w:hAnsi="Times New Roman" w:cs="Times New Roman"/>
                <w:sz w:val="23"/>
                <w:szCs w:val="23"/>
              </w:rPr>
            </w:pPr>
            <w:r>
              <w:rPr>
                <w:rFonts w:ascii="Times New Roman" w:hAnsi="Times New Roman" w:cs="Times New Roman"/>
                <w:sz w:val="23"/>
                <w:szCs w:val="23"/>
              </w:rPr>
              <w:t>0.80</w:t>
            </w:r>
          </w:p>
        </w:tc>
        <w:tc>
          <w:tcPr>
            <w:tcW w:w="466" w:type="pct"/>
            <w:tcBorders>
              <w:top w:val="nil"/>
              <w:left w:val="nil"/>
              <w:bottom w:val="single" w:color="auto" w:sz="4" w:space="0"/>
              <w:right w:val="single" w:color="auto" w:sz="4" w:space="0"/>
            </w:tcBorders>
            <w:shd w:val="clear" w:color="auto" w:fill="auto"/>
            <w:noWrap/>
            <w:vAlign w:val="center"/>
          </w:tcPr>
          <w:p w14:paraId="1F653CD2">
            <w:pPr>
              <w:spacing w:after="0"/>
              <w:jc w:val="center"/>
              <w:rPr>
                <w:rFonts w:ascii="Times New Roman" w:hAnsi="Times New Roman" w:cs="Times New Roman"/>
                <w:sz w:val="23"/>
                <w:szCs w:val="23"/>
              </w:rPr>
            </w:pPr>
            <w:r>
              <w:rPr>
                <w:rFonts w:ascii="Times New Roman" w:hAnsi="Times New Roman" w:cs="Times New Roman"/>
                <w:sz w:val="23"/>
                <w:szCs w:val="23"/>
              </w:rPr>
              <w:t>0.80</w:t>
            </w:r>
          </w:p>
        </w:tc>
      </w:tr>
      <w:tr w14:paraId="1D195443">
        <w:tblPrEx>
          <w:tblCellMar>
            <w:top w:w="0" w:type="dxa"/>
            <w:left w:w="108" w:type="dxa"/>
            <w:bottom w:w="0" w:type="dxa"/>
            <w:right w:w="108" w:type="dxa"/>
          </w:tblCellMar>
        </w:tblPrEx>
        <w:trPr>
          <w:trHeight w:val="315" w:hRule="atLeast"/>
        </w:trPr>
        <w:tc>
          <w:tcPr>
            <w:tcW w:w="72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546C6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Aurad</w:t>
            </w:r>
          </w:p>
        </w:tc>
        <w:tc>
          <w:tcPr>
            <w:tcW w:w="855" w:type="pct"/>
            <w:vMerge w:val="restart"/>
            <w:tcBorders>
              <w:top w:val="nil"/>
              <w:left w:val="single" w:color="auto" w:sz="4" w:space="0"/>
              <w:right w:val="single" w:color="auto" w:sz="4" w:space="0"/>
            </w:tcBorders>
            <w:shd w:val="clear" w:color="auto" w:fill="auto"/>
            <w:noWrap/>
            <w:vAlign w:val="center"/>
          </w:tcPr>
          <w:p w14:paraId="31CF2234">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ARIMA</w:t>
            </w:r>
          </w:p>
          <w:p w14:paraId="725FF19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cs="Times New Roman"/>
                <w:sz w:val="23"/>
                <w:szCs w:val="23"/>
              </w:rPr>
              <w:t>(1,0,1)(2,1,0)</w:t>
            </w:r>
            <w:r>
              <w:rPr>
                <w:rFonts w:ascii="Times New Roman" w:hAnsi="Times New Roman" w:cs="Times New Roman"/>
                <w:sz w:val="23"/>
                <w:szCs w:val="23"/>
                <w:vertAlign w:val="subscript"/>
              </w:rPr>
              <w:t>12</w:t>
            </w:r>
          </w:p>
          <w:p w14:paraId="65C5143C">
            <w:pPr>
              <w:spacing w:after="0" w:line="240" w:lineRule="auto"/>
              <w:jc w:val="center"/>
              <w:rPr>
                <w:rFonts w:ascii="Times New Roman" w:hAnsi="Times New Roman" w:eastAsia="Times New Roman" w:cs="Times New Roman"/>
                <w:color w:val="000000"/>
                <w:sz w:val="23"/>
                <w:szCs w:val="23"/>
                <w:lang w:eastAsia="en-IN"/>
              </w:rPr>
            </w:pPr>
          </w:p>
          <w:p w14:paraId="54A639E8">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080859A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RMSE</w:t>
            </w:r>
          </w:p>
        </w:tc>
        <w:tc>
          <w:tcPr>
            <w:tcW w:w="420" w:type="pct"/>
            <w:tcBorders>
              <w:top w:val="nil"/>
              <w:left w:val="nil"/>
              <w:bottom w:val="single" w:color="auto" w:sz="4" w:space="0"/>
              <w:right w:val="single" w:color="auto" w:sz="4" w:space="0"/>
            </w:tcBorders>
            <w:shd w:val="clear" w:color="auto" w:fill="auto"/>
            <w:noWrap/>
            <w:vAlign w:val="center"/>
          </w:tcPr>
          <w:p w14:paraId="4363B2AF">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10.71</w:t>
            </w:r>
          </w:p>
        </w:tc>
        <w:tc>
          <w:tcPr>
            <w:tcW w:w="470" w:type="pct"/>
            <w:tcBorders>
              <w:top w:val="nil"/>
              <w:left w:val="nil"/>
              <w:bottom w:val="single" w:color="auto" w:sz="4" w:space="0"/>
              <w:right w:val="single" w:color="auto" w:sz="4" w:space="0"/>
            </w:tcBorders>
            <w:shd w:val="clear" w:color="auto" w:fill="auto"/>
            <w:noWrap/>
            <w:vAlign w:val="center"/>
          </w:tcPr>
          <w:p w14:paraId="62CAAFB3">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17.99</w:t>
            </w:r>
          </w:p>
        </w:tc>
        <w:tc>
          <w:tcPr>
            <w:tcW w:w="420" w:type="pct"/>
            <w:tcBorders>
              <w:top w:val="nil"/>
              <w:left w:val="nil"/>
              <w:bottom w:val="single" w:color="auto" w:sz="4" w:space="0"/>
              <w:right w:val="single" w:color="auto" w:sz="4" w:space="0"/>
            </w:tcBorders>
            <w:shd w:val="clear" w:color="auto" w:fill="auto"/>
            <w:noWrap/>
            <w:vAlign w:val="center"/>
          </w:tcPr>
          <w:p w14:paraId="14C354D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19.62</w:t>
            </w:r>
          </w:p>
        </w:tc>
        <w:tc>
          <w:tcPr>
            <w:tcW w:w="420" w:type="pct"/>
            <w:tcBorders>
              <w:top w:val="nil"/>
              <w:left w:val="nil"/>
              <w:bottom w:val="single" w:color="auto" w:sz="4" w:space="0"/>
              <w:right w:val="single" w:color="auto" w:sz="4" w:space="0"/>
            </w:tcBorders>
            <w:shd w:val="clear" w:color="auto" w:fill="auto"/>
            <w:noWrap/>
            <w:vAlign w:val="center"/>
          </w:tcPr>
          <w:p w14:paraId="249AD51C">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18.49</w:t>
            </w:r>
          </w:p>
        </w:tc>
        <w:tc>
          <w:tcPr>
            <w:tcW w:w="478" w:type="pct"/>
            <w:tcBorders>
              <w:top w:val="nil"/>
              <w:left w:val="nil"/>
              <w:bottom w:val="single" w:color="auto" w:sz="4" w:space="0"/>
              <w:right w:val="single" w:color="auto" w:sz="4" w:space="0"/>
            </w:tcBorders>
            <w:shd w:val="clear" w:color="auto" w:fill="auto"/>
            <w:noWrap/>
            <w:vAlign w:val="center"/>
          </w:tcPr>
          <w:p w14:paraId="62EE699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17.53</w:t>
            </w:r>
          </w:p>
        </w:tc>
        <w:tc>
          <w:tcPr>
            <w:tcW w:w="466" w:type="pct"/>
            <w:tcBorders>
              <w:top w:val="nil"/>
              <w:left w:val="nil"/>
              <w:bottom w:val="single" w:color="auto" w:sz="4" w:space="0"/>
              <w:right w:val="single" w:color="auto" w:sz="4" w:space="0"/>
            </w:tcBorders>
            <w:shd w:val="clear" w:color="auto" w:fill="auto"/>
            <w:noWrap/>
            <w:vAlign w:val="center"/>
          </w:tcPr>
          <w:p w14:paraId="6F54A3B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17.40</w:t>
            </w:r>
          </w:p>
        </w:tc>
      </w:tr>
      <w:tr w14:paraId="622CC64B">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6FC24B67">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right w:val="single" w:color="auto" w:sz="4" w:space="0"/>
            </w:tcBorders>
            <w:vAlign w:val="center"/>
          </w:tcPr>
          <w:p w14:paraId="0BD3B00C">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5315792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MAPE</w:t>
            </w:r>
          </w:p>
        </w:tc>
        <w:tc>
          <w:tcPr>
            <w:tcW w:w="420" w:type="pct"/>
            <w:tcBorders>
              <w:top w:val="nil"/>
              <w:left w:val="nil"/>
              <w:bottom w:val="single" w:color="auto" w:sz="4" w:space="0"/>
              <w:right w:val="single" w:color="auto" w:sz="4" w:space="0"/>
            </w:tcBorders>
            <w:shd w:val="clear" w:color="auto" w:fill="auto"/>
            <w:noWrap/>
            <w:vAlign w:val="center"/>
          </w:tcPr>
          <w:p w14:paraId="79D4A66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9.27</w:t>
            </w:r>
          </w:p>
        </w:tc>
        <w:tc>
          <w:tcPr>
            <w:tcW w:w="470" w:type="pct"/>
            <w:tcBorders>
              <w:top w:val="nil"/>
              <w:left w:val="nil"/>
              <w:bottom w:val="single" w:color="auto" w:sz="4" w:space="0"/>
              <w:right w:val="single" w:color="auto" w:sz="4" w:space="0"/>
            </w:tcBorders>
            <w:shd w:val="clear" w:color="auto" w:fill="auto"/>
            <w:noWrap/>
            <w:vAlign w:val="center"/>
          </w:tcPr>
          <w:p w14:paraId="6DFFA45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16.56</w:t>
            </w:r>
          </w:p>
        </w:tc>
        <w:tc>
          <w:tcPr>
            <w:tcW w:w="420" w:type="pct"/>
            <w:tcBorders>
              <w:top w:val="nil"/>
              <w:left w:val="nil"/>
              <w:bottom w:val="single" w:color="auto" w:sz="4" w:space="0"/>
              <w:right w:val="single" w:color="auto" w:sz="4" w:space="0"/>
            </w:tcBorders>
            <w:shd w:val="clear" w:color="auto" w:fill="auto"/>
            <w:noWrap/>
            <w:vAlign w:val="center"/>
          </w:tcPr>
          <w:p w14:paraId="0350740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18.10</w:t>
            </w:r>
          </w:p>
        </w:tc>
        <w:tc>
          <w:tcPr>
            <w:tcW w:w="420" w:type="pct"/>
            <w:tcBorders>
              <w:top w:val="nil"/>
              <w:left w:val="nil"/>
              <w:bottom w:val="single" w:color="auto" w:sz="4" w:space="0"/>
              <w:right w:val="single" w:color="auto" w:sz="4" w:space="0"/>
            </w:tcBorders>
            <w:shd w:val="clear" w:color="auto" w:fill="auto"/>
            <w:noWrap/>
            <w:vAlign w:val="center"/>
          </w:tcPr>
          <w:p w14:paraId="407EE81C">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17.66</w:t>
            </w:r>
          </w:p>
        </w:tc>
        <w:tc>
          <w:tcPr>
            <w:tcW w:w="478" w:type="pct"/>
            <w:tcBorders>
              <w:top w:val="nil"/>
              <w:left w:val="nil"/>
              <w:bottom w:val="single" w:color="auto" w:sz="4" w:space="0"/>
              <w:right w:val="single" w:color="auto" w:sz="4" w:space="0"/>
            </w:tcBorders>
            <w:shd w:val="clear" w:color="auto" w:fill="auto"/>
            <w:noWrap/>
            <w:vAlign w:val="center"/>
          </w:tcPr>
          <w:p w14:paraId="5F9B584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17.31</w:t>
            </w:r>
          </w:p>
        </w:tc>
        <w:tc>
          <w:tcPr>
            <w:tcW w:w="466" w:type="pct"/>
            <w:tcBorders>
              <w:top w:val="nil"/>
              <w:left w:val="nil"/>
              <w:bottom w:val="single" w:color="auto" w:sz="4" w:space="0"/>
              <w:right w:val="single" w:color="auto" w:sz="4" w:space="0"/>
            </w:tcBorders>
            <w:shd w:val="clear" w:color="auto" w:fill="auto"/>
            <w:noWrap/>
            <w:vAlign w:val="center"/>
          </w:tcPr>
          <w:p w14:paraId="6596B864">
            <w:pPr>
              <w:spacing w:after="0"/>
              <w:jc w:val="center"/>
              <w:rPr>
                <w:rFonts w:ascii="Times New Roman" w:hAnsi="Times New Roman" w:cs="Times New Roman"/>
                <w:sz w:val="23"/>
                <w:szCs w:val="23"/>
              </w:rPr>
            </w:pPr>
            <w:r>
              <w:rPr>
                <w:rFonts w:ascii="Times New Roman" w:hAnsi="Times New Roman" w:cs="Times New Roman"/>
                <w:sz w:val="23"/>
                <w:szCs w:val="23"/>
              </w:rPr>
              <w:t>16.86</w:t>
            </w:r>
          </w:p>
        </w:tc>
      </w:tr>
      <w:tr w14:paraId="02B3CFA8">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6AC00FA6">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right w:val="single" w:color="auto" w:sz="4" w:space="0"/>
            </w:tcBorders>
            <w:vAlign w:val="center"/>
          </w:tcPr>
          <w:p w14:paraId="65253C6D">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608C1BBB">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MAE</w:t>
            </w:r>
          </w:p>
        </w:tc>
        <w:tc>
          <w:tcPr>
            <w:tcW w:w="420" w:type="pct"/>
            <w:tcBorders>
              <w:top w:val="nil"/>
              <w:left w:val="nil"/>
              <w:bottom w:val="single" w:color="auto" w:sz="4" w:space="0"/>
              <w:right w:val="single" w:color="auto" w:sz="4" w:space="0"/>
            </w:tcBorders>
            <w:shd w:val="clear" w:color="auto" w:fill="auto"/>
            <w:noWrap/>
            <w:vAlign w:val="center"/>
          </w:tcPr>
          <w:p w14:paraId="7A10B19E">
            <w:pPr>
              <w:spacing w:after="0"/>
              <w:jc w:val="center"/>
              <w:rPr>
                <w:rFonts w:ascii="Times New Roman" w:hAnsi="Times New Roman" w:cs="Times New Roman"/>
                <w:sz w:val="23"/>
                <w:szCs w:val="23"/>
              </w:rPr>
            </w:pPr>
            <w:r>
              <w:rPr>
                <w:rFonts w:ascii="Times New Roman" w:hAnsi="Times New Roman" w:cs="Times New Roman"/>
                <w:sz w:val="23"/>
                <w:szCs w:val="23"/>
              </w:rPr>
              <w:t>8.99</w:t>
            </w:r>
          </w:p>
        </w:tc>
        <w:tc>
          <w:tcPr>
            <w:tcW w:w="470" w:type="pct"/>
            <w:tcBorders>
              <w:top w:val="nil"/>
              <w:left w:val="nil"/>
              <w:bottom w:val="single" w:color="auto" w:sz="4" w:space="0"/>
              <w:right w:val="single" w:color="auto" w:sz="4" w:space="0"/>
            </w:tcBorders>
            <w:shd w:val="clear" w:color="auto" w:fill="auto"/>
            <w:noWrap/>
            <w:vAlign w:val="center"/>
          </w:tcPr>
          <w:p w14:paraId="6D7AEEAF">
            <w:pPr>
              <w:spacing w:after="0"/>
              <w:jc w:val="center"/>
              <w:rPr>
                <w:rFonts w:ascii="Times New Roman" w:hAnsi="Times New Roman" w:cs="Times New Roman"/>
                <w:sz w:val="23"/>
                <w:szCs w:val="23"/>
              </w:rPr>
            </w:pPr>
            <w:r>
              <w:rPr>
                <w:rFonts w:ascii="Times New Roman" w:hAnsi="Times New Roman" w:cs="Times New Roman"/>
                <w:sz w:val="23"/>
                <w:szCs w:val="23"/>
              </w:rPr>
              <w:t>15.92</w:t>
            </w:r>
          </w:p>
        </w:tc>
        <w:tc>
          <w:tcPr>
            <w:tcW w:w="420" w:type="pct"/>
            <w:tcBorders>
              <w:top w:val="nil"/>
              <w:left w:val="nil"/>
              <w:bottom w:val="single" w:color="auto" w:sz="4" w:space="0"/>
              <w:right w:val="single" w:color="auto" w:sz="4" w:space="0"/>
            </w:tcBorders>
            <w:shd w:val="clear" w:color="auto" w:fill="auto"/>
            <w:noWrap/>
            <w:vAlign w:val="center"/>
          </w:tcPr>
          <w:p w14:paraId="2023AC2F">
            <w:pPr>
              <w:spacing w:after="0"/>
              <w:jc w:val="center"/>
              <w:rPr>
                <w:rFonts w:ascii="Times New Roman" w:hAnsi="Times New Roman" w:cs="Times New Roman"/>
                <w:sz w:val="23"/>
                <w:szCs w:val="23"/>
              </w:rPr>
            </w:pPr>
            <w:r>
              <w:rPr>
                <w:rFonts w:ascii="Times New Roman" w:hAnsi="Times New Roman" w:cs="Times New Roman"/>
                <w:sz w:val="23"/>
                <w:szCs w:val="23"/>
              </w:rPr>
              <w:t>16.68</w:t>
            </w:r>
          </w:p>
        </w:tc>
        <w:tc>
          <w:tcPr>
            <w:tcW w:w="420" w:type="pct"/>
            <w:tcBorders>
              <w:top w:val="nil"/>
              <w:left w:val="nil"/>
              <w:bottom w:val="single" w:color="auto" w:sz="4" w:space="0"/>
              <w:right w:val="single" w:color="auto" w:sz="4" w:space="0"/>
            </w:tcBorders>
            <w:shd w:val="clear" w:color="auto" w:fill="auto"/>
            <w:noWrap/>
            <w:vAlign w:val="center"/>
          </w:tcPr>
          <w:p w14:paraId="13913D40">
            <w:pPr>
              <w:spacing w:after="0"/>
              <w:jc w:val="center"/>
              <w:rPr>
                <w:rFonts w:ascii="Times New Roman" w:hAnsi="Times New Roman" w:cs="Times New Roman"/>
                <w:sz w:val="23"/>
                <w:szCs w:val="23"/>
              </w:rPr>
            </w:pPr>
            <w:r>
              <w:rPr>
                <w:rFonts w:ascii="Times New Roman" w:hAnsi="Times New Roman" w:cs="Times New Roman"/>
                <w:sz w:val="23"/>
                <w:szCs w:val="23"/>
              </w:rPr>
              <w:t>15.95</w:t>
            </w:r>
          </w:p>
        </w:tc>
        <w:tc>
          <w:tcPr>
            <w:tcW w:w="478" w:type="pct"/>
            <w:tcBorders>
              <w:top w:val="nil"/>
              <w:left w:val="nil"/>
              <w:bottom w:val="single" w:color="auto" w:sz="4" w:space="0"/>
              <w:right w:val="single" w:color="auto" w:sz="4" w:space="0"/>
            </w:tcBorders>
            <w:shd w:val="clear" w:color="auto" w:fill="auto"/>
            <w:noWrap/>
            <w:vAlign w:val="center"/>
          </w:tcPr>
          <w:p w14:paraId="45E7803D">
            <w:pPr>
              <w:spacing w:after="0"/>
              <w:jc w:val="center"/>
              <w:rPr>
                <w:rFonts w:ascii="Times New Roman" w:hAnsi="Times New Roman" w:cs="Times New Roman"/>
                <w:sz w:val="23"/>
                <w:szCs w:val="23"/>
              </w:rPr>
            </w:pPr>
            <w:r>
              <w:rPr>
                <w:rFonts w:ascii="Times New Roman" w:hAnsi="Times New Roman" w:cs="Times New Roman"/>
                <w:sz w:val="23"/>
                <w:szCs w:val="23"/>
              </w:rPr>
              <w:t>15.13</w:t>
            </w:r>
          </w:p>
        </w:tc>
        <w:tc>
          <w:tcPr>
            <w:tcW w:w="466" w:type="pct"/>
            <w:tcBorders>
              <w:top w:val="nil"/>
              <w:left w:val="nil"/>
              <w:bottom w:val="single" w:color="auto" w:sz="4" w:space="0"/>
              <w:right w:val="single" w:color="auto" w:sz="4" w:space="0"/>
            </w:tcBorders>
            <w:shd w:val="clear" w:color="auto" w:fill="auto"/>
            <w:noWrap/>
            <w:vAlign w:val="center"/>
          </w:tcPr>
          <w:p w14:paraId="5D2F82A5">
            <w:pPr>
              <w:spacing w:after="0"/>
              <w:jc w:val="center"/>
              <w:rPr>
                <w:rFonts w:ascii="Times New Roman" w:hAnsi="Times New Roman" w:cs="Times New Roman"/>
                <w:sz w:val="23"/>
                <w:szCs w:val="23"/>
              </w:rPr>
            </w:pPr>
            <w:r>
              <w:rPr>
                <w:rFonts w:ascii="Times New Roman" w:hAnsi="Times New Roman" w:cs="Times New Roman"/>
                <w:sz w:val="23"/>
                <w:szCs w:val="23"/>
              </w:rPr>
              <w:t>13.86</w:t>
            </w:r>
          </w:p>
        </w:tc>
      </w:tr>
      <w:tr w14:paraId="23479A6B">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47322018">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bottom w:val="single" w:color="000000" w:sz="4" w:space="0"/>
              <w:right w:val="single" w:color="auto" w:sz="4" w:space="0"/>
            </w:tcBorders>
            <w:vAlign w:val="center"/>
          </w:tcPr>
          <w:p w14:paraId="69061E2C">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2AC06C9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R</w:t>
            </w:r>
          </w:p>
        </w:tc>
        <w:tc>
          <w:tcPr>
            <w:tcW w:w="420" w:type="pct"/>
            <w:tcBorders>
              <w:top w:val="nil"/>
              <w:left w:val="nil"/>
              <w:bottom w:val="single" w:color="auto" w:sz="4" w:space="0"/>
              <w:right w:val="single" w:color="auto" w:sz="4" w:space="0"/>
            </w:tcBorders>
            <w:shd w:val="clear" w:color="auto" w:fill="auto"/>
            <w:noWrap/>
            <w:vAlign w:val="center"/>
          </w:tcPr>
          <w:p w14:paraId="33124781">
            <w:pPr>
              <w:spacing w:after="0"/>
              <w:jc w:val="center"/>
              <w:rPr>
                <w:rFonts w:ascii="Times New Roman" w:hAnsi="Times New Roman" w:cs="Times New Roman"/>
                <w:sz w:val="23"/>
                <w:szCs w:val="23"/>
              </w:rPr>
            </w:pPr>
            <w:r>
              <w:rPr>
                <w:rFonts w:ascii="Times New Roman" w:hAnsi="Times New Roman" w:cs="Times New Roman"/>
                <w:sz w:val="23"/>
                <w:szCs w:val="23"/>
              </w:rPr>
              <w:t>0.93</w:t>
            </w:r>
          </w:p>
        </w:tc>
        <w:tc>
          <w:tcPr>
            <w:tcW w:w="470" w:type="pct"/>
            <w:tcBorders>
              <w:top w:val="nil"/>
              <w:left w:val="nil"/>
              <w:bottom w:val="single" w:color="auto" w:sz="4" w:space="0"/>
              <w:right w:val="single" w:color="auto" w:sz="4" w:space="0"/>
            </w:tcBorders>
            <w:shd w:val="clear" w:color="auto" w:fill="auto"/>
            <w:noWrap/>
            <w:vAlign w:val="center"/>
          </w:tcPr>
          <w:p w14:paraId="5F4DDC41">
            <w:pPr>
              <w:spacing w:after="0"/>
              <w:jc w:val="center"/>
              <w:rPr>
                <w:rFonts w:ascii="Times New Roman" w:hAnsi="Times New Roman" w:cs="Times New Roman"/>
                <w:sz w:val="23"/>
                <w:szCs w:val="23"/>
              </w:rPr>
            </w:pPr>
            <w:r>
              <w:rPr>
                <w:rFonts w:ascii="Times New Roman" w:hAnsi="Times New Roman" w:cs="Times New Roman"/>
                <w:sz w:val="23"/>
                <w:szCs w:val="23"/>
              </w:rPr>
              <w:t>0.83</w:t>
            </w:r>
          </w:p>
        </w:tc>
        <w:tc>
          <w:tcPr>
            <w:tcW w:w="420" w:type="pct"/>
            <w:tcBorders>
              <w:top w:val="nil"/>
              <w:left w:val="nil"/>
              <w:bottom w:val="single" w:color="auto" w:sz="4" w:space="0"/>
              <w:right w:val="single" w:color="auto" w:sz="4" w:space="0"/>
            </w:tcBorders>
            <w:shd w:val="clear" w:color="auto" w:fill="auto"/>
            <w:noWrap/>
            <w:vAlign w:val="center"/>
          </w:tcPr>
          <w:p w14:paraId="490792E3">
            <w:pPr>
              <w:spacing w:after="0"/>
              <w:jc w:val="center"/>
              <w:rPr>
                <w:rFonts w:ascii="Times New Roman" w:hAnsi="Times New Roman" w:cs="Times New Roman"/>
                <w:sz w:val="23"/>
                <w:szCs w:val="23"/>
              </w:rPr>
            </w:pPr>
            <w:r>
              <w:rPr>
                <w:rFonts w:ascii="Times New Roman" w:hAnsi="Times New Roman" w:cs="Times New Roman"/>
                <w:sz w:val="23"/>
                <w:szCs w:val="23"/>
              </w:rPr>
              <w:t>0.84</w:t>
            </w:r>
          </w:p>
        </w:tc>
        <w:tc>
          <w:tcPr>
            <w:tcW w:w="420" w:type="pct"/>
            <w:tcBorders>
              <w:top w:val="nil"/>
              <w:left w:val="nil"/>
              <w:bottom w:val="single" w:color="auto" w:sz="4" w:space="0"/>
              <w:right w:val="single" w:color="auto" w:sz="4" w:space="0"/>
            </w:tcBorders>
            <w:shd w:val="clear" w:color="auto" w:fill="auto"/>
            <w:noWrap/>
            <w:vAlign w:val="center"/>
          </w:tcPr>
          <w:p w14:paraId="429AF02C">
            <w:pPr>
              <w:spacing w:after="0"/>
              <w:jc w:val="center"/>
              <w:rPr>
                <w:rFonts w:ascii="Times New Roman" w:hAnsi="Times New Roman" w:cs="Times New Roman"/>
                <w:sz w:val="23"/>
                <w:szCs w:val="23"/>
              </w:rPr>
            </w:pPr>
            <w:r>
              <w:rPr>
                <w:rFonts w:ascii="Times New Roman" w:hAnsi="Times New Roman" w:cs="Times New Roman"/>
                <w:sz w:val="23"/>
                <w:szCs w:val="23"/>
              </w:rPr>
              <w:t>0.84</w:t>
            </w:r>
          </w:p>
        </w:tc>
        <w:tc>
          <w:tcPr>
            <w:tcW w:w="478" w:type="pct"/>
            <w:tcBorders>
              <w:top w:val="nil"/>
              <w:left w:val="nil"/>
              <w:bottom w:val="single" w:color="auto" w:sz="4" w:space="0"/>
              <w:right w:val="single" w:color="auto" w:sz="4" w:space="0"/>
            </w:tcBorders>
            <w:shd w:val="clear" w:color="auto" w:fill="auto"/>
            <w:noWrap/>
            <w:vAlign w:val="center"/>
          </w:tcPr>
          <w:p w14:paraId="4CFC9C6E">
            <w:pPr>
              <w:spacing w:after="0"/>
              <w:jc w:val="center"/>
              <w:rPr>
                <w:rFonts w:ascii="Times New Roman" w:hAnsi="Times New Roman" w:cs="Times New Roman"/>
                <w:sz w:val="23"/>
                <w:szCs w:val="23"/>
              </w:rPr>
            </w:pPr>
            <w:r>
              <w:rPr>
                <w:rFonts w:ascii="Times New Roman" w:hAnsi="Times New Roman" w:cs="Times New Roman"/>
                <w:sz w:val="23"/>
                <w:szCs w:val="23"/>
              </w:rPr>
              <w:t>0.81</w:t>
            </w:r>
          </w:p>
        </w:tc>
        <w:tc>
          <w:tcPr>
            <w:tcW w:w="466" w:type="pct"/>
            <w:tcBorders>
              <w:top w:val="nil"/>
              <w:left w:val="nil"/>
              <w:bottom w:val="single" w:color="auto" w:sz="4" w:space="0"/>
              <w:right w:val="single" w:color="auto" w:sz="4" w:space="0"/>
            </w:tcBorders>
            <w:shd w:val="clear" w:color="auto" w:fill="auto"/>
            <w:noWrap/>
            <w:vAlign w:val="center"/>
          </w:tcPr>
          <w:p w14:paraId="1209F6A4">
            <w:pPr>
              <w:spacing w:after="0"/>
              <w:jc w:val="center"/>
              <w:rPr>
                <w:rFonts w:ascii="Times New Roman" w:hAnsi="Times New Roman" w:cs="Times New Roman"/>
                <w:sz w:val="23"/>
                <w:szCs w:val="23"/>
              </w:rPr>
            </w:pPr>
            <w:r>
              <w:rPr>
                <w:rFonts w:ascii="Times New Roman" w:hAnsi="Times New Roman" w:cs="Times New Roman"/>
                <w:sz w:val="23"/>
                <w:szCs w:val="23"/>
              </w:rPr>
              <w:t>0.80</w:t>
            </w:r>
          </w:p>
        </w:tc>
      </w:tr>
      <w:tr w14:paraId="0789EE82">
        <w:trPr>
          <w:trHeight w:val="315" w:hRule="atLeast"/>
        </w:trPr>
        <w:tc>
          <w:tcPr>
            <w:tcW w:w="72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FBAE2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Bhalki</w:t>
            </w:r>
          </w:p>
        </w:tc>
        <w:tc>
          <w:tcPr>
            <w:tcW w:w="855" w:type="pct"/>
            <w:vMerge w:val="restart"/>
            <w:tcBorders>
              <w:top w:val="nil"/>
              <w:left w:val="single" w:color="auto" w:sz="4" w:space="0"/>
              <w:right w:val="single" w:color="auto" w:sz="4" w:space="0"/>
            </w:tcBorders>
            <w:shd w:val="clear" w:color="auto" w:fill="auto"/>
            <w:noWrap/>
            <w:vAlign w:val="center"/>
          </w:tcPr>
          <w:p w14:paraId="2E53BE6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ARIMA</w:t>
            </w:r>
          </w:p>
          <w:p w14:paraId="5DBBE814">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cs="Times New Roman"/>
                <w:sz w:val="23"/>
                <w:szCs w:val="23"/>
              </w:rPr>
              <w:t>(1,0,1)(1,1,2)</w:t>
            </w:r>
            <w:r>
              <w:rPr>
                <w:rFonts w:ascii="Times New Roman" w:hAnsi="Times New Roman" w:cs="Times New Roman"/>
                <w:sz w:val="23"/>
                <w:szCs w:val="23"/>
                <w:vertAlign w:val="subscript"/>
              </w:rPr>
              <w:t>12</w:t>
            </w:r>
          </w:p>
          <w:p w14:paraId="0CC33ABC">
            <w:pPr>
              <w:spacing w:after="0" w:line="240" w:lineRule="auto"/>
              <w:jc w:val="center"/>
              <w:rPr>
                <w:rFonts w:ascii="Times New Roman" w:hAnsi="Times New Roman" w:eastAsia="Times New Roman" w:cs="Times New Roman"/>
                <w:color w:val="000000"/>
                <w:sz w:val="23"/>
                <w:szCs w:val="23"/>
                <w:lang w:eastAsia="en-IN"/>
              </w:rPr>
            </w:pPr>
          </w:p>
          <w:p w14:paraId="38B0EE40">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76B0F0A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RMSE</w:t>
            </w:r>
          </w:p>
        </w:tc>
        <w:tc>
          <w:tcPr>
            <w:tcW w:w="420" w:type="pct"/>
            <w:tcBorders>
              <w:top w:val="nil"/>
              <w:left w:val="nil"/>
              <w:bottom w:val="single" w:color="auto" w:sz="4" w:space="0"/>
              <w:right w:val="single" w:color="auto" w:sz="4" w:space="0"/>
            </w:tcBorders>
            <w:shd w:val="clear" w:color="auto" w:fill="auto"/>
            <w:noWrap/>
            <w:vAlign w:val="center"/>
          </w:tcPr>
          <w:p w14:paraId="7D0E1E7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10.52</w:t>
            </w:r>
          </w:p>
        </w:tc>
        <w:tc>
          <w:tcPr>
            <w:tcW w:w="470" w:type="pct"/>
            <w:tcBorders>
              <w:top w:val="nil"/>
              <w:left w:val="nil"/>
              <w:bottom w:val="single" w:color="auto" w:sz="4" w:space="0"/>
              <w:right w:val="single" w:color="auto" w:sz="4" w:space="0"/>
            </w:tcBorders>
            <w:shd w:val="clear" w:color="auto" w:fill="auto"/>
            <w:noWrap/>
            <w:vAlign w:val="center"/>
          </w:tcPr>
          <w:p w14:paraId="21B3EB17">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20.22</w:t>
            </w:r>
          </w:p>
        </w:tc>
        <w:tc>
          <w:tcPr>
            <w:tcW w:w="420" w:type="pct"/>
            <w:tcBorders>
              <w:top w:val="nil"/>
              <w:left w:val="nil"/>
              <w:bottom w:val="single" w:color="auto" w:sz="4" w:space="0"/>
              <w:right w:val="single" w:color="auto" w:sz="4" w:space="0"/>
            </w:tcBorders>
            <w:shd w:val="clear" w:color="auto" w:fill="auto"/>
            <w:noWrap/>
            <w:vAlign w:val="center"/>
          </w:tcPr>
          <w:p w14:paraId="0E4E90D3">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39.54</w:t>
            </w:r>
          </w:p>
        </w:tc>
        <w:tc>
          <w:tcPr>
            <w:tcW w:w="420" w:type="pct"/>
            <w:tcBorders>
              <w:top w:val="nil"/>
              <w:left w:val="nil"/>
              <w:bottom w:val="single" w:color="auto" w:sz="4" w:space="0"/>
              <w:right w:val="single" w:color="auto" w:sz="4" w:space="0"/>
            </w:tcBorders>
            <w:shd w:val="clear" w:color="auto" w:fill="auto"/>
            <w:noWrap/>
            <w:vAlign w:val="center"/>
          </w:tcPr>
          <w:p w14:paraId="77169C5B">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52.15</w:t>
            </w:r>
          </w:p>
        </w:tc>
        <w:tc>
          <w:tcPr>
            <w:tcW w:w="478" w:type="pct"/>
            <w:tcBorders>
              <w:top w:val="nil"/>
              <w:left w:val="nil"/>
              <w:bottom w:val="single" w:color="auto" w:sz="4" w:space="0"/>
              <w:right w:val="single" w:color="auto" w:sz="4" w:space="0"/>
            </w:tcBorders>
            <w:shd w:val="clear" w:color="auto" w:fill="auto"/>
            <w:noWrap/>
            <w:vAlign w:val="center"/>
          </w:tcPr>
          <w:p w14:paraId="3979479E">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59.60</w:t>
            </w:r>
          </w:p>
        </w:tc>
        <w:tc>
          <w:tcPr>
            <w:tcW w:w="466" w:type="pct"/>
            <w:tcBorders>
              <w:top w:val="nil"/>
              <w:left w:val="nil"/>
              <w:bottom w:val="single" w:color="auto" w:sz="4" w:space="0"/>
              <w:right w:val="single" w:color="auto" w:sz="4" w:space="0"/>
            </w:tcBorders>
            <w:shd w:val="clear" w:color="auto" w:fill="auto"/>
            <w:noWrap/>
            <w:vAlign w:val="center"/>
          </w:tcPr>
          <w:p w14:paraId="7CBD5C4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61.46</w:t>
            </w:r>
          </w:p>
        </w:tc>
      </w:tr>
      <w:tr w14:paraId="5DCB1E16">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8F951E">
            <w:pPr>
              <w:spacing w:after="0" w:line="240" w:lineRule="auto"/>
              <w:jc w:val="center"/>
              <w:rPr>
                <w:rFonts w:ascii="Times New Roman" w:hAnsi="Times New Roman" w:cs="Times New Roman"/>
                <w:sz w:val="23"/>
                <w:szCs w:val="23"/>
              </w:rPr>
            </w:pPr>
          </w:p>
        </w:tc>
        <w:tc>
          <w:tcPr>
            <w:tcW w:w="855" w:type="pct"/>
            <w:vMerge w:val="continue"/>
            <w:tcBorders>
              <w:left w:val="single" w:color="auto" w:sz="4" w:space="0"/>
              <w:right w:val="single" w:color="auto" w:sz="4" w:space="0"/>
            </w:tcBorders>
            <w:shd w:val="clear" w:color="auto" w:fill="auto"/>
            <w:noWrap/>
            <w:vAlign w:val="center"/>
          </w:tcPr>
          <w:p w14:paraId="0C5879F7">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394BB8F2">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MAPE</w:t>
            </w:r>
          </w:p>
        </w:tc>
        <w:tc>
          <w:tcPr>
            <w:tcW w:w="420" w:type="pct"/>
            <w:tcBorders>
              <w:top w:val="nil"/>
              <w:left w:val="nil"/>
              <w:bottom w:val="single" w:color="auto" w:sz="4" w:space="0"/>
              <w:right w:val="single" w:color="auto" w:sz="4" w:space="0"/>
            </w:tcBorders>
            <w:shd w:val="clear" w:color="auto" w:fill="auto"/>
            <w:noWrap/>
            <w:vAlign w:val="center"/>
          </w:tcPr>
          <w:p w14:paraId="2902E8F1">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5.28</w:t>
            </w:r>
          </w:p>
        </w:tc>
        <w:tc>
          <w:tcPr>
            <w:tcW w:w="470" w:type="pct"/>
            <w:tcBorders>
              <w:top w:val="nil"/>
              <w:left w:val="nil"/>
              <w:bottom w:val="single" w:color="auto" w:sz="4" w:space="0"/>
              <w:right w:val="single" w:color="auto" w:sz="4" w:space="0"/>
            </w:tcBorders>
            <w:shd w:val="clear" w:color="auto" w:fill="auto"/>
            <w:noWrap/>
            <w:vAlign w:val="center"/>
          </w:tcPr>
          <w:p w14:paraId="6FAF34E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10.55</w:t>
            </w:r>
          </w:p>
        </w:tc>
        <w:tc>
          <w:tcPr>
            <w:tcW w:w="420" w:type="pct"/>
            <w:tcBorders>
              <w:top w:val="nil"/>
              <w:left w:val="nil"/>
              <w:bottom w:val="single" w:color="auto" w:sz="4" w:space="0"/>
              <w:right w:val="single" w:color="auto" w:sz="4" w:space="0"/>
            </w:tcBorders>
            <w:shd w:val="clear" w:color="auto" w:fill="auto"/>
            <w:noWrap/>
            <w:vAlign w:val="center"/>
          </w:tcPr>
          <w:p w14:paraId="2F8D431B">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22.50</w:t>
            </w:r>
          </w:p>
        </w:tc>
        <w:tc>
          <w:tcPr>
            <w:tcW w:w="420" w:type="pct"/>
            <w:tcBorders>
              <w:top w:val="nil"/>
              <w:left w:val="nil"/>
              <w:bottom w:val="single" w:color="auto" w:sz="4" w:space="0"/>
              <w:right w:val="single" w:color="auto" w:sz="4" w:space="0"/>
            </w:tcBorders>
            <w:shd w:val="clear" w:color="auto" w:fill="auto"/>
            <w:noWrap/>
            <w:vAlign w:val="center"/>
          </w:tcPr>
          <w:p w14:paraId="59543DD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29.21</w:t>
            </w:r>
          </w:p>
        </w:tc>
        <w:tc>
          <w:tcPr>
            <w:tcW w:w="478" w:type="pct"/>
            <w:tcBorders>
              <w:top w:val="nil"/>
              <w:left w:val="nil"/>
              <w:bottom w:val="single" w:color="auto" w:sz="4" w:space="0"/>
              <w:right w:val="single" w:color="auto" w:sz="4" w:space="0"/>
            </w:tcBorders>
            <w:shd w:val="clear" w:color="auto" w:fill="auto"/>
            <w:noWrap/>
            <w:vAlign w:val="center"/>
          </w:tcPr>
          <w:p w14:paraId="0FD57BE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33.49</w:t>
            </w:r>
          </w:p>
        </w:tc>
        <w:tc>
          <w:tcPr>
            <w:tcW w:w="466" w:type="pct"/>
            <w:tcBorders>
              <w:top w:val="nil"/>
              <w:left w:val="nil"/>
              <w:bottom w:val="single" w:color="auto" w:sz="4" w:space="0"/>
              <w:right w:val="single" w:color="auto" w:sz="4" w:space="0"/>
            </w:tcBorders>
            <w:shd w:val="clear" w:color="auto" w:fill="auto"/>
            <w:noWrap/>
            <w:vAlign w:val="center"/>
          </w:tcPr>
          <w:p w14:paraId="0BFF5777">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37.85</w:t>
            </w:r>
          </w:p>
        </w:tc>
      </w:tr>
      <w:tr w14:paraId="4246AB9E">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4E1220">
            <w:pPr>
              <w:spacing w:after="0" w:line="240" w:lineRule="auto"/>
              <w:jc w:val="center"/>
              <w:rPr>
                <w:rFonts w:ascii="Times New Roman" w:hAnsi="Times New Roman" w:cs="Times New Roman"/>
                <w:sz w:val="23"/>
                <w:szCs w:val="23"/>
              </w:rPr>
            </w:pPr>
          </w:p>
        </w:tc>
        <w:tc>
          <w:tcPr>
            <w:tcW w:w="855" w:type="pct"/>
            <w:vMerge w:val="continue"/>
            <w:tcBorders>
              <w:left w:val="single" w:color="auto" w:sz="4" w:space="0"/>
              <w:right w:val="single" w:color="auto" w:sz="4" w:space="0"/>
            </w:tcBorders>
            <w:shd w:val="clear" w:color="auto" w:fill="auto"/>
            <w:noWrap/>
            <w:vAlign w:val="center"/>
          </w:tcPr>
          <w:p w14:paraId="521A3130">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51DDD6E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MAE</w:t>
            </w:r>
          </w:p>
        </w:tc>
        <w:tc>
          <w:tcPr>
            <w:tcW w:w="420" w:type="pct"/>
            <w:tcBorders>
              <w:top w:val="nil"/>
              <w:left w:val="nil"/>
              <w:bottom w:val="single" w:color="auto" w:sz="4" w:space="0"/>
              <w:right w:val="single" w:color="auto" w:sz="4" w:space="0"/>
            </w:tcBorders>
            <w:shd w:val="clear" w:color="auto" w:fill="auto"/>
            <w:noWrap/>
            <w:vAlign w:val="center"/>
          </w:tcPr>
          <w:p w14:paraId="468B2FCB">
            <w:pPr>
              <w:spacing w:after="0"/>
              <w:jc w:val="center"/>
              <w:rPr>
                <w:rFonts w:ascii="Times New Roman" w:hAnsi="Times New Roman" w:cs="Times New Roman"/>
                <w:sz w:val="23"/>
                <w:szCs w:val="23"/>
              </w:rPr>
            </w:pPr>
            <w:r>
              <w:rPr>
                <w:rFonts w:ascii="Times New Roman" w:hAnsi="Times New Roman" w:cs="Times New Roman"/>
                <w:sz w:val="23"/>
                <w:szCs w:val="23"/>
              </w:rPr>
              <w:t>7.70</w:t>
            </w:r>
          </w:p>
        </w:tc>
        <w:tc>
          <w:tcPr>
            <w:tcW w:w="470" w:type="pct"/>
            <w:tcBorders>
              <w:top w:val="nil"/>
              <w:left w:val="nil"/>
              <w:bottom w:val="single" w:color="auto" w:sz="4" w:space="0"/>
              <w:right w:val="single" w:color="auto" w:sz="4" w:space="0"/>
            </w:tcBorders>
            <w:shd w:val="clear" w:color="auto" w:fill="auto"/>
            <w:noWrap/>
            <w:vAlign w:val="center"/>
          </w:tcPr>
          <w:p w14:paraId="64B55596">
            <w:pPr>
              <w:spacing w:after="0"/>
              <w:jc w:val="center"/>
              <w:rPr>
                <w:rFonts w:ascii="Times New Roman" w:hAnsi="Times New Roman" w:cs="Times New Roman"/>
                <w:sz w:val="23"/>
                <w:szCs w:val="23"/>
              </w:rPr>
            </w:pPr>
            <w:r>
              <w:rPr>
                <w:rFonts w:ascii="Times New Roman" w:hAnsi="Times New Roman" w:cs="Times New Roman"/>
                <w:sz w:val="23"/>
                <w:szCs w:val="23"/>
              </w:rPr>
              <w:t>15.77</w:t>
            </w:r>
          </w:p>
        </w:tc>
        <w:tc>
          <w:tcPr>
            <w:tcW w:w="420" w:type="pct"/>
            <w:tcBorders>
              <w:top w:val="nil"/>
              <w:left w:val="nil"/>
              <w:bottom w:val="single" w:color="auto" w:sz="4" w:space="0"/>
              <w:right w:val="single" w:color="auto" w:sz="4" w:space="0"/>
            </w:tcBorders>
            <w:shd w:val="clear" w:color="auto" w:fill="auto"/>
            <w:noWrap/>
            <w:vAlign w:val="center"/>
          </w:tcPr>
          <w:p w14:paraId="1BA14957">
            <w:pPr>
              <w:spacing w:after="0"/>
              <w:jc w:val="center"/>
              <w:rPr>
                <w:rFonts w:ascii="Times New Roman" w:hAnsi="Times New Roman" w:cs="Times New Roman"/>
                <w:sz w:val="23"/>
                <w:szCs w:val="23"/>
              </w:rPr>
            </w:pPr>
            <w:r>
              <w:rPr>
                <w:rFonts w:ascii="Times New Roman" w:hAnsi="Times New Roman" w:cs="Times New Roman"/>
                <w:sz w:val="23"/>
                <w:szCs w:val="23"/>
              </w:rPr>
              <w:t>32.81</w:t>
            </w:r>
          </w:p>
        </w:tc>
        <w:tc>
          <w:tcPr>
            <w:tcW w:w="420" w:type="pct"/>
            <w:tcBorders>
              <w:top w:val="nil"/>
              <w:left w:val="nil"/>
              <w:bottom w:val="single" w:color="auto" w:sz="4" w:space="0"/>
              <w:right w:val="single" w:color="auto" w:sz="4" w:space="0"/>
            </w:tcBorders>
            <w:shd w:val="clear" w:color="auto" w:fill="auto"/>
            <w:noWrap/>
            <w:vAlign w:val="center"/>
          </w:tcPr>
          <w:p w14:paraId="15874D06">
            <w:pPr>
              <w:spacing w:after="0"/>
              <w:jc w:val="center"/>
              <w:rPr>
                <w:rFonts w:ascii="Times New Roman" w:hAnsi="Times New Roman" w:cs="Times New Roman"/>
                <w:sz w:val="23"/>
                <w:szCs w:val="23"/>
              </w:rPr>
            </w:pPr>
            <w:r>
              <w:rPr>
                <w:rFonts w:ascii="Times New Roman" w:hAnsi="Times New Roman" w:cs="Times New Roman"/>
                <w:sz w:val="23"/>
                <w:szCs w:val="23"/>
              </w:rPr>
              <w:t>43.15</w:t>
            </w:r>
          </w:p>
        </w:tc>
        <w:tc>
          <w:tcPr>
            <w:tcW w:w="478" w:type="pct"/>
            <w:tcBorders>
              <w:top w:val="nil"/>
              <w:left w:val="nil"/>
              <w:bottom w:val="single" w:color="auto" w:sz="4" w:space="0"/>
              <w:right w:val="single" w:color="auto" w:sz="4" w:space="0"/>
            </w:tcBorders>
            <w:shd w:val="clear" w:color="auto" w:fill="auto"/>
            <w:noWrap/>
            <w:vAlign w:val="center"/>
          </w:tcPr>
          <w:p w14:paraId="02A29E6C">
            <w:pPr>
              <w:spacing w:after="0"/>
              <w:jc w:val="center"/>
              <w:rPr>
                <w:rFonts w:ascii="Times New Roman" w:hAnsi="Times New Roman" w:cs="Times New Roman"/>
                <w:sz w:val="23"/>
                <w:szCs w:val="23"/>
              </w:rPr>
            </w:pPr>
            <w:r>
              <w:rPr>
                <w:rFonts w:ascii="Times New Roman" w:hAnsi="Times New Roman" w:cs="Times New Roman"/>
                <w:sz w:val="23"/>
                <w:szCs w:val="23"/>
              </w:rPr>
              <w:t>48.93</w:t>
            </w:r>
          </w:p>
        </w:tc>
        <w:tc>
          <w:tcPr>
            <w:tcW w:w="466" w:type="pct"/>
            <w:tcBorders>
              <w:top w:val="nil"/>
              <w:left w:val="nil"/>
              <w:bottom w:val="single" w:color="auto" w:sz="4" w:space="0"/>
              <w:right w:val="single" w:color="auto" w:sz="4" w:space="0"/>
            </w:tcBorders>
            <w:shd w:val="clear" w:color="auto" w:fill="auto"/>
            <w:noWrap/>
            <w:vAlign w:val="center"/>
          </w:tcPr>
          <w:p w14:paraId="33A45466">
            <w:pPr>
              <w:spacing w:after="0"/>
              <w:jc w:val="center"/>
              <w:rPr>
                <w:rFonts w:ascii="Times New Roman" w:hAnsi="Times New Roman" w:cs="Times New Roman"/>
                <w:sz w:val="23"/>
                <w:szCs w:val="23"/>
              </w:rPr>
            </w:pPr>
            <w:r>
              <w:rPr>
                <w:rFonts w:ascii="Times New Roman" w:hAnsi="Times New Roman" w:cs="Times New Roman"/>
                <w:sz w:val="23"/>
                <w:szCs w:val="23"/>
              </w:rPr>
              <w:t>51.73</w:t>
            </w:r>
          </w:p>
        </w:tc>
      </w:tr>
      <w:tr w14:paraId="10868B62">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2C329FB8">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bottom w:val="single" w:color="000000" w:sz="4" w:space="0"/>
              <w:right w:val="single" w:color="auto" w:sz="4" w:space="0"/>
            </w:tcBorders>
            <w:vAlign w:val="center"/>
          </w:tcPr>
          <w:p w14:paraId="2D262F16">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2CE91F4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R</w:t>
            </w:r>
          </w:p>
        </w:tc>
        <w:tc>
          <w:tcPr>
            <w:tcW w:w="420" w:type="pct"/>
            <w:tcBorders>
              <w:top w:val="nil"/>
              <w:left w:val="nil"/>
              <w:bottom w:val="single" w:color="auto" w:sz="4" w:space="0"/>
              <w:right w:val="single" w:color="auto" w:sz="4" w:space="0"/>
            </w:tcBorders>
            <w:shd w:val="clear" w:color="auto" w:fill="auto"/>
            <w:noWrap/>
            <w:vAlign w:val="center"/>
          </w:tcPr>
          <w:p w14:paraId="0661E128">
            <w:pPr>
              <w:spacing w:after="0"/>
              <w:jc w:val="center"/>
              <w:rPr>
                <w:rFonts w:ascii="Times New Roman" w:hAnsi="Times New Roman" w:cs="Times New Roman"/>
                <w:sz w:val="23"/>
                <w:szCs w:val="23"/>
              </w:rPr>
            </w:pPr>
            <w:r>
              <w:rPr>
                <w:rFonts w:ascii="Times New Roman" w:hAnsi="Times New Roman" w:cs="Times New Roman"/>
                <w:sz w:val="23"/>
                <w:szCs w:val="23"/>
              </w:rPr>
              <w:t>0.87</w:t>
            </w:r>
          </w:p>
        </w:tc>
        <w:tc>
          <w:tcPr>
            <w:tcW w:w="470" w:type="pct"/>
            <w:tcBorders>
              <w:top w:val="nil"/>
              <w:left w:val="nil"/>
              <w:bottom w:val="single" w:color="auto" w:sz="4" w:space="0"/>
              <w:right w:val="single" w:color="auto" w:sz="4" w:space="0"/>
            </w:tcBorders>
            <w:shd w:val="clear" w:color="auto" w:fill="auto"/>
            <w:noWrap/>
            <w:vAlign w:val="center"/>
          </w:tcPr>
          <w:p w14:paraId="74076065">
            <w:pPr>
              <w:spacing w:after="0"/>
              <w:jc w:val="center"/>
              <w:rPr>
                <w:rFonts w:ascii="Times New Roman" w:hAnsi="Times New Roman" w:cs="Times New Roman"/>
                <w:sz w:val="23"/>
                <w:szCs w:val="23"/>
              </w:rPr>
            </w:pPr>
            <w:r>
              <w:rPr>
                <w:rFonts w:ascii="Times New Roman" w:hAnsi="Times New Roman" w:cs="Times New Roman"/>
                <w:sz w:val="23"/>
                <w:szCs w:val="23"/>
              </w:rPr>
              <w:t>0.77</w:t>
            </w:r>
          </w:p>
        </w:tc>
        <w:tc>
          <w:tcPr>
            <w:tcW w:w="420" w:type="pct"/>
            <w:tcBorders>
              <w:top w:val="nil"/>
              <w:left w:val="nil"/>
              <w:bottom w:val="single" w:color="auto" w:sz="4" w:space="0"/>
              <w:right w:val="single" w:color="auto" w:sz="4" w:space="0"/>
            </w:tcBorders>
            <w:shd w:val="clear" w:color="auto" w:fill="auto"/>
            <w:noWrap/>
            <w:vAlign w:val="center"/>
          </w:tcPr>
          <w:p w14:paraId="5A09EA9E">
            <w:pPr>
              <w:spacing w:after="0"/>
              <w:jc w:val="center"/>
              <w:rPr>
                <w:rFonts w:ascii="Times New Roman" w:hAnsi="Times New Roman" w:cs="Times New Roman"/>
                <w:sz w:val="23"/>
                <w:szCs w:val="23"/>
              </w:rPr>
            </w:pPr>
            <w:r>
              <w:rPr>
                <w:rFonts w:ascii="Times New Roman" w:hAnsi="Times New Roman" w:cs="Times New Roman"/>
                <w:sz w:val="23"/>
                <w:szCs w:val="23"/>
              </w:rPr>
              <w:t>0.70</w:t>
            </w:r>
          </w:p>
        </w:tc>
        <w:tc>
          <w:tcPr>
            <w:tcW w:w="420" w:type="pct"/>
            <w:tcBorders>
              <w:top w:val="nil"/>
              <w:left w:val="nil"/>
              <w:bottom w:val="single" w:color="auto" w:sz="4" w:space="0"/>
              <w:right w:val="single" w:color="auto" w:sz="4" w:space="0"/>
            </w:tcBorders>
            <w:shd w:val="clear" w:color="auto" w:fill="auto"/>
            <w:noWrap/>
            <w:vAlign w:val="center"/>
          </w:tcPr>
          <w:p w14:paraId="497A86D7">
            <w:pPr>
              <w:spacing w:after="0"/>
              <w:jc w:val="center"/>
              <w:rPr>
                <w:rFonts w:ascii="Times New Roman" w:hAnsi="Times New Roman" w:cs="Times New Roman"/>
                <w:sz w:val="23"/>
                <w:szCs w:val="23"/>
              </w:rPr>
            </w:pPr>
            <w:r>
              <w:rPr>
                <w:rFonts w:ascii="Times New Roman" w:hAnsi="Times New Roman" w:cs="Times New Roman"/>
                <w:sz w:val="23"/>
                <w:szCs w:val="23"/>
              </w:rPr>
              <w:t>0.71</w:t>
            </w:r>
          </w:p>
        </w:tc>
        <w:tc>
          <w:tcPr>
            <w:tcW w:w="478" w:type="pct"/>
            <w:tcBorders>
              <w:top w:val="nil"/>
              <w:left w:val="nil"/>
              <w:bottom w:val="single" w:color="auto" w:sz="4" w:space="0"/>
              <w:right w:val="single" w:color="auto" w:sz="4" w:space="0"/>
            </w:tcBorders>
            <w:shd w:val="clear" w:color="auto" w:fill="auto"/>
            <w:noWrap/>
            <w:vAlign w:val="center"/>
          </w:tcPr>
          <w:p w14:paraId="7C93BEF8">
            <w:pPr>
              <w:spacing w:after="0"/>
              <w:jc w:val="center"/>
              <w:rPr>
                <w:rFonts w:ascii="Times New Roman" w:hAnsi="Times New Roman" w:cs="Times New Roman"/>
                <w:sz w:val="23"/>
                <w:szCs w:val="23"/>
              </w:rPr>
            </w:pPr>
            <w:r>
              <w:rPr>
                <w:rFonts w:ascii="Times New Roman" w:hAnsi="Times New Roman" w:cs="Times New Roman"/>
                <w:sz w:val="23"/>
                <w:szCs w:val="23"/>
              </w:rPr>
              <w:t>0.65</w:t>
            </w:r>
          </w:p>
        </w:tc>
        <w:tc>
          <w:tcPr>
            <w:tcW w:w="466" w:type="pct"/>
            <w:tcBorders>
              <w:top w:val="nil"/>
              <w:left w:val="nil"/>
              <w:bottom w:val="single" w:color="auto" w:sz="4" w:space="0"/>
              <w:right w:val="single" w:color="auto" w:sz="4" w:space="0"/>
            </w:tcBorders>
            <w:shd w:val="clear" w:color="auto" w:fill="auto"/>
            <w:noWrap/>
            <w:vAlign w:val="center"/>
          </w:tcPr>
          <w:p w14:paraId="4B121A44">
            <w:pPr>
              <w:spacing w:after="0"/>
              <w:jc w:val="center"/>
              <w:rPr>
                <w:rFonts w:ascii="Times New Roman" w:hAnsi="Times New Roman" w:cs="Times New Roman"/>
                <w:sz w:val="23"/>
                <w:szCs w:val="23"/>
              </w:rPr>
            </w:pPr>
            <w:r>
              <w:rPr>
                <w:rFonts w:ascii="Times New Roman" w:hAnsi="Times New Roman" w:cs="Times New Roman"/>
                <w:sz w:val="23"/>
                <w:szCs w:val="23"/>
              </w:rPr>
              <w:t>0.54</w:t>
            </w:r>
          </w:p>
        </w:tc>
      </w:tr>
      <w:tr w14:paraId="7BF4B418">
        <w:tblPrEx>
          <w:tblCellMar>
            <w:top w:w="0" w:type="dxa"/>
            <w:left w:w="108" w:type="dxa"/>
            <w:bottom w:w="0" w:type="dxa"/>
            <w:right w:w="108" w:type="dxa"/>
          </w:tblCellMar>
        </w:tblPrEx>
        <w:trPr>
          <w:trHeight w:val="315" w:hRule="atLeast"/>
        </w:trPr>
        <w:tc>
          <w:tcPr>
            <w:tcW w:w="72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9DD89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Humnabad</w:t>
            </w:r>
          </w:p>
        </w:tc>
        <w:tc>
          <w:tcPr>
            <w:tcW w:w="855" w:type="pct"/>
            <w:vMerge w:val="restart"/>
            <w:tcBorders>
              <w:top w:val="nil"/>
              <w:left w:val="single" w:color="auto" w:sz="4" w:space="0"/>
              <w:right w:val="single" w:color="auto" w:sz="4" w:space="0"/>
            </w:tcBorders>
            <w:shd w:val="clear" w:color="auto" w:fill="auto"/>
            <w:noWrap/>
            <w:vAlign w:val="center"/>
          </w:tcPr>
          <w:p w14:paraId="0689DB5E">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ARIMA</w:t>
            </w:r>
          </w:p>
          <w:p w14:paraId="71B14A7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cs="Times New Roman"/>
                <w:sz w:val="23"/>
                <w:szCs w:val="23"/>
              </w:rPr>
              <w:t>(1,0,1)(2,1,0)</w:t>
            </w:r>
            <w:r>
              <w:rPr>
                <w:rFonts w:ascii="Times New Roman" w:hAnsi="Times New Roman" w:cs="Times New Roman"/>
                <w:sz w:val="23"/>
                <w:szCs w:val="23"/>
                <w:vertAlign w:val="subscript"/>
              </w:rPr>
              <w:t>12</w:t>
            </w:r>
          </w:p>
          <w:p w14:paraId="39827C3D">
            <w:pPr>
              <w:spacing w:after="0" w:line="240" w:lineRule="auto"/>
              <w:jc w:val="center"/>
              <w:rPr>
                <w:rFonts w:ascii="Times New Roman" w:hAnsi="Times New Roman" w:eastAsia="Times New Roman" w:cs="Times New Roman"/>
                <w:color w:val="000000"/>
                <w:sz w:val="23"/>
                <w:szCs w:val="23"/>
                <w:lang w:eastAsia="en-IN"/>
              </w:rPr>
            </w:pPr>
          </w:p>
          <w:p w14:paraId="5DE5153D">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386CA04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RMSE</w:t>
            </w:r>
          </w:p>
        </w:tc>
        <w:tc>
          <w:tcPr>
            <w:tcW w:w="420" w:type="pct"/>
            <w:tcBorders>
              <w:top w:val="nil"/>
              <w:left w:val="nil"/>
              <w:bottom w:val="single" w:color="auto" w:sz="4" w:space="0"/>
              <w:right w:val="single" w:color="auto" w:sz="4" w:space="0"/>
            </w:tcBorders>
            <w:shd w:val="clear" w:color="auto" w:fill="auto"/>
            <w:noWrap/>
            <w:vAlign w:val="center"/>
          </w:tcPr>
          <w:p w14:paraId="3A4D727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20.83</w:t>
            </w:r>
          </w:p>
        </w:tc>
        <w:tc>
          <w:tcPr>
            <w:tcW w:w="470" w:type="pct"/>
            <w:tcBorders>
              <w:top w:val="nil"/>
              <w:left w:val="nil"/>
              <w:bottom w:val="single" w:color="auto" w:sz="4" w:space="0"/>
              <w:right w:val="single" w:color="auto" w:sz="4" w:space="0"/>
            </w:tcBorders>
            <w:shd w:val="clear" w:color="auto" w:fill="auto"/>
            <w:noWrap/>
            <w:vAlign w:val="center"/>
          </w:tcPr>
          <w:p w14:paraId="482D6C04">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23.05</w:t>
            </w:r>
          </w:p>
        </w:tc>
        <w:tc>
          <w:tcPr>
            <w:tcW w:w="420" w:type="pct"/>
            <w:tcBorders>
              <w:top w:val="nil"/>
              <w:left w:val="nil"/>
              <w:bottom w:val="single" w:color="auto" w:sz="4" w:space="0"/>
              <w:right w:val="single" w:color="auto" w:sz="4" w:space="0"/>
            </w:tcBorders>
            <w:shd w:val="clear" w:color="auto" w:fill="auto"/>
            <w:noWrap/>
            <w:vAlign w:val="center"/>
          </w:tcPr>
          <w:p w14:paraId="1195AA0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53.72</w:t>
            </w:r>
          </w:p>
        </w:tc>
        <w:tc>
          <w:tcPr>
            <w:tcW w:w="420" w:type="pct"/>
            <w:tcBorders>
              <w:top w:val="nil"/>
              <w:left w:val="nil"/>
              <w:bottom w:val="single" w:color="auto" w:sz="4" w:space="0"/>
              <w:right w:val="single" w:color="auto" w:sz="4" w:space="0"/>
            </w:tcBorders>
            <w:shd w:val="clear" w:color="auto" w:fill="auto"/>
            <w:noWrap/>
            <w:vAlign w:val="center"/>
          </w:tcPr>
          <w:p w14:paraId="35A96AF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61.98</w:t>
            </w:r>
          </w:p>
        </w:tc>
        <w:tc>
          <w:tcPr>
            <w:tcW w:w="478" w:type="pct"/>
            <w:tcBorders>
              <w:top w:val="nil"/>
              <w:left w:val="nil"/>
              <w:bottom w:val="single" w:color="auto" w:sz="4" w:space="0"/>
              <w:right w:val="single" w:color="auto" w:sz="4" w:space="0"/>
            </w:tcBorders>
            <w:shd w:val="clear" w:color="auto" w:fill="auto"/>
            <w:noWrap/>
            <w:vAlign w:val="center"/>
          </w:tcPr>
          <w:p w14:paraId="3F79996A">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64.58</w:t>
            </w:r>
          </w:p>
        </w:tc>
        <w:tc>
          <w:tcPr>
            <w:tcW w:w="466" w:type="pct"/>
            <w:tcBorders>
              <w:top w:val="nil"/>
              <w:left w:val="nil"/>
              <w:bottom w:val="single" w:color="auto" w:sz="4" w:space="0"/>
              <w:right w:val="single" w:color="auto" w:sz="4" w:space="0"/>
            </w:tcBorders>
            <w:shd w:val="clear" w:color="auto" w:fill="auto"/>
            <w:noWrap/>
            <w:vAlign w:val="center"/>
          </w:tcPr>
          <w:p w14:paraId="36FF51DF">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66.71</w:t>
            </w:r>
          </w:p>
        </w:tc>
      </w:tr>
      <w:tr w14:paraId="4B56465C">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AE05FC">
            <w:pPr>
              <w:spacing w:after="0" w:line="240" w:lineRule="auto"/>
              <w:jc w:val="center"/>
              <w:rPr>
                <w:rFonts w:ascii="Times New Roman" w:hAnsi="Times New Roman" w:cs="Times New Roman"/>
                <w:sz w:val="23"/>
                <w:szCs w:val="23"/>
              </w:rPr>
            </w:pPr>
          </w:p>
        </w:tc>
        <w:tc>
          <w:tcPr>
            <w:tcW w:w="855" w:type="pct"/>
            <w:vMerge w:val="continue"/>
            <w:tcBorders>
              <w:left w:val="single" w:color="auto" w:sz="4" w:space="0"/>
              <w:right w:val="single" w:color="auto" w:sz="4" w:space="0"/>
            </w:tcBorders>
            <w:shd w:val="clear" w:color="auto" w:fill="auto"/>
            <w:noWrap/>
            <w:vAlign w:val="center"/>
          </w:tcPr>
          <w:p w14:paraId="30288BC2">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1E866B0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MAPE</w:t>
            </w:r>
          </w:p>
        </w:tc>
        <w:tc>
          <w:tcPr>
            <w:tcW w:w="420" w:type="pct"/>
            <w:tcBorders>
              <w:top w:val="nil"/>
              <w:left w:val="nil"/>
              <w:bottom w:val="single" w:color="auto" w:sz="4" w:space="0"/>
              <w:right w:val="single" w:color="auto" w:sz="4" w:space="0"/>
            </w:tcBorders>
            <w:shd w:val="clear" w:color="auto" w:fill="auto"/>
            <w:noWrap/>
            <w:vAlign w:val="center"/>
          </w:tcPr>
          <w:p w14:paraId="25C4549E">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10.51</w:t>
            </w:r>
          </w:p>
        </w:tc>
        <w:tc>
          <w:tcPr>
            <w:tcW w:w="470" w:type="pct"/>
            <w:tcBorders>
              <w:top w:val="nil"/>
              <w:left w:val="nil"/>
              <w:bottom w:val="single" w:color="auto" w:sz="4" w:space="0"/>
              <w:right w:val="single" w:color="auto" w:sz="4" w:space="0"/>
            </w:tcBorders>
            <w:shd w:val="clear" w:color="auto" w:fill="auto"/>
            <w:noWrap/>
            <w:vAlign w:val="center"/>
          </w:tcPr>
          <w:p w14:paraId="77EEF4E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40.34</w:t>
            </w:r>
          </w:p>
        </w:tc>
        <w:tc>
          <w:tcPr>
            <w:tcW w:w="420" w:type="pct"/>
            <w:tcBorders>
              <w:top w:val="nil"/>
              <w:left w:val="nil"/>
              <w:bottom w:val="single" w:color="auto" w:sz="4" w:space="0"/>
              <w:right w:val="single" w:color="auto" w:sz="4" w:space="0"/>
            </w:tcBorders>
            <w:shd w:val="clear" w:color="auto" w:fill="auto"/>
            <w:noWrap/>
            <w:vAlign w:val="center"/>
          </w:tcPr>
          <w:p w14:paraId="25365B6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30.67</w:t>
            </w:r>
          </w:p>
        </w:tc>
        <w:tc>
          <w:tcPr>
            <w:tcW w:w="420" w:type="pct"/>
            <w:tcBorders>
              <w:top w:val="nil"/>
              <w:left w:val="nil"/>
              <w:bottom w:val="single" w:color="auto" w:sz="4" w:space="0"/>
              <w:right w:val="single" w:color="auto" w:sz="4" w:space="0"/>
            </w:tcBorders>
            <w:shd w:val="clear" w:color="auto" w:fill="auto"/>
            <w:noWrap/>
            <w:vAlign w:val="center"/>
          </w:tcPr>
          <w:p w14:paraId="315C255A">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35.9</w:t>
            </w:r>
          </w:p>
        </w:tc>
        <w:tc>
          <w:tcPr>
            <w:tcW w:w="478" w:type="pct"/>
            <w:tcBorders>
              <w:top w:val="nil"/>
              <w:left w:val="nil"/>
              <w:bottom w:val="single" w:color="auto" w:sz="4" w:space="0"/>
              <w:right w:val="single" w:color="auto" w:sz="4" w:space="0"/>
            </w:tcBorders>
            <w:shd w:val="clear" w:color="auto" w:fill="auto"/>
            <w:noWrap/>
            <w:vAlign w:val="center"/>
          </w:tcPr>
          <w:p w14:paraId="3711BF5E">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41.02</w:t>
            </w:r>
          </w:p>
        </w:tc>
        <w:tc>
          <w:tcPr>
            <w:tcW w:w="466" w:type="pct"/>
            <w:tcBorders>
              <w:top w:val="nil"/>
              <w:left w:val="nil"/>
              <w:bottom w:val="single" w:color="auto" w:sz="4" w:space="0"/>
              <w:right w:val="single" w:color="auto" w:sz="4" w:space="0"/>
            </w:tcBorders>
            <w:shd w:val="clear" w:color="auto" w:fill="auto"/>
            <w:noWrap/>
            <w:vAlign w:val="center"/>
          </w:tcPr>
          <w:p w14:paraId="3EE7528A">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45.01</w:t>
            </w:r>
          </w:p>
        </w:tc>
      </w:tr>
      <w:tr w14:paraId="6BB73B72">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D6032D">
            <w:pPr>
              <w:spacing w:after="0" w:line="240" w:lineRule="auto"/>
              <w:jc w:val="center"/>
              <w:rPr>
                <w:rFonts w:ascii="Times New Roman" w:hAnsi="Times New Roman" w:cs="Times New Roman"/>
                <w:sz w:val="23"/>
                <w:szCs w:val="23"/>
              </w:rPr>
            </w:pPr>
          </w:p>
        </w:tc>
        <w:tc>
          <w:tcPr>
            <w:tcW w:w="855" w:type="pct"/>
            <w:vMerge w:val="continue"/>
            <w:tcBorders>
              <w:left w:val="single" w:color="auto" w:sz="4" w:space="0"/>
              <w:right w:val="single" w:color="auto" w:sz="4" w:space="0"/>
            </w:tcBorders>
            <w:shd w:val="clear" w:color="auto" w:fill="auto"/>
            <w:noWrap/>
            <w:vAlign w:val="center"/>
          </w:tcPr>
          <w:p w14:paraId="7844A152">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7BEDCE0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MAE</w:t>
            </w:r>
          </w:p>
        </w:tc>
        <w:tc>
          <w:tcPr>
            <w:tcW w:w="420" w:type="pct"/>
            <w:tcBorders>
              <w:top w:val="nil"/>
              <w:left w:val="nil"/>
              <w:bottom w:val="single" w:color="auto" w:sz="4" w:space="0"/>
              <w:right w:val="single" w:color="auto" w:sz="4" w:space="0"/>
            </w:tcBorders>
            <w:shd w:val="clear" w:color="auto" w:fill="auto"/>
            <w:noWrap/>
            <w:vAlign w:val="center"/>
          </w:tcPr>
          <w:p w14:paraId="6D0603DC">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15.59</w:t>
            </w:r>
          </w:p>
        </w:tc>
        <w:tc>
          <w:tcPr>
            <w:tcW w:w="470" w:type="pct"/>
            <w:tcBorders>
              <w:top w:val="nil"/>
              <w:left w:val="nil"/>
              <w:bottom w:val="single" w:color="auto" w:sz="4" w:space="0"/>
              <w:right w:val="single" w:color="auto" w:sz="4" w:space="0"/>
            </w:tcBorders>
            <w:shd w:val="clear" w:color="auto" w:fill="auto"/>
            <w:noWrap/>
            <w:vAlign w:val="center"/>
          </w:tcPr>
          <w:p w14:paraId="1ACF11F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33.54</w:t>
            </w:r>
          </w:p>
        </w:tc>
        <w:tc>
          <w:tcPr>
            <w:tcW w:w="420" w:type="pct"/>
            <w:tcBorders>
              <w:top w:val="nil"/>
              <w:left w:val="nil"/>
              <w:bottom w:val="single" w:color="auto" w:sz="4" w:space="0"/>
              <w:right w:val="single" w:color="auto" w:sz="4" w:space="0"/>
            </w:tcBorders>
            <w:shd w:val="clear" w:color="auto" w:fill="auto"/>
            <w:noWrap/>
            <w:vAlign w:val="center"/>
          </w:tcPr>
          <w:p w14:paraId="14F14B7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44.59</w:t>
            </w:r>
          </w:p>
        </w:tc>
        <w:tc>
          <w:tcPr>
            <w:tcW w:w="420" w:type="pct"/>
            <w:tcBorders>
              <w:top w:val="nil"/>
              <w:left w:val="nil"/>
              <w:bottom w:val="single" w:color="auto" w:sz="4" w:space="0"/>
              <w:right w:val="single" w:color="auto" w:sz="4" w:space="0"/>
            </w:tcBorders>
            <w:shd w:val="clear" w:color="auto" w:fill="auto"/>
            <w:noWrap/>
            <w:vAlign w:val="center"/>
          </w:tcPr>
          <w:p w14:paraId="07E8A4B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51.29</w:t>
            </w:r>
          </w:p>
        </w:tc>
        <w:tc>
          <w:tcPr>
            <w:tcW w:w="478" w:type="pct"/>
            <w:tcBorders>
              <w:top w:val="nil"/>
              <w:left w:val="nil"/>
              <w:bottom w:val="single" w:color="auto" w:sz="4" w:space="0"/>
              <w:right w:val="single" w:color="auto" w:sz="4" w:space="0"/>
            </w:tcBorders>
            <w:shd w:val="clear" w:color="auto" w:fill="auto"/>
            <w:noWrap/>
            <w:vAlign w:val="center"/>
          </w:tcPr>
          <w:p w14:paraId="0303D8D3">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54.88</w:t>
            </w:r>
          </w:p>
        </w:tc>
        <w:tc>
          <w:tcPr>
            <w:tcW w:w="466" w:type="pct"/>
            <w:tcBorders>
              <w:top w:val="nil"/>
              <w:left w:val="nil"/>
              <w:bottom w:val="single" w:color="auto" w:sz="4" w:space="0"/>
              <w:right w:val="single" w:color="auto" w:sz="4" w:space="0"/>
            </w:tcBorders>
            <w:shd w:val="clear" w:color="auto" w:fill="auto"/>
            <w:noWrap/>
            <w:vAlign w:val="center"/>
          </w:tcPr>
          <w:p w14:paraId="45A1D00C">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56.32</w:t>
            </w:r>
          </w:p>
        </w:tc>
      </w:tr>
      <w:tr w14:paraId="3295CD99">
        <w:tblPrEx>
          <w:tblCellMar>
            <w:top w:w="0" w:type="dxa"/>
            <w:left w:w="108" w:type="dxa"/>
            <w:bottom w:w="0" w:type="dxa"/>
            <w:right w:w="108" w:type="dxa"/>
          </w:tblCellMar>
        </w:tblPrEx>
        <w:trPr>
          <w:trHeight w:val="315" w:hRule="atLeast"/>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6F706226">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bottom w:val="single" w:color="auto" w:sz="4" w:space="0"/>
              <w:right w:val="single" w:color="auto" w:sz="4" w:space="0"/>
            </w:tcBorders>
            <w:vAlign w:val="center"/>
          </w:tcPr>
          <w:p w14:paraId="45722EA3">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nil"/>
              <w:left w:val="nil"/>
              <w:bottom w:val="single" w:color="auto" w:sz="4" w:space="0"/>
              <w:right w:val="single" w:color="auto" w:sz="4" w:space="0"/>
            </w:tcBorders>
            <w:shd w:val="clear" w:color="auto" w:fill="auto"/>
            <w:noWrap/>
            <w:vAlign w:val="center"/>
          </w:tcPr>
          <w:p w14:paraId="4873ED2B">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R</w:t>
            </w:r>
          </w:p>
        </w:tc>
        <w:tc>
          <w:tcPr>
            <w:tcW w:w="420" w:type="pct"/>
            <w:tcBorders>
              <w:top w:val="nil"/>
              <w:left w:val="nil"/>
              <w:bottom w:val="single" w:color="auto" w:sz="4" w:space="0"/>
              <w:right w:val="single" w:color="auto" w:sz="4" w:space="0"/>
            </w:tcBorders>
            <w:shd w:val="clear" w:color="auto" w:fill="auto"/>
            <w:noWrap/>
            <w:vAlign w:val="center"/>
          </w:tcPr>
          <w:p w14:paraId="225E6F2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0.90</w:t>
            </w:r>
          </w:p>
        </w:tc>
        <w:tc>
          <w:tcPr>
            <w:tcW w:w="470" w:type="pct"/>
            <w:tcBorders>
              <w:top w:val="nil"/>
              <w:left w:val="nil"/>
              <w:bottom w:val="single" w:color="auto" w:sz="4" w:space="0"/>
              <w:right w:val="single" w:color="auto" w:sz="4" w:space="0"/>
            </w:tcBorders>
            <w:shd w:val="clear" w:color="auto" w:fill="auto"/>
            <w:noWrap/>
            <w:vAlign w:val="center"/>
          </w:tcPr>
          <w:p w14:paraId="1BDBE20C">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0.81</w:t>
            </w:r>
          </w:p>
        </w:tc>
        <w:tc>
          <w:tcPr>
            <w:tcW w:w="420" w:type="pct"/>
            <w:tcBorders>
              <w:top w:val="nil"/>
              <w:left w:val="nil"/>
              <w:bottom w:val="single" w:color="auto" w:sz="4" w:space="0"/>
              <w:right w:val="single" w:color="auto" w:sz="4" w:space="0"/>
            </w:tcBorders>
            <w:shd w:val="clear" w:color="auto" w:fill="auto"/>
            <w:noWrap/>
            <w:vAlign w:val="center"/>
          </w:tcPr>
          <w:p w14:paraId="5D7BB1E3">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0.82</w:t>
            </w:r>
          </w:p>
        </w:tc>
        <w:tc>
          <w:tcPr>
            <w:tcW w:w="420" w:type="pct"/>
            <w:tcBorders>
              <w:top w:val="nil"/>
              <w:left w:val="nil"/>
              <w:bottom w:val="single" w:color="auto" w:sz="4" w:space="0"/>
              <w:right w:val="single" w:color="auto" w:sz="4" w:space="0"/>
            </w:tcBorders>
            <w:shd w:val="clear" w:color="auto" w:fill="auto"/>
            <w:noWrap/>
            <w:vAlign w:val="center"/>
          </w:tcPr>
          <w:p w14:paraId="6D642EE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0.81</w:t>
            </w:r>
          </w:p>
        </w:tc>
        <w:tc>
          <w:tcPr>
            <w:tcW w:w="478" w:type="pct"/>
            <w:tcBorders>
              <w:top w:val="nil"/>
              <w:left w:val="nil"/>
              <w:bottom w:val="single" w:color="auto" w:sz="4" w:space="0"/>
              <w:right w:val="single" w:color="auto" w:sz="4" w:space="0"/>
            </w:tcBorders>
            <w:shd w:val="clear" w:color="auto" w:fill="auto"/>
            <w:noWrap/>
            <w:vAlign w:val="center"/>
          </w:tcPr>
          <w:p w14:paraId="37681AC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0.79</w:t>
            </w:r>
          </w:p>
        </w:tc>
        <w:tc>
          <w:tcPr>
            <w:tcW w:w="466" w:type="pct"/>
            <w:tcBorders>
              <w:top w:val="nil"/>
              <w:left w:val="nil"/>
              <w:bottom w:val="single" w:color="auto" w:sz="4" w:space="0"/>
              <w:right w:val="single" w:color="auto" w:sz="4" w:space="0"/>
            </w:tcBorders>
            <w:shd w:val="clear" w:color="auto" w:fill="auto"/>
            <w:noWrap/>
            <w:vAlign w:val="center"/>
          </w:tcPr>
          <w:p w14:paraId="2FD8FE0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0.77</w:t>
            </w:r>
          </w:p>
        </w:tc>
      </w:tr>
      <w:tr w14:paraId="16FD512C">
        <w:tblPrEx>
          <w:tblCellMar>
            <w:top w:w="0" w:type="dxa"/>
            <w:left w:w="108" w:type="dxa"/>
            <w:bottom w:w="0" w:type="dxa"/>
            <w:right w:w="108" w:type="dxa"/>
          </w:tblCellMar>
        </w:tblPrEx>
        <w:trPr>
          <w:trHeight w:val="315" w:hRule="atLeast"/>
        </w:trPr>
        <w:tc>
          <w:tcPr>
            <w:tcW w:w="723" w:type="pct"/>
            <w:vMerge w:val="restart"/>
            <w:tcBorders>
              <w:top w:val="single" w:color="auto" w:sz="4" w:space="0"/>
              <w:left w:val="single" w:color="auto" w:sz="4" w:space="0"/>
              <w:right w:val="single" w:color="auto" w:sz="4" w:space="0"/>
            </w:tcBorders>
            <w:vAlign w:val="center"/>
          </w:tcPr>
          <w:p w14:paraId="37FD40DF">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Basavakalyan</w:t>
            </w:r>
          </w:p>
        </w:tc>
        <w:tc>
          <w:tcPr>
            <w:tcW w:w="855" w:type="pct"/>
            <w:vMerge w:val="restart"/>
            <w:tcBorders>
              <w:top w:val="single" w:color="auto" w:sz="4" w:space="0"/>
              <w:left w:val="single" w:color="auto" w:sz="4" w:space="0"/>
              <w:right w:val="single" w:color="auto" w:sz="4" w:space="0"/>
            </w:tcBorders>
            <w:vAlign w:val="center"/>
          </w:tcPr>
          <w:p w14:paraId="09AE80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SARIMA</w:t>
            </w:r>
          </w:p>
          <w:p w14:paraId="0676590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cs="Times New Roman"/>
                <w:sz w:val="24"/>
                <w:szCs w:val="24"/>
              </w:rPr>
              <w:t>(1,0,0)(2,1,0)</w:t>
            </w:r>
            <w:r>
              <w:rPr>
                <w:rFonts w:ascii="Times New Roman" w:hAnsi="Times New Roman" w:cs="Times New Roman"/>
                <w:sz w:val="24"/>
                <w:szCs w:val="24"/>
                <w:vertAlign w:val="subscript"/>
              </w:rPr>
              <w:t>12</w:t>
            </w:r>
          </w:p>
        </w:tc>
        <w:tc>
          <w:tcPr>
            <w:tcW w:w="749" w:type="pct"/>
            <w:tcBorders>
              <w:top w:val="single" w:color="auto" w:sz="4" w:space="0"/>
              <w:left w:val="nil"/>
              <w:bottom w:val="single" w:color="auto" w:sz="4" w:space="0"/>
              <w:right w:val="single" w:color="auto" w:sz="4" w:space="0"/>
            </w:tcBorders>
            <w:shd w:val="clear" w:color="auto" w:fill="auto"/>
            <w:noWrap/>
            <w:vAlign w:val="center"/>
          </w:tcPr>
          <w:p w14:paraId="0541BEEE">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RMSE</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4646671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20.12</w:t>
            </w:r>
          </w:p>
        </w:tc>
        <w:tc>
          <w:tcPr>
            <w:tcW w:w="470" w:type="pct"/>
            <w:tcBorders>
              <w:top w:val="single" w:color="auto" w:sz="4" w:space="0"/>
              <w:left w:val="nil"/>
              <w:bottom w:val="single" w:color="auto" w:sz="4" w:space="0"/>
              <w:right w:val="single" w:color="auto" w:sz="4" w:space="0"/>
            </w:tcBorders>
            <w:shd w:val="clear" w:color="auto" w:fill="auto"/>
            <w:noWrap/>
            <w:vAlign w:val="center"/>
          </w:tcPr>
          <w:p w14:paraId="15ED7A6E">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23.41</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527E93B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55.72</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5CF5D7C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68.98</w:t>
            </w:r>
          </w:p>
        </w:tc>
        <w:tc>
          <w:tcPr>
            <w:tcW w:w="478" w:type="pct"/>
            <w:tcBorders>
              <w:top w:val="single" w:color="auto" w:sz="4" w:space="0"/>
              <w:left w:val="nil"/>
              <w:bottom w:val="single" w:color="auto" w:sz="4" w:space="0"/>
              <w:right w:val="single" w:color="auto" w:sz="4" w:space="0"/>
            </w:tcBorders>
            <w:shd w:val="clear" w:color="auto" w:fill="auto"/>
            <w:noWrap/>
            <w:vAlign w:val="center"/>
          </w:tcPr>
          <w:p w14:paraId="5E64CB22">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61.58</w:t>
            </w:r>
          </w:p>
        </w:tc>
        <w:tc>
          <w:tcPr>
            <w:tcW w:w="466" w:type="pct"/>
            <w:tcBorders>
              <w:top w:val="single" w:color="auto" w:sz="4" w:space="0"/>
              <w:left w:val="nil"/>
              <w:bottom w:val="single" w:color="auto" w:sz="4" w:space="0"/>
              <w:right w:val="single" w:color="auto" w:sz="4" w:space="0"/>
            </w:tcBorders>
            <w:shd w:val="clear" w:color="auto" w:fill="auto"/>
            <w:noWrap/>
            <w:vAlign w:val="center"/>
          </w:tcPr>
          <w:p w14:paraId="5BD1B443">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66.71</w:t>
            </w:r>
          </w:p>
        </w:tc>
      </w:tr>
      <w:tr w14:paraId="536B4871">
        <w:tblPrEx>
          <w:tblCellMar>
            <w:top w:w="0" w:type="dxa"/>
            <w:left w:w="108" w:type="dxa"/>
            <w:bottom w:w="0" w:type="dxa"/>
            <w:right w:w="108" w:type="dxa"/>
          </w:tblCellMar>
        </w:tblPrEx>
        <w:trPr>
          <w:trHeight w:val="315" w:hRule="atLeast"/>
        </w:trPr>
        <w:tc>
          <w:tcPr>
            <w:tcW w:w="724" w:type="pct"/>
            <w:vMerge w:val="continue"/>
            <w:tcBorders>
              <w:left w:val="single" w:color="auto" w:sz="4" w:space="0"/>
              <w:right w:val="single" w:color="auto" w:sz="4" w:space="0"/>
            </w:tcBorders>
            <w:vAlign w:val="center"/>
          </w:tcPr>
          <w:p w14:paraId="0F1FCEDE">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right w:val="single" w:color="auto" w:sz="4" w:space="0"/>
            </w:tcBorders>
            <w:vAlign w:val="center"/>
          </w:tcPr>
          <w:p w14:paraId="524FD1DF">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single" w:color="auto" w:sz="4" w:space="0"/>
              <w:left w:val="nil"/>
              <w:bottom w:val="single" w:color="auto" w:sz="4" w:space="0"/>
              <w:right w:val="single" w:color="auto" w:sz="4" w:space="0"/>
            </w:tcBorders>
            <w:shd w:val="clear" w:color="auto" w:fill="auto"/>
            <w:noWrap/>
            <w:vAlign w:val="center"/>
          </w:tcPr>
          <w:p w14:paraId="5B332CD4">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MAPE</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554BB28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10.51</w:t>
            </w:r>
          </w:p>
        </w:tc>
        <w:tc>
          <w:tcPr>
            <w:tcW w:w="470" w:type="pct"/>
            <w:tcBorders>
              <w:top w:val="single" w:color="auto" w:sz="4" w:space="0"/>
              <w:left w:val="nil"/>
              <w:bottom w:val="single" w:color="auto" w:sz="4" w:space="0"/>
              <w:right w:val="single" w:color="auto" w:sz="4" w:space="0"/>
            </w:tcBorders>
            <w:shd w:val="clear" w:color="auto" w:fill="auto"/>
            <w:noWrap/>
            <w:vAlign w:val="center"/>
          </w:tcPr>
          <w:p w14:paraId="540CEC5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40.34</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0ED48747">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30.67</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0A5659F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35.9</w:t>
            </w:r>
          </w:p>
        </w:tc>
        <w:tc>
          <w:tcPr>
            <w:tcW w:w="478" w:type="pct"/>
            <w:tcBorders>
              <w:top w:val="single" w:color="auto" w:sz="4" w:space="0"/>
              <w:left w:val="nil"/>
              <w:bottom w:val="single" w:color="auto" w:sz="4" w:space="0"/>
              <w:right w:val="single" w:color="auto" w:sz="4" w:space="0"/>
            </w:tcBorders>
            <w:shd w:val="clear" w:color="auto" w:fill="auto"/>
            <w:noWrap/>
            <w:vAlign w:val="center"/>
          </w:tcPr>
          <w:p w14:paraId="2DC5B11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41.02</w:t>
            </w:r>
          </w:p>
        </w:tc>
        <w:tc>
          <w:tcPr>
            <w:tcW w:w="465" w:type="pct"/>
            <w:tcBorders>
              <w:top w:val="single" w:color="auto" w:sz="4" w:space="0"/>
              <w:left w:val="nil"/>
              <w:bottom w:val="single" w:color="auto" w:sz="4" w:space="0"/>
              <w:right w:val="single" w:color="auto" w:sz="4" w:space="0"/>
            </w:tcBorders>
            <w:shd w:val="clear" w:color="auto" w:fill="auto"/>
            <w:noWrap/>
            <w:vAlign w:val="center"/>
          </w:tcPr>
          <w:p w14:paraId="1427BC3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45.01</w:t>
            </w:r>
          </w:p>
        </w:tc>
      </w:tr>
      <w:tr w14:paraId="38F3A4BE">
        <w:tblPrEx>
          <w:tblCellMar>
            <w:top w:w="0" w:type="dxa"/>
            <w:left w:w="108" w:type="dxa"/>
            <w:bottom w:w="0" w:type="dxa"/>
            <w:right w:w="108" w:type="dxa"/>
          </w:tblCellMar>
        </w:tblPrEx>
        <w:trPr>
          <w:trHeight w:val="315" w:hRule="atLeast"/>
        </w:trPr>
        <w:tc>
          <w:tcPr>
            <w:tcW w:w="724" w:type="pct"/>
            <w:vMerge w:val="continue"/>
            <w:tcBorders>
              <w:left w:val="single" w:color="auto" w:sz="4" w:space="0"/>
              <w:right w:val="single" w:color="auto" w:sz="4" w:space="0"/>
            </w:tcBorders>
            <w:vAlign w:val="center"/>
          </w:tcPr>
          <w:p w14:paraId="55C6EA12">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right w:val="single" w:color="auto" w:sz="4" w:space="0"/>
            </w:tcBorders>
            <w:vAlign w:val="center"/>
          </w:tcPr>
          <w:p w14:paraId="4B0E9845">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single" w:color="auto" w:sz="4" w:space="0"/>
              <w:left w:val="nil"/>
              <w:bottom w:val="single" w:color="auto" w:sz="4" w:space="0"/>
              <w:right w:val="single" w:color="auto" w:sz="4" w:space="0"/>
            </w:tcBorders>
            <w:shd w:val="clear" w:color="auto" w:fill="auto"/>
            <w:noWrap/>
            <w:vAlign w:val="center"/>
          </w:tcPr>
          <w:p w14:paraId="09F45FD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MAE</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7F0D8D9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15.59</w:t>
            </w:r>
          </w:p>
        </w:tc>
        <w:tc>
          <w:tcPr>
            <w:tcW w:w="470" w:type="pct"/>
            <w:tcBorders>
              <w:top w:val="single" w:color="auto" w:sz="4" w:space="0"/>
              <w:left w:val="nil"/>
              <w:bottom w:val="single" w:color="auto" w:sz="4" w:space="0"/>
              <w:right w:val="single" w:color="auto" w:sz="4" w:space="0"/>
            </w:tcBorders>
            <w:shd w:val="clear" w:color="auto" w:fill="auto"/>
            <w:noWrap/>
            <w:vAlign w:val="center"/>
          </w:tcPr>
          <w:p w14:paraId="45FE2643">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33.54</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420E9F9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44.59</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460D8075">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51.29</w:t>
            </w:r>
          </w:p>
        </w:tc>
        <w:tc>
          <w:tcPr>
            <w:tcW w:w="478" w:type="pct"/>
            <w:tcBorders>
              <w:top w:val="single" w:color="auto" w:sz="4" w:space="0"/>
              <w:left w:val="nil"/>
              <w:bottom w:val="single" w:color="auto" w:sz="4" w:space="0"/>
              <w:right w:val="single" w:color="auto" w:sz="4" w:space="0"/>
            </w:tcBorders>
            <w:shd w:val="clear" w:color="auto" w:fill="auto"/>
            <w:noWrap/>
            <w:vAlign w:val="center"/>
          </w:tcPr>
          <w:p w14:paraId="0F05D41C">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54.88</w:t>
            </w:r>
          </w:p>
        </w:tc>
        <w:tc>
          <w:tcPr>
            <w:tcW w:w="465" w:type="pct"/>
            <w:tcBorders>
              <w:top w:val="single" w:color="auto" w:sz="4" w:space="0"/>
              <w:left w:val="nil"/>
              <w:bottom w:val="single" w:color="auto" w:sz="4" w:space="0"/>
              <w:right w:val="single" w:color="auto" w:sz="4" w:space="0"/>
            </w:tcBorders>
            <w:shd w:val="clear" w:color="auto" w:fill="auto"/>
            <w:noWrap/>
            <w:vAlign w:val="center"/>
          </w:tcPr>
          <w:p w14:paraId="6DA6F436">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56.32</w:t>
            </w:r>
          </w:p>
        </w:tc>
      </w:tr>
      <w:tr w14:paraId="57944036">
        <w:tblPrEx>
          <w:tblCellMar>
            <w:top w:w="0" w:type="dxa"/>
            <w:left w:w="108" w:type="dxa"/>
            <w:bottom w:w="0" w:type="dxa"/>
            <w:right w:w="108" w:type="dxa"/>
          </w:tblCellMar>
        </w:tblPrEx>
        <w:trPr>
          <w:trHeight w:val="315" w:hRule="atLeast"/>
        </w:trPr>
        <w:tc>
          <w:tcPr>
            <w:tcW w:w="724" w:type="pct"/>
            <w:vMerge w:val="continue"/>
            <w:tcBorders>
              <w:left w:val="single" w:color="auto" w:sz="4" w:space="0"/>
              <w:bottom w:val="single" w:color="auto" w:sz="4" w:space="0"/>
              <w:right w:val="single" w:color="auto" w:sz="4" w:space="0"/>
            </w:tcBorders>
            <w:vAlign w:val="center"/>
          </w:tcPr>
          <w:p w14:paraId="7603E0DD">
            <w:pPr>
              <w:spacing w:after="0" w:line="240" w:lineRule="auto"/>
              <w:jc w:val="center"/>
              <w:rPr>
                <w:rFonts w:ascii="Times New Roman" w:hAnsi="Times New Roman" w:eastAsia="Times New Roman" w:cs="Times New Roman"/>
                <w:color w:val="000000"/>
                <w:sz w:val="23"/>
                <w:szCs w:val="23"/>
                <w:lang w:eastAsia="en-IN"/>
              </w:rPr>
            </w:pPr>
          </w:p>
        </w:tc>
        <w:tc>
          <w:tcPr>
            <w:tcW w:w="855" w:type="pct"/>
            <w:vMerge w:val="continue"/>
            <w:tcBorders>
              <w:left w:val="single" w:color="auto" w:sz="4" w:space="0"/>
              <w:bottom w:val="single" w:color="auto" w:sz="4" w:space="0"/>
              <w:right w:val="single" w:color="auto" w:sz="4" w:space="0"/>
            </w:tcBorders>
            <w:vAlign w:val="center"/>
          </w:tcPr>
          <w:p w14:paraId="0DD6884E">
            <w:pPr>
              <w:spacing w:after="0" w:line="240" w:lineRule="auto"/>
              <w:jc w:val="center"/>
              <w:rPr>
                <w:rFonts w:ascii="Times New Roman" w:hAnsi="Times New Roman" w:eastAsia="Times New Roman" w:cs="Times New Roman"/>
                <w:color w:val="000000"/>
                <w:sz w:val="23"/>
                <w:szCs w:val="23"/>
                <w:lang w:eastAsia="en-IN"/>
              </w:rPr>
            </w:pPr>
          </w:p>
        </w:tc>
        <w:tc>
          <w:tcPr>
            <w:tcW w:w="749" w:type="pct"/>
            <w:tcBorders>
              <w:top w:val="single" w:color="auto" w:sz="4" w:space="0"/>
              <w:left w:val="nil"/>
              <w:bottom w:val="single" w:color="auto" w:sz="4" w:space="0"/>
              <w:right w:val="single" w:color="auto" w:sz="4" w:space="0"/>
            </w:tcBorders>
            <w:shd w:val="clear" w:color="auto" w:fill="auto"/>
            <w:noWrap/>
            <w:vAlign w:val="center"/>
          </w:tcPr>
          <w:p w14:paraId="7A37E24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R</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4CF11570">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0.91</w:t>
            </w:r>
          </w:p>
        </w:tc>
        <w:tc>
          <w:tcPr>
            <w:tcW w:w="470" w:type="pct"/>
            <w:tcBorders>
              <w:top w:val="single" w:color="auto" w:sz="4" w:space="0"/>
              <w:left w:val="nil"/>
              <w:bottom w:val="single" w:color="auto" w:sz="4" w:space="0"/>
              <w:right w:val="single" w:color="auto" w:sz="4" w:space="0"/>
            </w:tcBorders>
            <w:shd w:val="clear" w:color="auto" w:fill="auto"/>
            <w:noWrap/>
            <w:vAlign w:val="center"/>
          </w:tcPr>
          <w:p w14:paraId="57D03A89">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0.80</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6A62733B">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0.81</w:t>
            </w:r>
          </w:p>
        </w:tc>
        <w:tc>
          <w:tcPr>
            <w:tcW w:w="420" w:type="pct"/>
            <w:tcBorders>
              <w:top w:val="single" w:color="auto" w:sz="4" w:space="0"/>
              <w:left w:val="nil"/>
              <w:bottom w:val="single" w:color="auto" w:sz="4" w:space="0"/>
              <w:right w:val="single" w:color="auto" w:sz="4" w:space="0"/>
            </w:tcBorders>
            <w:shd w:val="clear" w:color="auto" w:fill="auto"/>
            <w:noWrap/>
            <w:vAlign w:val="center"/>
          </w:tcPr>
          <w:p w14:paraId="5DEB99FD">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0.80</w:t>
            </w:r>
          </w:p>
        </w:tc>
        <w:tc>
          <w:tcPr>
            <w:tcW w:w="478" w:type="pct"/>
            <w:tcBorders>
              <w:top w:val="single" w:color="auto" w:sz="4" w:space="0"/>
              <w:left w:val="nil"/>
              <w:bottom w:val="single" w:color="auto" w:sz="4" w:space="0"/>
              <w:right w:val="single" w:color="auto" w:sz="4" w:space="0"/>
            </w:tcBorders>
            <w:shd w:val="clear" w:color="auto" w:fill="auto"/>
            <w:noWrap/>
            <w:vAlign w:val="center"/>
          </w:tcPr>
          <w:p w14:paraId="327F6CE8">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0.73</w:t>
            </w:r>
          </w:p>
        </w:tc>
        <w:tc>
          <w:tcPr>
            <w:tcW w:w="465" w:type="pct"/>
            <w:tcBorders>
              <w:top w:val="single" w:color="auto" w:sz="4" w:space="0"/>
              <w:left w:val="nil"/>
              <w:bottom w:val="single" w:color="auto" w:sz="4" w:space="0"/>
              <w:right w:val="single" w:color="auto" w:sz="4" w:space="0"/>
            </w:tcBorders>
            <w:shd w:val="clear" w:color="auto" w:fill="auto"/>
            <w:noWrap/>
            <w:vAlign w:val="center"/>
          </w:tcPr>
          <w:p w14:paraId="5D81CCA2">
            <w:pPr>
              <w:spacing w:after="0" w:line="240" w:lineRule="auto"/>
              <w:jc w:val="center"/>
              <w:rPr>
                <w:rFonts w:ascii="Times New Roman" w:hAnsi="Times New Roman" w:eastAsia="Times New Roman" w:cs="Times New Roman"/>
                <w:color w:val="000000"/>
                <w:sz w:val="23"/>
                <w:szCs w:val="23"/>
                <w:lang w:eastAsia="en-IN"/>
              </w:rPr>
            </w:pPr>
            <w:r>
              <w:rPr>
                <w:rFonts w:ascii="Times New Roman" w:hAnsi="Times New Roman" w:eastAsia="Times New Roman" w:cs="Times New Roman"/>
                <w:color w:val="000000"/>
                <w:sz w:val="23"/>
                <w:szCs w:val="23"/>
                <w:lang w:eastAsia="en-IN"/>
              </w:rPr>
              <w:t>0.71</w:t>
            </w:r>
          </w:p>
        </w:tc>
      </w:tr>
    </w:tbl>
    <w:p w14:paraId="6D703DE4">
      <w:pPr>
        <w:jc w:val="both"/>
        <w:rPr>
          <w:rFonts w:ascii="Times New Roman" w:hAnsi="Times New Roman" w:cs="Times New Roman"/>
          <w:bCs/>
          <w:sz w:val="24"/>
          <w:szCs w:val="24"/>
        </w:rPr>
      </w:pPr>
    </w:p>
    <w:p w14:paraId="060351B6">
      <w:pPr>
        <w:jc w:val="both"/>
        <w:rPr>
          <w:rFonts w:ascii="Times New Roman" w:hAnsi="Times New Roman" w:cs="Times New Roman"/>
          <w:bCs/>
          <w:sz w:val="24"/>
          <w:szCs w:val="24"/>
        </w:rPr>
      </w:pPr>
    </w:p>
    <w:p w14:paraId="48626C96">
      <w:pPr>
        <w:jc w:val="both"/>
        <w:rPr>
          <w:rFonts w:ascii="Times New Roman" w:hAnsi="Times New Roman" w:cs="Times New Roman"/>
          <w:bCs/>
          <w:sz w:val="24"/>
          <w:szCs w:val="24"/>
        </w:rPr>
      </w:pPr>
    </w:p>
    <w:p w14:paraId="02EC9C8C">
      <w:pPr>
        <w:jc w:val="center"/>
        <w:rPr>
          <w:rFonts w:ascii="Times New Roman" w:hAnsi="Times New Roman" w:cs="Times New Roman"/>
          <w:bCs/>
          <w:sz w:val="24"/>
          <w:szCs w:val="24"/>
        </w:rPr>
      </w:pPr>
      <w:r>
        <w:rPr>
          <w:rFonts w:ascii="Times New Roman" w:hAnsi="Times New Roman" w:cs="Times New Roman"/>
          <w:b/>
          <w:bCs/>
          <w:sz w:val="24"/>
          <w:szCs w:val="24"/>
        </w:rPr>
        <w:t xml:space="preserve">Table 7 </w:t>
      </w:r>
      <w:r>
        <w:rPr>
          <w:rFonts w:ascii="Times New Roman" w:hAnsi="Times New Roman" w:cs="Times New Roman"/>
          <w:b/>
          <w:sz w:val="24"/>
          <w:szCs w:val="24"/>
          <w:lang w:val="en-IN"/>
        </w:rPr>
        <w:t>Comparison of statistic properties of the observed and predicted data</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136"/>
        <w:gridCol w:w="1269"/>
        <w:gridCol w:w="1408"/>
        <w:gridCol w:w="1276"/>
        <w:gridCol w:w="1105"/>
        <w:gridCol w:w="1305"/>
      </w:tblGrid>
      <w:tr w14:paraId="0BA1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30" w:type="dxa"/>
            <w:shd w:val="clear" w:color="auto" w:fill="auto"/>
            <w:noWrap/>
            <w:vAlign w:val="center"/>
          </w:tcPr>
          <w:p w14:paraId="4A3E6978">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Stations</w:t>
            </w:r>
          </w:p>
        </w:tc>
        <w:tc>
          <w:tcPr>
            <w:tcW w:w="1083" w:type="dxa"/>
            <w:shd w:val="clear" w:color="auto" w:fill="auto"/>
            <w:vAlign w:val="center"/>
          </w:tcPr>
          <w:p w14:paraId="57610CCB">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Mean observed</w:t>
            </w:r>
          </w:p>
        </w:tc>
        <w:tc>
          <w:tcPr>
            <w:tcW w:w="1203" w:type="dxa"/>
            <w:shd w:val="clear" w:color="auto" w:fill="auto"/>
            <w:vAlign w:val="center"/>
          </w:tcPr>
          <w:p w14:paraId="41349D51">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Mean forecasted</w:t>
            </w:r>
          </w:p>
        </w:tc>
        <w:tc>
          <w:tcPr>
            <w:tcW w:w="1408" w:type="dxa"/>
            <w:shd w:val="clear" w:color="auto" w:fill="auto"/>
            <w:vAlign w:val="center"/>
          </w:tcPr>
          <w:p w14:paraId="1A83F08A">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Decision</w:t>
            </w:r>
          </w:p>
          <w:p w14:paraId="52AF95E1">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(t&lt;1.71)</w:t>
            </w:r>
          </w:p>
        </w:tc>
        <w:tc>
          <w:tcPr>
            <w:tcW w:w="1276" w:type="dxa"/>
            <w:shd w:val="clear" w:color="auto" w:fill="auto"/>
            <w:vAlign w:val="center"/>
          </w:tcPr>
          <w:p w14:paraId="3515B7F9">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Observed variance</w:t>
            </w:r>
          </w:p>
        </w:tc>
        <w:tc>
          <w:tcPr>
            <w:tcW w:w="1105" w:type="dxa"/>
            <w:shd w:val="clear" w:color="auto" w:fill="auto"/>
            <w:vAlign w:val="center"/>
          </w:tcPr>
          <w:p w14:paraId="1D3FA021">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Forecast variance</w:t>
            </w:r>
          </w:p>
        </w:tc>
        <w:tc>
          <w:tcPr>
            <w:tcW w:w="1305" w:type="dxa"/>
            <w:shd w:val="clear" w:color="auto" w:fill="auto"/>
            <w:vAlign w:val="center"/>
          </w:tcPr>
          <w:p w14:paraId="2CEECF35">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Decision</w:t>
            </w:r>
          </w:p>
          <w:p w14:paraId="608FE717">
            <w:pPr>
              <w:spacing w:after="0" w:line="240" w:lineRule="auto"/>
              <w:jc w:val="center"/>
              <w:rPr>
                <w:rFonts w:ascii="Times New Roman" w:hAnsi="Times New Roman" w:eastAsia="Times New Roman" w:cs="Times New Roman"/>
                <w:b/>
                <w:bCs/>
                <w:color w:val="000000"/>
                <w:sz w:val="24"/>
                <w:szCs w:val="24"/>
                <w:lang w:val="en-IN" w:eastAsia="en-IN"/>
              </w:rPr>
            </w:pPr>
            <w:r>
              <w:rPr>
                <w:rFonts w:ascii="Times New Roman" w:hAnsi="Times New Roman" w:eastAsia="Times New Roman" w:cs="Times New Roman"/>
                <w:b/>
                <w:bCs/>
                <w:color w:val="000000"/>
                <w:sz w:val="24"/>
                <w:szCs w:val="24"/>
                <w:lang w:val="en-IN" w:eastAsia="en-IN"/>
              </w:rPr>
              <w:t>(f &lt; 4.05)</w:t>
            </w:r>
          </w:p>
        </w:tc>
      </w:tr>
      <w:tr w14:paraId="7E19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30" w:type="dxa"/>
            <w:shd w:val="clear" w:color="auto" w:fill="auto"/>
            <w:noWrap/>
          </w:tcPr>
          <w:p w14:paraId="42F1C949">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p>
        </w:tc>
        <w:tc>
          <w:tcPr>
            <w:tcW w:w="1083" w:type="dxa"/>
            <w:shd w:val="clear" w:color="auto" w:fill="auto"/>
            <w:noWrap/>
            <w:vAlign w:val="center"/>
          </w:tcPr>
          <w:p w14:paraId="50C3C3D2">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137.86</w:t>
            </w:r>
          </w:p>
        </w:tc>
        <w:tc>
          <w:tcPr>
            <w:tcW w:w="1203" w:type="dxa"/>
            <w:shd w:val="clear" w:color="auto" w:fill="auto"/>
            <w:noWrap/>
            <w:vAlign w:val="center"/>
          </w:tcPr>
          <w:p w14:paraId="013C2204">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134.19</w:t>
            </w:r>
          </w:p>
        </w:tc>
        <w:tc>
          <w:tcPr>
            <w:tcW w:w="1408" w:type="dxa"/>
            <w:shd w:val="clear" w:color="auto" w:fill="auto"/>
            <w:noWrap/>
            <w:vAlign w:val="center"/>
          </w:tcPr>
          <w:p w14:paraId="7AF194F1">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1.03</w:t>
            </w:r>
          </w:p>
        </w:tc>
        <w:tc>
          <w:tcPr>
            <w:tcW w:w="1276" w:type="dxa"/>
            <w:shd w:val="clear" w:color="auto" w:fill="auto"/>
            <w:noWrap/>
            <w:vAlign w:val="center"/>
          </w:tcPr>
          <w:p w14:paraId="20EBE92D">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1392.85</w:t>
            </w:r>
          </w:p>
        </w:tc>
        <w:tc>
          <w:tcPr>
            <w:tcW w:w="1105" w:type="dxa"/>
            <w:shd w:val="clear" w:color="auto" w:fill="auto"/>
            <w:noWrap/>
            <w:vAlign w:val="center"/>
          </w:tcPr>
          <w:p w14:paraId="155D1986">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994.21</w:t>
            </w:r>
          </w:p>
        </w:tc>
        <w:tc>
          <w:tcPr>
            <w:tcW w:w="1305" w:type="dxa"/>
            <w:shd w:val="clear" w:color="auto" w:fill="auto"/>
            <w:noWrap/>
            <w:vAlign w:val="center"/>
          </w:tcPr>
          <w:p w14:paraId="2FA8E9AB">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0.14</w:t>
            </w:r>
          </w:p>
        </w:tc>
      </w:tr>
      <w:tr w14:paraId="4422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30" w:type="dxa"/>
            <w:shd w:val="clear" w:color="auto" w:fill="auto"/>
            <w:noWrap/>
          </w:tcPr>
          <w:p w14:paraId="2577CD06">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Aurad, </w:t>
            </w:r>
          </w:p>
        </w:tc>
        <w:tc>
          <w:tcPr>
            <w:tcW w:w="1083" w:type="dxa"/>
            <w:shd w:val="clear" w:color="auto" w:fill="auto"/>
            <w:noWrap/>
            <w:vAlign w:val="center"/>
          </w:tcPr>
          <w:p w14:paraId="00011F3F">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97.75</w:t>
            </w:r>
          </w:p>
        </w:tc>
        <w:tc>
          <w:tcPr>
            <w:tcW w:w="1203" w:type="dxa"/>
            <w:shd w:val="clear" w:color="auto" w:fill="auto"/>
            <w:noWrap/>
            <w:vAlign w:val="center"/>
          </w:tcPr>
          <w:p w14:paraId="461872FA">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97.33</w:t>
            </w:r>
          </w:p>
        </w:tc>
        <w:tc>
          <w:tcPr>
            <w:tcW w:w="1408" w:type="dxa"/>
            <w:shd w:val="clear" w:color="auto" w:fill="auto"/>
            <w:noWrap/>
            <w:vAlign w:val="center"/>
          </w:tcPr>
          <w:p w14:paraId="32FFB86A">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0.18</w:t>
            </w:r>
          </w:p>
        </w:tc>
        <w:tc>
          <w:tcPr>
            <w:tcW w:w="1276" w:type="dxa"/>
            <w:shd w:val="clear" w:color="auto" w:fill="auto"/>
            <w:noWrap/>
            <w:vAlign w:val="center"/>
          </w:tcPr>
          <w:p w14:paraId="175288D0">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640.59</w:t>
            </w:r>
          </w:p>
        </w:tc>
        <w:tc>
          <w:tcPr>
            <w:tcW w:w="1105" w:type="dxa"/>
            <w:shd w:val="clear" w:color="auto" w:fill="auto"/>
            <w:noWrap/>
            <w:vAlign w:val="center"/>
          </w:tcPr>
          <w:p w14:paraId="54573FEB">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547.634</w:t>
            </w:r>
          </w:p>
        </w:tc>
        <w:tc>
          <w:tcPr>
            <w:tcW w:w="1305" w:type="dxa"/>
            <w:shd w:val="clear" w:color="auto" w:fill="auto"/>
            <w:noWrap/>
            <w:vAlign w:val="center"/>
          </w:tcPr>
          <w:p w14:paraId="323C0897">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0.0008</w:t>
            </w:r>
          </w:p>
        </w:tc>
      </w:tr>
      <w:tr w14:paraId="1EB2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30" w:type="dxa"/>
            <w:shd w:val="clear" w:color="auto" w:fill="auto"/>
            <w:noWrap/>
          </w:tcPr>
          <w:p w14:paraId="774DAB88">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Bhalki, </w:t>
            </w:r>
          </w:p>
        </w:tc>
        <w:tc>
          <w:tcPr>
            <w:tcW w:w="1083" w:type="dxa"/>
            <w:shd w:val="clear" w:color="auto" w:fill="auto"/>
            <w:noWrap/>
            <w:vAlign w:val="center"/>
          </w:tcPr>
          <w:p w14:paraId="79BA67CE">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136.74</w:t>
            </w:r>
          </w:p>
        </w:tc>
        <w:tc>
          <w:tcPr>
            <w:tcW w:w="1203" w:type="dxa"/>
            <w:shd w:val="clear" w:color="auto" w:fill="auto"/>
            <w:noWrap/>
            <w:vAlign w:val="center"/>
          </w:tcPr>
          <w:p w14:paraId="7F2D3D26">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136.54</w:t>
            </w:r>
          </w:p>
        </w:tc>
        <w:tc>
          <w:tcPr>
            <w:tcW w:w="1408" w:type="dxa"/>
            <w:shd w:val="clear" w:color="auto" w:fill="auto"/>
            <w:noWrap/>
            <w:vAlign w:val="center"/>
          </w:tcPr>
          <w:p w14:paraId="058FC9A1">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0.009</w:t>
            </w:r>
          </w:p>
        </w:tc>
        <w:tc>
          <w:tcPr>
            <w:tcW w:w="1276" w:type="dxa"/>
            <w:shd w:val="clear" w:color="auto" w:fill="auto"/>
            <w:noWrap/>
            <w:vAlign w:val="center"/>
          </w:tcPr>
          <w:p w14:paraId="7836CB79">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1088.28</w:t>
            </w:r>
          </w:p>
        </w:tc>
        <w:tc>
          <w:tcPr>
            <w:tcW w:w="1105" w:type="dxa"/>
            <w:shd w:val="clear" w:color="auto" w:fill="auto"/>
            <w:noWrap/>
            <w:vAlign w:val="center"/>
          </w:tcPr>
          <w:p w14:paraId="6928E4AE">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1397.82</w:t>
            </w:r>
          </w:p>
        </w:tc>
        <w:tc>
          <w:tcPr>
            <w:tcW w:w="1305" w:type="dxa"/>
            <w:shd w:val="clear" w:color="auto" w:fill="auto"/>
            <w:noWrap/>
            <w:vAlign w:val="center"/>
          </w:tcPr>
          <w:p w14:paraId="60D9CDA3">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0.0003</w:t>
            </w:r>
          </w:p>
        </w:tc>
      </w:tr>
      <w:tr w14:paraId="33E7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30" w:type="dxa"/>
            <w:shd w:val="clear" w:color="auto" w:fill="auto"/>
            <w:noWrap/>
          </w:tcPr>
          <w:p w14:paraId="4C3C36B6">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 xml:space="preserve">Humnabad, </w:t>
            </w:r>
          </w:p>
        </w:tc>
        <w:tc>
          <w:tcPr>
            <w:tcW w:w="1083" w:type="dxa"/>
            <w:shd w:val="clear" w:color="auto" w:fill="auto"/>
            <w:noWrap/>
            <w:vAlign w:val="center"/>
          </w:tcPr>
          <w:p w14:paraId="3D0BCAEB">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136.64</w:t>
            </w:r>
          </w:p>
        </w:tc>
        <w:tc>
          <w:tcPr>
            <w:tcW w:w="1203" w:type="dxa"/>
            <w:shd w:val="clear" w:color="auto" w:fill="auto"/>
            <w:noWrap/>
            <w:vAlign w:val="center"/>
          </w:tcPr>
          <w:p w14:paraId="08747B4E">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136.96</w:t>
            </w:r>
          </w:p>
        </w:tc>
        <w:tc>
          <w:tcPr>
            <w:tcW w:w="1408" w:type="dxa"/>
            <w:shd w:val="clear" w:color="auto" w:fill="auto"/>
            <w:noWrap/>
            <w:vAlign w:val="center"/>
          </w:tcPr>
          <w:p w14:paraId="77AB2252">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-0.072</w:t>
            </w:r>
          </w:p>
        </w:tc>
        <w:tc>
          <w:tcPr>
            <w:tcW w:w="1276" w:type="dxa"/>
            <w:shd w:val="clear" w:color="auto" w:fill="auto"/>
            <w:noWrap/>
            <w:vAlign w:val="center"/>
          </w:tcPr>
          <w:p w14:paraId="7B508C76">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1257.64</w:t>
            </w:r>
          </w:p>
        </w:tc>
        <w:tc>
          <w:tcPr>
            <w:tcW w:w="1105" w:type="dxa"/>
            <w:shd w:val="clear" w:color="auto" w:fill="auto"/>
            <w:noWrap/>
            <w:vAlign w:val="center"/>
          </w:tcPr>
          <w:p w14:paraId="5C2981A1">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1546.41</w:t>
            </w:r>
          </w:p>
        </w:tc>
        <w:tc>
          <w:tcPr>
            <w:tcW w:w="1305" w:type="dxa"/>
            <w:shd w:val="clear" w:color="auto" w:fill="auto"/>
            <w:noWrap/>
            <w:vAlign w:val="center"/>
          </w:tcPr>
          <w:p w14:paraId="3F5ED395">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0.0008</w:t>
            </w:r>
          </w:p>
        </w:tc>
      </w:tr>
      <w:tr w14:paraId="6896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30" w:type="dxa"/>
            <w:shd w:val="clear" w:color="auto" w:fill="auto"/>
            <w:noWrap/>
          </w:tcPr>
          <w:p w14:paraId="5E2FF34B">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Basavakalyan</w:t>
            </w:r>
          </w:p>
        </w:tc>
        <w:tc>
          <w:tcPr>
            <w:tcW w:w="1083" w:type="dxa"/>
            <w:shd w:val="clear" w:color="auto" w:fill="auto"/>
            <w:noWrap/>
            <w:vAlign w:val="center"/>
          </w:tcPr>
          <w:p w14:paraId="7095661A">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127.5</w:t>
            </w:r>
          </w:p>
        </w:tc>
        <w:tc>
          <w:tcPr>
            <w:tcW w:w="1203" w:type="dxa"/>
            <w:shd w:val="clear" w:color="auto" w:fill="auto"/>
            <w:noWrap/>
            <w:vAlign w:val="center"/>
          </w:tcPr>
          <w:p w14:paraId="2E7AD5D4">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129.30</w:t>
            </w:r>
          </w:p>
        </w:tc>
        <w:tc>
          <w:tcPr>
            <w:tcW w:w="1408" w:type="dxa"/>
            <w:shd w:val="clear" w:color="auto" w:fill="auto"/>
            <w:noWrap/>
            <w:vAlign w:val="center"/>
          </w:tcPr>
          <w:p w14:paraId="3969EC86">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-0.20</w:t>
            </w:r>
          </w:p>
        </w:tc>
        <w:tc>
          <w:tcPr>
            <w:tcW w:w="1276" w:type="dxa"/>
            <w:shd w:val="clear" w:color="auto" w:fill="auto"/>
            <w:noWrap/>
            <w:vAlign w:val="center"/>
          </w:tcPr>
          <w:p w14:paraId="2FA3A799">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1241.47</w:t>
            </w:r>
          </w:p>
        </w:tc>
        <w:tc>
          <w:tcPr>
            <w:tcW w:w="1105" w:type="dxa"/>
            <w:shd w:val="clear" w:color="auto" w:fill="auto"/>
            <w:noWrap/>
            <w:vAlign w:val="center"/>
          </w:tcPr>
          <w:p w14:paraId="34616708">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1357.21</w:t>
            </w:r>
          </w:p>
        </w:tc>
        <w:tc>
          <w:tcPr>
            <w:tcW w:w="1305" w:type="dxa"/>
            <w:shd w:val="clear" w:color="auto" w:fill="auto"/>
            <w:noWrap/>
            <w:vAlign w:val="center"/>
          </w:tcPr>
          <w:p w14:paraId="17BA7E91">
            <w:pPr>
              <w:spacing w:after="0" w:line="240" w:lineRule="auto"/>
              <w:jc w:val="center"/>
              <w:rPr>
                <w:rFonts w:ascii="Times New Roman" w:hAnsi="Times New Roman" w:eastAsia="Times New Roman" w:cs="Times New Roman"/>
                <w:color w:val="000000"/>
                <w:sz w:val="24"/>
                <w:szCs w:val="24"/>
                <w:lang w:val="en-IN" w:eastAsia="en-IN"/>
              </w:rPr>
            </w:pPr>
            <w:r>
              <w:rPr>
                <w:rFonts w:ascii="Times New Roman" w:hAnsi="Times New Roman" w:eastAsia="Times New Roman" w:cs="Times New Roman"/>
                <w:color w:val="000000"/>
                <w:sz w:val="24"/>
                <w:szCs w:val="24"/>
                <w:lang w:val="en-IN" w:eastAsia="en-IN"/>
              </w:rPr>
              <w:t>0.0087</w:t>
            </w:r>
          </w:p>
        </w:tc>
      </w:tr>
    </w:tbl>
    <w:p w14:paraId="672D38E3">
      <w:pPr>
        <w:autoSpaceDE w:val="0"/>
        <w:autoSpaceDN w:val="0"/>
        <w:adjustRightInd w:val="0"/>
        <w:spacing w:after="0" w:line="240" w:lineRule="auto"/>
        <w:ind w:left="567" w:hanging="567"/>
        <w:jc w:val="both"/>
        <w:rPr>
          <w:rFonts w:ascii="Times New Roman" w:hAnsi="Times New Roman" w:cs="Times New Roman"/>
          <w:sz w:val="24"/>
          <w:szCs w:val="24"/>
          <w:lang w:val="en-IN"/>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5-06-12T02:15:30Z" w:initials="h">
    <w:p w14:paraId="54C526BF">
      <w:pPr>
        <w:pStyle w:val="5"/>
        <w:rPr>
          <w:rFonts w:hint="default"/>
          <w:lang w:val="en-US"/>
        </w:rPr>
      </w:pPr>
      <w:r>
        <w:rPr>
          <w:rFonts w:hint="default"/>
          <w:lang w:val="en-US"/>
        </w:rPr>
        <w:t>Add some recent related literatures (reviews about 5-8 recent articles and add to these study).</w:t>
      </w:r>
    </w:p>
  </w:comment>
  <w:comment w:id="1" w:author="hp" w:date="2025-06-11T03:13:59Z" w:initials="h">
    <w:p w14:paraId="209E6CF4">
      <w:pPr>
        <w:pStyle w:val="5"/>
        <w:rPr>
          <w:rFonts w:hint="default"/>
          <w:lang w:val="en-US"/>
        </w:rPr>
      </w:pPr>
      <w:r>
        <w:rPr>
          <w:rFonts w:hint="default"/>
          <w:lang w:val="en-US"/>
        </w:rPr>
        <w:t>residuals are randomly distrisbuted and not autocorrelated</w:t>
      </w:r>
    </w:p>
  </w:comment>
  <w:comment w:id="2" w:author="hp" w:date="2025-06-13T03:17:42Z" w:initials="h">
    <w:p w14:paraId="4E78C255">
      <w:pPr>
        <w:pStyle w:val="5"/>
        <w:rPr>
          <w:rFonts w:hint="default"/>
          <w:lang w:val="en-US"/>
        </w:rPr>
      </w:pPr>
      <w:r>
        <w:rPr>
          <w:rFonts w:hint="default"/>
          <w:lang w:val="en-US"/>
        </w:rPr>
        <w:t>ARIMA is already developed.</w:t>
      </w:r>
    </w:p>
  </w:comment>
  <w:comment w:id="3" w:author="hp" w:date="2025-06-12T02:52:25Z" w:initials="h">
    <w:p w14:paraId="0BCADDCA">
      <w:pPr>
        <w:pStyle w:val="5"/>
        <w:rPr>
          <w:rFonts w:hint="default"/>
          <w:lang w:val="en-US"/>
        </w:rPr>
      </w:pPr>
      <w:r>
        <w:rPr>
          <w:rFonts w:hint="default"/>
          <w:lang w:val="en-US"/>
        </w:rPr>
        <w:t xml:space="preserve">Correlation coeficient here describe the linear relationship and direction. RSME values are more important in forecasting than correlation coefficient, r. </w:t>
      </w:r>
    </w:p>
  </w:comment>
  <w:comment w:id="4" w:author="hp" w:date="2025-06-10T13:37:32Z" w:initials="h">
    <w:p w14:paraId="0029AD1D">
      <w:pPr>
        <w:pStyle w:val="5"/>
        <w:rPr>
          <w:rFonts w:hint="default"/>
          <w:lang w:val="en-US"/>
        </w:rPr>
      </w:pPr>
      <w:r>
        <w:rPr>
          <w:rFonts w:hint="default"/>
          <w:lang w:val="en-US"/>
        </w:rPr>
        <w:t>I suggest you add (final prediction errors (FPE) to  the RMSE and MAE values. This will enhance the evaluation of the performance analysis. FPE should align with the lowest RMSE performance of all the models.</w:t>
      </w:r>
    </w:p>
  </w:comment>
  <w:comment w:id="5" w:author="hp" w:date="2025-06-12T02:08:27Z" w:initials="h">
    <w:p w14:paraId="4C8F4F13">
      <w:pPr>
        <w:pStyle w:val="5"/>
        <w:rPr>
          <w:rFonts w:hint="default"/>
          <w:lang w:val="en-US"/>
        </w:rPr>
      </w:pPr>
      <w:r>
        <w:rPr>
          <w:rFonts w:hint="default"/>
          <w:lang w:val="en-US"/>
        </w:rPr>
        <w:t>Add some recent references (2020-2025) to these references</w:t>
      </w:r>
    </w:p>
  </w:comment>
  <w:comment w:id="6" w:author="hp" w:date="2025-06-11T04:46:38Z" w:initials="h">
    <w:p w14:paraId="43A8D6E2">
      <w:pPr>
        <w:pStyle w:val="5"/>
        <w:rPr>
          <w:rFonts w:hint="default"/>
          <w:lang w:val="en-US"/>
        </w:rPr>
      </w:pPr>
      <w:r>
        <w:rPr>
          <w:rFonts w:hint="default"/>
          <w:lang w:val="en-US"/>
        </w:rPr>
        <w:t>Lowest AIC and BIC describe the best model</w:t>
      </w:r>
    </w:p>
  </w:comment>
  <w:comment w:id="7" w:author="hp" w:date="2025-06-13T03:21:23Z" w:initials="h">
    <w:p w14:paraId="0F8D1B69">
      <w:pPr>
        <w:pStyle w:val="5"/>
        <w:rPr>
          <w:rFonts w:hint="default"/>
          <w:lang w:val="en-US"/>
        </w:rPr>
      </w:pPr>
      <w:r>
        <w:rPr>
          <w:rFonts w:hint="default"/>
          <w:lang w:val="en-US"/>
        </w:rPr>
        <w:t>Lowest RMSE determines the best forecast model. Discuss this based on your results in the conclusion.</w:t>
      </w:r>
    </w:p>
  </w:comment>
  <w:comment w:id="8" w:author="hp" w:date="2025-06-13T03:10:16Z" w:initials="h">
    <w:p w14:paraId="2513C240">
      <w:pPr>
        <w:pStyle w:val="5"/>
        <w:rPr>
          <w:rFonts w:hint="default"/>
          <w:lang w:val="en-US"/>
        </w:rPr>
      </w:pPr>
      <w:r>
        <w:rPr>
          <w:rFonts w:hint="default"/>
          <w:lang w:val="en-US"/>
        </w:rPr>
        <w:t>R-Square??</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C526BF" w15:done="0"/>
  <w15:commentEx w15:paraId="209E6CF4" w15:done="0"/>
  <w15:commentEx w15:paraId="4E78C255" w15:done="0"/>
  <w15:commentEx w15:paraId="0BCADDCA" w15:done="0"/>
  <w15:commentEx w15:paraId="0029AD1D" w15:done="0"/>
  <w15:commentEx w15:paraId="4C8F4F13" w15:done="0"/>
  <w15:commentEx w15:paraId="43A8D6E2" w15:done="0"/>
  <w15:commentEx w15:paraId="0F8D1B69" w15:done="0"/>
  <w15:commentEx w15:paraId="2513C2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11110"/>
      <w:docPartObj>
        <w:docPartGallery w:val="autotext"/>
      </w:docPartObj>
    </w:sdtPr>
    <w:sdtContent>
      <w:p w14:paraId="5FF0044A">
        <w:pPr>
          <w:pStyle w:val="7"/>
          <w:jc w:val="right"/>
        </w:pPr>
      </w:p>
      <w:p w14:paraId="15E17762">
        <w:pPr>
          <w:pStyle w:val="7"/>
          <w:jc w:val="right"/>
        </w:pPr>
        <w:r>
          <w:fldChar w:fldCharType="begin"/>
        </w:r>
        <w:r>
          <w:instrText xml:space="preserve"> PAGE   \* MERGEFORMAT </w:instrText>
        </w:r>
        <w:r>
          <w:fldChar w:fldCharType="separate"/>
        </w:r>
        <w:r>
          <w:t>3</w:t>
        </w:r>
        <w:r>
          <w:fldChar w:fldCharType="end"/>
        </w:r>
      </w:p>
    </w:sdtContent>
  </w:sdt>
  <w:p w14:paraId="05AD9EA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BDB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138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1D24">
    <w:pPr>
      <w:pStyle w:val="8"/>
    </w:pPr>
    <w:r>
      <w:pict>
        <v:shape id="PowerPlusWaterMarkObject1146167955" o:spid="_x0000_s1027"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1517">
    <w:pPr>
      <w:pStyle w:val="8"/>
    </w:pPr>
    <w:r>
      <w:pict>
        <v:shape id="PowerPlusWaterMarkObject1146167954"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81BDA">
    <w:pPr>
      <w:pStyle w:val="8"/>
    </w:pPr>
    <w:r>
      <w:pict>
        <v:shape id="PowerPlusWaterMarkObject1146167953"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2166E"/>
    <w:multiLevelType w:val="multilevel"/>
    <w:tmpl w:val="097216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E7"/>
    <w:rsid w:val="0000441C"/>
    <w:rsid w:val="00014849"/>
    <w:rsid w:val="0001579D"/>
    <w:rsid w:val="000173F0"/>
    <w:rsid w:val="00021D2F"/>
    <w:rsid w:val="00044FBF"/>
    <w:rsid w:val="00062B1A"/>
    <w:rsid w:val="00064A03"/>
    <w:rsid w:val="00066659"/>
    <w:rsid w:val="00096A26"/>
    <w:rsid w:val="000A05FE"/>
    <w:rsid w:val="000D07DC"/>
    <w:rsid w:val="000D3A6F"/>
    <w:rsid w:val="000E1A25"/>
    <w:rsid w:val="000F083F"/>
    <w:rsid w:val="000F08E0"/>
    <w:rsid w:val="00150A74"/>
    <w:rsid w:val="001543F5"/>
    <w:rsid w:val="00157B65"/>
    <w:rsid w:val="00176A7A"/>
    <w:rsid w:val="00194F42"/>
    <w:rsid w:val="001C4B9D"/>
    <w:rsid w:val="001C6204"/>
    <w:rsid w:val="001D41C8"/>
    <w:rsid w:val="001D67C2"/>
    <w:rsid w:val="001E2A8A"/>
    <w:rsid w:val="00202605"/>
    <w:rsid w:val="00205C96"/>
    <w:rsid w:val="00206A5D"/>
    <w:rsid w:val="002148E4"/>
    <w:rsid w:val="00221A1A"/>
    <w:rsid w:val="00232764"/>
    <w:rsid w:val="00250A21"/>
    <w:rsid w:val="0025470C"/>
    <w:rsid w:val="00254898"/>
    <w:rsid w:val="00271DBC"/>
    <w:rsid w:val="0028676C"/>
    <w:rsid w:val="002A0924"/>
    <w:rsid w:val="002A4EFE"/>
    <w:rsid w:val="002B2E97"/>
    <w:rsid w:val="002B3277"/>
    <w:rsid w:val="002B7D09"/>
    <w:rsid w:val="002C5FD3"/>
    <w:rsid w:val="002D2C04"/>
    <w:rsid w:val="002D77E7"/>
    <w:rsid w:val="002E5DC1"/>
    <w:rsid w:val="00307D06"/>
    <w:rsid w:val="00313F34"/>
    <w:rsid w:val="00314E19"/>
    <w:rsid w:val="0031576B"/>
    <w:rsid w:val="003165E5"/>
    <w:rsid w:val="00321A72"/>
    <w:rsid w:val="00322C9F"/>
    <w:rsid w:val="003239A2"/>
    <w:rsid w:val="003339F3"/>
    <w:rsid w:val="00350C99"/>
    <w:rsid w:val="00363895"/>
    <w:rsid w:val="00374E03"/>
    <w:rsid w:val="00380FC6"/>
    <w:rsid w:val="003A576D"/>
    <w:rsid w:val="003B01AD"/>
    <w:rsid w:val="003C34B9"/>
    <w:rsid w:val="003D0F85"/>
    <w:rsid w:val="003E12AE"/>
    <w:rsid w:val="003E3B4A"/>
    <w:rsid w:val="003E6D32"/>
    <w:rsid w:val="003F1F6C"/>
    <w:rsid w:val="00403A4D"/>
    <w:rsid w:val="00406D9A"/>
    <w:rsid w:val="0041518E"/>
    <w:rsid w:val="004213C9"/>
    <w:rsid w:val="00435E0E"/>
    <w:rsid w:val="00447A1C"/>
    <w:rsid w:val="00450FF0"/>
    <w:rsid w:val="00452B9A"/>
    <w:rsid w:val="00470967"/>
    <w:rsid w:val="0047465F"/>
    <w:rsid w:val="00480BBC"/>
    <w:rsid w:val="00493933"/>
    <w:rsid w:val="004950EE"/>
    <w:rsid w:val="004A5371"/>
    <w:rsid w:val="004A6180"/>
    <w:rsid w:val="004B0D0A"/>
    <w:rsid w:val="004B2211"/>
    <w:rsid w:val="004B2221"/>
    <w:rsid w:val="004B3760"/>
    <w:rsid w:val="004C022B"/>
    <w:rsid w:val="004D1218"/>
    <w:rsid w:val="004D66F1"/>
    <w:rsid w:val="004D7CCA"/>
    <w:rsid w:val="004E159A"/>
    <w:rsid w:val="004E1A92"/>
    <w:rsid w:val="004E519F"/>
    <w:rsid w:val="00502940"/>
    <w:rsid w:val="00504A00"/>
    <w:rsid w:val="0051446C"/>
    <w:rsid w:val="00520087"/>
    <w:rsid w:val="00527AEF"/>
    <w:rsid w:val="00527DCF"/>
    <w:rsid w:val="00537CAD"/>
    <w:rsid w:val="00544291"/>
    <w:rsid w:val="0055197E"/>
    <w:rsid w:val="0055748D"/>
    <w:rsid w:val="005950D1"/>
    <w:rsid w:val="005977EB"/>
    <w:rsid w:val="005A02FA"/>
    <w:rsid w:val="005A1400"/>
    <w:rsid w:val="005B177E"/>
    <w:rsid w:val="005B3DBC"/>
    <w:rsid w:val="005C1998"/>
    <w:rsid w:val="00610614"/>
    <w:rsid w:val="00621D2C"/>
    <w:rsid w:val="00624BD8"/>
    <w:rsid w:val="006308C0"/>
    <w:rsid w:val="00644316"/>
    <w:rsid w:val="006512B2"/>
    <w:rsid w:val="00664AA6"/>
    <w:rsid w:val="006655B9"/>
    <w:rsid w:val="00675F6F"/>
    <w:rsid w:val="00690E1B"/>
    <w:rsid w:val="00694062"/>
    <w:rsid w:val="006A007C"/>
    <w:rsid w:val="006A13CE"/>
    <w:rsid w:val="006B027E"/>
    <w:rsid w:val="006B66EB"/>
    <w:rsid w:val="006D3300"/>
    <w:rsid w:val="006D3E52"/>
    <w:rsid w:val="006F3532"/>
    <w:rsid w:val="007000C4"/>
    <w:rsid w:val="00702CAC"/>
    <w:rsid w:val="00703683"/>
    <w:rsid w:val="00706394"/>
    <w:rsid w:val="0071365B"/>
    <w:rsid w:val="007178AA"/>
    <w:rsid w:val="0073500E"/>
    <w:rsid w:val="00741780"/>
    <w:rsid w:val="00744BF0"/>
    <w:rsid w:val="00753FDA"/>
    <w:rsid w:val="007654A9"/>
    <w:rsid w:val="00765F29"/>
    <w:rsid w:val="00784D8D"/>
    <w:rsid w:val="00785CAD"/>
    <w:rsid w:val="007B3155"/>
    <w:rsid w:val="007C18A9"/>
    <w:rsid w:val="007C2028"/>
    <w:rsid w:val="007D4A12"/>
    <w:rsid w:val="007E13C3"/>
    <w:rsid w:val="007E42C5"/>
    <w:rsid w:val="00801EC0"/>
    <w:rsid w:val="008113CA"/>
    <w:rsid w:val="00823997"/>
    <w:rsid w:val="00830F76"/>
    <w:rsid w:val="008406E3"/>
    <w:rsid w:val="00861B5C"/>
    <w:rsid w:val="00864D63"/>
    <w:rsid w:val="00865C80"/>
    <w:rsid w:val="00877A82"/>
    <w:rsid w:val="00891E8C"/>
    <w:rsid w:val="00896E0D"/>
    <w:rsid w:val="008A665C"/>
    <w:rsid w:val="008A7CF7"/>
    <w:rsid w:val="008B504A"/>
    <w:rsid w:val="008B630A"/>
    <w:rsid w:val="008B6B47"/>
    <w:rsid w:val="008C37BA"/>
    <w:rsid w:val="008D332F"/>
    <w:rsid w:val="008E31AD"/>
    <w:rsid w:val="008F1CEA"/>
    <w:rsid w:val="00930E21"/>
    <w:rsid w:val="00934325"/>
    <w:rsid w:val="009431B2"/>
    <w:rsid w:val="00955983"/>
    <w:rsid w:val="00956222"/>
    <w:rsid w:val="00956429"/>
    <w:rsid w:val="00961AA9"/>
    <w:rsid w:val="00963C59"/>
    <w:rsid w:val="00976F77"/>
    <w:rsid w:val="00980D04"/>
    <w:rsid w:val="009C2BEA"/>
    <w:rsid w:val="009D3D7D"/>
    <w:rsid w:val="009D622B"/>
    <w:rsid w:val="009F140F"/>
    <w:rsid w:val="00A063BA"/>
    <w:rsid w:val="00A06522"/>
    <w:rsid w:val="00A10041"/>
    <w:rsid w:val="00A211AB"/>
    <w:rsid w:val="00A32089"/>
    <w:rsid w:val="00A441C4"/>
    <w:rsid w:val="00A44E43"/>
    <w:rsid w:val="00A625ED"/>
    <w:rsid w:val="00A7424E"/>
    <w:rsid w:val="00A86A22"/>
    <w:rsid w:val="00A8709A"/>
    <w:rsid w:val="00A939D7"/>
    <w:rsid w:val="00AB0C8A"/>
    <w:rsid w:val="00AB3DC1"/>
    <w:rsid w:val="00AB4B9C"/>
    <w:rsid w:val="00AB62BF"/>
    <w:rsid w:val="00AC0071"/>
    <w:rsid w:val="00AC5834"/>
    <w:rsid w:val="00AD3D80"/>
    <w:rsid w:val="00AD5820"/>
    <w:rsid w:val="00AF402B"/>
    <w:rsid w:val="00B122ED"/>
    <w:rsid w:val="00B149DB"/>
    <w:rsid w:val="00B14AB5"/>
    <w:rsid w:val="00B44AF4"/>
    <w:rsid w:val="00B466C2"/>
    <w:rsid w:val="00B612ED"/>
    <w:rsid w:val="00B63FB5"/>
    <w:rsid w:val="00B90111"/>
    <w:rsid w:val="00B95D0E"/>
    <w:rsid w:val="00BA431F"/>
    <w:rsid w:val="00BB7378"/>
    <w:rsid w:val="00BC01CE"/>
    <w:rsid w:val="00BD2C1B"/>
    <w:rsid w:val="00C1424F"/>
    <w:rsid w:val="00C14896"/>
    <w:rsid w:val="00C23D63"/>
    <w:rsid w:val="00C344B1"/>
    <w:rsid w:val="00C5425C"/>
    <w:rsid w:val="00C55DCF"/>
    <w:rsid w:val="00C810FA"/>
    <w:rsid w:val="00C853C3"/>
    <w:rsid w:val="00CA307F"/>
    <w:rsid w:val="00CA6C92"/>
    <w:rsid w:val="00CA7BE0"/>
    <w:rsid w:val="00CB03F1"/>
    <w:rsid w:val="00CB330E"/>
    <w:rsid w:val="00CB3453"/>
    <w:rsid w:val="00CC0C3C"/>
    <w:rsid w:val="00CE3C00"/>
    <w:rsid w:val="00CF1013"/>
    <w:rsid w:val="00CF515B"/>
    <w:rsid w:val="00D10BD6"/>
    <w:rsid w:val="00D16ED4"/>
    <w:rsid w:val="00D17354"/>
    <w:rsid w:val="00D25FE7"/>
    <w:rsid w:val="00D27EDF"/>
    <w:rsid w:val="00D30C93"/>
    <w:rsid w:val="00D37EDB"/>
    <w:rsid w:val="00D423C4"/>
    <w:rsid w:val="00D4280D"/>
    <w:rsid w:val="00D611D1"/>
    <w:rsid w:val="00D63E63"/>
    <w:rsid w:val="00D81CD3"/>
    <w:rsid w:val="00D835E7"/>
    <w:rsid w:val="00D87575"/>
    <w:rsid w:val="00D95853"/>
    <w:rsid w:val="00D96EC8"/>
    <w:rsid w:val="00DA7D84"/>
    <w:rsid w:val="00DB39E6"/>
    <w:rsid w:val="00E038BF"/>
    <w:rsid w:val="00E04E05"/>
    <w:rsid w:val="00E06AB4"/>
    <w:rsid w:val="00E33979"/>
    <w:rsid w:val="00E50E52"/>
    <w:rsid w:val="00E52427"/>
    <w:rsid w:val="00E539B0"/>
    <w:rsid w:val="00E71583"/>
    <w:rsid w:val="00E91C64"/>
    <w:rsid w:val="00E956DB"/>
    <w:rsid w:val="00E9676D"/>
    <w:rsid w:val="00EB41BE"/>
    <w:rsid w:val="00EC0A03"/>
    <w:rsid w:val="00ED6BE5"/>
    <w:rsid w:val="00EF01FD"/>
    <w:rsid w:val="00EF28F7"/>
    <w:rsid w:val="00EF31E8"/>
    <w:rsid w:val="00F26D8D"/>
    <w:rsid w:val="00F33683"/>
    <w:rsid w:val="00F36637"/>
    <w:rsid w:val="00F3692F"/>
    <w:rsid w:val="00F439E4"/>
    <w:rsid w:val="00F50609"/>
    <w:rsid w:val="00F51995"/>
    <w:rsid w:val="00F51D7C"/>
    <w:rsid w:val="00F52FE3"/>
    <w:rsid w:val="00F8261B"/>
    <w:rsid w:val="00FA2FF0"/>
    <w:rsid w:val="00FA78B9"/>
    <w:rsid w:val="00FB3A92"/>
    <w:rsid w:val="00FB664C"/>
    <w:rsid w:val="00FC31E7"/>
    <w:rsid w:val="00FC462A"/>
    <w:rsid w:val="00FC76C3"/>
    <w:rsid w:val="00FD11BA"/>
    <w:rsid w:val="00FD15BC"/>
    <w:rsid w:val="00FD1D07"/>
    <w:rsid w:val="00FE1732"/>
    <w:rsid w:val="00FE5083"/>
    <w:rsid w:val="13FD7AD9"/>
    <w:rsid w:val="14337680"/>
    <w:rsid w:val="1D2C3EF7"/>
    <w:rsid w:val="22733F28"/>
    <w:rsid w:val="303755E3"/>
    <w:rsid w:val="322475F3"/>
    <w:rsid w:val="3DB13C86"/>
    <w:rsid w:val="47372FE6"/>
    <w:rsid w:val="49AB6210"/>
    <w:rsid w:val="4A7F3E13"/>
    <w:rsid w:val="4D471547"/>
    <w:rsid w:val="50C57DA0"/>
    <w:rsid w:val="522D6690"/>
    <w:rsid w:val="525F1B41"/>
    <w:rsid w:val="58186F97"/>
    <w:rsid w:val="73DF3A48"/>
    <w:rsid w:val="7BAA3C71"/>
    <w:rsid w:val="7C543B48"/>
    <w:rsid w:val="7F8B1A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annotation text"/>
    <w:basedOn w:val="1"/>
    <w:semiHidden/>
    <w:unhideWhenUsed/>
    <w:qFormat/>
    <w:uiPriority w:val="99"/>
    <w:pPr>
      <w:jc w:val="left"/>
    </w:pPr>
  </w:style>
  <w:style w:type="character" w:styleId="6">
    <w:name w:val="Emphasis"/>
    <w:basedOn w:val="2"/>
    <w:qFormat/>
    <w:uiPriority w:val="20"/>
    <w:rPr>
      <w:i/>
      <w:iCs/>
    </w:rPr>
  </w:style>
  <w:style w:type="paragraph" w:styleId="7">
    <w:name w:val="footer"/>
    <w:basedOn w:val="1"/>
    <w:link w:val="14"/>
    <w:unhideWhenUsed/>
    <w:qFormat/>
    <w:uiPriority w:val="99"/>
    <w:pPr>
      <w:tabs>
        <w:tab w:val="center" w:pos="4513"/>
        <w:tab w:val="right" w:pos="9026"/>
      </w:tabs>
      <w:spacing w:after="0" w:line="240" w:lineRule="auto"/>
    </w:pPr>
  </w:style>
  <w:style w:type="paragraph" w:styleId="8">
    <w:name w:val="header"/>
    <w:basedOn w:val="1"/>
    <w:link w:val="13"/>
    <w:unhideWhenUsed/>
    <w:qFormat/>
    <w:uiPriority w:val="99"/>
    <w:pPr>
      <w:tabs>
        <w:tab w:val="center" w:pos="4513"/>
        <w:tab w:val="right" w:pos="9026"/>
      </w:tabs>
      <w:spacing w:after="0" w:line="240" w:lineRule="auto"/>
    </w:pPr>
  </w:style>
  <w:style w:type="character" w:styleId="9">
    <w:name w:val="Hyperlink"/>
    <w:basedOn w:val="2"/>
    <w:unhideWhenUsed/>
    <w:qFormat/>
    <w:uiPriority w:val="99"/>
    <w:rPr>
      <w:color w:val="0000FF"/>
      <w:u w:val="single"/>
    </w:rPr>
  </w:style>
  <w:style w:type="paragraph" w:styleId="10">
    <w:name w:val="Normal (Web)"/>
    <w:basedOn w:val="1"/>
    <w:semiHidden/>
    <w:unhideWhenUsed/>
    <w:qFormat/>
    <w:uiPriority w:val="99"/>
    <w:rPr>
      <w:rFonts w:ascii="Times New Roman" w:hAnsi="Times New Roman" w:cs="Times New Roman"/>
      <w:sz w:val="24"/>
      <w:szCs w:val="24"/>
    </w:rPr>
  </w:style>
  <w:style w:type="character" w:customStyle="1" w:styleId="11">
    <w:name w:val="Balloon Text Char"/>
    <w:basedOn w:val="2"/>
    <w:link w:val="4"/>
    <w:semiHidden/>
    <w:qFormat/>
    <w:uiPriority w:val="99"/>
    <w:rPr>
      <w:rFonts w:ascii="Tahoma" w:hAnsi="Tahoma" w:cs="Tahoma"/>
      <w:sz w:val="16"/>
      <w:szCs w:val="16"/>
    </w:rPr>
  </w:style>
  <w:style w:type="paragraph" w:styleId="12">
    <w:name w:val="List Paragraph"/>
    <w:basedOn w:val="1"/>
    <w:qFormat/>
    <w:uiPriority w:val="34"/>
    <w:pPr>
      <w:ind w:left="720"/>
      <w:contextualSpacing/>
    </w:pPr>
    <w:rPr>
      <w:lang w:val="en-IN"/>
    </w:rPr>
  </w:style>
  <w:style w:type="character" w:customStyle="1" w:styleId="13">
    <w:name w:val="Header Char"/>
    <w:basedOn w:val="2"/>
    <w:link w:val="8"/>
    <w:qFormat/>
    <w:uiPriority w:val="99"/>
  </w:style>
  <w:style w:type="character" w:customStyle="1" w:styleId="14">
    <w:name w:val="Footer Char"/>
    <w:basedOn w:val="2"/>
    <w:link w:val="7"/>
    <w:qFormat/>
    <w:uiPriority w:val="99"/>
  </w:style>
  <w:style w:type="character" w:customStyle="1" w:styleId="15">
    <w:name w:val="plainlinks"/>
    <w:basedOn w:val="2"/>
    <w:qFormat/>
    <w:uiPriority w:val="0"/>
  </w:style>
  <w:style w:type="character" w:customStyle="1" w:styleId="16">
    <w:name w:val="geo-dec"/>
    <w:basedOn w:val="2"/>
    <w:qFormat/>
    <w:uiPriority w:val="0"/>
  </w:style>
  <w:style w:type="character" w:customStyle="1" w:styleId="1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13EFE-7BB4-46BF-A0AC-F44F36DDD836}">
  <ds:schemaRefs/>
</ds:datastoreItem>
</file>

<file path=docProps/app.xml><?xml version="1.0" encoding="utf-8"?>
<Properties xmlns="http://schemas.openxmlformats.org/officeDocument/2006/extended-properties" xmlns:vt="http://schemas.openxmlformats.org/officeDocument/2006/docPropsVTypes">
  <Template>Normal</Template>
  <Pages>16</Pages>
  <Words>4248</Words>
  <Characters>24214</Characters>
  <Lines>201</Lines>
  <Paragraphs>56</Paragraphs>
  <TotalTime>478</TotalTime>
  <ScaleCrop>false</ScaleCrop>
  <LinksUpToDate>false</LinksUpToDate>
  <CharactersWithSpaces>28406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2025-06-07T06:48:00Z</dcterms:created>
  <dc:creator>acer</dc:creator>
  <cp:lastModifiedBy>hp</cp:lastModifiedBy>
  <dcterms:modified xsi:type="dcterms:W3CDTF">2025-06-13T03:23:10Z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1B281E71376847918A546352F3C8473D_12</vt:lpwstr>
  </property>
</Properties>
</file>