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E9454" w14:textId="77777777" w:rsidR="000B70EB" w:rsidRPr="000B70EB" w:rsidRDefault="000B70EB" w:rsidP="000B70EB">
      <w:pPr>
        <w:spacing w:after="194" w:line="360" w:lineRule="auto"/>
        <w:jc w:val="both"/>
        <w:rPr>
          <w:rFonts w:asciiTheme="majorBidi" w:hAnsiTheme="majorBidi" w:cstheme="majorBidi"/>
          <w:b/>
          <w:bCs/>
          <w:i/>
          <w:iCs/>
          <w:sz w:val="24"/>
          <w:szCs w:val="24"/>
          <w:u w:val="single"/>
        </w:rPr>
      </w:pPr>
      <w:r w:rsidRPr="000B70EB">
        <w:rPr>
          <w:rFonts w:asciiTheme="majorBidi" w:hAnsiTheme="majorBidi" w:cstheme="majorBidi"/>
          <w:b/>
          <w:bCs/>
          <w:i/>
          <w:iCs/>
          <w:sz w:val="24"/>
          <w:szCs w:val="24"/>
          <w:u w:val="single"/>
        </w:rPr>
        <w:t>Review Article</w:t>
      </w:r>
    </w:p>
    <w:p w14:paraId="1EE2E6C5" w14:textId="77777777" w:rsidR="00FF0418" w:rsidRDefault="00FF0418" w:rsidP="001B66AB">
      <w:pPr>
        <w:spacing w:after="194" w:line="360" w:lineRule="auto"/>
        <w:jc w:val="both"/>
        <w:rPr>
          <w:rFonts w:asciiTheme="majorBidi" w:hAnsiTheme="majorBidi" w:cstheme="majorBidi"/>
          <w:b/>
          <w:sz w:val="24"/>
          <w:szCs w:val="24"/>
        </w:rPr>
      </w:pPr>
    </w:p>
    <w:p w14:paraId="7A687BAB" w14:textId="7825C0F1" w:rsidR="00BF2E51" w:rsidRPr="006B4D94" w:rsidRDefault="00651037" w:rsidP="006B4D94">
      <w:pPr>
        <w:spacing w:after="194" w:line="360" w:lineRule="auto"/>
        <w:ind w:left="-252"/>
        <w:jc w:val="both"/>
        <w:rPr>
          <w:rFonts w:asciiTheme="majorBidi" w:hAnsiTheme="majorBidi" w:cstheme="majorBidi"/>
          <w:b/>
          <w:bCs/>
          <w:color w:val="000000" w:themeColor="text1"/>
          <w:sz w:val="24"/>
          <w:szCs w:val="24"/>
        </w:rPr>
      </w:pPr>
      <w:r w:rsidRPr="00337D11">
        <w:rPr>
          <w:rFonts w:asciiTheme="majorBidi" w:hAnsiTheme="majorBidi" w:cstheme="majorBidi"/>
          <w:b/>
          <w:bCs/>
          <w:color w:val="000000" w:themeColor="text1"/>
          <w:sz w:val="24"/>
          <w:szCs w:val="24"/>
        </w:rPr>
        <w:t xml:space="preserve">Binucleated Cells: </w:t>
      </w:r>
      <w:r w:rsidR="007B00C9" w:rsidRPr="00337D11">
        <w:rPr>
          <w:rStyle w:val="Strong"/>
          <w:rFonts w:asciiTheme="majorBidi" w:hAnsiTheme="majorBidi" w:cstheme="majorBidi"/>
          <w:color w:val="000000" w:themeColor="text1"/>
          <w:sz w:val="24"/>
          <w:szCs w:val="24"/>
          <w:shd w:val="clear" w:color="auto" w:fill="FFFFFF"/>
        </w:rPr>
        <w:t xml:space="preserve">A Comprehensive Review of </w:t>
      </w:r>
      <w:r w:rsidRPr="00337D11">
        <w:rPr>
          <w:rFonts w:asciiTheme="majorBidi" w:hAnsiTheme="majorBidi" w:cstheme="majorBidi"/>
          <w:b/>
          <w:bCs/>
          <w:color w:val="000000" w:themeColor="text1"/>
          <w:sz w:val="24"/>
          <w:szCs w:val="24"/>
        </w:rPr>
        <w:t xml:space="preserve">Locations, Mechanisms, Clinical Significance, and Diagnostic Applications </w:t>
      </w:r>
    </w:p>
    <w:p w14:paraId="155D43DD" w14:textId="77777777" w:rsidR="00BA7C72" w:rsidRPr="00B11426" w:rsidRDefault="009E06C1" w:rsidP="00C10DD5">
      <w:pPr>
        <w:pStyle w:val="NormalWeb"/>
        <w:spacing w:before="0" w:beforeAutospacing="0" w:after="0" w:afterAutospacing="0" w:line="360" w:lineRule="auto"/>
        <w:contextualSpacing/>
        <w:jc w:val="both"/>
        <w:rPr>
          <w:rFonts w:asciiTheme="majorBidi" w:hAnsiTheme="majorBidi" w:cstheme="majorBidi"/>
        </w:rPr>
      </w:pPr>
      <w:r>
        <w:rPr>
          <w:rStyle w:val="Strong"/>
          <w:rFonts w:asciiTheme="majorBidi" w:hAnsiTheme="majorBidi" w:cstheme="majorBidi"/>
        </w:rPr>
        <w:t>ABSTRACT</w:t>
      </w:r>
    </w:p>
    <w:p w14:paraId="360128C3" w14:textId="77777777" w:rsidR="00397FCB" w:rsidRPr="0089749F" w:rsidRDefault="00397FCB" w:rsidP="0089749F">
      <w:pPr>
        <w:pStyle w:val="NormalWeb"/>
        <w:spacing w:before="0" w:after="0" w:line="360" w:lineRule="auto"/>
        <w:jc w:val="both"/>
        <w:rPr>
          <w:rStyle w:val="Emphasis"/>
          <w:rFonts w:asciiTheme="majorBidi" w:hAnsiTheme="majorBidi" w:cstheme="majorBidi"/>
          <w:i w:val="0"/>
          <w:iCs w:val="0"/>
        </w:rPr>
      </w:pPr>
      <w:r w:rsidRPr="00397FCB">
        <w:rPr>
          <w:rStyle w:val="Emphasis"/>
          <w:rFonts w:asciiTheme="majorBidi" w:hAnsiTheme="majorBidi" w:cstheme="majorBidi"/>
          <w:b/>
          <w:bCs/>
        </w:rPr>
        <w:t>Background</w:t>
      </w:r>
      <w:r w:rsidRPr="00397FCB">
        <w:rPr>
          <w:rStyle w:val="Emphasis"/>
          <w:rFonts w:asciiTheme="majorBidi" w:hAnsiTheme="majorBidi" w:cstheme="majorBidi"/>
          <w:i w:val="0"/>
          <w:iCs w:val="0"/>
        </w:rPr>
        <w:t xml:space="preserve">: Binucleated cells are a type of cell that contains two nuclei within their cytoplasm and are commonly observed in both normal and pathological conditions. They play essential roles in physiological processes, such as tissue repair and adaptation, and are also implicated in various diseases. Understanding their formation and behavior is critical to uncovering their significance in health and disease. </w:t>
      </w:r>
      <w:r w:rsidRPr="00397FCB">
        <w:rPr>
          <w:rStyle w:val="Emphasis"/>
          <w:rFonts w:asciiTheme="majorBidi" w:hAnsiTheme="majorBidi" w:cstheme="majorBidi"/>
          <w:b/>
          <w:bCs/>
        </w:rPr>
        <w:t>Objectives</w:t>
      </w:r>
      <w:r w:rsidRPr="00397FCB">
        <w:rPr>
          <w:rStyle w:val="Emphasis"/>
          <w:rFonts w:asciiTheme="majorBidi" w:hAnsiTheme="majorBidi" w:cstheme="majorBidi"/>
          <w:i w:val="0"/>
          <w:iCs w:val="0"/>
        </w:rPr>
        <w:t xml:space="preserve">: This review aims to discuss the literature on binucleated cells, focusing on their presence in normal tissues and disease states, the mechanisms of their formation, their clinical significance, and potential implications in diagnostics and therapeutics. </w:t>
      </w:r>
      <w:r w:rsidRPr="00397FCB">
        <w:rPr>
          <w:rStyle w:val="Emphasis"/>
          <w:rFonts w:asciiTheme="majorBidi" w:hAnsiTheme="majorBidi" w:cstheme="majorBidi"/>
          <w:b/>
          <w:bCs/>
        </w:rPr>
        <w:t>Methods</w:t>
      </w:r>
      <w:r w:rsidRPr="00397FCB">
        <w:rPr>
          <w:rStyle w:val="Emphasis"/>
          <w:rFonts w:asciiTheme="majorBidi" w:hAnsiTheme="majorBidi" w:cstheme="majorBidi"/>
          <w:i w:val="0"/>
          <w:iCs w:val="0"/>
        </w:rPr>
        <w:t xml:space="preserve">: For this narrative review, PubMed, Medline, and Google Scholar were utilized to search for articles about binucleated cells. The final set includes 23 academic articles that matched the inclusion criteria. </w:t>
      </w:r>
      <w:r w:rsidRPr="00397FCB">
        <w:rPr>
          <w:rStyle w:val="Emphasis"/>
          <w:rFonts w:asciiTheme="majorBidi" w:hAnsiTheme="majorBidi" w:cstheme="majorBidi"/>
          <w:b/>
          <w:bCs/>
        </w:rPr>
        <w:t>Results</w:t>
      </w:r>
      <w:r w:rsidRPr="00397FCB">
        <w:rPr>
          <w:rStyle w:val="Emphasis"/>
          <w:rFonts w:asciiTheme="majorBidi" w:hAnsiTheme="majorBidi" w:cstheme="majorBidi"/>
          <w:i w:val="0"/>
          <w:iCs w:val="0"/>
        </w:rPr>
        <w:t xml:space="preserve">: The reviewed studies indicate that binucleated cells are present in various normal tissues, including the liver, bone, and spleen, where they contribute to regeneration and immune response. They also play </w:t>
      </w:r>
      <w:r>
        <w:rPr>
          <w:rStyle w:val="Emphasis"/>
          <w:rFonts w:asciiTheme="majorBidi" w:hAnsiTheme="majorBidi" w:cstheme="majorBidi"/>
          <w:i w:val="0"/>
          <w:iCs w:val="0"/>
        </w:rPr>
        <w:t xml:space="preserve">significant roles in autoimmune </w:t>
      </w:r>
      <w:r w:rsidRPr="00397FCB">
        <w:rPr>
          <w:rStyle w:val="Emphasis"/>
          <w:rFonts w:asciiTheme="majorBidi" w:hAnsiTheme="majorBidi" w:cstheme="majorBidi"/>
          <w:i w:val="0"/>
          <w:iCs w:val="0"/>
        </w:rPr>
        <w:t>diseases, infections (e.g., HPV and HSV), and cancers</w:t>
      </w:r>
      <w:r>
        <w:rPr>
          <w:rStyle w:val="Emphasis"/>
          <w:rFonts w:asciiTheme="majorBidi" w:hAnsiTheme="majorBidi" w:cstheme="majorBidi"/>
          <w:i w:val="0"/>
          <w:iCs w:val="0"/>
        </w:rPr>
        <w:t xml:space="preserve">, serving as crucial diagnostic </w:t>
      </w:r>
      <w:r w:rsidRPr="00397FCB">
        <w:rPr>
          <w:rStyle w:val="Emphasis"/>
          <w:rFonts w:asciiTheme="majorBidi" w:hAnsiTheme="majorBidi" w:cstheme="majorBidi"/>
          <w:i w:val="0"/>
          <w:iCs w:val="0"/>
        </w:rPr>
        <w:t xml:space="preserve">markers for early detection and disease progression. </w:t>
      </w:r>
      <w:r>
        <w:rPr>
          <w:rStyle w:val="Emphasis"/>
          <w:rFonts w:asciiTheme="majorBidi" w:hAnsiTheme="majorBidi" w:cstheme="majorBidi"/>
          <w:i w:val="0"/>
          <w:iCs w:val="0"/>
        </w:rPr>
        <w:t xml:space="preserve">Conclusions: Binucleated cells </w:t>
      </w:r>
      <w:r w:rsidRPr="00397FCB">
        <w:rPr>
          <w:rStyle w:val="Emphasis"/>
          <w:rFonts w:asciiTheme="majorBidi" w:hAnsiTheme="majorBidi" w:cstheme="majorBidi"/>
          <w:i w:val="0"/>
          <w:iCs w:val="0"/>
        </w:rPr>
        <w:t>represent a valuable tool for understanding and addres</w:t>
      </w:r>
      <w:r>
        <w:rPr>
          <w:rStyle w:val="Emphasis"/>
          <w:rFonts w:asciiTheme="majorBidi" w:hAnsiTheme="majorBidi" w:cstheme="majorBidi"/>
          <w:i w:val="0"/>
          <w:iCs w:val="0"/>
        </w:rPr>
        <w:t xml:space="preserve">sing diseases. Their biological </w:t>
      </w:r>
      <w:r w:rsidRPr="00397FCB">
        <w:rPr>
          <w:rStyle w:val="Emphasis"/>
          <w:rFonts w:asciiTheme="majorBidi" w:hAnsiTheme="majorBidi" w:cstheme="majorBidi"/>
          <w:i w:val="0"/>
          <w:iCs w:val="0"/>
        </w:rPr>
        <w:t xml:space="preserve">and pathological roles open new avenues for scientific </w:t>
      </w:r>
      <w:r>
        <w:rPr>
          <w:rStyle w:val="Emphasis"/>
          <w:rFonts w:asciiTheme="majorBidi" w:hAnsiTheme="majorBidi" w:cstheme="majorBidi"/>
          <w:i w:val="0"/>
          <w:iCs w:val="0"/>
        </w:rPr>
        <w:t xml:space="preserve">advancements in diagnostics and </w:t>
      </w:r>
      <w:r w:rsidRPr="00397FCB">
        <w:rPr>
          <w:rStyle w:val="Emphasis"/>
          <w:rFonts w:asciiTheme="majorBidi" w:hAnsiTheme="majorBidi" w:cstheme="majorBidi"/>
          <w:i w:val="0"/>
          <w:iCs w:val="0"/>
        </w:rPr>
        <w:t>treatment strategies.</w:t>
      </w:r>
    </w:p>
    <w:p w14:paraId="65859282" w14:textId="77777777" w:rsidR="00397FCB" w:rsidRPr="00397FCB" w:rsidRDefault="00BA7C72" w:rsidP="00397FCB">
      <w:pPr>
        <w:pStyle w:val="NormalWeb"/>
        <w:spacing w:before="0" w:after="0" w:line="360" w:lineRule="auto"/>
        <w:jc w:val="both"/>
        <w:rPr>
          <w:rStyle w:val="Emphasis"/>
          <w:rFonts w:asciiTheme="majorBidi" w:hAnsiTheme="majorBidi" w:cstheme="majorBidi"/>
        </w:rPr>
      </w:pPr>
      <w:r w:rsidRPr="00162A5C">
        <w:rPr>
          <w:rStyle w:val="Emphasis"/>
          <w:rFonts w:asciiTheme="majorBidi" w:hAnsiTheme="majorBidi" w:cstheme="majorBidi"/>
          <w:b/>
          <w:bCs/>
        </w:rPr>
        <w:t>Keywords</w:t>
      </w:r>
      <w:r w:rsidR="007F0807" w:rsidRPr="00162A5C">
        <w:rPr>
          <w:rStyle w:val="Emphasis"/>
          <w:rFonts w:asciiTheme="majorBidi" w:hAnsiTheme="majorBidi" w:cstheme="majorBidi"/>
          <w:i w:val="0"/>
          <w:iCs w:val="0"/>
        </w:rPr>
        <w:t>:</w:t>
      </w:r>
      <w:r w:rsidR="00397FCB">
        <w:rPr>
          <w:rStyle w:val="Emphasis"/>
          <w:rFonts w:asciiTheme="majorBidi" w:hAnsiTheme="majorBidi" w:cstheme="majorBidi"/>
          <w:i w:val="0"/>
          <w:iCs w:val="0"/>
        </w:rPr>
        <w:t xml:space="preserve"> </w:t>
      </w:r>
      <w:r w:rsidR="00397FCB" w:rsidRPr="00397FCB">
        <w:rPr>
          <w:rStyle w:val="Emphasis"/>
          <w:rFonts w:asciiTheme="majorBidi" w:hAnsiTheme="majorBidi" w:cstheme="majorBidi"/>
        </w:rPr>
        <w:t>Binucleated cells, Cell fusion, Cytokinesis failure, Polyploidization, Endoreplication, Binucleated cells in infection.</w:t>
      </w:r>
    </w:p>
    <w:p w14:paraId="1F4EE9EB" w14:textId="77777777" w:rsidR="000A75A1" w:rsidRPr="00C10DD5" w:rsidRDefault="000A75A1" w:rsidP="00C10DD5">
      <w:pPr>
        <w:pStyle w:val="NormalWeb"/>
        <w:spacing w:before="0" w:beforeAutospacing="0" w:after="0" w:afterAutospacing="0" w:line="360" w:lineRule="auto"/>
        <w:contextualSpacing/>
        <w:jc w:val="both"/>
        <w:rPr>
          <w:rFonts w:asciiTheme="majorBidi" w:hAnsiTheme="majorBidi" w:cstheme="majorBidi"/>
          <w:b/>
          <w:bCs/>
        </w:rPr>
      </w:pPr>
    </w:p>
    <w:p w14:paraId="3170AF2B" w14:textId="77777777" w:rsidR="002E4DC4" w:rsidRPr="002E4DC4" w:rsidRDefault="00E72BE9" w:rsidP="009D2DB3">
      <w:pPr>
        <w:pStyle w:val="NormalWeb"/>
        <w:spacing w:before="0" w:beforeAutospacing="0" w:after="240" w:afterAutospacing="0" w:line="360" w:lineRule="auto"/>
        <w:contextualSpacing/>
        <w:jc w:val="both"/>
        <w:rPr>
          <w:rFonts w:asciiTheme="majorBidi" w:hAnsiTheme="majorBidi" w:cstheme="majorBidi"/>
          <w:b/>
          <w:bCs/>
        </w:rPr>
      </w:pPr>
      <w:r>
        <w:rPr>
          <w:rFonts w:asciiTheme="majorBidi" w:hAnsiTheme="majorBidi" w:cstheme="majorBidi"/>
          <w:b/>
          <w:bCs/>
        </w:rPr>
        <w:t xml:space="preserve">1. </w:t>
      </w:r>
      <w:r w:rsidR="00B11426">
        <w:rPr>
          <w:rFonts w:asciiTheme="majorBidi" w:hAnsiTheme="majorBidi" w:cstheme="majorBidi"/>
          <w:b/>
          <w:bCs/>
        </w:rPr>
        <w:t>INTRODUCTION</w:t>
      </w:r>
    </w:p>
    <w:p w14:paraId="4AFCD372" w14:textId="77777777" w:rsidR="008142FE" w:rsidRPr="008142FE" w:rsidRDefault="008142FE" w:rsidP="00C770E1">
      <w:pPr>
        <w:spacing w:line="360" w:lineRule="auto"/>
        <w:ind w:right="148"/>
        <w:jc w:val="both"/>
        <w:rPr>
          <w:rFonts w:asciiTheme="majorBidi" w:eastAsia="Times New Roman" w:hAnsiTheme="majorBidi" w:cstheme="majorBidi"/>
          <w:color w:val="0E101A"/>
          <w:sz w:val="24"/>
          <w:szCs w:val="24"/>
        </w:rPr>
      </w:pPr>
      <w:r w:rsidRPr="008142FE">
        <w:rPr>
          <w:rFonts w:asciiTheme="majorBidi" w:eastAsia="Times New Roman" w:hAnsiTheme="majorBidi" w:cstheme="majorBidi"/>
          <w:color w:val="0E101A"/>
          <w:sz w:val="24"/>
          <w:szCs w:val="24"/>
        </w:rPr>
        <w:t xml:space="preserve">Binucleated cells are characterized by the presence of two distinct nuclei within a single cell </w:t>
      </w:r>
      <w:r w:rsidRPr="008142FE">
        <w:rPr>
          <w:rFonts w:asciiTheme="majorBidi" w:eastAsia="Times New Roman" w:hAnsiTheme="majorBidi" w:cstheme="majorBidi"/>
          <w:b/>
          <w:bCs/>
          <w:color w:val="0E101A"/>
          <w:sz w:val="24"/>
          <w:szCs w:val="24"/>
        </w:rPr>
        <w:t>[1].</w:t>
      </w:r>
      <w:r w:rsidRPr="008142FE">
        <w:rPr>
          <w:rFonts w:asciiTheme="majorBidi" w:eastAsia="Times New Roman" w:hAnsiTheme="majorBidi" w:cstheme="majorBidi"/>
          <w:color w:val="0E101A"/>
          <w:sz w:val="24"/>
          <w:szCs w:val="24"/>
        </w:rPr>
        <w:t xml:space="preserve"> They are observed not only in malignant tumors </w:t>
      </w:r>
      <w:r>
        <w:rPr>
          <w:rFonts w:asciiTheme="majorBidi" w:eastAsia="Times New Roman" w:hAnsiTheme="majorBidi" w:cstheme="majorBidi"/>
          <w:color w:val="0E101A"/>
          <w:sz w:val="24"/>
          <w:szCs w:val="24"/>
        </w:rPr>
        <w:t xml:space="preserve">but also in normal tissues </w:t>
      </w:r>
      <w:r w:rsidRPr="008142FE">
        <w:rPr>
          <w:rFonts w:asciiTheme="majorBidi" w:eastAsia="Times New Roman" w:hAnsiTheme="majorBidi" w:cstheme="majorBidi"/>
          <w:b/>
          <w:bCs/>
          <w:color w:val="0E101A"/>
          <w:sz w:val="24"/>
          <w:szCs w:val="24"/>
        </w:rPr>
        <w:t>[2].</w:t>
      </w:r>
      <w:r w:rsidRPr="008142FE">
        <w:rPr>
          <w:rFonts w:asciiTheme="majorBidi" w:eastAsia="Times New Roman" w:hAnsiTheme="majorBidi" w:cstheme="majorBidi"/>
          <w:color w:val="0E101A"/>
          <w:sz w:val="24"/>
          <w:szCs w:val="24"/>
        </w:rPr>
        <w:t xml:space="preserve"> In normal tissues, they can be found in the heart, muscle cells, platelet </w:t>
      </w:r>
      <w:r w:rsidRPr="008142FE">
        <w:rPr>
          <w:rFonts w:asciiTheme="majorBidi" w:eastAsia="Times New Roman" w:hAnsiTheme="majorBidi" w:cstheme="majorBidi"/>
          <w:color w:val="0E101A"/>
          <w:sz w:val="24"/>
          <w:szCs w:val="24"/>
        </w:rPr>
        <w:lastRenderedPageBreak/>
        <w:t>progenitor megakaryocytes, live</w:t>
      </w:r>
      <w:r>
        <w:rPr>
          <w:rFonts w:asciiTheme="majorBidi" w:eastAsia="Times New Roman" w:hAnsiTheme="majorBidi" w:cstheme="majorBidi"/>
          <w:color w:val="0E101A"/>
          <w:sz w:val="24"/>
          <w:szCs w:val="24"/>
        </w:rPr>
        <w:t xml:space="preserve">r parenchyma, and bladder </w:t>
      </w:r>
      <w:r w:rsidRPr="008142FE">
        <w:rPr>
          <w:rFonts w:asciiTheme="majorBidi" w:eastAsia="Times New Roman" w:hAnsiTheme="majorBidi" w:cstheme="majorBidi"/>
          <w:b/>
          <w:bCs/>
          <w:color w:val="0E101A"/>
          <w:sz w:val="24"/>
          <w:szCs w:val="24"/>
        </w:rPr>
        <w:t>[3].</w:t>
      </w:r>
      <w:r w:rsidRPr="008142FE">
        <w:rPr>
          <w:rFonts w:asciiTheme="majorBidi" w:eastAsia="Times New Roman" w:hAnsiTheme="majorBidi" w:cstheme="majorBidi"/>
          <w:color w:val="0E101A"/>
          <w:sz w:val="24"/>
          <w:szCs w:val="24"/>
        </w:rPr>
        <w:t xml:space="preserve"> In malignant tumors, they appear in malignant epithelium tumors, pancreatic cancer, angiosarcoma, and acute myeloid leukemia </w:t>
      </w:r>
      <w:r w:rsidRPr="008142FE">
        <w:rPr>
          <w:rFonts w:asciiTheme="majorBidi" w:eastAsia="Times New Roman" w:hAnsiTheme="majorBidi" w:cstheme="majorBidi"/>
          <w:b/>
          <w:bCs/>
          <w:color w:val="0E101A"/>
          <w:sz w:val="24"/>
          <w:szCs w:val="24"/>
        </w:rPr>
        <w:t>[4].</w:t>
      </w:r>
      <w:r w:rsidRPr="008142FE">
        <w:rPr>
          <w:rFonts w:asciiTheme="majorBidi" w:eastAsia="Times New Roman" w:hAnsiTheme="majorBidi" w:cstheme="majorBidi"/>
          <w:color w:val="0E101A"/>
          <w:sz w:val="24"/>
          <w:szCs w:val="24"/>
        </w:rPr>
        <w:t xml:space="preserve"> The biological importance of binucleated cells in normal tissue lies in their ability to protect tissues from genetic damage or serve as part of normal development, as seen in liver and heart tissues, where they help prevent cellular degeneration </w:t>
      </w:r>
      <w:r w:rsidRPr="008142FE">
        <w:rPr>
          <w:rFonts w:asciiTheme="majorBidi" w:eastAsia="Times New Roman" w:hAnsiTheme="majorBidi" w:cstheme="majorBidi"/>
          <w:b/>
          <w:bCs/>
          <w:color w:val="0E101A"/>
          <w:sz w:val="24"/>
          <w:szCs w:val="24"/>
        </w:rPr>
        <w:t>[5].</w:t>
      </w:r>
      <w:r w:rsidRPr="008142FE">
        <w:rPr>
          <w:rFonts w:asciiTheme="majorBidi" w:eastAsia="Times New Roman" w:hAnsiTheme="majorBidi" w:cstheme="majorBidi"/>
          <w:color w:val="0E101A"/>
          <w:sz w:val="24"/>
          <w:szCs w:val="24"/>
        </w:rPr>
        <w:t xml:space="preserve"> In tumors, binucleated cells may indicate genetic instability, contributing to tumorigenesis and metastasis. Their presence can be associated with specific stages of tumor development </w:t>
      </w:r>
      <w:r w:rsidRPr="008142FE">
        <w:rPr>
          <w:rFonts w:asciiTheme="majorBidi" w:eastAsia="Times New Roman" w:hAnsiTheme="majorBidi" w:cstheme="majorBidi"/>
          <w:b/>
          <w:bCs/>
          <w:color w:val="0E101A"/>
          <w:sz w:val="24"/>
          <w:szCs w:val="24"/>
        </w:rPr>
        <w:t>[6],</w:t>
      </w:r>
      <w:r w:rsidRPr="008142FE">
        <w:rPr>
          <w:rFonts w:asciiTheme="majorBidi" w:eastAsia="Times New Roman" w:hAnsiTheme="majorBidi" w:cstheme="majorBidi"/>
          <w:color w:val="0E101A"/>
          <w:sz w:val="24"/>
          <w:szCs w:val="24"/>
        </w:rPr>
        <w:t xml:space="preserve"> and may also act as a marker for genetic damage in cancer cells, which facilitates the transformation of normal cells into cancerous ones </w:t>
      </w:r>
      <w:r w:rsidRPr="008142FE">
        <w:rPr>
          <w:rFonts w:asciiTheme="majorBidi" w:eastAsia="Times New Roman" w:hAnsiTheme="majorBidi" w:cstheme="majorBidi"/>
          <w:b/>
          <w:bCs/>
          <w:color w:val="0E101A"/>
          <w:sz w:val="24"/>
          <w:szCs w:val="24"/>
        </w:rPr>
        <w:t>[7].</w:t>
      </w:r>
      <w:r w:rsidRPr="008142FE">
        <w:rPr>
          <w:rFonts w:asciiTheme="majorBidi" w:eastAsia="Times New Roman" w:hAnsiTheme="majorBidi" w:cstheme="majorBidi"/>
          <w:color w:val="0E101A"/>
          <w:sz w:val="24"/>
          <w:szCs w:val="24"/>
        </w:rPr>
        <w:t xml:space="preserve"> There are two different mechanisms for the formation of binucleated cells: cell-cell fusion and abnormal mitosis </w:t>
      </w:r>
      <w:r w:rsidRPr="008142FE">
        <w:rPr>
          <w:rFonts w:asciiTheme="majorBidi" w:eastAsia="Times New Roman" w:hAnsiTheme="majorBidi" w:cstheme="majorBidi"/>
          <w:b/>
          <w:bCs/>
          <w:color w:val="0E101A"/>
          <w:sz w:val="24"/>
          <w:szCs w:val="24"/>
        </w:rPr>
        <w:t>[8].</w:t>
      </w:r>
      <w:r w:rsidRPr="008142FE">
        <w:rPr>
          <w:rFonts w:asciiTheme="majorBidi" w:eastAsia="Times New Roman" w:hAnsiTheme="majorBidi" w:cstheme="majorBidi"/>
          <w:color w:val="0E101A"/>
          <w:sz w:val="24"/>
          <w:szCs w:val="24"/>
        </w:rPr>
        <w:t xml:space="preserve"> Cell fusion is a specialized biological process in which cell membranes merge to create a new cell containing two or more nuclei. This process is crucial in many biological systems </w:t>
      </w:r>
      <w:r w:rsidRPr="00752639">
        <w:rPr>
          <w:rFonts w:asciiTheme="majorBidi" w:eastAsia="Times New Roman" w:hAnsiTheme="majorBidi" w:cstheme="majorBidi"/>
          <w:b/>
          <w:bCs/>
          <w:color w:val="0E101A"/>
          <w:sz w:val="24"/>
          <w:szCs w:val="24"/>
        </w:rPr>
        <w:t>[</w:t>
      </w:r>
      <w:r w:rsidR="00752639" w:rsidRPr="00752639">
        <w:rPr>
          <w:rFonts w:asciiTheme="majorBidi" w:eastAsia="Times New Roman" w:hAnsiTheme="majorBidi" w:cstheme="majorBidi"/>
          <w:b/>
          <w:bCs/>
          <w:color w:val="0E101A"/>
          <w:sz w:val="24"/>
          <w:szCs w:val="24"/>
        </w:rPr>
        <w:t>9</w:t>
      </w:r>
      <w:r w:rsidRPr="00752639">
        <w:rPr>
          <w:rFonts w:asciiTheme="majorBidi" w:eastAsia="Times New Roman" w:hAnsiTheme="majorBidi" w:cstheme="majorBidi"/>
          <w:b/>
          <w:bCs/>
          <w:color w:val="0E101A"/>
          <w:sz w:val="24"/>
          <w:szCs w:val="24"/>
        </w:rPr>
        <w:t xml:space="preserve">]. </w:t>
      </w:r>
      <w:r w:rsidRPr="008142FE">
        <w:rPr>
          <w:rFonts w:asciiTheme="majorBidi" w:eastAsia="Times New Roman" w:hAnsiTheme="majorBidi" w:cstheme="majorBidi"/>
          <w:color w:val="0E101A"/>
          <w:sz w:val="24"/>
          <w:szCs w:val="24"/>
        </w:rPr>
        <w:t xml:space="preserve">Abnormal mitosis refers to a cell division process where errors occur, such as cytokinesis failure </w:t>
      </w:r>
      <w:r w:rsidRPr="00752639">
        <w:rPr>
          <w:rFonts w:asciiTheme="majorBidi" w:eastAsia="Times New Roman" w:hAnsiTheme="majorBidi" w:cstheme="majorBidi"/>
          <w:b/>
          <w:bCs/>
          <w:color w:val="0E101A"/>
          <w:sz w:val="24"/>
          <w:szCs w:val="24"/>
        </w:rPr>
        <w:t>[</w:t>
      </w:r>
      <w:r w:rsidR="00752639" w:rsidRPr="00752639">
        <w:rPr>
          <w:rFonts w:asciiTheme="majorBidi" w:eastAsia="Times New Roman" w:hAnsiTheme="majorBidi" w:cstheme="majorBidi"/>
          <w:b/>
          <w:bCs/>
          <w:color w:val="0E101A"/>
          <w:sz w:val="24"/>
          <w:szCs w:val="24"/>
        </w:rPr>
        <w:t>10</w:t>
      </w:r>
      <w:r w:rsidRPr="00752639">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chromosomal instability, and cellular stress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11</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Binucleated cells may be reversible or irreversible. Reversible binucleated cells can divide and proliferate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12</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whereas irreversible binucleated cells usually undergo cell death or senescence due to significant genetic mutations, preventing them from proliferating or surviving for long periods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13</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While binucleated cells have been linked to certain diseases, their role and underlying mechanisms are not fully understood. There is a need to investigate the biological significance of binucleation and its association with pathological states. This narrative review aims to bridge this gap by summarizing recent findings, highlighting their clinical relevance, and providing a foundation for future research in the field.</w:t>
      </w:r>
    </w:p>
    <w:p w14:paraId="267D4583" w14:textId="77777777" w:rsidR="008664E4" w:rsidRDefault="008664E4" w:rsidP="008664E4">
      <w:pPr>
        <w:spacing w:line="360" w:lineRule="auto"/>
        <w:ind w:right="148"/>
        <w:jc w:val="both"/>
        <w:rPr>
          <w:rFonts w:asciiTheme="majorBidi" w:eastAsia="Times New Roman" w:hAnsiTheme="majorBidi" w:cstheme="majorBidi"/>
          <w:color w:val="0E101A"/>
          <w:sz w:val="24"/>
          <w:szCs w:val="24"/>
        </w:rPr>
      </w:pPr>
    </w:p>
    <w:p w14:paraId="14502501" w14:textId="77777777" w:rsidR="00DD036B" w:rsidRPr="008664E4" w:rsidRDefault="00DD036B" w:rsidP="008664E4">
      <w:pPr>
        <w:spacing w:line="360" w:lineRule="auto"/>
        <w:ind w:right="148"/>
        <w:jc w:val="both"/>
        <w:rPr>
          <w:rFonts w:asciiTheme="majorBidi" w:eastAsia="Times New Roman" w:hAnsiTheme="majorBidi" w:cstheme="majorBidi"/>
          <w:color w:val="0E101A"/>
          <w:sz w:val="24"/>
          <w:szCs w:val="24"/>
        </w:rPr>
        <w:sectPr w:rsidR="00DD036B" w:rsidRPr="008664E4" w:rsidSect="00FF0418">
          <w:headerReference w:type="even" r:id="rId8"/>
          <w:headerReference w:type="default" r:id="rId9"/>
          <w:footerReference w:type="even" r:id="rId10"/>
          <w:footerReference w:type="default" r:id="rId11"/>
          <w:headerReference w:type="first" r:id="rId12"/>
          <w:footerReference w:type="first" r:id="rId13"/>
          <w:pgSz w:w="11910" w:h="16840"/>
          <w:pgMar w:top="1580" w:right="1701" w:bottom="280" w:left="1843" w:header="720" w:footer="720" w:gutter="0"/>
          <w:cols w:space="720"/>
        </w:sectPr>
      </w:pPr>
    </w:p>
    <w:p w14:paraId="61A84B10" w14:textId="77777777" w:rsidR="005E774D" w:rsidRPr="00142FF4" w:rsidRDefault="006D6E9F" w:rsidP="008A34A0">
      <w:pPr>
        <w:spacing w:after="0" w:line="360" w:lineRule="auto"/>
        <w:contextualSpacing/>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lastRenderedPageBreak/>
        <w:t xml:space="preserve">2. </w:t>
      </w:r>
      <w:r w:rsidRPr="006D6E9F">
        <w:rPr>
          <w:rFonts w:asciiTheme="majorBidi" w:eastAsia="Times New Roman" w:hAnsiTheme="majorBidi" w:cstheme="majorBidi"/>
          <w:b/>
          <w:bCs/>
          <w:color w:val="0E101A"/>
          <w:sz w:val="24"/>
          <w:szCs w:val="24"/>
        </w:rPr>
        <w:t>MATERIALS AND METHODS</w:t>
      </w:r>
    </w:p>
    <w:p w14:paraId="10548B64" w14:textId="77777777" w:rsidR="00A54F9D" w:rsidRPr="006D6E9F" w:rsidRDefault="006D6E9F" w:rsidP="006D6E9F">
      <w:pPr>
        <w:spacing w:after="0" w:line="360" w:lineRule="auto"/>
        <w:jc w:val="both"/>
        <w:rPr>
          <w:rFonts w:asciiTheme="majorBidi" w:eastAsia="Times New Roman" w:hAnsiTheme="majorBidi" w:cstheme="majorBidi"/>
          <w:color w:val="0E101A"/>
          <w:sz w:val="24"/>
          <w:szCs w:val="24"/>
        </w:rPr>
      </w:pPr>
      <w:r w:rsidRPr="006D6E9F">
        <w:rPr>
          <w:rFonts w:asciiTheme="majorBidi" w:eastAsia="Times New Roman" w:hAnsiTheme="majorBidi" w:cstheme="majorBidi"/>
          <w:color w:val="0E101A"/>
          <w:sz w:val="24"/>
          <w:szCs w:val="24"/>
        </w:rPr>
        <w:t>In this review, I conducted a narrative analysis and discussed the relevant literature that has studied binucleated cells with various designs. The literature was searched on PubMed, Medline, and Google Scholar using the Chrome browser. The search terms were "binucleated cells", "mechanism of binucleation", "cell fusion", "cytokinesis failure", "binucleated cells in infection", and "polyploidization". The inclusion criteria were the English language, articles addressing research published within the last 10 years. The exclusion criteria included non-English language, articles not addressing the research topic, studies that do not directly focus on binucleated cells, duplicated studies, articles lacking full-text availability, and research published more than 10 years ago. I finally selected a total of 23 studies. Besides these selected studies, several other studies were chosen from their references. The review aimed to answer the following questions: What are binucleated cells</w:t>
      </w:r>
      <w:r w:rsidR="0006459D">
        <w:rPr>
          <w:rFonts w:asciiTheme="majorBidi" w:eastAsia="Times New Roman" w:hAnsiTheme="majorBidi" w:cstheme="majorBidi"/>
          <w:color w:val="0E101A"/>
          <w:sz w:val="24"/>
          <w:szCs w:val="24"/>
        </w:rPr>
        <w:t>,</w:t>
      </w:r>
      <w:r w:rsidRPr="006D6E9F">
        <w:rPr>
          <w:rFonts w:asciiTheme="majorBidi" w:eastAsia="Times New Roman" w:hAnsiTheme="majorBidi" w:cstheme="majorBidi"/>
          <w:color w:val="0E101A"/>
          <w:sz w:val="24"/>
          <w:szCs w:val="24"/>
        </w:rPr>
        <w:t xml:space="preserve"> and how are they formed? What is the role and reasons for binucleated cells in tissue and cytological smears? How are they associated with infections and cancers? And how can binucleated cells be used as diagnostic markers in modern medicine?</w:t>
      </w:r>
    </w:p>
    <w:p w14:paraId="1674485B" w14:textId="77777777" w:rsidR="005347CE" w:rsidRPr="005347CE" w:rsidRDefault="005347CE" w:rsidP="005347CE">
      <w:pPr>
        <w:tabs>
          <w:tab w:val="left" w:pos="1134"/>
        </w:tabs>
        <w:spacing w:before="240" w:after="0" w:line="360" w:lineRule="auto"/>
        <w:jc w:val="both"/>
        <w:rPr>
          <w:rFonts w:ascii="Times New Roman" w:eastAsia="Times New Roman" w:hAnsi="Times New Roman" w:cs="Times New Roman"/>
          <w:b/>
          <w:bCs/>
          <w:color w:val="0E101A"/>
          <w:sz w:val="24"/>
          <w:szCs w:val="24"/>
          <w:lang w:bidi="hi-IN"/>
        </w:rPr>
      </w:pPr>
      <w:r w:rsidRPr="005347CE">
        <w:rPr>
          <w:rFonts w:ascii="Times New Roman" w:eastAsia="Times New Roman" w:hAnsi="Times New Roman" w:cs="Times New Roman"/>
          <w:b/>
          <w:bCs/>
          <w:color w:val="0E101A"/>
          <w:sz w:val="24"/>
          <w:szCs w:val="24"/>
          <w:lang w:bidi="hi-IN"/>
        </w:rPr>
        <w:t>2.1. Binucleated cells in normal tissues</w:t>
      </w:r>
    </w:p>
    <w:p w14:paraId="06089A69" w14:textId="77777777" w:rsidR="005347CE" w:rsidRPr="005347CE" w:rsidRDefault="005347CE" w:rsidP="005347CE">
      <w:pPr>
        <w:tabs>
          <w:tab w:val="left" w:pos="1134"/>
        </w:tabs>
        <w:spacing w:after="0" w:line="360" w:lineRule="auto"/>
        <w:jc w:val="both"/>
        <w:rPr>
          <w:rFonts w:ascii="Times New Roman" w:eastAsia="Times New Roman" w:hAnsi="Times New Roman" w:cs="Times New Roman"/>
          <w:b/>
          <w:bCs/>
          <w:color w:val="0E101A"/>
          <w:sz w:val="24"/>
          <w:szCs w:val="24"/>
          <w:lang w:bidi="hi-IN"/>
        </w:rPr>
      </w:pPr>
      <w:r w:rsidRPr="005347CE">
        <w:rPr>
          <w:rFonts w:ascii="Times New Roman" w:eastAsia="Times New Roman" w:hAnsi="Times New Roman" w:cs="Times New Roman"/>
          <w:b/>
          <w:bCs/>
          <w:color w:val="0E101A"/>
          <w:sz w:val="24"/>
          <w:szCs w:val="24"/>
          <w:lang w:bidi="hi-IN"/>
        </w:rPr>
        <w:t>2.1.1 In bone marrow</w:t>
      </w:r>
    </w:p>
    <w:p w14:paraId="13186F56" w14:textId="77777777" w:rsidR="005347CE" w:rsidRDefault="005347CE" w:rsidP="00981ADA">
      <w:pPr>
        <w:tabs>
          <w:tab w:val="left" w:pos="1134"/>
        </w:tabs>
        <w:spacing w:after="0" w:line="360" w:lineRule="auto"/>
        <w:jc w:val="both"/>
        <w:rPr>
          <w:rFonts w:ascii="Times New Roman" w:eastAsia="Times New Roman" w:hAnsi="Times New Roman" w:cs="Times New Roman"/>
          <w:color w:val="0E101A"/>
          <w:sz w:val="24"/>
          <w:szCs w:val="24"/>
          <w:lang w:bidi="hi-IN"/>
        </w:rPr>
      </w:pPr>
      <w:r w:rsidRPr="005347CE">
        <w:rPr>
          <w:rFonts w:ascii="Times New Roman" w:eastAsia="Times New Roman" w:hAnsi="Times New Roman" w:cs="Times New Roman"/>
          <w:color w:val="0E101A"/>
          <w:sz w:val="24"/>
          <w:szCs w:val="24"/>
          <w:lang w:bidi="hi-IN"/>
        </w:rPr>
        <w:t xml:space="preserve">Recent research challenges the belief that adult cells are restricted to their tissue of origin, highlighting their plasticity and potential to differentiate into unrelated lineages, termed adult cell plasticity </w:t>
      </w:r>
      <w:r w:rsidRPr="009C28A6">
        <w:rPr>
          <w:rFonts w:ascii="Times New Roman" w:eastAsia="Times New Roman" w:hAnsi="Times New Roman" w:cs="Times New Roman"/>
          <w:b/>
          <w:bCs/>
          <w:color w:val="0E101A"/>
          <w:sz w:val="24"/>
          <w:szCs w:val="24"/>
          <w:lang w:bidi="hi-IN"/>
        </w:rPr>
        <w:t>[</w:t>
      </w:r>
      <w:r w:rsidR="009C28A6" w:rsidRPr="009C28A6">
        <w:rPr>
          <w:rFonts w:ascii="Times New Roman" w:eastAsia="Times New Roman" w:hAnsi="Times New Roman" w:cs="Times New Roman"/>
          <w:b/>
          <w:bCs/>
          <w:color w:val="0E101A"/>
          <w:sz w:val="24"/>
          <w:szCs w:val="24"/>
          <w:lang w:bidi="hi-IN"/>
        </w:rPr>
        <w:t>14</w:t>
      </w:r>
      <w:r w:rsidRPr="009C28A6">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This concept emerged from bone marrow transplantation studies, showing that bone marrow-derived cells (BMDCs) could transdifferentiate into neuronal-like cells </w:t>
      </w:r>
      <w:r w:rsidRPr="009C28A6">
        <w:rPr>
          <w:rFonts w:ascii="Times New Roman" w:eastAsia="Times New Roman" w:hAnsi="Times New Roman" w:cs="Times New Roman"/>
          <w:b/>
          <w:bCs/>
          <w:color w:val="0E101A"/>
          <w:sz w:val="24"/>
          <w:szCs w:val="24"/>
          <w:lang w:bidi="hi-IN"/>
        </w:rPr>
        <w:t>[</w:t>
      </w:r>
      <w:r w:rsidR="009C28A6" w:rsidRPr="009C28A6">
        <w:rPr>
          <w:rFonts w:ascii="Times New Roman" w:eastAsia="Times New Roman" w:hAnsi="Times New Roman" w:cs="Times New Roman"/>
          <w:b/>
          <w:bCs/>
          <w:color w:val="0E101A"/>
          <w:sz w:val="24"/>
          <w:szCs w:val="24"/>
          <w:lang w:bidi="hi-IN"/>
        </w:rPr>
        <w:t>15</w:t>
      </w:r>
      <w:r w:rsidRPr="009C28A6">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Bone marrow contains two key stem cell types: hematopoietic stem cells (HSCs), which produce blood cells, and mesenchymal stromal cells (MSCs), which differentiate into mesodermal lineages like osteocytes and adipocytes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16</w:t>
      </w:r>
      <w:r w:rsidRPr="00981ADA">
        <w:rPr>
          <w:rFonts w:ascii="Times New Roman" w:eastAsia="Times New Roman" w:hAnsi="Times New Roman" w:cs="Times New Roman"/>
          <w:b/>
          <w:bCs/>
          <w:color w:val="0E101A"/>
          <w:sz w:val="24"/>
          <w:szCs w:val="24"/>
          <w:lang w:bidi="hi-IN"/>
        </w:rPr>
        <w:t>].</w:t>
      </w:r>
      <w:r>
        <w:rPr>
          <w:rFonts w:ascii="Times New Roman" w:eastAsia="Times New Roman" w:hAnsi="Times New Roman" w:cs="Times New Roman"/>
          <w:color w:val="0E101A"/>
          <w:sz w:val="24"/>
          <w:szCs w:val="24"/>
          <w:lang w:bidi="hi-IN"/>
        </w:rPr>
        <w:t xml:space="preserve"> </w:t>
      </w:r>
      <w:r w:rsidRPr="005347CE">
        <w:rPr>
          <w:rFonts w:ascii="Times New Roman" w:eastAsia="Times New Roman" w:hAnsi="Times New Roman" w:cs="Times New Roman"/>
          <w:color w:val="0E101A"/>
          <w:sz w:val="24"/>
          <w:szCs w:val="24"/>
          <w:lang w:bidi="hi-IN"/>
        </w:rPr>
        <w:t xml:space="preserve">Both BMDCs and MSCs have shown the ability to transdifferentiate into neural-like cells in </w:t>
      </w:r>
      <w:r w:rsidR="00981ADA">
        <w:rPr>
          <w:rFonts w:ascii="Times New Roman" w:eastAsia="Times New Roman" w:hAnsi="Times New Roman" w:cs="Times New Roman"/>
          <w:color w:val="0E101A"/>
          <w:sz w:val="24"/>
          <w:szCs w:val="24"/>
          <w:lang w:bidi="hi-IN"/>
        </w:rPr>
        <w:t xml:space="preserve">vitro </w:t>
      </w:r>
      <w:r w:rsidR="00981ADA" w:rsidRPr="00981ADA">
        <w:rPr>
          <w:rFonts w:ascii="Times New Roman" w:eastAsia="Times New Roman" w:hAnsi="Times New Roman" w:cs="Times New Roman"/>
          <w:b/>
          <w:bCs/>
          <w:color w:val="0E101A"/>
          <w:sz w:val="24"/>
          <w:szCs w:val="24"/>
          <w:lang w:bidi="hi-IN"/>
        </w:rPr>
        <w:t xml:space="preserve">[17] </w:t>
      </w:r>
      <w:r w:rsidR="00981ADA">
        <w:rPr>
          <w:rFonts w:ascii="Times New Roman" w:eastAsia="Times New Roman" w:hAnsi="Times New Roman" w:cs="Times New Roman"/>
          <w:color w:val="0E101A"/>
          <w:sz w:val="24"/>
          <w:szCs w:val="24"/>
          <w:lang w:bidi="hi-IN"/>
        </w:rPr>
        <w:t xml:space="preserve">and in vivo </w:t>
      </w:r>
      <w:r w:rsidR="00981ADA" w:rsidRPr="00981ADA">
        <w:rPr>
          <w:rFonts w:ascii="Times New Roman" w:eastAsia="Times New Roman" w:hAnsi="Times New Roman" w:cs="Times New Roman"/>
          <w:b/>
          <w:bCs/>
          <w:color w:val="0E101A"/>
          <w:sz w:val="24"/>
          <w:szCs w:val="24"/>
          <w:lang w:bidi="hi-IN"/>
        </w:rPr>
        <w:t>[15</w:t>
      </w:r>
      <w:r w:rsidRPr="00981ADA">
        <w:rPr>
          <w:rFonts w:ascii="Times New Roman" w:eastAsia="Times New Roman" w:hAnsi="Times New Roman" w:cs="Times New Roman"/>
          <w:b/>
          <w:bCs/>
          <w:color w:val="0E101A"/>
          <w:sz w:val="24"/>
          <w:szCs w:val="24"/>
          <w:lang w:bidi="hi-IN"/>
        </w:rPr>
        <w:t xml:space="preserve">]. </w:t>
      </w:r>
      <w:r w:rsidRPr="005347CE">
        <w:rPr>
          <w:rFonts w:ascii="Times New Roman" w:eastAsia="Times New Roman" w:hAnsi="Times New Roman" w:cs="Times New Roman"/>
          <w:color w:val="0E101A"/>
          <w:sz w:val="24"/>
          <w:szCs w:val="24"/>
          <w:lang w:bidi="hi-IN"/>
        </w:rPr>
        <w:t xml:space="preserve">However, some studies debate these findings, suggesting neural-like morphologies in vitro may result from cytoplasmic retraction rather than neurite extension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18</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Additionally, BMDCs might fuse with host neurons rather than undergoing </w:t>
      </w:r>
      <w:proofErr w:type="spellStart"/>
      <w:r w:rsidRPr="005347CE">
        <w:rPr>
          <w:rFonts w:ascii="Times New Roman" w:eastAsia="Times New Roman" w:hAnsi="Times New Roman" w:cs="Times New Roman"/>
          <w:color w:val="0E101A"/>
          <w:sz w:val="24"/>
          <w:szCs w:val="24"/>
          <w:lang w:bidi="hi-IN"/>
        </w:rPr>
        <w:t>transdifferentiation</w:t>
      </w:r>
      <w:proofErr w:type="spellEnd"/>
      <w:r w:rsidRPr="005347CE">
        <w:rPr>
          <w:rFonts w:ascii="Times New Roman" w:eastAsia="Times New Roman" w:hAnsi="Times New Roman" w:cs="Times New Roman"/>
          <w:color w:val="0E101A"/>
          <w:sz w:val="24"/>
          <w:szCs w:val="24"/>
          <w:lang w:bidi="hi-IN"/>
        </w:rPr>
        <w:t xml:space="preserve">, explaining the presence of binucleated neurons after BMDC transplantation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19</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Bueno et al.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20</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demonstrated in an experimental study that human BM-MSCs can form binucleated cells, suggesting these cells play a role in neural differentiation without fusing with existing neurons. These findings underscore the </w:t>
      </w:r>
      <w:r w:rsidRPr="005347CE">
        <w:rPr>
          <w:rFonts w:ascii="Times New Roman" w:eastAsia="Times New Roman" w:hAnsi="Times New Roman" w:cs="Times New Roman"/>
          <w:color w:val="0E101A"/>
          <w:sz w:val="24"/>
          <w:szCs w:val="24"/>
          <w:lang w:bidi="hi-IN"/>
        </w:rPr>
        <w:lastRenderedPageBreak/>
        <w:t xml:space="preserve">potential of neuronal </w:t>
      </w:r>
      <w:proofErr w:type="spellStart"/>
      <w:r w:rsidRPr="005347CE">
        <w:rPr>
          <w:rFonts w:ascii="Times New Roman" w:eastAsia="Times New Roman" w:hAnsi="Times New Roman" w:cs="Times New Roman"/>
          <w:color w:val="0E101A"/>
          <w:sz w:val="24"/>
          <w:szCs w:val="24"/>
          <w:lang w:bidi="hi-IN"/>
        </w:rPr>
        <w:t>transdifferentiation</w:t>
      </w:r>
      <w:proofErr w:type="spellEnd"/>
      <w:r w:rsidRPr="005347CE">
        <w:rPr>
          <w:rFonts w:ascii="Times New Roman" w:eastAsia="Times New Roman" w:hAnsi="Times New Roman" w:cs="Times New Roman"/>
          <w:color w:val="0E101A"/>
          <w:sz w:val="24"/>
          <w:szCs w:val="24"/>
          <w:lang w:bidi="hi-IN"/>
        </w:rPr>
        <w:t xml:space="preserve"> and its implications for neurodegenerative disease therapies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21</w:t>
      </w:r>
      <w:r w:rsidRPr="00981ADA">
        <w:rPr>
          <w:rFonts w:ascii="Times New Roman" w:eastAsia="Times New Roman" w:hAnsi="Times New Roman" w:cs="Times New Roman"/>
          <w:b/>
          <w:bCs/>
          <w:color w:val="0E101A"/>
          <w:sz w:val="24"/>
          <w:szCs w:val="24"/>
          <w:lang w:bidi="hi-IN"/>
        </w:rPr>
        <w:t>].</w:t>
      </w:r>
    </w:p>
    <w:p w14:paraId="2B73EAC5" w14:textId="77777777" w:rsidR="00921F02" w:rsidRPr="00921F02" w:rsidRDefault="00921F02" w:rsidP="00921F02">
      <w:pPr>
        <w:tabs>
          <w:tab w:val="left" w:pos="1134"/>
        </w:tabs>
        <w:spacing w:after="0" w:line="360" w:lineRule="auto"/>
        <w:jc w:val="both"/>
        <w:rPr>
          <w:rFonts w:ascii="Times New Roman" w:eastAsia="Times New Roman" w:hAnsi="Times New Roman" w:cs="Times New Roman"/>
          <w:b/>
          <w:bCs/>
          <w:color w:val="0E101A"/>
          <w:sz w:val="24"/>
          <w:szCs w:val="24"/>
          <w:lang w:bidi="hi-IN"/>
        </w:rPr>
      </w:pPr>
      <w:r w:rsidRPr="00921F02">
        <w:rPr>
          <w:rFonts w:ascii="Times New Roman" w:eastAsia="Times New Roman" w:hAnsi="Times New Roman" w:cs="Times New Roman"/>
          <w:b/>
          <w:bCs/>
          <w:color w:val="0E101A"/>
          <w:sz w:val="24"/>
          <w:szCs w:val="24"/>
          <w:lang w:bidi="hi-IN"/>
        </w:rPr>
        <w:t xml:space="preserve">2.1.2. In the </w:t>
      </w:r>
      <w:commentRangeStart w:id="0"/>
      <w:r w:rsidRPr="00921F02">
        <w:rPr>
          <w:rFonts w:ascii="Times New Roman" w:eastAsia="Times New Roman" w:hAnsi="Times New Roman" w:cs="Times New Roman"/>
          <w:b/>
          <w:bCs/>
          <w:color w:val="0E101A"/>
          <w:sz w:val="24"/>
          <w:szCs w:val="24"/>
          <w:lang w:bidi="hi-IN"/>
        </w:rPr>
        <w:t>brain</w:t>
      </w:r>
      <w:commentRangeEnd w:id="0"/>
      <w:r w:rsidR="00B52679">
        <w:rPr>
          <w:rStyle w:val="CommentReference"/>
        </w:rPr>
        <w:commentReference w:id="0"/>
      </w:r>
    </w:p>
    <w:p w14:paraId="190247B5" w14:textId="77777777" w:rsidR="006D6E9F" w:rsidRDefault="00921F02" w:rsidP="00981ADA">
      <w:pPr>
        <w:tabs>
          <w:tab w:val="left" w:pos="1134"/>
        </w:tabs>
        <w:spacing w:after="0" w:line="360" w:lineRule="auto"/>
        <w:jc w:val="both"/>
        <w:rPr>
          <w:rFonts w:ascii="Times New Roman" w:eastAsia="Times New Roman" w:hAnsi="Times New Roman" w:cs="Times New Roman"/>
          <w:color w:val="0E101A"/>
          <w:sz w:val="24"/>
          <w:szCs w:val="24"/>
          <w:lang w:bidi="hi-IN"/>
        </w:rPr>
      </w:pPr>
      <w:r>
        <w:rPr>
          <w:b/>
          <w:noProof/>
          <w:sz w:val="16"/>
        </w:rPr>
        <w:drawing>
          <wp:anchor distT="0" distB="0" distL="0" distR="0" simplePos="0" relativeHeight="251659264" behindDoc="1" locked="0" layoutInCell="1" allowOverlap="1" wp14:anchorId="2E079068" wp14:editId="733BB4C1">
            <wp:simplePos x="0" y="0"/>
            <wp:positionH relativeFrom="page">
              <wp:posOffset>1041400</wp:posOffset>
            </wp:positionH>
            <wp:positionV relativeFrom="paragraph">
              <wp:posOffset>2911475</wp:posOffset>
            </wp:positionV>
            <wp:extent cx="5939790" cy="2311400"/>
            <wp:effectExtent l="0" t="0" r="3810" b="0"/>
            <wp:wrapThrough wrapText="bothSides">
              <wp:wrapPolygon edited="0">
                <wp:start x="0" y="0"/>
                <wp:lineTo x="0" y="21363"/>
                <wp:lineTo x="21545" y="21363"/>
                <wp:lineTo x="21545" y="0"/>
                <wp:lineTo x="0" y="0"/>
              </wp:wrapPolygon>
            </wp:wrapThrough>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5939790" cy="2311400"/>
                    </a:xfrm>
                    <a:prstGeom prst="rect">
                      <a:avLst/>
                    </a:prstGeom>
                  </pic:spPr>
                </pic:pic>
              </a:graphicData>
            </a:graphic>
            <wp14:sizeRelV relativeFrom="margin">
              <wp14:pctHeight>0</wp14:pctHeight>
            </wp14:sizeRelV>
          </wp:anchor>
        </w:drawing>
      </w:r>
      <w:r w:rsidRPr="00921F02">
        <w:rPr>
          <w:rFonts w:ascii="Times New Roman" w:eastAsia="Times New Roman" w:hAnsi="Times New Roman" w:cs="Times New Roman"/>
          <w:color w:val="0E101A"/>
          <w:sz w:val="24"/>
          <w:szCs w:val="24"/>
          <w:lang w:bidi="hi-IN"/>
        </w:rPr>
        <w:t xml:space="preserve">Kemp et al.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22</w:t>
      </w:r>
      <w:r w:rsidRPr="00981ADA">
        <w:rPr>
          <w:rFonts w:ascii="Times New Roman" w:eastAsia="Times New Roman" w:hAnsi="Times New Roman" w:cs="Times New Roman"/>
          <w:b/>
          <w:bCs/>
          <w:color w:val="0E101A"/>
          <w:sz w:val="24"/>
          <w:szCs w:val="24"/>
          <w:lang w:bidi="hi-IN"/>
        </w:rPr>
        <w:t xml:space="preserve">] </w:t>
      </w:r>
      <w:r w:rsidRPr="00921F02">
        <w:rPr>
          <w:rFonts w:ascii="Times New Roman" w:eastAsia="Times New Roman" w:hAnsi="Times New Roman" w:cs="Times New Roman"/>
          <w:color w:val="0E101A"/>
          <w:sz w:val="24"/>
          <w:szCs w:val="24"/>
          <w:lang w:bidi="hi-IN"/>
        </w:rPr>
        <w:t xml:space="preserve">explored the occurrence of binucleated cells in the brain, particularly in cerebellar Purkinje cells, arising from bone marrow cell fusion. This process is believed to occur in response to injury or inflammation and may represent a novel mechanism for neuronal repair. Research indicates that cell fusion events increase under conditions such as aging, radiation exposure, inflammation, and chemotherapy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r w:rsidRPr="00921F02">
        <w:rPr>
          <w:rFonts w:ascii="Times New Roman" w:eastAsia="Times New Roman" w:hAnsi="Times New Roman" w:cs="Times New Roman"/>
          <w:color w:val="0E101A"/>
          <w:sz w:val="24"/>
          <w:szCs w:val="24"/>
          <w:lang w:bidi="hi-IN"/>
        </w:rPr>
        <w:t xml:space="preserve"> The role of immune cell infiltration in forming binucleated cells remains unclear, although soluble factors may significantly influence this process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r w:rsidRPr="00921F02">
        <w:rPr>
          <w:rFonts w:ascii="Times New Roman" w:eastAsia="Times New Roman" w:hAnsi="Times New Roman" w:cs="Times New Roman"/>
          <w:color w:val="0E101A"/>
          <w:sz w:val="24"/>
          <w:szCs w:val="24"/>
          <w:lang w:bidi="hi-IN"/>
        </w:rPr>
        <w:t xml:space="preserve"> Binucleated cells are hypothesized to aid in neuroprotection and the restoration of homeostasis in neurodegenerative diseases, making them a promising area for therapeutic research. These findings provide insights into endogenous neuronal repair mechanisms, potentially offering new avenues for treating neurodegeneration and brain injuries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p>
    <w:p w14:paraId="0785B0D1" w14:textId="77777777" w:rsidR="006D6E9F" w:rsidRDefault="00921F02" w:rsidP="00981ADA">
      <w:pPr>
        <w:tabs>
          <w:tab w:val="left" w:pos="1134"/>
        </w:tabs>
        <w:spacing w:after="0"/>
        <w:jc w:val="both"/>
        <w:rPr>
          <w:rFonts w:ascii="Times New Roman" w:eastAsia="Times New Roman" w:hAnsi="Times New Roman" w:cs="Times New Roman"/>
          <w:color w:val="0E101A"/>
          <w:sz w:val="24"/>
          <w:szCs w:val="24"/>
          <w:lang w:bidi="hi-IN"/>
        </w:rPr>
      </w:pPr>
      <w:r w:rsidRPr="00921F02">
        <w:rPr>
          <w:rFonts w:ascii="Times New Roman" w:eastAsia="Times New Roman" w:hAnsi="Times New Roman" w:cs="Times New Roman"/>
          <w:b/>
          <w:bCs/>
          <w:color w:val="0E101A"/>
          <w:sz w:val="24"/>
          <w:szCs w:val="24"/>
          <w:lang w:bidi="hi-IN"/>
        </w:rPr>
        <w:t>Fig.1</w:t>
      </w:r>
      <w:r w:rsidR="00981ADA">
        <w:rPr>
          <w:rFonts w:ascii="Times New Roman" w:eastAsia="Times New Roman" w:hAnsi="Times New Roman" w:cs="Times New Roman"/>
          <w:b/>
          <w:bCs/>
          <w:color w:val="0E101A"/>
          <w:sz w:val="24"/>
          <w:szCs w:val="24"/>
          <w:lang w:bidi="hi-IN"/>
        </w:rPr>
        <w:t>.</w:t>
      </w:r>
      <w:r>
        <w:rPr>
          <w:rFonts w:ascii="Times New Roman" w:eastAsia="Times New Roman" w:hAnsi="Times New Roman" w:cs="Times New Roman"/>
          <w:color w:val="0E101A"/>
          <w:sz w:val="24"/>
          <w:szCs w:val="24"/>
          <w:lang w:bidi="hi-IN"/>
        </w:rPr>
        <w:t xml:space="preserve"> </w:t>
      </w:r>
      <w:r w:rsidRPr="00921F02">
        <w:rPr>
          <w:rFonts w:ascii="Times New Roman" w:eastAsia="Times New Roman" w:hAnsi="Times New Roman" w:cs="Times New Roman"/>
          <w:color w:val="0E101A"/>
          <w:sz w:val="24"/>
          <w:szCs w:val="24"/>
          <w:lang w:bidi="hi-IN"/>
        </w:rPr>
        <w:t>A binucleated Purkinje cell in the human cerebellum. This 3D confocal image shows cells in the human cerebellum, with Purkinje cells labeled using the Calbindin-D28K marker (green) and DAPI nuclear stain (blue). The hatched region in part (</w:t>
      </w:r>
      <w:r>
        <w:rPr>
          <w:rFonts w:ascii="Times New Roman" w:eastAsia="Times New Roman" w:hAnsi="Times New Roman" w:cs="Times New Roman"/>
          <w:color w:val="0E101A"/>
          <w:sz w:val="24"/>
          <w:szCs w:val="24"/>
          <w:lang w:bidi="hi-IN"/>
        </w:rPr>
        <w:t>A</w:t>
      </w:r>
      <w:r w:rsidRPr="00921F02">
        <w:rPr>
          <w:rFonts w:ascii="Times New Roman" w:eastAsia="Times New Roman" w:hAnsi="Times New Roman" w:cs="Times New Roman"/>
          <w:color w:val="0E101A"/>
          <w:sz w:val="24"/>
          <w:szCs w:val="24"/>
          <w:lang w:bidi="hi-IN"/>
        </w:rPr>
        <w:t>) corresponds to the magnified image shown in part (</w:t>
      </w:r>
      <w:r>
        <w:rPr>
          <w:rFonts w:ascii="Times New Roman" w:eastAsia="Times New Roman" w:hAnsi="Times New Roman" w:cs="Times New Roman"/>
          <w:color w:val="0E101A"/>
          <w:sz w:val="24"/>
          <w:szCs w:val="24"/>
          <w:lang w:bidi="hi-IN"/>
        </w:rPr>
        <w:t>B</w:t>
      </w:r>
      <w:r w:rsidRPr="00921F02">
        <w:rPr>
          <w:rFonts w:ascii="Times New Roman" w:eastAsia="Times New Roman" w:hAnsi="Times New Roman" w:cs="Times New Roman"/>
          <w:color w:val="0E101A"/>
          <w:sz w:val="24"/>
          <w:szCs w:val="24"/>
          <w:lang w:bidi="hi-IN"/>
        </w:rPr>
        <w:t xml:space="preserve">), with a scale bar of 25 </w:t>
      </w:r>
      <w:proofErr w:type="spellStart"/>
      <w:r w:rsidRPr="00921F02">
        <w:rPr>
          <w:rFonts w:ascii="Times New Roman" w:eastAsia="Times New Roman" w:hAnsi="Times New Roman" w:cs="Times New Roman"/>
          <w:color w:val="0E101A"/>
          <w:sz w:val="24"/>
          <w:szCs w:val="24"/>
          <w:lang w:bidi="hi-IN"/>
        </w:rPr>
        <w:t>μm</w:t>
      </w:r>
      <w:proofErr w:type="spellEnd"/>
      <w:r w:rsidRPr="00921F02">
        <w:rPr>
          <w:rFonts w:ascii="Times New Roman" w:eastAsia="Times New Roman" w:hAnsi="Times New Roman" w:cs="Times New Roman"/>
          <w:color w:val="0E101A"/>
          <w:sz w:val="24"/>
          <w:szCs w:val="24"/>
          <w:lang w:bidi="hi-IN"/>
        </w:rPr>
        <w:t xml:space="preserve">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22</w:t>
      </w:r>
      <w:r w:rsidRPr="00981ADA">
        <w:rPr>
          <w:rFonts w:ascii="Times New Roman" w:eastAsia="Times New Roman" w:hAnsi="Times New Roman" w:cs="Times New Roman"/>
          <w:b/>
          <w:bCs/>
          <w:color w:val="0E101A"/>
          <w:sz w:val="24"/>
          <w:szCs w:val="24"/>
          <w:lang w:bidi="hi-IN"/>
        </w:rPr>
        <w:t>].</w:t>
      </w:r>
    </w:p>
    <w:p w14:paraId="2EDCEF09" w14:textId="77777777" w:rsidR="00DC0D12" w:rsidRPr="00DC0D12" w:rsidRDefault="00DC0D12" w:rsidP="00921F02">
      <w:pPr>
        <w:tabs>
          <w:tab w:val="left" w:pos="1134"/>
        </w:tabs>
        <w:spacing w:after="0" w:line="360" w:lineRule="auto"/>
        <w:jc w:val="both"/>
        <w:rPr>
          <w:rFonts w:ascii="Times New Roman" w:eastAsia="Times New Roman" w:hAnsi="Times New Roman" w:cs="Times New Roman"/>
          <w:b/>
          <w:bCs/>
          <w:color w:val="0E101A"/>
          <w:sz w:val="24"/>
          <w:szCs w:val="24"/>
          <w:lang w:bidi="hi-IN"/>
        </w:rPr>
      </w:pPr>
      <w:r w:rsidRPr="00DC0D12">
        <w:rPr>
          <w:rFonts w:ascii="Times New Roman" w:eastAsia="Times New Roman" w:hAnsi="Times New Roman" w:cs="Times New Roman"/>
          <w:b/>
          <w:bCs/>
          <w:color w:val="0E101A"/>
          <w:sz w:val="24"/>
          <w:szCs w:val="24"/>
          <w:lang w:bidi="hi-IN"/>
        </w:rPr>
        <w:t>2.1.3. In the heart</w:t>
      </w:r>
    </w:p>
    <w:p w14:paraId="6CCAED15" w14:textId="77777777" w:rsidR="00DC0D12" w:rsidRDefault="00DC0D12" w:rsidP="0077095C">
      <w:pPr>
        <w:tabs>
          <w:tab w:val="left" w:pos="1134"/>
        </w:tabs>
        <w:spacing w:after="0" w:line="360" w:lineRule="auto"/>
        <w:jc w:val="both"/>
        <w:rPr>
          <w:rFonts w:ascii="Times New Roman" w:eastAsia="Times New Roman" w:hAnsi="Times New Roman" w:cs="Times New Roman"/>
          <w:color w:val="0E101A"/>
          <w:sz w:val="24"/>
          <w:szCs w:val="24"/>
          <w:lang w:bidi="hi-IN"/>
        </w:rPr>
      </w:pPr>
      <w:r w:rsidRPr="00DC0D12">
        <w:rPr>
          <w:rFonts w:ascii="Times New Roman" w:eastAsia="Times New Roman" w:hAnsi="Times New Roman" w:cs="Times New Roman"/>
          <w:color w:val="0E101A"/>
          <w:sz w:val="24"/>
          <w:szCs w:val="24"/>
          <w:lang w:bidi="hi-IN"/>
        </w:rPr>
        <w:t xml:space="preserve">Binucleated cardiomyocytes (CMs) are polyploid heart muscle cells, often resulting from cytokinesis failure during cell division, where cytoplasmic division does not follow nuclear division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24</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These cells are particularly significant due to their enhanced contractile function, larger cellular size, and distinct electrical properties, which are crucial for maintaining coordinated heart rhythms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25</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Binucleated CMs are more prevalent in the </w:t>
      </w:r>
      <w:r w:rsidRPr="00DC0D12">
        <w:rPr>
          <w:rFonts w:ascii="Times New Roman" w:eastAsia="Times New Roman" w:hAnsi="Times New Roman" w:cs="Times New Roman"/>
          <w:color w:val="0E101A"/>
          <w:sz w:val="24"/>
          <w:szCs w:val="24"/>
          <w:lang w:bidi="hi-IN"/>
        </w:rPr>
        <w:lastRenderedPageBreak/>
        <w:t xml:space="preserve">ventricles, supporting their specialized structural and functional roles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26</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 formation of binucleated and polyploid CMs occurs through regulated failures in karyokinesis and cytokinesis, distinct from the uncontrolled mitotic failures seen in cancer cells. This programmed process reduces the proliferative potential of polyploid CMs, limiting their ability to regenerate after injury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27</w:t>
      </w:r>
      <w:r w:rsidRPr="0077095C">
        <w:rPr>
          <w:rFonts w:ascii="Times New Roman" w:eastAsia="Times New Roman" w:hAnsi="Times New Roman" w:cs="Times New Roman"/>
          <w:b/>
          <w:bCs/>
          <w:color w:val="0E101A"/>
          <w:sz w:val="24"/>
          <w:szCs w:val="24"/>
          <w:lang w:bidi="hi-IN"/>
        </w:rPr>
        <w:t xml:space="preserve">]. </w:t>
      </w:r>
      <w:r w:rsidRPr="00DC0D12">
        <w:rPr>
          <w:rFonts w:ascii="Times New Roman" w:eastAsia="Times New Roman" w:hAnsi="Times New Roman" w:cs="Times New Roman"/>
          <w:color w:val="0E101A"/>
          <w:sz w:val="24"/>
          <w:szCs w:val="24"/>
          <w:lang w:bidi="hi-IN"/>
        </w:rPr>
        <w:t xml:space="preserve">Despite questions about transcriptional differences between diploid and polyploid cardiomyocytes, current findings suggest that transcriptional profiles may be more injury-dependent than nucleation-related, necessitating further research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27</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Developing cardiomyocytes possess a greater regenerative capacity due to their ability to divide during the embryonic stage. In contrast, most adult cardiomyocytes lose this capacity postnatally, becoming "</w:t>
      </w:r>
      <w:proofErr w:type="spellStart"/>
      <w:r w:rsidRPr="00DC0D12">
        <w:rPr>
          <w:rFonts w:ascii="Times New Roman" w:eastAsia="Times New Roman" w:hAnsi="Times New Roman" w:cs="Times New Roman"/>
          <w:color w:val="0E101A"/>
          <w:sz w:val="24"/>
          <w:szCs w:val="24"/>
          <w:lang w:bidi="hi-IN"/>
        </w:rPr>
        <w:t>acytokinetic</w:t>
      </w:r>
      <w:proofErr w:type="spellEnd"/>
      <w:r w:rsidRPr="00DC0D12">
        <w:rPr>
          <w:rFonts w:ascii="Times New Roman" w:eastAsia="Times New Roman" w:hAnsi="Times New Roman" w:cs="Times New Roman"/>
          <w:color w:val="0E101A"/>
          <w:sz w:val="24"/>
          <w:szCs w:val="24"/>
          <w:lang w:bidi="hi-IN"/>
        </w:rPr>
        <w:t xml:space="preserve">," which limits heart regeneration after injury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28</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 rise in multinucleated and polyploid CMs is linked to a diminished capacity for regeneration, as these cells cannot effectively replace dead cells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29</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Metabolic reprogramming has been identified as a potential mechanism to enhance the regenerative capacity of the heart. This process increases cell cycle activity in mononuclear diploid CMs, potentially improving cardiac repair post-injury. Activation of developmental signaling pathways in the heart can further promote this reprogramming and enhance recovery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28</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This highlights the role of binucleated cardiomyocytes in heart function, their contribution to cardiac efficiency, and the </w:t>
      </w:r>
      <w:r>
        <w:rPr>
          <w:noProof/>
        </w:rPr>
        <w:drawing>
          <wp:anchor distT="0" distB="0" distL="114300" distR="114300" simplePos="0" relativeHeight="251660288" behindDoc="0" locked="0" layoutInCell="1" allowOverlap="1" wp14:anchorId="54923B2F" wp14:editId="08F569A5">
            <wp:simplePos x="0" y="0"/>
            <wp:positionH relativeFrom="margin">
              <wp:posOffset>57150</wp:posOffset>
            </wp:positionH>
            <wp:positionV relativeFrom="paragraph">
              <wp:posOffset>5351145</wp:posOffset>
            </wp:positionV>
            <wp:extent cx="5485765" cy="2959100"/>
            <wp:effectExtent l="0" t="0" r="635" b="0"/>
            <wp:wrapThrough wrapText="bothSides">
              <wp:wrapPolygon edited="0">
                <wp:start x="0" y="0"/>
                <wp:lineTo x="0" y="21415"/>
                <wp:lineTo x="21527" y="21415"/>
                <wp:lineTo x="21527" y="0"/>
                <wp:lineTo x="0" y="0"/>
              </wp:wrapPolygon>
            </wp:wrapThrough>
            <wp:docPr id="1" name="Picture 1" descr="Cells 12 01571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s 12 01571 g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5765"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D12">
        <w:rPr>
          <w:rFonts w:ascii="Times New Roman" w:eastAsia="Times New Roman" w:hAnsi="Times New Roman" w:cs="Times New Roman"/>
          <w:color w:val="0E101A"/>
          <w:sz w:val="24"/>
          <w:szCs w:val="24"/>
          <w:lang w:bidi="hi-IN"/>
        </w:rPr>
        <w:t>challenges they pose in regeneration and repair.</w:t>
      </w:r>
    </w:p>
    <w:p w14:paraId="3FF61D0A" w14:textId="77777777" w:rsidR="00DC0D12" w:rsidRDefault="00DC0D12" w:rsidP="00921F02">
      <w:pPr>
        <w:tabs>
          <w:tab w:val="left" w:pos="1134"/>
        </w:tabs>
        <w:spacing w:after="0" w:line="360" w:lineRule="auto"/>
        <w:jc w:val="both"/>
        <w:rPr>
          <w:rFonts w:ascii="Times New Roman" w:eastAsia="Times New Roman" w:hAnsi="Times New Roman" w:cs="Times New Roman"/>
          <w:color w:val="0E101A"/>
          <w:sz w:val="24"/>
          <w:szCs w:val="24"/>
          <w:lang w:bidi="hi-IN"/>
        </w:rPr>
      </w:pPr>
    </w:p>
    <w:p w14:paraId="5FC4DD60" w14:textId="77777777" w:rsidR="00AE3A70" w:rsidRPr="0077095C" w:rsidRDefault="00634EE7" w:rsidP="0077095C">
      <w:pPr>
        <w:tabs>
          <w:tab w:val="left" w:pos="1134"/>
        </w:tabs>
        <w:spacing w:after="0"/>
        <w:jc w:val="both"/>
        <w:rPr>
          <w:rFonts w:ascii="Times New Roman" w:eastAsia="Times New Roman" w:hAnsi="Times New Roman" w:cs="Times New Roman"/>
          <w:b/>
          <w:bCs/>
          <w:color w:val="0E101A"/>
          <w:sz w:val="24"/>
          <w:szCs w:val="24"/>
          <w:lang w:bidi="hi-IN"/>
        </w:rPr>
      </w:pPr>
      <w:r w:rsidRPr="0077095C">
        <w:rPr>
          <w:rFonts w:ascii="Times New Roman" w:eastAsia="Times New Roman" w:hAnsi="Times New Roman" w:cs="Times New Roman"/>
          <w:b/>
          <w:bCs/>
          <w:color w:val="0E101A"/>
          <w:sz w:val="24"/>
          <w:szCs w:val="24"/>
          <w:lang w:bidi="hi-IN"/>
        </w:rPr>
        <w:lastRenderedPageBreak/>
        <w:t xml:space="preserve">Fig.2. </w:t>
      </w:r>
      <w:r w:rsidR="00AE3A70" w:rsidRPr="0077095C">
        <w:rPr>
          <w:rFonts w:ascii="Times New Roman" w:eastAsia="Times New Roman" w:hAnsi="Times New Roman" w:cs="Times New Roman"/>
          <w:b/>
          <w:bCs/>
          <w:color w:val="0E101A"/>
          <w:sz w:val="24"/>
          <w:szCs w:val="24"/>
          <w:lang w:bidi="hi-IN"/>
        </w:rPr>
        <w:t>The relationship between cardiomyocyte polyploidy, development, and heart injury [</w:t>
      </w:r>
      <w:r w:rsidR="0077095C" w:rsidRPr="0077095C">
        <w:rPr>
          <w:rFonts w:ascii="Times New Roman" w:eastAsia="Times New Roman" w:hAnsi="Times New Roman" w:cs="Times New Roman"/>
          <w:b/>
          <w:bCs/>
          <w:color w:val="0E101A"/>
          <w:sz w:val="24"/>
          <w:szCs w:val="24"/>
          <w:lang w:bidi="hi-IN"/>
        </w:rPr>
        <w:t>28</w:t>
      </w:r>
      <w:r w:rsidR="00AE3A70" w:rsidRPr="0077095C">
        <w:rPr>
          <w:rFonts w:ascii="Times New Roman" w:eastAsia="Times New Roman" w:hAnsi="Times New Roman" w:cs="Times New Roman"/>
          <w:b/>
          <w:bCs/>
          <w:color w:val="0E101A"/>
          <w:sz w:val="24"/>
          <w:szCs w:val="24"/>
          <w:lang w:bidi="hi-IN"/>
        </w:rPr>
        <w:t>].</w:t>
      </w:r>
    </w:p>
    <w:p w14:paraId="1E6D966D" w14:textId="77777777" w:rsidR="000C46C4" w:rsidRPr="000C46C4" w:rsidRDefault="000C46C4" w:rsidP="000C46C4">
      <w:pPr>
        <w:tabs>
          <w:tab w:val="left" w:pos="1134"/>
        </w:tabs>
        <w:spacing w:after="0" w:line="360" w:lineRule="auto"/>
        <w:jc w:val="both"/>
        <w:rPr>
          <w:rFonts w:ascii="Times New Roman" w:eastAsia="Times New Roman" w:hAnsi="Times New Roman" w:cs="Times New Roman"/>
          <w:b/>
          <w:bCs/>
          <w:color w:val="0E101A"/>
          <w:sz w:val="24"/>
          <w:szCs w:val="24"/>
          <w:lang w:bidi="hi-IN"/>
        </w:rPr>
      </w:pPr>
      <w:r w:rsidRPr="000C46C4">
        <w:rPr>
          <w:rFonts w:ascii="Times New Roman" w:eastAsia="Times New Roman" w:hAnsi="Times New Roman" w:cs="Times New Roman"/>
          <w:b/>
          <w:bCs/>
          <w:color w:val="0E101A"/>
          <w:sz w:val="24"/>
          <w:szCs w:val="24"/>
          <w:lang w:bidi="hi-IN"/>
        </w:rPr>
        <w:t>2.1.4. In Liver</w:t>
      </w:r>
    </w:p>
    <w:p w14:paraId="6D30924F" w14:textId="77777777" w:rsidR="006D6E9F" w:rsidRDefault="000C46C4" w:rsidP="0077095C">
      <w:pPr>
        <w:tabs>
          <w:tab w:val="left" w:pos="1134"/>
        </w:tabs>
        <w:spacing w:after="0" w:line="360" w:lineRule="auto"/>
        <w:jc w:val="both"/>
        <w:rPr>
          <w:rFonts w:ascii="Times New Roman" w:eastAsia="Times New Roman" w:hAnsi="Times New Roman" w:cs="Times New Roman"/>
          <w:color w:val="0E101A"/>
          <w:sz w:val="24"/>
          <w:szCs w:val="24"/>
          <w:lang w:bidi="hi-IN"/>
        </w:rPr>
      </w:pPr>
      <w:r>
        <w:rPr>
          <w:b/>
          <w:noProof/>
          <w:sz w:val="16"/>
        </w:rPr>
        <w:drawing>
          <wp:anchor distT="0" distB="0" distL="0" distR="0" simplePos="0" relativeHeight="251662336" behindDoc="1" locked="0" layoutInCell="1" allowOverlap="1" wp14:anchorId="49E2A42D" wp14:editId="16C125E5">
            <wp:simplePos x="0" y="0"/>
            <wp:positionH relativeFrom="margin">
              <wp:posOffset>-330200</wp:posOffset>
            </wp:positionH>
            <wp:positionV relativeFrom="paragraph">
              <wp:posOffset>3747135</wp:posOffset>
            </wp:positionV>
            <wp:extent cx="6149340" cy="2959100"/>
            <wp:effectExtent l="0" t="0" r="3810" b="0"/>
            <wp:wrapThrough wrapText="bothSides">
              <wp:wrapPolygon edited="0">
                <wp:start x="0" y="0"/>
                <wp:lineTo x="0" y="21415"/>
                <wp:lineTo x="21546" y="21415"/>
                <wp:lineTo x="21546" y="0"/>
                <wp:lineTo x="0" y="0"/>
              </wp:wrapPolygon>
            </wp:wrapThrough>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6149340" cy="2959100"/>
                    </a:xfrm>
                    <a:prstGeom prst="rect">
                      <a:avLst/>
                    </a:prstGeom>
                  </pic:spPr>
                </pic:pic>
              </a:graphicData>
            </a:graphic>
            <wp14:sizeRelV relativeFrom="margin">
              <wp14:pctHeight>0</wp14:pctHeight>
            </wp14:sizeRelV>
          </wp:anchor>
        </w:drawing>
      </w:r>
      <w:r w:rsidRPr="000C46C4">
        <w:rPr>
          <w:rFonts w:ascii="Times New Roman" w:eastAsia="Times New Roman" w:hAnsi="Times New Roman" w:cs="Times New Roman"/>
          <w:color w:val="0E101A"/>
          <w:sz w:val="24"/>
          <w:szCs w:val="24"/>
          <w:lang w:bidi="hi-IN"/>
        </w:rPr>
        <w:t xml:space="preserve">The liver is an organ that carries out essential functions such as nutrient synthesis and distribution, storage of amino acids, lipids, and carbohydrates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30</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These functions are conducted primarily by hepatocytes. At birth, every hepatocyte contains a single nucleus with a 2n DNA content, making them diploid. As development progresses after birth, hepatocytes typically become polyploid due to the failure of cytokinesis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31</w:t>
      </w:r>
      <w:r w:rsidRPr="0077095C">
        <w:rPr>
          <w:rFonts w:ascii="Times New Roman" w:eastAsia="Times New Roman" w:hAnsi="Times New Roman" w:cs="Times New Roman"/>
          <w:b/>
          <w:bCs/>
          <w:color w:val="0E101A"/>
          <w:sz w:val="24"/>
          <w:szCs w:val="24"/>
          <w:lang w:bidi="hi-IN"/>
        </w:rPr>
        <w:t xml:space="preserve">]. </w:t>
      </w:r>
      <w:r w:rsidRPr="000C46C4">
        <w:rPr>
          <w:rFonts w:ascii="Times New Roman" w:eastAsia="Times New Roman" w:hAnsi="Times New Roman" w:cs="Times New Roman"/>
          <w:color w:val="0E101A"/>
          <w:sz w:val="24"/>
          <w:szCs w:val="24"/>
          <w:lang w:bidi="hi-IN"/>
        </w:rPr>
        <w:t xml:space="preserve">Polyploid hepatocytes can take many forms: they can be tetraploid (binucleated with two 2n nuclei or mononucleated with one 4n nucleus) or </w:t>
      </w:r>
      <w:proofErr w:type="spellStart"/>
      <w:r w:rsidRPr="000C46C4">
        <w:rPr>
          <w:rFonts w:ascii="Times New Roman" w:eastAsia="Times New Roman" w:hAnsi="Times New Roman" w:cs="Times New Roman"/>
          <w:color w:val="0E101A"/>
          <w:sz w:val="24"/>
          <w:szCs w:val="24"/>
          <w:lang w:bidi="hi-IN"/>
        </w:rPr>
        <w:t>octaploid</w:t>
      </w:r>
      <w:proofErr w:type="spellEnd"/>
      <w:r w:rsidRPr="000C46C4">
        <w:rPr>
          <w:rFonts w:ascii="Times New Roman" w:eastAsia="Times New Roman" w:hAnsi="Times New Roman" w:cs="Times New Roman"/>
          <w:color w:val="0E101A"/>
          <w:sz w:val="24"/>
          <w:szCs w:val="24"/>
          <w:lang w:bidi="hi-IN"/>
        </w:rPr>
        <w:t xml:space="preserve"> (binucleated with two 4n nuclei or mononucleated with one 8n nucleus), and the proportion of polyploid hepatocytes rises with age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32</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The mechanisms that can lead to polyploidization in hepatocytes are: cell fusion and alternative cell cycling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33</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Zhang et al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34</w:t>
      </w:r>
      <w:r w:rsidRPr="0077095C">
        <w:rPr>
          <w:rFonts w:ascii="Times New Roman" w:eastAsia="Times New Roman" w:hAnsi="Times New Roman" w:cs="Times New Roman"/>
          <w:b/>
          <w:bCs/>
          <w:color w:val="0E101A"/>
          <w:sz w:val="24"/>
          <w:szCs w:val="24"/>
          <w:lang w:bidi="hi-IN"/>
        </w:rPr>
        <w:t xml:space="preserve">] </w:t>
      </w:r>
      <w:r w:rsidRPr="000C46C4">
        <w:rPr>
          <w:rFonts w:ascii="Times New Roman" w:eastAsia="Times New Roman" w:hAnsi="Times New Roman" w:cs="Times New Roman"/>
          <w:color w:val="0E101A"/>
          <w:sz w:val="24"/>
          <w:szCs w:val="24"/>
          <w:lang w:bidi="hi-IN"/>
        </w:rPr>
        <w:t xml:space="preserve">conducted a review article on the origins and functions of hepatic polyploidy and hypothesized that polyploidy in the liver is regulated during development and in response to cellular stress or disease. It is hypothesized that polyploidy enhances the metabolic capacity of hepatocytes to support rapid growth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35</w:t>
      </w:r>
      <w:r w:rsidRPr="0077095C">
        <w:rPr>
          <w:rFonts w:ascii="Times New Roman" w:eastAsia="Times New Roman" w:hAnsi="Times New Roman" w:cs="Times New Roman"/>
          <w:b/>
          <w:bCs/>
          <w:color w:val="0E101A"/>
          <w:sz w:val="24"/>
          <w:szCs w:val="24"/>
          <w:lang w:bidi="hi-IN"/>
        </w:rPr>
        <w:t>].</w:t>
      </w:r>
    </w:p>
    <w:p w14:paraId="7B69E22C" w14:textId="77777777" w:rsidR="000C46C4" w:rsidRPr="000C46C4" w:rsidRDefault="000C46C4" w:rsidP="000C46C4">
      <w:pPr>
        <w:tabs>
          <w:tab w:val="left" w:pos="1134"/>
        </w:tabs>
        <w:spacing w:after="0" w:line="360" w:lineRule="auto"/>
        <w:jc w:val="both"/>
        <w:rPr>
          <w:rFonts w:ascii="Times New Roman" w:eastAsia="Times New Roman" w:hAnsi="Times New Roman" w:cs="Times New Roman"/>
          <w:color w:val="0E101A"/>
          <w:sz w:val="18"/>
          <w:szCs w:val="18"/>
          <w:lang w:bidi="hi-IN"/>
        </w:rPr>
      </w:pPr>
    </w:p>
    <w:p w14:paraId="2816AD65" w14:textId="77777777" w:rsidR="000C46C4" w:rsidRDefault="000C46C4" w:rsidP="0077095C">
      <w:pPr>
        <w:pStyle w:val="BodyText"/>
        <w:spacing w:before="47"/>
        <w:jc w:val="both"/>
        <w:rPr>
          <w:b/>
          <w:bCs/>
          <w:spacing w:val="-4"/>
          <w:sz w:val="24"/>
          <w:szCs w:val="24"/>
        </w:rPr>
      </w:pPr>
      <w:r w:rsidRPr="0077095C">
        <w:rPr>
          <w:b/>
          <w:bCs/>
          <w:spacing w:val="-4"/>
          <w:sz w:val="24"/>
          <w:szCs w:val="24"/>
        </w:rPr>
        <w:t>Fig.3. Polyploid</w:t>
      </w:r>
      <w:r w:rsidRPr="0077095C">
        <w:rPr>
          <w:b/>
          <w:bCs/>
          <w:spacing w:val="-22"/>
          <w:sz w:val="24"/>
          <w:szCs w:val="24"/>
        </w:rPr>
        <w:t xml:space="preserve"> </w:t>
      </w:r>
      <w:r w:rsidRPr="0077095C">
        <w:rPr>
          <w:b/>
          <w:bCs/>
          <w:spacing w:val="-4"/>
          <w:sz w:val="24"/>
          <w:szCs w:val="24"/>
        </w:rPr>
        <w:t>hepatocytes</w:t>
      </w:r>
      <w:r w:rsidRPr="0077095C">
        <w:rPr>
          <w:b/>
          <w:bCs/>
          <w:spacing w:val="-24"/>
          <w:sz w:val="24"/>
          <w:szCs w:val="24"/>
        </w:rPr>
        <w:t xml:space="preserve"> </w:t>
      </w:r>
      <w:r w:rsidRPr="0077095C">
        <w:rPr>
          <w:b/>
          <w:bCs/>
          <w:spacing w:val="-4"/>
          <w:sz w:val="24"/>
          <w:szCs w:val="24"/>
        </w:rPr>
        <w:t>safeguard</w:t>
      </w:r>
      <w:r w:rsidRPr="0077095C">
        <w:rPr>
          <w:b/>
          <w:bCs/>
          <w:spacing w:val="-22"/>
          <w:sz w:val="24"/>
          <w:szCs w:val="24"/>
        </w:rPr>
        <w:t xml:space="preserve"> </w:t>
      </w:r>
      <w:r w:rsidRPr="0077095C">
        <w:rPr>
          <w:b/>
          <w:bCs/>
          <w:spacing w:val="-4"/>
          <w:sz w:val="24"/>
          <w:szCs w:val="24"/>
        </w:rPr>
        <w:t>the</w:t>
      </w:r>
      <w:r w:rsidRPr="0077095C">
        <w:rPr>
          <w:b/>
          <w:bCs/>
          <w:spacing w:val="-23"/>
          <w:sz w:val="24"/>
          <w:szCs w:val="24"/>
        </w:rPr>
        <w:t xml:space="preserve"> </w:t>
      </w:r>
      <w:r w:rsidRPr="0077095C">
        <w:rPr>
          <w:b/>
          <w:bCs/>
          <w:spacing w:val="-4"/>
          <w:sz w:val="24"/>
          <w:szCs w:val="24"/>
        </w:rPr>
        <w:t>liver</w:t>
      </w:r>
      <w:r w:rsidRPr="0077095C">
        <w:rPr>
          <w:b/>
          <w:bCs/>
          <w:spacing w:val="-22"/>
          <w:sz w:val="24"/>
          <w:szCs w:val="24"/>
        </w:rPr>
        <w:t xml:space="preserve"> </w:t>
      </w:r>
      <w:r w:rsidRPr="0077095C">
        <w:rPr>
          <w:b/>
          <w:bCs/>
          <w:spacing w:val="-4"/>
          <w:sz w:val="24"/>
          <w:szCs w:val="24"/>
        </w:rPr>
        <w:t>against</w:t>
      </w:r>
      <w:r w:rsidRPr="0077095C">
        <w:rPr>
          <w:b/>
          <w:bCs/>
          <w:spacing w:val="-25"/>
          <w:sz w:val="24"/>
          <w:szCs w:val="24"/>
        </w:rPr>
        <w:t xml:space="preserve"> </w:t>
      </w:r>
      <w:r w:rsidRPr="0077095C">
        <w:rPr>
          <w:b/>
          <w:bCs/>
          <w:spacing w:val="-4"/>
          <w:sz w:val="24"/>
          <w:szCs w:val="24"/>
        </w:rPr>
        <w:t>tumorigenesis</w:t>
      </w:r>
      <w:r w:rsidRPr="0077095C">
        <w:rPr>
          <w:b/>
          <w:bCs/>
          <w:spacing w:val="-23"/>
          <w:sz w:val="24"/>
          <w:szCs w:val="24"/>
        </w:rPr>
        <w:t xml:space="preserve"> </w:t>
      </w:r>
      <w:r w:rsidRPr="0077095C">
        <w:rPr>
          <w:b/>
          <w:bCs/>
          <w:spacing w:val="-4"/>
          <w:sz w:val="24"/>
          <w:szCs w:val="24"/>
        </w:rPr>
        <w:t>induced</w:t>
      </w:r>
      <w:r w:rsidRPr="0077095C">
        <w:rPr>
          <w:b/>
          <w:bCs/>
          <w:spacing w:val="-22"/>
          <w:sz w:val="24"/>
          <w:szCs w:val="24"/>
        </w:rPr>
        <w:t xml:space="preserve"> </w:t>
      </w:r>
      <w:r w:rsidRPr="0077095C">
        <w:rPr>
          <w:b/>
          <w:bCs/>
          <w:spacing w:val="-4"/>
          <w:sz w:val="24"/>
          <w:szCs w:val="24"/>
        </w:rPr>
        <w:t>by</w:t>
      </w:r>
      <w:r w:rsidRPr="0077095C">
        <w:rPr>
          <w:b/>
          <w:bCs/>
          <w:spacing w:val="-21"/>
          <w:sz w:val="24"/>
          <w:szCs w:val="24"/>
        </w:rPr>
        <w:t xml:space="preserve"> </w:t>
      </w:r>
      <w:r w:rsidRPr="0077095C">
        <w:rPr>
          <w:b/>
          <w:bCs/>
          <w:spacing w:val="-4"/>
          <w:sz w:val="24"/>
          <w:szCs w:val="24"/>
        </w:rPr>
        <w:t>mutagens</w:t>
      </w:r>
      <w:r w:rsidRPr="0077095C">
        <w:rPr>
          <w:b/>
          <w:bCs/>
          <w:spacing w:val="-23"/>
          <w:sz w:val="24"/>
          <w:szCs w:val="24"/>
        </w:rPr>
        <w:t xml:space="preserve"> </w:t>
      </w:r>
      <w:r w:rsidRPr="0077095C">
        <w:rPr>
          <w:b/>
          <w:bCs/>
          <w:spacing w:val="-4"/>
          <w:sz w:val="24"/>
          <w:szCs w:val="24"/>
        </w:rPr>
        <w:t>[</w:t>
      </w:r>
      <w:r w:rsidR="0077095C" w:rsidRPr="0077095C">
        <w:rPr>
          <w:b/>
          <w:bCs/>
          <w:spacing w:val="-4"/>
          <w:sz w:val="24"/>
          <w:szCs w:val="24"/>
        </w:rPr>
        <w:t>34</w:t>
      </w:r>
      <w:r w:rsidRPr="0077095C">
        <w:rPr>
          <w:b/>
          <w:bCs/>
          <w:spacing w:val="-4"/>
          <w:sz w:val="24"/>
          <w:szCs w:val="24"/>
        </w:rPr>
        <w:t>].</w:t>
      </w:r>
    </w:p>
    <w:p w14:paraId="0906B577" w14:textId="77777777" w:rsidR="0077095C" w:rsidRDefault="0077095C" w:rsidP="0077095C">
      <w:pPr>
        <w:pStyle w:val="BodyText"/>
        <w:spacing w:before="47"/>
        <w:jc w:val="both"/>
        <w:rPr>
          <w:b/>
          <w:bCs/>
          <w:spacing w:val="-4"/>
          <w:sz w:val="24"/>
          <w:szCs w:val="24"/>
        </w:rPr>
      </w:pPr>
    </w:p>
    <w:p w14:paraId="616C4B6E" w14:textId="77777777" w:rsidR="0077095C" w:rsidRPr="0077095C" w:rsidRDefault="0077095C" w:rsidP="0077095C">
      <w:pPr>
        <w:pStyle w:val="BodyText"/>
        <w:spacing w:before="47"/>
        <w:jc w:val="both"/>
        <w:rPr>
          <w:b/>
          <w:bCs/>
          <w:spacing w:val="-4"/>
          <w:sz w:val="24"/>
          <w:szCs w:val="24"/>
        </w:rPr>
      </w:pPr>
    </w:p>
    <w:p w14:paraId="12969374" w14:textId="77777777" w:rsidR="00B24ECA" w:rsidRPr="00B24ECA" w:rsidRDefault="00B24ECA" w:rsidP="00B24ECA">
      <w:pPr>
        <w:pStyle w:val="BodyText"/>
        <w:spacing w:before="47"/>
        <w:jc w:val="both"/>
        <w:rPr>
          <w:b/>
          <w:bCs/>
          <w:sz w:val="24"/>
          <w:szCs w:val="24"/>
        </w:rPr>
      </w:pPr>
      <w:r w:rsidRPr="00B24ECA">
        <w:rPr>
          <w:b/>
          <w:bCs/>
          <w:sz w:val="24"/>
          <w:szCs w:val="24"/>
        </w:rPr>
        <w:lastRenderedPageBreak/>
        <w:t>2.1.5. In the lung</w:t>
      </w:r>
    </w:p>
    <w:p w14:paraId="35A39079" w14:textId="77777777" w:rsidR="00B24ECA" w:rsidRPr="00B24ECA" w:rsidRDefault="00B24ECA" w:rsidP="0077095C">
      <w:pPr>
        <w:pStyle w:val="BodyText"/>
        <w:spacing w:before="47" w:line="360" w:lineRule="auto"/>
        <w:jc w:val="both"/>
        <w:rPr>
          <w:sz w:val="24"/>
          <w:szCs w:val="24"/>
        </w:rPr>
      </w:pPr>
      <w:r w:rsidRPr="00B24ECA">
        <w:rPr>
          <w:sz w:val="24"/>
          <w:szCs w:val="24"/>
        </w:rPr>
        <w:t xml:space="preserve">Guild et al </w:t>
      </w:r>
      <w:r w:rsidRPr="0077095C">
        <w:rPr>
          <w:b/>
          <w:bCs/>
          <w:sz w:val="24"/>
          <w:szCs w:val="24"/>
        </w:rPr>
        <w:t>[</w:t>
      </w:r>
      <w:r w:rsidR="0077095C" w:rsidRPr="0077095C">
        <w:rPr>
          <w:b/>
          <w:bCs/>
          <w:sz w:val="24"/>
          <w:szCs w:val="24"/>
        </w:rPr>
        <w:t>35</w:t>
      </w:r>
      <w:r w:rsidRPr="0077095C">
        <w:rPr>
          <w:b/>
          <w:bCs/>
          <w:sz w:val="24"/>
          <w:szCs w:val="24"/>
        </w:rPr>
        <w:t>]</w:t>
      </w:r>
      <w:r w:rsidRPr="00B24ECA">
        <w:rPr>
          <w:sz w:val="24"/>
          <w:szCs w:val="24"/>
        </w:rPr>
        <w:t xml:space="preserve"> conducted an experimental study on evidence for lung barrier regeneration by differentiation before binucleated and stem cell division, focused on understanding the mechanisms of lung tissue repair after injury, specifically in the alveolar epithelial layer, the study explores how cells regenerate, particularly the role of stem cells (</w:t>
      </w:r>
      <w:commentRangeStart w:id="1"/>
      <w:r w:rsidRPr="00B24ECA">
        <w:rPr>
          <w:sz w:val="24"/>
          <w:szCs w:val="24"/>
        </w:rPr>
        <w:t>AT2</w:t>
      </w:r>
      <w:commentRangeEnd w:id="1"/>
      <w:r w:rsidR="000C6111">
        <w:rPr>
          <w:rStyle w:val="CommentReference"/>
          <w:rFonts w:asciiTheme="minorHAnsi" w:eastAsiaTheme="minorHAnsi" w:hAnsiTheme="minorHAnsi" w:cstheme="minorBidi"/>
        </w:rPr>
        <w:commentReference w:id="1"/>
      </w:r>
      <w:r w:rsidRPr="00B24ECA">
        <w:rPr>
          <w:sz w:val="24"/>
          <w:szCs w:val="24"/>
        </w:rPr>
        <w:t xml:space="preserve">) and binucleated cells in tissue repair. The lung epithelium consists of a thin cellular layer that plays a dual role in gas exchange and preventing fluid leakage from capillaries into alveoli </w:t>
      </w:r>
      <w:r w:rsidRPr="0077095C">
        <w:rPr>
          <w:b/>
          <w:bCs/>
          <w:sz w:val="24"/>
          <w:szCs w:val="24"/>
        </w:rPr>
        <w:t>[</w:t>
      </w:r>
      <w:r w:rsidR="0077095C" w:rsidRPr="0077095C">
        <w:rPr>
          <w:b/>
          <w:bCs/>
          <w:sz w:val="24"/>
          <w:szCs w:val="24"/>
        </w:rPr>
        <w:t>36</w:t>
      </w:r>
      <w:r w:rsidRPr="0077095C">
        <w:rPr>
          <w:b/>
          <w:bCs/>
          <w:sz w:val="24"/>
          <w:szCs w:val="24"/>
        </w:rPr>
        <w:t>].</w:t>
      </w:r>
      <w:r>
        <w:rPr>
          <w:sz w:val="24"/>
          <w:szCs w:val="24"/>
        </w:rPr>
        <w:t xml:space="preserve"> </w:t>
      </w:r>
      <w:r w:rsidRPr="00B24ECA">
        <w:rPr>
          <w:sz w:val="24"/>
          <w:szCs w:val="24"/>
        </w:rPr>
        <w:t xml:space="preserve">Given these limitations, the alveolar epithelium has developed into a fragile, simple monolayer made up of cuboidal, surfactant-producing alveolar type II (AT2) cells and extremely thin alveolar type I (AT1) cells </w:t>
      </w:r>
      <w:r w:rsidRPr="0077095C">
        <w:rPr>
          <w:b/>
          <w:bCs/>
          <w:sz w:val="24"/>
          <w:szCs w:val="24"/>
        </w:rPr>
        <w:t>[</w:t>
      </w:r>
      <w:r w:rsidR="0077095C" w:rsidRPr="0077095C">
        <w:rPr>
          <w:b/>
          <w:bCs/>
          <w:sz w:val="24"/>
          <w:szCs w:val="24"/>
        </w:rPr>
        <w:t>37</w:t>
      </w:r>
      <w:r w:rsidRPr="0077095C">
        <w:rPr>
          <w:b/>
          <w:bCs/>
          <w:sz w:val="24"/>
          <w:szCs w:val="24"/>
        </w:rPr>
        <w:t>].</w:t>
      </w:r>
      <w:r w:rsidRPr="00B24ECA">
        <w:rPr>
          <w:sz w:val="24"/>
          <w:szCs w:val="24"/>
        </w:rPr>
        <w:t xml:space="preserve"> When this epithelium layer is damaged, it is rapidly repaired without scarring through the action of </w:t>
      </w:r>
      <w:commentRangeStart w:id="2"/>
      <w:r w:rsidRPr="000C6111">
        <w:rPr>
          <w:strike/>
          <w:sz w:val="24"/>
          <w:szCs w:val="24"/>
        </w:rPr>
        <w:t>alveolar type II</w:t>
      </w:r>
      <w:r w:rsidRPr="00B24ECA">
        <w:rPr>
          <w:sz w:val="24"/>
          <w:szCs w:val="24"/>
        </w:rPr>
        <w:t xml:space="preserve"> (</w:t>
      </w:r>
      <w:commentRangeEnd w:id="2"/>
      <w:r w:rsidR="000C6111">
        <w:rPr>
          <w:rStyle w:val="CommentReference"/>
          <w:rFonts w:asciiTheme="minorHAnsi" w:eastAsiaTheme="minorHAnsi" w:hAnsiTheme="minorHAnsi" w:cstheme="minorBidi"/>
        </w:rPr>
        <w:commentReference w:id="2"/>
      </w:r>
      <w:r w:rsidRPr="00B24ECA">
        <w:rPr>
          <w:sz w:val="24"/>
          <w:szCs w:val="24"/>
        </w:rPr>
        <w:t xml:space="preserve">AT2) stem cells, which differentiate into </w:t>
      </w:r>
      <w:r w:rsidRPr="000C6111">
        <w:rPr>
          <w:strike/>
          <w:sz w:val="24"/>
          <w:szCs w:val="24"/>
        </w:rPr>
        <w:t>alveolar type I</w:t>
      </w:r>
      <w:r w:rsidRPr="00B24ECA">
        <w:rPr>
          <w:sz w:val="24"/>
          <w:szCs w:val="24"/>
        </w:rPr>
        <w:t xml:space="preserve"> (AT1) cells to restore functionality </w:t>
      </w:r>
      <w:r w:rsidRPr="0077095C">
        <w:rPr>
          <w:b/>
          <w:bCs/>
          <w:sz w:val="24"/>
          <w:szCs w:val="24"/>
        </w:rPr>
        <w:t>[</w:t>
      </w:r>
      <w:r w:rsidR="0077095C" w:rsidRPr="0077095C">
        <w:rPr>
          <w:b/>
          <w:bCs/>
          <w:sz w:val="24"/>
          <w:szCs w:val="24"/>
        </w:rPr>
        <w:t>38</w:t>
      </w:r>
      <w:r w:rsidRPr="0077095C">
        <w:rPr>
          <w:b/>
          <w:bCs/>
          <w:sz w:val="24"/>
          <w:szCs w:val="24"/>
        </w:rPr>
        <w:t>].</w:t>
      </w:r>
      <w:r w:rsidRPr="00B24ECA">
        <w:rPr>
          <w:sz w:val="24"/>
          <w:szCs w:val="24"/>
        </w:rPr>
        <w:t xml:space="preserve"> Binucleated AT2 cells play a critical role in the repair process. When AT2 cells are depleted due to their transformation into AT1 cells, binucleated cells undergo a unique division process. First, they undergo ploidy reduction (reduction in DNA content), followed by further stages of cell division to replenish the depleted AT2 cells. This process is regulated by epidermal growth factor receptors (EGFR) and the surrounding cellular microenvironment, ensuring rapid and efficient repair to maintain alveolar function </w:t>
      </w:r>
      <w:r w:rsidRPr="0077095C">
        <w:rPr>
          <w:b/>
          <w:bCs/>
          <w:sz w:val="24"/>
          <w:szCs w:val="24"/>
        </w:rPr>
        <w:t>[</w:t>
      </w:r>
      <w:r w:rsidR="0077095C" w:rsidRPr="0077095C">
        <w:rPr>
          <w:b/>
          <w:bCs/>
          <w:sz w:val="24"/>
          <w:szCs w:val="24"/>
        </w:rPr>
        <w:t>38</w:t>
      </w:r>
      <w:r w:rsidRPr="0077095C">
        <w:rPr>
          <w:b/>
          <w:bCs/>
          <w:sz w:val="24"/>
          <w:szCs w:val="24"/>
        </w:rPr>
        <w:t>].</w:t>
      </w:r>
    </w:p>
    <w:p w14:paraId="5EEA48CC" w14:textId="77777777" w:rsidR="00B24ECA" w:rsidRPr="00B24ECA" w:rsidRDefault="00B24ECA" w:rsidP="00B24ECA">
      <w:pPr>
        <w:pStyle w:val="BodyText"/>
        <w:spacing w:before="47" w:line="360" w:lineRule="auto"/>
        <w:jc w:val="both"/>
        <w:rPr>
          <w:b/>
          <w:bCs/>
          <w:sz w:val="24"/>
          <w:szCs w:val="24"/>
        </w:rPr>
      </w:pPr>
      <w:r w:rsidRPr="00B24ECA">
        <w:rPr>
          <w:b/>
          <w:bCs/>
          <w:sz w:val="24"/>
          <w:szCs w:val="24"/>
        </w:rPr>
        <w:t>2.1.6. In renal and urothelium</w:t>
      </w:r>
    </w:p>
    <w:p w14:paraId="5CF7A7F4" w14:textId="77777777" w:rsidR="000C46C4" w:rsidRDefault="00B24ECA" w:rsidP="0077095C">
      <w:pPr>
        <w:pStyle w:val="BodyText"/>
        <w:spacing w:before="47" w:line="360" w:lineRule="auto"/>
        <w:jc w:val="both"/>
        <w:rPr>
          <w:sz w:val="24"/>
          <w:szCs w:val="24"/>
        </w:rPr>
      </w:pPr>
      <w:proofErr w:type="spellStart"/>
      <w:r w:rsidRPr="00B24ECA">
        <w:rPr>
          <w:sz w:val="24"/>
          <w:szCs w:val="24"/>
        </w:rPr>
        <w:t>Mühldorfer</w:t>
      </w:r>
      <w:proofErr w:type="spellEnd"/>
      <w:r w:rsidRPr="00B24ECA">
        <w:rPr>
          <w:sz w:val="24"/>
          <w:szCs w:val="24"/>
        </w:rPr>
        <w:t xml:space="preserve"> et al. </w:t>
      </w:r>
      <w:r w:rsidRPr="0077095C">
        <w:rPr>
          <w:b/>
          <w:bCs/>
          <w:sz w:val="24"/>
          <w:szCs w:val="24"/>
        </w:rPr>
        <w:t>[</w:t>
      </w:r>
      <w:r w:rsidR="0077095C" w:rsidRPr="0077095C">
        <w:rPr>
          <w:b/>
          <w:bCs/>
          <w:sz w:val="24"/>
          <w:szCs w:val="24"/>
        </w:rPr>
        <w:t>39</w:t>
      </w:r>
      <w:r w:rsidRPr="0077095C">
        <w:rPr>
          <w:b/>
          <w:bCs/>
          <w:sz w:val="24"/>
          <w:szCs w:val="24"/>
        </w:rPr>
        <w:t>]</w:t>
      </w:r>
      <w:r w:rsidRPr="00B24ECA">
        <w:rPr>
          <w:sz w:val="24"/>
          <w:szCs w:val="24"/>
        </w:rPr>
        <w:t xml:space="preserve"> studied binucleation in podocytes, highlighting its association with foot process widening in renal diseases such as minimal change disease (MCD), IgA nephropathy (IgA-GN), lupus nephritis (LN), and diabetic nephropathy (DN). Podocytes are critical components of the glomerular filtration barrier </w:t>
      </w:r>
      <w:r w:rsidRPr="0077095C">
        <w:rPr>
          <w:b/>
          <w:bCs/>
          <w:sz w:val="24"/>
          <w:szCs w:val="24"/>
        </w:rPr>
        <w:t>[</w:t>
      </w:r>
      <w:r w:rsidR="0077095C" w:rsidRPr="0077095C">
        <w:rPr>
          <w:b/>
          <w:bCs/>
          <w:sz w:val="24"/>
          <w:szCs w:val="24"/>
        </w:rPr>
        <w:t>40</w:t>
      </w:r>
      <w:r w:rsidRPr="0077095C">
        <w:rPr>
          <w:b/>
          <w:bCs/>
          <w:sz w:val="24"/>
          <w:szCs w:val="24"/>
        </w:rPr>
        <w:t xml:space="preserve">], </w:t>
      </w:r>
      <w:r w:rsidRPr="00B24ECA">
        <w:rPr>
          <w:sz w:val="24"/>
          <w:szCs w:val="24"/>
        </w:rPr>
        <w:t>and they are terminally differentiated cells that typically do not proliferate. However, under conditions</w:t>
      </w:r>
      <w:r w:rsidR="0077095C">
        <w:rPr>
          <w:sz w:val="24"/>
          <w:szCs w:val="24"/>
        </w:rPr>
        <w:t xml:space="preserve"> of renal injury or stress </w:t>
      </w:r>
      <w:r w:rsidR="0077095C" w:rsidRPr="0077095C">
        <w:rPr>
          <w:b/>
          <w:bCs/>
          <w:sz w:val="24"/>
          <w:szCs w:val="24"/>
        </w:rPr>
        <w:t>[</w:t>
      </w:r>
      <w:r w:rsidRPr="0077095C">
        <w:rPr>
          <w:b/>
          <w:bCs/>
          <w:sz w:val="24"/>
          <w:szCs w:val="24"/>
        </w:rPr>
        <w:t>4</w:t>
      </w:r>
      <w:r w:rsidR="0077095C" w:rsidRPr="0077095C">
        <w:rPr>
          <w:b/>
          <w:bCs/>
          <w:sz w:val="24"/>
          <w:szCs w:val="24"/>
        </w:rPr>
        <w:t>1</w:t>
      </w:r>
      <w:r w:rsidRPr="0077095C">
        <w:rPr>
          <w:b/>
          <w:bCs/>
          <w:sz w:val="24"/>
          <w:szCs w:val="24"/>
        </w:rPr>
        <w:t>],</w:t>
      </w:r>
      <w:r w:rsidRPr="00B24ECA">
        <w:rPr>
          <w:sz w:val="24"/>
          <w:szCs w:val="24"/>
        </w:rPr>
        <w:t xml:space="preserve"> podocytes may re-enter the cell cycle but fail to complete division </w:t>
      </w:r>
      <w:r w:rsidRPr="0077095C">
        <w:rPr>
          <w:b/>
          <w:bCs/>
          <w:sz w:val="24"/>
          <w:szCs w:val="24"/>
        </w:rPr>
        <w:t>[</w:t>
      </w:r>
      <w:r w:rsidR="0077095C" w:rsidRPr="0077095C">
        <w:rPr>
          <w:b/>
          <w:bCs/>
          <w:sz w:val="24"/>
          <w:szCs w:val="24"/>
        </w:rPr>
        <w:t>42</w:t>
      </w:r>
      <w:r w:rsidRPr="0077095C">
        <w:rPr>
          <w:b/>
          <w:bCs/>
          <w:sz w:val="24"/>
          <w:szCs w:val="24"/>
        </w:rPr>
        <w:t>],</w:t>
      </w:r>
      <w:r w:rsidRPr="00B24ECA">
        <w:rPr>
          <w:sz w:val="24"/>
          <w:szCs w:val="24"/>
        </w:rPr>
        <w:t xml:space="preserve"> leading to the formation of binucleated or multinucleated cells </w:t>
      </w:r>
      <w:r w:rsidRPr="0077095C">
        <w:rPr>
          <w:b/>
          <w:bCs/>
          <w:sz w:val="24"/>
          <w:szCs w:val="24"/>
        </w:rPr>
        <w:t>[</w:t>
      </w:r>
      <w:r w:rsidR="0077095C" w:rsidRPr="0077095C">
        <w:rPr>
          <w:b/>
          <w:bCs/>
          <w:sz w:val="24"/>
          <w:szCs w:val="24"/>
        </w:rPr>
        <w:t>43</w:t>
      </w:r>
      <w:r w:rsidRPr="0077095C">
        <w:rPr>
          <w:b/>
          <w:bCs/>
          <w:sz w:val="24"/>
          <w:szCs w:val="24"/>
        </w:rPr>
        <w:t>].</w:t>
      </w:r>
      <w:r w:rsidRPr="00B24ECA">
        <w:rPr>
          <w:sz w:val="24"/>
          <w:szCs w:val="24"/>
        </w:rPr>
        <w:t xml:space="preserve"> The study found binucleated podocytes prevalent in renal biopsies, particularly in IgA nephropathy. Their presence in IgA-GN patients showed a weak correlation with glomerular structural damage and serum creatinine levels. However, no significant association was observed between binucleated podocytes and kidney function in other renal diseases. Challenges in accurately classifying podocyte nuclei were noted due to morphological variations. The findings suggest that binucleated podocytes could serve as markers of renal damage, necessitating </w:t>
      </w:r>
      <w:r w:rsidR="0077095C">
        <w:rPr>
          <w:noProof/>
          <w:sz w:val="16"/>
        </w:rPr>
        <w:lastRenderedPageBreak/>
        <w:drawing>
          <wp:anchor distT="0" distB="0" distL="0" distR="0" simplePos="0" relativeHeight="251664384" behindDoc="1" locked="0" layoutInCell="1" allowOverlap="1" wp14:anchorId="0AD789FA" wp14:editId="09D4EFC0">
            <wp:simplePos x="0" y="0"/>
            <wp:positionH relativeFrom="page">
              <wp:posOffset>1117600</wp:posOffset>
            </wp:positionH>
            <wp:positionV relativeFrom="paragraph">
              <wp:posOffset>311785</wp:posOffset>
            </wp:positionV>
            <wp:extent cx="5937250" cy="2957195"/>
            <wp:effectExtent l="0" t="0" r="635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5937250" cy="2957195"/>
                    </a:xfrm>
                    <a:prstGeom prst="rect">
                      <a:avLst/>
                    </a:prstGeom>
                  </pic:spPr>
                </pic:pic>
              </a:graphicData>
            </a:graphic>
          </wp:anchor>
        </w:drawing>
      </w:r>
      <w:r w:rsidRPr="00B24ECA">
        <w:rPr>
          <w:sz w:val="24"/>
          <w:szCs w:val="24"/>
        </w:rPr>
        <w:t>further research to determine their role in disease progression.</w:t>
      </w:r>
    </w:p>
    <w:p w14:paraId="23F3206C" w14:textId="77777777" w:rsidR="0077095C" w:rsidRPr="0077095C" w:rsidRDefault="0077095C" w:rsidP="0077095C">
      <w:pPr>
        <w:pStyle w:val="BodyText"/>
        <w:spacing w:before="47" w:line="360" w:lineRule="auto"/>
        <w:jc w:val="both"/>
        <w:rPr>
          <w:sz w:val="6"/>
          <w:szCs w:val="6"/>
        </w:rPr>
      </w:pPr>
    </w:p>
    <w:p w14:paraId="412F8E79" w14:textId="77777777" w:rsidR="006D6E9F" w:rsidRPr="0077095C" w:rsidRDefault="005E2C4C" w:rsidP="0077095C">
      <w:pPr>
        <w:tabs>
          <w:tab w:val="left" w:pos="1134"/>
        </w:tabs>
        <w:spacing w:after="0"/>
        <w:jc w:val="both"/>
        <w:rPr>
          <w:rFonts w:ascii="Times New Roman" w:eastAsia="Times New Roman" w:hAnsi="Times New Roman" w:cs="Times New Roman"/>
          <w:b/>
          <w:bCs/>
          <w:color w:val="0E101A"/>
          <w:sz w:val="24"/>
          <w:szCs w:val="24"/>
          <w:lang w:bidi="hi-IN"/>
        </w:rPr>
      </w:pPr>
      <w:r w:rsidRPr="0077095C">
        <w:rPr>
          <w:rFonts w:ascii="Times New Roman" w:eastAsia="Times New Roman" w:hAnsi="Times New Roman" w:cs="Times New Roman"/>
          <w:b/>
          <w:bCs/>
          <w:color w:val="0E101A"/>
          <w:sz w:val="24"/>
          <w:szCs w:val="24"/>
          <w:lang w:bidi="hi-IN"/>
        </w:rPr>
        <w:t>Fig.4. Potential bi-nucleated and lobulated podocytes in renal disease. Representative examples from podocytes with potential bi-nucleated (A–D; arrowhead, PB) and lobulated podocytes (E–H; red arrowhead, L) were shown. Scale bar represents 20 µm in semi-thin sections (A, B, E, and F) and 4 µm in electron microscopic pictures (C, D</w:t>
      </w:r>
      <w:proofErr w:type="gramStart"/>
      <w:r w:rsidRPr="0077095C">
        <w:rPr>
          <w:rFonts w:ascii="Times New Roman" w:eastAsia="Times New Roman" w:hAnsi="Times New Roman" w:cs="Times New Roman"/>
          <w:b/>
          <w:bCs/>
          <w:color w:val="0E101A"/>
          <w:sz w:val="24"/>
          <w:szCs w:val="24"/>
          <w:lang w:bidi="hi-IN"/>
        </w:rPr>
        <w:t>, ,G</w:t>
      </w:r>
      <w:proofErr w:type="gramEnd"/>
      <w:r w:rsidRPr="0077095C">
        <w:rPr>
          <w:rFonts w:ascii="Times New Roman" w:eastAsia="Times New Roman" w:hAnsi="Times New Roman" w:cs="Times New Roman"/>
          <w:b/>
          <w:bCs/>
          <w:color w:val="0E101A"/>
          <w:sz w:val="24"/>
          <w:szCs w:val="24"/>
          <w:lang w:bidi="hi-IN"/>
        </w:rPr>
        <w:t xml:space="preserve"> and H). A color version of the figure is available in the online supplemental material [</w:t>
      </w:r>
      <w:r w:rsidR="0077095C" w:rsidRPr="0077095C">
        <w:rPr>
          <w:rFonts w:ascii="Times New Roman" w:eastAsia="Times New Roman" w:hAnsi="Times New Roman" w:cs="Times New Roman"/>
          <w:b/>
          <w:bCs/>
          <w:color w:val="0E101A"/>
          <w:sz w:val="24"/>
          <w:szCs w:val="24"/>
          <w:lang w:bidi="hi-IN"/>
        </w:rPr>
        <w:t>39</w:t>
      </w:r>
      <w:r w:rsidRPr="0077095C">
        <w:rPr>
          <w:rFonts w:ascii="Times New Roman" w:eastAsia="Times New Roman" w:hAnsi="Times New Roman" w:cs="Times New Roman"/>
          <w:b/>
          <w:bCs/>
          <w:color w:val="0E101A"/>
          <w:sz w:val="24"/>
          <w:szCs w:val="24"/>
          <w:lang w:bidi="hi-IN"/>
        </w:rPr>
        <w:t>].</w:t>
      </w:r>
    </w:p>
    <w:p w14:paraId="58799D7C" w14:textId="77777777" w:rsidR="005E2C4C" w:rsidRDefault="005E2C4C"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4C9B7C9B" w14:textId="77777777" w:rsidR="006D6E9F" w:rsidRDefault="005E2C4C" w:rsidP="0077095C">
      <w:pPr>
        <w:tabs>
          <w:tab w:val="left" w:pos="1134"/>
        </w:tabs>
        <w:spacing w:after="0" w:line="360" w:lineRule="auto"/>
        <w:jc w:val="both"/>
        <w:rPr>
          <w:rFonts w:ascii="Times New Roman" w:eastAsia="Times New Roman" w:hAnsi="Times New Roman" w:cs="Times New Roman"/>
          <w:color w:val="0E101A"/>
          <w:sz w:val="24"/>
          <w:szCs w:val="24"/>
          <w:lang w:bidi="hi-IN"/>
        </w:rPr>
      </w:pPr>
      <w:r w:rsidRPr="005E2C4C">
        <w:rPr>
          <w:rFonts w:ascii="Times New Roman" w:eastAsia="Times New Roman" w:hAnsi="Times New Roman" w:cs="Times New Roman"/>
          <w:color w:val="0E101A"/>
          <w:sz w:val="24"/>
          <w:szCs w:val="24"/>
          <w:lang w:bidi="hi-IN"/>
        </w:rPr>
        <w:t xml:space="preserve">Wang et al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44</w:t>
      </w:r>
      <w:r w:rsidRPr="0077095C">
        <w:rPr>
          <w:rFonts w:ascii="Times New Roman" w:eastAsia="Times New Roman" w:hAnsi="Times New Roman" w:cs="Times New Roman"/>
          <w:b/>
          <w:bCs/>
          <w:color w:val="0E101A"/>
          <w:sz w:val="24"/>
          <w:szCs w:val="24"/>
          <w:lang w:bidi="hi-IN"/>
        </w:rPr>
        <w:t>],</w:t>
      </w:r>
      <w:r w:rsidRPr="005E2C4C">
        <w:rPr>
          <w:rFonts w:ascii="Times New Roman" w:eastAsia="Times New Roman" w:hAnsi="Times New Roman" w:cs="Times New Roman"/>
          <w:color w:val="0E101A"/>
          <w:sz w:val="24"/>
          <w:szCs w:val="24"/>
          <w:lang w:bidi="hi-IN"/>
        </w:rPr>
        <w:t xml:space="preserve"> conducted </w:t>
      </w:r>
      <w:r w:rsidR="00B70E8C" w:rsidRPr="005E2C4C">
        <w:rPr>
          <w:rFonts w:ascii="Times New Roman" w:eastAsia="Times New Roman" w:hAnsi="Times New Roman" w:cs="Times New Roman"/>
          <w:color w:val="0E101A"/>
          <w:sz w:val="24"/>
          <w:szCs w:val="24"/>
          <w:lang w:bidi="hi-IN"/>
        </w:rPr>
        <w:t>an experimental technique</w:t>
      </w:r>
      <w:r w:rsidRPr="005E2C4C">
        <w:rPr>
          <w:rFonts w:ascii="Times New Roman" w:eastAsia="Times New Roman" w:hAnsi="Times New Roman" w:cs="Times New Roman"/>
          <w:color w:val="0E101A"/>
          <w:sz w:val="24"/>
          <w:szCs w:val="24"/>
          <w:lang w:bidi="hi-IN"/>
        </w:rPr>
        <w:t xml:space="preserve"> on polyploid superficial cells that maintain the urothelial barrier. The urothelium serves as an epithelial barrier stretching from the renal pelvis to the bladder neck. It protects against pathogens and toxins while regulating the movement of water and ions between the mucosa and the underlying tissues. Polyploid cells in the urothelium are formed through incomplete cytokinesis, where cells enter mitosis but do not complete the division, resulting in binucleated cells. These cells can further increase their DNA content through endoreplication, which allows them to adapt to environmental changes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45</w:t>
      </w:r>
      <w:r w:rsidRPr="0077095C">
        <w:rPr>
          <w:rFonts w:ascii="Times New Roman" w:eastAsia="Times New Roman" w:hAnsi="Times New Roman" w:cs="Times New Roman"/>
          <w:b/>
          <w:bCs/>
          <w:color w:val="0E101A"/>
          <w:sz w:val="24"/>
          <w:szCs w:val="24"/>
          <w:lang w:bidi="hi-IN"/>
        </w:rPr>
        <w:t>].</w:t>
      </w:r>
      <w:r w:rsidRPr="005E2C4C">
        <w:rPr>
          <w:rFonts w:ascii="Times New Roman" w:eastAsia="Times New Roman" w:hAnsi="Times New Roman" w:cs="Times New Roman"/>
          <w:color w:val="0E101A"/>
          <w:sz w:val="24"/>
          <w:szCs w:val="24"/>
          <w:lang w:bidi="hi-IN"/>
        </w:rPr>
        <w:t xml:space="preserve"> These polyploid cells contribute to the integrity and function of the urothelial barrier, which is essential for protecting the underlying tissues from urine and pathogens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46</w:t>
      </w:r>
      <w:r w:rsidRPr="0077095C">
        <w:rPr>
          <w:rFonts w:ascii="Times New Roman" w:eastAsia="Times New Roman" w:hAnsi="Times New Roman" w:cs="Times New Roman"/>
          <w:b/>
          <w:bCs/>
          <w:color w:val="0E101A"/>
          <w:sz w:val="24"/>
          <w:szCs w:val="24"/>
          <w:lang w:bidi="hi-IN"/>
        </w:rPr>
        <w:t>].</w:t>
      </w:r>
    </w:p>
    <w:p w14:paraId="040828FE"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48195437"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0EC0A7D0"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0FF28446"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r>
        <w:rPr>
          <w:noProof/>
        </w:rPr>
        <w:lastRenderedPageBreak/>
        <w:drawing>
          <wp:anchor distT="0" distB="0" distL="114300" distR="114300" simplePos="0" relativeHeight="251665408" behindDoc="0" locked="0" layoutInCell="1" allowOverlap="1" wp14:anchorId="48FE4781" wp14:editId="5E0A06E3">
            <wp:simplePos x="0" y="0"/>
            <wp:positionH relativeFrom="column">
              <wp:posOffset>330200</wp:posOffset>
            </wp:positionH>
            <wp:positionV relativeFrom="paragraph">
              <wp:posOffset>4445</wp:posOffset>
            </wp:positionV>
            <wp:extent cx="4686300" cy="4089400"/>
            <wp:effectExtent l="0" t="0" r="0" b="6350"/>
            <wp:wrapThrough wrapText="bothSides">
              <wp:wrapPolygon edited="0">
                <wp:start x="0" y="0"/>
                <wp:lineTo x="0" y="21533"/>
                <wp:lineTo x="21512" y="21533"/>
                <wp:lineTo x="21512" y="0"/>
                <wp:lineTo x="0" y="0"/>
              </wp:wrapPolygon>
            </wp:wrapThrough>
            <wp:docPr id="2" name="Picture 2" descr="graphic file with name nihms-1510165-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file with name nihms-1510165-f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408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91D43" w14:textId="77777777" w:rsidR="005E2C4C" w:rsidRDefault="005E2C4C"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6F747724" w14:textId="77777777" w:rsidR="0091587E" w:rsidRDefault="0091587E" w:rsidP="00C10DD5">
      <w:pPr>
        <w:spacing w:after="0" w:line="360" w:lineRule="auto"/>
        <w:jc w:val="both"/>
        <w:rPr>
          <w:rFonts w:asciiTheme="majorBidi" w:eastAsia="Times New Roman" w:hAnsiTheme="majorBidi" w:cstheme="majorBidi"/>
          <w:b/>
          <w:bCs/>
          <w:color w:val="0E101A"/>
          <w:sz w:val="24"/>
          <w:szCs w:val="24"/>
        </w:rPr>
      </w:pPr>
    </w:p>
    <w:p w14:paraId="620B9E2E"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72C03F85"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5451D856"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62E5415E"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1009A318"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5CC2916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520E4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9FA105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952621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388A60C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AF8A43"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C57E941"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39C564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A7B332" w14:textId="77777777" w:rsidR="00F93CB8" w:rsidRDefault="00F93CB8" w:rsidP="0077095C">
      <w:pPr>
        <w:tabs>
          <w:tab w:val="left" w:pos="1134"/>
        </w:tabs>
        <w:spacing w:after="0" w:line="360" w:lineRule="auto"/>
        <w:jc w:val="center"/>
        <w:rPr>
          <w:rFonts w:ascii="Times New Roman" w:eastAsia="Times New Roman" w:hAnsi="Times New Roman" w:cs="Times New Roman"/>
          <w:color w:val="0E101A"/>
          <w:sz w:val="24"/>
          <w:szCs w:val="24"/>
          <w:lang w:bidi="hi-IN"/>
        </w:rPr>
      </w:pPr>
      <w:r w:rsidRPr="00F93CB8">
        <w:rPr>
          <w:rFonts w:ascii="Times New Roman" w:eastAsia="Times New Roman" w:hAnsi="Times New Roman" w:cs="Times New Roman"/>
          <w:b/>
          <w:bCs/>
          <w:color w:val="0E101A"/>
          <w:sz w:val="24"/>
          <w:szCs w:val="24"/>
          <w:lang w:bidi="hi-IN"/>
        </w:rPr>
        <w:t>Fig.5.</w:t>
      </w:r>
      <w:r w:rsidRPr="00F93CB8">
        <w:rPr>
          <w:rFonts w:ascii="Times New Roman" w:eastAsia="Times New Roman" w:hAnsi="Times New Roman" w:cs="Times New Roman"/>
          <w:color w:val="0E101A"/>
          <w:sz w:val="24"/>
          <w:szCs w:val="24"/>
          <w:lang w:bidi="hi-IN"/>
        </w:rPr>
        <w:t xml:space="preserve"> Homeostasis and regeneration after acute injury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44</w:t>
      </w:r>
      <w:r w:rsidRPr="0077095C">
        <w:rPr>
          <w:rFonts w:ascii="Times New Roman" w:eastAsia="Times New Roman" w:hAnsi="Times New Roman" w:cs="Times New Roman"/>
          <w:b/>
          <w:bCs/>
          <w:color w:val="0E101A"/>
          <w:sz w:val="24"/>
          <w:szCs w:val="24"/>
          <w:lang w:bidi="hi-IN"/>
        </w:rPr>
        <w:t>].</w:t>
      </w:r>
    </w:p>
    <w:p w14:paraId="4F925C3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3CE91FD2" w14:textId="77777777" w:rsidR="00F93CB8" w:rsidRPr="00F93CB8" w:rsidRDefault="00F93CB8" w:rsidP="00F93CB8">
      <w:pPr>
        <w:spacing w:after="0" w:line="360" w:lineRule="auto"/>
        <w:jc w:val="both"/>
        <w:rPr>
          <w:rFonts w:asciiTheme="majorBidi" w:eastAsia="Times New Roman" w:hAnsiTheme="majorBidi" w:cstheme="majorBidi"/>
          <w:b/>
          <w:bCs/>
          <w:color w:val="0E101A"/>
          <w:sz w:val="24"/>
          <w:szCs w:val="24"/>
        </w:rPr>
      </w:pPr>
      <w:r w:rsidRPr="00F93CB8">
        <w:rPr>
          <w:rFonts w:asciiTheme="majorBidi" w:eastAsia="Times New Roman" w:hAnsiTheme="majorBidi" w:cstheme="majorBidi"/>
          <w:b/>
          <w:bCs/>
          <w:color w:val="0E101A"/>
          <w:sz w:val="24"/>
          <w:szCs w:val="24"/>
        </w:rPr>
        <w:t>2.1.7. In the mammary gland</w:t>
      </w:r>
    </w:p>
    <w:p w14:paraId="567693B4" w14:textId="77777777" w:rsidR="00F93CB8" w:rsidRDefault="00F93CB8" w:rsidP="0077095C">
      <w:pPr>
        <w:spacing w:after="0" w:line="360" w:lineRule="auto"/>
        <w:jc w:val="both"/>
        <w:rPr>
          <w:rFonts w:asciiTheme="majorBidi" w:eastAsia="Times New Roman" w:hAnsiTheme="majorBidi" w:cstheme="majorBidi"/>
          <w:color w:val="0E101A"/>
          <w:sz w:val="24"/>
          <w:szCs w:val="24"/>
        </w:rPr>
      </w:pPr>
      <w:commentRangeStart w:id="3"/>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47</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explored the mammary epithelium</w:t>
      </w:r>
      <w:commentRangeEnd w:id="3"/>
      <w:r w:rsidR="000C6111">
        <w:rPr>
          <w:rStyle w:val="CommentReference"/>
        </w:rPr>
        <w:commentReference w:id="3"/>
      </w:r>
      <w:r w:rsidRPr="00F93CB8">
        <w:rPr>
          <w:rFonts w:asciiTheme="majorBidi" w:eastAsia="Times New Roman" w:hAnsiTheme="majorBidi" w:cstheme="majorBidi"/>
          <w:color w:val="0E101A"/>
          <w:sz w:val="24"/>
          <w:szCs w:val="24"/>
        </w:rPr>
        <w:t xml:space="preserve">, focusing on the role of binucleated alveolar epithelial cells during lactation. The mammary gland undergoes structural changes throughout life stages such as puberty, pregnancy, lactation, and involution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48</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At birth, it features a rudimentary ductal structure composed of basal/myoepithelial cells expressing keratin 14 (K14) and luminal cells expressing keratin 8 (K8) or hormone receptors (ER+/PR+)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49</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During lactation, binucleated cells play a pivotal role by producing large amounts of milk proteins, lipids, and carbohydrates to nourish offspring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50</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These cells emerge as polyploid during lactation onset, increasing cytoplasmic volume to support organelles like ribosomes, ER, and Golgi apparatus, essential for milk synthesis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51</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Their larger size also enhances apical surface area, facilitating efficient milk secretion. This highlights the adaptive significance of binucleated cells in lactogenesis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52</w:t>
      </w:r>
      <w:r w:rsidRPr="0077095C">
        <w:rPr>
          <w:rFonts w:asciiTheme="majorBidi" w:eastAsia="Times New Roman" w:hAnsiTheme="majorBidi" w:cstheme="majorBidi"/>
          <w:b/>
          <w:bCs/>
          <w:color w:val="0E101A"/>
          <w:sz w:val="24"/>
          <w:szCs w:val="24"/>
        </w:rPr>
        <w:t>].</w:t>
      </w:r>
    </w:p>
    <w:p w14:paraId="1E0D471F" w14:textId="77777777" w:rsidR="00F93CB8" w:rsidRPr="00F93CB8" w:rsidRDefault="00F93CB8" w:rsidP="00F93CB8">
      <w:pPr>
        <w:spacing w:after="0" w:line="360" w:lineRule="auto"/>
        <w:jc w:val="both"/>
        <w:rPr>
          <w:rFonts w:asciiTheme="majorBidi" w:eastAsia="Times New Roman" w:hAnsiTheme="majorBidi" w:cstheme="majorBidi"/>
          <w:color w:val="0E101A"/>
          <w:sz w:val="24"/>
          <w:szCs w:val="24"/>
        </w:rPr>
      </w:pPr>
      <w:r>
        <w:rPr>
          <w:noProof/>
        </w:rPr>
        <w:lastRenderedPageBreak/>
        <w:drawing>
          <wp:anchor distT="0" distB="0" distL="114300" distR="114300" simplePos="0" relativeHeight="251666432" behindDoc="0" locked="0" layoutInCell="1" allowOverlap="1" wp14:anchorId="41B7294D" wp14:editId="2AB84BF6">
            <wp:simplePos x="0" y="0"/>
            <wp:positionH relativeFrom="margin">
              <wp:align>right</wp:align>
            </wp:positionH>
            <wp:positionV relativeFrom="paragraph">
              <wp:posOffset>169545</wp:posOffset>
            </wp:positionV>
            <wp:extent cx="5486400" cy="2743200"/>
            <wp:effectExtent l="0" t="0" r="0" b="0"/>
            <wp:wrapThrough wrapText="bothSides">
              <wp:wrapPolygon edited="0">
                <wp:start x="0" y="0"/>
                <wp:lineTo x="0" y="21450"/>
                <wp:lineTo x="21525" y="21450"/>
                <wp:lineTo x="21525" y="0"/>
                <wp:lineTo x="0" y="0"/>
              </wp:wrapPolygon>
            </wp:wrapThrough>
            <wp:docPr id="7" name="Picture 7" descr="https://www.researchgate.net/publication/360565234/figure/fig2/AS:1179222064267268@1658159857630/Schematic-representation-of-the-structure-and-morphological-changes-in-mammary-gland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searchgate.net/publication/360565234/figure/fig2/AS:1179222064267268@1658159857630/Schematic-representation-of-the-structure-and-morphological-changes-in-mammary-gland_W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E24DC" w14:textId="77777777" w:rsidR="00F93CB8" w:rsidRPr="00D2097E" w:rsidRDefault="00F93CB8" w:rsidP="0077095C">
      <w:pPr>
        <w:spacing w:before="120"/>
        <w:ind w:left="360"/>
        <w:rPr>
          <w:rFonts w:asciiTheme="majorBidi" w:hAnsiTheme="majorBidi" w:cstheme="majorBidi"/>
          <w:b/>
          <w:spacing w:val="-4"/>
          <w:sz w:val="24"/>
          <w:szCs w:val="24"/>
        </w:rPr>
      </w:pPr>
      <w:r w:rsidRPr="00D2097E">
        <w:rPr>
          <w:rFonts w:asciiTheme="majorBidi" w:hAnsiTheme="majorBidi" w:cstheme="majorBidi"/>
          <w:b/>
          <w:w w:val="90"/>
          <w:sz w:val="24"/>
          <w:szCs w:val="24"/>
        </w:rPr>
        <w:t>Fig.</w:t>
      </w:r>
      <w:r w:rsidRPr="00D2097E">
        <w:rPr>
          <w:rFonts w:asciiTheme="majorBidi" w:hAnsiTheme="majorBidi" w:cstheme="majorBidi"/>
          <w:b/>
          <w:spacing w:val="-5"/>
          <w:sz w:val="24"/>
          <w:szCs w:val="24"/>
        </w:rPr>
        <w:t>6.</w:t>
      </w:r>
      <w:r w:rsidRPr="00D2097E">
        <w:rPr>
          <w:rFonts w:asciiTheme="majorBidi" w:hAnsiTheme="majorBidi" w:cstheme="majorBidi"/>
          <w:b/>
          <w:sz w:val="24"/>
          <w:szCs w:val="24"/>
        </w:rPr>
        <w:t xml:space="preserve"> </w:t>
      </w:r>
      <w:r w:rsidRPr="00D2097E">
        <w:rPr>
          <w:rFonts w:asciiTheme="majorBidi" w:hAnsiTheme="majorBidi" w:cstheme="majorBidi"/>
          <w:b/>
          <w:spacing w:val="-4"/>
          <w:sz w:val="24"/>
          <w:szCs w:val="24"/>
        </w:rPr>
        <w:t>The</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structure</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and</w:t>
      </w:r>
      <w:r w:rsidRPr="00D2097E">
        <w:rPr>
          <w:rFonts w:asciiTheme="majorBidi" w:hAnsiTheme="majorBidi" w:cstheme="majorBidi"/>
          <w:b/>
          <w:spacing w:val="-17"/>
          <w:sz w:val="24"/>
          <w:szCs w:val="24"/>
        </w:rPr>
        <w:t xml:space="preserve"> </w:t>
      </w:r>
      <w:r w:rsidRPr="00D2097E">
        <w:rPr>
          <w:rFonts w:asciiTheme="majorBidi" w:hAnsiTheme="majorBidi" w:cstheme="majorBidi"/>
          <w:b/>
          <w:spacing w:val="-4"/>
          <w:sz w:val="24"/>
          <w:szCs w:val="24"/>
        </w:rPr>
        <w:t>morphological</w:t>
      </w:r>
      <w:r w:rsidRPr="00D2097E">
        <w:rPr>
          <w:rFonts w:asciiTheme="majorBidi" w:hAnsiTheme="majorBidi" w:cstheme="majorBidi"/>
          <w:b/>
          <w:spacing w:val="-20"/>
          <w:sz w:val="24"/>
          <w:szCs w:val="24"/>
        </w:rPr>
        <w:t xml:space="preserve"> </w:t>
      </w:r>
      <w:r w:rsidRPr="00D2097E">
        <w:rPr>
          <w:rFonts w:asciiTheme="majorBidi" w:hAnsiTheme="majorBidi" w:cstheme="majorBidi"/>
          <w:b/>
          <w:spacing w:val="-4"/>
          <w:sz w:val="24"/>
          <w:szCs w:val="24"/>
        </w:rPr>
        <w:t>changes</w:t>
      </w:r>
      <w:r w:rsidRPr="00D2097E">
        <w:rPr>
          <w:rFonts w:asciiTheme="majorBidi" w:hAnsiTheme="majorBidi" w:cstheme="majorBidi"/>
          <w:b/>
          <w:spacing w:val="-20"/>
          <w:sz w:val="24"/>
          <w:szCs w:val="24"/>
        </w:rPr>
        <w:t xml:space="preserve"> </w:t>
      </w:r>
      <w:r w:rsidRPr="00D2097E">
        <w:rPr>
          <w:rFonts w:asciiTheme="majorBidi" w:hAnsiTheme="majorBidi" w:cstheme="majorBidi"/>
          <w:b/>
          <w:spacing w:val="-4"/>
          <w:sz w:val="24"/>
          <w:szCs w:val="24"/>
        </w:rPr>
        <w:t>in</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mammary</w:t>
      </w:r>
      <w:r w:rsidRPr="00D2097E">
        <w:rPr>
          <w:rFonts w:asciiTheme="majorBidi" w:hAnsiTheme="majorBidi" w:cstheme="majorBidi"/>
          <w:b/>
          <w:spacing w:val="-17"/>
          <w:sz w:val="24"/>
          <w:szCs w:val="24"/>
        </w:rPr>
        <w:t xml:space="preserve"> </w:t>
      </w:r>
      <w:r w:rsidRPr="00D2097E">
        <w:rPr>
          <w:rFonts w:asciiTheme="majorBidi" w:hAnsiTheme="majorBidi" w:cstheme="majorBidi"/>
          <w:b/>
          <w:spacing w:val="-4"/>
          <w:sz w:val="24"/>
          <w:szCs w:val="24"/>
        </w:rPr>
        <w:t>gland</w:t>
      </w:r>
      <w:r w:rsidRPr="00D2097E">
        <w:rPr>
          <w:rFonts w:asciiTheme="majorBidi" w:hAnsiTheme="majorBidi" w:cstheme="majorBidi"/>
          <w:b/>
          <w:spacing w:val="-16"/>
          <w:sz w:val="24"/>
          <w:szCs w:val="24"/>
        </w:rPr>
        <w:t xml:space="preserve"> </w:t>
      </w:r>
      <w:r w:rsidRPr="00D2097E">
        <w:rPr>
          <w:rFonts w:asciiTheme="majorBidi" w:hAnsiTheme="majorBidi" w:cstheme="majorBidi"/>
          <w:b/>
          <w:spacing w:val="-4"/>
          <w:sz w:val="24"/>
          <w:szCs w:val="24"/>
        </w:rPr>
        <w:t>during</w:t>
      </w:r>
      <w:r w:rsidRPr="00D2097E">
        <w:rPr>
          <w:rFonts w:asciiTheme="majorBidi" w:hAnsiTheme="majorBidi" w:cstheme="majorBidi"/>
          <w:b/>
          <w:spacing w:val="-20"/>
          <w:sz w:val="24"/>
          <w:szCs w:val="24"/>
        </w:rPr>
        <w:t xml:space="preserve"> </w:t>
      </w:r>
      <w:r w:rsidRPr="00D2097E">
        <w:rPr>
          <w:rFonts w:asciiTheme="majorBidi" w:hAnsiTheme="majorBidi" w:cstheme="majorBidi"/>
          <w:b/>
          <w:spacing w:val="-4"/>
          <w:sz w:val="24"/>
          <w:szCs w:val="24"/>
        </w:rPr>
        <w:t>lactation</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and</w:t>
      </w:r>
      <w:r w:rsidRPr="00D2097E">
        <w:rPr>
          <w:rFonts w:asciiTheme="majorBidi" w:hAnsiTheme="majorBidi" w:cstheme="majorBidi"/>
          <w:b/>
          <w:spacing w:val="-5"/>
          <w:sz w:val="24"/>
          <w:szCs w:val="24"/>
        </w:rPr>
        <w:t xml:space="preserve"> </w:t>
      </w:r>
      <w:r w:rsidRPr="00D2097E">
        <w:rPr>
          <w:rFonts w:asciiTheme="majorBidi" w:hAnsiTheme="majorBidi" w:cstheme="majorBidi"/>
          <w:b/>
          <w:spacing w:val="-4"/>
          <w:sz w:val="24"/>
          <w:szCs w:val="24"/>
        </w:rPr>
        <w:t>involution</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w:t>
      </w:r>
      <w:r w:rsidR="0077095C">
        <w:rPr>
          <w:rFonts w:asciiTheme="majorBidi" w:hAnsiTheme="majorBidi" w:cstheme="majorBidi"/>
          <w:b/>
          <w:spacing w:val="-4"/>
          <w:sz w:val="24"/>
          <w:szCs w:val="24"/>
        </w:rPr>
        <w:t>53</w:t>
      </w:r>
      <w:r w:rsidRPr="00D2097E">
        <w:rPr>
          <w:rFonts w:asciiTheme="majorBidi" w:hAnsiTheme="majorBidi" w:cstheme="majorBidi"/>
          <w:b/>
          <w:spacing w:val="-4"/>
          <w:sz w:val="24"/>
          <w:szCs w:val="24"/>
        </w:rPr>
        <w:t>].</w:t>
      </w:r>
    </w:p>
    <w:p w14:paraId="6288F96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r>
        <w:rPr>
          <w:noProof/>
        </w:rPr>
        <w:drawing>
          <wp:anchor distT="0" distB="0" distL="114300" distR="114300" simplePos="0" relativeHeight="251667456" behindDoc="0" locked="0" layoutInCell="1" allowOverlap="1" wp14:anchorId="7B46DFCD" wp14:editId="6904A798">
            <wp:simplePos x="0" y="0"/>
            <wp:positionH relativeFrom="column">
              <wp:posOffset>355600</wp:posOffset>
            </wp:positionH>
            <wp:positionV relativeFrom="paragraph">
              <wp:posOffset>4445</wp:posOffset>
            </wp:positionV>
            <wp:extent cx="4388485" cy="3790950"/>
            <wp:effectExtent l="0" t="0" r="0" b="0"/>
            <wp:wrapThrough wrapText="bothSides">
              <wp:wrapPolygon edited="0">
                <wp:start x="0" y="0"/>
                <wp:lineTo x="0" y="21491"/>
                <wp:lineTo x="21472" y="21491"/>
                <wp:lineTo x="21472" y="0"/>
                <wp:lineTo x="0" y="0"/>
              </wp:wrapPolygon>
            </wp:wrapThrough>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848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459B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C82293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8738F6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45212C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BA72F63"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7D1D3A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7B1ED6A"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FEDA80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B53773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C1284E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D8163A9"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7D9511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709B628"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A9DD03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34A4E03" w14:textId="77777777" w:rsidR="00D2097E" w:rsidRPr="00D2097E" w:rsidRDefault="0006459D" w:rsidP="00E510DE">
      <w:pPr>
        <w:spacing w:after="0" w:line="360" w:lineRule="auto"/>
        <w:jc w:val="center"/>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Fig.</w:t>
      </w:r>
      <w:r>
        <w:rPr>
          <w:rFonts w:asciiTheme="majorBidi" w:eastAsia="Times New Roman" w:hAnsiTheme="majorBidi" w:cstheme="majorBidi" w:hint="cs"/>
          <w:b/>
          <w:bCs/>
          <w:color w:val="0E101A"/>
          <w:sz w:val="24"/>
          <w:szCs w:val="24"/>
          <w:rtl/>
        </w:rPr>
        <w:t>7</w:t>
      </w:r>
      <w:r w:rsidR="00D2097E" w:rsidRPr="00D2097E">
        <w:rPr>
          <w:rFonts w:asciiTheme="majorBidi" w:eastAsia="Times New Roman" w:hAnsiTheme="majorBidi" w:cstheme="majorBidi"/>
          <w:b/>
          <w:bCs/>
          <w:color w:val="0E101A"/>
          <w:sz w:val="24"/>
          <w:szCs w:val="24"/>
        </w:rPr>
        <w:t>.</w:t>
      </w:r>
      <w:r w:rsidR="00D2097E">
        <w:rPr>
          <w:rFonts w:asciiTheme="majorBidi" w:eastAsia="Times New Roman" w:hAnsiTheme="majorBidi" w:cstheme="majorBidi"/>
          <w:b/>
          <w:bCs/>
          <w:color w:val="0E101A"/>
          <w:sz w:val="24"/>
          <w:szCs w:val="24"/>
        </w:rPr>
        <w:t xml:space="preserve"> C</w:t>
      </w:r>
      <w:r w:rsidR="00D2097E" w:rsidRPr="00D2097E">
        <w:rPr>
          <w:rFonts w:asciiTheme="majorBidi" w:eastAsia="Times New Roman" w:hAnsiTheme="majorBidi" w:cstheme="majorBidi"/>
          <w:b/>
          <w:bCs/>
          <w:color w:val="0E101A"/>
          <w:sz w:val="24"/>
          <w:szCs w:val="24"/>
        </w:rPr>
        <w:t>onfocal image of a mammary ductal portion [</w:t>
      </w:r>
      <w:r w:rsidR="00E510DE">
        <w:rPr>
          <w:rFonts w:asciiTheme="majorBidi" w:eastAsia="Times New Roman" w:hAnsiTheme="majorBidi" w:cstheme="majorBidi"/>
          <w:b/>
          <w:bCs/>
          <w:color w:val="0E101A"/>
          <w:sz w:val="24"/>
          <w:szCs w:val="24"/>
        </w:rPr>
        <w:t>47</w:t>
      </w:r>
      <w:r w:rsidR="00D2097E" w:rsidRPr="00D2097E">
        <w:rPr>
          <w:rFonts w:asciiTheme="majorBidi" w:eastAsia="Times New Roman" w:hAnsiTheme="majorBidi" w:cstheme="majorBidi"/>
          <w:b/>
          <w:bCs/>
          <w:color w:val="0E101A"/>
          <w:sz w:val="24"/>
          <w:szCs w:val="24"/>
        </w:rPr>
        <w:t>].</w:t>
      </w:r>
    </w:p>
    <w:p w14:paraId="149F961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94ECC3F"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EFE746F" w14:textId="77777777" w:rsidR="00EB6083" w:rsidRPr="00EB6083" w:rsidRDefault="00EB6083" w:rsidP="00EB6083">
      <w:pPr>
        <w:spacing w:after="0" w:line="360" w:lineRule="auto"/>
        <w:jc w:val="both"/>
        <w:rPr>
          <w:rFonts w:asciiTheme="majorBidi" w:eastAsia="Times New Roman" w:hAnsiTheme="majorBidi" w:cstheme="majorBidi"/>
          <w:b/>
          <w:bCs/>
          <w:color w:val="0E101A"/>
          <w:sz w:val="24"/>
          <w:szCs w:val="24"/>
        </w:rPr>
      </w:pPr>
      <w:r w:rsidRPr="00EB6083">
        <w:rPr>
          <w:rFonts w:asciiTheme="majorBidi" w:eastAsia="Times New Roman" w:hAnsiTheme="majorBidi" w:cstheme="majorBidi"/>
          <w:b/>
          <w:bCs/>
          <w:color w:val="0E101A"/>
          <w:sz w:val="24"/>
          <w:szCs w:val="24"/>
        </w:rPr>
        <w:lastRenderedPageBreak/>
        <w:t>2.1.8. In oral mucosa</w:t>
      </w:r>
    </w:p>
    <w:p w14:paraId="32C5C794" w14:textId="77777777" w:rsidR="00EB6083" w:rsidRPr="00EB6083" w:rsidRDefault="00EB6083" w:rsidP="00E510DE">
      <w:pPr>
        <w:spacing w:after="0" w:line="360" w:lineRule="auto"/>
        <w:jc w:val="both"/>
        <w:rPr>
          <w:rFonts w:asciiTheme="majorBidi" w:eastAsia="Times New Roman" w:hAnsiTheme="majorBidi" w:cstheme="majorBidi"/>
          <w:color w:val="0E101A"/>
          <w:sz w:val="24"/>
          <w:szCs w:val="24"/>
        </w:rPr>
      </w:pPr>
      <w:r w:rsidRPr="00EB6083">
        <w:rPr>
          <w:rFonts w:asciiTheme="majorBidi" w:eastAsia="Times New Roman" w:hAnsiTheme="majorBidi" w:cstheme="majorBidi"/>
          <w:color w:val="0E101A"/>
          <w:sz w:val="24"/>
          <w:szCs w:val="24"/>
        </w:rPr>
        <w:t xml:space="preserve">Oliveira et al.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54</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conducted a study on the use of psychotropic drugs among health science students, focusing on the prevalence of binucleated cells in the buccal mucosa. They found a high prevalence of psychoactive drug use, with a statistical association between drug use and the occurrence of binucleated cells in the oral mucosa. Although more common in females, this difference was not statistically significant. Other studies have shown that stress, anxiety, and depression, particularly in females, are linked to cellular changes, including binucleation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55</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w:t>
      </w:r>
      <w:r w:rsidR="00E510DE">
        <w:rPr>
          <w:rFonts w:asciiTheme="majorBidi" w:eastAsia="Times New Roman" w:hAnsiTheme="majorBidi" w:cstheme="majorBidi"/>
          <w:color w:val="0E101A"/>
          <w:sz w:val="24"/>
          <w:szCs w:val="24"/>
        </w:rPr>
        <w:t xml:space="preserve"> Similarly, Minhas et al. </w:t>
      </w:r>
      <w:r w:rsidRPr="00EB6083">
        <w:rPr>
          <w:rFonts w:asciiTheme="majorBidi" w:eastAsia="Times New Roman" w:hAnsiTheme="majorBidi" w:cstheme="majorBidi"/>
          <w:color w:val="0E101A"/>
          <w:sz w:val="24"/>
          <w:szCs w:val="24"/>
        </w:rPr>
        <w:t>observed binucleated cells in both irradiated cancer cells and normal buccal mucosa of patients receiving chemoradiotherapy, indicating that ionizing radiation also induces binucleation.</w:t>
      </w:r>
    </w:p>
    <w:p w14:paraId="688638FA" w14:textId="77777777" w:rsidR="00EB6083" w:rsidRPr="00EB6083" w:rsidRDefault="00EB6083" w:rsidP="00EB6083">
      <w:pPr>
        <w:spacing w:after="0" w:line="360" w:lineRule="auto"/>
        <w:jc w:val="both"/>
        <w:rPr>
          <w:rFonts w:asciiTheme="majorBidi" w:eastAsia="Times New Roman" w:hAnsiTheme="majorBidi" w:cstheme="majorBidi"/>
          <w:b/>
          <w:bCs/>
          <w:color w:val="0E101A"/>
          <w:sz w:val="24"/>
          <w:szCs w:val="24"/>
        </w:rPr>
      </w:pPr>
      <w:r w:rsidRPr="00EB6083">
        <w:rPr>
          <w:rFonts w:asciiTheme="majorBidi" w:eastAsia="Times New Roman" w:hAnsiTheme="majorBidi" w:cstheme="majorBidi"/>
          <w:b/>
          <w:bCs/>
          <w:color w:val="0E101A"/>
          <w:sz w:val="24"/>
          <w:szCs w:val="24"/>
        </w:rPr>
        <w:t>2.1.9. In the spleen</w:t>
      </w:r>
    </w:p>
    <w:p w14:paraId="0044C237" w14:textId="77777777" w:rsidR="00993B1E" w:rsidRDefault="00EB6083" w:rsidP="00E510DE">
      <w:pPr>
        <w:spacing w:after="0" w:line="360" w:lineRule="auto"/>
        <w:jc w:val="both"/>
        <w:rPr>
          <w:rFonts w:asciiTheme="majorBidi" w:eastAsia="Times New Roman" w:hAnsiTheme="majorBidi" w:cstheme="majorBidi"/>
          <w:color w:val="0E101A"/>
          <w:sz w:val="24"/>
          <w:szCs w:val="24"/>
        </w:rPr>
      </w:pPr>
      <w:r>
        <w:rPr>
          <w:noProof/>
        </w:rPr>
        <w:drawing>
          <wp:anchor distT="0" distB="0" distL="114300" distR="114300" simplePos="0" relativeHeight="251669504" behindDoc="0" locked="0" layoutInCell="1" allowOverlap="1" wp14:anchorId="729E5040" wp14:editId="3E79A5E1">
            <wp:simplePos x="0" y="0"/>
            <wp:positionH relativeFrom="margin">
              <wp:align>right</wp:align>
            </wp:positionH>
            <wp:positionV relativeFrom="paragraph">
              <wp:posOffset>2108835</wp:posOffset>
            </wp:positionV>
            <wp:extent cx="5486400" cy="3048000"/>
            <wp:effectExtent l="0" t="0" r="0" b="0"/>
            <wp:wrapThrough wrapText="bothSides">
              <wp:wrapPolygon edited="0">
                <wp:start x="0" y="0"/>
                <wp:lineTo x="0" y="21465"/>
                <wp:lineTo x="21525" y="21465"/>
                <wp:lineTo x="21525" y="0"/>
                <wp:lineTo x="0" y="0"/>
              </wp:wrapPolygon>
            </wp:wrapThrough>
            <wp:docPr id="9" name="Picture 9" descr="https://www.researchgate.net/profile/Edouard-Cornet/publication/24170317/figure/fig1/AS:398492481671168@1472019419167/Morphologic-features-showing-typical-binucleated-cells-in-a-PPBL-patient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esearchgate.net/profile/Edouard-Cornet/publication/24170317/figure/fig1/AS:398492481671168@1472019419167/Morphologic-features-showing-typical-binucleated-cells-in-a-PPBL-patient_W6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083">
        <w:rPr>
          <w:rFonts w:asciiTheme="majorBidi" w:eastAsia="Times New Roman" w:hAnsiTheme="majorBidi" w:cstheme="majorBidi"/>
          <w:color w:val="0E101A"/>
          <w:sz w:val="24"/>
          <w:szCs w:val="24"/>
        </w:rPr>
        <w:t xml:space="preserve">Sun et al. </w:t>
      </w:r>
      <w:r w:rsidRPr="00E510DE">
        <w:rPr>
          <w:rFonts w:asciiTheme="majorBidi" w:eastAsia="Times New Roman" w:hAnsiTheme="majorBidi" w:cstheme="majorBidi"/>
          <w:b/>
          <w:bCs/>
          <w:color w:val="0E101A"/>
          <w:sz w:val="24"/>
          <w:szCs w:val="24"/>
        </w:rPr>
        <w:t>[</w:t>
      </w:r>
      <w:commentRangeStart w:id="4"/>
      <w:r w:rsidR="00E510DE" w:rsidRPr="00E510DE">
        <w:rPr>
          <w:rFonts w:asciiTheme="majorBidi" w:eastAsia="Times New Roman" w:hAnsiTheme="majorBidi" w:cstheme="majorBidi"/>
          <w:b/>
          <w:bCs/>
          <w:color w:val="0E101A"/>
          <w:sz w:val="24"/>
          <w:szCs w:val="24"/>
        </w:rPr>
        <w:t>56</w:t>
      </w:r>
      <w:commentRangeEnd w:id="4"/>
      <w:r w:rsidR="000C6111">
        <w:rPr>
          <w:rStyle w:val="CommentReference"/>
        </w:rPr>
        <w:commentReference w:id="4"/>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investigated the role of binucleated cells in persistent polyclonal B-cell lymphocytosis (PPBL) and their importance in differentiating it from malignant lymphomas. Analyzing a spleen sample from a 38-year-old woman with progressive splenomegaly, the study found that binucleated cells are a hallmark of PPBL, frequently observed in peripheral blood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57</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These cells result from abnormal B-cell division, likely triggered by chronic antigenic stimulation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58</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Despite PPBL's resemblance to lymphoma in histological and immunophenotypic features, genetic and clinical analyses are essential for accurate differentiation, preventing unnecessary treatments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58</w:t>
      </w:r>
      <w:r w:rsidRPr="00E510DE">
        <w:rPr>
          <w:rFonts w:asciiTheme="majorBidi" w:eastAsia="Times New Roman" w:hAnsiTheme="majorBidi" w:cstheme="majorBidi"/>
          <w:b/>
          <w:bCs/>
          <w:color w:val="0E101A"/>
          <w:sz w:val="24"/>
          <w:szCs w:val="24"/>
        </w:rPr>
        <w:t>].</w:t>
      </w:r>
    </w:p>
    <w:p w14:paraId="68DB60F7" w14:textId="77777777" w:rsidR="00993B1E" w:rsidRPr="00993B1E" w:rsidRDefault="00993B1E" w:rsidP="00E510DE">
      <w:pPr>
        <w:spacing w:after="0" w:line="360" w:lineRule="auto"/>
        <w:jc w:val="center"/>
        <w:rPr>
          <w:rFonts w:asciiTheme="majorBidi" w:eastAsia="Times New Roman" w:hAnsiTheme="majorBidi" w:cstheme="majorBidi"/>
          <w:b/>
          <w:bCs/>
          <w:color w:val="0E101A"/>
          <w:sz w:val="24"/>
          <w:szCs w:val="24"/>
        </w:rPr>
      </w:pPr>
      <w:r w:rsidRPr="00993B1E">
        <w:rPr>
          <w:rFonts w:asciiTheme="majorBidi" w:hAnsiTheme="majorBidi" w:cstheme="majorBidi"/>
          <w:b/>
          <w:bCs/>
          <w:spacing w:val="-4"/>
          <w:sz w:val="24"/>
          <w:szCs w:val="24"/>
        </w:rPr>
        <w:t>Fig. 8.</w:t>
      </w:r>
      <w:r w:rsidRPr="00993B1E">
        <w:rPr>
          <w:rFonts w:asciiTheme="majorBidi" w:hAnsiTheme="majorBidi" w:cstheme="majorBidi"/>
          <w:b/>
          <w:bCs/>
          <w:spacing w:val="-5"/>
          <w:sz w:val="24"/>
          <w:szCs w:val="24"/>
        </w:rPr>
        <w:t xml:space="preserve"> </w:t>
      </w:r>
      <w:r w:rsidRPr="00993B1E">
        <w:rPr>
          <w:rFonts w:asciiTheme="majorBidi" w:hAnsiTheme="majorBidi" w:cstheme="majorBidi"/>
          <w:b/>
          <w:bCs/>
          <w:spacing w:val="-4"/>
          <w:sz w:val="24"/>
          <w:szCs w:val="24"/>
        </w:rPr>
        <w:t>Morphologic</w:t>
      </w:r>
      <w:r w:rsidRPr="00993B1E">
        <w:rPr>
          <w:rFonts w:asciiTheme="majorBidi" w:hAnsiTheme="majorBidi" w:cstheme="majorBidi"/>
          <w:b/>
          <w:bCs/>
          <w:spacing w:val="-17"/>
          <w:sz w:val="24"/>
          <w:szCs w:val="24"/>
        </w:rPr>
        <w:t xml:space="preserve"> </w:t>
      </w:r>
      <w:r w:rsidRPr="00993B1E">
        <w:rPr>
          <w:rFonts w:asciiTheme="majorBidi" w:hAnsiTheme="majorBidi" w:cstheme="majorBidi"/>
          <w:b/>
          <w:bCs/>
          <w:spacing w:val="-4"/>
          <w:sz w:val="24"/>
          <w:szCs w:val="24"/>
        </w:rPr>
        <w:t>features</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showing</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typical</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binucleated</w:t>
      </w:r>
      <w:r w:rsidRPr="00993B1E">
        <w:rPr>
          <w:rFonts w:asciiTheme="majorBidi" w:hAnsiTheme="majorBidi" w:cstheme="majorBidi"/>
          <w:b/>
          <w:bCs/>
          <w:spacing w:val="-15"/>
          <w:sz w:val="24"/>
          <w:szCs w:val="24"/>
        </w:rPr>
        <w:t xml:space="preserve"> </w:t>
      </w:r>
      <w:r w:rsidRPr="00993B1E">
        <w:rPr>
          <w:rFonts w:asciiTheme="majorBidi" w:hAnsiTheme="majorBidi" w:cstheme="majorBidi"/>
          <w:b/>
          <w:bCs/>
          <w:spacing w:val="-4"/>
          <w:sz w:val="24"/>
          <w:szCs w:val="24"/>
        </w:rPr>
        <w:t>cells</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in</w:t>
      </w:r>
      <w:r w:rsidRPr="00993B1E">
        <w:rPr>
          <w:rFonts w:asciiTheme="majorBidi" w:hAnsiTheme="majorBidi" w:cstheme="majorBidi"/>
          <w:b/>
          <w:bCs/>
          <w:spacing w:val="-18"/>
          <w:sz w:val="24"/>
          <w:szCs w:val="24"/>
        </w:rPr>
        <w:t xml:space="preserve"> </w:t>
      </w:r>
      <w:r w:rsidRPr="00993B1E">
        <w:rPr>
          <w:rFonts w:asciiTheme="majorBidi" w:hAnsiTheme="majorBidi" w:cstheme="majorBidi"/>
          <w:b/>
          <w:bCs/>
          <w:spacing w:val="-4"/>
          <w:sz w:val="24"/>
          <w:szCs w:val="24"/>
        </w:rPr>
        <w:t>a</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PPBL</w:t>
      </w:r>
      <w:r w:rsidRPr="00993B1E">
        <w:rPr>
          <w:rFonts w:asciiTheme="majorBidi" w:hAnsiTheme="majorBidi" w:cstheme="majorBidi"/>
          <w:b/>
          <w:bCs/>
          <w:spacing w:val="-17"/>
          <w:sz w:val="24"/>
          <w:szCs w:val="24"/>
        </w:rPr>
        <w:t xml:space="preserve"> </w:t>
      </w:r>
      <w:r w:rsidRPr="00993B1E">
        <w:rPr>
          <w:rFonts w:asciiTheme="majorBidi" w:hAnsiTheme="majorBidi" w:cstheme="majorBidi"/>
          <w:b/>
          <w:bCs/>
          <w:spacing w:val="-4"/>
          <w:sz w:val="24"/>
          <w:szCs w:val="24"/>
        </w:rPr>
        <w:t>patient</w:t>
      </w:r>
      <w:r w:rsidRPr="00993B1E">
        <w:rPr>
          <w:rFonts w:asciiTheme="majorBidi" w:hAnsiTheme="majorBidi" w:cstheme="majorBidi"/>
          <w:b/>
          <w:bCs/>
          <w:spacing w:val="-9"/>
          <w:sz w:val="24"/>
          <w:szCs w:val="24"/>
        </w:rPr>
        <w:t xml:space="preserve"> </w:t>
      </w:r>
      <w:r w:rsidRPr="00993B1E">
        <w:rPr>
          <w:rFonts w:asciiTheme="majorBidi" w:hAnsiTheme="majorBidi" w:cstheme="majorBidi"/>
          <w:b/>
          <w:bCs/>
          <w:spacing w:val="-4"/>
          <w:sz w:val="24"/>
          <w:szCs w:val="24"/>
        </w:rPr>
        <w:t>[</w:t>
      </w:r>
      <w:r w:rsidR="00E510DE">
        <w:rPr>
          <w:rFonts w:asciiTheme="majorBidi" w:hAnsiTheme="majorBidi" w:cstheme="majorBidi"/>
          <w:b/>
          <w:bCs/>
          <w:spacing w:val="-4"/>
          <w:sz w:val="24"/>
          <w:szCs w:val="24"/>
        </w:rPr>
        <w:t>56</w:t>
      </w:r>
      <w:r w:rsidRPr="00993B1E">
        <w:rPr>
          <w:rFonts w:asciiTheme="majorBidi" w:hAnsiTheme="majorBidi" w:cstheme="majorBidi"/>
          <w:b/>
          <w:bCs/>
          <w:spacing w:val="-4"/>
          <w:sz w:val="24"/>
          <w:szCs w:val="24"/>
        </w:rPr>
        <w:t>].</w:t>
      </w:r>
    </w:p>
    <w:p w14:paraId="4323CB48" w14:textId="77777777" w:rsidR="00EB6083" w:rsidRPr="0084732D" w:rsidRDefault="00B05E3A" w:rsidP="0084732D">
      <w:pPr>
        <w:spacing w:after="0"/>
        <w:jc w:val="both"/>
        <w:rPr>
          <w:rFonts w:asciiTheme="majorBidi" w:eastAsia="Times New Roman" w:hAnsiTheme="majorBidi" w:cstheme="majorBidi"/>
          <w:b/>
          <w:bCs/>
          <w:color w:val="0E101A"/>
          <w:sz w:val="24"/>
          <w:szCs w:val="24"/>
        </w:rPr>
      </w:pPr>
      <w:r w:rsidRPr="0084732D">
        <w:rPr>
          <w:rFonts w:asciiTheme="majorBidi" w:eastAsia="Times New Roman" w:hAnsiTheme="majorBidi" w:cstheme="majorBidi"/>
          <w:b/>
          <w:bCs/>
          <w:color w:val="0E101A"/>
          <w:sz w:val="24"/>
          <w:szCs w:val="24"/>
        </w:rPr>
        <w:lastRenderedPageBreak/>
        <w:t>Fig.9. Histological features of the spleen. Images of the HCE-stained spleen sections at 20x (A), 100x (B), and 400x (C, D) magnification showing expansion of the white pulp nodules and significant infiltration of the red pulp by small mature lymphocytes with minimal cytologic atypia. Occasional binucleated lymphocytes are noted in the splenic sinusoids, indicated by black arrows (C, D, and D inset) [</w:t>
      </w:r>
      <w:r w:rsidR="0084732D">
        <w:rPr>
          <w:rFonts w:asciiTheme="majorBidi" w:eastAsia="Times New Roman" w:hAnsiTheme="majorBidi" w:cstheme="majorBidi"/>
          <w:b/>
          <w:bCs/>
          <w:color w:val="0E101A"/>
          <w:sz w:val="24"/>
          <w:szCs w:val="24"/>
        </w:rPr>
        <w:t>56</w:t>
      </w:r>
      <w:r w:rsidRPr="0084732D">
        <w:rPr>
          <w:rFonts w:asciiTheme="majorBidi" w:eastAsia="Times New Roman" w:hAnsiTheme="majorBidi" w:cstheme="majorBidi"/>
          <w:b/>
          <w:bCs/>
          <w:color w:val="0E101A"/>
          <w:sz w:val="24"/>
          <w:szCs w:val="24"/>
        </w:rPr>
        <w:t>].</w:t>
      </w:r>
      <w:r w:rsidRPr="0084732D">
        <w:rPr>
          <w:b/>
          <w:bCs/>
          <w:noProof/>
        </w:rPr>
        <w:drawing>
          <wp:anchor distT="0" distB="0" distL="114300" distR="114300" simplePos="0" relativeHeight="251670528" behindDoc="0" locked="0" layoutInCell="1" allowOverlap="1" wp14:anchorId="5BDD81AD" wp14:editId="5BC4BAFD">
            <wp:simplePos x="0" y="0"/>
            <wp:positionH relativeFrom="margin">
              <wp:align>right</wp:align>
            </wp:positionH>
            <wp:positionV relativeFrom="paragraph">
              <wp:posOffset>0</wp:posOffset>
            </wp:positionV>
            <wp:extent cx="5486400" cy="3105150"/>
            <wp:effectExtent l="0" t="0" r="0" b="0"/>
            <wp:wrapThrough wrapText="bothSides">
              <wp:wrapPolygon edited="0">
                <wp:start x="0" y="0"/>
                <wp:lineTo x="0" y="21467"/>
                <wp:lineTo x="21525" y="21467"/>
                <wp:lineTo x="21525" y="0"/>
                <wp:lineTo x="0" y="0"/>
              </wp:wrapPolygon>
            </wp:wrapThrough>
            <wp:docPr id="10" name="Picture 10" descr="https://www.researchgate.net/profile/Ridas-Juskevicius/publication/230696910/figure/fig1/AS:214254692114432@1428093707052/Histological-features-of-the-spleen-Images-of-the-H-E-stained-spleen-sections-at-20x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esearchgate.net/profile/Ridas-Juskevicius/publication/230696910/figure/fig1/AS:214254692114432@1428093707052/Histological-features-of-the-spleen-Images-of-the-H-E-stained-spleen-sections-at-20x_W6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A726E" w14:textId="77777777" w:rsidR="00C50C66" w:rsidRPr="00C50C66" w:rsidRDefault="00C50C66" w:rsidP="00C50C66">
      <w:pPr>
        <w:spacing w:after="0" w:line="360" w:lineRule="auto"/>
        <w:jc w:val="both"/>
        <w:rPr>
          <w:rFonts w:asciiTheme="majorBidi" w:eastAsia="Times New Roman" w:hAnsiTheme="majorBidi" w:cstheme="majorBidi"/>
          <w:b/>
          <w:bCs/>
          <w:color w:val="0E101A"/>
          <w:sz w:val="24"/>
          <w:szCs w:val="24"/>
        </w:rPr>
      </w:pPr>
      <w:r w:rsidRPr="00C50C66">
        <w:rPr>
          <w:rFonts w:asciiTheme="majorBidi" w:eastAsia="Times New Roman" w:hAnsiTheme="majorBidi" w:cstheme="majorBidi"/>
          <w:b/>
          <w:bCs/>
          <w:color w:val="0E101A"/>
          <w:sz w:val="24"/>
          <w:szCs w:val="24"/>
        </w:rPr>
        <w:t xml:space="preserve">2.1.10. In </w:t>
      </w:r>
      <w:commentRangeStart w:id="5"/>
      <w:proofErr w:type="spellStart"/>
      <w:r w:rsidRPr="00C50C66">
        <w:rPr>
          <w:rFonts w:asciiTheme="majorBidi" w:eastAsia="Times New Roman" w:hAnsiTheme="majorBidi" w:cstheme="majorBidi"/>
          <w:b/>
          <w:bCs/>
          <w:color w:val="0E101A"/>
          <w:sz w:val="24"/>
          <w:szCs w:val="24"/>
        </w:rPr>
        <w:t>emberyo</w:t>
      </w:r>
      <w:commentRangeEnd w:id="5"/>
      <w:proofErr w:type="spellEnd"/>
      <w:r w:rsidR="000C6111">
        <w:rPr>
          <w:rStyle w:val="CommentReference"/>
        </w:rPr>
        <w:commentReference w:id="5"/>
      </w:r>
    </w:p>
    <w:p w14:paraId="1044C7AC" w14:textId="77777777" w:rsidR="00B05E3A" w:rsidRDefault="00C50C66" w:rsidP="00DC3EC2">
      <w:pPr>
        <w:spacing w:after="0" w:line="360" w:lineRule="auto"/>
        <w:jc w:val="both"/>
        <w:rPr>
          <w:rFonts w:asciiTheme="majorBidi" w:eastAsia="Times New Roman" w:hAnsiTheme="majorBidi" w:cstheme="majorBidi"/>
          <w:color w:val="0E101A"/>
          <w:sz w:val="24"/>
          <w:szCs w:val="24"/>
        </w:rPr>
      </w:pPr>
      <w:r w:rsidRPr="00C50C66">
        <w:rPr>
          <w:rFonts w:asciiTheme="majorBidi" w:eastAsia="Times New Roman" w:hAnsiTheme="majorBidi" w:cstheme="majorBidi"/>
          <w:color w:val="0E101A"/>
          <w:sz w:val="24"/>
          <w:szCs w:val="24"/>
        </w:rPr>
        <w:t xml:space="preserve">Xanthopoulou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59</w:t>
      </w:r>
      <w:r w:rsidRPr="00DC3EC2">
        <w:rPr>
          <w:rFonts w:asciiTheme="majorBidi" w:eastAsia="Times New Roman" w:hAnsiTheme="majorBidi" w:cstheme="majorBidi"/>
          <w:b/>
          <w:bCs/>
          <w:color w:val="0E101A"/>
          <w:sz w:val="24"/>
          <w:szCs w:val="24"/>
        </w:rPr>
        <w:t xml:space="preserve">] </w:t>
      </w:r>
      <w:r w:rsidRPr="00C50C66">
        <w:rPr>
          <w:rFonts w:asciiTheme="majorBidi" w:eastAsia="Times New Roman" w:hAnsiTheme="majorBidi" w:cstheme="majorBidi"/>
          <w:color w:val="0E101A"/>
          <w:sz w:val="24"/>
          <w:szCs w:val="24"/>
        </w:rPr>
        <w:t xml:space="preserve">study the nature and origin of binucleate cells in human preimplantation embryos: relevance to placental mesenchymal dysplasia. The study focused on understanding the formation of binucleate cells (Binucleate Blastomeres) in human embryos during the early stages of preimplantation development, to investigate the origin and mechanism of these cells, taken biopsies from embryo making an analysis and suggested that binucleate cells form due to the inactivity of cell-cycle checkpoint genes during the early stages of embryo development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60</w:t>
      </w:r>
      <w:r w:rsidRPr="00DC3EC2">
        <w:rPr>
          <w:rFonts w:asciiTheme="majorBidi" w:eastAsia="Times New Roman" w:hAnsiTheme="majorBidi" w:cstheme="majorBidi"/>
          <w:b/>
          <w:bCs/>
          <w:color w:val="0E101A"/>
          <w:sz w:val="24"/>
          <w:szCs w:val="24"/>
        </w:rPr>
        <w:t>],</w:t>
      </w:r>
      <w:r w:rsidRPr="00C50C66">
        <w:rPr>
          <w:rFonts w:asciiTheme="majorBidi" w:eastAsia="Times New Roman" w:hAnsiTheme="majorBidi" w:cstheme="majorBidi"/>
          <w:color w:val="0E101A"/>
          <w:sz w:val="24"/>
          <w:szCs w:val="24"/>
        </w:rPr>
        <w:t xml:space="preserve"> this leads to tetraploid mosaicism, which is associated with arrested embryos and poor development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61</w:t>
      </w:r>
      <w:r w:rsidRPr="00DC3EC2">
        <w:rPr>
          <w:rFonts w:asciiTheme="majorBidi" w:eastAsia="Times New Roman" w:hAnsiTheme="majorBidi" w:cstheme="majorBidi"/>
          <w:b/>
          <w:bCs/>
          <w:color w:val="0E101A"/>
          <w:sz w:val="24"/>
          <w:szCs w:val="24"/>
        </w:rPr>
        <w:t>].</w:t>
      </w:r>
    </w:p>
    <w:p w14:paraId="39ACBF91" w14:textId="77777777" w:rsidR="00947A8A" w:rsidRPr="00EB6083" w:rsidRDefault="00947A8A" w:rsidP="00C50C66">
      <w:pPr>
        <w:spacing w:after="0" w:line="360" w:lineRule="auto"/>
        <w:jc w:val="both"/>
        <w:rPr>
          <w:rFonts w:asciiTheme="majorBidi" w:eastAsia="Times New Roman" w:hAnsiTheme="majorBidi" w:cstheme="majorBidi"/>
          <w:color w:val="0E101A"/>
          <w:sz w:val="24"/>
          <w:szCs w:val="24"/>
        </w:rPr>
      </w:pPr>
      <w:r>
        <w:rPr>
          <w:b/>
          <w:noProof/>
          <w:sz w:val="16"/>
        </w:rPr>
        <w:drawing>
          <wp:anchor distT="0" distB="0" distL="0" distR="0" simplePos="0" relativeHeight="251672576" behindDoc="1" locked="0" layoutInCell="1" allowOverlap="1" wp14:anchorId="25466064" wp14:editId="17ECA60F">
            <wp:simplePos x="0" y="0"/>
            <wp:positionH relativeFrom="page">
              <wp:posOffset>977900</wp:posOffset>
            </wp:positionH>
            <wp:positionV relativeFrom="paragraph">
              <wp:posOffset>271145</wp:posOffset>
            </wp:positionV>
            <wp:extent cx="5964555" cy="1659255"/>
            <wp:effectExtent l="0" t="0" r="0" b="0"/>
            <wp:wrapThrough wrapText="bothSides">
              <wp:wrapPolygon edited="0">
                <wp:start x="0" y="0"/>
                <wp:lineTo x="0" y="21327"/>
                <wp:lineTo x="21524" y="21327"/>
                <wp:lineTo x="21524" y="0"/>
                <wp:lineTo x="0" y="0"/>
              </wp:wrapPolygon>
            </wp:wrapThrough>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cstate="print"/>
                    <a:stretch>
                      <a:fillRect/>
                    </a:stretch>
                  </pic:blipFill>
                  <pic:spPr>
                    <a:xfrm>
                      <a:off x="0" y="0"/>
                      <a:ext cx="5964555" cy="1659255"/>
                    </a:xfrm>
                    <a:prstGeom prst="rect">
                      <a:avLst/>
                    </a:prstGeom>
                  </pic:spPr>
                </pic:pic>
              </a:graphicData>
            </a:graphic>
          </wp:anchor>
        </w:drawing>
      </w:r>
    </w:p>
    <w:p w14:paraId="333DEC5A" w14:textId="77777777" w:rsidR="00F93CB8" w:rsidRDefault="00947A8A" w:rsidP="0006459D">
      <w:pPr>
        <w:spacing w:after="0" w:line="360" w:lineRule="auto"/>
        <w:jc w:val="both"/>
        <w:rPr>
          <w:rFonts w:asciiTheme="majorBidi" w:eastAsia="Times New Roman" w:hAnsiTheme="majorBidi" w:cstheme="majorBidi"/>
          <w:b/>
          <w:bCs/>
          <w:color w:val="0E101A"/>
          <w:sz w:val="24"/>
          <w:szCs w:val="24"/>
        </w:rPr>
      </w:pPr>
      <w:r w:rsidRPr="00947A8A">
        <w:rPr>
          <w:rFonts w:asciiTheme="majorBidi" w:eastAsia="Times New Roman" w:hAnsiTheme="majorBidi" w:cstheme="majorBidi"/>
          <w:b/>
          <w:bCs/>
          <w:color w:val="0E101A"/>
          <w:sz w:val="24"/>
          <w:szCs w:val="24"/>
        </w:rPr>
        <w:lastRenderedPageBreak/>
        <w:t>Fig. 10. Nuclear abnormalities seen in human preimplantation embryos [</w:t>
      </w:r>
      <w:r w:rsidR="0006459D">
        <w:rPr>
          <w:rFonts w:asciiTheme="majorBidi" w:eastAsia="Times New Roman" w:hAnsiTheme="majorBidi" w:cstheme="majorBidi" w:hint="cs"/>
          <w:b/>
          <w:bCs/>
          <w:color w:val="0E101A"/>
          <w:sz w:val="24"/>
          <w:szCs w:val="24"/>
          <w:rtl/>
        </w:rPr>
        <w:t>59</w:t>
      </w:r>
      <w:r w:rsidRPr="00947A8A">
        <w:rPr>
          <w:rFonts w:asciiTheme="majorBidi" w:eastAsia="Times New Roman" w:hAnsiTheme="majorBidi" w:cstheme="majorBidi"/>
          <w:b/>
          <w:bCs/>
          <w:color w:val="0E101A"/>
          <w:sz w:val="24"/>
          <w:szCs w:val="24"/>
        </w:rPr>
        <w:t>].</w:t>
      </w:r>
    </w:p>
    <w:p w14:paraId="69A107E4" w14:textId="77777777" w:rsidR="00947A8A" w:rsidRDefault="00947A8A" w:rsidP="00C10DD5">
      <w:pPr>
        <w:spacing w:after="0" w:line="360" w:lineRule="auto"/>
        <w:jc w:val="both"/>
        <w:rPr>
          <w:rFonts w:asciiTheme="majorBidi" w:eastAsia="Times New Roman" w:hAnsiTheme="majorBidi" w:cstheme="majorBidi"/>
          <w:b/>
          <w:bCs/>
          <w:color w:val="0E101A"/>
          <w:sz w:val="24"/>
          <w:szCs w:val="24"/>
        </w:rPr>
      </w:pPr>
    </w:p>
    <w:p w14:paraId="61B8B5CE" w14:textId="77777777" w:rsidR="00B40673" w:rsidRDefault="00B40673" w:rsidP="00C10DD5">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2.2. </w:t>
      </w:r>
      <w:r w:rsidRPr="00B40673">
        <w:rPr>
          <w:rFonts w:asciiTheme="majorBidi" w:eastAsia="Times New Roman" w:hAnsiTheme="majorBidi" w:cstheme="majorBidi"/>
          <w:b/>
          <w:bCs/>
          <w:color w:val="0E101A"/>
          <w:sz w:val="24"/>
          <w:szCs w:val="24"/>
        </w:rPr>
        <w:t>Binucleated cells in infections</w:t>
      </w:r>
    </w:p>
    <w:p w14:paraId="062382F8" w14:textId="77777777" w:rsidR="003C4060" w:rsidRPr="003C4060" w:rsidRDefault="003C4060" w:rsidP="003C4060">
      <w:pPr>
        <w:spacing w:after="0" w:line="360" w:lineRule="auto"/>
        <w:jc w:val="both"/>
        <w:rPr>
          <w:rFonts w:asciiTheme="majorBidi" w:eastAsia="Times New Roman" w:hAnsiTheme="majorBidi" w:cstheme="majorBidi"/>
          <w:b/>
          <w:bCs/>
          <w:color w:val="0E101A"/>
          <w:sz w:val="24"/>
          <w:szCs w:val="24"/>
        </w:rPr>
      </w:pPr>
      <w:r w:rsidRPr="003C4060">
        <w:rPr>
          <w:rFonts w:asciiTheme="majorBidi" w:eastAsia="Times New Roman" w:hAnsiTheme="majorBidi" w:cstheme="majorBidi"/>
          <w:b/>
          <w:bCs/>
          <w:color w:val="0E101A"/>
          <w:sz w:val="24"/>
          <w:szCs w:val="24"/>
        </w:rPr>
        <w:t>2.2.1. HPV Infections</w:t>
      </w:r>
    </w:p>
    <w:p w14:paraId="1B64237C" w14:textId="77777777" w:rsidR="003C4060" w:rsidRDefault="003C4060" w:rsidP="00DC3EC2">
      <w:pPr>
        <w:spacing w:after="0" w:line="360" w:lineRule="auto"/>
        <w:jc w:val="both"/>
        <w:rPr>
          <w:rFonts w:asciiTheme="majorBidi" w:eastAsia="Times New Roman" w:hAnsiTheme="majorBidi" w:cstheme="majorBidi"/>
          <w:color w:val="0E101A"/>
          <w:sz w:val="24"/>
          <w:szCs w:val="24"/>
        </w:rPr>
      </w:pPr>
      <w:r w:rsidRPr="003C4060">
        <w:rPr>
          <w:rFonts w:asciiTheme="majorBidi" w:eastAsia="Times New Roman" w:hAnsiTheme="majorBidi" w:cstheme="majorBidi"/>
          <w:color w:val="0E101A"/>
          <w:sz w:val="24"/>
          <w:szCs w:val="24"/>
        </w:rPr>
        <w:t xml:space="preserve">Binucleated cells serve as key markers in HPV-related infections. Okayama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62</w:t>
      </w:r>
      <w:r w:rsidRPr="00DC3EC2">
        <w:rPr>
          <w:rFonts w:asciiTheme="majorBidi" w:eastAsia="Times New Roman" w:hAnsiTheme="majorBidi" w:cstheme="majorBidi"/>
          <w:b/>
          <w:bCs/>
          <w:color w:val="0E101A"/>
          <w:sz w:val="24"/>
          <w:szCs w:val="24"/>
        </w:rPr>
        <w:t>]</w:t>
      </w:r>
      <w:r w:rsidRPr="003C4060">
        <w:rPr>
          <w:rFonts w:asciiTheme="majorBidi" w:eastAsia="Times New Roman" w:hAnsiTheme="majorBidi" w:cstheme="majorBidi"/>
          <w:color w:val="0E101A"/>
          <w:sz w:val="24"/>
          <w:szCs w:val="24"/>
        </w:rPr>
        <w:t xml:space="preserve"> identified binucleated cells as the most prevalent cytological marker in anal Pap smears of HIV-positive patients, aiding in the early detection of anal intraepithelial neoplasia (AIN). </w:t>
      </w:r>
      <w:proofErr w:type="spellStart"/>
      <w:r w:rsidRPr="003C4060">
        <w:rPr>
          <w:rFonts w:asciiTheme="majorBidi" w:eastAsia="Times New Roman" w:hAnsiTheme="majorBidi" w:cstheme="majorBidi"/>
          <w:color w:val="0E101A"/>
          <w:sz w:val="24"/>
          <w:szCs w:val="24"/>
        </w:rPr>
        <w:t>Okodo</w:t>
      </w:r>
      <w:proofErr w:type="spellEnd"/>
      <w:r w:rsidRPr="003C4060">
        <w:rPr>
          <w:rFonts w:asciiTheme="majorBidi" w:eastAsia="Times New Roman" w:hAnsiTheme="majorBidi" w:cstheme="majorBidi"/>
          <w:color w:val="0E101A"/>
          <w:sz w:val="24"/>
          <w:szCs w:val="24"/>
        </w:rPr>
        <w:t xml:space="preserve">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63</w:t>
      </w:r>
      <w:r w:rsidRPr="00DC3EC2">
        <w:rPr>
          <w:rFonts w:asciiTheme="majorBidi" w:eastAsia="Times New Roman" w:hAnsiTheme="majorBidi" w:cstheme="majorBidi"/>
          <w:b/>
          <w:bCs/>
          <w:color w:val="0E101A"/>
          <w:sz w:val="24"/>
          <w:szCs w:val="24"/>
        </w:rPr>
        <w:t>]</w:t>
      </w:r>
      <w:r w:rsidRPr="003C4060">
        <w:rPr>
          <w:rFonts w:asciiTheme="majorBidi" w:eastAsia="Times New Roman" w:hAnsiTheme="majorBidi" w:cstheme="majorBidi"/>
          <w:color w:val="0E101A"/>
          <w:sz w:val="24"/>
          <w:szCs w:val="24"/>
        </w:rPr>
        <w:t xml:space="preserve"> and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64</w:t>
      </w:r>
      <w:r w:rsidRPr="00DC3EC2">
        <w:rPr>
          <w:rFonts w:asciiTheme="majorBidi" w:eastAsia="Times New Roman" w:hAnsiTheme="majorBidi" w:cstheme="majorBidi"/>
          <w:b/>
          <w:bCs/>
          <w:color w:val="0E101A"/>
          <w:sz w:val="24"/>
          <w:szCs w:val="24"/>
        </w:rPr>
        <w:t>]</w:t>
      </w:r>
      <w:r w:rsidRPr="003C4060">
        <w:rPr>
          <w:rFonts w:asciiTheme="majorBidi" w:eastAsia="Times New Roman" w:hAnsiTheme="majorBidi" w:cstheme="majorBidi"/>
          <w:color w:val="0E101A"/>
          <w:sz w:val="24"/>
          <w:szCs w:val="24"/>
        </w:rPr>
        <w:t xml:space="preserve"> differentiated between binucleation in high-risk HPV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 xml:space="preserve">-HPV) and candida infections, noting that binucleated cells with positive compression are predominantly linked to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-HPV, whereas reactive cellular changes (RCC) in candida infections are inflammation-driven. Okayama et al. [</w:t>
      </w:r>
      <w:r w:rsidR="00DC3EC2">
        <w:rPr>
          <w:rFonts w:asciiTheme="majorBidi" w:eastAsia="Times New Roman" w:hAnsiTheme="majorBidi" w:cstheme="majorBidi"/>
          <w:color w:val="0E101A"/>
          <w:sz w:val="24"/>
          <w:szCs w:val="24"/>
        </w:rPr>
        <w:t>65</w:t>
      </w:r>
      <w:r w:rsidRPr="003C4060">
        <w:rPr>
          <w:rFonts w:asciiTheme="majorBidi" w:eastAsia="Times New Roman" w:hAnsiTheme="majorBidi" w:cstheme="majorBidi"/>
          <w:color w:val="0E101A"/>
          <w:sz w:val="24"/>
          <w:szCs w:val="24"/>
        </w:rPr>
        <w:t xml:space="preserve">] confirmed the predictive value of binucleated cells in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-HPV infections, supporting early identification of HPV-related cancers.</w:t>
      </w:r>
      <w:r w:rsidR="00B40673">
        <w:rPr>
          <w:rFonts w:asciiTheme="majorBidi" w:eastAsia="Times New Roman" w:hAnsiTheme="majorBidi" w:cstheme="majorBidi"/>
          <w:color w:val="0E101A"/>
          <w:sz w:val="24"/>
          <w:szCs w:val="24"/>
        </w:rPr>
        <w:t xml:space="preserve"> </w:t>
      </w:r>
    </w:p>
    <w:p w14:paraId="6BB21925" w14:textId="77777777" w:rsidR="00B40673" w:rsidRPr="003C4060" w:rsidRDefault="00B40673" w:rsidP="00B40673">
      <w:pPr>
        <w:spacing w:after="0" w:line="360" w:lineRule="auto"/>
        <w:jc w:val="both"/>
        <w:rPr>
          <w:rFonts w:asciiTheme="majorBidi" w:eastAsia="Times New Roman" w:hAnsiTheme="majorBidi" w:cstheme="majorBidi"/>
          <w:color w:val="0E101A"/>
          <w:sz w:val="24"/>
          <w:szCs w:val="24"/>
        </w:rPr>
      </w:pPr>
      <w:r>
        <w:rPr>
          <w:rFonts w:asciiTheme="majorBidi" w:eastAsia="Times New Roman" w:hAnsiTheme="majorBidi" w:cstheme="majorBidi"/>
          <w:noProof/>
          <w:color w:val="0E101A"/>
          <w:sz w:val="24"/>
          <w:szCs w:val="24"/>
        </w:rPr>
        <w:drawing>
          <wp:anchor distT="0" distB="0" distL="114300" distR="114300" simplePos="0" relativeHeight="251673600" behindDoc="0" locked="0" layoutInCell="1" allowOverlap="1" wp14:anchorId="6CAB5D18" wp14:editId="051F6526">
            <wp:simplePos x="0" y="0"/>
            <wp:positionH relativeFrom="margin">
              <wp:posOffset>156210</wp:posOffset>
            </wp:positionH>
            <wp:positionV relativeFrom="paragraph">
              <wp:posOffset>50165</wp:posOffset>
            </wp:positionV>
            <wp:extent cx="4821555" cy="2228850"/>
            <wp:effectExtent l="0" t="0" r="0" b="0"/>
            <wp:wrapThrough wrapText="bothSides">
              <wp:wrapPolygon edited="0">
                <wp:start x="0" y="0"/>
                <wp:lineTo x="0" y="21415"/>
                <wp:lineTo x="21506" y="21415"/>
                <wp:lineTo x="2150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27">
                      <a:extLst>
                        <a:ext uri="{28A0092B-C50C-407E-A947-70E740481C1C}">
                          <a14:useLocalDpi xmlns:a14="http://schemas.microsoft.com/office/drawing/2010/main" val="0"/>
                        </a:ext>
                      </a:extLst>
                    </a:blip>
                    <a:stretch>
                      <a:fillRect/>
                    </a:stretch>
                  </pic:blipFill>
                  <pic:spPr>
                    <a:xfrm>
                      <a:off x="0" y="0"/>
                      <a:ext cx="4821555" cy="2228850"/>
                    </a:xfrm>
                    <a:prstGeom prst="rect">
                      <a:avLst/>
                    </a:prstGeom>
                  </pic:spPr>
                </pic:pic>
              </a:graphicData>
            </a:graphic>
            <wp14:sizeRelH relativeFrom="page">
              <wp14:pctWidth>0</wp14:pctWidth>
            </wp14:sizeRelH>
            <wp14:sizeRelV relativeFrom="page">
              <wp14:pctHeight>0</wp14:pctHeight>
            </wp14:sizeRelV>
          </wp:anchor>
        </w:drawing>
      </w:r>
    </w:p>
    <w:p w14:paraId="2A7B9D20"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34791B1"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BAD0E90"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9148D4B"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347D4E10"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6289128"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1D55811A"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7446868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0A4D3B2" w14:textId="77777777" w:rsidR="008874D0" w:rsidRDefault="00B40673" w:rsidP="00DC3EC2">
      <w:pPr>
        <w:spacing w:after="0"/>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Fig.</w:t>
      </w:r>
      <w:r w:rsidRPr="00B40673">
        <w:rPr>
          <w:rFonts w:asciiTheme="majorBidi" w:eastAsia="Times New Roman" w:hAnsiTheme="majorBidi" w:cstheme="majorBidi"/>
          <w:b/>
          <w:bCs/>
          <w:color w:val="0E101A"/>
          <w:sz w:val="24"/>
          <w:szCs w:val="24"/>
        </w:rPr>
        <w:t>11.</w:t>
      </w:r>
      <w:r>
        <w:rPr>
          <w:rFonts w:asciiTheme="majorBidi" w:eastAsia="Times New Roman" w:hAnsiTheme="majorBidi" w:cstheme="majorBidi"/>
          <w:b/>
          <w:bCs/>
          <w:color w:val="0E101A"/>
          <w:sz w:val="24"/>
          <w:szCs w:val="24"/>
        </w:rPr>
        <w:t xml:space="preserve"> </w:t>
      </w:r>
      <w:r w:rsidRPr="00B40673">
        <w:rPr>
          <w:rFonts w:asciiTheme="majorBidi" w:eastAsia="Times New Roman" w:hAnsiTheme="majorBidi" w:cstheme="majorBidi"/>
          <w:b/>
          <w:bCs/>
          <w:color w:val="0E101A"/>
          <w:sz w:val="24"/>
          <w:szCs w:val="24"/>
        </w:rPr>
        <w:t>Compression-Positive Binucleated Cells: (a) Pap staining (40×), (b) positive nuclear staining by in situ PCR with high-risk-HPV-specific primers (40×). Compression-negative binucleated cells: (c) Pap staining (40×), d) negative nuclear staining by in situ PCR with high-risk-HPV-specific primers (40×) [</w:t>
      </w:r>
      <w:r w:rsidR="00DC3EC2">
        <w:rPr>
          <w:rFonts w:asciiTheme="majorBidi" w:eastAsia="Times New Roman" w:hAnsiTheme="majorBidi" w:cstheme="majorBidi"/>
          <w:b/>
          <w:bCs/>
          <w:color w:val="0E101A"/>
          <w:sz w:val="24"/>
          <w:szCs w:val="24"/>
        </w:rPr>
        <w:t>63</w:t>
      </w:r>
      <w:r w:rsidRPr="00B40673">
        <w:rPr>
          <w:rFonts w:asciiTheme="majorBidi" w:eastAsia="Times New Roman" w:hAnsiTheme="majorBidi" w:cstheme="majorBidi"/>
          <w:b/>
          <w:bCs/>
          <w:color w:val="0E101A"/>
          <w:sz w:val="24"/>
          <w:szCs w:val="24"/>
        </w:rPr>
        <w:t>].</w:t>
      </w:r>
    </w:p>
    <w:p w14:paraId="5E5A32E5" w14:textId="77777777" w:rsidR="00B40673" w:rsidRDefault="00B40673" w:rsidP="00B40673">
      <w:pPr>
        <w:spacing w:after="0"/>
        <w:jc w:val="both"/>
        <w:rPr>
          <w:rFonts w:asciiTheme="majorBidi" w:eastAsia="Times New Roman" w:hAnsiTheme="majorBidi" w:cstheme="majorBidi"/>
          <w:b/>
          <w:bCs/>
          <w:color w:val="0E101A"/>
          <w:sz w:val="24"/>
          <w:szCs w:val="24"/>
        </w:rPr>
      </w:pPr>
    </w:p>
    <w:p w14:paraId="455F7639"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t>2.2.2. Meningitis</w:t>
      </w:r>
    </w:p>
    <w:p w14:paraId="7A474C49" w14:textId="77777777" w:rsidR="00B40673" w:rsidRPr="00B40673" w:rsidRDefault="00B40673" w:rsidP="00DC3EC2">
      <w:pPr>
        <w:spacing w:after="0" w:line="360" w:lineRule="auto"/>
        <w:jc w:val="both"/>
        <w:rPr>
          <w:rFonts w:asciiTheme="majorBidi" w:eastAsia="Times New Roman" w:hAnsiTheme="majorBidi" w:cstheme="majorBidi"/>
          <w:color w:val="0E101A"/>
          <w:sz w:val="24"/>
          <w:szCs w:val="24"/>
        </w:rPr>
      </w:pPr>
      <w:proofErr w:type="spellStart"/>
      <w:r w:rsidRPr="00B40673">
        <w:rPr>
          <w:rFonts w:asciiTheme="majorBidi" w:eastAsia="Times New Roman" w:hAnsiTheme="majorBidi" w:cstheme="majorBidi"/>
          <w:color w:val="0E101A"/>
          <w:sz w:val="24"/>
          <w:szCs w:val="24"/>
        </w:rPr>
        <w:t>Delc</w:t>
      </w:r>
      <w:proofErr w:type="spellEnd"/>
      <w:r w:rsidRPr="00B40673">
        <w:rPr>
          <w:rFonts w:asciiTheme="majorBidi" w:eastAsia="Times New Roman" w:hAnsiTheme="majorBidi" w:cstheme="majorBidi"/>
          <w:color w:val="0E101A"/>
          <w:sz w:val="24"/>
          <w:szCs w:val="24"/>
        </w:rPr>
        <w:t xml:space="preserve">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66</w:t>
      </w:r>
      <w:r w:rsidRPr="00DC3EC2">
        <w:rPr>
          <w:rFonts w:asciiTheme="majorBidi" w:eastAsia="Times New Roman" w:hAnsiTheme="majorBidi" w:cstheme="majorBidi"/>
          <w:b/>
          <w:bCs/>
          <w:color w:val="0E101A"/>
          <w:sz w:val="24"/>
          <w:szCs w:val="24"/>
        </w:rPr>
        <w:t>]</w:t>
      </w:r>
      <w:r w:rsidRPr="00B40673">
        <w:rPr>
          <w:rFonts w:asciiTheme="majorBidi" w:eastAsia="Times New Roman" w:hAnsiTheme="majorBidi" w:cstheme="majorBidi"/>
          <w:color w:val="0E101A"/>
          <w:sz w:val="24"/>
          <w:szCs w:val="24"/>
        </w:rPr>
        <w:t xml:space="preserve"> analyzed cerebrospinal fluid (CSF) cytology in viral meningitis and meningoencephalitis, observing binucleated lymphocytes and plasma cells as markers of intense immune activation. These findings reflect the robust immune response to viral inflammation and assist in disease characterization.</w:t>
      </w:r>
    </w:p>
    <w:p w14:paraId="1C4675B9"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t>2.2.3. HSV Infections</w:t>
      </w:r>
    </w:p>
    <w:p w14:paraId="561EEE95" w14:textId="77777777" w:rsidR="00B40673" w:rsidRPr="00B40673" w:rsidRDefault="00B40673" w:rsidP="00DC3EC2">
      <w:pPr>
        <w:spacing w:after="0" w:line="360" w:lineRule="auto"/>
        <w:jc w:val="both"/>
        <w:rPr>
          <w:rFonts w:asciiTheme="majorBidi" w:eastAsia="Times New Roman" w:hAnsiTheme="majorBidi" w:cstheme="majorBidi"/>
          <w:color w:val="0E101A"/>
          <w:sz w:val="24"/>
          <w:szCs w:val="24"/>
        </w:rPr>
      </w:pPr>
      <w:r w:rsidRPr="00B40673">
        <w:rPr>
          <w:rFonts w:asciiTheme="majorBidi" w:eastAsia="Times New Roman" w:hAnsiTheme="majorBidi" w:cstheme="majorBidi"/>
          <w:color w:val="0E101A"/>
          <w:sz w:val="24"/>
          <w:szCs w:val="24"/>
        </w:rPr>
        <w:lastRenderedPageBreak/>
        <w:t xml:space="preserve">Kannan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67</w:t>
      </w:r>
      <w:r w:rsidRPr="00DC3EC2">
        <w:rPr>
          <w:rFonts w:asciiTheme="majorBidi" w:eastAsia="Times New Roman" w:hAnsiTheme="majorBidi" w:cstheme="majorBidi"/>
          <w:b/>
          <w:bCs/>
          <w:color w:val="0E101A"/>
          <w:sz w:val="24"/>
          <w:szCs w:val="24"/>
        </w:rPr>
        <w:t>]</w:t>
      </w:r>
      <w:r w:rsidRPr="00B40673">
        <w:rPr>
          <w:rFonts w:asciiTheme="majorBidi" w:eastAsia="Times New Roman" w:hAnsiTheme="majorBidi" w:cstheme="majorBidi"/>
          <w:color w:val="0E101A"/>
          <w:sz w:val="24"/>
          <w:szCs w:val="24"/>
        </w:rPr>
        <w:t xml:space="preserve"> described binucleated cells as a hallmark feature in HSV infections, especially in Papanicolaou-stained cervical smears. These cells exhibit nuclear molding, intranuclear inclusions, and a ground-glass appearance, serving as a crucial diagnostic marker for reducing misdiagnosis and unnecessary interventions </w:t>
      </w:r>
      <w:r w:rsidRPr="00DC3EC2">
        <w:rPr>
          <w:rFonts w:asciiTheme="majorBidi" w:eastAsia="Times New Roman" w:hAnsiTheme="majorBidi" w:cstheme="majorBidi"/>
          <w:b/>
          <w:bCs/>
          <w:color w:val="0E101A"/>
          <w:sz w:val="24"/>
          <w:szCs w:val="24"/>
        </w:rPr>
        <w:t>[</w:t>
      </w:r>
      <w:r w:rsidR="00DC3EC2">
        <w:rPr>
          <w:rFonts w:asciiTheme="majorBidi" w:eastAsia="Times New Roman" w:hAnsiTheme="majorBidi" w:cstheme="majorBidi"/>
          <w:b/>
          <w:bCs/>
          <w:color w:val="0E101A"/>
          <w:sz w:val="24"/>
          <w:szCs w:val="24"/>
        </w:rPr>
        <w:t>68</w:t>
      </w:r>
      <w:r w:rsidRPr="00DC3EC2">
        <w:rPr>
          <w:rFonts w:asciiTheme="majorBidi" w:eastAsia="Times New Roman" w:hAnsiTheme="majorBidi" w:cstheme="majorBidi"/>
          <w:b/>
          <w:bCs/>
          <w:color w:val="0E101A"/>
          <w:sz w:val="24"/>
          <w:szCs w:val="24"/>
        </w:rPr>
        <w:t>].</w:t>
      </w:r>
    </w:p>
    <w:p w14:paraId="7BB3A2B1"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t>2.2.4. Leishmaniasis</w:t>
      </w:r>
    </w:p>
    <w:p w14:paraId="357554F7" w14:textId="77777777" w:rsidR="00B40673" w:rsidRDefault="00B40673" w:rsidP="00DC3EC2">
      <w:pPr>
        <w:spacing w:after="0" w:line="360" w:lineRule="auto"/>
        <w:jc w:val="both"/>
        <w:rPr>
          <w:rFonts w:asciiTheme="majorBidi" w:eastAsia="Times New Roman" w:hAnsiTheme="majorBidi" w:cstheme="majorBidi"/>
          <w:color w:val="0E101A"/>
          <w:sz w:val="24"/>
          <w:szCs w:val="24"/>
        </w:rPr>
      </w:pPr>
      <w:proofErr w:type="spellStart"/>
      <w:r w:rsidRPr="00B40673">
        <w:rPr>
          <w:rFonts w:asciiTheme="majorBidi" w:eastAsia="Times New Roman" w:hAnsiTheme="majorBidi" w:cstheme="majorBidi"/>
          <w:color w:val="0E101A"/>
          <w:sz w:val="24"/>
          <w:szCs w:val="24"/>
        </w:rPr>
        <w:t>Daneshbod</w:t>
      </w:r>
      <w:proofErr w:type="spellEnd"/>
      <w:r w:rsidRPr="00B40673">
        <w:rPr>
          <w:rFonts w:asciiTheme="majorBidi" w:eastAsia="Times New Roman" w:hAnsiTheme="majorBidi" w:cstheme="majorBidi"/>
          <w:color w:val="0E101A"/>
          <w:sz w:val="24"/>
          <w:szCs w:val="24"/>
        </w:rPr>
        <w:t xml:space="preserve">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69</w:t>
      </w:r>
      <w:r w:rsidRPr="00DC3EC2">
        <w:rPr>
          <w:rFonts w:asciiTheme="majorBidi" w:eastAsia="Times New Roman" w:hAnsiTheme="majorBidi" w:cstheme="majorBidi"/>
          <w:b/>
          <w:bCs/>
          <w:color w:val="0E101A"/>
          <w:sz w:val="24"/>
          <w:szCs w:val="24"/>
        </w:rPr>
        <w:t>]</w:t>
      </w:r>
      <w:r w:rsidRPr="00B40673">
        <w:rPr>
          <w:rFonts w:asciiTheme="majorBidi" w:eastAsia="Times New Roman" w:hAnsiTheme="majorBidi" w:cstheme="majorBidi"/>
          <w:color w:val="0E101A"/>
          <w:sz w:val="24"/>
          <w:szCs w:val="24"/>
        </w:rPr>
        <w:t xml:space="preserve"> highlighted binucleated cells in mucosal leishmaniasis (ML) cases, often observed alongside Leishman-Donovan bodies, the causative agents of the disease. This combination supports accurate cytological and histopathological diagnosis of ML.</w:t>
      </w:r>
    </w:p>
    <w:p w14:paraId="71495A86" w14:textId="77777777" w:rsidR="0005021E" w:rsidRPr="007B05FA" w:rsidRDefault="007B05FA" w:rsidP="007B05FA">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2</w:t>
      </w:r>
      <w:r w:rsidR="0005021E" w:rsidRPr="007B05FA">
        <w:rPr>
          <w:rFonts w:asciiTheme="majorBidi" w:eastAsia="Times New Roman" w:hAnsiTheme="majorBidi" w:cstheme="majorBidi"/>
          <w:b/>
          <w:bCs/>
          <w:color w:val="0E101A"/>
          <w:sz w:val="24"/>
          <w:szCs w:val="24"/>
        </w:rPr>
        <w:t>.</w:t>
      </w:r>
      <w:r>
        <w:rPr>
          <w:rFonts w:asciiTheme="majorBidi" w:eastAsia="Times New Roman" w:hAnsiTheme="majorBidi" w:cstheme="majorBidi"/>
          <w:b/>
          <w:bCs/>
          <w:color w:val="0E101A"/>
          <w:sz w:val="24"/>
          <w:szCs w:val="24"/>
        </w:rPr>
        <w:t>3</w:t>
      </w:r>
      <w:r w:rsidR="0005021E" w:rsidRPr="007B05FA">
        <w:rPr>
          <w:rFonts w:asciiTheme="majorBidi" w:eastAsia="Times New Roman" w:hAnsiTheme="majorBidi" w:cstheme="majorBidi"/>
          <w:b/>
          <w:bCs/>
          <w:color w:val="0E101A"/>
          <w:sz w:val="24"/>
          <w:szCs w:val="24"/>
        </w:rPr>
        <w:t>.</w:t>
      </w:r>
      <w:r w:rsidRPr="007B05FA">
        <w:rPr>
          <w:rFonts w:asciiTheme="majorBidi" w:eastAsia="Times New Roman" w:hAnsiTheme="majorBidi" w:cstheme="majorBidi"/>
          <w:b/>
          <w:bCs/>
          <w:color w:val="0E101A"/>
          <w:sz w:val="24"/>
          <w:szCs w:val="24"/>
        </w:rPr>
        <w:t xml:space="preserve"> </w:t>
      </w:r>
      <w:r w:rsidR="0005021E" w:rsidRPr="007B05FA">
        <w:rPr>
          <w:rFonts w:asciiTheme="majorBidi" w:eastAsia="Times New Roman" w:hAnsiTheme="majorBidi" w:cstheme="majorBidi"/>
          <w:b/>
          <w:bCs/>
          <w:color w:val="0E101A"/>
          <w:sz w:val="24"/>
          <w:szCs w:val="24"/>
        </w:rPr>
        <w:t>Binucleated cells in cancer</w:t>
      </w:r>
    </w:p>
    <w:p w14:paraId="2622BBDF" w14:textId="77777777" w:rsidR="0066640F" w:rsidRPr="00B40673" w:rsidRDefault="00EA3DBF" w:rsidP="00DC3EC2">
      <w:pPr>
        <w:spacing w:after="0" w:line="360" w:lineRule="auto"/>
        <w:jc w:val="both"/>
        <w:rPr>
          <w:rFonts w:asciiTheme="majorBidi" w:eastAsia="Times New Roman" w:hAnsiTheme="majorBidi" w:cstheme="majorBidi"/>
          <w:color w:val="0E101A"/>
          <w:sz w:val="24"/>
          <w:szCs w:val="24"/>
        </w:rPr>
      </w:pPr>
      <w:r>
        <w:rPr>
          <w:b/>
          <w:noProof/>
          <w:sz w:val="16"/>
        </w:rPr>
        <w:drawing>
          <wp:anchor distT="0" distB="0" distL="0" distR="0" simplePos="0" relativeHeight="251675648" behindDoc="1" locked="0" layoutInCell="1" allowOverlap="1" wp14:anchorId="207806FF" wp14:editId="37B13436">
            <wp:simplePos x="0" y="0"/>
            <wp:positionH relativeFrom="page">
              <wp:posOffset>996950</wp:posOffset>
            </wp:positionH>
            <wp:positionV relativeFrom="paragraph">
              <wp:posOffset>2132330</wp:posOffset>
            </wp:positionV>
            <wp:extent cx="5909945" cy="2355850"/>
            <wp:effectExtent l="0" t="0" r="0" b="635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cstate="print"/>
                    <a:stretch>
                      <a:fillRect/>
                    </a:stretch>
                  </pic:blipFill>
                  <pic:spPr>
                    <a:xfrm>
                      <a:off x="0" y="0"/>
                      <a:ext cx="5909945" cy="2355850"/>
                    </a:xfrm>
                    <a:prstGeom prst="rect">
                      <a:avLst/>
                    </a:prstGeom>
                  </pic:spPr>
                </pic:pic>
              </a:graphicData>
            </a:graphic>
            <wp14:sizeRelV relativeFrom="margin">
              <wp14:pctHeight>0</wp14:pctHeight>
            </wp14:sizeRelV>
          </wp:anchor>
        </w:drawing>
      </w:r>
      <w:r w:rsidR="0005021E" w:rsidRPr="0005021E">
        <w:rPr>
          <w:rFonts w:asciiTheme="majorBidi" w:eastAsia="Times New Roman" w:hAnsiTheme="majorBidi" w:cstheme="majorBidi"/>
          <w:color w:val="0E101A"/>
          <w:sz w:val="24"/>
          <w:szCs w:val="24"/>
        </w:rPr>
        <w:t xml:space="preserve">Blanco et al </w:t>
      </w:r>
      <w:r w:rsidR="0005021E"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70</w:t>
      </w:r>
      <w:r w:rsidR="0005021E" w:rsidRPr="00DC3EC2">
        <w:rPr>
          <w:rFonts w:asciiTheme="majorBidi" w:eastAsia="Times New Roman" w:hAnsiTheme="majorBidi" w:cstheme="majorBidi"/>
          <w:b/>
          <w:bCs/>
          <w:color w:val="0E101A"/>
          <w:sz w:val="24"/>
          <w:szCs w:val="24"/>
        </w:rPr>
        <w:t>],</w:t>
      </w:r>
      <w:r w:rsidR="0005021E" w:rsidRPr="0005021E">
        <w:rPr>
          <w:rFonts w:asciiTheme="majorBidi" w:eastAsia="Times New Roman" w:hAnsiTheme="majorBidi" w:cstheme="majorBidi"/>
          <w:color w:val="0E101A"/>
          <w:sz w:val="24"/>
          <w:szCs w:val="24"/>
        </w:rPr>
        <w:t xml:space="preserve"> studied bi- and multinucleated cells as a histological marker that can be used to differentiate between various types of lobular carcinoma in situ (LCIS) and ductal carcinoma in situ (DCIS) in breast tissue. It focuses on comparing three types: Classic lobular carcinoma in situ (CLCIS), Pleomorphic lobular carcinoma in situ (PLCIS) and Ductal carcinoma in situ (DCIS). To enhancing the differential diagnosis between the subtypes of LCIS and DCIS and highlighting the presence of bi- and multinucleated cells as an objective marker to facilitate diagnosis. they finding that binucleated cells were more frequent in PLCIS (100% of cases) compared to CLCIS (54%) and DCIS (43%).</w:t>
      </w:r>
    </w:p>
    <w:p w14:paraId="1D8E10C9" w14:textId="77777777" w:rsidR="00B40673" w:rsidRDefault="00EA3DBF" w:rsidP="00DC3EC2">
      <w:pPr>
        <w:spacing w:after="0"/>
        <w:jc w:val="both"/>
        <w:rPr>
          <w:rFonts w:asciiTheme="majorBidi" w:eastAsia="Times New Roman" w:hAnsiTheme="majorBidi" w:cstheme="majorBidi"/>
          <w:b/>
          <w:bCs/>
          <w:color w:val="0E101A"/>
          <w:sz w:val="24"/>
          <w:szCs w:val="24"/>
        </w:rPr>
      </w:pPr>
      <w:r w:rsidRPr="00EA3DBF">
        <w:rPr>
          <w:rFonts w:asciiTheme="majorBidi" w:eastAsia="Times New Roman" w:hAnsiTheme="majorBidi" w:cstheme="majorBidi"/>
          <w:b/>
          <w:bCs/>
          <w:color w:val="0E101A"/>
          <w:sz w:val="24"/>
          <w:szCs w:val="24"/>
        </w:rPr>
        <w:t>Fig.12. Pleomorphic lobular carcinoma in situ demonstrating scattered binucleated and multinucleated cells [</w:t>
      </w:r>
      <w:r w:rsidR="00DC3EC2">
        <w:rPr>
          <w:rFonts w:asciiTheme="majorBidi" w:eastAsia="Times New Roman" w:hAnsiTheme="majorBidi" w:cstheme="majorBidi"/>
          <w:b/>
          <w:bCs/>
          <w:color w:val="0E101A"/>
          <w:sz w:val="24"/>
          <w:szCs w:val="24"/>
        </w:rPr>
        <w:t>70</w:t>
      </w:r>
      <w:r w:rsidRPr="00EA3DBF">
        <w:rPr>
          <w:rFonts w:asciiTheme="majorBidi" w:eastAsia="Times New Roman" w:hAnsiTheme="majorBidi" w:cstheme="majorBidi"/>
          <w:b/>
          <w:bCs/>
          <w:color w:val="0E101A"/>
          <w:sz w:val="24"/>
          <w:szCs w:val="24"/>
        </w:rPr>
        <w:t>].</w:t>
      </w:r>
    </w:p>
    <w:p w14:paraId="6E26C064" w14:textId="77777777" w:rsidR="00EA3DBF" w:rsidRDefault="00EA3DBF" w:rsidP="00B40673">
      <w:pPr>
        <w:spacing w:after="0"/>
        <w:jc w:val="both"/>
        <w:rPr>
          <w:rFonts w:asciiTheme="majorBidi" w:eastAsia="Times New Roman" w:hAnsiTheme="majorBidi" w:cstheme="majorBidi"/>
          <w:b/>
          <w:bCs/>
          <w:color w:val="0E101A"/>
          <w:sz w:val="24"/>
          <w:szCs w:val="24"/>
        </w:rPr>
      </w:pPr>
    </w:p>
    <w:p w14:paraId="5FAFA035" w14:textId="77777777" w:rsidR="00EA3DBF" w:rsidRPr="00916D58" w:rsidRDefault="00916D58" w:rsidP="00DC3EC2">
      <w:pPr>
        <w:spacing w:after="0" w:line="360" w:lineRule="auto"/>
        <w:jc w:val="both"/>
        <w:rPr>
          <w:rFonts w:asciiTheme="majorBidi" w:eastAsia="Times New Roman" w:hAnsiTheme="majorBidi" w:cstheme="majorBidi"/>
          <w:color w:val="0E101A"/>
          <w:sz w:val="24"/>
          <w:szCs w:val="24"/>
        </w:rPr>
      </w:pPr>
      <w:r w:rsidRPr="00916D58">
        <w:rPr>
          <w:rFonts w:asciiTheme="majorBidi" w:eastAsia="Times New Roman" w:hAnsiTheme="majorBidi" w:cstheme="majorBidi"/>
          <w:color w:val="0E101A"/>
          <w:sz w:val="24"/>
          <w:szCs w:val="24"/>
        </w:rPr>
        <w:t xml:space="preserve">Priyadharshini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71</w:t>
      </w:r>
      <w:r w:rsidRPr="00DC3EC2">
        <w:rPr>
          <w:rFonts w:asciiTheme="majorBidi" w:eastAsia="Times New Roman" w:hAnsiTheme="majorBidi" w:cstheme="majorBidi"/>
          <w:b/>
          <w:bCs/>
          <w:color w:val="0E101A"/>
          <w:sz w:val="24"/>
          <w:szCs w:val="24"/>
        </w:rPr>
        <w:t>],</w:t>
      </w:r>
      <w:r w:rsidRPr="00916D58">
        <w:rPr>
          <w:rFonts w:asciiTheme="majorBidi" w:eastAsia="Times New Roman" w:hAnsiTheme="majorBidi" w:cstheme="majorBidi"/>
          <w:color w:val="0E101A"/>
          <w:sz w:val="24"/>
          <w:szCs w:val="24"/>
        </w:rPr>
        <w:t xml:space="preserve"> conducted a retrospective study on 2086 aspiration cytosmears/imprint smears, the slides were examined to identify the presence of binucleate Reed-Sternberg (RS) cells and RS-like cells, cases containing binucleate cells were classified into different categories according to their corresponding histopathological </w:t>
      </w:r>
      <w:r w:rsidRPr="00916D58">
        <w:rPr>
          <w:rFonts w:asciiTheme="majorBidi" w:eastAsia="Times New Roman" w:hAnsiTheme="majorBidi" w:cstheme="majorBidi"/>
          <w:color w:val="0E101A"/>
          <w:sz w:val="24"/>
          <w:szCs w:val="24"/>
        </w:rPr>
        <w:lastRenderedPageBreak/>
        <w:t xml:space="preserve">diagnoses, and their cytomorphological features were analyzed and compared. They revealed that the presence of RS-like cells was identified in 100% of HL cases, 30% of NHL cases, 12.9% of carcinoma cases, and 0.7% of benign/inflammatory cases. The analysis of cytomorphological features showed that certain characteristics, such as eosinophilic nucleoli, eosinophils, and cell clustering, could aid in distinguishing HL from other conditions. However, relying solely on cytomorphological features has limitations in differentiating true RS cells from RS-like cells, emphasizing the need for further </w:t>
      </w:r>
      <w:r w:rsidR="007E461C">
        <w:rPr>
          <w:b/>
          <w:noProof/>
          <w:sz w:val="17"/>
        </w:rPr>
        <w:drawing>
          <wp:anchor distT="0" distB="0" distL="0" distR="0" simplePos="0" relativeHeight="251677696" behindDoc="1" locked="0" layoutInCell="1" allowOverlap="1" wp14:anchorId="242CD1B6" wp14:editId="667601A4">
            <wp:simplePos x="0" y="0"/>
            <wp:positionH relativeFrom="margin">
              <wp:align>left</wp:align>
            </wp:positionH>
            <wp:positionV relativeFrom="paragraph">
              <wp:posOffset>2233295</wp:posOffset>
            </wp:positionV>
            <wp:extent cx="5841365" cy="1771650"/>
            <wp:effectExtent l="0" t="0" r="6985"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9" cstate="print"/>
                    <a:stretch>
                      <a:fillRect/>
                    </a:stretch>
                  </pic:blipFill>
                  <pic:spPr>
                    <a:xfrm>
                      <a:off x="0" y="0"/>
                      <a:ext cx="5841365" cy="1771650"/>
                    </a:xfrm>
                    <a:prstGeom prst="rect">
                      <a:avLst/>
                    </a:prstGeom>
                  </pic:spPr>
                </pic:pic>
              </a:graphicData>
            </a:graphic>
            <wp14:sizeRelV relativeFrom="margin">
              <wp14:pctHeight>0</wp14:pctHeight>
            </wp14:sizeRelV>
          </wp:anchor>
        </w:drawing>
      </w:r>
      <w:r w:rsidRPr="00916D58">
        <w:rPr>
          <w:rFonts w:asciiTheme="majorBidi" w:eastAsia="Times New Roman" w:hAnsiTheme="majorBidi" w:cstheme="majorBidi"/>
          <w:color w:val="0E101A"/>
          <w:sz w:val="24"/>
          <w:szCs w:val="24"/>
        </w:rPr>
        <w:t>histopathological examinations.</w:t>
      </w:r>
    </w:p>
    <w:p w14:paraId="6FA1F009" w14:textId="77777777" w:rsidR="00B40673" w:rsidRDefault="00B40673" w:rsidP="00B40673">
      <w:pPr>
        <w:spacing w:after="0"/>
        <w:jc w:val="both"/>
        <w:rPr>
          <w:rFonts w:asciiTheme="majorBidi" w:eastAsia="Times New Roman" w:hAnsiTheme="majorBidi" w:cstheme="majorBidi"/>
          <w:b/>
          <w:bCs/>
          <w:color w:val="0E101A"/>
          <w:sz w:val="24"/>
          <w:szCs w:val="24"/>
        </w:rPr>
      </w:pPr>
    </w:p>
    <w:p w14:paraId="328280DB" w14:textId="77777777" w:rsidR="00B40673" w:rsidRDefault="007E461C" w:rsidP="00DC3EC2">
      <w:pPr>
        <w:spacing w:after="0"/>
        <w:jc w:val="both"/>
        <w:rPr>
          <w:rFonts w:asciiTheme="majorBidi" w:eastAsia="Times New Roman" w:hAnsiTheme="majorBidi" w:cstheme="majorBidi"/>
          <w:b/>
          <w:bCs/>
          <w:color w:val="0E101A"/>
          <w:sz w:val="24"/>
          <w:szCs w:val="24"/>
        </w:rPr>
      </w:pPr>
      <w:r w:rsidRPr="007E461C">
        <w:rPr>
          <w:rFonts w:asciiTheme="majorBidi" w:eastAsia="Times New Roman" w:hAnsiTheme="majorBidi" w:cstheme="majorBidi"/>
          <w:b/>
          <w:bCs/>
          <w:color w:val="0E101A"/>
          <w:sz w:val="24"/>
          <w:szCs w:val="24"/>
        </w:rPr>
        <w:t>Fig.13. (a) RS cell in Hodgkin's lymphoma showing pale-greyish magenta–colored inclusion-like nucleoli (MGG, ×100) (b) RS cell in Hodgkin's lymphoma showing eosinophilic inclusion-like nucleoli (H and E, ×100) [</w:t>
      </w:r>
      <w:r w:rsidR="00DC3EC2">
        <w:rPr>
          <w:rFonts w:asciiTheme="majorBidi" w:eastAsia="Times New Roman" w:hAnsiTheme="majorBidi" w:cstheme="majorBidi"/>
          <w:b/>
          <w:bCs/>
          <w:color w:val="0E101A"/>
          <w:sz w:val="24"/>
          <w:szCs w:val="24"/>
        </w:rPr>
        <w:t>71</w:t>
      </w:r>
      <w:r w:rsidRPr="007E461C">
        <w:rPr>
          <w:rFonts w:asciiTheme="majorBidi" w:eastAsia="Times New Roman" w:hAnsiTheme="majorBidi" w:cstheme="majorBidi"/>
          <w:b/>
          <w:bCs/>
          <w:color w:val="0E101A"/>
          <w:sz w:val="24"/>
          <w:szCs w:val="24"/>
        </w:rPr>
        <w:t>].</w:t>
      </w:r>
    </w:p>
    <w:p w14:paraId="53962780" w14:textId="77777777" w:rsidR="008874D0" w:rsidRDefault="002A4664" w:rsidP="002A4664">
      <w:pPr>
        <w:spacing w:after="0"/>
        <w:jc w:val="both"/>
        <w:rPr>
          <w:rFonts w:asciiTheme="majorBidi" w:eastAsia="Times New Roman" w:hAnsiTheme="majorBidi" w:cstheme="majorBidi"/>
          <w:b/>
          <w:bCs/>
          <w:color w:val="0E101A"/>
          <w:sz w:val="24"/>
          <w:szCs w:val="24"/>
        </w:rPr>
      </w:pPr>
      <w:r>
        <w:rPr>
          <w:b/>
          <w:noProof/>
          <w:sz w:val="17"/>
        </w:rPr>
        <w:drawing>
          <wp:anchor distT="0" distB="0" distL="0" distR="0" simplePos="0" relativeHeight="251679744" behindDoc="1" locked="0" layoutInCell="1" allowOverlap="1" wp14:anchorId="5829D834" wp14:editId="585824BF">
            <wp:simplePos x="0" y="0"/>
            <wp:positionH relativeFrom="margin">
              <wp:align>left</wp:align>
            </wp:positionH>
            <wp:positionV relativeFrom="paragraph">
              <wp:posOffset>203835</wp:posOffset>
            </wp:positionV>
            <wp:extent cx="5835650" cy="2349500"/>
            <wp:effectExtent l="0" t="0" r="0" b="0"/>
            <wp:wrapTopAndBottom/>
            <wp:docPr id="1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5835650" cy="2349500"/>
                    </a:xfrm>
                    <a:prstGeom prst="rect">
                      <a:avLst/>
                    </a:prstGeom>
                  </pic:spPr>
                </pic:pic>
              </a:graphicData>
            </a:graphic>
            <wp14:sizeRelV relativeFrom="margin">
              <wp14:pctHeight>0</wp14:pctHeight>
            </wp14:sizeRelV>
          </wp:anchor>
        </w:drawing>
      </w:r>
    </w:p>
    <w:p w14:paraId="42764074" w14:textId="77777777" w:rsidR="002A4664" w:rsidRPr="002A4664" w:rsidRDefault="002A4664" w:rsidP="00DC3EC2">
      <w:pPr>
        <w:spacing w:after="0"/>
        <w:jc w:val="both"/>
        <w:rPr>
          <w:rFonts w:asciiTheme="majorBidi" w:eastAsia="Times New Roman" w:hAnsiTheme="majorBidi" w:cstheme="majorBidi"/>
          <w:b/>
          <w:bCs/>
          <w:color w:val="0E101A"/>
          <w:sz w:val="24"/>
          <w:szCs w:val="24"/>
        </w:rPr>
      </w:pPr>
      <w:r w:rsidRPr="002A4664">
        <w:rPr>
          <w:rFonts w:asciiTheme="majorBidi" w:eastAsia="Times New Roman" w:hAnsiTheme="majorBidi" w:cstheme="majorBidi"/>
          <w:b/>
          <w:bCs/>
          <w:color w:val="0E101A"/>
          <w:sz w:val="24"/>
          <w:szCs w:val="24"/>
        </w:rPr>
        <w:t xml:space="preserve">Fig.14. RS-like cell in other malignancies (a) non-Hodgkin's </w:t>
      </w:r>
      <w:proofErr w:type="spellStart"/>
      <w:r w:rsidRPr="002A4664">
        <w:rPr>
          <w:rFonts w:asciiTheme="majorBidi" w:eastAsia="Times New Roman" w:hAnsiTheme="majorBidi" w:cstheme="majorBidi"/>
          <w:b/>
          <w:bCs/>
          <w:color w:val="0E101A"/>
          <w:sz w:val="24"/>
          <w:szCs w:val="24"/>
        </w:rPr>
        <w:t>lynmphoma</w:t>
      </w:r>
      <w:proofErr w:type="spellEnd"/>
      <w:r w:rsidRPr="002A4664">
        <w:rPr>
          <w:rFonts w:asciiTheme="majorBidi" w:eastAsia="Times New Roman" w:hAnsiTheme="majorBidi" w:cstheme="majorBidi"/>
          <w:b/>
          <w:bCs/>
          <w:color w:val="0E101A"/>
          <w:sz w:val="24"/>
          <w:szCs w:val="24"/>
        </w:rPr>
        <w:t xml:space="preserve"> (MGG x100) (b) RS- like cell in non- Hodgkin's lymphoma (H and E, ×100) (c) RS-like cells in carcinoma (MGG, x100) (d) RS-like cell in sarcoma (MGG, ×40) [</w:t>
      </w:r>
      <w:r w:rsidR="00DC3EC2">
        <w:rPr>
          <w:rFonts w:asciiTheme="majorBidi" w:eastAsia="Times New Roman" w:hAnsiTheme="majorBidi" w:cstheme="majorBidi"/>
          <w:b/>
          <w:bCs/>
          <w:color w:val="0E101A"/>
          <w:sz w:val="24"/>
          <w:szCs w:val="24"/>
        </w:rPr>
        <w:t>71</w:t>
      </w:r>
      <w:r w:rsidRPr="002A4664">
        <w:rPr>
          <w:rFonts w:asciiTheme="majorBidi" w:eastAsia="Times New Roman" w:hAnsiTheme="majorBidi" w:cstheme="majorBidi"/>
          <w:b/>
          <w:bCs/>
          <w:color w:val="0E101A"/>
          <w:sz w:val="24"/>
          <w:szCs w:val="24"/>
        </w:rPr>
        <w:t>].</w:t>
      </w:r>
    </w:p>
    <w:p w14:paraId="4D936BA5" w14:textId="77777777" w:rsidR="008874D0" w:rsidRDefault="008874D0" w:rsidP="00C10DD5">
      <w:pPr>
        <w:spacing w:after="0" w:line="360" w:lineRule="auto"/>
        <w:jc w:val="both"/>
        <w:rPr>
          <w:rFonts w:asciiTheme="majorBidi" w:eastAsia="Times New Roman" w:hAnsiTheme="majorBidi" w:cstheme="majorBidi"/>
          <w:b/>
          <w:bCs/>
          <w:color w:val="0E101A"/>
          <w:sz w:val="24"/>
          <w:szCs w:val="24"/>
        </w:rPr>
      </w:pPr>
    </w:p>
    <w:p w14:paraId="2B957A0D" w14:textId="77777777" w:rsidR="008874D0" w:rsidRDefault="008874D0" w:rsidP="00C10DD5">
      <w:pPr>
        <w:spacing w:after="0" w:line="360" w:lineRule="auto"/>
        <w:jc w:val="both"/>
        <w:rPr>
          <w:rFonts w:asciiTheme="majorBidi" w:eastAsia="Times New Roman" w:hAnsiTheme="majorBidi" w:cstheme="majorBidi"/>
          <w:b/>
          <w:bCs/>
          <w:color w:val="0E101A"/>
          <w:sz w:val="24"/>
          <w:szCs w:val="24"/>
        </w:rPr>
      </w:pPr>
    </w:p>
    <w:p w14:paraId="207807C9" w14:textId="77777777" w:rsidR="005C339B" w:rsidRPr="005C339B" w:rsidRDefault="005C339B" w:rsidP="005C339B">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lastRenderedPageBreak/>
        <w:t xml:space="preserve">2.4. </w:t>
      </w:r>
      <w:r w:rsidRPr="005C339B">
        <w:rPr>
          <w:rFonts w:asciiTheme="majorBidi" w:eastAsia="Times New Roman" w:hAnsiTheme="majorBidi" w:cstheme="majorBidi"/>
          <w:b/>
          <w:bCs/>
          <w:color w:val="0E101A"/>
          <w:sz w:val="24"/>
          <w:szCs w:val="24"/>
        </w:rPr>
        <w:t>Detection of binucleated cells</w:t>
      </w:r>
    </w:p>
    <w:p w14:paraId="37CF734D" w14:textId="77777777" w:rsidR="008874D0" w:rsidRPr="000870F0" w:rsidRDefault="005C339B" w:rsidP="00DC3EC2">
      <w:pPr>
        <w:spacing w:after="0" w:line="360" w:lineRule="auto"/>
        <w:jc w:val="both"/>
        <w:rPr>
          <w:rFonts w:asciiTheme="majorBidi" w:eastAsia="Times New Roman" w:hAnsiTheme="majorBidi" w:cstheme="majorBidi"/>
          <w:color w:val="0E101A"/>
          <w:sz w:val="24"/>
          <w:szCs w:val="24"/>
        </w:rPr>
      </w:pPr>
      <w:r w:rsidRPr="005C339B">
        <w:rPr>
          <w:rFonts w:asciiTheme="majorBidi" w:eastAsia="Times New Roman" w:hAnsiTheme="majorBidi" w:cstheme="majorBidi"/>
          <w:color w:val="0E101A"/>
          <w:sz w:val="24"/>
          <w:szCs w:val="24"/>
        </w:rPr>
        <w:t xml:space="preserve">Immunohistochemistry (IHC): Uses specific antibodies like P16 and P53 to highlight abnormal cell division via chromogen staining under a microscope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72</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Cytochemical Staining: Methods such as Papanicolaou staining detect nuclear changes, including binucleation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73</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Digital Cytometry: Employs digital imaging to identify and measure binucleated cells with high accuracy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74</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Fluorescence Microscopy: Uses fluorescent dyes for sensitive detection of nuclei in cellular samples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75</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These methods effectively identify binucleated cells and contribute to understanding cellular abnormalities.</w:t>
      </w:r>
    </w:p>
    <w:p w14:paraId="2C871D2D" w14:textId="77777777" w:rsidR="00A22758" w:rsidRDefault="000870F0" w:rsidP="00C10DD5">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3. </w:t>
      </w:r>
      <w:r w:rsidR="00891FE4" w:rsidRPr="00C10DD5">
        <w:rPr>
          <w:rFonts w:asciiTheme="majorBidi" w:eastAsia="Times New Roman" w:hAnsiTheme="majorBidi" w:cstheme="majorBidi"/>
          <w:b/>
          <w:bCs/>
          <w:color w:val="0E101A"/>
          <w:sz w:val="24"/>
          <w:szCs w:val="24"/>
        </w:rPr>
        <w:t>DISCUSSION</w:t>
      </w:r>
    </w:p>
    <w:p w14:paraId="567716C5" w14:textId="77777777" w:rsidR="004D40AE" w:rsidRDefault="004D40AE" w:rsidP="004D40AE">
      <w:pPr>
        <w:spacing w:after="0" w:line="360" w:lineRule="auto"/>
        <w:jc w:val="both"/>
        <w:rPr>
          <w:rStyle w:val="Strong"/>
          <w:rFonts w:ascii="Times New Roman" w:eastAsia="Times New Roman" w:hAnsi="Times New Roman" w:cs="Times New Roman"/>
          <w:b w:val="0"/>
          <w:bCs w:val="0"/>
          <w:color w:val="0E101A"/>
          <w:sz w:val="24"/>
          <w:szCs w:val="24"/>
          <w:lang w:bidi="hi-IN"/>
        </w:rPr>
      </w:pPr>
      <w:r w:rsidRPr="004D40AE">
        <w:rPr>
          <w:rStyle w:val="Strong"/>
          <w:rFonts w:ascii="Times New Roman" w:eastAsia="Times New Roman" w:hAnsi="Times New Roman" w:cs="Times New Roman"/>
          <w:b w:val="0"/>
          <w:bCs w:val="0"/>
          <w:color w:val="0E101A"/>
          <w:sz w:val="24"/>
          <w:szCs w:val="24"/>
          <w:lang w:bidi="hi-IN"/>
        </w:rPr>
        <w:t xml:space="preserve">Binucleated cells have emerged as intriguing cellular entities with diverse implications in both physiological and pathological contexts. Their presence in normal tissues, including the liver, bone, spleen, and mammary gland, suggests that they may play active roles in tissue remodeling, regeneration, and maintenance of function. These cells are also frequently identified in disease settings, such as cancers, viral infections (e.g., HPV and HSV), autoimmune conditions (e.g., persistent polyclonal B-cell lymphocytosis), and even embryonic developmental disorders. Such wide distribution highlights their diagnostic, prognostic, and potentially therapeutic relevance. Despite their documented presence in various biological systems, a comprehensive understanding of binucleated cells remains limited. Most existing studies are descriptive or observational, relying on cytological smears, histopathological samples, and immunohistochemical staining. While these have contributed to mapping the occurrence of BNCs across different tissues, they often fall short in elucidating the underlying molecular mechanisms or functional consequences of binucleation. Multiple mechanisms have been proposed for the formation of binucleated cells, including incomplete cytokinesis, cell fusion, mitotic slippage, and DNA replication errors. In cancers, failure of mitotic checkpoints or disruption of the spindle assembly can lead to abnormal binucleation, potentially contributing to chromosomal instability and tumor progression. In contrast, in regenerative tissues such as the liver and kidneys, binucleated cells are often associated with tissue repair and recovery following damage or fibrosis. This dual behavior suggests that binucleation may serve as both a response to injury and a marker of dysregulation, depending on the context. However, the precise regulation of these processes remains unclear. The signaling pathways, gene expression profiles, and environmental triggers that determine whether binucleation leads to </w:t>
      </w:r>
      <w:r w:rsidRPr="004D40AE">
        <w:rPr>
          <w:rStyle w:val="Strong"/>
          <w:rFonts w:ascii="Times New Roman" w:eastAsia="Times New Roman" w:hAnsi="Times New Roman" w:cs="Times New Roman"/>
          <w:b w:val="0"/>
          <w:bCs w:val="0"/>
          <w:color w:val="0E101A"/>
          <w:sz w:val="24"/>
          <w:szCs w:val="24"/>
          <w:lang w:bidi="hi-IN"/>
        </w:rPr>
        <w:lastRenderedPageBreak/>
        <w:t>regeneration or malignancy have not yet been well-characterized. For example, while binucleation in hepatocytes is considered a normal adaptive mechanism, its role in hepatocellular carcinoma remains controversial. This ambiguity reflects a broader challenge in distinguishing physiological from pathological binucleation. Binucleated cells have demonstrated potential value as diagnostic biomarkers. In cytopathology, their detection can support early diagnosis of viral infections such as HPV or HSV, both of which are associated with cancer development. Moreover, in autoimmune conditions like PPBL, the persistent presence of BNCs may indicate chronic immune stimulation. Despite these associations, the interpretation of binucleated cells remains variable. Differences in staining techniques, sampling methods, and observer expertise can influence detection and classification. Therefore, there is a critical need to establish standardized diagnostic criteria and thresholds for the identification of BNCs across different diseases and tissue types.</w:t>
      </w:r>
    </w:p>
    <w:p w14:paraId="31B17216" w14:textId="77777777" w:rsidR="00091A53" w:rsidRPr="00C10DD5" w:rsidRDefault="004D40AE" w:rsidP="00C17163">
      <w:pPr>
        <w:pStyle w:val="Heading2"/>
        <w:spacing w:line="360" w:lineRule="auto"/>
        <w:jc w:val="both"/>
        <w:rPr>
          <w:rFonts w:asciiTheme="majorBidi" w:hAnsiTheme="majorBidi"/>
          <w:color w:val="0E101A"/>
          <w:sz w:val="24"/>
          <w:szCs w:val="24"/>
        </w:rPr>
      </w:pPr>
      <w:r>
        <w:rPr>
          <w:rStyle w:val="Strong"/>
          <w:rFonts w:asciiTheme="majorBidi" w:hAnsiTheme="majorBidi"/>
          <w:color w:val="0E101A"/>
          <w:sz w:val="24"/>
          <w:szCs w:val="24"/>
        </w:rPr>
        <w:t xml:space="preserve">4. </w:t>
      </w:r>
      <w:r w:rsidR="00891FE4" w:rsidRPr="00C10DD5">
        <w:rPr>
          <w:rStyle w:val="Strong"/>
          <w:rFonts w:asciiTheme="majorBidi" w:hAnsiTheme="majorBidi"/>
          <w:color w:val="0E101A"/>
          <w:sz w:val="24"/>
          <w:szCs w:val="24"/>
        </w:rPr>
        <w:t>CONCLUSION </w:t>
      </w:r>
    </w:p>
    <w:p w14:paraId="7F728CC1" w14:textId="77777777" w:rsidR="0038278B" w:rsidRPr="0038278B" w:rsidRDefault="0038278B" w:rsidP="00DF1E5F">
      <w:pPr>
        <w:pStyle w:val="NormalWeb"/>
        <w:spacing w:before="240" w:beforeAutospacing="0" w:after="0" w:afterAutospacing="0" w:line="360" w:lineRule="auto"/>
        <w:jc w:val="both"/>
        <w:rPr>
          <w:rFonts w:asciiTheme="majorBidi" w:hAnsiTheme="majorBidi" w:cstheme="majorBidi"/>
          <w:color w:val="0E101A"/>
        </w:rPr>
      </w:pPr>
      <w:r w:rsidRPr="0038278B">
        <w:rPr>
          <w:rFonts w:asciiTheme="majorBidi" w:hAnsiTheme="majorBidi" w:cstheme="majorBidi"/>
          <w:color w:val="0E101A"/>
        </w:rPr>
        <w:t>Binucleated cells are not merely a biological phenomenon; they serve as a window into understanding health and disease. Their natural presence reflects their role in regeneration and cellular functions, while their association with diseases such as cancer and infections highlights their significance in diagnosis and treatment. Understanding the mechanisms behind their formation opens new horizons in regenerative medicine and disease targeting. They are not just pathological markers but also a promising scientific tool that can reshape how we approach diseases.</w:t>
      </w:r>
    </w:p>
    <w:p w14:paraId="688ED55A" w14:textId="77777777" w:rsidR="00DF1E5F" w:rsidRDefault="00DF1E5F" w:rsidP="00DF1E5F">
      <w:pPr>
        <w:pStyle w:val="NormalWeb"/>
        <w:spacing w:before="240" w:beforeAutospacing="0" w:after="0" w:afterAutospacing="0" w:line="360" w:lineRule="auto"/>
        <w:jc w:val="both"/>
        <w:rPr>
          <w:rFonts w:asciiTheme="majorBidi" w:hAnsiTheme="majorBidi" w:cstheme="majorBidi"/>
          <w:b/>
          <w:bCs/>
          <w:color w:val="0E101A"/>
        </w:rPr>
      </w:pPr>
      <w:r>
        <w:rPr>
          <w:rFonts w:asciiTheme="majorBidi" w:hAnsiTheme="majorBidi" w:cstheme="majorBidi"/>
          <w:b/>
          <w:bCs/>
          <w:color w:val="0E101A"/>
        </w:rPr>
        <w:t>CONSENT</w:t>
      </w:r>
    </w:p>
    <w:p w14:paraId="4A9BC6AB" w14:textId="77777777" w:rsidR="00DF1E5F" w:rsidRDefault="00DF1E5F" w:rsidP="00DF1E5F">
      <w:pPr>
        <w:pStyle w:val="NormalWeb"/>
        <w:spacing w:before="0" w:beforeAutospacing="0" w:after="0" w:afterAutospacing="0" w:line="360" w:lineRule="auto"/>
        <w:jc w:val="both"/>
        <w:rPr>
          <w:rFonts w:asciiTheme="majorBidi" w:hAnsiTheme="majorBidi" w:cstheme="majorBidi"/>
          <w:color w:val="0E101A"/>
        </w:rPr>
      </w:pPr>
      <w:r>
        <w:rPr>
          <w:rFonts w:asciiTheme="majorBidi" w:hAnsiTheme="majorBidi" w:cstheme="majorBidi"/>
          <w:color w:val="0E101A"/>
        </w:rPr>
        <w:t>The patient’s written consent has been collected.</w:t>
      </w:r>
    </w:p>
    <w:p w14:paraId="3EBD223C" w14:textId="77777777" w:rsidR="00DF1E5F" w:rsidRDefault="00D83719" w:rsidP="00D83719">
      <w:pPr>
        <w:pStyle w:val="NormalWeb"/>
        <w:spacing w:before="0" w:beforeAutospacing="0" w:after="0" w:afterAutospacing="0" w:line="360" w:lineRule="auto"/>
        <w:jc w:val="both"/>
        <w:rPr>
          <w:rFonts w:asciiTheme="majorBidi" w:hAnsiTheme="majorBidi" w:cstheme="majorBidi"/>
          <w:b/>
          <w:bCs/>
          <w:color w:val="0E101A"/>
        </w:rPr>
      </w:pPr>
      <w:r>
        <w:rPr>
          <w:rFonts w:asciiTheme="majorBidi" w:hAnsiTheme="majorBidi" w:cstheme="majorBidi"/>
          <w:b/>
          <w:bCs/>
          <w:color w:val="0E101A"/>
        </w:rPr>
        <w:t>DISCLAIMER (ARTIFICIAL INTELLIGENCE)</w:t>
      </w:r>
    </w:p>
    <w:p w14:paraId="78D73515" w14:textId="77777777" w:rsidR="00DF1E5F" w:rsidRPr="00863495" w:rsidRDefault="00DF1E5F" w:rsidP="00863495">
      <w:pPr>
        <w:widowControl w:val="0"/>
        <w:wordWrap w:val="0"/>
        <w:autoSpaceDE w:val="0"/>
        <w:autoSpaceDN w:val="0"/>
        <w:spacing w:after="0" w:line="360" w:lineRule="auto"/>
        <w:jc w:val="both"/>
        <w:rPr>
          <w:rFonts w:asciiTheme="majorBidi" w:eastAsia="Batang" w:hAnsiTheme="majorBidi" w:cstheme="majorBidi"/>
          <w:kern w:val="2"/>
          <w:sz w:val="24"/>
          <w:szCs w:val="24"/>
          <w:lang w:eastAsia="ko-KR"/>
        </w:rPr>
      </w:pPr>
      <w:r>
        <w:rPr>
          <w:rFonts w:asciiTheme="majorBidi" w:eastAsia="Batang" w:hAnsiTheme="majorBidi" w:cstheme="majorBidi"/>
          <w:kern w:val="2"/>
          <w:sz w:val="24"/>
          <w:szCs w:val="24"/>
          <w:lang w:eastAsia="ko-KR"/>
        </w:rPr>
        <w:t>As a result, the Author (s) declare that NO generative AI technologies such as Large Language Models (</w:t>
      </w:r>
      <w:proofErr w:type="spellStart"/>
      <w:r>
        <w:rPr>
          <w:rFonts w:asciiTheme="majorBidi" w:eastAsia="Batang" w:hAnsiTheme="majorBidi" w:cstheme="majorBidi"/>
          <w:kern w:val="2"/>
          <w:sz w:val="24"/>
          <w:szCs w:val="24"/>
          <w:lang w:eastAsia="ko-KR"/>
        </w:rPr>
        <w:t>ChatGPT</w:t>
      </w:r>
      <w:proofErr w:type="spellEnd"/>
      <w:r>
        <w:rPr>
          <w:rFonts w:asciiTheme="majorBidi" w:eastAsia="Batang" w:hAnsiTheme="majorBidi" w:cstheme="majorBidi"/>
          <w:kern w:val="2"/>
          <w:sz w:val="24"/>
          <w:szCs w:val="24"/>
          <w:lang w:eastAsia="ko-KR"/>
        </w:rPr>
        <w:t xml:space="preserve">, COPILOT, </w:t>
      </w:r>
      <w:proofErr w:type="spellStart"/>
      <w:r>
        <w:rPr>
          <w:rFonts w:asciiTheme="majorBidi" w:eastAsia="Batang" w:hAnsiTheme="majorBidi" w:cstheme="majorBidi"/>
          <w:kern w:val="2"/>
          <w:sz w:val="24"/>
          <w:szCs w:val="24"/>
          <w:lang w:eastAsia="ko-KR"/>
        </w:rPr>
        <w:t>etc</w:t>
      </w:r>
      <w:proofErr w:type="spellEnd"/>
      <w:r>
        <w:rPr>
          <w:rFonts w:asciiTheme="majorBidi" w:eastAsia="Batang" w:hAnsiTheme="majorBidi" w:cstheme="majorBidi"/>
          <w:kern w:val="2"/>
          <w:sz w:val="24"/>
          <w:szCs w:val="24"/>
          <w:lang w:eastAsia="ko-KR"/>
        </w:rPr>
        <w:t>) and text-to-image generators have been used during the writing or editing of manuscripts.</w:t>
      </w:r>
    </w:p>
    <w:p w14:paraId="4E1A9357" w14:textId="654F613B" w:rsidR="00A63CFB" w:rsidRDefault="00A63CFB"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3151F0D2" w14:textId="2F9080B5" w:rsidR="008E0FDE" w:rsidRDefault="008E0FDE"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55A6601E" w14:textId="6AC239DC" w:rsidR="008E0FDE" w:rsidRDefault="008E0FDE"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38329A65" w14:textId="77777777" w:rsidR="008E0FDE" w:rsidRDefault="008E0FDE"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6C935681" w14:textId="77777777" w:rsidR="00F20F13" w:rsidRPr="00C10DD5" w:rsidRDefault="00F20F13"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6B6A9443" w14:textId="77777777" w:rsidR="00826A03" w:rsidRPr="00C10DD5" w:rsidRDefault="00A63CFB"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r w:rsidRPr="00C10DD5">
        <w:rPr>
          <w:rFonts w:asciiTheme="majorBidi" w:eastAsia="Batang" w:hAnsiTheme="majorBidi" w:cstheme="majorBidi"/>
          <w:b/>
          <w:bCs/>
          <w:kern w:val="2"/>
          <w:sz w:val="24"/>
          <w:szCs w:val="24"/>
          <w:lang w:eastAsia="ko-KR"/>
        </w:rPr>
        <w:lastRenderedPageBreak/>
        <w:t>References:</w:t>
      </w:r>
    </w:p>
    <w:p w14:paraId="72C6C2DA" w14:textId="77777777" w:rsidR="00113F77" w:rsidRDefault="007976D1" w:rsidP="007976D1">
      <w:pPr>
        <w:pStyle w:val="ListParagraph"/>
        <w:numPr>
          <w:ilvl w:val="0"/>
          <w:numId w:val="39"/>
        </w:numPr>
        <w:spacing w:line="360" w:lineRule="auto"/>
        <w:rPr>
          <w:rFonts w:asciiTheme="majorBidi" w:hAnsiTheme="majorBidi" w:cstheme="majorBidi"/>
          <w:sz w:val="24"/>
          <w:szCs w:val="24"/>
        </w:rPr>
      </w:pPr>
      <w:r w:rsidRPr="007976D1">
        <w:rPr>
          <w:rFonts w:asciiTheme="majorBidi" w:hAnsiTheme="majorBidi" w:cstheme="majorBidi"/>
          <w:sz w:val="24"/>
          <w:szCs w:val="24"/>
        </w:rPr>
        <w:t>Shi Q, King RW. Chromosome nondisjunction yields tetraploid rather than aneuploid cells in human cell lines. Nature. 2005;437(7061):1038-1042. doi:10.1038/nature03958</w:t>
      </w:r>
      <w:r w:rsidR="00723C39">
        <w:rPr>
          <w:rFonts w:asciiTheme="majorBidi" w:hAnsiTheme="majorBidi" w:cstheme="majorBidi"/>
          <w:sz w:val="24"/>
          <w:szCs w:val="24"/>
        </w:rPr>
        <w:t>.</w:t>
      </w:r>
    </w:p>
    <w:p w14:paraId="4E2E106B" w14:textId="77777777" w:rsidR="00723C39" w:rsidRDefault="00E6418A" w:rsidP="00E6418A">
      <w:pPr>
        <w:pStyle w:val="ListParagraph"/>
        <w:numPr>
          <w:ilvl w:val="0"/>
          <w:numId w:val="39"/>
        </w:numPr>
        <w:spacing w:line="360" w:lineRule="auto"/>
        <w:rPr>
          <w:rFonts w:asciiTheme="majorBidi" w:hAnsiTheme="majorBidi" w:cstheme="majorBidi"/>
          <w:sz w:val="24"/>
          <w:szCs w:val="24"/>
        </w:rPr>
      </w:pPr>
      <w:r w:rsidRPr="00E6418A">
        <w:rPr>
          <w:rFonts w:asciiTheme="majorBidi" w:hAnsiTheme="majorBidi" w:cstheme="majorBidi"/>
          <w:sz w:val="24"/>
          <w:szCs w:val="24"/>
        </w:rPr>
        <w:t xml:space="preserve">Morin C, </w:t>
      </w:r>
      <w:proofErr w:type="spellStart"/>
      <w:r w:rsidRPr="00E6418A">
        <w:rPr>
          <w:rFonts w:asciiTheme="majorBidi" w:hAnsiTheme="majorBidi" w:cstheme="majorBidi"/>
          <w:sz w:val="24"/>
          <w:szCs w:val="24"/>
        </w:rPr>
        <w:t>Bairati</w:t>
      </w:r>
      <w:proofErr w:type="spellEnd"/>
      <w:r w:rsidRPr="00E6418A">
        <w:rPr>
          <w:rFonts w:asciiTheme="majorBidi" w:hAnsiTheme="majorBidi" w:cstheme="majorBidi"/>
          <w:sz w:val="24"/>
          <w:szCs w:val="24"/>
        </w:rPr>
        <w:t xml:space="preserve"> I, Bouchard C, et al. Cytologic predictors of cervical intraepithelial neoplasia in women with an ASCUS Pap smear. Acta Cytol. 2000;44(4):576-586. doi:10.1159/000328532</w:t>
      </w:r>
    </w:p>
    <w:p w14:paraId="5838B003" w14:textId="77777777" w:rsidR="00E6418A" w:rsidRDefault="00E6418A" w:rsidP="00E6418A">
      <w:pPr>
        <w:pStyle w:val="ListParagraph"/>
        <w:numPr>
          <w:ilvl w:val="0"/>
          <w:numId w:val="39"/>
        </w:numPr>
        <w:spacing w:line="360" w:lineRule="auto"/>
        <w:rPr>
          <w:rFonts w:asciiTheme="majorBidi" w:hAnsiTheme="majorBidi" w:cstheme="majorBidi"/>
          <w:sz w:val="24"/>
          <w:szCs w:val="24"/>
        </w:rPr>
      </w:pPr>
      <w:proofErr w:type="spellStart"/>
      <w:r w:rsidRPr="00E6418A">
        <w:rPr>
          <w:rFonts w:asciiTheme="majorBidi" w:hAnsiTheme="majorBidi" w:cstheme="majorBidi"/>
          <w:sz w:val="24"/>
          <w:szCs w:val="24"/>
        </w:rPr>
        <w:t>Celton-Morizur</w:t>
      </w:r>
      <w:proofErr w:type="spellEnd"/>
      <w:r w:rsidRPr="00E6418A">
        <w:rPr>
          <w:rFonts w:asciiTheme="majorBidi" w:hAnsiTheme="majorBidi" w:cstheme="majorBidi"/>
          <w:sz w:val="24"/>
          <w:szCs w:val="24"/>
        </w:rPr>
        <w:t xml:space="preserve"> S, </w:t>
      </w:r>
      <w:proofErr w:type="spellStart"/>
      <w:r w:rsidRPr="00E6418A">
        <w:rPr>
          <w:rFonts w:asciiTheme="majorBidi" w:hAnsiTheme="majorBidi" w:cstheme="majorBidi"/>
          <w:sz w:val="24"/>
          <w:szCs w:val="24"/>
        </w:rPr>
        <w:t>Merlen</w:t>
      </w:r>
      <w:proofErr w:type="spellEnd"/>
      <w:r w:rsidRPr="00E6418A">
        <w:rPr>
          <w:rFonts w:asciiTheme="majorBidi" w:hAnsiTheme="majorBidi" w:cstheme="majorBidi"/>
          <w:sz w:val="24"/>
          <w:szCs w:val="24"/>
        </w:rPr>
        <w:t xml:space="preserve"> G, </w:t>
      </w:r>
      <w:proofErr w:type="spellStart"/>
      <w:r w:rsidRPr="00E6418A">
        <w:rPr>
          <w:rFonts w:asciiTheme="majorBidi" w:hAnsiTheme="majorBidi" w:cstheme="majorBidi"/>
          <w:sz w:val="24"/>
          <w:szCs w:val="24"/>
        </w:rPr>
        <w:t>Couton</w:t>
      </w:r>
      <w:proofErr w:type="spellEnd"/>
      <w:r w:rsidRPr="00E6418A">
        <w:rPr>
          <w:rFonts w:asciiTheme="majorBidi" w:hAnsiTheme="majorBidi" w:cstheme="majorBidi"/>
          <w:sz w:val="24"/>
          <w:szCs w:val="24"/>
        </w:rPr>
        <w:t xml:space="preserve"> D, </w:t>
      </w:r>
      <w:proofErr w:type="spellStart"/>
      <w:r w:rsidRPr="00E6418A">
        <w:rPr>
          <w:rFonts w:asciiTheme="majorBidi" w:hAnsiTheme="majorBidi" w:cstheme="majorBidi"/>
          <w:sz w:val="24"/>
          <w:szCs w:val="24"/>
        </w:rPr>
        <w:t>Desdouets</w:t>
      </w:r>
      <w:proofErr w:type="spellEnd"/>
      <w:r w:rsidRPr="00E6418A">
        <w:rPr>
          <w:rFonts w:asciiTheme="majorBidi" w:hAnsiTheme="majorBidi" w:cstheme="majorBidi"/>
          <w:sz w:val="24"/>
          <w:szCs w:val="24"/>
        </w:rPr>
        <w:t xml:space="preserve"> C. Polyploidy and liver proliferation: central role of insulin signaling. Cell Cycle. 2010;9(3):460-466. doi:10.4161/cc.9.3.10542</w:t>
      </w:r>
      <w:r>
        <w:rPr>
          <w:rFonts w:asciiTheme="majorBidi" w:hAnsiTheme="majorBidi" w:cstheme="majorBidi"/>
          <w:sz w:val="24"/>
          <w:szCs w:val="24"/>
        </w:rPr>
        <w:t>.</w:t>
      </w:r>
    </w:p>
    <w:p w14:paraId="11C54673" w14:textId="77777777" w:rsidR="00E6418A" w:rsidRDefault="007B7499" w:rsidP="007B7499">
      <w:pPr>
        <w:pStyle w:val="ListParagraph"/>
        <w:numPr>
          <w:ilvl w:val="0"/>
          <w:numId w:val="39"/>
        </w:numPr>
        <w:spacing w:line="360" w:lineRule="auto"/>
        <w:rPr>
          <w:rFonts w:asciiTheme="majorBidi" w:hAnsiTheme="majorBidi" w:cstheme="majorBidi"/>
          <w:sz w:val="24"/>
          <w:szCs w:val="24"/>
        </w:rPr>
      </w:pPr>
      <w:r w:rsidRPr="007B7499">
        <w:rPr>
          <w:rFonts w:asciiTheme="majorBidi" w:hAnsiTheme="majorBidi" w:cstheme="majorBidi"/>
          <w:sz w:val="24"/>
          <w:szCs w:val="24"/>
        </w:rPr>
        <w:t xml:space="preserve">Stoll LM, Duffield AS, Johnson MW, Ali SZ. Acute myeloid leukemia with myelodysplasia-related changes with erythroid differentiation involving pleural fluid: a case report and brief cytopathologic review. Diagn </w:t>
      </w:r>
      <w:proofErr w:type="spellStart"/>
      <w:r w:rsidRPr="007B7499">
        <w:rPr>
          <w:rFonts w:asciiTheme="majorBidi" w:hAnsiTheme="majorBidi" w:cstheme="majorBidi"/>
          <w:sz w:val="24"/>
          <w:szCs w:val="24"/>
        </w:rPr>
        <w:t>Cytopathol</w:t>
      </w:r>
      <w:proofErr w:type="spellEnd"/>
      <w:r w:rsidRPr="007B7499">
        <w:rPr>
          <w:rFonts w:asciiTheme="majorBidi" w:hAnsiTheme="majorBidi" w:cstheme="majorBidi"/>
          <w:sz w:val="24"/>
          <w:szCs w:val="24"/>
        </w:rPr>
        <w:t>. 2011;39(6):451-454. doi:10.1002/dc.21470</w:t>
      </w:r>
      <w:r>
        <w:rPr>
          <w:rFonts w:asciiTheme="majorBidi" w:hAnsiTheme="majorBidi" w:cstheme="majorBidi"/>
          <w:sz w:val="24"/>
          <w:szCs w:val="24"/>
        </w:rPr>
        <w:t>.</w:t>
      </w:r>
    </w:p>
    <w:p w14:paraId="582C57B5" w14:textId="77777777" w:rsidR="00990312" w:rsidRDefault="00990312" w:rsidP="00990312">
      <w:pPr>
        <w:pStyle w:val="ListParagraph"/>
        <w:numPr>
          <w:ilvl w:val="0"/>
          <w:numId w:val="39"/>
        </w:numPr>
        <w:spacing w:line="360" w:lineRule="auto"/>
        <w:rPr>
          <w:rFonts w:asciiTheme="majorBidi" w:hAnsiTheme="majorBidi" w:cstheme="majorBidi"/>
          <w:sz w:val="24"/>
          <w:szCs w:val="24"/>
        </w:rPr>
      </w:pPr>
      <w:proofErr w:type="spellStart"/>
      <w:r w:rsidRPr="00990312">
        <w:rPr>
          <w:rFonts w:asciiTheme="majorBidi" w:hAnsiTheme="majorBidi" w:cstheme="majorBidi"/>
          <w:sz w:val="24"/>
          <w:szCs w:val="24"/>
        </w:rPr>
        <w:t>Guidotti</w:t>
      </w:r>
      <w:proofErr w:type="spellEnd"/>
      <w:r w:rsidRPr="00990312">
        <w:rPr>
          <w:rFonts w:asciiTheme="majorBidi" w:hAnsiTheme="majorBidi" w:cstheme="majorBidi"/>
          <w:sz w:val="24"/>
          <w:szCs w:val="24"/>
        </w:rPr>
        <w:t xml:space="preserve"> JE, </w:t>
      </w:r>
      <w:proofErr w:type="spellStart"/>
      <w:r w:rsidRPr="00990312">
        <w:rPr>
          <w:rFonts w:asciiTheme="majorBidi" w:hAnsiTheme="majorBidi" w:cstheme="majorBidi"/>
          <w:sz w:val="24"/>
          <w:szCs w:val="24"/>
        </w:rPr>
        <w:t>Brégerie</w:t>
      </w:r>
      <w:proofErr w:type="spellEnd"/>
      <w:r w:rsidRPr="00990312">
        <w:rPr>
          <w:rFonts w:asciiTheme="majorBidi" w:hAnsiTheme="majorBidi" w:cstheme="majorBidi"/>
          <w:sz w:val="24"/>
          <w:szCs w:val="24"/>
        </w:rPr>
        <w:t xml:space="preserve"> O, Robert A, </w:t>
      </w:r>
      <w:proofErr w:type="spellStart"/>
      <w:r w:rsidRPr="00990312">
        <w:rPr>
          <w:rFonts w:asciiTheme="majorBidi" w:hAnsiTheme="majorBidi" w:cstheme="majorBidi"/>
          <w:sz w:val="24"/>
          <w:szCs w:val="24"/>
        </w:rPr>
        <w:t>Debey</w:t>
      </w:r>
      <w:proofErr w:type="spellEnd"/>
      <w:r w:rsidRPr="00990312">
        <w:rPr>
          <w:rFonts w:asciiTheme="majorBidi" w:hAnsiTheme="majorBidi" w:cstheme="majorBidi"/>
          <w:sz w:val="24"/>
          <w:szCs w:val="24"/>
        </w:rPr>
        <w:t xml:space="preserve"> P, </w:t>
      </w:r>
      <w:proofErr w:type="spellStart"/>
      <w:r w:rsidRPr="00990312">
        <w:rPr>
          <w:rFonts w:asciiTheme="majorBidi" w:hAnsiTheme="majorBidi" w:cstheme="majorBidi"/>
          <w:sz w:val="24"/>
          <w:szCs w:val="24"/>
        </w:rPr>
        <w:t>Brechot</w:t>
      </w:r>
      <w:proofErr w:type="spellEnd"/>
      <w:r w:rsidRPr="00990312">
        <w:rPr>
          <w:rFonts w:asciiTheme="majorBidi" w:hAnsiTheme="majorBidi" w:cstheme="majorBidi"/>
          <w:sz w:val="24"/>
          <w:szCs w:val="24"/>
        </w:rPr>
        <w:t xml:space="preserve"> C, </w:t>
      </w:r>
      <w:proofErr w:type="spellStart"/>
      <w:r w:rsidRPr="00990312">
        <w:rPr>
          <w:rFonts w:asciiTheme="majorBidi" w:hAnsiTheme="majorBidi" w:cstheme="majorBidi"/>
          <w:sz w:val="24"/>
          <w:szCs w:val="24"/>
        </w:rPr>
        <w:t>Desdouets</w:t>
      </w:r>
      <w:proofErr w:type="spellEnd"/>
      <w:r w:rsidRPr="00990312">
        <w:rPr>
          <w:rFonts w:asciiTheme="majorBidi" w:hAnsiTheme="majorBidi" w:cstheme="majorBidi"/>
          <w:sz w:val="24"/>
          <w:szCs w:val="24"/>
        </w:rPr>
        <w:t xml:space="preserve"> C. Liver cell polyploidization: a pivotal role for binuclear hepatocytes. J Biol Chem. 2003;278(21):19095-19101. doi:10.1074/jbc.M300982200</w:t>
      </w:r>
    </w:p>
    <w:p w14:paraId="382DA1DB" w14:textId="77777777" w:rsidR="00990312" w:rsidRDefault="00990312" w:rsidP="00990312">
      <w:pPr>
        <w:pStyle w:val="ListParagraph"/>
        <w:numPr>
          <w:ilvl w:val="0"/>
          <w:numId w:val="39"/>
        </w:numPr>
        <w:spacing w:line="360" w:lineRule="auto"/>
        <w:rPr>
          <w:rFonts w:asciiTheme="majorBidi" w:hAnsiTheme="majorBidi" w:cstheme="majorBidi"/>
          <w:sz w:val="24"/>
          <w:szCs w:val="24"/>
        </w:rPr>
      </w:pPr>
      <w:proofErr w:type="spellStart"/>
      <w:r w:rsidRPr="00990312">
        <w:rPr>
          <w:rFonts w:asciiTheme="majorBidi" w:hAnsiTheme="majorBidi" w:cstheme="majorBidi"/>
          <w:sz w:val="24"/>
          <w:szCs w:val="24"/>
        </w:rPr>
        <w:t>Ganem</w:t>
      </w:r>
      <w:proofErr w:type="spellEnd"/>
      <w:r w:rsidRPr="00990312">
        <w:rPr>
          <w:rFonts w:asciiTheme="majorBidi" w:hAnsiTheme="majorBidi" w:cstheme="majorBidi"/>
          <w:sz w:val="24"/>
          <w:szCs w:val="24"/>
        </w:rPr>
        <w:t xml:space="preserve"> NJ, </w:t>
      </w:r>
      <w:proofErr w:type="spellStart"/>
      <w:r w:rsidRPr="00990312">
        <w:rPr>
          <w:rFonts w:asciiTheme="majorBidi" w:hAnsiTheme="majorBidi" w:cstheme="majorBidi"/>
          <w:sz w:val="24"/>
          <w:szCs w:val="24"/>
        </w:rPr>
        <w:t>Storchova</w:t>
      </w:r>
      <w:proofErr w:type="spellEnd"/>
      <w:r w:rsidRPr="00990312">
        <w:rPr>
          <w:rFonts w:asciiTheme="majorBidi" w:hAnsiTheme="majorBidi" w:cstheme="majorBidi"/>
          <w:sz w:val="24"/>
          <w:szCs w:val="24"/>
        </w:rPr>
        <w:t xml:space="preserve"> Z, </w:t>
      </w:r>
      <w:proofErr w:type="spellStart"/>
      <w:r w:rsidRPr="00990312">
        <w:rPr>
          <w:rFonts w:asciiTheme="majorBidi" w:hAnsiTheme="majorBidi" w:cstheme="majorBidi"/>
          <w:sz w:val="24"/>
          <w:szCs w:val="24"/>
        </w:rPr>
        <w:t>Pellman</w:t>
      </w:r>
      <w:proofErr w:type="spellEnd"/>
      <w:r w:rsidRPr="00990312">
        <w:rPr>
          <w:rFonts w:asciiTheme="majorBidi" w:hAnsiTheme="majorBidi" w:cstheme="majorBidi"/>
          <w:sz w:val="24"/>
          <w:szCs w:val="24"/>
        </w:rPr>
        <w:t xml:space="preserve"> D. </w:t>
      </w:r>
      <w:proofErr w:type="spellStart"/>
      <w:r w:rsidRPr="00990312">
        <w:rPr>
          <w:rFonts w:asciiTheme="majorBidi" w:hAnsiTheme="majorBidi" w:cstheme="majorBidi"/>
          <w:sz w:val="24"/>
          <w:szCs w:val="24"/>
        </w:rPr>
        <w:t>Tetraploidy</w:t>
      </w:r>
      <w:proofErr w:type="spellEnd"/>
      <w:r w:rsidRPr="00990312">
        <w:rPr>
          <w:rFonts w:asciiTheme="majorBidi" w:hAnsiTheme="majorBidi" w:cstheme="majorBidi"/>
          <w:sz w:val="24"/>
          <w:szCs w:val="24"/>
        </w:rPr>
        <w:t xml:space="preserve">, aneuploidy and cancer. </w:t>
      </w:r>
      <w:proofErr w:type="spellStart"/>
      <w:r w:rsidRPr="00990312">
        <w:rPr>
          <w:rFonts w:asciiTheme="majorBidi" w:hAnsiTheme="majorBidi" w:cstheme="majorBidi"/>
          <w:sz w:val="24"/>
          <w:szCs w:val="24"/>
        </w:rPr>
        <w:t>Curr</w:t>
      </w:r>
      <w:proofErr w:type="spellEnd"/>
      <w:r w:rsidRPr="00990312">
        <w:rPr>
          <w:rFonts w:asciiTheme="majorBidi" w:hAnsiTheme="majorBidi" w:cstheme="majorBidi"/>
          <w:sz w:val="24"/>
          <w:szCs w:val="24"/>
        </w:rPr>
        <w:t xml:space="preserve"> </w:t>
      </w:r>
      <w:proofErr w:type="spellStart"/>
      <w:r w:rsidRPr="00990312">
        <w:rPr>
          <w:rFonts w:asciiTheme="majorBidi" w:hAnsiTheme="majorBidi" w:cstheme="majorBidi"/>
          <w:sz w:val="24"/>
          <w:szCs w:val="24"/>
        </w:rPr>
        <w:t>Opin</w:t>
      </w:r>
      <w:proofErr w:type="spellEnd"/>
      <w:r w:rsidRPr="00990312">
        <w:rPr>
          <w:rFonts w:asciiTheme="majorBidi" w:hAnsiTheme="majorBidi" w:cstheme="majorBidi"/>
          <w:sz w:val="24"/>
          <w:szCs w:val="24"/>
        </w:rPr>
        <w:t xml:space="preserve"> Genet Dev. 2007;17(2):157-162. </w:t>
      </w:r>
      <w:proofErr w:type="gramStart"/>
      <w:r w:rsidRPr="00990312">
        <w:rPr>
          <w:rFonts w:asciiTheme="majorBidi" w:hAnsiTheme="majorBidi" w:cstheme="majorBidi"/>
          <w:sz w:val="24"/>
          <w:szCs w:val="24"/>
        </w:rPr>
        <w:t>doi:10.1016/j.gde</w:t>
      </w:r>
      <w:proofErr w:type="gramEnd"/>
      <w:r w:rsidRPr="00990312">
        <w:rPr>
          <w:rFonts w:asciiTheme="majorBidi" w:hAnsiTheme="majorBidi" w:cstheme="majorBidi"/>
          <w:sz w:val="24"/>
          <w:szCs w:val="24"/>
        </w:rPr>
        <w:t>.2007.02.011</w:t>
      </w:r>
      <w:r>
        <w:rPr>
          <w:rFonts w:asciiTheme="majorBidi" w:hAnsiTheme="majorBidi" w:cstheme="majorBidi"/>
          <w:sz w:val="24"/>
          <w:szCs w:val="24"/>
        </w:rPr>
        <w:t>.</w:t>
      </w:r>
    </w:p>
    <w:p w14:paraId="49A72600" w14:textId="77777777" w:rsidR="000E410D" w:rsidRDefault="00896023" w:rsidP="00896023">
      <w:pPr>
        <w:pStyle w:val="ListParagraph"/>
        <w:numPr>
          <w:ilvl w:val="0"/>
          <w:numId w:val="39"/>
        </w:numPr>
        <w:spacing w:line="360" w:lineRule="auto"/>
        <w:rPr>
          <w:rFonts w:asciiTheme="majorBidi" w:hAnsiTheme="majorBidi" w:cstheme="majorBidi"/>
          <w:sz w:val="24"/>
          <w:szCs w:val="24"/>
        </w:rPr>
      </w:pPr>
      <w:r w:rsidRPr="00896023">
        <w:rPr>
          <w:rFonts w:asciiTheme="majorBidi" w:hAnsiTheme="majorBidi" w:cstheme="majorBidi"/>
          <w:sz w:val="24"/>
          <w:szCs w:val="24"/>
        </w:rPr>
        <w:t xml:space="preserve">Bollmann M, </w:t>
      </w:r>
      <w:proofErr w:type="spellStart"/>
      <w:r w:rsidRPr="00896023">
        <w:rPr>
          <w:rFonts w:asciiTheme="majorBidi" w:hAnsiTheme="majorBidi" w:cstheme="majorBidi"/>
          <w:sz w:val="24"/>
          <w:szCs w:val="24"/>
        </w:rPr>
        <w:t>Bánkfalvi</w:t>
      </w:r>
      <w:proofErr w:type="spellEnd"/>
      <w:r w:rsidRPr="00896023">
        <w:rPr>
          <w:rFonts w:asciiTheme="majorBidi" w:hAnsiTheme="majorBidi" w:cstheme="majorBidi"/>
          <w:sz w:val="24"/>
          <w:szCs w:val="24"/>
        </w:rPr>
        <w:t xml:space="preserve"> A, </w:t>
      </w:r>
      <w:proofErr w:type="spellStart"/>
      <w:r w:rsidRPr="00896023">
        <w:rPr>
          <w:rFonts w:asciiTheme="majorBidi" w:hAnsiTheme="majorBidi" w:cstheme="majorBidi"/>
          <w:sz w:val="24"/>
          <w:szCs w:val="24"/>
        </w:rPr>
        <w:t>Trosic</w:t>
      </w:r>
      <w:proofErr w:type="spellEnd"/>
      <w:r w:rsidRPr="00896023">
        <w:rPr>
          <w:rFonts w:asciiTheme="majorBidi" w:hAnsiTheme="majorBidi" w:cstheme="majorBidi"/>
          <w:sz w:val="24"/>
          <w:szCs w:val="24"/>
        </w:rPr>
        <w:t xml:space="preserve"> A, </w:t>
      </w:r>
      <w:proofErr w:type="spellStart"/>
      <w:r w:rsidRPr="00896023">
        <w:rPr>
          <w:rFonts w:asciiTheme="majorBidi" w:hAnsiTheme="majorBidi" w:cstheme="majorBidi"/>
          <w:sz w:val="24"/>
          <w:szCs w:val="24"/>
        </w:rPr>
        <w:t>Speich</w:t>
      </w:r>
      <w:proofErr w:type="spellEnd"/>
      <w:r w:rsidRPr="00896023">
        <w:rPr>
          <w:rFonts w:asciiTheme="majorBidi" w:hAnsiTheme="majorBidi" w:cstheme="majorBidi"/>
          <w:sz w:val="24"/>
          <w:szCs w:val="24"/>
        </w:rPr>
        <w:t xml:space="preserve"> N, </w:t>
      </w:r>
      <w:proofErr w:type="spellStart"/>
      <w:r w:rsidRPr="00896023">
        <w:rPr>
          <w:rFonts w:asciiTheme="majorBidi" w:hAnsiTheme="majorBidi" w:cstheme="majorBidi"/>
          <w:sz w:val="24"/>
          <w:szCs w:val="24"/>
        </w:rPr>
        <w:t>Schmittt</w:t>
      </w:r>
      <w:proofErr w:type="spellEnd"/>
      <w:r w:rsidRPr="00896023">
        <w:rPr>
          <w:rFonts w:asciiTheme="majorBidi" w:hAnsiTheme="majorBidi" w:cstheme="majorBidi"/>
          <w:sz w:val="24"/>
          <w:szCs w:val="24"/>
        </w:rPr>
        <w:t xml:space="preserve"> C, Bollmann R. Can we detect cervical human papillomavirus (HPV) infection by cytomorphology alone? Diagnostic value of non-classic cytological signs of HPV effect in minimally abnormal Pap tests. Cytopathology. 2005;16(1):13-21. doi:10.1111/j.1365-2303.2004.</w:t>
      </w:r>
      <w:proofErr w:type="gramStart"/>
      <w:r w:rsidRPr="00896023">
        <w:rPr>
          <w:rFonts w:asciiTheme="majorBidi" w:hAnsiTheme="majorBidi" w:cstheme="majorBidi"/>
          <w:sz w:val="24"/>
          <w:szCs w:val="24"/>
        </w:rPr>
        <w:t>00179.x</w:t>
      </w:r>
      <w:r>
        <w:rPr>
          <w:rFonts w:asciiTheme="majorBidi" w:hAnsiTheme="majorBidi" w:cstheme="majorBidi"/>
          <w:sz w:val="24"/>
          <w:szCs w:val="24"/>
        </w:rPr>
        <w:t>.</w:t>
      </w:r>
      <w:proofErr w:type="gramEnd"/>
    </w:p>
    <w:p w14:paraId="2C69A6DE" w14:textId="77777777" w:rsidR="00896023" w:rsidRDefault="007824BB" w:rsidP="007824BB">
      <w:pPr>
        <w:pStyle w:val="ListParagraph"/>
        <w:numPr>
          <w:ilvl w:val="0"/>
          <w:numId w:val="39"/>
        </w:numPr>
        <w:spacing w:line="360" w:lineRule="auto"/>
        <w:rPr>
          <w:rFonts w:asciiTheme="majorBidi" w:hAnsiTheme="majorBidi" w:cstheme="majorBidi"/>
          <w:sz w:val="24"/>
          <w:szCs w:val="24"/>
        </w:rPr>
      </w:pPr>
      <w:r w:rsidRPr="007824BB">
        <w:rPr>
          <w:rFonts w:asciiTheme="majorBidi" w:hAnsiTheme="majorBidi" w:cstheme="majorBidi"/>
          <w:sz w:val="24"/>
          <w:szCs w:val="24"/>
        </w:rPr>
        <w:t xml:space="preserve">Hu L, Ceresa BP. Characterization of the plasma membrane localization and orientation of HPV16 E5 for cell-cell fusion. Virology. 2009;393(1):135-143. </w:t>
      </w:r>
      <w:proofErr w:type="gramStart"/>
      <w:r w:rsidRPr="007824BB">
        <w:rPr>
          <w:rFonts w:asciiTheme="majorBidi" w:hAnsiTheme="majorBidi" w:cstheme="majorBidi"/>
          <w:sz w:val="24"/>
          <w:szCs w:val="24"/>
        </w:rPr>
        <w:t>doi:10.1016/j.virol</w:t>
      </w:r>
      <w:proofErr w:type="gramEnd"/>
      <w:r w:rsidRPr="007824BB">
        <w:rPr>
          <w:rFonts w:asciiTheme="majorBidi" w:hAnsiTheme="majorBidi" w:cstheme="majorBidi"/>
          <w:sz w:val="24"/>
          <w:szCs w:val="24"/>
        </w:rPr>
        <w:t>.2009.07.034</w:t>
      </w:r>
      <w:r>
        <w:rPr>
          <w:rFonts w:asciiTheme="majorBidi" w:hAnsiTheme="majorBidi" w:cstheme="majorBidi"/>
          <w:sz w:val="24"/>
          <w:szCs w:val="24"/>
        </w:rPr>
        <w:t>.</w:t>
      </w:r>
    </w:p>
    <w:p w14:paraId="6C335675" w14:textId="77777777" w:rsidR="007824BB" w:rsidRDefault="00B20632" w:rsidP="00B20632">
      <w:pPr>
        <w:pStyle w:val="ListParagraph"/>
        <w:numPr>
          <w:ilvl w:val="0"/>
          <w:numId w:val="39"/>
        </w:numPr>
        <w:spacing w:line="360" w:lineRule="auto"/>
        <w:rPr>
          <w:rFonts w:asciiTheme="majorBidi" w:hAnsiTheme="majorBidi" w:cstheme="majorBidi"/>
          <w:sz w:val="24"/>
          <w:szCs w:val="24"/>
        </w:rPr>
      </w:pPr>
      <w:proofErr w:type="spellStart"/>
      <w:r w:rsidRPr="00B20632">
        <w:rPr>
          <w:rFonts w:asciiTheme="majorBidi" w:hAnsiTheme="majorBidi" w:cstheme="majorBidi"/>
          <w:sz w:val="24"/>
          <w:szCs w:val="24"/>
        </w:rPr>
        <w:t>Petrany</w:t>
      </w:r>
      <w:proofErr w:type="spellEnd"/>
      <w:r w:rsidRPr="00B20632">
        <w:rPr>
          <w:rFonts w:asciiTheme="majorBidi" w:hAnsiTheme="majorBidi" w:cstheme="majorBidi"/>
          <w:sz w:val="24"/>
          <w:szCs w:val="24"/>
        </w:rPr>
        <w:t xml:space="preserve"> MJ, Millay DP. Cell Fusion: Merging Membranes and Making Muscle. Trends Cell Biol. 2019;29(12):964-973. </w:t>
      </w:r>
      <w:proofErr w:type="gramStart"/>
      <w:r w:rsidRPr="00B20632">
        <w:rPr>
          <w:rFonts w:asciiTheme="majorBidi" w:hAnsiTheme="majorBidi" w:cstheme="majorBidi"/>
          <w:sz w:val="24"/>
          <w:szCs w:val="24"/>
        </w:rPr>
        <w:t>doi:10.1016/j.tcb</w:t>
      </w:r>
      <w:proofErr w:type="gramEnd"/>
      <w:r w:rsidRPr="00B20632">
        <w:rPr>
          <w:rFonts w:asciiTheme="majorBidi" w:hAnsiTheme="majorBidi" w:cstheme="majorBidi"/>
          <w:sz w:val="24"/>
          <w:szCs w:val="24"/>
        </w:rPr>
        <w:t>.2019.09.002</w:t>
      </w:r>
      <w:r>
        <w:rPr>
          <w:rFonts w:asciiTheme="majorBidi" w:hAnsiTheme="majorBidi" w:cstheme="majorBidi"/>
          <w:sz w:val="24"/>
          <w:szCs w:val="24"/>
        </w:rPr>
        <w:t>.</w:t>
      </w:r>
    </w:p>
    <w:p w14:paraId="0888AF1C" w14:textId="77777777" w:rsidR="00B20632" w:rsidRDefault="00A17837" w:rsidP="00A17837">
      <w:pPr>
        <w:pStyle w:val="ListParagraph"/>
        <w:numPr>
          <w:ilvl w:val="0"/>
          <w:numId w:val="39"/>
        </w:numPr>
        <w:spacing w:line="360" w:lineRule="auto"/>
        <w:rPr>
          <w:rFonts w:asciiTheme="majorBidi" w:hAnsiTheme="majorBidi" w:cstheme="majorBidi"/>
          <w:sz w:val="24"/>
          <w:szCs w:val="24"/>
        </w:rPr>
      </w:pPr>
      <w:r w:rsidRPr="00A17837">
        <w:rPr>
          <w:rFonts w:asciiTheme="majorBidi" w:hAnsiTheme="majorBidi" w:cstheme="majorBidi"/>
          <w:sz w:val="24"/>
          <w:szCs w:val="24"/>
        </w:rPr>
        <w:t xml:space="preserve">Naylor RM, van Deursen JM. Aneuploidy in Cancer and Aging. Annu Rev Genet. </w:t>
      </w:r>
      <w:proofErr w:type="gramStart"/>
      <w:r w:rsidRPr="00A17837">
        <w:rPr>
          <w:rFonts w:asciiTheme="majorBidi" w:hAnsiTheme="majorBidi" w:cstheme="majorBidi"/>
          <w:sz w:val="24"/>
          <w:szCs w:val="24"/>
        </w:rPr>
        <w:t>2016;50:45</w:t>
      </w:r>
      <w:proofErr w:type="gramEnd"/>
      <w:r w:rsidRPr="00A17837">
        <w:rPr>
          <w:rFonts w:asciiTheme="majorBidi" w:hAnsiTheme="majorBidi" w:cstheme="majorBidi"/>
          <w:sz w:val="24"/>
          <w:szCs w:val="24"/>
        </w:rPr>
        <w:t>-66. doi:10.1146/annurev-genet-120215-035303</w:t>
      </w:r>
      <w:r>
        <w:rPr>
          <w:rFonts w:asciiTheme="majorBidi" w:hAnsiTheme="majorBidi" w:cstheme="majorBidi"/>
          <w:sz w:val="24"/>
          <w:szCs w:val="24"/>
        </w:rPr>
        <w:t>.</w:t>
      </w:r>
    </w:p>
    <w:p w14:paraId="7EB26829" w14:textId="77777777" w:rsidR="00A17837" w:rsidRDefault="0012207E" w:rsidP="0012207E">
      <w:pPr>
        <w:pStyle w:val="ListParagraph"/>
        <w:numPr>
          <w:ilvl w:val="0"/>
          <w:numId w:val="39"/>
        </w:numPr>
        <w:spacing w:line="360" w:lineRule="auto"/>
        <w:rPr>
          <w:rFonts w:asciiTheme="majorBidi" w:hAnsiTheme="majorBidi" w:cstheme="majorBidi"/>
          <w:sz w:val="24"/>
          <w:szCs w:val="24"/>
        </w:rPr>
      </w:pPr>
      <w:r w:rsidRPr="0012207E">
        <w:rPr>
          <w:rFonts w:asciiTheme="majorBidi" w:hAnsiTheme="majorBidi" w:cstheme="majorBidi"/>
          <w:sz w:val="24"/>
          <w:szCs w:val="24"/>
        </w:rPr>
        <w:t xml:space="preserve">Lengauer C, Kinzler KW, Vogelstein B. Genetic instability in colorectal cancers. </w:t>
      </w:r>
      <w:r w:rsidRPr="0012207E">
        <w:rPr>
          <w:rFonts w:asciiTheme="majorBidi" w:hAnsiTheme="majorBidi" w:cstheme="majorBidi"/>
          <w:sz w:val="24"/>
          <w:szCs w:val="24"/>
        </w:rPr>
        <w:lastRenderedPageBreak/>
        <w:t xml:space="preserve">Nature. </w:t>
      </w:r>
      <w:commentRangeStart w:id="6"/>
      <w:r w:rsidRPr="0012207E">
        <w:rPr>
          <w:rFonts w:asciiTheme="majorBidi" w:hAnsiTheme="majorBidi" w:cstheme="majorBidi"/>
          <w:sz w:val="24"/>
          <w:szCs w:val="24"/>
        </w:rPr>
        <w:t>1997</w:t>
      </w:r>
      <w:commentRangeEnd w:id="6"/>
      <w:r w:rsidR="00462FE7">
        <w:rPr>
          <w:rStyle w:val="CommentReference"/>
          <w:rFonts w:asciiTheme="minorHAnsi" w:eastAsiaTheme="minorHAnsi" w:hAnsiTheme="minorHAnsi" w:cstheme="minorBidi"/>
          <w:kern w:val="0"/>
          <w:lang w:eastAsia="en-US"/>
        </w:rPr>
        <w:commentReference w:id="6"/>
      </w:r>
      <w:r w:rsidRPr="0012207E">
        <w:rPr>
          <w:rFonts w:asciiTheme="majorBidi" w:hAnsiTheme="majorBidi" w:cstheme="majorBidi"/>
          <w:sz w:val="24"/>
          <w:szCs w:val="24"/>
        </w:rPr>
        <w:t>;386(6625):623-627. doi:10.1038/386623a0</w:t>
      </w:r>
      <w:r>
        <w:rPr>
          <w:rFonts w:asciiTheme="majorBidi" w:hAnsiTheme="majorBidi" w:cstheme="majorBidi"/>
          <w:sz w:val="24"/>
          <w:szCs w:val="24"/>
        </w:rPr>
        <w:t>.</w:t>
      </w:r>
    </w:p>
    <w:p w14:paraId="1D52E66E" w14:textId="77777777" w:rsidR="0012207E" w:rsidRDefault="0012207E" w:rsidP="0012207E">
      <w:pPr>
        <w:pStyle w:val="ListParagraph"/>
        <w:numPr>
          <w:ilvl w:val="0"/>
          <w:numId w:val="39"/>
        </w:numPr>
        <w:spacing w:line="360" w:lineRule="auto"/>
        <w:rPr>
          <w:rFonts w:asciiTheme="majorBidi" w:hAnsiTheme="majorBidi" w:cstheme="majorBidi"/>
          <w:sz w:val="24"/>
          <w:szCs w:val="24"/>
        </w:rPr>
      </w:pPr>
      <w:proofErr w:type="spellStart"/>
      <w:r w:rsidRPr="0012207E">
        <w:rPr>
          <w:rFonts w:asciiTheme="majorBidi" w:hAnsiTheme="majorBidi" w:cstheme="majorBidi"/>
          <w:sz w:val="24"/>
          <w:szCs w:val="24"/>
        </w:rPr>
        <w:t>Johmura</w:t>
      </w:r>
      <w:proofErr w:type="spellEnd"/>
      <w:r w:rsidRPr="0012207E">
        <w:rPr>
          <w:rFonts w:asciiTheme="majorBidi" w:hAnsiTheme="majorBidi" w:cstheme="majorBidi"/>
          <w:sz w:val="24"/>
          <w:szCs w:val="24"/>
        </w:rPr>
        <w:t xml:space="preserve"> Y, Shimada M, Misaki T, et al. Necessary and sufficient role for a mitosis skip in senescence induction. Mol Cell. 2014;55(1):73-84. </w:t>
      </w:r>
      <w:proofErr w:type="gramStart"/>
      <w:r w:rsidRPr="0012207E">
        <w:rPr>
          <w:rFonts w:asciiTheme="majorBidi" w:hAnsiTheme="majorBidi" w:cstheme="majorBidi"/>
          <w:sz w:val="24"/>
          <w:szCs w:val="24"/>
        </w:rPr>
        <w:t>doi:10.1016/j.molcel</w:t>
      </w:r>
      <w:proofErr w:type="gramEnd"/>
      <w:r w:rsidRPr="0012207E">
        <w:rPr>
          <w:rFonts w:asciiTheme="majorBidi" w:hAnsiTheme="majorBidi" w:cstheme="majorBidi"/>
          <w:sz w:val="24"/>
          <w:szCs w:val="24"/>
        </w:rPr>
        <w:t>.2014.05.003</w:t>
      </w:r>
      <w:r>
        <w:rPr>
          <w:rFonts w:asciiTheme="majorBidi" w:hAnsiTheme="majorBidi" w:cstheme="majorBidi"/>
          <w:sz w:val="24"/>
          <w:szCs w:val="24"/>
        </w:rPr>
        <w:t>.</w:t>
      </w:r>
    </w:p>
    <w:p w14:paraId="105ED56B" w14:textId="77777777" w:rsidR="0012207E" w:rsidRDefault="007E0331" w:rsidP="007E0331">
      <w:pPr>
        <w:pStyle w:val="ListParagraph"/>
        <w:numPr>
          <w:ilvl w:val="0"/>
          <w:numId w:val="39"/>
        </w:numPr>
        <w:spacing w:line="360" w:lineRule="auto"/>
        <w:rPr>
          <w:rFonts w:asciiTheme="majorBidi" w:hAnsiTheme="majorBidi" w:cstheme="majorBidi"/>
          <w:sz w:val="24"/>
          <w:szCs w:val="24"/>
        </w:rPr>
      </w:pPr>
      <w:proofErr w:type="spellStart"/>
      <w:r w:rsidRPr="007E0331">
        <w:rPr>
          <w:rFonts w:asciiTheme="majorBidi" w:hAnsiTheme="majorBidi" w:cstheme="majorBidi"/>
          <w:sz w:val="24"/>
          <w:szCs w:val="24"/>
        </w:rPr>
        <w:t>Polunovsky</w:t>
      </w:r>
      <w:proofErr w:type="spellEnd"/>
      <w:r w:rsidRPr="007E0331">
        <w:rPr>
          <w:rFonts w:asciiTheme="majorBidi" w:hAnsiTheme="majorBidi" w:cstheme="majorBidi"/>
          <w:sz w:val="24"/>
          <w:szCs w:val="24"/>
        </w:rPr>
        <w:t xml:space="preserve"> VA, </w:t>
      </w:r>
      <w:proofErr w:type="spellStart"/>
      <w:r w:rsidRPr="007E0331">
        <w:rPr>
          <w:rFonts w:asciiTheme="majorBidi" w:hAnsiTheme="majorBidi" w:cstheme="majorBidi"/>
          <w:sz w:val="24"/>
          <w:szCs w:val="24"/>
        </w:rPr>
        <w:t>Ingbar</w:t>
      </w:r>
      <w:proofErr w:type="spellEnd"/>
      <w:r w:rsidRPr="007E0331">
        <w:rPr>
          <w:rFonts w:asciiTheme="majorBidi" w:hAnsiTheme="majorBidi" w:cstheme="majorBidi"/>
          <w:sz w:val="24"/>
          <w:szCs w:val="24"/>
        </w:rPr>
        <w:t xml:space="preserve"> DH, Peterson M, Bitterman PB. Cell fusion to study nuclear-cytoplasmic interactions in endothelial cell apoptosis. Am J </w:t>
      </w:r>
      <w:proofErr w:type="spellStart"/>
      <w:r w:rsidRPr="007E0331">
        <w:rPr>
          <w:rFonts w:asciiTheme="majorBidi" w:hAnsiTheme="majorBidi" w:cstheme="majorBidi"/>
          <w:sz w:val="24"/>
          <w:szCs w:val="24"/>
        </w:rPr>
        <w:t>Pathol</w:t>
      </w:r>
      <w:proofErr w:type="spellEnd"/>
      <w:r w:rsidRPr="007E0331">
        <w:rPr>
          <w:rFonts w:asciiTheme="majorBidi" w:hAnsiTheme="majorBidi" w:cstheme="majorBidi"/>
          <w:sz w:val="24"/>
          <w:szCs w:val="24"/>
        </w:rPr>
        <w:t xml:space="preserve">. </w:t>
      </w:r>
      <w:commentRangeStart w:id="7"/>
      <w:r w:rsidRPr="007E0331">
        <w:rPr>
          <w:rFonts w:asciiTheme="majorBidi" w:hAnsiTheme="majorBidi" w:cstheme="majorBidi"/>
          <w:sz w:val="24"/>
          <w:szCs w:val="24"/>
        </w:rPr>
        <w:t>1996</w:t>
      </w:r>
      <w:commentRangeEnd w:id="7"/>
      <w:r w:rsidR="00462FE7">
        <w:rPr>
          <w:rStyle w:val="CommentReference"/>
          <w:rFonts w:asciiTheme="minorHAnsi" w:eastAsiaTheme="minorHAnsi" w:hAnsiTheme="minorHAnsi" w:cstheme="minorBidi"/>
          <w:kern w:val="0"/>
          <w:lang w:eastAsia="en-US"/>
        </w:rPr>
        <w:commentReference w:id="7"/>
      </w:r>
      <w:r w:rsidRPr="007E0331">
        <w:rPr>
          <w:rFonts w:asciiTheme="majorBidi" w:hAnsiTheme="majorBidi" w:cstheme="majorBidi"/>
          <w:sz w:val="24"/>
          <w:szCs w:val="24"/>
        </w:rPr>
        <w:t>;149(1):115-128.</w:t>
      </w:r>
    </w:p>
    <w:p w14:paraId="212E19FA" w14:textId="77777777" w:rsidR="007E0331" w:rsidRDefault="00177440" w:rsidP="00177440">
      <w:pPr>
        <w:pStyle w:val="ListParagraph"/>
        <w:numPr>
          <w:ilvl w:val="0"/>
          <w:numId w:val="39"/>
        </w:numPr>
        <w:spacing w:line="360" w:lineRule="auto"/>
        <w:rPr>
          <w:rFonts w:asciiTheme="majorBidi" w:hAnsiTheme="majorBidi" w:cstheme="majorBidi"/>
          <w:sz w:val="24"/>
          <w:szCs w:val="24"/>
        </w:rPr>
      </w:pPr>
      <w:r w:rsidRPr="00177440">
        <w:rPr>
          <w:rFonts w:asciiTheme="majorBidi" w:hAnsiTheme="majorBidi" w:cstheme="majorBidi"/>
          <w:sz w:val="24"/>
          <w:szCs w:val="24"/>
        </w:rPr>
        <w:t xml:space="preserve">Blau HM, Brazelton TR, Weimann JM. The evolving concept of a stem cell: entity or </w:t>
      </w:r>
      <w:proofErr w:type="gramStart"/>
      <w:r w:rsidRPr="00177440">
        <w:rPr>
          <w:rFonts w:asciiTheme="majorBidi" w:hAnsiTheme="majorBidi" w:cstheme="majorBidi"/>
          <w:sz w:val="24"/>
          <w:szCs w:val="24"/>
        </w:rPr>
        <w:t>function?.</w:t>
      </w:r>
      <w:proofErr w:type="gramEnd"/>
      <w:r w:rsidRPr="00177440">
        <w:rPr>
          <w:rFonts w:asciiTheme="majorBidi" w:hAnsiTheme="majorBidi" w:cstheme="majorBidi"/>
          <w:sz w:val="24"/>
          <w:szCs w:val="24"/>
        </w:rPr>
        <w:t xml:space="preserve"> Cell. 2001;105(7):829-841. doi:10.1016/s0092-8674(01)00409-3</w:t>
      </w:r>
      <w:r>
        <w:rPr>
          <w:rFonts w:asciiTheme="majorBidi" w:hAnsiTheme="majorBidi" w:cstheme="majorBidi"/>
          <w:sz w:val="24"/>
          <w:szCs w:val="24"/>
        </w:rPr>
        <w:t>.</w:t>
      </w:r>
    </w:p>
    <w:p w14:paraId="00A756D4" w14:textId="77777777" w:rsidR="00177440" w:rsidRDefault="00A20A22" w:rsidP="00A20A22">
      <w:pPr>
        <w:pStyle w:val="ListParagraph"/>
        <w:numPr>
          <w:ilvl w:val="0"/>
          <w:numId w:val="39"/>
        </w:numPr>
        <w:spacing w:line="360" w:lineRule="auto"/>
        <w:rPr>
          <w:rFonts w:asciiTheme="majorBidi" w:hAnsiTheme="majorBidi" w:cstheme="majorBidi"/>
          <w:sz w:val="24"/>
          <w:szCs w:val="24"/>
        </w:rPr>
      </w:pPr>
      <w:r w:rsidRPr="00A20A22">
        <w:rPr>
          <w:rFonts w:asciiTheme="majorBidi" w:hAnsiTheme="majorBidi" w:cstheme="majorBidi"/>
          <w:sz w:val="24"/>
          <w:szCs w:val="24"/>
        </w:rPr>
        <w:t>Brazelton TR, Rossi FM, Keshet GI, Blau HM. From marrow to brain: expression of neuronal phenotypes in adult mice. Science. 2000;290(5497):1775-1779. doi:10.1126/science.290.5497.1775</w:t>
      </w:r>
      <w:r>
        <w:rPr>
          <w:rFonts w:asciiTheme="majorBidi" w:hAnsiTheme="majorBidi" w:cstheme="majorBidi"/>
          <w:sz w:val="24"/>
          <w:szCs w:val="24"/>
        </w:rPr>
        <w:t>.</w:t>
      </w:r>
    </w:p>
    <w:p w14:paraId="2EBAAFAD" w14:textId="77777777" w:rsidR="00A20A22" w:rsidRDefault="00EA75CA" w:rsidP="00EA75CA">
      <w:pPr>
        <w:pStyle w:val="ListParagraph"/>
        <w:numPr>
          <w:ilvl w:val="0"/>
          <w:numId w:val="39"/>
        </w:numPr>
        <w:spacing w:line="360" w:lineRule="auto"/>
        <w:rPr>
          <w:rFonts w:asciiTheme="majorBidi" w:hAnsiTheme="majorBidi" w:cstheme="majorBidi"/>
          <w:sz w:val="24"/>
          <w:szCs w:val="24"/>
        </w:rPr>
      </w:pPr>
      <w:r w:rsidRPr="00EA75CA">
        <w:rPr>
          <w:rFonts w:asciiTheme="majorBidi" w:hAnsiTheme="majorBidi" w:cstheme="majorBidi"/>
          <w:sz w:val="24"/>
          <w:szCs w:val="24"/>
        </w:rPr>
        <w:t xml:space="preserve">Azizi SA, Stokes D, Augelli BJ, DiGirolamo C, </w:t>
      </w:r>
      <w:proofErr w:type="spellStart"/>
      <w:r w:rsidRPr="00EA75CA">
        <w:rPr>
          <w:rFonts w:asciiTheme="majorBidi" w:hAnsiTheme="majorBidi" w:cstheme="majorBidi"/>
          <w:sz w:val="24"/>
          <w:szCs w:val="24"/>
        </w:rPr>
        <w:t>Prockop</w:t>
      </w:r>
      <w:proofErr w:type="spellEnd"/>
      <w:r w:rsidRPr="00EA75CA">
        <w:rPr>
          <w:rFonts w:asciiTheme="majorBidi" w:hAnsiTheme="majorBidi" w:cstheme="majorBidi"/>
          <w:sz w:val="24"/>
          <w:szCs w:val="24"/>
        </w:rPr>
        <w:t xml:space="preserve"> DJ. Engraftment and migration of human bone marrow stromal cells implanted in the brains of albino rats--similarities to astrocyte grafts. Proc Natl </w:t>
      </w:r>
      <w:proofErr w:type="spellStart"/>
      <w:r w:rsidRPr="00EA75CA">
        <w:rPr>
          <w:rFonts w:asciiTheme="majorBidi" w:hAnsiTheme="majorBidi" w:cstheme="majorBidi"/>
          <w:sz w:val="24"/>
          <w:szCs w:val="24"/>
        </w:rPr>
        <w:t>Acad</w:t>
      </w:r>
      <w:proofErr w:type="spellEnd"/>
      <w:r w:rsidRPr="00EA75CA">
        <w:rPr>
          <w:rFonts w:asciiTheme="majorBidi" w:hAnsiTheme="majorBidi" w:cstheme="majorBidi"/>
          <w:sz w:val="24"/>
          <w:szCs w:val="24"/>
        </w:rPr>
        <w:t xml:space="preserve"> Sci U S A. 1998;95(7):3908-3913. doi:10.1073/pnas.95.7.3908</w:t>
      </w:r>
      <w:r>
        <w:rPr>
          <w:rFonts w:asciiTheme="majorBidi" w:hAnsiTheme="majorBidi" w:cstheme="majorBidi"/>
          <w:sz w:val="24"/>
          <w:szCs w:val="24"/>
        </w:rPr>
        <w:t>.</w:t>
      </w:r>
    </w:p>
    <w:p w14:paraId="4AF23D37" w14:textId="77777777" w:rsidR="00EA75CA" w:rsidRDefault="00ED2E3B" w:rsidP="00ED2E3B">
      <w:pPr>
        <w:pStyle w:val="ListParagraph"/>
        <w:numPr>
          <w:ilvl w:val="0"/>
          <w:numId w:val="39"/>
        </w:numPr>
        <w:spacing w:line="360" w:lineRule="auto"/>
        <w:rPr>
          <w:rFonts w:asciiTheme="majorBidi" w:hAnsiTheme="majorBidi" w:cstheme="majorBidi"/>
          <w:sz w:val="24"/>
          <w:szCs w:val="24"/>
        </w:rPr>
      </w:pPr>
      <w:r w:rsidRPr="00ED2E3B">
        <w:rPr>
          <w:rFonts w:asciiTheme="majorBidi" w:hAnsiTheme="majorBidi" w:cstheme="majorBidi"/>
          <w:sz w:val="24"/>
          <w:szCs w:val="24"/>
        </w:rPr>
        <w:t xml:space="preserve">Nern C, Wolff I, Macas J, et al. Fusion of hematopoietic cells with Purkinje neurons does not lead to stable heterokaryon formation under noninvasive conditions. J </w:t>
      </w:r>
      <w:proofErr w:type="spellStart"/>
      <w:r w:rsidRPr="00ED2E3B">
        <w:rPr>
          <w:rFonts w:asciiTheme="majorBidi" w:hAnsiTheme="majorBidi" w:cstheme="majorBidi"/>
          <w:sz w:val="24"/>
          <w:szCs w:val="24"/>
        </w:rPr>
        <w:t>Neurosci</w:t>
      </w:r>
      <w:proofErr w:type="spellEnd"/>
      <w:r w:rsidRPr="00ED2E3B">
        <w:rPr>
          <w:rFonts w:asciiTheme="majorBidi" w:hAnsiTheme="majorBidi" w:cstheme="majorBidi"/>
          <w:sz w:val="24"/>
          <w:szCs w:val="24"/>
        </w:rPr>
        <w:t>. 2009;29(12):3799-3807. doi:10.1523/JNEUROSCI.5848-08.2009</w:t>
      </w:r>
      <w:r>
        <w:rPr>
          <w:rFonts w:asciiTheme="majorBidi" w:hAnsiTheme="majorBidi" w:cstheme="majorBidi"/>
          <w:sz w:val="24"/>
          <w:szCs w:val="24"/>
        </w:rPr>
        <w:t>.</w:t>
      </w:r>
    </w:p>
    <w:p w14:paraId="4A234341" w14:textId="77777777" w:rsidR="00ED2E3B" w:rsidRDefault="00ED2E3B" w:rsidP="00ED2E3B">
      <w:pPr>
        <w:pStyle w:val="ListParagraph"/>
        <w:numPr>
          <w:ilvl w:val="0"/>
          <w:numId w:val="39"/>
        </w:numPr>
        <w:spacing w:line="360" w:lineRule="auto"/>
        <w:rPr>
          <w:rFonts w:asciiTheme="majorBidi" w:hAnsiTheme="majorBidi" w:cstheme="majorBidi"/>
          <w:sz w:val="24"/>
          <w:szCs w:val="24"/>
        </w:rPr>
      </w:pPr>
      <w:r w:rsidRPr="00ED2E3B">
        <w:rPr>
          <w:rFonts w:asciiTheme="majorBidi" w:hAnsiTheme="majorBidi" w:cstheme="majorBidi"/>
          <w:sz w:val="24"/>
          <w:szCs w:val="24"/>
        </w:rPr>
        <w:t xml:space="preserve">Krabbe C, Zimmer J, Meyer M. Neural </w:t>
      </w:r>
      <w:proofErr w:type="spellStart"/>
      <w:r w:rsidRPr="00ED2E3B">
        <w:rPr>
          <w:rFonts w:asciiTheme="majorBidi" w:hAnsiTheme="majorBidi" w:cstheme="majorBidi"/>
          <w:sz w:val="24"/>
          <w:szCs w:val="24"/>
        </w:rPr>
        <w:t>transdifferentiation</w:t>
      </w:r>
      <w:proofErr w:type="spellEnd"/>
      <w:r w:rsidRPr="00ED2E3B">
        <w:rPr>
          <w:rFonts w:asciiTheme="majorBidi" w:hAnsiTheme="majorBidi" w:cstheme="majorBidi"/>
          <w:sz w:val="24"/>
          <w:szCs w:val="24"/>
        </w:rPr>
        <w:t xml:space="preserve"> of mesenchymal stem cells--a critical review. APMIS. 2005;113(11-12):831-844. </w:t>
      </w:r>
      <w:proofErr w:type="gramStart"/>
      <w:r w:rsidRPr="00ED2E3B">
        <w:rPr>
          <w:rFonts w:asciiTheme="majorBidi" w:hAnsiTheme="majorBidi" w:cstheme="majorBidi"/>
          <w:sz w:val="24"/>
          <w:szCs w:val="24"/>
        </w:rPr>
        <w:t>doi:10.1111/j.1600-0463.2005.apm</w:t>
      </w:r>
      <w:proofErr w:type="gramEnd"/>
      <w:r w:rsidRPr="00ED2E3B">
        <w:rPr>
          <w:rFonts w:asciiTheme="majorBidi" w:hAnsiTheme="majorBidi" w:cstheme="majorBidi"/>
          <w:sz w:val="24"/>
          <w:szCs w:val="24"/>
        </w:rPr>
        <w:t>_3061.x</w:t>
      </w:r>
      <w:r>
        <w:rPr>
          <w:rFonts w:asciiTheme="majorBidi" w:hAnsiTheme="majorBidi" w:cstheme="majorBidi"/>
          <w:sz w:val="24"/>
          <w:szCs w:val="24"/>
        </w:rPr>
        <w:t>.</w:t>
      </w:r>
    </w:p>
    <w:p w14:paraId="45D7F5B8" w14:textId="77777777" w:rsidR="00ED2E3B" w:rsidRDefault="00B900B8" w:rsidP="00B900B8">
      <w:pPr>
        <w:pStyle w:val="ListParagraph"/>
        <w:numPr>
          <w:ilvl w:val="0"/>
          <w:numId w:val="39"/>
        </w:numPr>
        <w:spacing w:line="360" w:lineRule="auto"/>
        <w:rPr>
          <w:rFonts w:asciiTheme="majorBidi" w:hAnsiTheme="majorBidi" w:cstheme="majorBidi"/>
          <w:sz w:val="24"/>
          <w:szCs w:val="24"/>
        </w:rPr>
      </w:pPr>
      <w:r w:rsidRPr="00B900B8">
        <w:rPr>
          <w:rFonts w:asciiTheme="majorBidi" w:hAnsiTheme="majorBidi" w:cstheme="majorBidi"/>
          <w:sz w:val="24"/>
          <w:szCs w:val="24"/>
        </w:rPr>
        <w:t xml:space="preserve">Kemp K, Wilkins A, Scolding N. Cell fusion in the brain: two cells forward, one cell back. Acta </w:t>
      </w:r>
      <w:proofErr w:type="spellStart"/>
      <w:r w:rsidRPr="00B900B8">
        <w:rPr>
          <w:rFonts w:asciiTheme="majorBidi" w:hAnsiTheme="majorBidi" w:cstheme="majorBidi"/>
          <w:sz w:val="24"/>
          <w:szCs w:val="24"/>
        </w:rPr>
        <w:t>Neuropathol</w:t>
      </w:r>
      <w:proofErr w:type="spellEnd"/>
      <w:r w:rsidRPr="00B900B8">
        <w:rPr>
          <w:rFonts w:asciiTheme="majorBidi" w:hAnsiTheme="majorBidi" w:cstheme="majorBidi"/>
          <w:sz w:val="24"/>
          <w:szCs w:val="24"/>
        </w:rPr>
        <w:t>. 2014;128(5):629-638. doi:10.1007/s00401-014-1303-1</w:t>
      </w:r>
      <w:r>
        <w:rPr>
          <w:rFonts w:asciiTheme="majorBidi" w:hAnsiTheme="majorBidi" w:cstheme="majorBidi"/>
          <w:sz w:val="24"/>
          <w:szCs w:val="24"/>
        </w:rPr>
        <w:t>.</w:t>
      </w:r>
    </w:p>
    <w:p w14:paraId="08FA7D46" w14:textId="77777777" w:rsidR="00B900B8" w:rsidRDefault="009475F8" w:rsidP="009475F8">
      <w:pPr>
        <w:pStyle w:val="ListParagraph"/>
        <w:numPr>
          <w:ilvl w:val="0"/>
          <w:numId w:val="39"/>
        </w:numPr>
        <w:spacing w:line="360" w:lineRule="auto"/>
        <w:rPr>
          <w:rFonts w:asciiTheme="majorBidi" w:hAnsiTheme="majorBidi" w:cstheme="majorBidi"/>
          <w:sz w:val="24"/>
          <w:szCs w:val="24"/>
        </w:rPr>
      </w:pPr>
      <w:r w:rsidRPr="009475F8">
        <w:rPr>
          <w:rFonts w:asciiTheme="majorBidi" w:hAnsiTheme="majorBidi" w:cstheme="majorBidi"/>
          <w:sz w:val="24"/>
          <w:szCs w:val="24"/>
        </w:rPr>
        <w:t xml:space="preserve">Bueno C, </w:t>
      </w:r>
      <w:proofErr w:type="spellStart"/>
      <w:r w:rsidRPr="009475F8">
        <w:rPr>
          <w:rFonts w:asciiTheme="majorBidi" w:hAnsiTheme="majorBidi" w:cstheme="majorBidi"/>
          <w:sz w:val="24"/>
          <w:szCs w:val="24"/>
        </w:rPr>
        <w:t>Blanquer</w:t>
      </w:r>
      <w:proofErr w:type="spellEnd"/>
      <w:r w:rsidRPr="009475F8">
        <w:rPr>
          <w:rFonts w:asciiTheme="majorBidi" w:hAnsiTheme="majorBidi" w:cstheme="majorBidi"/>
          <w:sz w:val="24"/>
          <w:szCs w:val="24"/>
        </w:rPr>
        <w:t xml:space="preserve"> M, García-Bernal D, Martínez S, </w:t>
      </w:r>
      <w:proofErr w:type="spellStart"/>
      <w:r w:rsidRPr="009475F8">
        <w:rPr>
          <w:rFonts w:asciiTheme="majorBidi" w:hAnsiTheme="majorBidi" w:cstheme="majorBidi"/>
          <w:sz w:val="24"/>
          <w:szCs w:val="24"/>
        </w:rPr>
        <w:t>Moraleda</w:t>
      </w:r>
      <w:proofErr w:type="spellEnd"/>
      <w:r w:rsidRPr="009475F8">
        <w:rPr>
          <w:rFonts w:asciiTheme="majorBidi" w:hAnsiTheme="majorBidi" w:cstheme="majorBidi"/>
          <w:sz w:val="24"/>
          <w:szCs w:val="24"/>
        </w:rPr>
        <w:t xml:space="preserve"> JM. Binucleated human bone marrow-derived mesenchymal cells can be formed during neural-like differentiation with independence of any cell fusion events. Sci Rep. 2022;12(1):20615. Published 2022 Nov 30. doi:10.1038/s41598-022-24996-8</w:t>
      </w:r>
      <w:r>
        <w:rPr>
          <w:rFonts w:asciiTheme="majorBidi" w:hAnsiTheme="majorBidi" w:cstheme="majorBidi"/>
          <w:sz w:val="24"/>
          <w:szCs w:val="24"/>
        </w:rPr>
        <w:t>.</w:t>
      </w:r>
    </w:p>
    <w:p w14:paraId="0CA4895A" w14:textId="77777777" w:rsidR="009475F8" w:rsidRDefault="009475F8" w:rsidP="009475F8">
      <w:pPr>
        <w:pStyle w:val="ListParagraph"/>
        <w:numPr>
          <w:ilvl w:val="0"/>
          <w:numId w:val="39"/>
        </w:numPr>
        <w:spacing w:line="360" w:lineRule="auto"/>
        <w:rPr>
          <w:rFonts w:asciiTheme="majorBidi" w:hAnsiTheme="majorBidi" w:cstheme="majorBidi"/>
          <w:sz w:val="24"/>
          <w:szCs w:val="24"/>
        </w:rPr>
      </w:pPr>
      <w:r w:rsidRPr="009475F8">
        <w:rPr>
          <w:rFonts w:asciiTheme="majorBidi" w:hAnsiTheme="majorBidi" w:cstheme="majorBidi"/>
          <w:sz w:val="24"/>
          <w:szCs w:val="24"/>
        </w:rPr>
        <w:t>Hernández R, Jiménez-Luna C, Perales-</w:t>
      </w:r>
      <w:proofErr w:type="spellStart"/>
      <w:r w:rsidRPr="009475F8">
        <w:rPr>
          <w:rFonts w:asciiTheme="majorBidi" w:hAnsiTheme="majorBidi" w:cstheme="majorBidi"/>
          <w:sz w:val="24"/>
          <w:szCs w:val="24"/>
        </w:rPr>
        <w:t>Adán</w:t>
      </w:r>
      <w:proofErr w:type="spellEnd"/>
      <w:r w:rsidRPr="009475F8">
        <w:rPr>
          <w:rFonts w:asciiTheme="majorBidi" w:hAnsiTheme="majorBidi" w:cstheme="majorBidi"/>
          <w:sz w:val="24"/>
          <w:szCs w:val="24"/>
        </w:rPr>
        <w:t xml:space="preserve"> J, </w:t>
      </w:r>
      <w:proofErr w:type="spellStart"/>
      <w:r w:rsidRPr="009475F8">
        <w:rPr>
          <w:rFonts w:asciiTheme="majorBidi" w:hAnsiTheme="majorBidi" w:cstheme="majorBidi"/>
          <w:sz w:val="24"/>
          <w:szCs w:val="24"/>
        </w:rPr>
        <w:t>Perazzoli</w:t>
      </w:r>
      <w:proofErr w:type="spellEnd"/>
      <w:r w:rsidRPr="009475F8">
        <w:rPr>
          <w:rFonts w:asciiTheme="majorBidi" w:hAnsiTheme="majorBidi" w:cstheme="majorBidi"/>
          <w:sz w:val="24"/>
          <w:szCs w:val="24"/>
        </w:rPr>
        <w:t xml:space="preserve"> G, </w:t>
      </w:r>
      <w:proofErr w:type="spellStart"/>
      <w:r w:rsidRPr="009475F8">
        <w:rPr>
          <w:rFonts w:asciiTheme="majorBidi" w:hAnsiTheme="majorBidi" w:cstheme="majorBidi"/>
          <w:sz w:val="24"/>
          <w:szCs w:val="24"/>
        </w:rPr>
        <w:t>Melguizo</w:t>
      </w:r>
      <w:proofErr w:type="spellEnd"/>
      <w:r w:rsidRPr="009475F8">
        <w:rPr>
          <w:rFonts w:asciiTheme="majorBidi" w:hAnsiTheme="majorBidi" w:cstheme="majorBidi"/>
          <w:sz w:val="24"/>
          <w:szCs w:val="24"/>
        </w:rPr>
        <w:t xml:space="preserve"> C, </w:t>
      </w:r>
      <w:proofErr w:type="spellStart"/>
      <w:r w:rsidRPr="009475F8">
        <w:rPr>
          <w:rFonts w:asciiTheme="majorBidi" w:hAnsiTheme="majorBidi" w:cstheme="majorBidi"/>
          <w:sz w:val="24"/>
          <w:szCs w:val="24"/>
        </w:rPr>
        <w:t>Prados</w:t>
      </w:r>
      <w:proofErr w:type="spellEnd"/>
      <w:r w:rsidRPr="009475F8">
        <w:rPr>
          <w:rFonts w:asciiTheme="majorBidi" w:hAnsiTheme="majorBidi" w:cstheme="majorBidi"/>
          <w:sz w:val="24"/>
          <w:szCs w:val="24"/>
        </w:rPr>
        <w:t xml:space="preserve"> J. Differentiation of Human Mesenchymal Stem Cells towards Neuronal Lineage: Clinical Trials in Nervous System Disorders. </w:t>
      </w:r>
      <w:proofErr w:type="spellStart"/>
      <w:r w:rsidRPr="009475F8">
        <w:rPr>
          <w:rFonts w:asciiTheme="majorBidi" w:hAnsiTheme="majorBidi" w:cstheme="majorBidi"/>
          <w:sz w:val="24"/>
          <w:szCs w:val="24"/>
        </w:rPr>
        <w:t>Biomol</w:t>
      </w:r>
      <w:proofErr w:type="spellEnd"/>
      <w:r w:rsidRPr="009475F8">
        <w:rPr>
          <w:rFonts w:asciiTheme="majorBidi" w:hAnsiTheme="majorBidi" w:cstheme="majorBidi"/>
          <w:sz w:val="24"/>
          <w:szCs w:val="24"/>
        </w:rPr>
        <w:t xml:space="preserve"> </w:t>
      </w:r>
      <w:proofErr w:type="spellStart"/>
      <w:r w:rsidRPr="009475F8">
        <w:rPr>
          <w:rFonts w:asciiTheme="majorBidi" w:hAnsiTheme="majorBidi" w:cstheme="majorBidi"/>
          <w:sz w:val="24"/>
          <w:szCs w:val="24"/>
        </w:rPr>
        <w:t>Ther</w:t>
      </w:r>
      <w:proofErr w:type="spellEnd"/>
      <w:r w:rsidRPr="009475F8">
        <w:rPr>
          <w:rFonts w:asciiTheme="majorBidi" w:hAnsiTheme="majorBidi" w:cstheme="majorBidi"/>
          <w:sz w:val="24"/>
          <w:szCs w:val="24"/>
        </w:rPr>
        <w:t xml:space="preserve"> (Seoul). 2020;28(1):34-</w:t>
      </w:r>
      <w:r w:rsidRPr="009475F8">
        <w:rPr>
          <w:rFonts w:asciiTheme="majorBidi" w:hAnsiTheme="majorBidi" w:cstheme="majorBidi"/>
          <w:sz w:val="24"/>
          <w:szCs w:val="24"/>
        </w:rPr>
        <w:lastRenderedPageBreak/>
        <w:t>44. doi:10.4062/biomolther.2019.065</w:t>
      </w:r>
      <w:r>
        <w:rPr>
          <w:rFonts w:asciiTheme="majorBidi" w:hAnsiTheme="majorBidi" w:cstheme="majorBidi"/>
          <w:sz w:val="24"/>
          <w:szCs w:val="24"/>
        </w:rPr>
        <w:t>.</w:t>
      </w:r>
    </w:p>
    <w:p w14:paraId="1F35E789" w14:textId="77777777" w:rsidR="009475F8" w:rsidRDefault="00F67D5E" w:rsidP="00F67D5E">
      <w:pPr>
        <w:pStyle w:val="ListParagraph"/>
        <w:numPr>
          <w:ilvl w:val="0"/>
          <w:numId w:val="39"/>
        </w:numPr>
        <w:spacing w:line="360" w:lineRule="auto"/>
        <w:rPr>
          <w:rFonts w:asciiTheme="majorBidi" w:hAnsiTheme="majorBidi" w:cstheme="majorBidi"/>
          <w:sz w:val="24"/>
          <w:szCs w:val="24"/>
        </w:rPr>
      </w:pPr>
      <w:r w:rsidRPr="00F67D5E">
        <w:rPr>
          <w:rFonts w:asciiTheme="majorBidi" w:hAnsiTheme="majorBidi" w:cstheme="majorBidi"/>
          <w:sz w:val="24"/>
          <w:szCs w:val="24"/>
        </w:rPr>
        <w:t xml:space="preserve">Kemp K, Wilkins A, Scolding N. Cell fusion in the brain: two cells forward, one cell back. Acta </w:t>
      </w:r>
      <w:proofErr w:type="spellStart"/>
      <w:r w:rsidRPr="00F67D5E">
        <w:rPr>
          <w:rFonts w:asciiTheme="majorBidi" w:hAnsiTheme="majorBidi" w:cstheme="majorBidi"/>
          <w:sz w:val="24"/>
          <w:szCs w:val="24"/>
        </w:rPr>
        <w:t>Neuropathol</w:t>
      </w:r>
      <w:proofErr w:type="spellEnd"/>
      <w:r w:rsidRPr="00F67D5E">
        <w:rPr>
          <w:rFonts w:asciiTheme="majorBidi" w:hAnsiTheme="majorBidi" w:cstheme="majorBidi"/>
          <w:sz w:val="24"/>
          <w:szCs w:val="24"/>
        </w:rPr>
        <w:t>. 2014;128(5):629-638. doi:10.1007/s00401-014-1303-1</w:t>
      </w:r>
      <w:r>
        <w:rPr>
          <w:rFonts w:asciiTheme="majorBidi" w:hAnsiTheme="majorBidi" w:cstheme="majorBidi"/>
          <w:sz w:val="24"/>
          <w:szCs w:val="24"/>
        </w:rPr>
        <w:t>.</w:t>
      </w:r>
    </w:p>
    <w:p w14:paraId="72004231" w14:textId="77777777" w:rsidR="00F67D5E" w:rsidRDefault="00200E1F" w:rsidP="00200E1F">
      <w:pPr>
        <w:pStyle w:val="ListParagraph"/>
        <w:numPr>
          <w:ilvl w:val="0"/>
          <w:numId w:val="39"/>
        </w:numPr>
        <w:spacing w:line="360" w:lineRule="auto"/>
        <w:rPr>
          <w:rFonts w:asciiTheme="majorBidi" w:hAnsiTheme="majorBidi" w:cstheme="majorBidi"/>
          <w:sz w:val="24"/>
          <w:szCs w:val="24"/>
        </w:rPr>
      </w:pPr>
      <w:r w:rsidRPr="00200E1F">
        <w:rPr>
          <w:rFonts w:asciiTheme="majorBidi" w:hAnsiTheme="majorBidi" w:cstheme="majorBidi"/>
          <w:sz w:val="24"/>
          <w:szCs w:val="24"/>
        </w:rPr>
        <w:t>Alvarez-</w:t>
      </w:r>
      <w:proofErr w:type="spellStart"/>
      <w:r w:rsidRPr="00200E1F">
        <w:rPr>
          <w:rFonts w:asciiTheme="majorBidi" w:hAnsiTheme="majorBidi" w:cstheme="majorBidi"/>
          <w:sz w:val="24"/>
          <w:szCs w:val="24"/>
        </w:rPr>
        <w:t>Dolado</w:t>
      </w:r>
      <w:proofErr w:type="spellEnd"/>
      <w:r w:rsidRPr="00200E1F">
        <w:rPr>
          <w:rFonts w:asciiTheme="majorBidi" w:hAnsiTheme="majorBidi" w:cstheme="majorBidi"/>
          <w:sz w:val="24"/>
          <w:szCs w:val="24"/>
        </w:rPr>
        <w:t xml:space="preserve"> M, </w:t>
      </w:r>
      <w:proofErr w:type="spellStart"/>
      <w:r w:rsidRPr="00200E1F">
        <w:rPr>
          <w:rFonts w:asciiTheme="majorBidi" w:hAnsiTheme="majorBidi" w:cstheme="majorBidi"/>
          <w:sz w:val="24"/>
          <w:szCs w:val="24"/>
        </w:rPr>
        <w:t>Pardal</w:t>
      </w:r>
      <w:proofErr w:type="spellEnd"/>
      <w:r w:rsidRPr="00200E1F">
        <w:rPr>
          <w:rFonts w:asciiTheme="majorBidi" w:hAnsiTheme="majorBidi" w:cstheme="majorBidi"/>
          <w:sz w:val="24"/>
          <w:szCs w:val="24"/>
        </w:rPr>
        <w:t xml:space="preserve"> R, Garcia-Verdugo JM, et al. Fusion of bone-marrow-derived cells with Purkinje neurons, cardiomyocytes and hepatocytes. Nature. 2003;425(6961):968-973. doi:10.1038/nature02069</w:t>
      </w:r>
      <w:r>
        <w:rPr>
          <w:rFonts w:asciiTheme="majorBidi" w:hAnsiTheme="majorBidi" w:cstheme="majorBidi"/>
          <w:sz w:val="24"/>
          <w:szCs w:val="24"/>
        </w:rPr>
        <w:t>.</w:t>
      </w:r>
    </w:p>
    <w:p w14:paraId="0EF84053" w14:textId="77777777" w:rsidR="00200E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Kirillova A, Han L, Liu H, Kühn B. Polyploid cardiomyocytes: implications for heart regeneration. Development. 2021;148(14</w:t>
      </w:r>
      <w:proofErr w:type="gramStart"/>
      <w:r w:rsidRPr="0013441F">
        <w:rPr>
          <w:rFonts w:asciiTheme="majorBidi" w:hAnsiTheme="majorBidi" w:cstheme="majorBidi"/>
          <w:sz w:val="24"/>
          <w:szCs w:val="24"/>
        </w:rPr>
        <w:t>):dev</w:t>
      </w:r>
      <w:proofErr w:type="gramEnd"/>
      <w:r w:rsidRPr="0013441F">
        <w:rPr>
          <w:rFonts w:asciiTheme="majorBidi" w:hAnsiTheme="majorBidi" w:cstheme="majorBidi"/>
          <w:sz w:val="24"/>
          <w:szCs w:val="24"/>
        </w:rPr>
        <w:t>199401. doi:10.1242/dev.199401</w:t>
      </w:r>
      <w:r>
        <w:rPr>
          <w:rFonts w:asciiTheme="majorBidi" w:hAnsiTheme="majorBidi" w:cstheme="majorBidi"/>
          <w:sz w:val="24"/>
          <w:szCs w:val="24"/>
        </w:rPr>
        <w:t>.</w:t>
      </w:r>
    </w:p>
    <w:p w14:paraId="64C860A1" w14:textId="77777777" w:rsidR="001344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 xml:space="preserve">Adler CP, Friedburg H, Herget GW, Neuburger M, Schwalb H. Variability of cardiomyocyte DNA content, ploidy level and nuclear number in mammalian hearts. </w:t>
      </w:r>
      <w:proofErr w:type="spellStart"/>
      <w:r w:rsidRPr="0013441F">
        <w:rPr>
          <w:rFonts w:asciiTheme="majorBidi" w:hAnsiTheme="majorBidi" w:cstheme="majorBidi"/>
          <w:sz w:val="24"/>
          <w:szCs w:val="24"/>
        </w:rPr>
        <w:t>Virchows</w:t>
      </w:r>
      <w:proofErr w:type="spellEnd"/>
      <w:r w:rsidRPr="0013441F">
        <w:rPr>
          <w:rFonts w:asciiTheme="majorBidi" w:hAnsiTheme="majorBidi" w:cstheme="majorBidi"/>
          <w:sz w:val="24"/>
          <w:szCs w:val="24"/>
        </w:rPr>
        <w:t xml:space="preserve"> Arch. </w:t>
      </w:r>
      <w:commentRangeStart w:id="8"/>
      <w:r w:rsidRPr="0013441F">
        <w:rPr>
          <w:rFonts w:asciiTheme="majorBidi" w:hAnsiTheme="majorBidi" w:cstheme="majorBidi"/>
          <w:sz w:val="24"/>
          <w:szCs w:val="24"/>
        </w:rPr>
        <w:t>1996</w:t>
      </w:r>
      <w:commentRangeEnd w:id="8"/>
      <w:r w:rsidR="00462FE7">
        <w:rPr>
          <w:rStyle w:val="CommentReference"/>
          <w:rFonts w:asciiTheme="minorHAnsi" w:eastAsiaTheme="minorHAnsi" w:hAnsiTheme="minorHAnsi" w:cstheme="minorBidi"/>
          <w:kern w:val="0"/>
          <w:lang w:eastAsia="en-US"/>
        </w:rPr>
        <w:commentReference w:id="8"/>
      </w:r>
      <w:r w:rsidRPr="0013441F">
        <w:rPr>
          <w:rFonts w:asciiTheme="majorBidi" w:hAnsiTheme="majorBidi" w:cstheme="majorBidi"/>
          <w:sz w:val="24"/>
          <w:szCs w:val="24"/>
        </w:rPr>
        <w:t>;429(2-3):159-164. doi:10.1007/BF00192438</w:t>
      </w:r>
      <w:r>
        <w:rPr>
          <w:rFonts w:asciiTheme="majorBidi" w:hAnsiTheme="majorBidi" w:cstheme="majorBidi"/>
          <w:sz w:val="24"/>
          <w:szCs w:val="24"/>
        </w:rPr>
        <w:t>.</w:t>
      </w:r>
    </w:p>
    <w:p w14:paraId="762FEE55" w14:textId="77777777" w:rsidR="001344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Xin M, Olson EN, Bassel-Duby R. Mending broken hearts: cardiac development as a basis for adult heart regeneration and repair. Nat Rev Mol Cell Biol. 2013;14(8):529-541. doi:10.1038/nrm3619</w:t>
      </w:r>
      <w:r>
        <w:rPr>
          <w:rFonts w:asciiTheme="majorBidi" w:hAnsiTheme="majorBidi" w:cstheme="majorBidi"/>
          <w:sz w:val="24"/>
          <w:szCs w:val="24"/>
        </w:rPr>
        <w:t>.</w:t>
      </w:r>
    </w:p>
    <w:p w14:paraId="27D717A9" w14:textId="77777777" w:rsidR="0013441F" w:rsidRDefault="0074111D" w:rsidP="0074111D">
      <w:pPr>
        <w:pStyle w:val="ListParagraph"/>
        <w:numPr>
          <w:ilvl w:val="0"/>
          <w:numId w:val="39"/>
        </w:numPr>
        <w:spacing w:line="360" w:lineRule="auto"/>
        <w:rPr>
          <w:rFonts w:asciiTheme="majorBidi" w:hAnsiTheme="majorBidi" w:cstheme="majorBidi"/>
          <w:sz w:val="24"/>
          <w:szCs w:val="24"/>
        </w:rPr>
      </w:pPr>
      <w:proofErr w:type="spellStart"/>
      <w:r w:rsidRPr="0074111D">
        <w:rPr>
          <w:rFonts w:asciiTheme="majorBidi" w:hAnsiTheme="majorBidi" w:cstheme="majorBidi"/>
          <w:sz w:val="24"/>
          <w:szCs w:val="24"/>
        </w:rPr>
        <w:t>Yekelchyk</w:t>
      </w:r>
      <w:proofErr w:type="spellEnd"/>
      <w:r w:rsidRPr="0074111D">
        <w:rPr>
          <w:rFonts w:asciiTheme="majorBidi" w:hAnsiTheme="majorBidi" w:cstheme="majorBidi"/>
          <w:sz w:val="24"/>
          <w:szCs w:val="24"/>
        </w:rPr>
        <w:t xml:space="preserve"> M, Guenther S, </w:t>
      </w:r>
      <w:proofErr w:type="spellStart"/>
      <w:r w:rsidRPr="0074111D">
        <w:rPr>
          <w:rFonts w:asciiTheme="majorBidi" w:hAnsiTheme="majorBidi" w:cstheme="majorBidi"/>
          <w:sz w:val="24"/>
          <w:szCs w:val="24"/>
        </w:rPr>
        <w:t>Preussner</w:t>
      </w:r>
      <w:proofErr w:type="spellEnd"/>
      <w:r w:rsidRPr="0074111D">
        <w:rPr>
          <w:rFonts w:asciiTheme="majorBidi" w:hAnsiTheme="majorBidi" w:cstheme="majorBidi"/>
          <w:sz w:val="24"/>
          <w:szCs w:val="24"/>
        </w:rPr>
        <w:t xml:space="preserve"> J, Braun T. Mono- and multi-nucleated ventricular cardiomyocytes constitute a transcriptionally homogenous cell population. Basic Res </w:t>
      </w:r>
      <w:proofErr w:type="spellStart"/>
      <w:r w:rsidRPr="0074111D">
        <w:rPr>
          <w:rFonts w:asciiTheme="majorBidi" w:hAnsiTheme="majorBidi" w:cstheme="majorBidi"/>
          <w:sz w:val="24"/>
          <w:szCs w:val="24"/>
        </w:rPr>
        <w:t>Cardiol</w:t>
      </w:r>
      <w:proofErr w:type="spellEnd"/>
      <w:r w:rsidRPr="0074111D">
        <w:rPr>
          <w:rFonts w:asciiTheme="majorBidi" w:hAnsiTheme="majorBidi" w:cstheme="majorBidi"/>
          <w:sz w:val="24"/>
          <w:szCs w:val="24"/>
        </w:rPr>
        <w:t>. 2019;114(5):36. Published 2019 Aug 9. doi:10.1007/s00395-019-0744-z</w:t>
      </w:r>
      <w:r>
        <w:rPr>
          <w:rFonts w:asciiTheme="majorBidi" w:hAnsiTheme="majorBidi" w:cstheme="majorBidi"/>
          <w:sz w:val="24"/>
          <w:szCs w:val="24"/>
        </w:rPr>
        <w:t>.</w:t>
      </w:r>
    </w:p>
    <w:p w14:paraId="01B36DB7" w14:textId="77777777" w:rsidR="0074111D" w:rsidRDefault="00694E38" w:rsidP="00694E38">
      <w:pPr>
        <w:pStyle w:val="ListParagraph"/>
        <w:numPr>
          <w:ilvl w:val="0"/>
          <w:numId w:val="39"/>
        </w:numPr>
        <w:spacing w:line="360" w:lineRule="auto"/>
        <w:rPr>
          <w:rFonts w:asciiTheme="majorBidi" w:hAnsiTheme="majorBidi" w:cstheme="majorBidi"/>
          <w:sz w:val="24"/>
          <w:szCs w:val="24"/>
        </w:rPr>
      </w:pPr>
      <w:r w:rsidRPr="00694E38">
        <w:rPr>
          <w:rFonts w:asciiTheme="majorBidi" w:hAnsiTheme="majorBidi" w:cstheme="majorBidi"/>
          <w:sz w:val="24"/>
          <w:szCs w:val="24"/>
        </w:rPr>
        <w:t>Elia A, Mohsin S, Khan M. Cardiomyocyte Ploidy, Metabolic Reprogramming and Heart Repair. Cells. 2023;12(12):1571. Published 2023 Jun 7. doi:10.3390/cells12121571</w:t>
      </w:r>
      <w:r>
        <w:rPr>
          <w:rFonts w:asciiTheme="majorBidi" w:hAnsiTheme="majorBidi" w:cstheme="majorBidi"/>
          <w:sz w:val="24"/>
          <w:szCs w:val="24"/>
        </w:rPr>
        <w:t>.</w:t>
      </w:r>
    </w:p>
    <w:p w14:paraId="5B84A540" w14:textId="77777777" w:rsidR="00694E38" w:rsidRDefault="00B936AE" w:rsidP="00B936AE">
      <w:pPr>
        <w:pStyle w:val="ListParagraph"/>
        <w:numPr>
          <w:ilvl w:val="0"/>
          <w:numId w:val="39"/>
        </w:numPr>
        <w:spacing w:line="360" w:lineRule="auto"/>
        <w:rPr>
          <w:rFonts w:asciiTheme="majorBidi" w:hAnsiTheme="majorBidi" w:cstheme="majorBidi"/>
          <w:sz w:val="24"/>
          <w:szCs w:val="24"/>
        </w:rPr>
      </w:pPr>
      <w:r w:rsidRPr="00B936AE">
        <w:rPr>
          <w:rFonts w:asciiTheme="majorBidi" w:hAnsiTheme="majorBidi" w:cstheme="majorBidi"/>
          <w:sz w:val="24"/>
          <w:szCs w:val="24"/>
        </w:rPr>
        <w:t xml:space="preserve">Olsson MC, Palmer BM, Stauffer BL, Leinwand LA, Moore RL. Morphological and functional alterations in ventricular myocytes from male transgenic mice with hypertrophic cardiomyopathy. Circ Res. 2004;94(2):201-207. </w:t>
      </w:r>
      <w:proofErr w:type="gramStart"/>
      <w:r w:rsidRPr="00B936AE">
        <w:rPr>
          <w:rFonts w:asciiTheme="majorBidi" w:hAnsiTheme="majorBidi" w:cstheme="majorBidi"/>
          <w:sz w:val="24"/>
          <w:szCs w:val="24"/>
        </w:rPr>
        <w:t>doi:10.1161/01.RES</w:t>
      </w:r>
      <w:proofErr w:type="gramEnd"/>
      <w:r w:rsidRPr="00B936AE">
        <w:rPr>
          <w:rFonts w:asciiTheme="majorBidi" w:hAnsiTheme="majorBidi" w:cstheme="majorBidi"/>
          <w:sz w:val="24"/>
          <w:szCs w:val="24"/>
        </w:rPr>
        <w:t>.0000111521.40760.18</w:t>
      </w:r>
      <w:r>
        <w:rPr>
          <w:rFonts w:asciiTheme="majorBidi" w:hAnsiTheme="majorBidi" w:cstheme="majorBidi"/>
          <w:sz w:val="24"/>
          <w:szCs w:val="24"/>
        </w:rPr>
        <w:t>.</w:t>
      </w:r>
    </w:p>
    <w:p w14:paraId="0AC462B2" w14:textId="77777777" w:rsidR="00B936AE" w:rsidRDefault="00B936AE" w:rsidP="00B936AE">
      <w:pPr>
        <w:pStyle w:val="ListParagraph"/>
        <w:numPr>
          <w:ilvl w:val="0"/>
          <w:numId w:val="39"/>
        </w:numPr>
        <w:spacing w:line="360" w:lineRule="auto"/>
        <w:rPr>
          <w:rFonts w:asciiTheme="majorBidi" w:hAnsiTheme="majorBidi" w:cstheme="majorBidi"/>
          <w:sz w:val="24"/>
          <w:szCs w:val="24"/>
        </w:rPr>
      </w:pPr>
      <w:r w:rsidRPr="00B936AE">
        <w:rPr>
          <w:rFonts w:asciiTheme="majorBidi" w:hAnsiTheme="majorBidi" w:cstheme="majorBidi"/>
          <w:sz w:val="24"/>
          <w:szCs w:val="24"/>
        </w:rPr>
        <w:t xml:space="preserve">Lima JP. </w:t>
      </w:r>
      <w:proofErr w:type="spellStart"/>
      <w:r w:rsidRPr="00B936AE">
        <w:rPr>
          <w:rFonts w:asciiTheme="majorBidi" w:hAnsiTheme="majorBidi" w:cstheme="majorBidi"/>
          <w:sz w:val="24"/>
          <w:szCs w:val="24"/>
        </w:rPr>
        <w:t>Anatomia</w:t>
      </w:r>
      <w:proofErr w:type="spellEnd"/>
      <w:r w:rsidRPr="00B936AE">
        <w:rPr>
          <w:rFonts w:asciiTheme="majorBidi" w:hAnsiTheme="majorBidi" w:cstheme="majorBidi"/>
          <w:sz w:val="24"/>
          <w:szCs w:val="24"/>
        </w:rPr>
        <w:t xml:space="preserve"> e </w:t>
      </w:r>
      <w:proofErr w:type="spellStart"/>
      <w:r w:rsidRPr="00B936AE">
        <w:rPr>
          <w:rFonts w:asciiTheme="majorBidi" w:hAnsiTheme="majorBidi" w:cstheme="majorBidi"/>
          <w:sz w:val="24"/>
          <w:szCs w:val="24"/>
        </w:rPr>
        <w:t>fisiologia</w:t>
      </w:r>
      <w:proofErr w:type="spellEnd"/>
      <w:r w:rsidRPr="00B936AE">
        <w:rPr>
          <w:rFonts w:asciiTheme="majorBidi" w:hAnsiTheme="majorBidi" w:cstheme="majorBidi"/>
          <w:sz w:val="24"/>
          <w:szCs w:val="24"/>
        </w:rPr>
        <w:t xml:space="preserve"> do </w:t>
      </w:r>
      <w:proofErr w:type="spellStart"/>
      <w:r w:rsidRPr="00B936AE">
        <w:rPr>
          <w:rFonts w:asciiTheme="majorBidi" w:hAnsiTheme="majorBidi" w:cstheme="majorBidi"/>
          <w:sz w:val="24"/>
          <w:szCs w:val="24"/>
        </w:rPr>
        <w:t>aparelho</w:t>
      </w:r>
      <w:proofErr w:type="spellEnd"/>
      <w:r w:rsidRPr="00B936AE">
        <w:rPr>
          <w:rFonts w:asciiTheme="majorBidi" w:hAnsiTheme="majorBidi" w:cstheme="majorBidi"/>
          <w:sz w:val="24"/>
          <w:szCs w:val="24"/>
        </w:rPr>
        <w:t xml:space="preserve"> </w:t>
      </w:r>
      <w:proofErr w:type="spellStart"/>
      <w:r w:rsidRPr="00B936AE">
        <w:rPr>
          <w:rFonts w:asciiTheme="majorBidi" w:hAnsiTheme="majorBidi" w:cstheme="majorBidi"/>
          <w:sz w:val="24"/>
          <w:szCs w:val="24"/>
        </w:rPr>
        <w:t>excretor</w:t>
      </w:r>
      <w:proofErr w:type="spellEnd"/>
      <w:r w:rsidRPr="00B936AE">
        <w:rPr>
          <w:rFonts w:asciiTheme="majorBidi" w:hAnsiTheme="majorBidi" w:cstheme="majorBidi"/>
          <w:sz w:val="24"/>
          <w:szCs w:val="24"/>
        </w:rPr>
        <w:t xml:space="preserve"> do </w:t>
      </w:r>
      <w:proofErr w:type="spellStart"/>
      <w:r w:rsidRPr="00B936AE">
        <w:rPr>
          <w:rFonts w:asciiTheme="majorBidi" w:hAnsiTheme="majorBidi" w:cstheme="majorBidi"/>
          <w:sz w:val="24"/>
          <w:szCs w:val="24"/>
        </w:rPr>
        <w:t>fígado</w:t>
      </w:r>
      <w:proofErr w:type="spellEnd"/>
      <w:r w:rsidRPr="00B936AE">
        <w:rPr>
          <w:rFonts w:asciiTheme="majorBidi" w:hAnsiTheme="majorBidi" w:cstheme="majorBidi"/>
          <w:sz w:val="24"/>
          <w:szCs w:val="24"/>
        </w:rPr>
        <w:t xml:space="preserve"> [Anatomy and physiology of the liver secretory apparatus]. </w:t>
      </w:r>
      <w:proofErr w:type="spellStart"/>
      <w:r w:rsidRPr="00B936AE">
        <w:rPr>
          <w:rFonts w:asciiTheme="majorBidi" w:hAnsiTheme="majorBidi" w:cstheme="majorBidi"/>
          <w:sz w:val="24"/>
          <w:szCs w:val="24"/>
        </w:rPr>
        <w:t>Arq</w:t>
      </w:r>
      <w:proofErr w:type="spellEnd"/>
      <w:r w:rsidRPr="00B936AE">
        <w:rPr>
          <w:rFonts w:asciiTheme="majorBidi" w:hAnsiTheme="majorBidi" w:cstheme="majorBidi"/>
          <w:sz w:val="24"/>
          <w:szCs w:val="24"/>
        </w:rPr>
        <w:t xml:space="preserve"> Gastroenterol. </w:t>
      </w:r>
      <w:commentRangeStart w:id="9"/>
      <w:r w:rsidRPr="00B936AE">
        <w:rPr>
          <w:rFonts w:asciiTheme="majorBidi" w:hAnsiTheme="majorBidi" w:cstheme="majorBidi"/>
          <w:sz w:val="24"/>
          <w:szCs w:val="24"/>
        </w:rPr>
        <w:t>1980;</w:t>
      </w:r>
      <w:commentRangeEnd w:id="9"/>
      <w:r w:rsidR="00462FE7">
        <w:rPr>
          <w:rStyle w:val="CommentReference"/>
          <w:rFonts w:asciiTheme="minorHAnsi" w:eastAsiaTheme="minorHAnsi" w:hAnsiTheme="minorHAnsi" w:cstheme="minorBidi"/>
          <w:kern w:val="0"/>
          <w:lang w:eastAsia="en-US"/>
        </w:rPr>
        <w:commentReference w:id="9"/>
      </w:r>
      <w:r w:rsidRPr="00B936AE">
        <w:rPr>
          <w:rFonts w:asciiTheme="majorBidi" w:hAnsiTheme="majorBidi" w:cstheme="majorBidi"/>
          <w:sz w:val="24"/>
          <w:szCs w:val="24"/>
        </w:rPr>
        <w:t>17(3):149-160.</w:t>
      </w:r>
    </w:p>
    <w:p w14:paraId="2B0AF3FF" w14:textId="77777777" w:rsidR="00B936AE" w:rsidRDefault="00B936AE" w:rsidP="00B936AE">
      <w:pPr>
        <w:pStyle w:val="ListParagraph"/>
        <w:numPr>
          <w:ilvl w:val="0"/>
          <w:numId w:val="39"/>
        </w:numPr>
        <w:spacing w:line="360" w:lineRule="auto"/>
        <w:rPr>
          <w:rFonts w:asciiTheme="majorBidi" w:hAnsiTheme="majorBidi" w:cstheme="majorBidi"/>
          <w:sz w:val="24"/>
          <w:szCs w:val="24"/>
        </w:rPr>
      </w:pPr>
      <w:proofErr w:type="spellStart"/>
      <w:r w:rsidRPr="00B936AE">
        <w:rPr>
          <w:rFonts w:asciiTheme="majorBidi" w:hAnsiTheme="majorBidi" w:cstheme="majorBidi"/>
          <w:sz w:val="24"/>
          <w:szCs w:val="24"/>
        </w:rPr>
        <w:t>Margall-Ducos</w:t>
      </w:r>
      <w:proofErr w:type="spellEnd"/>
      <w:r w:rsidRPr="00B936AE">
        <w:rPr>
          <w:rFonts w:asciiTheme="majorBidi" w:hAnsiTheme="majorBidi" w:cstheme="majorBidi"/>
          <w:sz w:val="24"/>
          <w:szCs w:val="24"/>
        </w:rPr>
        <w:t xml:space="preserve"> G, </w:t>
      </w:r>
      <w:proofErr w:type="spellStart"/>
      <w:r w:rsidRPr="00B936AE">
        <w:rPr>
          <w:rFonts w:asciiTheme="majorBidi" w:hAnsiTheme="majorBidi" w:cstheme="majorBidi"/>
          <w:sz w:val="24"/>
          <w:szCs w:val="24"/>
        </w:rPr>
        <w:t>Celton-Morizur</w:t>
      </w:r>
      <w:proofErr w:type="spellEnd"/>
      <w:r w:rsidRPr="00B936AE">
        <w:rPr>
          <w:rFonts w:asciiTheme="majorBidi" w:hAnsiTheme="majorBidi" w:cstheme="majorBidi"/>
          <w:sz w:val="24"/>
          <w:szCs w:val="24"/>
        </w:rPr>
        <w:t xml:space="preserve"> S, </w:t>
      </w:r>
      <w:proofErr w:type="spellStart"/>
      <w:r w:rsidRPr="00B936AE">
        <w:rPr>
          <w:rFonts w:asciiTheme="majorBidi" w:hAnsiTheme="majorBidi" w:cstheme="majorBidi"/>
          <w:sz w:val="24"/>
          <w:szCs w:val="24"/>
        </w:rPr>
        <w:t>Couton</w:t>
      </w:r>
      <w:proofErr w:type="spellEnd"/>
      <w:r w:rsidRPr="00B936AE">
        <w:rPr>
          <w:rFonts w:asciiTheme="majorBidi" w:hAnsiTheme="majorBidi" w:cstheme="majorBidi"/>
          <w:sz w:val="24"/>
          <w:szCs w:val="24"/>
        </w:rPr>
        <w:t xml:space="preserve"> D, </w:t>
      </w:r>
      <w:proofErr w:type="spellStart"/>
      <w:r w:rsidRPr="00B936AE">
        <w:rPr>
          <w:rFonts w:asciiTheme="majorBidi" w:hAnsiTheme="majorBidi" w:cstheme="majorBidi"/>
          <w:sz w:val="24"/>
          <w:szCs w:val="24"/>
        </w:rPr>
        <w:t>Brégerie</w:t>
      </w:r>
      <w:proofErr w:type="spellEnd"/>
      <w:r w:rsidRPr="00B936AE">
        <w:rPr>
          <w:rFonts w:asciiTheme="majorBidi" w:hAnsiTheme="majorBidi" w:cstheme="majorBidi"/>
          <w:sz w:val="24"/>
          <w:szCs w:val="24"/>
        </w:rPr>
        <w:t xml:space="preserve"> O, </w:t>
      </w:r>
      <w:proofErr w:type="spellStart"/>
      <w:r w:rsidRPr="00B936AE">
        <w:rPr>
          <w:rFonts w:asciiTheme="majorBidi" w:hAnsiTheme="majorBidi" w:cstheme="majorBidi"/>
          <w:sz w:val="24"/>
          <w:szCs w:val="24"/>
        </w:rPr>
        <w:t>Desdouets</w:t>
      </w:r>
      <w:proofErr w:type="spellEnd"/>
      <w:r w:rsidRPr="00B936AE">
        <w:rPr>
          <w:rFonts w:asciiTheme="majorBidi" w:hAnsiTheme="majorBidi" w:cstheme="majorBidi"/>
          <w:sz w:val="24"/>
          <w:szCs w:val="24"/>
        </w:rPr>
        <w:t xml:space="preserve"> C. Liver tetraploidization is controlled by a new process of incomplete cytokinesis. J Cell </w:t>
      </w:r>
      <w:r w:rsidRPr="00B936AE">
        <w:rPr>
          <w:rFonts w:asciiTheme="majorBidi" w:hAnsiTheme="majorBidi" w:cstheme="majorBidi"/>
          <w:sz w:val="24"/>
          <w:szCs w:val="24"/>
        </w:rPr>
        <w:lastRenderedPageBreak/>
        <w:t>Sci. 2007;120(Pt 20):3633-3639. doi:10.1242/jcs.016907</w:t>
      </w:r>
      <w:r>
        <w:rPr>
          <w:rFonts w:asciiTheme="majorBidi" w:hAnsiTheme="majorBidi" w:cstheme="majorBidi"/>
          <w:sz w:val="24"/>
          <w:szCs w:val="24"/>
        </w:rPr>
        <w:t>.</w:t>
      </w:r>
    </w:p>
    <w:p w14:paraId="5E3F535A" w14:textId="77777777" w:rsidR="00B936AE"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 xml:space="preserve">Duncan AW. Aneuploidy, polyploidy and ploidy reversal in the liver. Semin Cell Dev Biol. 2013;24(4):347-356. </w:t>
      </w:r>
      <w:proofErr w:type="gramStart"/>
      <w:r w:rsidRPr="00D60464">
        <w:rPr>
          <w:rFonts w:asciiTheme="majorBidi" w:hAnsiTheme="majorBidi" w:cstheme="majorBidi"/>
          <w:sz w:val="24"/>
          <w:szCs w:val="24"/>
        </w:rPr>
        <w:t>doi:10.1016/j.semcdb</w:t>
      </w:r>
      <w:proofErr w:type="gramEnd"/>
      <w:r w:rsidRPr="00D60464">
        <w:rPr>
          <w:rFonts w:asciiTheme="majorBidi" w:hAnsiTheme="majorBidi" w:cstheme="majorBidi"/>
          <w:sz w:val="24"/>
          <w:szCs w:val="24"/>
        </w:rPr>
        <w:t>.2013.01.003</w:t>
      </w:r>
      <w:r>
        <w:rPr>
          <w:rFonts w:asciiTheme="majorBidi" w:hAnsiTheme="majorBidi" w:cstheme="majorBidi"/>
          <w:sz w:val="24"/>
          <w:szCs w:val="24"/>
        </w:rPr>
        <w:t>.</w:t>
      </w:r>
    </w:p>
    <w:p w14:paraId="3E6D9C1B" w14:textId="77777777" w:rsidR="00D60464"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Øvrebø JI, Edgar BA. Polyploidy in tissue homeostasis and regeneration. Development. 2018;145(14</w:t>
      </w:r>
      <w:proofErr w:type="gramStart"/>
      <w:r w:rsidRPr="00D60464">
        <w:rPr>
          <w:rFonts w:asciiTheme="majorBidi" w:hAnsiTheme="majorBidi" w:cstheme="majorBidi"/>
          <w:sz w:val="24"/>
          <w:szCs w:val="24"/>
        </w:rPr>
        <w:t>):dev</w:t>
      </w:r>
      <w:proofErr w:type="gramEnd"/>
      <w:r w:rsidRPr="00D60464">
        <w:rPr>
          <w:rFonts w:asciiTheme="majorBidi" w:hAnsiTheme="majorBidi" w:cstheme="majorBidi"/>
          <w:sz w:val="24"/>
          <w:szCs w:val="24"/>
        </w:rPr>
        <w:t>156034. Published 2018 Jul 18. doi:10.1242/dev.156034</w:t>
      </w:r>
      <w:r>
        <w:rPr>
          <w:rFonts w:asciiTheme="majorBidi" w:hAnsiTheme="majorBidi" w:cstheme="majorBidi"/>
          <w:sz w:val="24"/>
          <w:szCs w:val="24"/>
        </w:rPr>
        <w:t>.</w:t>
      </w:r>
    </w:p>
    <w:p w14:paraId="0E0A8DAE" w14:textId="77777777" w:rsidR="00D60464"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Zhang S, Lin YH, Tarlow B, Zhu H. The origins and functions of hepatic polyploidy. Cell Cycle. 2019;18(12):1302-1315. doi:10.1080/15384101.2019.1618123</w:t>
      </w:r>
      <w:r>
        <w:rPr>
          <w:rFonts w:asciiTheme="majorBidi" w:hAnsiTheme="majorBidi" w:cstheme="majorBidi"/>
          <w:sz w:val="24"/>
          <w:szCs w:val="24"/>
        </w:rPr>
        <w:t>.</w:t>
      </w:r>
    </w:p>
    <w:p w14:paraId="45EA05D5" w14:textId="77777777" w:rsidR="00D60464"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Davoli T, de Lange T. The causes and consequences of polyploidy in normal development and cancer. Annu Rev Cell Dev Biol. </w:t>
      </w:r>
      <w:proofErr w:type="gramStart"/>
      <w:r w:rsidRPr="00833116">
        <w:rPr>
          <w:rFonts w:asciiTheme="majorBidi" w:hAnsiTheme="majorBidi" w:cstheme="majorBidi"/>
          <w:sz w:val="24"/>
          <w:szCs w:val="24"/>
        </w:rPr>
        <w:t>2011;27:585</w:t>
      </w:r>
      <w:proofErr w:type="gramEnd"/>
      <w:r w:rsidRPr="00833116">
        <w:rPr>
          <w:rFonts w:asciiTheme="majorBidi" w:hAnsiTheme="majorBidi" w:cstheme="majorBidi"/>
          <w:sz w:val="24"/>
          <w:szCs w:val="24"/>
        </w:rPr>
        <w:t>-610. doi:10.1146/annurev-cellbio-092910-154234</w:t>
      </w:r>
      <w:r>
        <w:rPr>
          <w:rFonts w:asciiTheme="majorBidi" w:hAnsiTheme="majorBidi" w:cstheme="majorBidi"/>
          <w:sz w:val="24"/>
          <w:szCs w:val="24"/>
        </w:rPr>
        <w:t>.</w:t>
      </w:r>
    </w:p>
    <w:p w14:paraId="3DEE8A01"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proofErr w:type="spellStart"/>
      <w:r w:rsidRPr="00833116">
        <w:rPr>
          <w:rFonts w:asciiTheme="majorBidi" w:hAnsiTheme="majorBidi" w:cstheme="majorBidi"/>
          <w:sz w:val="24"/>
          <w:szCs w:val="24"/>
        </w:rPr>
        <w:t>Matthay</w:t>
      </w:r>
      <w:proofErr w:type="spellEnd"/>
      <w:r w:rsidRPr="00833116">
        <w:rPr>
          <w:rFonts w:asciiTheme="majorBidi" w:hAnsiTheme="majorBidi" w:cstheme="majorBidi"/>
          <w:sz w:val="24"/>
          <w:szCs w:val="24"/>
        </w:rPr>
        <w:t xml:space="preserve"> MA, </w:t>
      </w:r>
      <w:proofErr w:type="spellStart"/>
      <w:r w:rsidRPr="00833116">
        <w:rPr>
          <w:rFonts w:asciiTheme="majorBidi" w:hAnsiTheme="majorBidi" w:cstheme="majorBidi"/>
          <w:sz w:val="24"/>
          <w:szCs w:val="24"/>
        </w:rPr>
        <w:t>Zemans</w:t>
      </w:r>
      <w:proofErr w:type="spellEnd"/>
      <w:r w:rsidRPr="00833116">
        <w:rPr>
          <w:rFonts w:asciiTheme="majorBidi" w:hAnsiTheme="majorBidi" w:cstheme="majorBidi"/>
          <w:sz w:val="24"/>
          <w:szCs w:val="24"/>
        </w:rPr>
        <w:t xml:space="preserve"> RL, Zimmerman GA, et al. Acute respiratory distress syndrome. Nat Rev Dis Primers. 2019;5(1):18. Published 2019 Mar 14. doi:10.1038/s41572-019-0069-0</w:t>
      </w:r>
      <w:r>
        <w:rPr>
          <w:rFonts w:asciiTheme="majorBidi" w:hAnsiTheme="majorBidi" w:cstheme="majorBidi"/>
          <w:sz w:val="24"/>
          <w:szCs w:val="24"/>
        </w:rPr>
        <w:t>.</w:t>
      </w:r>
    </w:p>
    <w:p w14:paraId="0331291A"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Weibel ER. On the tricks alveolar epithelial cells play to make a good lung. Am J Respir Crit Care Med. 2015;191(5):504-513. doi:10.1164/rccm.201409-1663OE</w:t>
      </w:r>
      <w:r>
        <w:rPr>
          <w:rFonts w:asciiTheme="majorBidi" w:hAnsiTheme="majorBidi" w:cstheme="majorBidi"/>
          <w:sz w:val="24"/>
          <w:szCs w:val="24"/>
        </w:rPr>
        <w:t>.</w:t>
      </w:r>
    </w:p>
    <w:p w14:paraId="10026AAB"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Greenlee KJ, </w:t>
      </w:r>
      <w:proofErr w:type="spellStart"/>
      <w:r w:rsidRPr="00833116">
        <w:rPr>
          <w:rFonts w:asciiTheme="majorBidi" w:hAnsiTheme="majorBidi" w:cstheme="majorBidi"/>
          <w:sz w:val="24"/>
          <w:szCs w:val="24"/>
        </w:rPr>
        <w:t>Werb</w:t>
      </w:r>
      <w:proofErr w:type="spellEnd"/>
      <w:r w:rsidRPr="00833116">
        <w:rPr>
          <w:rFonts w:asciiTheme="majorBidi" w:hAnsiTheme="majorBidi" w:cstheme="majorBidi"/>
          <w:sz w:val="24"/>
          <w:szCs w:val="24"/>
        </w:rPr>
        <w:t xml:space="preserve"> Z, </w:t>
      </w:r>
      <w:proofErr w:type="spellStart"/>
      <w:r w:rsidRPr="00833116">
        <w:rPr>
          <w:rFonts w:asciiTheme="majorBidi" w:hAnsiTheme="majorBidi" w:cstheme="majorBidi"/>
          <w:sz w:val="24"/>
          <w:szCs w:val="24"/>
        </w:rPr>
        <w:t>Kheradmand</w:t>
      </w:r>
      <w:proofErr w:type="spellEnd"/>
      <w:r w:rsidRPr="00833116">
        <w:rPr>
          <w:rFonts w:asciiTheme="majorBidi" w:hAnsiTheme="majorBidi" w:cstheme="majorBidi"/>
          <w:sz w:val="24"/>
          <w:szCs w:val="24"/>
        </w:rPr>
        <w:t xml:space="preserve"> F. Matrix metalloproteinases in lung: multiple, multifarious, and multifaceted. </w:t>
      </w:r>
      <w:proofErr w:type="spellStart"/>
      <w:r w:rsidRPr="00833116">
        <w:rPr>
          <w:rFonts w:asciiTheme="majorBidi" w:hAnsiTheme="majorBidi" w:cstheme="majorBidi"/>
          <w:sz w:val="24"/>
          <w:szCs w:val="24"/>
        </w:rPr>
        <w:t>Physiol</w:t>
      </w:r>
      <w:proofErr w:type="spellEnd"/>
      <w:r w:rsidRPr="00833116">
        <w:rPr>
          <w:rFonts w:asciiTheme="majorBidi" w:hAnsiTheme="majorBidi" w:cstheme="majorBidi"/>
          <w:sz w:val="24"/>
          <w:szCs w:val="24"/>
        </w:rPr>
        <w:t xml:space="preserve"> Rev. 2007;87(1):69-98. doi:10.1152/physrev.00022.2006</w:t>
      </w:r>
      <w:r>
        <w:rPr>
          <w:rFonts w:asciiTheme="majorBidi" w:hAnsiTheme="majorBidi" w:cstheme="majorBidi"/>
          <w:sz w:val="24"/>
          <w:szCs w:val="24"/>
        </w:rPr>
        <w:t>.</w:t>
      </w:r>
    </w:p>
    <w:p w14:paraId="47C2D9A5"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proofErr w:type="spellStart"/>
      <w:r w:rsidRPr="00833116">
        <w:rPr>
          <w:rFonts w:asciiTheme="majorBidi" w:hAnsiTheme="majorBidi" w:cstheme="majorBidi"/>
          <w:sz w:val="24"/>
          <w:szCs w:val="24"/>
        </w:rPr>
        <w:t>Mühldorfer</w:t>
      </w:r>
      <w:proofErr w:type="spellEnd"/>
      <w:r w:rsidRPr="00833116">
        <w:rPr>
          <w:rFonts w:asciiTheme="majorBidi" w:hAnsiTheme="majorBidi" w:cstheme="majorBidi"/>
          <w:sz w:val="24"/>
          <w:szCs w:val="24"/>
        </w:rPr>
        <w:t xml:space="preserve"> J, Pfister E, Büttner-Herold M, Klewer M, Amann K, Daniel C. Bi-nucleation of podocytes is uniformly accompanied by foot processes widening in renal disease. Nephrol Dial Transplant. 2018;33(5):796-803. doi:10.1093/</w:t>
      </w:r>
      <w:proofErr w:type="spellStart"/>
      <w:r w:rsidRPr="00833116">
        <w:rPr>
          <w:rFonts w:asciiTheme="majorBidi" w:hAnsiTheme="majorBidi" w:cstheme="majorBidi"/>
          <w:sz w:val="24"/>
          <w:szCs w:val="24"/>
        </w:rPr>
        <w:t>ndt</w:t>
      </w:r>
      <w:proofErr w:type="spellEnd"/>
      <w:r w:rsidRPr="00833116">
        <w:rPr>
          <w:rFonts w:asciiTheme="majorBidi" w:hAnsiTheme="majorBidi" w:cstheme="majorBidi"/>
          <w:sz w:val="24"/>
          <w:szCs w:val="24"/>
        </w:rPr>
        <w:t>/gfx201</w:t>
      </w:r>
      <w:r>
        <w:rPr>
          <w:rFonts w:asciiTheme="majorBidi" w:hAnsiTheme="majorBidi" w:cstheme="majorBidi"/>
          <w:sz w:val="24"/>
          <w:szCs w:val="24"/>
        </w:rPr>
        <w:t>.</w:t>
      </w:r>
    </w:p>
    <w:p w14:paraId="19247047"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Kriz W, Gretz N, Lemley KV. Progression of glomerular diseases: is the podocyte the </w:t>
      </w:r>
      <w:proofErr w:type="gramStart"/>
      <w:r w:rsidRPr="00833116">
        <w:rPr>
          <w:rFonts w:asciiTheme="majorBidi" w:hAnsiTheme="majorBidi" w:cstheme="majorBidi"/>
          <w:sz w:val="24"/>
          <w:szCs w:val="24"/>
        </w:rPr>
        <w:t>culprit?.</w:t>
      </w:r>
      <w:proofErr w:type="gramEnd"/>
      <w:r w:rsidRPr="00833116">
        <w:rPr>
          <w:rFonts w:asciiTheme="majorBidi" w:hAnsiTheme="majorBidi" w:cstheme="majorBidi"/>
          <w:sz w:val="24"/>
          <w:szCs w:val="24"/>
        </w:rPr>
        <w:t xml:space="preserve"> Kidney Int. 1998;54(3):687-697. doi:10.1046/j.1523-1755.1998.</w:t>
      </w:r>
      <w:proofErr w:type="gramStart"/>
      <w:r w:rsidRPr="00833116">
        <w:rPr>
          <w:rFonts w:asciiTheme="majorBidi" w:hAnsiTheme="majorBidi" w:cstheme="majorBidi"/>
          <w:sz w:val="24"/>
          <w:szCs w:val="24"/>
        </w:rPr>
        <w:t>00044.x</w:t>
      </w:r>
      <w:r>
        <w:rPr>
          <w:rFonts w:asciiTheme="majorBidi" w:hAnsiTheme="majorBidi" w:cstheme="majorBidi"/>
          <w:sz w:val="24"/>
          <w:szCs w:val="24"/>
        </w:rPr>
        <w:t>.</w:t>
      </w:r>
      <w:proofErr w:type="gramEnd"/>
    </w:p>
    <w:p w14:paraId="25F40566"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Lemley KV, Lafayette RA, Safai M, et al. Podocytopenia and disease severity in IgA nephropathy. Kidney Int. 2002;61(4):1475-1485. doi:10.1046/j.1523-1755.2002.</w:t>
      </w:r>
      <w:proofErr w:type="gramStart"/>
      <w:r w:rsidRPr="00833116">
        <w:rPr>
          <w:rFonts w:asciiTheme="majorBidi" w:hAnsiTheme="majorBidi" w:cstheme="majorBidi"/>
          <w:sz w:val="24"/>
          <w:szCs w:val="24"/>
        </w:rPr>
        <w:t>00269.x</w:t>
      </w:r>
      <w:r>
        <w:rPr>
          <w:rFonts w:asciiTheme="majorBidi" w:hAnsiTheme="majorBidi" w:cstheme="majorBidi"/>
          <w:sz w:val="24"/>
          <w:szCs w:val="24"/>
        </w:rPr>
        <w:t>.</w:t>
      </w:r>
      <w:proofErr w:type="gramEnd"/>
    </w:p>
    <w:p w14:paraId="1D7FD6F9"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Griffin SV, Krofft RD, Pippin JW, Shankland SJ. Limitation of podocyte proliferation improves renal function in experimental crescentic </w:t>
      </w:r>
      <w:r w:rsidRPr="00833116">
        <w:rPr>
          <w:rFonts w:asciiTheme="majorBidi" w:hAnsiTheme="majorBidi" w:cstheme="majorBidi"/>
          <w:sz w:val="24"/>
          <w:szCs w:val="24"/>
        </w:rPr>
        <w:lastRenderedPageBreak/>
        <w:t>glomerulonephritis. Kidney Int. 2005;67(3):977-986. doi:10.1111/j.1523-1755.2005.</w:t>
      </w:r>
      <w:proofErr w:type="gramStart"/>
      <w:r w:rsidRPr="00833116">
        <w:rPr>
          <w:rFonts w:asciiTheme="majorBidi" w:hAnsiTheme="majorBidi" w:cstheme="majorBidi"/>
          <w:sz w:val="24"/>
          <w:szCs w:val="24"/>
        </w:rPr>
        <w:t>00161.x</w:t>
      </w:r>
      <w:r>
        <w:rPr>
          <w:rFonts w:asciiTheme="majorBidi" w:hAnsiTheme="majorBidi" w:cstheme="majorBidi"/>
          <w:sz w:val="24"/>
          <w:szCs w:val="24"/>
        </w:rPr>
        <w:t>.</w:t>
      </w:r>
      <w:proofErr w:type="gramEnd"/>
    </w:p>
    <w:p w14:paraId="4C66DBC8"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Kriz W, Lemley KV. The role of the podocyte in glomerulosclerosis. </w:t>
      </w:r>
      <w:proofErr w:type="spellStart"/>
      <w:r w:rsidRPr="00833116">
        <w:rPr>
          <w:rFonts w:asciiTheme="majorBidi" w:hAnsiTheme="majorBidi" w:cstheme="majorBidi"/>
          <w:sz w:val="24"/>
          <w:szCs w:val="24"/>
        </w:rPr>
        <w:t>Curr</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Opin</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Nephrol</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Hypertens</w:t>
      </w:r>
      <w:proofErr w:type="spellEnd"/>
      <w:r w:rsidRPr="00833116">
        <w:rPr>
          <w:rFonts w:asciiTheme="majorBidi" w:hAnsiTheme="majorBidi" w:cstheme="majorBidi"/>
          <w:sz w:val="24"/>
          <w:szCs w:val="24"/>
        </w:rPr>
        <w:t>. 1999;8(4):489-497. doi:10.1097/00041552-199907000-00014</w:t>
      </w:r>
      <w:r>
        <w:rPr>
          <w:rFonts w:asciiTheme="majorBidi" w:hAnsiTheme="majorBidi" w:cstheme="majorBidi"/>
          <w:sz w:val="24"/>
          <w:szCs w:val="24"/>
        </w:rPr>
        <w:t>.</w:t>
      </w:r>
    </w:p>
    <w:p w14:paraId="210A72E1"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Wang J, </w:t>
      </w:r>
      <w:proofErr w:type="spellStart"/>
      <w:r w:rsidRPr="00833116">
        <w:rPr>
          <w:rFonts w:asciiTheme="majorBidi" w:hAnsiTheme="majorBidi" w:cstheme="majorBidi"/>
          <w:sz w:val="24"/>
          <w:szCs w:val="24"/>
        </w:rPr>
        <w:t>Batourina</w:t>
      </w:r>
      <w:proofErr w:type="spellEnd"/>
      <w:r w:rsidRPr="00833116">
        <w:rPr>
          <w:rFonts w:asciiTheme="majorBidi" w:hAnsiTheme="majorBidi" w:cstheme="majorBidi"/>
          <w:sz w:val="24"/>
          <w:szCs w:val="24"/>
        </w:rPr>
        <w:t xml:space="preserve"> E, Schneider K, et al. Polyploid Superficial Cells that Maintain the Urothelial Barrier Are Produced via Incomplete Cytokinesis and Endoreplication. Cell Rep. 2018;25(2):464-477.e4. </w:t>
      </w:r>
      <w:proofErr w:type="gramStart"/>
      <w:r w:rsidRPr="00833116">
        <w:rPr>
          <w:rFonts w:asciiTheme="majorBidi" w:hAnsiTheme="majorBidi" w:cstheme="majorBidi"/>
          <w:sz w:val="24"/>
          <w:szCs w:val="24"/>
        </w:rPr>
        <w:t>doi:10.1016/j.celrep</w:t>
      </w:r>
      <w:proofErr w:type="gramEnd"/>
      <w:r w:rsidRPr="00833116">
        <w:rPr>
          <w:rFonts w:asciiTheme="majorBidi" w:hAnsiTheme="majorBidi" w:cstheme="majorBidi"/>
          <w:sz w:val="24"/>
          <w:szCs w:val="24"/>
        </w:rPr>
        <w:t>.2018.09.042</w:t>
      </w:r>
      <w:r>
        <w:rPr>
          <w:rFonts w:asciiTheme="majorBidi" w:hAnsiTheme="majorBidi" w:cstheme="majorBidi"/>
          <w:sz w:val="24"/>
          <w:szCs w:val="24"/>
        </w:rPr>
        <w:t>.</w:t>
      </w:r>
    </w:p>
    <w:p w14:paraId="28E5F8CF"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Balsara ZR, Li X. Sleeping beauty: awakening urothelium from its slumber. Am J </w:t>
      </w:r>
      <w:proofErr w:type="spellStart"/>
      <w:r w:rsidRPr="00833116">
        <w:rPr>
          <w:rFonts w:asciiTheme="majorBidi" w:hAnsiTheme="majorBidi" w:cstheme="majorBidi"/>
          <w:sz w:val="24"/>
          <w:szCs w:val="24"/>
        </w:rPr>
        <w:t>Physiol</w:t>
      </w:r>
      <w:proofErr w:type="spellEnd"/>
      <w:r w:rsidRPr="00833116">
        <w:rPr>
          <w:rFonts w:asciiTheme="majorBidi" w:hAnsiTheme="majorBidi" w:cstheme="majorBidi"/>
          <w:sz w:val="24"/>
          <w:szCs w:val="24"/>
        </w:rPr>
        <w:t xml:space="preserve"> Renal Physiol. 2017;312(4</w:t>
      </w:r>
      <w:proofErr w:type="gramStart"/>
      <w:r w:rsidRPr="00833116">
        <w:rPr>
          <w:rFonts w:asciiTheme="majorBidi" w:hAnsiTheme="majorBidi" w:cstheme="majorBidi"/>
          <w:sz w:val="24"/>
          <w:szCs w:val="24"/>
        </w:rPr>
        <w:t>):F</w:t>
      </w:r>
      <w:proofErr w:type="gramEnd"/>
      <w:r w:rsidRPr="00833116">
        <w:rPr>
          <w:rFonts w:asciiTheme="majorBidi" w:hAnsiTheme="majorBidi" w:cstheme="majorBidi"/>
          <w:sz w:val="24"/>
          <w:szCs w:val="24"/>
        </w:rPr>
        <w:t>732-F743. doi:10.1152/ajprenal.00337.2016</w:t>
      </w:r>
      <w:r>
        <w:rPr>
          <w:rFonts w:asciiTheme="majorBidi" w:hAnsiTheme="majorBidi" w:cstheme="majorBidi"/>
          <w:sz w:val="24"/>
          <w:szCs w:val="24"/>
        </w:rPr>
        <w:t>.</w:t>
      </w:r>
    </w:p>
    <w:p w14:paraId="1986D33A"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Epstein CJ. Cell size, nuclear content, and the development of polyploidy in the Mammalian liver. Proc Natl </w:t>
      </w:r>
      <w:proofErr w:type="spellStart"/>
      <w:r w:rsidRPr="00833116">
        <w:rPr>
          <w:rFonts w:asciiTheme="majorBidi" w:hAnsiTheme="majorBidi" w:cstheme="majorBidi"/>
          <w:sz w:val="24"/>
          <w:szCs w:val="24"/>
        </w:rPr>
        <w:t>Acad</w:t>
      </w:r>
      <w:proofErr w:type="spellEnd"/>
      <w:r w:rsidRPr="00833116">
        <w:rPr>
          <w:rFonts w:asciiTheme="majorBidi" w:hAnsiTheme="majorBidi" w:cstheme="majorBidi"/>
          <w:sz w:val="24"/>
          <w:szCs w:val="24"/>
        </w:rPr>
        <w:t xml:space="preserve"> Sci U S A. 1967;57(2):327-334. doi:10.1073/pnas.57.2.327</w:t>
      </w:r>
      <w:r>
        <w:rPr>
          <w:rFonts w:asciiTheme="majorBidi" w:hAnsiTheme="majorBidi" w:cstheme="majorBidi"/>
          <w:sz w:val="24"/>
          <w:szCs w:val="24"/>
        </w:rPr>
        <w:t>.</w:t>
      </w:r>
    </w:p>
    <w:p w14:paraId="64620A1F"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Rios AC, Fu NY, Jamieson PR, et al. Essential role for a novel population of binucleated mammary epithelial cells in lactation. Nat Commun. </w:t>
      </w:r>
      <w:proofErr w:type="gramStart"/>
      <w:r w:rsidRPr="00833116">
        <w:rPr>
          <w:rFonts w:asciiTheme="majorBidi" w:hAnsiTheme="majorBidi" w:cstheme="majorBidi"/>
          <w:sz w:val="24"/>
          <w:szCs w:val="24"/>
        </w:rPr>
        <w:t>2016;7:11400</w:t>
      </w:r>
      <w:proofErr w:type="gramEnd"/>
      <w:r w:rsidRPr="00833116">
        <w:rPr>
          <w:rFonts w:asciiTheme="majorBidi" w:hAnsiTheme="majorBidi" w:cstheme="majorBidi"/>
          <w:sz w:val="24"/>
          <w:szCs w:val="24"/>
        </w:rPr>
        <w:t>. Published 2016 Apr 22. doi:10.1038/ncomms11400</w:t>
      </w:r>
      <w:r>
        <w:rPr>
          <w:rFonts w:asciiTheme="majorBidi" w:hAnsiTheme="majorBidi" w:cstheme="majorBidi"/>
          <w:sz w:val="24"/>
          <w:szCs w:val="24"/>
        </w:rPr>
        <w:t>.</w:t>
      </w:r>
    </w:p>
    <w:p w14:paraId="202B2DFE"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Macias H, Hinck L. Mammary gland development. Wiley </w:t>
      </w:r>
      <w:proofErr w:type="spellStart"/>
      <w:r w:rsidRPr="00833116">
        <w:rPr>
          <w:rFonts w:asciiTheme="majorBidi" w:hAnsiTheme="majorBidi" w:cstheme="majorBidi"/>
          <w:sz w:val="24"/>
          <w:szCs w:val="24"/>
        </w:rPr>
        <w:t>Interdiscip</w:t>
      </w:r>
      <w:proofErr w:type="spellEnd"/>
      <w:r w:rsidRPr="00833116">
        <w:rPr>
          <w:rFonts w:asciiTheme="majorBidi" w:hAnsiTheme="majorBidi" w:cstheme="majorBidi"/>
          <w:sz w:val="24"/>
          <w:szCs w:val="24"/>
        </w:rPr>
        <w:t xml:space="preserve"> Rev Dev Biol. 2012;1(4):533-557. doi:10.1002/wdev.35</w:t>
      </w:r>
      <w:r>
        <w:rPr>
          <w:rFonts w:asciiTheme="majorBidi" w:hAnsiTheme="majorBidi" w:cstheme="majorBidi"/>
          <w:sz w:val="24"/>
          <w:szCs w:val="24"/>
        </w:rPr>
        <w:t>.</w:t>
      </w:r>
    </w:p>
    <w:p w14:paraId="33901DE0"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Watson CJ, Khaled WT. Mammary development in the embryo and adult: new insights into the journey of morphogenesis and commitment. Development. 2020;147(22</w:t>
      </w:r>
      <w:proofErr w:type="gramStart"/>
      <w:r w:rsidRPr="00833116">
        <w:rPr>
          <w:rFonts w:asciiTheme="majorBidi" w:hAnsiTheme="majorBidi" w:cstheme="majorBidi"/>
          <w:sz w:val="24"/>
          <w:szCs w:val="24"/>
        </w:rPr>
        <w:t>):dev</w:t>
      </w:r>
      <w:proofErr w:type="gramEnd"/>
      <w:r w:rsidRPr="00833116">
        <w:rPr>
          <w:rFonts w:asciiTheme="majorBidi" w:hAnsiTheme="majorBidi" w:cstheme="majorBidi"/>
          <w:sz w:val="24"/>
          <w:szCs w:val="24"/>
        </w:rPr>
        <w:t>169862. Published 2020 Nov 15. doi:10.1242/dev.169862</w:t>
      </w:r>
      <w:r>
        <w:rPr>
          <w:rFonts w:asciiTheme="majorBidi" w:hAnsiTheme="majorBidi" w:cstheme="majorBidi"/>
          <w:sz w:val="24"/>
          <w:szCs w:val="24"/>
        </w:rPr>
        <w:t>.</w:t>
      </w:r>
    </w:p>
    <w:p w14:paraId="3AD6E17C" w14:textId="77777777" w:rsidR="00833116"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 xml:space="preserve">Anderson SM, Rudolph MC, McManaman JL, Neville MC. Key stages in mammary gland development. Secretory activation in the mammary gland: it's not just about milk protein </w:t>
      </w:r>
      <w:proofErr w:type="gramStart"/>
      <w:r w:rsidRPr="00025A58">
        <w:rPr>
          <w:rFonts w:asciiTheme="majorBidi" w:hAnsiTheme="majorBidi" w:cstheme="majorBidi"/>
          <w:sz w:val="24"/>
          <w:szCs w:val="24"/>
        </w:rPr>
        <w:t>synthesis!.</w:t>
      </w:r>
      <w:proofErr w:type="gramEnd"/>
      <w:r w:rsidRPr="00025A58">
        <w:rPr>
          <w:rFonts w:asciiTheme="majorBidi" w:hAnsiTheme="majorBidi" w:cstheme="majorBidi"/>
          <w:sz w:val="24"/>
          <w:szCs w:val="24"/>
        </w:rPr>
        <w:t xml:space="preserve"> Breast Cancer Res. 2007;9(1):204. doi:10.1186/bcr1653</w:t>
      </w:r>
      <w:r>
        <w:rPr>
          <w:rFonts w:asciiTheme="majorBidi" w:hAnsiTheme="majorBidi" w:cstheme="majorBidi"/>
          <w:sz w:val="24"/>
          <w:szCs w:val="24"/>
        </w:rPr>
        <w:t>.</w:t>
      </w:r>
    </w:p>
    <w:p w14:paraId="609513FB" w14:textId="77777777" w:rsidR="00025A58"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 xml:space="preserve">Rudolph MC, McManaman JL, Phang T, et al. Metabolic regulation in the lactating mammary gland: a lipid synthesizing machine. </w:t>
      </w:r>
      <w:proofErr w:type="spellStart"/>
      <w:r w:rsidRPr="00025A58">
        <w:rPr>
          <w:rFonts w:asciiTheme="majorBidi" w:hAnsiTheme="majorBidi" w:cstheme="majorBidi"/>
          <w:sz w:val="24"/>
          <w:szCs w:val="24"/>
        </w:rPr>
        <w:t>Physiol</w:t>
      </w:r>
      <w:proofErr w:type="spellEnd"/>
      <w:r w:rsidRPr="00025A58">
        <w:rPr>
          <w:rFonts w:asciiTheme="majorBidi" w:hAnsiTheme="majorBidi" w:cstheme="majorBidi"/>
          <w:sz w:val="24"/>
          <w:szCs w:val="24"/>
        </w:rPr>
        <w:t xml:space="preserve"> Genomics. 2007;28(3):323-336. doi:10.1152/physiolgenomics.00020.2006</w:t>
      </w:r>
      <w:r>
        <w:rPr>
          <w:rFonts w:asciiTheme="majorBidi" w:hAnsiTheme="majorBidi" w:cstheme="majorBidi"/>
          <w:sz w:val="24"/>
          <w:szCs w:val="24"/>
        </w:rPr>
        <w:t>.</w:t>
      </w:r>
    </w:p>
    <w:p w14:paraId="522C7E64" w14:textId="77777777" w:rsidR="00025A58"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Shackleton M, Vaillant F, Simpson KJ, et al. Generation of a functional mammary gland from a single stem cell. Nature. 2006;439(7072):84-88. doi:10.1038/nature04372</w:t>
      </w:r>
      <w:r>
        <w:rPr>
          <w:rFonts w:asciiTheme="majorBidi" w:hAnsiTheme="majorBidi" w:cstheme="majorBidi"/>
          <w:sz w:val="24"/>
          <w:szCs w:val="24"/>
        </w:rPr>
        <w:t>.</w:t>
      </w:r>
    </w:p>
    <w:p w14:paraId="0FF9A5FC" w14:textId="77777777" w:rsidR="00025A58"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lastRenderedPageBreak/>
        <w:t xml:space="preserve">Watson CJ. Alveolar cells in the mammary gland: lineage commitment and cell death. </w:t>
      </w:r>
      <w:proofErr w:type="spellStart"/>
      <w:r w:rsidRPr="00832EFE">
        <w:rPr>
          <w:rFonts w:asciiTheme="majorBidi" w:hAnsiTheme="majorBidi" w:cstheme="majorBidi"/>
          <w:sz w:val="24"/>
          <w:szCs w:val="24"/>
        </w:rPr>
        <w:t>Biochem</w:t>
      </w:r>
      <w:proofErr w:type="spellEnd"/>
      <w:r w:rsidRPr="00832EFE">
        <w:rPr>
          <w:rFonts w:asciiTheme="majorBidi" w:hAnsiTheme="majorBidi" w:cstheme="majorBidi"/>
          <w:sz w:val="24"/>
          <w:szCs w:val="24"/>
        </w:rPr>
        <w:t xml:space="preserve"> J. 2022;479(9):995-1006. doi:10.1042/BCJ20210734</w:t>
      </w:r>
      <w:r>
        <w:rPr>
          <w:rFonts w:asciiTheme="majorBidi" w:hAnsiTheme="majorBidi" w:cstheme="majorBidi"/>
          <w:sz w:val="24"/>
          <w:szCs w:val="24"/>
        </w:rPr>
        <w:t>.</w:t>
      </w:r>
    </w:p>
    <w:p w14:paraId="77617E59"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Oliveira LB, </w:t>
      </w:r>
      <w:proofErr w:type="spellStart"/>
      <w:r w:rsidRPr="00832EFE">
        <w:rPr>
          <w:rFonts w:asciiTheme="majorBidi" w:hAnsiTheme="majorBidi" w:cstheme="majorBidi"/>
          <w:sz w:val="24"/>
          <w:szCs w:val="24"/>
        </w:rPr>
        <w:t>Parreiras</w:t>
      </w:r>
      <w:proofErr w:type="spellEnd"/>
      <w:r w:rsidRPr="00832EFE">
        <w:rPr>
          <w:rFonts w:asciiTheme="majorBidi" w:hAnsiTheme="majorBidi" w:cstheme="majorBidi"/>
          <w:sz w:val="24"/>
          <w:szCs w:val="24"/>
        </w:rPr>
        <w:t xml:space="preserve"> JAR, </w:t>
      </w:r>
      <w:proofErr w:type="spellStart"/>
      <w:r w:rsidRPr="00832EFE">
        <w:rPr>
          <w:rFonts w:asciiTheme="majorBidi" w:hAnsiTheme="majorBidi" w:cstheme="majorBidi"/>
          <w:sz w:val="24"/>
          <w:szCs w:val="24"/>
        </w:rPr>
        <w:t>Sebastião</w:t>
      </w:r>
      <w:proofErr w:type="spellEnd"/>
      <w:r w:rsidRPr="00832EFE">
        <w:rPr>
          <w:rFonts w:asciiTheme="majorBidi" w:hAnsiTheme="majorBidi" w:cstheme="majorBidi"/>
          <w:sz w:val="24"/>
          <w:szCs w:val="24"/>
        </w:rPr>
        <w:t xml:space="preserve"> ECO, Silva GND. Increase of binucleated cells in the oral mucosa: a study on the use of psychotropics by students of a Brazilian institution. Rev Assoc Med Bras (1992). 2019;65(6):870-879. Published 2019 Jul 22. doi:10.1590/1806-9282.65.6.870</w:t>
      </w:r>
      <w:r>
        <w:rPr>
          <w:rFonts w:asciiTheme="majorBidi" w:hAnsiTheme="majorBidi" w:cstheme="majorBidi"/>
          <w:sz w:val="24"/>
          <w:szCs w:val="24"/>
        </w:rPr>
        <w:t>.</w:t>
      </w:r>
    </w:p>
    <w:p w14:paraId="7239194F" w14:textId="77777777" w:rsidR="00832EFE" w:rsidRP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Ibrahim MB, </w:t>
      </w:r>
      <w:proofErr w:type="spellStart"/>
      <w:r w:rsidRPr="00832EFE">
        <w:rPr>
          <w:rFonts w:asciiTheme="majorBidi" w:hAnsiTheme="majorBidi" w:cstheme="majorBidi"/>
          <w:sz w:val="24"/>
          <w:szCs w:val="24"/>
        </w:rPr>
        <w:t>Abdelreheem</w:t>
      </w:r>
      <w:proofErr w:type="spellEnd"/>
      <w:r w:rsidRPr="00832EFE">
        <w:rPr>
          <w:rFonts w:asciiTheme="majorBidi" w:hAnsiTheme="majorBidi" w:cstheme="majorBidi"/>
          <w:sz w:val="24"/>
          <w:szCs w:val="24"/>
        </w:rPr>
        <w:t xml:space="preserve"> MH. Prevalence of anxiety and depression among medical and pharmaceutical students in Alexandria University. Alexandria J Med. 2015;51(2):167-173.</w:t>
      </w:r>
    </w:p>
    <w:p w14:paraId="138CEB01"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Sun P, </w:t>
      </w:r>
      <w:proofErr w:type="spellStart"/>
      <w:r w:rsidRPr="00832EFE">
        <w:rPr>
          <w:rFonts w:asciiTheme="majorBidi" w:hAnsiTheme="majorBidi" w:cstheme="majorBidi"/>
          <w:sz w:val="24"/>
          <w:szCs w:val="24"/>
        </w:rPr>
        <w:t>Juskevicius</w:t>
      </w:r>
      <w:proofErr w:type="spellEnd"/>
      <w:r w:rsidRPr="00832EFE">
        <w:rPr>
          <w:rFonts w:asciiTheme="majorBidi" w:hAnsiTheme="majorBidi" w:cstheme="majorBidi"/>
          <w:sz w:val="24"/>
          <w:szCs w:val="24"/>
        </w:rPr>
        <w:t xml:space="preserve"> R. Histological and immunohistochemical features of the spleen in persistent polyclonal B-cell lymphocytosis closely mimic splenic B-cell lymphoma. Diagn </w:t>
      </w:r>
      <w:proofErr w:type="spellStart"/>
      <w:r w:rsidRPr="00832EFE">
        <w:rPr>
          <w:rFonts w:asciiTheme="majorBidi" w:hAnsiTheme="majorBidi" w:cstheme="majorBidi"/>
          <w:sz w:val="24"/>
          <w:szCs w:val="24"/>
        </w:rPr>
        <w:t>Pathol</w:t>
      </w:r>
      <w:proofErr w:type="spellEnd"/>
      <w:r w:rsidRPr="00832EFE">
        <w:rPr>
          <w:rFonts w:asciiTheme="majorBidi" w:hAnsiTheme="majorBidi" w:cstheme="majorBidi"/>
          <w:sz w:val="24"/>
          <w:szCs w:val="24"/>
        </w:rPr>
        <w:t xml:space="preserve">. </w:t>
      </w:r>
      <w:proofErr w:type="gramStart"/>
      <w:r w:rsidRPr="00832EFE">
        <w:rPr>
          <w:rFonts w:asciiTheme="majorBidi" w:hAnsiTheme="majorBidi" w:cstheme="majorBidi"/>
          <w:sz w:val="24"/>
          <w:szCs w:val="24"/>
        </w:rPr>
        <w:t>2012;7:107</w:t>
      </w:r>
      <w:proofErr w:type="gramEnd"/>
      <w:r w:rsidRPr="00832EFE">
        <w:rPr>
          <w:rFonts w:asciiTheme="majorBidi" w:hAnsiTheme="majorBidi" w:cstheme="majorBidi"/>
          <w:sz w:val="24"/>
          <w:szCs w:val="24"/>
        </w:rPr>
        <w:t>. Published 2012 Aug 19. doi:10.1186/1746-1596-7-107</w:t>
      </w:r>
      <w:r>
        <w:rPr>
          <w:rFonts w:asciiTheme="majorBidi" w:hAnsiTheme="majorBidi" w:cstheme="majorBidi"/>
          <w:sz w:val="24"/>
          <w:szCs w:val="24"/>
        </w:rPr>
        <w:t>.</w:t>
      </w:r>
    </w:p>
    <w:p w14:paraId="20205038"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Cornet E, </w:t>
      </w:r>
      <w:proofErr w:type="spellStart"/>
      <w:r w:rsidRPr="00832EFE">
        <w:rPr>
          <w:rFonts w:asciiTheme="majorBidi" w:hAnsiTheme="majorBidi" w:cstheme="majorBidi"/>
          <w:sz w:val="24"/>
          <w:szCs w:val="24"/>
        </w:rPr>
        <w:t>Lesesve</w:t>
      </w:r>
      <w:proofErr w:type="spellEnd"/>
      <w:r w:rsidRPr="00832EFE">
        <w:rPr>
          <w:rFonts w:asciiTheme="majorBidi" w:hAnsiTheme="majorBidi" w:cstheme="majorBidi"/>
          <w:sz w:val="24"/>
          <w:szCs w:val="24"/>
        </w:rPr>
        <w:t xml:space="preserve"> JF, </w:t>
      </w:r>
      <w:proofErr w:type="spellStart"/>
      <w:r w:rsidRPr="00832EFE">
        <w:rPr>
          <w:rFonts w:asciiTheme="majorBidi" w:hAnsiTheme="majorBidi" w:cstheme="majorBidi"/>
          <w:sz w:val="24"/>
          <w:szCs w:val="24"/>
        </w:rPr>
        <w:t>Mossafa</w:t>
      </w:r>
      <w:proofErr w:type="spellEnd"/>
      <w:r w:rsidRPr="00832EFE">
        <w:rPr>
          <w:rFonts w:asciiTheme="majorBidi" w:hAnsiTheme="majorBidi" w:cstheme="majorBidi"/>
          <w:sz w:val="24"/>
          <w:szCs w:val="24"/>
        </w:rPr>
        <w:t xml:space="preserve"> H, et al. Long-term follow-up of 111 patients with persistent polyclonal B-cell lymphocytosis with binucleated lymphocytes. Leukemia. 2009;23(2):419-422. doi:10.1038/leu.2008.208</w:t>
      </w:r>
      <w:r>
        <w:rPr>
          <w:rFonts w:asciiTheme="majorBidi" w:hAnsiTheme="majorBidi" w:cstheme="majorBidi"/>
          <w:sz w:val="24"/>
          <w:szCs w:val="24"/>
        </w:rPr>
        <w:t>.</w:t>
      </w:r>
    </w:p>
    <w:p w14:paraId="12B2396E"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proofErr w:type="spellStart"/>
      <w:r w:rsidRPr="00832EFE">
        <w:rPr>
          <w:rFonts w:asciiTheme="majorBidi" w:hAnsiTheme="majorBidi" w:cstheme="majorBidi"/>
          <w:sz w:val="24"/>
          <w:szCs w:val="24"/>
        </w:rPr>
        <w:t>Himmelmann</w:t>
      </w:r>
      <w:proofErr w:type="spellEnd"/>
      <w:r w:rsidRPr="00832EFE">
        <w:rPr>
          <w:rFonts w:asciiTheme="majorBidi" w:hAnsiTheme="majorBidi" w:cstheme="majorBidi"/>
          <w:sz w:val="24"/>
          <w:szCs w:val="24"/>
        </w:rPr>
        <w:t xml:space="preserve"> A, </w:t>
      </w:r>
      <w:proofErr w:type="spellStart"/>
      <w:r w:rsidRPr="00832EFE">
        <w:rPr>
          <w:rFonts w:asciiTheme="majorBidi" w:hAnsiTheme="majorBidi" w:cstheme="majorBidi"/>
          <w:sz w:val="24"/>
          <w:szCs w:val="24"/>
        </w:rPr>
        <w:t>Gautschi</w:t>
      </w:r>
      <w:proofErr w:type="spellEnd"/>
      <w:r w:rsidRPr="00832EFE">
        <w:rPr>
          <w:rFonts w:asciiTheme="majorBidi" w:hAnsiTheme="majorBidi" w:cstheme="majorBidi"/>
          <w:sz w:val="24"/>
          <w:szCs w:val="24"/>
        </w:rPr>
        <w:t xml:space="preserve"> O, </w:t>
      </w:r>
      <w:proofErr w:type="spellStart"/>
      <w:r w:rsidRPr="00832EFE">
        <w:rPr>
          <w:rFonts w:asciiTheme="majorBidi" w:hAnsiTheme="majorBidi" w:cstheme="majorBidi"/>
          <w:sz w:val="24"/>
          <w:szCs w:val="24"/>
        </w:rPr>
        <w:t>Nawrath</w:t>
      </w:r>
      <w:proofErr w:type="spellEnd"/>
      <w:r w:rsidRPr="00832EFE">
        <w:rPr>
          <w:rFonts w:asciiTheme="majorBidi" w:hAnsiTheme="majorBidi" w:cstheme="majorBidi"/>
          <w:sz w:val="24"/>
          <w:szCs w:val="24"/>
        </w:rPr>
        <w:t xml:space="preserve"> M, </w:t>
      </w:r>
      <w:proofErr w:type="spellStart"/>
      <w:r w:rsidRPr="00832EFE">
        <w:rPr>
          <w:rFonts w:asciiTheme="majorBidi" w:hAnsiTheme="majorBidi" w:cstheme="majorBidi"/>
          <w:sz w:val="24"/>
          <w:szCs w:val="24"/>
        </w:rPr>
        <w:t>Bolliger</w:t>
      </w:r>
      <w:proofErr w:type="spellEnd"/>
      <w:r w:rsidRPr="00832EFE">
        <w:rPr>
          <w:rFonts w:asciiTheme="majorBidi" w:hAnsiTheme="majorBidi" w:cstheme="majorBidi"/>
          <w:sz w:val="24"/>
          <w:szCs w:val="24"/>
        </w:rPr>
        <w:t xml:space="preserve"> U, Fehr J, Stahel RA. Persistent polyclonal B-cell lymphocytosis is an expansion of functional </w:t>
      </w:r>
      <w:proofErr w:type="spellStart"/>
      <w:r w:rsidRPr="00832EFE">
        <w:rPr>
          <w:rFonts w:asciiTheme="majorBidi" w:hAnsiTheme="majorBidi" w:cstheme="majorBidi"/>
          <w:sz w:val="24"/>
          <w:szCs w:val="24"/>
        </w:rPr>
        <w:t>IgD</w:t>
      </w:r>
      <w:proofErr w:type="spellEnd"/>
      <w:r w:rsidRPr="00832EFE">
        <w:rPr>
          <w:rFonts w:asciiTheme="majorBidi" w:hAnsiTheme="majorBidi" w:cstheme="majorBidi"/>
          <w:sz w:val="24"/>
          <w:szCs w:val="24"/>
        </w:rPr>
        <w:t>(</w:t>
      </w:r>
      <w:proofErr w:type="gramStart"/>
      <w:r w:rsidRPr="00832EFE">
        <w:rPr>
          <w:rFonts w:asciiTheme="majorBidi" w:hAnsiTheme="majorBidi" w:cstheme="majorBidi"/>
          <w:sz w:val="24"/>
          <w:szCs w:val="24"/>
        </w:rPr>
        <w:t>+)CD</w:t>
      </w:r>
      <w:proofErr w:type="gramEnd"/>
      <w:r w:rsidRPr="00832EFE">
        <w:rPr>
          <w:rFonts w:asciiTheme="majorBidi" w:hAnsiTheme="majorBidi" w:cstheme="majorBidi"/>
          <w:sz w:val="24"/>
          <w:szCs w:val="24"/>
        </w:rPr>
        <w:t xml:space="preserve">27(+) memory B cells. Br J </w:t>
      </w:r>
      <w:proofErr w:type="spellStart"/>
      <w:r w:rsidRPr="00832EFE">
        <w:rPr>
          <w:rFonts w:asciiTheme="majorBidi" w:hAnsiTheme="majorBidi" w:cstheme="majorBidi"/>
          <w:sz w:val="24"/>
          <w:szCs w:val="24"/>
        </w:rPr>
        <w:t>Haematol</w:t>
      </w:r>
      <w:proofErr w:type="spellEnd"/>
      <w:r w:rsidRPr="00832EFE">
        <w:rPr>
          <w:rFonts w:asciiTheme="majorBidi" w:hAnsiTheme="majorBidi" w:cstheme="majorBidi"/>
          <w:sz w:val="24"/>
          <w:szCs w:val="24"/>
        </w:rPr>
        <w:t>. 2001;114(2):400-405. doi:10.1046/j.1365-2141.2001.</w:t>
      </w:r>
      <w:proofErr w:type="gramStart"/>
      <w:r w:rsidRPr="00832EFE">
        <w:rPr>
          <w:rFonts w:asciiTheme="majorBidi" w:hAnsiTheme="majorBidi" w:cstheme="majorBidi"/>
          <w:sz w:val="24"/>
          <w:szCs w:val="24"/>
        </w:rPr>
        <w:t>02938.x</w:t>
      </w:r>
      <w:r>
        <w:rPr>
          <w:rFonts w:asciiTheme="majorBidi" w:hAnsiTheme="majorBidi" w:cstheme="majorBidi"/>
          <w:sz w:val="24"/>
          <w:szCs w:val="24"/>
        </w:rPr>
        <w:t>.</w:t>
      </w:r>
      <w:proofErr w:type="gramEnd"/>
    </w:p>
    <w:p w14:paraId="5A51F691"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proofErr w:type="spellStart"/>
      <w:r w:rsidRPr="00832EFE">
        <w:rPr>
          <w:rFonts w:asciiTheme="majorBidi" w:hAnsiTheme="majorBidi" w:cstheme="majorBidi"/>
          <w:sz w:val="24"/>
          <w:szCs w:val="24"/>
        </w:rPr>
        <w:t>Xanthopoulou</w:t>
      </w:r>
      <w:proofErr w:type="spellEnd"/>
      <w:r w:rsidRPr="00832EFE">
        <w:rPr>
          <w:rFonts w:asciiTheme="majorBidi" w:hAnsiTheme="majorBidi" w:cstheme="majorBidi"/>
          <w:sz w:val="24"/>
          <w:szCs w:val="24"/>
        </w:rPr>
        <w:t xml:space="preserve"> L, </w:t>
      </w:r>
      <w:proofErr w:type="spellStart"/>
      <w:r w:rsidRPr="00832EFE">
        <w:rPr>
          <w:rFonts w:asciiTheme="majorBidi" w:hAnsiTheme="majorBidi" w:cstheme="majorBidi"/>
          <w:sz w:val="24"/>
          <w:szCs w:val="24"/>
        </w:rPr>
        <w:t>Delhanty</w:t>
      </w:r>
      <w:proofErr w:type="spellEnd"/>
      <w:r w:rsidRPr="00832EFE">
        <w:rPr>
          <w:rFonts w:asciiTheme="majorBidi" w:hAnsiTheme="majorBidi" w:cstheme="majorBidi"/>
          <w:sz w:val="24"/>
          <w:szCs w:val="24"/>
        </w:rPr>
        <w:t xml:space="preserve"> JD, Mania A, et al. The nature and origin of binucleate cells in human preimplantation embryos: relevance to placental mesenchymal dysplasia. </w:t>
      </w:r>
      <w:proofErr w:type="spellStart"/>
      <w:r w:rsidRPr="00832EFE">
        <w:rPr>
          <w:rFonts w:asciiTheme="majorBidi" w:hAnsiTheme="majorBidi" w:cstheme="majorBidi"/>
          <w:sz w:val="24"/>
          <w:szCs w:val="24"/>
        </w:rPr>
        <w:t>Reprod</w:t>
      </w:r>
      <w:proofErr w:type="spellEnd"/>
      <w:r w:rsidRPr="00832EFE">
        <w:rPr>
          <w:rFonts w:asciiTheme="majorBidi" w:hAnsiTheme="majorBidi" w:cstheme="majorBidi"/>
          <w:sz w:val="24"/>
          <w:szCs w:val="24"/>
        </w:rPr>
        <w:t xml:space="preserve"> Biomed Online. 2011;22(4):362-370. </w:t>
      </w:r>
      <w:proofErr w:type="gramStart"/>
      <w:r w:rsidRPr="00832EFE">
        <w:rPr>
          <w:rFonts w:asciiTheme="majorBidi" w:hAnsiTheme="majorBidi" w:cstheme="majorBidi"/>
          <w:sz w:val="24"/>
          <w:szCs w:val="24"/>
        </w:rPr>
        <w:t>doi:10.1016/j.rbmo</w:t>
      </w:r>
      <w:proofErr w:type="gramEnd"/>
      <w:r w:rsidRPr="00832EFE">
        <w:rPr>
          <w:rFonts w:asciiTheme="majorBidi" w:hAnsiTheme="majorBidi" w:cstheme="majorBidi"/>
          <w:sz w:val="24"/>
          <w:szCs w:val="24"/>
        </w:rPr>
        <w:t>.2011.01.001</w:t>
      </w:r>
      <w:r>
        <w:rPr>
          <w:rFonts w:asciiTheme="majorBidi" w:hAnsiTheme="majorBidi" w:cstheme="majorBidi"/>
          <w:sz w:val="24"/>
          <w:szCs w:val="24"/>
        </w:rPr>
        <w:t>.</w:t>
      </w:r>
    </w:p>
    <w:p w14:paraId="156D0F11" w14:textId="77777777" w:rsidR="00832EFE" w:rsidRDefault="00975A0D" w:rsidP="00975A0D">
      <w:pPr>
        <w:pStyle w:val="ListParagraph"/>
        <w:numPr>
          <w:ilvl w:val="0"/>
          <w:numId w:val="39"/>
        </w:numPr>
        <w:spacing w:line="360" w:lineRule="auto"/>
        <w:rPr>
          <w:rFonts w:asciiTheme="majorBidi" w:hAnsiTheme="majorBidi" w:cstheme="majorBidi"/>
          <w:sz w:val="24"/>
          <w:szCs w:val="24"/>
        </w:rPr>
      </w:pPr>
      <w:r w:rsidRPr="00975A0D">
        <w:rPr>
          <w:rFonts w:asciiTheme="majorBidi" w:hAnsiTheme="majorBidi" w:cstheme="majorBidi"/>
          <w:sz w:val="24"/>
          <w:szCs w:val="24"/>
        </w:rPr>
        <w:t>Clouston HJ, Fenwick J, Webb AL, Herbert M, Murdoch A, Wolstenholme J. Detection of mosaic and non-mosaic chromosome abnormalities in 6- to 8-day old human blastocysts. Hum Genet. 1997;101(1):30-36. doi:10.1007/s004390050581</w:t>
      </w:r>
      <w:r>
        <w:rPr>
          <w:rFonts w:asciiTheme="majorBidi" w:hAnsiTheme="majorBidi" w:cstheme="majorBidi"/>
          <w:sz w:val="24"/>
          <w:szCs w:val="24"/>
        </w:rPr>
        <w:t>.</w:t>
      </w:r>
    </w:p>
    <w:p w14:paraId="13E7B25B" w14:textId="77777777" w:rsidR="00975A0D" w:rsidRDefault="00794EF2" w:rsidP="00794EF2">
      <w:pPr>
        <w:pStyle w:val="ListParagraph"/>
        <w:numPr>
          <w:ilvl w:val="0"/>
          <w:numId w:val="39"/>
        </w:numPr>
        <w:spacing w:line="360" w:lineRule="auto"/>
        <w:rPr>
          <w:rFonts w:asciiTheme="majorBidi" w:hAnsiTheme="majorBidi" w:cstheme="majorBidi"/>
          <w:sz w:val="24"/>
          <w:szCs w:val="24"/>
        </w:rPr>
      </w:pPr>
      <w:proofErr w:type="spellStart"/>
      <w:r w:rsidRPr="00794EF2">
        <w:rPr>
          <w:rFonts w:asciiTheme="majorBidi" w:hAnsiTheme="majorBidi" w:cstheme="majorBidi"/>
          <w:sz w:val="24"/>
          <w:szCs w:val="24"/>
        </w:rPr>
        <w:t>Munné</w:t>
      </w:r>
      <w:proofErr w:type="spellEnd"/>
      <w:r w:rsidRPr="00794EF2">
        <w:rPr>
          <w:rFonts w:asciiTheme="majorBidi" w:hAnsiTheme="majorBidi" w:cstheme="majorBidi"/>
          <w:sz w:val="24"/>
          <w:szCs w:val="24"/>
        </w:rPr>
        <w:t xml:space="preserve"> S, </w:t>
      </w:r>
      <w:proofErr w:type="spellStart"/>
      <w:r w:rsidRPr="00794EF2">
        <w:rPr>
          <w:rFonts w:asciiTheme="majorBidi" w:hAnsiTheme="majorBidi" w:cstheme="majorBidi"/>
          <w:sz w:val="24"/>
          <w:szCs w:val="24"/>
        </w:rPr>
        <w:t>Alikani</w:t>
      </w:r>
      <w:proofErr w:type="spellEnd"/>
      <w:r w:rsidRPr="00794EF2">
        <w:rPr>
          <w:rFonts w:asciiTheme="majorBidi" w:hAnsiTheme="majorBidi" w:cstheme="majorBidi"/>
          <w:sz w:val="24"/>
          <w:szCs w:val="24"/>
        </w:rPr>
        <w:t xml:space="preserve"> M, Tomkin G, Grifo J, Cohen J. Embryo morphology, developmental rates, and maternal age are correlated with chromosome abnormalities. </w:t>
      </w:r>
      <w:proofErr w:type="spellStart"/>
      <w:r w:rsidRPr="00794EF2">
        <w:rPr>
          <w:rFonts w:asciiTheme="majorBidi" w:hAnsiTheme="majorBidi" w:cstheme="majorBidi"/>
          <w:sz w:val="24"/>
          <w:szCs w:val="24"/>
        </w:rPr>
        <w:t>Fertil</w:t>
      </w:r>
      <w:proofErr w:type="spellEnd"/>
      <w:r w:rsidRPr="00794EF2">
        <w:rPr>
          <w:rFonts w:asciiTheme="majorBidi" w:hAnsiTheme="majorBidi" w:cstheme="majorBidi"/>
          <w:sz w:val="24"/>
          <w:szCs w:val="24"/>
        </w:rPr>
        <w:t xml:space="preserve"> </w:t>
      </w:r>
      <w:proofErr w:type="spellStart"/>
      <w:r w:rsidRPr="00794EF2">
        <w:rPr>
          <w:rFonts w:asciiTheme="majorBidi" w:hAnsiTheme="majorBidi" w:cstheme="majorBidi"/>
          <w:sz w:val="24"/>
          <w:szCs w:val="24"/>
        </w:rPr>
        <w:t>Steril</w:t>
      </w:r>
      <w:proofErr w:type="spellEnd"/>
      <w:r w:rsidRPr="00794EF2">
        <w:rPr>
          <w:rFonts w:asciiTheme="majorBidi" w:hAnsiTheme="majorBidi" w:cstheme="majorBidi"/>
          <w:sz w:val="24"/>
          <w:szCs w:val="24"/>
        </w:rPr>
        <w:t>. 1995;64(2):382-391.</w:t>
      </w:r>
    </w:p>
    <w:p w14:paraId="3AB202DC" w14:textId="77777777" w:rsidR="00794EF2" w:rsidRDefault="0003744B" w:rsidP="0003744B">
      <w:pPr>
        <w:pStyle w:val="ListParagraph"/>
        <w:numPr>
          <w:ilvl w:val="0"/>
          <w:numId w:val="39"/>
        </w:numPr>
        <w:spacing w:line="360" w:lineRule="auto"/>
        <w:rPr>
          <w:rFonts w:asciiTheme="majorBidi" w:hAnsiTheme="majorBidi" w:cstheme="majorBidi"/>
          <w:sz w:val="24"/>
          <w:szCs w:val="24"/>
        </w:rPr>
      </w:pPr>
      <w:r w:rsidRPr="0003744B">
        <w:rPr>
          <w:rFonts w:asciiTheme="majorBidi" w:hAnsiTheme="majorBidi" w:cstheme="majorBidi"/>
          <w:sz w:val="24"/>
          <w:szCs w:val="24"/>
        </w:rPr>
        <w:t xml:space="preserve">Okayama K, </w:t>
      </w:r>
      <w:proofErr w:type="spellStart"/>
      <w:r w:rsidRPr="0003744B">
        <w:rPr>
          <w:rFonts w:asciiTheme="majorBidi" w:hAnsiTheme="majorBidi" w:cstheme="majorBidi"/>
          <w:sz w:val="24"/>
          <w:szCs w:val="24"/>
        </w:rPr>
        <w:t>Okodo</w:t>
      </w:r>
      <w:proofErr w:type="spellEnd"/>
      <w:r w:rsidRPr="0003744B">
        <w:rPr>
          <w:rFonts w:asciiTheme="majorBidi" w:hAnsiTheme="majorBidi" w:cstheme="majorBidi"/>
          <w:sz w:val="24"/>
          <w:szCs w:val="24"/>
        </w:rPr>
        <w:t xml:space="preserve"> M, Kitamura H, </w:t>
      </w:r>
      <w:proofErr w:type="spellStart"/>
      <w:r w:rsidRPr="0003744B">
        <w:rPr>
          <w:rFonts w:asciiTheme="majorBidi" w:hAnsiTheme="majorBidi" w:cstheme="majorBidi"/>
          <w:sz w:val="24"/>
          <w:szCs w:val="24"/>
        </w:rPr>
        <w:t>Itoda</w:t>
      </w:r>
      <w:proofErr w:type="spellEnd"/>
      <w:r w:rsidRPr="0003744B">
        <w:rPr>
          <w:rFonts w:asciiTheme="majorBidi" w:hAnsiTheme="majorBidi" w:cstheme="majorBidi"/>
          <w:sz w:val="24"/>
          <w:szCs w:val="24"/>
        </w:rPr>
        <w:t xml:space="preserve"> I. Significance of the Cytological Signs of Human Papillomavirus Infection in Anal Pap Smears of Human </w:t>
      </w:r>
      <w:r w:rsidRPr="0003744B">
        <w:rPr>
          <w:rFonts w:asciiTheme="majorBidi" w:hAnsiTheme="majorBidi" w:cstheme="majorBidi"/>
          <w:sz w:val="24"/>
          <w:szCs w:val="24"/>
        </w:rPr>
        <w:lastRenderedPageBreak/>
        <w:t>Immunodeficiency Virus-Infected Japanese Men Who Have Sex with Men. Asian Pac J Cancer Prev. 2017;18(11):3173-3178. Published 2017 Nov 26. doi:10.22034/APJCP.2017.18.11.3173</w:t>
      </w:r>
      <w:r>
        <w:rPr>
          <w:rFonts w:asciiTheme="majorBidi" w:hAnsiTheme="majorBidi" w:cstheme="majorBidi"/>
          <w:sz w:val="24"/>
          <w:szCs w:val="24"/>
        </w:rPr>
        <w:t>.</w:t>
      </w:r>
    </w:p>
    <w:p w14:paraId="5A24756E" w14:textId="77777777" w:rsidR="0003744B" w:rsidRDefault="0003744B" w:rsidP="0003744B">
      <w:pPr>
        <w:pStyle w:val="ListParagraph"/>
        <w:numPr>
          <w:ilvl w:val="0"/>
          <w:numId w:val="39"/>
        </w:numPr>
        <w:spacing w:line="360" w:lineRule="auto"/>
        <w:rPr>
          <w:rFonts w:asciiTheme="majorBidi" w:hAnsiTheme="majorBidi" w:cstheme="majorBidi"/>
          <w:sz w:val="24"/>
          <w:szCs w:val="24"/>
        </w:rPr>
      </w:pPr>
      <w:proofErr w:type="spellStart"/>
      <w:r w:rsidRPr="0003744B">
        <w:rPr>
          <w:rFonts w:asciiTheme="majorBidi" w:hAnsiTheme="majorBidi" w:cstheme="majorBidi"/>
          <w:sz w:val="24"/>
          <w:szCs w:val="24"/>
        </w:rPr>
        <w:t>Okodo</w:t>
      </w:r>
      <w:proofErr w:type="spellEnd"/>
      <w:r w:rsidRPr="0003744B">
        <w:rPr>
          <w:rFonts w:asciiTheme="majorBidi" w:hAnsiTheme="majorBidi" w:cstheme="majorBidi"/>
          <w:sz w:val="24"/>
          <w:szCs w:val="24"/>
        </w:rPr>
        <w:t xml:space="preserve"> M, Okayama K, Fukui T, et al. Significance of Compression in Binucleation while Differentiating Reactive Cellular Changes Between Human Papillomavirus and Candida Infections. Asian Pac J Cancer Prev. 2017;18(9):2507-2511. Published 2017 Sep 27. doi:10.22034/APJCP.2017.18.9.2507</w:t>
      </w:r>
      <w:r>
        <w:rPr>
          <w:rFonts w:asciiTheme="majorBidi" w:hAnsiTheme="majorBidi" w:cstheme="majorBidi"/>
          <w:sz w:val="24"/>
          <w:szCs w:val="24"/>
        </w:rPr>
        <w:t>.</w:t>
      </w:r>
    </w:p>
    <w:p w14:paraId="43B9F00D" w14:textId="77777777" w:rsidR="0003744B" w:rsidRDefault="00400138" w:rsidP="00400138">
      <w:pPr>
        <w:pStyle w:val="ListParagraph"/>
        <w:numPr>
          <w:ilvl w:val="0"/>
          <w:numId w:val="39"/>
        </w:numPr>
        <w:spacing w:line="360" w:lineRule="auto"/>
        <w:rPr>
          <w:rFonts w:asciiTheme="majorBidi" w:hAnsiTheme="majorBidi" w:cstheme="majorBidi"/>
          <w:sz w:val="24"/>
          <w:szCs w:val="24"/>
        </w:rPr>
      </w:pPr>
      <w:proofErr w:type="spellStart"/>
      <w:r w:rsidRPr="00400138">
        <w:rPr>
          <w:rFonts w:asciiTheme="majorBidi" w:hAnsiTheme="majorBidi" w:cstheme="majorBidi"/>
          <w:sz w:val="24"/>
          <w:szCs w:val="24"/>
        </w:rPr>
        <w:t>Washiya</w:t>
      </w:r>
      <w:proofErr w:type="spellEnd"/>
      <w:r w:rsidRPr="00400138">
        <w:rPr>
          <w:rFonts w:asciiTheme="majorBidi" w:hAnsiTheme="majorBidi" w:cstheme="majorBidi"/>
          <w:sz w:val="24"/>
          <w:szCs w:val="24"/>
        </w:rPr>
        <w:t xml:space="preserve"> K, Motoi M, Kobayashi T, Yoshioka H, Watanabe J. Significance of binucleated cells with compression in atypical squamous cells of undetermined significance. Acta Cytol. 2013;57(6):599-603. doi:10.1159/000353802</w:t>
      </w:r>
      <w:r>
        <w:rPr>
          <w:rFonts w:asciiTheme="majorBidi" w:hAnsiTheme="majorBidi" w:cstheme="majorBidi"/>
          <w:sz w:val="24"/>
          <w:szCs w:val="24"/>
        </w:rPr>
        <w:t>.</w:t>
      </w:r>
    </w:p>
    <w:p w14:paraId="4F3AFC90" w14:textId="77777777" w:rsidR="00400138" w:rsidRDefault="007B0193" w:rsidP="007B0193">
      <w:pPr>
        <w:pStyle w:val="ListParagraph"/>
        <w:numPr>
          <w:ilvl w:val="0"/>
          <w:numId w:val="39"/>
        </w:numPr>
        <w:spacing w:line="360" w:lineRule="auto"/>
        <w:rPr>
          <w:rFonts w:asciiTheme="majorBidi" w:hAnsiTheme="majorBidi" w:cstheme="majorBidi"/>
          <w:sz w:val="24"/>
          <w:szCs w:val="24"/>
        </w:rPr>
      </w:pPr>
      <w:r w:rsidRPr="007B0193">
        <w:rPr>
          <w:rFonts w:asciiTheme="majorBidi" w:hAnsiTheme="majorBidi" w:cstheme="majorBidi"/>
          <w:sz w:val="24"/>
          <w:szCs w:val="24"/>
        </w:rPr>
        <w:t>Okayama K, Kakinuma M, Teruya K, et al. Predictive Value of Various Atypical Cells for the Detection of Human Papillomavirus in Cervical Smears. Int J Mol Sci. 2024;25(2):1212. Published 2024 Jan 19. doi:10.3390/ijms25021212</w:t>
      </w:r>
      <w:r>
        <w:rPr>
          <w:rFonts w:asciiTheme="majorBidi" w:hAnsiTheme="majorBidi" w:cstheme="majorBidi"/>
          <w:sz w:val="24"/>
          <w:szCs w:val="24"/>
        </w:rPr>
        <w:t>.</w:t>
      </w:r>
    </w:p>
    <w:p w14:paraId="24F7F1FC" w14:textId="77777777" w:rsidR="0008444B" w:rsidRDefault="007B0193" w:rsidP="0008444B">
      <w:pPr>
        <w:pStyle w:val="ListParagraph"/>
        <w:numPr>
          <w:ilvl w:val="0"/>
          <w:numId w:val="39"/>
        </w:numPr>
        <w:spacing w:line="360" w:lineRule="auto"/>
        <w:rPr>
          <w:rFonts w:asciiTheme="majorBidi" w:hAnsiTheme="majorBidi" w:cstheme="majorBidi"/>
          <w:sz w:val="24"/>
          <w:szCs w:val="24"/>
        </w:rPr>
      </w:pPr>
      <w:proofErr w:type="spellStart"/>
      <w:r w:rsidRPr="007B0193">
        <w:rPr>
          <w:rFonts w:asciiTheme="majorBidi" w:hAnsiTheme="majorBidi" w:cstheme="majorBidi"/>
          <w:sz w:val="24"/>
          <w:szCs w:val="24"/>
        </w:rPr>
        <w:t>Pelc</w:t>
      </w:r>
      <w:proofErr w:type="spellEnd"/>
      <w:r w:rsidRPr="007B0193">
        <w:rPr>
          <w:rFonts w:asciiTheme="majorBidi" w:hAnsiTheme="majorBidi" w:cstheme="majorBidi"/>
          <w:sz w:val="24"/>
          <w:szCs w:val="24"/>
        </w:rPr>
        <w:t xml:space="preserve"> S, De </w:t>
      </w:r>
      <w:proofErr w:type="spellStart"/>
      <w:r w:rsidRPr="007B0193">
        <w:rPr>
          <w:rFonts w:asciiTheme="majorBidi" w:hAnsiTheme="majorBidi" w:cstheme="majorBidi"/>
          <w:sz w:val="24"/>
          <w:szCs w:val="24"/>
        </w:rPr>
        <w:t>Maertelaere</w:t>
      </w:r>
      <w:proofErr w:type="spellEnd"/>
      <w:r w:rsidRPr="007B0193">
        <w:rPr>
          <w:rFonts w:asciiTheme="majorBidi" w:hAnsiTheme="majorBidi" w:cstheme="majorBidi"/>
          <w:sz w:val="24"/>
          <w:szCs w:val="24"/>
        </w:rPr>
        <w:t xml:space="preserve"> E, </w:t>
      </w:r>
      <w:proofErr w:type="spellStart"/>
      <w:r w:rsidRPr="007B0193">
        <w:rPr>
          <w:rFonts w:asciiTheme="majorBidi" w:hAnsiTheme="majorBidi" w:cstheme="majorBidi"/>
          <w:sz w:val="24"/>
          <w:szCs w:val="24"/>
        </w:rPr>
        <w:t>Denolin</w:t>
      </w:r>
      <w:proofErr w:type="spellEnd"/>
      <w:r w:rsidRPr="007B0193">
        <w:rPr>
          <w:rFonts w:asciiTheme="majorBidi" w:hAnsiTheme="majorBidi" w:cstheme="majorBidi"/>
          <w:sz w:val="24"/>
          <w:szCs w:val="24"/>
        </w:rPr>
        <w:t>-Reubens R. CSF cytology of acute viral meningitis and meningoencephalitis. Eur Neurol. 1981;20(2):95-102. doi:10.1159/000115214</w:t>
      </w:r>
      <w:r>
        <w:rPr>
          <w:rFonts w:asciiTheme="majorBidi" w:hAnsiTheme="majorBidi" w:cstheme="majorBidi"/>
          <w:sz w:val="24"/>
          <w:szCs w:val="24"/>
        </w:rPr>
        <w:t>.</w:t>
      </w:r>
    </w:p>
    <w:p w14:paraId="570B29EF" w14:textId="77777777" w:rsidR="0008444B" w:rsidRPr="0008444B" w:rsidRDefault="0008444B" w:rsidP="0008444B">
      <w:pPr>
        <w:pStyle w:val="ListParagraph"/>
        <w:numPr>
          <w:ilvl w:val="0"/>
          <w:numId w:val="39"/>
        </w:numPr>
        <w:spacing w:line="360" w:lineRule="auto"/>
        <w:rPr>
          <w:rFonts w:asciiTheme="majorBidi" w:hAnsiTheme="majorBidi" w:cstheme="majorBidi"/>
          <w:sz w:val="24"/>
          <w:szCs w:val="24"/>
        </w:rPr>
      </w:pPr>
      <w:r w:rsidRPr="0008444B">
        <w:rPr>
          <w:rFonts w:asciiTheme="majorBidi" w:hAnsiTheme="majorBidi" w:cstheme="majorBidi"/>
          <w:sz w:val="24"/>
          <w:szCs w:val="24"/>
        </w:rPr>
        <w:t xml:space="preserve">Multinucleated cells in PAP smear—an institutional experience. J Clin Diagn Res. 2021 Jan;15(1):9-13. </w:t>
      </w:r>
      <w:proofErr w:type="spellStart"/>
      <w:r w:rsidRPr="0008444B">
        <w:rPr>
          <w:rFonts w:asciiTheme="majorBidi" w:hAnsiTheme="majorBidi" w:cstheme="majorBidi"/>
          <w:sz w:val="24"/>
          <w:szCs w:val="24"/>
        </w:rPr>
        <w:t>doi</w:t>
      </w:r>
      <w:proofErr w:type="spellEnd"/>
      <w:r w:rsidRPr="0008444B">
        <w:rPr>
          <w:rFonts w:asciiTheme="majorBidi" w:hAnsiTheme="majorBidi" w:cstheme="majorBidi"/>
          <w:sz w:val="24"/>
          <w:szCs w:val="24"/>
        </w:rPr>
        <w:t>: 10.7860/JCDR/2021/49804.15300.</w:t>
      </w:r>
    </w:p>
    <w:p w14:paraId="6254AA69" w14:textId="77777777" w:rsidR="007B0193" w:rsidRDefault="0008444B" w:rsidP="0008444B">
      <w:pPr>
        <w:pStyle w:val="ListParagraph"/>
        <w:numPr>
          <w:ilvl w:val="0"/>
          <w:numId w:val="39"/>
        </w:numPr>
        <w:spacing w:line="360" w:lineRule="auto"/>
        <w:rPr>
          <w:rFonts w:asciiTheme="majorBidi" w:hAnsiTheme="majorBidi" w:cstheme="majorBidi"/>
          <w:sz w:val="24"/>
          <w:szCs w:val="24"/>
        </w:rPr>
      </w:pPr>
      <w:r w:rsidRPr="0008444B">
        <w:rPr>
          <w:rFonts w:asciiTheme="majorBidi" w:hAnsiTheme="majorBidi" w:cstheme="majorBidi"/>
          <w:sz w:val="24"/>
          <w:szCs w:val="24"/>
        </w:rPr>
        <w:t xml:space="preserve">Coleman DV. Cytological diagnosis of virus-infected cells in Papanicolaou smears and its application in clinical practice. J Clin </w:t>
      </w:r>
      <w:proofErr w:type="spellStart"/>
      <w:r w:rsidRPr="0008444B">
        <w:rPr>
          <w:rFonts w:asciiTheme="majorBidi" w:hAnsiTheme="majorBidi" w:cstheme="majorBidi"/>
          <w:sz w:val="24"/>
          <w:szCs w:val="24"/>
        </w:rPr>
        <w:t>Pathol</w:t>
      </w:r>
      <w:proofErr w:type="spellEnd"/>
      <w:r w:rsidRPr="0008444B">
        <w:rPr>
          <w:rFonts w:asciiTheme="majorBidi" w:hAnsiTheme="majorBidi" w:cstheme="majorBidi"/>
          <w:sz w:val="24"/>
          <w:szCs w:val="24"/>
        </w:rPr>
        <w:t>. 1979;32(11):1075-1089. doi:10.1136/jcp.32.11.1075</w:t>
      </w:r>
      <w:r>
        <w:rPr>
          <w:rFonts w:asciiTheme="majorBidi" w:hAnsiTheme="majorBidi" w:cstheme="majorBidi"/>
          <w:sz w:val="24"/>
          <w:szCs w:val="24"/>
        </w:rPr>
        <w:t>.</w:t>
      </w:r>
    </w:p>
    <w:p w14:paraId="651A7042" w14:textId="77777777" w:rsidR="0008444B" w:rsidRDefault="00CC0A54" w:rsidP="00CC0A54">
      <w:pPr>
        <w:pStyle w:val="ListParagraph"/>
        <w:numPr>
          <w:ilvl w:val="0"/>
          <w:numId w:val="39"/>
        </w:numPr>
        <w:spacing w:line="360" w:lineRule="auto"/>
        <w:rPr>
          <w:rFonts w:asciiTheme="majorBidi" w:hAnsiTheme="majorBidi" w:cstheme="majorBidi"/>
          <w:sz w:val="24"/>
          <w:szCs w:val="24"/>
        </w:rPr>
      </w:pPr>
      <w:proofErr w:type="spellStart"/>
      <w:r w:rsidRPr="00CC0A54">
        <w:rPr>
          <w:rFonts w:asciiTheme="majorBidi" w:hAnsiTheme="majorBidi" w:cstheme="majorBidi"/>
          <w:sz w:val="24"/>
          <w:szCs w:val="24"/>
        </w:rPr>
        <w:t>Daneshbod</w:t>
      </w:r>
      <w:proofErr w:type="spellEnd"/>
      <w:r w:rsidRPr="00CC0A54">
        <w:rPr>
          <w:rFonts w:asciiTheme="majorBidi" w:hAnsiTheme="majorBidi" w:cstheme="majorBidi"/>
          <w:sz w:val="24"/>
          <w:szCs w:val="24"/>
        </w:rPr>
        <w:t xml:space="preserve"> Y, </w:t>
      </w:r>
      <w:proofErr w:type="spellStart"/>
      <w:r w:rsidRPr="00CC0A54">
        <w:rPr>
          <w:rFonts w:asciiTheme="majorBidi" w:hAnsiTheme="majorBidi" w:cstheme="majorBidi"/>
          <w:sz w:val="24"/>
          <w:szCs w:val="24"/>
        </w:rPr>
        <w:t>Oryan</w:t>
      </w:r>
      <w:proofErr w:type="spellEnd"/>
      <w:r w:rsidRPr="00CC0A54">
        <w:rPr>
          <w:rFonts w:asciiTheme="majorBidi" w:hAnsiTheme="majorBidi" w:cstheme="majorBidi"/>
          <w:sz w:val="24"/>
          <w:szCs w:val="24"/>
        </w:rPr>
        <w:t xml:space="preserve"> A, </w:t>
      </w:r>
      <w:proofErr w:type="spellStart"/>
      <w:r w:rsidRPr="00CC0A54">
        <w:rPr>
          <w:rFonts w:asciiTheme="majorBidi" w:hAnsiTheme="majorBidi" w:cstheme="majorBidi"/>
          <w:sz w:val="24"/>
          <w:szCs w:val="24"/>
        </w:rPr>
        <w:t>Davarmanesh</w:t>
      </w:r>
      <w:proofErr w:type="spellEnd"/>
      <w:r w:rsidRPr="00CC0A54">
        <w:rPr>
          <w:rFonts w:asciiTheme="majorBidi" w:hAnsiTheme="majorBidi" w:cstheme="majorBidi"/>
          <w:sz w:val="24"/>
          <w:szCs w:val="24"/>
        </w:rPr>
        <w:t xml:space="preserve"> M, et al. Clinical, histopathologic, and cytologic diagnosis of mucosal leishmaniasis and literature review. Arch </w:t>
      </w:r>
      <w:proofErr w:type="spellStart"/>
      <w:r w:rsidRPr="00CC0A54">
        <w:rPr>
          <w:rFonts w:asciiTheme="majorBidi" w:hAnsiTheme="majorBidi" w:cstheme="majorBidi"/>
          <w:sz w:val="24"/>
          <w:szCs w:val="24"/>
        </w:rPr>
        <w:t>Pathol</w:t>
      </w:r>
      <w:proofErr w:type="spellEnd"/>
      <w:r w:rsidRPr="00CC0A54">
        <w:rPr>
          <w:rFonts w:asciiTheme="majorBidi" w:hAnsiTheme="majorBidi" w:cstheme="majorBidi"/>
          <w:sz w:val="24"/>
          <w:szCs w:val="24"/>
        </w:rPr>
        <w:t xml:space="preserve"> Lab Med. 2011;135(4):478-482. doi:10.5858/2010-0069-OA.1</w:t>
      </w:r>
      <w:r>
        <w:rPr>
          <w:rFonts w:asciiTheme="majorBidi" w:hAnsiTheme="majorBidi" w:cstheme="majorBidi"/>
          <w:sz w:val="24"/>
          <w:szCs w:val="24"/>
        </w:rPr>
        <w:t>.</w:t>
      </w:r>
    </w:p>
    <w:p w14:paraId="42518651" w14:textId="77777777" w:rsidR="00CC0A54" w:rsidRDefault="00864B08" w:rsidP="00864B08">
      <w:pPr>
        <w:pStyle w:val="ListParagraph"/>
        <w:numPr>
          <w:ilvl w:val="0"/>
          <w:numId w:val="39"/>
        </w:numPr>
        <w:spacing w:line="360" w:lineRule="auto"/>
        <w:rPr>
          <w:rFonts w:asciiTheme="majorBidi" w:hAnsiTheme="majorBidi" w:cstheme="majorBidi"/>
          <w:sz w:val="24"/>
          <w:szCs w:val="24"/>
        </w:rPr>
      </w:pPr>
      <w:r w:rsidRPr="00864B08">
        <w:rPr>
          <w:rFonts w:asciiTheme="majorBidi" w:hAnsiTheme="majorBidi" w:cstheme="majorBidi"/>
          <w:sz w:val="24"/>
          <w:szCs w:val="24"/>
        </w:rPr>
        <w:t xml:space="preserve">Blanco LZ, Thurow TA, Mahajan A, et al. Multinucleation is an objective feature useful in the diagnosis of pleomorphic lobular carcinoma in situ. Am J Clin </w:t>
      </w:r>
      <w:proofErr w:type="spellStart"/>
      <w:r w:rsidRPr="00864B08">
        <w:rPr>
          <w:rFonts w:asciiTheme="majorBidi" w:hAnsiTheme="majorBidi" w:cstheme="majorBidi"/>
          <w:sz w:val="24"/>
          <w:szCs w:val="24"/>
        </w:rPr>
        <w:t>Pathol</w:t>
      </w:r>
      <w:proofErr w:type="spellEnd"/>
      <w:r w:rsidRPr="00864B08">
        <w:rPr>
          <w:rFonts w:asciiTheme="majorBidi" w:hAnsiTheme="majorBidi" w:cstheme="majorBidi"/>
          <w:sz w:val="24"/>
          <w:szCs w:val="24"/>
        </w:rPr>
        <w:t>. 2015;144(5):722-726. doi:10.1309/AJCPZHZ2TUE2UYNV</w:t>
      </w:r>
      <w:r>
        <w:rPr>
          <w:rFonts w:asciiTheme="majorBidi" w:hAnsiTheme="majorBidi" w:cstheme="majorBidi"/>
          <w:sz w:val="24"/>
          <w:szCs w:val="24"/>
        </w:rPr>
        <w:t>.</w:t>
      </w:r>
    </w:p>
    <w:p w14:paraId="4C9AB24F" w14:textId="77777777" w:rsidR="00864B08" w:rsidRDefault="00864B08" w:rsidP="00864B08">
      <w:pPr>
        <w:pStyle w:val="ListParagraph"/>
        <w:numPr>
          <w:ilvl w:val="0"/>
          <w:numId w:val="39"/>
        </w:numPr>
        <w:spacing w:line="360" w:lineRule="auto"/>
        <w:rPr>
          <w:rFonts w:asciiTheme="majorBidi" w:hAnsiTheme="majorBidi" w:cstheme="majorBidi"/>
          <w:sz w:val="24"/>
          <w:szCs w:val="24"/>
        </w:rPr>
      </w:pPr>
      <w:proofErr w:type="spellStart"/>
      <w:r w:rsidRPr="00864B08">
        <w:rPr>
          <w:rFonts w:asciiTheme="majorBidi" w:hAnsiTheme="majorBidi" w:cstheme="majorBidi"/>
          <w:sz w:val="24"/>
          <w:szCs w:val="24"/>
        </w:rPr>
        <w:t>Priyadharshini</w:t>
      </w:r>
      <w:proofErr w:type="spellEnd"/>
      <w:r w:rsidRPr="00864B08">
        <w:rPr>
          <w:rFonts w:asciiTheme="majorBidi" w:hAnsiTheme="majorBidi" w:cstheme="majorBidi"/>
          <w:sz w:val="24"/>
          <w:szCs w:val="24"/>
        </w:rPr>
        <w:t xml:space="preserve"> G, </w:t>
      </w:r>
      <w:proofErr w:type="spellStart"/>
      <w:r w:rsidRPr="00864B08">
        <w:rPr>
          <w:rFonts w:asciiTheme="majorBidi" w:hAnsiTheme="majorBidi" w:cstheme="majorBidi"/>
          <w:sz w:val="24"/>
          <w:szCs w:val="24"/>
        </w:rPr>
        <w:t>Phansalkar</w:t>
      </w:r>
      <w:proofErr w:type="spellEnd"/>
      <w:r w:rsidRPr="00864B08">
        <w:rPr>
          <w:rFonts w:asciiTheme="majorBidi" w:hAnsiTheme="majorBidi" w:cstheme="majorBidi"/>
          <w:sz w:val="24"/>
          <w:szCs w:val="24"/>
        </w:rPr>
        <w:t xml:space="preserve"> M, </w:t>
      </w:r>
      <w:proofErr w:type="spellStart"/>
      <w:r w:rsidRPr="00864B08">
        <w:rPr>
          <w:rFonts w:asciiTheme="majorBidi" w:hAnsiTheme="majorBidi" w:cstheme="majorBidi"/>
          <w:sz w:val="24"/>
          <w:szCs w:val="24"/>
        </w:rPr>
        <w:t>Ambroise</w:t>
      </w:r>
      <w:proofErr w:type="spellEnd"/>
      <w:r w:rsidRPr="00864B08">
        <w:rPr>
          <w:rFonts w:asciiTheme="majorBidi" w:hAnsiTheme="majorBidi" w:cstheme="majorBidi"/>
          <w:sz w:val="24"/>
          <w:szCs w:val="24"/>
        </w:rPr>
        <w:t xml:space="preserve"> M, Ramdas A. Binucleate Cells in Cytosmears: What do They </w:t>
      </w:r>
      <w:proofErr w:type="gramStart"/>
      <w:r w:rsidRPr="00864B08">
        <w:rPr>
          <w:rFonts w:asciiTheme="majorBidi" w:hAnsiTheme="majorBidi" w:cstheme="majorBidi"/>
          <w:sz w:val="24"/>
          <w:szCs w:val="24"/>
        </w:rPr>
        <w:t>Signify?.</w:t>
      </w:r>
      <w:proofErr w:type="gramEnd"/>
      <w:r w:rsidRPr="00864B08">
        <w:rPr>
          <w:rFonts w:asciiTheme="majorBidi" w:hAnsiTheme="majorBidi" w:cstheme="majorBidi"/>
          <w:sz w:val="24"/>
          <w:szCs w:val="24"/>
        </w:rPr>
        <w:t xml:space="preserve"> J Cytol. 2021;38(1):38-43. </w:t>
      </w:r>
      <w:proofErr w:type="gramStart"/>
      <w:r w:rsidRPr="00864B08">
        <w:rPr>
          <w:rFonts w:asciiTheme="majorBidi" w:hAnsiTheme="majorBidi" w:cstheme="majorBidi"/>
          <w:sz w:val="24"/>
          <w:szCs w:val="24"/>
        </w:rPr>
        <w:t>doi:10.4103/JOC.JOC</w:t>
      </w:r>
      <w:proofErr w:type="gramEnd"/>
      <w:r w:rsidRPr="00864B08">
        <w:rPr>
          <w:rFonts w:asciiTheme="majorBidi" w:hAnsiTheme="majorBidi" w:cstheme="majorBidi"/>
          <w:sz w:val="24"/>
          <w:szCs w:val="24"/>
        </w:rPr>
        <w:t>_178_20</w:t>
      </w:r>
      <w:r>
        <w:rPr>
          <w:rFonts w:asciiTheme="majorBidi" w:hAnsiTheme="majorBidi" w:cstheme="majorBidi"/>
          <w:sz w:val="24"/>
          <w:szCs w:val="24"/>
        </w:rPr>
        <w:t>.</w:t>
      </w:r>
    </w:p>
    <w:p w14:paraId="65B75537" w14:textId="77777777" w:rsidR="00864B08" w:rsidRDefault="00864B08" w:rsidP="00864B08">
      <w:pPr>
        <w:pStyle w:val="ListParagraph"/>
        <w:numPr>
          <w:ilvl w:val="0"/>
          <w:numId w:val="39"/>
        </w:numPr>
        <w:spacing w:line="360" w:lineRule="auto"/>
        <w:rPr>
          <w:rFonts w:asciiTheme="majorBidi" w:hAnsiTheme="majorBidi" w:cstheme="majorBidi"/>
          <w:sz w:val="24"/>
          <w:szCs w:val="24"/>
        </w:rPr>
      </w:pPr>
      <w:proofErr w:type="spellStart"/>
      <w:r w:rsidRPr="00864B08">
        <w:rPr>
          <w:rFonts w:asciiTheme="majorBidi" w:hAnsiTheme="majorBidi" w:cstheme="majorBidi"/>
          <w:sz w:val="24"/>
          <w:szCs w:val="24"/>
        </w:rPr>
        <w:t>Elmahdi</w:t>
      </w:r>
      <w:proofErr w:type="spellEnd"/>
      <w:r w:rsidRPr="00864B08">
        <w:rPr>
          <w:rFonts w:asciiTheme="majorBidi" w:hAnsiTheme="majorBidi" w:cstheme="majorBidi"/>
          <w:sz w:val="24"/>
          <w:szCs w:val="24"/>
        </w:rPr>
        <w:t xml:space="preserve"> FM, </w:t>
      </w:r>
      <w:proofErr w:type="spellStart"/>
      <w:r w:rsidRPr="00864B08">
        <w:rPr>
          <w:rFonts w:asciiTheme="majorBidi" w:hAnsiTheme="majorBidi" w:cstheme="majorBidi"/>
          <w:sz w:val="24"/>
          <w:szCs w:val="24"/>
        </w:rPr>
        <w:t>Alsebaee</w:t>
      </w:r>
      <w:proofErr w:type="spellEnd"/>
      <w:r w:rsidRPr="00864B08">
        <w:rPr>
          <w:rFonts w:asciiTheme="majorBidi" w:hAnsiTheme="majorBidi" w:cstheme="majorBidi"/>
          <w:sz w:val="24"/>
          <w:szCs w:val="24"/>
        </w:rPr>
        <w:t xml:space="preserve"> RO, </w:t>
      </w:r>
      <w:proofErr w:type="spellStart"/>
      <w:r w:rsidRPr="00864B08">
        <w:rPr>
          <w:rFonts w:asciiTheme="majorBidi" w:hAnsiTheme="majorBidi" w:cstheme="majorBidi"/>
          <w:sz w:val="24"/>
          <w:szCs w:val="24"/>
        </w:rPr>
        <w:t>Ballaji</w:t>
      </w:r>
      <w:proofErr w:type="spellEnd"/>
      <w:r w:rsidRPr="00864B08">
        <w:rPr>
          <w:rFonts w:asciiTheme="majorBidi" w:hAnsiTheme="majorBidi" w:cstheme="majorBidi"/>
          <w:sz w:val="24"/>
          <w:szCs w:val="24"/>
        </w:rPr>
        <w:t xml:space="preserve"> MM, et al. Cytological Changes and Immunocytochemistry Expression of P53 in Oral Mucosa Among Waterpipe Users </w:t>
      </w:r>
      <w:r w:rsidRPr="00864B08">
        <w:rPr>
          <w:rFonts w:asciiTheme="majorBidi" w:hAnsiTheme="majorBidi" w:cstheme="majorBidi"/>
          <w:sz w:val="24"/>
          <w:szCs w:val="24"/>
        </w:rPr>
        <w:lastRenderedPageBreak/>
        <w:t>in the Kingdom of Saudi Arabia. Cureus. 2022;14(11</w:t>
      </w:r>
      <w:proofErr w:type="gramStart"/>
      <w:r w:rsidRPr="00864B08">
        <w:rPr>
          <w:rFonts w:asciiTheme="majorBidi" w:hAnsiTheme="majorBidi" w:cstheme="majorBidi"/>
          <w:sz w:val="24"/>
          <w:szCs w:val="24"/>
        </w:rPr>
        <w:t>):e</w:t>
      </w:r>
      <w:proofErr w:type="gramEnd"/>
      <w:r w:rsidRPr="00864B08">
        <w:rPr>
          <w:rFonts w:asciiTheme="majorBidi" w:hAnsiTheme="majorBidi" w:cstheme="majorBidi"/>
          <w:sz w:val="24"/>
          <w:szCs w:val="24"/>
        </w:rPr>
        <w:t>31190. Published 2022 Nov 7. doi:10.7759/cureus.31190</w:t>
      </w:r>
      <w:r>
        <w:rPr>
          <w:rFonts w:asciiTheme="majorBidi" w:hAnsiTheme="majorBidi" w:cstheme="majorBidi"/>
          <w:sz w:val="24"/>
          <w:szCs w:val="24"/>
        </w:rPr>
        <w:t>.</w:t>
      </w:r>
    </w:p>
    <w:p w14:paraId="454D1AFD" w14:textId="77777777" w:rsidR="00864B08" w:rsidRDefault="00FF7290" w:rsidP="00FF7290">
      <w:pPr>
        <w:pStyle w:val="ListParagraph"/>
        <w:numPr>
          <w:ilvl w:val="0"/>
          <w:numId w:val="39"/>
        </w:numPr>
        <w:spacing w:line="360" w:lineRule="auto"/>
        <w:rPr>
          <w:rFonts w:asciiTheme="majorBidi" w:hAnsiTheme="majorBidi" w:cstheme="majorBidi"/>
          <w:sz w:val="24"/>
          <w:szCs w:val="24"/>
        </w:rPr>
      </w:pPr>
      <w:r w:rsidRPr="00FF7290">
        <w:rPr>
          <w:rFonts w:asciiTheme="majorBidi" w:hAnsiTheme="majorBidi" w:cstheme="majorBidi"/>
          <w:sz w:val="24"/>
          <w:szCs w:val="24"/>
        </w:rPr>
        <w:t>Liu S, Zhang M, Yang L, et al. Prevalence and patterns of tobacco smoking among Chinese adult men and women: findings of the 2010 national smoking survey. J Epidemiol Community Health. 2017;71(2):154-161. doi:10.1136/jech-2016-207805</w:t>
      </w:r>
      <w:r>
        <w:rPr>
          <w:rFonts w:asciiTheme="majorBidi" w:hAnsiTheme="majorBidi" w:cstheme="majorBidi"/>
          <w:sz w:val="24"/>
          <w:szCs w:val="24"/>
        </w:rPr>
        <w:t>.</w:t>
      </w:r>
    </w:p>
    <w:p w14:paraId="3A1126FD" w14:textId="77777777" w:rsidR="00FF7290" w:rsidRDefault="001116F7" w:rsidP="001116F7">
      <w:pPr>
        <w:pStyle w:val="ListParagraph"/>
        <w:numPr>
          <w:ilvl w:val="0"/>
          <w:numId w:val="39"/>
        </w:numPr>
        <w:spacing w:line="360" w:lineRule="auto"/>
        <w:rPr>
          <w:rFonts w:asciiTheme="majorBidi" w:hAnsiTheme="majorBidi" w:cstheme="majorBidi"/>
          <w:sz w:val="24"/>
          <w:szCs w:val="24"/>
        </w:rPr>
      </w:pPr>
      <w:r w:rsidRPr="001116F7">
        <w:rPr>
          <w:rFonts w:asciiTheme="majorBidi" w:hAnsiTheme="majorBidi" w:cstheme="majorBidi"/>
          <w:sz w:val="24"/>
          <w:szCs w:val="24"/>
        </w:rPr>
        <w:t xml:space="preserve">Persson L, Bergström J, Ito H, Gustafsson A. Tobacco smoking and neutrophil activity in patients with periodontal disease. J </w:t>
      </w:r>
      <w:proofErr w:type="spellStart"/>
      <w:r w:rsidRPr="001116F7">
        <w:rPr>
          <w:rFonts w:asciiTheme="majorBidi" w:hAnsiTheme="majorBidi" w:cstheme="majorBidi"/>
          <w:sz w:val="24"/>
          <w:szCs w:val="24"/>
        </w:rPr>
        <w:t>Periodontol</w:t>
      </w:r>
      <w:proofErr w:type="spellEnd"/>
      <w:r w:rsidRPr="001116F7">
        <w:rPr>
          <w:rFonts w:asciiTheme="majorBidi" w:hAnsiTheme="majorBidi" w:cstheme="majorBidi"/>
          <w:sz w:val="24"/>
          <w:szCs w:val="24"/>
        </w:rPr>
        <w:t>. 2001;72(1):90-95. doi:10.1902/jop.2001.72.1.90</w:t>
      </w:r>
      <w:r>
        <w:rPr>
          <w:rFonts w:asciiTheme="majorBidi" w:hAnsiTheme="majorBidi" w:cstheme="majorBidi"/>
          <w:sz w:val="24"/>
          <w:szCs w:val="24"/>
        </w:rPr>
        <w:t>.</w:t>
      </w:r>
    </w:p>
    <w:p w14:paraId="3F1191E6" w14:textId="77777777" w:rsidR="001116F7" w:rsidRPr="001116F7" w:rsidRDefault="001116F7" w:rsidP="001116F7">
      <w:pPr>
        <w:pStyle w:val="ListParagraph"/>
        <w:numPr>
          <w:ilvl w:val="0"/>
          <w:numId w:val="39"/>
        </w:numPr>
        <w:spacing w:line="360" w:lineRule="auto"/>
        <w:rPr>
          <w:rFonts w:asciiTheme="majorBidi" w:hAnsiTheme="majorBidi" w:cstheme="majorBidi"/>
          <w:sz w:val="24"/>
          <w:szCs w:val="24"/>
        </w:rPr>
      </w:pPr>
      <w:r w:rsidRPr="001116F7">
        <w:rPr>
          <w:rFonts w:asciiTheme="majorBidi" w:hAnsiTheme="majorBidi" w:cstheme="majorBidi"/>
          <w:sz w:val="24"/>
          <w:szCs w:val="24"/>
        </w:rPr>
        <w:t xml:space="preserve">Mohammed MEA, Brima EI. Cytological changes in oral mucosa induced by smokeless tobacco. </w:t>
      </w:r>
      <w:proofErr w:type="spellStart"/>
      <w:r w:rsidRPr="001116F7">
        <w:rPr>
          <w:rFonts w:asciiTheme="majorBidi" w:hAnsiTheme="majorBidi" w:cstheme="majorBidi"/>
          <w:sz w:val="24"/>
          <w:szCs w:val="24"/>
        </w:rPr>
        <w:t>Tob</w:t>
      </w:r>
      <w:proofErr w:type="spellEnd"/>
      <w:r w:rsidRPr="001116F7">
        <w:rPr>
          <w:rFonts w:asciiTheme="majorBidi" w:hAnsiTheme="majorBidi" w:cstheme="majorBidi"/>
          <w:sz w:val="24"/>
          <w:szCs w:val="24"/>
        </w:rPr>
        <w:t xml:space="preserve"> </w:t>
      </w:r>
      <w:proofErr w:type="spellStart"/>
      <w:r w:rsidRPr="001116F7">
        <w:rPr>
          <w:rFonts w:asciiTheme="majorBidi" w:hAnsiTheme="majorBidi" w:cstheme="majorBidi"/>
          <w:sz w:val="24"/>
          <w:szCs w:val="24"/>
        </w:rPr>
        <w:t>Induc</w:t>
      </w:r>
      <w:proofErr w:type="spellEnd"/>
      <w:r w:rsidRPr="001116F7">
        <w:rPr>
          <w:rFonts w:asciiTheme="majorBidi" w:hAnsiTheme="majorBidi" w:cstheme="majorBidi"/>
          <w:sz w:val="24"/>
          <w:szCs w:val="24"/>
        </w:rPr>
        <w:t xml:space="preserve"> Dis. </w:t>
      </w:r>
      <w:proofErr w:type="gramStart"/>
      <w:r w:rsidRPr="001116F7">
        <w:rPr>
          <w:rFonts w:asciiTheme="majorBidi" w:hAnsiTheme="majorBidi" w:cstheme="majorBidi"/>
          <w:sz w:val="24"/>
          <w:szCs w:val="24"/>
        </w:rPr>
        <w:t>2019;17:46</w:t>
      </w:r>
      <w:proofErr w:type="gramEnd"/>
      <w:r w:rsidRPr="001116F7">
        <w:rPr>
          <w:rFonts w:asciiTheme="majorBidi" w:hAnsiTheme="majorBidi" w:cstheme="majorBidi"/>
          <w:sz w:val="24"/>
          <w:szCs w:val="24"/>
        </w:rPr>
        <w:t>. Published 2019 May 28. doi:10.18332/</w:t>
      </w:r>
      <w:proofErr w:type="spellStart"/>
      <w:r w:rsidRPr="001116F7">
        <w:rPr>
          <w:rFonts w:asciiTheme="majorBidi" w:hAnsiTheme="majorBidi" w:cstheme="majorBidi"/>
          <w:sz w:val="24"/>
          <w:szCs w:val="24"/>
        </w:rPr>
        <w:t>tid</w:t>
      </w:r>
      <w:proofErr w:type="spellEnd"/>
      <w:r w:rsidRPr="001116F7">
        <w:rPr>
          <w:rFonts w:asciiTheme="majorBidi" w:hAnsiTheme="majorBidi" w:cstheme="majorBidi"/>
          <w:sz w:val="24"/>
          <w:szCs w:val="24"/>
        </w:rPr>
        <w:t>/109544</w:t>
      </w:r>
      <w:r>
        <w:rPr>
          <w:rFonts w:asciiTheme="majorBidi" w:hAnsiTheme="majorBidi" w:cstheme="majorBidi"/>
          <w:sz w:val="24"/>
          <w:szCs w:val="24"/>
        </w:rPr>
        <w:t>.</w:t>
      </w:r>
    </w:p>
    <w:p w14:paraId="2017042A" w14:textId="77777777" w:rsidR="0010507B" w:rsidRPr="00631060" w:rsidRDefault="0010507B" w:rsidP="0010507B">
      <w:pPr>
        <w:pStyle w:val="ListParagraph"/>
        <w:spacing w:line="360" w:lineRule="auto"/>
        <w:ind w:left="720"/>
        <w:rPr>
          <w:rFonts w:asciiTheme="majorBidi" w:hAnsiTheme="majorBidi" w:cstheme="majorBidi"/>
          <w:sz w:val="24"/>
          <w:szCs w:val="24"/>
        </w:rPr>
      </w:pPr>
    </w:p>
    <w:sectPr w:rsidR="0010507B" w:rsidRPr="00631060" w:rsidSect="00A17587">
      <w:pgSz w:w="12240" w:h="15840"/>
      <w:pgMar w:top="993"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iza Meutia Sari" w:date="2025-06-15T22:03:00Z" w:initials="LMS">
    <w:p w14:paraId="26A25300" w14:textId="2CD869EF" w:rsidR="00B52679" w:rsidRPr="00B52679" w:rsidRDefault="00B52679">
      <w:pPr>
        <w:pStyle w:val="CommentText"/>
        <w:rPr>
          <w:lang w:val="id-ID"/>
        </w:rPr>
      </w:pPr>
      <w:r>
        <w:rPr>
          <w:rStyle w:val="CommentReference"/>
        </w:rPr>
        <w:annotationRef/>
      </w:r>
      <w:r>
        <w:rPr>
          <w:lang w:val="id-ID"/>
        </w:rPr>
        <w:t>The brain or Brain</w:t>
      </w:r>
    </w:p>
  </w:comment>
  <w:comment w:id="1" w:author="Liza Meutia Sari" w:date="2025-06-16T08:53:00Z" w:initials="LMS">
    <w:p w14:paraId="1772D8C2" w14:textId="092989EA" w:rsidR="000C6111" w:rsidRPr="000C6111" w:rsidRDefault="000C6111">
      <w:pPr>
        <w:pStyle w:val="CommentText"/>
        <w:rPr>
          <w:lang w:val="id-ID"/>
        </w:rPr>
      </w:pPr>
      <w:r>
        <w:rPr>
          <w:rStyle w:val="CommentReference"/>
        </w:rPr>
        <w:annotationRef/>
      </w:r>
      <w:r>
        <w:rPr>
          <w:lang w:val="id-ID"/>
        </w:rPr>
        <w:t xml:space="preserve"> </w:t>
      </w:r>
      <w:r>
        <w:rPr>
          <w:lang w:val="id-ID"/>
        </w:rPr>
        <w:t>stem cells is not the meaning of AT2</w:t>
      </w:r>
    </w:p>
  </w:comment>
  <w:comment w:id="2" w:author="Liza Meutia Sari" w:date="2025-06-16T08:51:00Z" w:initials="LMS">
    <w:p w14:paraId="13A69EE7" w14:textId="2B7A8CA8" w:rsidR="000C6111" w:rsidRPr="000C6111" w:rsidRDefault="000C6111">
      <w:pPr>
        <w:pStyle w:val="CommentText"/>
        <w:rPr>
          <w:lang w:val="id-ID"/>
        </w:rPr>
      </w:pPr>
      <w:r>
        <w:rPr>
          <w:rStyle w:val="CommentReference"/>
        </w:rPr>
        <w:annotationRef/>
      </w:r>
      <w:r>
        <w:rPr>
          <w:lang w:val="id-ID"/>
        </w:rPr>
        <w:t>You can mention only AT2 because you have mentioned the meaning of AT2 earlier</w:t>
      </w:r>
    </w:p>
  </w:comment>
  <w:comment w:id="3" w:author="Liza Meutia Sari" w:date="2025-06-16T08:55:00Z" w:initials="LMS">
    <w:p w14:paraId="47C07F9B" w14:textId="461A5970" w:rsidR="000C6111" w:rsidRPr="000C6111" w:rsidRDefault="000C6111">
      <w:pPr>
        <w:pStyle w:val="CommentText"/>
        <w:rPr>
          <w:lang w:val="id-ID"/>
        </w:rPr>
      </w:pPr>
      <w:r>
        <w:rPr>
          <w:rStyle w:val="CommentReference"/>
        </w:rPr>
        <w:annotationRef/>
      </w:r>
      <w:r>
        <w:rPr>
          <w:lang w:val="id-ID"/>
        </w:rPr>
        <w:t>Reference should be put in the end of the sentence not in front of the sentence</w:t>
      </w:r>
    </w:p>
  </w:comment>
  <w:comment w:id="4" w:author="Liza Meutia Sari" w:date="2025-06-16T08:56:00Z" w:initials="LMS">
    <w:p w14:paraId="7BE5E9BD" w14:textId="39BACC72" w:rsidR="000C6111" w:rsidRPr="000C6111" w:rsidRDefault="000C6111">
      <w:pPr>
        <w:pStyle w:val="CommentText"/>
        <w:rPr>
          <w:lang w:val="id-ID"/>
        </w:rPr>
      </w:pPr>
      <w:r>
        <w:rPr>
          <w:rStyle w:val="CommentReference"/>
        </w:rPr>
        <w:annotationRef/>
      </w:r>
      <w:r>
        <w:rPr>
          <w:lang w:val="id-ID"/>
        </w:rPr>
        <w:t>The reference in the end of the sentence</w:t>
      </w:r>
    </w:p>
  </w:comment>
  <w:comment w:id="5" w:author="Liza Meutia Sari" w:date="2025-06-16T08:57:00Z" w:initials="LMS">
    <w:p w14:paraId="4E4216A4" w14:textId="4A80F660" w:rsidR="000C6111" w:rsidRPr="000C6111" w:rsidRDefault="000C6111">
      <w:pPr>
        <w:pStyle w:val="CommentText"/>
        <w:rPr>
          <w:lang w:val="id-ID"/>
        </w:rPr>
      </w:pPr>
      <w:r>
        <w:rPr>
          <w:rStyle w:val="CommentReference"/>
        </w:rPr>
        <w:annotationRef/>
      </w:r>
      <w:r>
        <w:rPr>
          <w:lang w:val="id-ID"/>
        </w:rPr>
        <w:t>Emberyo or embryo</w:t>
      </w:r>
    </w:p>
  </w:comment>
  <w:comment w:id="6" w:author="Liza Meutia Sari" w:date="2025-06-16T09:32:00Z" w:initials="LMS">
    <w:p w14:paraId="2E3CE323" w14:textId="6D49BB90" w:rsidR="00462FE7" w:rsidRPr="00462FE7" w:rsidRDefault="00462FE7">
      <w:pPr>
        <w:pStyle w:val="CommentText"/>
        <w:rPr>
          <w:lang w:val="id-ID"/>
        </w:rPr>
      </w:pPr>
      <w:r>
        <w:rPr>
          <w:rStyle w:val="CommentReference"/>
        </w:rPr>
        <w:annotationRef/>
      </w:r>
      <w:r>
        <w:rPr>
          <w:lang w:val="id-ID"/>
        </w:rPr>
        <w:t>1997?</w:t>
      </w:r>
    </w:p>
  </w:comment>
  <w:comment w:id="7" w:author="Liza Meutia Sari" w:date="2025-06-16T09:33:00Z" w:initials="LMS">
    <w:p w14:paraId="40AD8191" w14:textId="2B471533" w:rsidR="00462FE7" w:rsidRPr="00462FE7" w:rsidRDefault="00462FE7">
      <w:pPr>
        <w:pStyle w:val="CommentText"/>
        <w:rPr>
          <w:lang w:val="id-ID"/>
        </w:rPr>
      </w:pPr>
      <w:r>
        <w:rPr>
          <w:rStyle w:val="CommentReference"/>
        </w:rPr>
        <w:annotationRef/>
      </w:r>
      <w:r>
        <w:rPr>
          <w:lang w:val="id-ID"/>
        </w:rPr>
        <w:t>29 years ago</w:t>
      </w:r>
    </w:p>
  </w:comment>
  <w:comment w:id="8" w:author="Liza Meutia Sari" w:date="2025-06-16T09:30:00Z" w:initials="LMS">
    <w:p w14:paraId="6BCFF93D" w14:textId="4C7B38BF" w:rsidR="00462FE7" w:rsidRPr="00462FE7" w:rsidRDefault="00462FE7">
      <w:pPr>
        <w:pStyle w:val="CommentText"/>
        <w:rPr>
          <w:lang w:val="id-ID"/>
        </w:rPr>
      </w:pPr>
      <w:r>
        <w:rPr>
          <w:rStyle w:val="CommentReference"/>
        </w:rPr>
        <w:annotationRef/>
      </w:r>
      <w:r>
        <w:rPr>
          <w:lang w:val="id-ID"/>
        </w:rPr>
        <w:t>29 years ago</w:t>
      </w:r>
    </w:p>
  </w:comment>
  <w:comment w:id="9" w:author="Liza Meutia Sari" w:date="2025-06-16T09:35:00Z" w:initials="LMS">
    <w:p w14:paraId="61051AC8" w14:textId="323E6CBC" w:rsidR="00462FE7" w:rsidRPr="00462FE7" w:rsidRDefault="00462FE7">
      <w:pPr>
        <w:pStyle w:val="CommentText"/>
        <w:rPr>
          <w:lang w:val="id-ID"/>
        </w:rPr>
      </w:pPr>
      <w:r>
        <w:rPr>
          <w:rStyle w:val="CommentReference"/>
        </w:rPr>
        <w:annotationRef/>
      </w:r>
      <w:r>
        <w:rPr>
          <w:lang w:val="id-ID"/>
        </w:rPr>
        <w:t>Not updated reference.</w:t>
      </w:r>
      <w:bookmarkStart w:id="10" w:name="_GoBack"/>
      <w:bookmarkEnd w:id="10"/>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A25300" w15:done="0"/>
  <w15:commentEx w15:paraId="1772D8C2" w15:done="0"/>
  <w15:commentEx w15:paraId="13A69EE7" w15:done="0"/>
  <w15:commentEx w15:paraId="47C07F9B" w15:done="0"/>
  <w15:commentEx w15:paraId="7BE5E9BD" w15:done="0"/>
  <w15:commentEx w15:paraId="4E4216A4" w15:done="0"/>
  <w15:commentEx w15:paraId="2E3CE323" w15:done="0"/>
  <w15:commentEx w15:paraId="40AD8191" w15:done="0"/>
  <w15:commentEx w15:paraId="6BCFF93D" w15:done="0"/>
  <w15:commentEx w15:paraId="61051A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A25300" w16cid:durableId="2BF9C1CA"/>
  <w16cid:commentId w16cid:paraId="1772D8C2" w16cid:durableId="2BFA5A22"/>
  <w16cid:commentId w16cid:paraId="13A69EE7" w16cid:durableId="2BFA597A"/>
  <w16cid:commentId w16cid:paraId="47C07F9B" w16cid:durableId="2BFA5A72"/>
  <w16cid:commentId w16cid:paraId="7BE5E9BD" w16cid:durableId="2BFA5AD5"/>
  <w16cid:commentId w16cid:paraId="4E4216A4" w16cid:durableId="2BFA5B06"/>
  <w16cid:commentId w16cid:paraId="2E3CE323" w16cid:durableId="2BFA6314"/>
  <w16cid:commentId w16cid:paraId="40AD8191" w16cid:durableId="2BFA637C"/>
  <w16cid:commentId w16cid:paraId="6BCFF93D" w16cid:durableId="2BFA62D3"/>
  <w16cid:commentId w16cid:paraId="61051AC8" w16cid:durableId="2BFA63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3BEBB" w14:textId="77777777" w:rsidR="00BA18B4" w:rsidRDefault="00BA18B4" w:rsidP="009A266A">
      <w:pPr>
        <w:spacing w:after="0" w:line="240" w:lineRule="auto"/>
      </w:pPr>
      <w:r>
        <w:separator/>
      </w:r>
    </w:p>
  </w:endnote>
  <w:endnote w:type="continuationSeparator" w:id="0">
    <w:p w14:paraId="28D3EEEB" w14:textId="77777777" w:rsidR="00BA18B4" w:rsidRDefault="00BA18B4" w:rsidP="009A2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2CD4F" w14:textId="77777777" w:rsidR="004D362F" w:rsidRDefault="004D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BEBB8" w14:textId="77777777" w:rsidR="004D362F" w:rsidRDefault="004D3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1DC6" w14:textId="77777777" w:rsidR="004D362F" w:rsidRDefault="004D3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ED1C8" w14:textId="77777777" w:rsidR="00BA18B4" w:rsidRDefault="00BA18B4" w:rsidP="009A266A">
      <w:pPr>
        <w:spacing w:after="0" w:line="240" w:lineRule="auto"/>
      </w:pPr>
      <w:r>
        <w:separator/>
      </w:r>
    </w:p>
  </w:footnote>
  <w:footnote w:type="continuationSeparator" w:id="0">
    <w:p w14:paraId="62CF7D41" w14:textId="77777777" w:rsidR="00BA18B4" w:rsidRDefault="00BA18B4" w:rsidP="009A2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A621" w14:textId="037FFEBF" w:rsidR="004D362F" w:rsidRDefault="00BA18B4">
    <w:pPr>
      <w:pStyle w:val="Header"/>
    </w:pPr>
    <w:r>
      <w:rPr>
        <w:noProof/>
      </w:rPr>
      <w:pict w14:anchorId="2A07A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6.55pt;height:9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1FBC" w14:textId="79A55266" w:rsidR="004D362F" w:rsidRDefault="00BA18B4">
    <w:pPr>
      <w:pStyle w:val="Header"/>
    </w:pPr>
    <w:r>
      <w:rPr>
        <w:noProof/>
      </w:rPr>
      <w:pict w14:anchorId="17823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6.55pt;height:9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FBECF" w14:textId="6AD8522D" w:rsidR="004D362F" w:rsidRDefault="00BA18B4">
    <w:pPr>
      <w:pStyle w:val="Header"/>
    </w:pPr>
    <w:r>
      <w:rPr>
        <w:noProof/>
      </w:rPr>
      <w:pict w14:anchorId="48908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6.55pt;height:93.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9334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0676B"/>
    <w:multiLevelType w:val="hybridMultilevel"/>
    <w:tmpl w:val="62AA98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91F84"/>
    <w:multiLevelType w:val="hybridMultilevel"/>
    <w:tmpl w:val="7D9EA1EE"/>
    <w:lvl w:ilvl="0" w:tplc="A05C7D9A">
      <w:start w:val="51"/>
      <w:numFmt w:val="decimal"/>
      <w:lvlText w:val="%1."/>
      <w:lvlJc w:val="left"/>
      <w:pPr>
        <w:ind w:left="456" w:hanging="341"/>
      </w:pPr>
      <w:rPr>
        <w:rFonts w:ascii="Times New Roman" w:eastAsia="Times New Roman" w:hAnsi="Times New Roman" w:cs="Times New Roman" w:hint="default"/>
        <w:spacing w:val="3"/>
        <w:w w:val="100"/>
        <w:sz w:val="24"/>
        <w:szCs w:val="24"/>
        <w:lang w:val="en-US" w:eastAsia="en-US" w:bidi="ar-SA"/>
      </w:rPr>
    </w:lvl>
    <w:lvl w:ilvl="1" w:tplc="11E85AA6">
      <w:numFmt w:val="bullet"/>
      <w:lvlText w:val="•"/>
      <w:lvlJc w:val="left"/>
      <w:pPr>
        <w:ind w:left="1324" w:hanging="341"/>
      </w:pPr>
      <w:rPr>
        <w:rFonts w:hint="default"/>
        <w:lang w:val="en-US" w:eastAsia="en-US" w:bidi="ar-SA"/>
      </w:rPr>
    </w:lvl>
    <w:lvl w:ilvl="2" w:tplc="228009C6">
      <w:numFmt w:val="bullet"/>
      <w:lvlText w:val="•"/>
      <w:lvlJc w:val="left"/>
      <w:pPr>
        <w:ind w:left="2188" w:hanging="341"/>
      </w:pPr>
      <w:rPr>
        <w:rFonts w:hint="default"/>
        <w:lang w:val="en-US" w:eastAsia="en-US" w:bidi="ar-SA"/>
      </w:rPr>
    </w:lvl>
    <w:lvl w:ilvl="3" w:tplc="39BC5404">
      <w:numFmt w:val="bullet"/>
      <w:lvlText w:val="•"/>
      <w:lvlJc w:val="left"/>
      <w:pPr>
        <w:ind w:left="3052" w:hanging="341"/>
      </w:pPr>
      <w:rPr>
        <w:rFonts w:hint="default"/>
        <w:lang w:val="en-US" w:eastAsia="en-US" w:bidi="ar-SA"/>
      </w:rPr>
    </w:lvl>
    <w:lvl w:ilvl="4" w:tplc="775688E8">
      <w:numFmt w:val="bullet"/>
      <w:lvlText w:val="•"/>
      <w:lvlJc w:val="left"/>
      <w:pPr>
        <w:ind w:left="3916" w:hanging="341"/>
      </w:pPr>
      <w:rPr>
        <w:rFonts w:hint="default"/>
        <w:lang w:val="en-US" w:eastAsia="en-US" w:bidi="ar-SA"/>
      </w:rPr>
    </w:lvl>
    <w:lvl w:ilvl="5" w:tplc="CB9E0BE8">
      <w:numFmt w:val="bullet"/>
      <w:lvlText w:val="•"/>
      <w:lvlJc w:val="left"/>
      <w:pPr>
        <w:ind w:left="4780" w:hanging="341"/>
      </w:pPr>
      <w:rPr>
        <w:rFonts w:hint="default"/>
        <w:lang w:val="en-US" w:eastAsia="en-US" w:bidi="ar-SA"/>
      </w:rPr>
    </w:lvl>
    <w:lvl w:ilvl="6" w:tplc="396C3A70">
      <w:numFmt w:val="bullet"/>
      <w:lvlText w:val="•"/>
      <w:lvlJc w:val="left"/>
      <w:pPr>
        <w:ind w:left="5644" w:hanging="341"/>
      </w:pPr>
      <w:rPr>
        <w:rFonts w:hint="default"/>
        <w:lang w:val="en-US" w:eastAsia="en-US" w:bidi="ar-SA"/>
      </w:rPr>
    </w:lvl>
    <w:lvl w:ilvl="7" w:tplc="3004862C">
      <w:numFmt w:val="bullet"/>
      <w:lvlText w:val="•"/>
      <w:lvlJc w:val="left"/>
      <w:pPr>
        <w:ind w:left="6508" w:hanging="341"/>
      </w:pPr>
      <w:rPr>
        <w:rFonts w:hint="default"/>
        <w:lang w:val="en-US" w:eastAsia="en-US" w:bidi="ar-SA"/>
      </w:rPr>
    </w:lvl>
    <w:lvl w:ilvl="8" w:tplc="ECECD08C">
      <w:numFmt w:val="bullet"/>
      <w:lvlText w:val="•"/>
      <w:lvlJc w:val="left"/>
      <w:pPr>
        <w:ind w:left="7372" w:hanging="341"/>
      </w:pPr>
      <w:rPr>
        <w:rFonts w:hint="default"/>
        <w:lang w:val="en-US" w:eastAsia="en-US" w:bidi="ar-SA"/>
      </w:rPr>
    </w:lvl>
  </w:abstractNum>
  <w:abstractNum w:abstractNumId="3" w15:restartNumberingAfterBreak="0">
    <w:nsid w:val="0D3F5641"/>
    <w:multiLevelType w:val="hybridMultilevel"/>
    <w:tmpl w:val="9AD43506"/>
    <w:lvl w:ilvl="0" w:tplc="929618C8">
      <w:start w:val="1"/>
      <w:numFmt w:val="decimal"/>
      <w:lvlText w:val="%1."/>
      <w:lvlJc w:val="left"/>
      <w:pPr>
        <w:ind w:left="341" w:hanging="341"/>
      </w:pPr>
      <w:rPr>
        <w:rFonts w:hint="default"/>
        <w:spacing w:val="0"/>
        <w:w w:val="100"/>
        <w:lang w:val="en-US" w:eastAsia="en-US" w:bidi="ar-SA"/>
      </w:rPr>
    </w:lvl>
    <w:lvl w:ilvl="1" w:tplc="359E66CE">
      <w:numFmt w:val="bullet"/>
      <w:lvlText w:val="•"/>
      <w:lvlJc w:val="left"/>
      <w:pPr>
        <w:ind w:left="1324" w:hanging="341"/>
      </w:pPr>
      <w:rPr>
        <w:rFonts w:hint="default"/>
        <w:lang w:val="en-US" w:eastAsia="en-US" w:bidi="ar-SA"/>
      </w:rPr>
    </w:lvl>
    <w:lvl w:ilvl="2" w:tplc="56AEEB28">
      <w:numFmt w:val="bullet"/>
      <w:lvlText w:val="•"/>
      <w:lvlJc w:val="left"/>
      <w:pPr>
        <w:ind w:left="2188" w:hanging="341"/>
      </w:pPr>
      <w:rPr>
        <w:rFonts w:hint="default"/>
        <w:lang w:val="en-US" w:eastAsia="en-US" w:bidi="ar-SA"/>
      </w:rPr>
    </w:lvl>
    <w:lvl w:ilvl="3" w:tplc="0E5C4F96">
      <w:numFmt w:val="bullet"/>
      <w:lvlText w:val="•"/>
      <w:lvlJc w:val="left"/>
      <w:pPr>
        <w:ind w:left="3052" w:hanging="341"/>
      </w:pPr>
      <w:rPr>
        <w:rFonts w:hint="default"/>
        <w:lang w:val="en-US" w:eastAsia="en-US" w:bidi="ar-SA"/>
      </w:rPr>
    </w:lvl>
    <w:lvl w:ilvl="4" w:tplc="A85EB1BA">
      <w:numFmt w:val="bullet"/>
      <w:lvlText w:val="•"/>
      <w:lvlJc w:val="left"/>
      <w:pPr>
        <w:ind w:left="3916" w:hanging="341"/>
      </w:pPr>
      <w:rPr>
        <w:rFonts w:hint="default"/>
        <w:lang w:val="en-US" w:eastAsia="en-US" w:bidi="ar-SA"/>
      </w:rPr>
    </w:lvl>
    <w:lvl w:ilvl="5" w:tplc="AB6A7FE8">
      <w:numFmt w:val="bullet"/>
      <w:lvlText w:val="•"/>
      <w:lvlJc w:val="left"/>
      <w:pPr>
        <w:ind w:left="4780" w:hanging="341"/>
      </w:pPr>
      <w:rPr>
        <w:rFonts w:hint="default"/>
        <w:lang w:val="en-US" w:eastAsia="en-US" w:bidi="ar-SA"/>
      </w:rPr>
    </w:lvl>
    <w:lvl w:ilvl="6" w:tplc="8668D14E">
      <w:numFmt w:val="bullet"/>
      <w:lvlText w:val="•"/>
      <w:lvlJc w:val="left"/>
      <w:pPr>
        <w:ind w:left="5644" w:hanging="341"/>
      </w:pPr>
      <w:rPr>
        <w:rFonts w:hint="default"/>
        <w:lang w:val="en-US" w:eastAsia="en-US" w:bidi="ar-SA"/>
      </w:rPr>
    </w:lvl>
    <w:lvl w:ilvl="7" w:tplc="1D8E57D8">
      <w:numFmt w:val="bullet"/>
      <w:lvlText w:val="•"/>
      <w:lvlJc w:val="left"/>
      <w:pPr>
        <w:ind w:left="6508" w:hanging="341"/>
      </w:pPr>
      <w:rPr>
        <w:rFonts w:hint="default"/>
        <w:lang w:val="en-US" w:eastAsia="en-US" w:bidi="ar-SA"/>
      </w:rPr>
    </w:lvl>
    <w:lvl w:ilvl="8" w:tplc="743232C4">
      <w:numFmt w:val="bullet"/>
      <w:lvlText w:val="•"/>
      <w:lvlJc w:val="left"/>
      <w:pPr>
        <w:ind w:left="7372" w:hanging="341"/>
      </w:pPr>
      <w:rPr>
        <w:rFonts w:hint="default"/>
        <w:lang w:val="en-US" w:eastAsia="en-US" w:bidi="ar-SA"/>
      </w:rPr>
    </w:lvl>
  </w:abstractNum>
  <w:abstractNum w:abstractNumId="4" w15:restartNumberingAfterBreak="0">
    <w:nsid w:val="0F667A3F"/>
    <w:multiLevelType w:val="hybridMultilevel"/>
    <w:tmpl w:val="4588C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21AD0"/>
    <w:multiLevelType w:val="hybridMultilevel"/>
    <w:tmpl w:val="AE6E6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40204"/>
    <w:multiLevelType w:val="multilevel"/>
    <w:tmpl w:val="49883DAC"/>
    <w:lvl w:ilvl="0">
      <w:start w:val="3"/>
      <w:numFmt w:val="decimal"/>
      <w:lvlText w:val="%1-"/>
      <w:lvlJc w:val="left"/>
      <w:pPr>
        <w:ind w:left="778" w:hanging="322"/>
      </w:pPr>
      <w:rPr>
        <w:rFonts w:ascii="Times New Roman" w:eastAsia="Times New Roman" w:hAnsi="Times New Roman" w:cs="Times New Roman" w:hint="default"/>
        <w:b/>
        <w:bCs/>
        <w:spacing w:val="0"/>
        <w:w w:val="100"/>
        <w:sz w:val="30"/>
        <w:szCs w:val="30"/>
        <w:lang w:val="en-US" w:eastAsia="en-US" w:bidi="ar-SA"/>
      </w:rPr>
    </w:lvl>
    <w:lvl w:ilvl="1">
      <w:start w:val="1"/>
      <w:numFmt w:val="decimal"/>
      <w:lvlText w:val="%1-%2"/>
      <w:lvlJc w:val="left"/>
      <w:pPr>
        <w:ind w:left="418" w:hanging="418"/>
      </w:pPr>
      <w:rPr>
        <w:rFonts w:ascii="Times New Roman" w:eastAsia="Times New Roman" w:hAnsi="Times New Roman" w:cs="Times New Roman" w:hint="default"/>
        <w:b/>
        <w:bCs/>
        <w:spacing w:val="-1"/>
        <w:w w:val="100"/>
        <w:sz w:val="26"/>
        <w:szCs w:val="26"/>
        <w:lang w:val="en-US" w:eastAsia="en-US" w:bidi="ar-SA"/>
      </w:rPr>
    </w:lvl>
    <w:lvl w:ilvl="2">
      <w:start w:val="1"/>
      <w:numFmt w:val="decimal"/>
      <w:lvlText w:val="%1-%2-%3"/>
      <w:lvlJc w:val="left"/>
      <w:pPr>
        <w:ind w:left="1100" w:hanging="644"/>
        <w:jc w:val="right"/>
      </w:pPr>
      <w:rPr>
        <w:rFonts w:ascii="Times New Roman" w:eastAsia="Times New Roman" w:hAnsi="Times New Roman" w:cs="Times New Roman" w:hint="default"/>
        <w:b/>
        <w:bCs/>
        <w:spacing w:val="-1"/>
        <w:w w:val="100"/>
        <w:sz w:val="26"/>
        <w:szCs w:val="26"/>
        <w:lang w:val="en-US" w:eastAsia="en-US" w:bidi="ar-SA"/>
      </w:rPr>
    </w:lvl>
    <w:lvl w:ilvl="3">
      <w:numFmt w:val="bullet"/>
      <w:lvlText w:val="•"/>
      <w:lvlJc w:val="left"/>
      <w:pPr>
        <w:ind w:left="2100" w:hanging="644"/>
      </w:pPr>
      <w:rPr>
        <w:rFonts w:hint="default"/>
        <w:lang w:val="en-US" w:eastAsia="en-US" w:bidi="ar-SA"/>
      </w:rPr>
    </w:lvl>
    <w:lvl w:ilvl="4">
      <w:numFmt w:val="bullet"/>
      <w:lvlText w:val="•"/>
      <w:lvlJc w:val="left"/>
      <w:pPr>
        <w:ind w:left="3100" w:hanging="644"/>
      </w:pPr>
      <w:rPr>
        <w:rFonts w:hint="default"/>
        <w:lang w:val="en-US" w:eastAsia="en-US" w:bidi="ar-SA"/>
      </w:rPr>
    </w:lvl>
    <w:lvl w:ilvl="5">
      <w:numFmt w:val="bullet"/>
      <w:lvlText w:val="•"/>
      <w:lvlJc w:val="left"/>
      <w:pPr>
        <w:ind w:left="4100" w:hanging="644"/>
      </w:pPr>
      <w:rPr>
        <w:rFonts w:hint="default"/>
        <w:lang w:val="en-US" w:eastAsia="en-US" w:bidi="ar-SA"/>
      </w:rPr>
    </w:lvl>
    <w:lvl w:ilvl="6">
      <w:numFmt w:val="bullet"/>
      <w:lvlText w:val="•"/>
      <w:lvlJc w:val="left"/>
      <w:pPr>
        <w:ind w:left="5100" w:hanging="644"/>
      </w:pPr>
      <w:rPr>
        <w:rFonts w:hint="default"/>
        <w:lang w:val="en-US" w:eastAsia="en-US" w:bidi="ar-SA"/>
      </w:rPr>
    </w:lvl>
    <w:lvl w:ilvl="7">
      <w:numFmt w:val="bullet"/>
      <w:lvlText w:val="•"/>
      <w:lvlJc w:val="left"/>
      <w:pPr>
        <w:ind w:left="6100" w:hanging="644"/>
      </w:pPr>
      <w:rPr>
        <w:rFonts w:hint="default"/>
        <w:lang w:val="en-US" w:eastAsia="en-US" w:bidi="ar-SA"/>
      </w:rPr>
    </w:lvl>
    <w:lvl w:ilvl="8">
      <w:numFmt w:val="bullet"/>
      <w:lvlText w:val="•"/>
      <w:lvlJc w:val="left"/>
      <w:pPr>
        <w:ind w:left="7100" w:hanging="644"/>
      </w:pPr>
      <w:rPr>
        <w:rFonts w:hint="default"/>
        <w:lang w:val="en-US" w:eastAsia="en-US" w:bidi="ar-SA"/>
      </w:rPr>
    </w:lvl>
  </w:abstractNum>
  <w:abstractNum w:abstractNumId="7" w15:restartNumberingAfterBreak="0">
    <w:nsid w:val="1A1E2CDD"/>
    <w:multiLevelType w:val="multilevel"/>
    <w:tmpl w:val="C13C990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953F6"/>
    <w:multiLevelType w:val="hybridMultilevel"/>
    <w:tmpl w:val="19CE3DC0"/>
    <w:lvl w:ilvl="0" w:tplc="72E2E66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D32A0"/>
    <w:multiLevelType w:val="multilevel"/>
    <w:tmpl w:val="9C9CA22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1A83"/>
    <w:multiLevelType w:val="hybridMultilevel"/>
    <w:tmpl w:val="80AA6838"/>
    <w:lvl w:ilvl="0" w:tplc="8286CC94">
      <w:numFmt w:val="none"/>
      <w:lvlText w:val=""/>
      <w:lvlJc w:val="left"/>
      <w:pPr>
        <w:tabs>
          <w:tab w:val="num" w:pos="360"/>
        </w:tabs>
        <w:ind w:left="0" w:firstLine="0"/>
      </w:pPr>
    </w:lvl>
    <w:lvl w:ilvl="1" w:tplc="F79CA9C6">
      <w:numFmt w:val="bullet"/>
      <w:lvlText w:val="•"/>
      <w:lvlJc w:val="left"/>
      <w:pPr>
        <w:ind w:left="2846" w:hanging="492"/>
      </w:pPr>
      <w:rPr>
        <w:lang w:val="en-US" w:eastAsia="en-US" w:bidi="ar-SA"/>
      </w:rPr>
    </w:lvl>
    <w:lvl w:ilvl="2" w:tplc="BE2AE326">
      <w:numFmt w:val="bullet"/>
      <w:lvlText w:val="•"/>
      <w:lvlJc w:val="left"/>
      <w:pPr>
        <w:ind w:left="3753" w:hanging="492"/>
      </w:pPr>
      <w:rPr>
        <w:lang w:val="en-US" w:eastAsia="en-US" w:bidi="ar-SA"/>
      </w:rPr>
    </w:lvl>
    <w:lvl w:ilvl="3" w:tplc="EC78540E">
      <w:numFmt w:val="bullet"/>
      <w:lvlText w:val="•"/>
      <w:lvlJc w:val="left"/>
      <w:pPr>
        <w:ind w:left="4659" w:hanging="492"/>
      </w:pPr>
      <w:rPr>
        <w:lang w:val="en-US" w:eastAsia="en-US" w:bidi="ar-SA"/>
      </w:rPr>
    </w:lvl>
    <w:lvl w:ilvl="4" w:tplc="21D8E630">
      <w:numFmt w:val="bullet"/>
      <w:lvlText w:val="•"/>
      <w:lvlJc w:val="left"/>
      <w:pPr>
        <w:ind w:left="5566" w:hanging="492"/>
      </w:pPr>
      <w:rPr>
        <w:lang w:val="en-US" w:eastAsia="en-US" w:bidi="ar-SA"/>
      </w:rPr>
    </w:lvl>
    <w:lvl w:ilvl="5" w:tplc="4CE09E62">
      <w:numFmt w:val="bullet"/>
      <w:lvlText w:val="•"/>
      <w:lvlJc w:val="left"/>
      <w:pPr>
        <w:ind w:left="6473" w:hanging="492"/>
      </w:pPr>
      <w:rPr>
        <w:lang w:val="en-US" w:eastAsia="en-US" w:bidi="ar-SA"/>
      </w:rPr>
    </w:lvl>
    <w:lvl w:ilvl="6" w:tplc="8FB22882">
      <w:numFmt w:val="bullet"/>
      <w:lvlText w:val="•"/>
      <w:lvlJc w:val="left"/>
      <w:pPr>
        <w:ind w:left="7379" w:hanging="492"/>
      </w:pPr>
      <w:rPr>
        <w:lang w:val="en-US" w:eastAsia="en-US" w:bidi="ar-SA"/>
      </w:rPr>
    </w:lvl>
    <w:lvl w:ilvl="7" w:tplc="890E3E9C">
      <w:numFmt w:val="bullet"/>
      <w:lvlText w:val="•"/>
      <w:lvlJc w:val="left"/>
      <w:pPr>
        <w:ind w:left="8286" w:hanging="492"/>
      </w:pPr>
      <w:rPr>
        <w:lang w:val="en-US" w:eastAsia="en-US" w:bidi="ar-SA"/>
      </w:rPr>
    </w:lvl>
    <w:lvl w:ilvl="8" w:tplc="300EE76C">
      <w:numFmt w:val="bullet"/>
      <w:lvlText w:val="•"/>
      <w:lvlJc w:val="left"/>
      <w:pPr>
        <w:ind w:left="9193" w:hanging="492"/>
      </w:pPr>
      <w:rPr>
        <w:lang w:val="en-US" w:eastAsia="en-US" w:bidi="ar-SA"/>
      </w:rPr>
    </w:lvl>
  </w:abstractNum>
  <w:abstractNum w:abstractNumId="11" w15:restartNumberingAfterBreak="0">
    <w:nsid w:val="1FFB1845"/>
    <w:multiLevelType w:val="hybridMultilevel"/>
    <w:tmpl w:val="720255EA"/>
    <w:lvl w:ilvl="0" w:tplc="69C08286">
      <w:numFmt w:val="bullet"/>
      <w:lvlText w:val="-"/>
      <w:lvlJc w:val="left"/>
      <w:pPr>
        <w:ind w:left="456" w:hanging="154"/>
      </w:pPr>
      <w:rPr>
        <w:rFonts w:ascii="Times New Roman" w:eastAsia="Times New Roman" w:hAnsi="Times New Roman" w:cs="Times New Roman" w:hint="default"/>
        <w:w w:val="100"/>
        <w:sz w:val="26"/>
        <w:szCs w:val="26"/>
        <w:lang w:val="en-US" w:eastAsia="en-US" w:bidi="ar-SA"/>
      </w:rPr>
    </w:lvl>
    <w:lvl w:ilvl="1" w:tplc="BCA0D94A">
      <w:numFmt w:val="bullet"/>
      <w:lvlText w:val="•"/>
      <w:lvlJc w:val="left"/>
      <w:pPr>
        <w:ind w:left="1324" w:hanging="154"/>
      </w:pPr>
      <w:rPr>
        <w:rFonts w:hint="default"/>
        <w:lang w:val="en-US" w:eastAsia="en-US" w:bidi="ar-SA"/>
      </w:rPr>
    </w:lvl>
    <w:lvl w:ilvl="2" w:tplc="6D26C352">
      <w:numFmt w:val="bullet"/>
      <w:lvlText w:val="•"/>
      <w:lvlJc w:val="left"/>
      <w:pPr>
        <w:ind w:left="2188" w:hanging="154"/>
      </w:pPr>
      <w:rPr>
        <w:rFonts w:hint="default"/>
        <w:lang w:val="en-US" w:eastAsia="en-US" w:bidi="ar-SA"/>
      </w:rPr>
    </w:lvl>
    <w:lvl w:ilvl="3" w:tplc="9F446710">
      <w:numFmt w:val="bullet"/>
      <w:lvlText w:val="•"/>
      <w:lvlJc w:val="left"/>
      <w:pPr>
        <w:ind w:left="3052" w:hanging="154"/>
      </w:pPr>
      <w:rPr>
        <w:rFonts w:hint="default"/>
        <w:lang w:val="en-US" w:eastAsia="en-US" w:bidi="ar-SA"/>
      </w:rPr>
    </w:lvl>
    <w:lvl w:ilvl="4" w:tplc="3F9E17AA">
      <w:numFmt w:val="bullet"/>
      <w:lvlText w:val="•"/>
      <w:lvlJc w:val="left"/>
      <w:pPr>
        <w:ind w:left="3916" w:hanging="154"/>
      </w:pPr>
      <w:rPr>
        <w:rFonts w:hint="default"/>
        <w:lang w:val="en-US" w:eastAsia="en-US" w:bidi="ar-SA"/>
      </w:rPr>
    </w:lvl>
    <w:lvl w:ilvl="5" w:tplc="28A0E48E">
      <w:numFmt w:val="bullet"/>
      <w:lvlText w:val="•"/>
      <w:lvlJc w:val="left"/>
      <w:pPr>
        <w:ind w:left="4780" w:hanging="154"/>
      </w:pPr>
      <w:rPr>
        <w:rFonts w:hint="default"/>
        <w:lang w:val="en-US" w:eastAsia="en-US" w:bidi="ar-SA"/>
      </w:rPr>
    </w:lvl>
    <w:lvl w:ilvl="6" w:tplc="ADA055BA">
      <w:numFmt w:val="bullet"/>
      <w:lvlText w:val="•"/>
      <w:lvlJc w:val="left"/>
      <w:pPr>
        <w:ind w:left="5644" w:hanging="154"/>
      </w:pPr>
      <w:rPr>
        <w:rFonts w:hint="default"/>
        <w:lang w:val="en-US" w:eastAsia="en-US" w:bidi="ar-SA"/>
      </w:rPr>
    </w:lvl>
    <w:lvl w:ilvl="7" w:tplc="3084B072">
      <w:numFmt w:val="bullet"/>
      <w:lvlText w:val="•"/>
      <w:lvlJc w:val="left"/>
      <w:pPr>
        <w:ind w:left="6508" w:hanging="154"/>
      </w:pPr>
      <w:rPr>
        <w:rFonts w:hint="default"/>
        <w:lang w:val="en-US" w:eastAsia="en-US" w:bidi="ar-SA"/>
      </w:rPr>
    </w:lvl>
    <w:lvl w:ilvl="8" w:tplc="865014B8">
      <w:numFmt w:val="bullet"/>
      <w:lvlText w:val="•"/>
      <w:lvlJc w:val="left"/>
      <w:pPr>
        <w:ind w:left="7372" w:hanging="154"/>
      </w:pPr>
      <w:rPr>
        <w:rFonts w:hint="default"/>
        <w:lang w:val="en-US" w:eastAsia="en-US" w:bidi="ar-SA"/>
      </w:rPr>
    </w:lvl>
  </w:abstractNum>
  <w:abstractNum w:abstractNumId="12" w15:restartNumberingAfterBreak="0">
    <w:nsid w:val="20906368"/>
    <w:multiLevelType w:val="hybridMultilevel"/>
    <w:tmpl w:val="9496A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2718A"/>
    <w:multiLevelType w:val="hybridMultilevel"/>
    <w:tmpl w:val="8D80F8FE"/>
    <w:lvl w:ilvl="0" w:tplc="E34EDE92">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4" w15:restartNumberingAfterBreak="0">
    <w:nsid w:val="317C2E01"/>
    <w:multiLevelType w:val="hybridMultilevel"/>
    <w:tmpl w:val="492EC9F4"/>
    <w:lvl w:ilvl="0" w:tplc="C56E8C28">
      <w:start w:val="1"/>
      <w:numFmt w:val="arabicAbjad"/>
      <w:lvlText w:val="%1-"/>
      <w:lvlJc w:val="center"/>
      <w:pPr>
        <w:tabs>
          <w:tab w:val="num" w:pos="0"/>
        </w:tabs>
        <w:ind w:left="1800"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5" w15:restartNumberingAfterBreak="0">
    <w:nsid w:val="34F67E76"/>
    <w:multiLevelType w:val="hybridMultilevel"/>
    <w:tmpl w:val="9F7243AE"/>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6" w15:restartNumberingAfterBreak="0">
    <w:nsid w:val="39F36678"/>
    <w:multiLevelType w:val="hybridMultilevel"/>
    <w:tmpl w:val="31922592"/>
    <w:lvl w:ilvl="0" w:tplc="BADCFA68">
      <w:numFmt w:val="none"/>
      <w:lvlText w:val=""/>
      <w:lvlJc w:val="left"/>
      <w:pPr>
        <w:tabs>
          <w:tab w:val="num" w:pos="360"/>
        </w:tabs>
        <w:ind w:left="0" w:firstLine="0"/>
      </w:pPr>
    </w:lvl>
    <w:lvl w:ilvl="1" w:tplc="FEC2F3E0">
      <w:numFmt w:val="bullet"/>
      <w:lvlText w:val="•"/>
      <w:lvlJc w:val="left"/>
      <w:pPr>
        <w:ind w:left="2846" w:hanging="492"/>
      </w:pPr>
      <w:rPr>
        <w:lang w:val="en-US" w:eastAsia="en-US" w:bidi="ar-SA"/>
      </w:rPr>
    </w:lvl>
    <w:lvl w:ilvl="2" w:tplc="9DB6DC56">
      <w:numFmt w:val="bullet"/>
      <w:lvlText w:val="•"/>
      <w:lvlJc w:val="left"/>
      <w:pPr>
        <w:ind w:left="3753" w:hanging="492"/>
      </w:pPr>
      <w:rPr>
        <w:lang w:val="en-US" w:eastAsia="en-US" w:bidi="ar-SA"/>
      </w:rPr>
    </w:lvl>
    <w:lvl w:ilvl="3" w:tplc="8BFE12DC">
      <w:numFmt w:val="bullet"/>
      <w:lvlText w:val="•"/>
      <w:lvlJc w:val="left"/>
      <w:pPr>
        <w:ind w:left="4659" w:hanging="492"/>
      </w:pPr>
      <w:rPr>
        <w:lang w:val="en-US" w:eastAsia="en-US" w:bidi="ar-SA"/>
      </w:rPr>
    </w:lvl>
    <w:lvl w:ilvl="4" w:tplc="02245704">
      <w:numFmt w:val="bullet"/>
      <w:lvlText w:val="•"/>
      <w:lvlJc w:val="left"/>
      <w:pPr>
        <w:ind w:left="5566" w:hanging="492"/>
      </w:pPr>
      <w:rPr>
        <w:lang w:val="en-US" w:eastAsia="en-US" w:bidi="ar-SA"/>
      </w:rPr>
    </w:lvl>
    <w:lvl w:ilvl="5" w:tplc="C4FED7EC">
      <w:numFmt w:val="bullet"/>
      <w:lvlText w:val="•"/>
      <w:lvlJc w:val="left"/>
      <w:pPr>
        <w:ind w:left="6473" w:hanging="492"/>
      </w:pPr>
      <w:rPr>
        <w:lang w:val="en-US" w:eastAsia="en-US" w:bidi="ar-SA"/>
      </w:rPr>
    </w:lvl>
    <w:lvl w:ilvl="6" w:tplc="1312FDE0">
      <w:numFmt w:val="bullet"/>
      <w:lvlText w:val="•"/>
      <w:lvlJc w:val="left"/>
      <w:pPr>
        <w:ind w:left="7379" w:hanging="492"/>
      </w:pPr>
      <w:rPr>
        <w:lang w:val="en-US" w:eastAsia="en-US" w:bidi="ar-SA"/>
      </w:rPr>
    </w:lvl>
    <w:lvl w:ilvl="7" w:tplc="0AE2C0DA">
      <w:numFmt w:val="bullet"/>
      <w:lvlText w:val="•"/>
      <w:lvlJc w:val="left"/>
      <w:pPr>
        <w:ind w:left="8286" w:hanging="492"/>
      </w:pPr>
      <w:rPr>
        <w:lang w:val="en-US" w:eastAsia="en-US" w:bidi="ar-SA"/>
      </w:rPr>
    </w:lvl>
    <w:lvl w:ilvl="8" w:tplc="DD36F554">
      <w:numFmt w:val="bullet"/>
      <w:lvlText w:val="•"/>
      <w:lvlJc w:val="left"/>
      <w:pPr>
        <w:ind w:left="9193" w:hanging="492"/>
      </w:pPr>
      <w:rPr>
        <w:lang w:val="en-US" w:eastAsia="en-US" w:bidi="ar-SA"/>
      </w:rPr>
    </w:lvl>
  </w:abstractNum>
  <w:abstractNum w:abstractNumId="17" w15:restartNumberingAfterBreak="0">
    <w:nsid w:val="3B695A10"/>
    <w:multiLevelType w:val="hybridMultilevel"/>
    <w:tmpl w:val="CEE48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B3D06"/>
    <w:multiLevelType w:val="hybridMultilevel"/>
    <w:tmpl w:val="A99AF9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971AF"/>
    <w:multiLevelType w:val="hybridMultilevel"/>
    <w:tmpl w:val="0A6A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80E0E"/>
    <w:multiLevelType w:val="hybridMultilevel"/>
    <w:tmpl w:val="DFE883DC"/>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1" w15:restartNumberingAfterBreak="0">
    <w:nsid w:val="51A31B2D"/>
    <w:multiLevelType w:val="hybridMultilevel"/>
    <w:tmpl w:val="E2628AE0"/>
    <w:lvl w:ilvl="0" w:tplc="7D4AEB32">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2" w15:restartNumberingAfterBreak="0">
    <w:nsid w:val="51CE08AB"/>
    <w:multiLevelType w:val="hybridMultilevel"/>
    <w:tmpl w:val="0B643D7A"/>
    <w:lvl w:ilvl="0" w:tplc="34C24C7A">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3" w15:restartNumberingAfterBreak="0">
    <w:nsid w:val="51EA5287"/>
    <w:multiLevelType w:val="hybridMultilevel"/>
    <w:tmpl w:val="8214ABC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E8513C"/>
    <w:multiLevelType w:val="hybridMultilevel"/>
    <w:tmpl w:val="1848F4C4"/>
    <w:lvl w:ilvl="0" w:tplc="A0766B44">
      <w:start w:val="5"/>
      <w:numFmt w:val="decimal"/>
      <w:lvlText w:val="%1"/>
      <w:lvlJc w:val="left"/>
      <w:pPr>
        <w:ind w:left="931" w:hanging="476"/>
      </w:pPr>
      <w:rPr>
        <w:rFonts w:hint="default"/>
        <w:lang w:val="en-US" w:eastAsia="en-US" w:bidi="ar-SA"/>
      </w:rPr>
    </w:lvl>
    <w:lvl w:ilvl="1" w:tplc="A7363168">
      <w:numFmt w:val="none"/>
      <w:lvlText w:val=""/>
      <w:lvlJc w:val="left"/>
      <w:pPr>
        <w:tabs>
          <w:tab w:val="num" w:pos="360"/>
        </w:tabs>
      </w:pPr>
    </w:lvl>
    <w:lvl w:ilvl="2" w:tplc="D2A49946">
      <w:numFmt w:val="bullet"/>
      <w:lvlText w:val=""/>
      <w:lvlJc w:val="left"/>
      <w:pPr>
        <w:ind w:left="1306" w:hanging="341"/>
      </w:pPr>
      <w:rPr>
        <w:rFonts w:ascii="Wingdings" w:eastAsia="Wingdings" w:hAnsi="Wingdings" w:cs="Wingdings" w:hint="default"/>
        <w:w w:val="100"/>
        <w:sz w:val="26"/>
        <w:szCs w:val="26"/>
        <w:lang w:val="en-US" w:eastAsia="en-US" w:bidi="ar-SA"/>
      </w:rPr>
    </w:lvl>
    <w:lvl w:ilvl="3" w:tplc="A4862D4C">
      <w:numFmt w:val="bullet"/>
      <w:lvlText w:val="•"/>
      <w:lvlJc w:val="left"/>
      <w:pPr>
        <w:ind w:left="3033" w:hanging="341"/>
      </w:pPr>
      <w:rPr>
        <w:rFonts w:hint="default"/>
        <w:lang w:val="en-US" w:eastAsia="en-US" w:bidi="ar-SA"/>
      </w:rPr>
    </w:lvl>
    <w:lvl w:ilvl="4" w:tplc="35F8CEFC">
      <w:numFmt w:val="bullet"/>
      <w:lvlText w:val="•"/>
      <w:lvlJc w:val="left"/>
      <w:pPr>
        <w:ind w:left="3900" w:hanging="341"/>
      </w:pPr>
      <w:rPr>
        <w:rFonts w:hint="default"/>
        <w:lang w:val="en-US" w:eastAsia="en-US" w:bidi="ar-SA"/>
      </w:rPr>
    </w:lvl>
    <w:lvl w:ilvl="5" w:tplc="11F0857C">
      <w:numFmt w:val="bullet"/>
      <w:lvlText w:val="•"/>
      <w:lvlJc w:val="left"/>
      <w:pPr>
        <w:ind w:left="4766" w:hanging="341"/>
      </w:pPr>
      <w:rPr>
        <w:rFonts w:hint="default"/>
        <w:lang w:val="en-US" w:eastAsia="en-US" w:bidi="ar-SA"/>
      </w:rPr>
    </w:lvl>
    <w:lvl w:ilvl="6" w:tplc="51883522">
      <w:numFmt w:val="bullet"/>
      <w:lvlText w:val="•"/>
      <w:lvlJc w:val="left"/>
      <w:pPr>
        <w:ind w:left="5633" w:hanging="341"/>
      </w:pPr>
      <w:rPr>
        <w:rFonts w:hint="default"/>
        <w:lang w:val="en-US" w:eastAsia="en-US" w:bidi="ar-SA"/>
      </w:rPr>
    </w:lvl>
    <w:lvl w:ilvl="7" w:tplc="C2B29F24">
      <w:numFmt w:val="bullet"/>
      <w:lvlText w:val="•"/>
      <w:lvlJc w:val="left"/>
      <w:pPr>
        <w:ind w:left="6500" w:hanging="341"/>
      </w:pPr>
      <w:rPr>
        <w:rFonts w:hint="default"/>
        <w:lang w:val="en-US" w:eastAsia="en-US" w:bidi="ar-SA"/>
      </w:rPr>
    </w:lvl>
    <w:lvl w:ilvl="8" w:tplc="A666017A">
      <w:numFmt w:val="bullet"/>
      <w:lvlText w:val="•"/>
      <w:lvlJc w:val="left"/>
      <w:pPr>
        <w:ind w:left="7366" w:hanging="341"/>
      </w:pPr>
      <w:rPr>
        <w:rFonts w:hint="default"/>
        <w:lang w:val="en-US" w:eastAsia="en-US" w:bidi="ar-SA"/>
      </w:rPr>
    </w:lvl>
  </w:abstractNum>
  <w:abstractNum w:abstractNumId="25" w15:restartNumberingAfterBreak="0">
    <w:nsid w:val="56FE21F7"/>
    <w:multiLevelType w:val="hybridMultilevel"/>
    <w:tmpl w:val="2C36723A"/>
    <w:lvl w:ilvl="0" w:tplc="0409000F">
      <w:start w:val="1"/>
      <w:numFmt w:val="decimal"/>
      <w:lvlText w:val="%1."/>
      <w:lvlJc w:val="left"/>
      <w:pPr>
        <w:ind w:left="720"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6" w15:restartNumberingAfterBreak="0">
    <w:nsid w:val="5A2C022C"/>
    <w:multiLevelType w:val="hybridMultilevel"/>
    <w:tmpl w:val="81EE2480"/>
    <w:lvl w:ilvl="0" w:tplc="5ACA832C">
      <w:start w:val="1"/>
      <w:numFmt w:val="arabicAbjad"/>
      <w:lvlText w:val="%1-"/>
      <w:lvlJc w:val="center"/>
      <w:pPr>
        <w:tabs>
          <w:tab w:val="num" w:pos="1429"/>
        </w:tabs>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5EC16F02"/>
    <w:multiLevelType w:val="hybridMultilevel"/>
    <w:tmpl w:val="6442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00725D"/>
    <w:multiLevelType w:val="hybridMultilevel"/>
    <w:tmpl w:val="50785AD8"/>
    <w:lvl w:ilvl="0" w:tplc="A86E27F4">
      <w:start w:val="64"/>
      <w:numFmt w:val="decimal"/>
      <w:lvlText w:val="%1."/>
      <w:lvlJc w:val="left"/>
      <w:pPr>
        <w:ind w:left="456" w:hanging="341"/>
      </w:pPr>
      <w:rPr>
        <w:rFonts w:ascii="Times New Roman" w:eastAsia="Times New Roman" w:hAnsi="Times New Roman" w:cs="Times New Roman" w:hint="default"/>
        <w:spacing w:val="3"/>
        <w:w w:val="100"/>
        <w:sz w:val="24"/>
        <w:szCs w:val="24"/>
        <w:lang w:val="en-US" w:eastAsia="en-US" w:bidi="ar-SA"/>
      </w:rPr>
    </w:lvl>
    <w:lvl w:ilvl="1" w:tplc="3A80B9CC">
      <w:start w:val="1"/>
      <w:numFmt w:val="lowerLetter"/>
      <w:lvlText w:val="%2-"/>
      <w:lvlJc w:val="left"/>
      <w:pPr>
        <w:ind w:left="1133" w:hanging="341"/>
      </w:pPr>
      <w:rPr>
        <w:rFonts w:ascii="Times New Roman" w:eastAsia="Times New Roman" w:hAnsi="Times New Roman" w:cs="Times New Roman" w:hint="default"/>
        <w:b/>
        <w:bCs/>
        <w:spacing w:val="0"/>
        <w:w w:val="100"/>
        <w:sz w:val="26"/>
        <w:szCs w:val="26"/>
        <w:lang w:val="en-US" w:eastAsia="en-US" w:bidi="ar-SA"/>
      </w:rPr>
    </w:lvl>
    <w:lvl w:ilvl="2" w:tplc="5F8CE322">
      <w:numFmt w:val="bullet"/>
      <w:lvlText w:val="•"/>
      <w:lvlJc w:val="left"/>
      <w:pPr>
        <w:ind w:left="2024" w:hanging="341"/>
      </w:pPr>
      <w:rPr>
        <w:rFonts w:hint="default"/>
        <w:lang w:val="en-US" w:eastAsia="en-US" w:bidi="ar-SA"/>
      </w:rPr>
    </w:lvl>
    <w:lvl w:ilvl="3" w:tplc="3E2C8126">
      <w:numFmt w:val="bullet"/>
      <w:lvlText w:val="•"/>
      <w:lvlJc w:val="left"/>
      <w:pPr>
        <w:ind w:left="2908" w:hanging="341"/>
      </w:pPr>
      <w:rPr>
        <w:rFonts w:hint="default"/>
        <w:lang w:val="en-US" w:eastAsia="en-US" w:bidi="ar-SA"/>
      </w:rPr>
    </w:lvl>
    <w:lvl w:ilvl="4" w:tplc="2FE25A3E">
      <w:numFmt w:val="bullet"/>
      <w:lvlText w:val="•"/>
      <w:lvlJc w:val="left"/>
      <w:pPr>
        <w:ind w:left="3793" w:hanging="341"/>
      </w:pPr>
      <w:rPr>
        <w:rFonts w:hint="default"/>
        <w:lang w:val="en-US" w:eastAsia="en-US" w:bidi="ar-SA"/>
      </w:rPr>
    </w:lvl>
    <w:lvl w:ilvl="5" w:tplc="8216EDCA">
      <w:numFmt w:val="bullet"/>
      <w:lvlText w:val="•"/>
      <w:lvlJc w:val="left"/>
      <w:pPr>
        <w:ind w:left="4677" w:hanging="341"/>
      </w:pPr>
      <w:rPr>
        <w:rFonts w:hint="default"/>
        <w:lang w:val="en-US" w:eastAsia="en-US" w:bidi="ar-SA"/>
      </w:rPr>
    </w:lvl>
    <w:lvl w:ilvl="6" w:tplc="1C625E60">
      <w:numFmt w:val="bullet"/>
      <w:lvlText w:val="•"/>
      <w:lvlJc w:val="left"/>
      <w:pPr>
        <w:ind w:left="5562" w:hanging="341"/>
      </w:pPr>
      <w:rPr>
        <w:rFonts w:hint="default"/>
        <w:lang w:val="en-US" w:eastAsia="en-US" w:bidi="ar-SA"/>
      </w:rPr>
    </w:lvl>
    <w:lvl w:ilvl="7" w:tplc="24A2B040">
      <w:numFmt w:val="bullet"/>
      <w:lvlText w:val="•"/>
      <w:lvlJc w:val="left"/>
      <w:pPr>
        <w:ind w:left="6446" w:hanging="341"/>
      </w:pPr>
      <w:rPr>
        <w:rFonts w:hint="default"/>
        <w:lang w:val="en-US" w:eastAsia="en-US" w:bidi="ar-SA"/>
      </w:rPr>
    </w:lvl>
    <w:lvl w:ilvl="8" w:tplc="01126C2A">
      <w:numFmt w:val="bullet"/>
      <w:lvlText w:val="•"/>
      <w:lvlJc w:val="left"/>
      <w:pPr>
        <w:ind w:left="7331" w:hanging="341"/>
      </w:pPr>
      <w:rPr>
        <w:rFonts w:hint="default"/>
        <w:lang w:val="en-US" w:eastAsia="en-US" w:bidi="ar-SA"/>
      </w:rPr>
    </w:lvl>
  </w:abstractNum>
  <w:abstractNum w:abstractNumId="29" w15:restartNumberingAfterBreak="0">
    <w:nsid w:val="62064A0C"/>
    <w:multiLevelType w:val="multilevel"/>
    <w:tmpl w:val="791EF03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72F8F"/>
    <w:multiLevelType w:val="hybridMultilevel"/>
    <w:tmpl w:val="794836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4C2373"/>
    <w:multiLevelType w:val="hybridMultilevel"/>
    <w:tmpl w:val="3FE0CDA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2" w15:restartNumberingAfterBreak="0">
    <w:nsid w:val="702A3ACD"/>
    <w:multiLevelType w:val="multilevel"/>
    <w:tmpl w:val="396A138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2F685B"/>
    <w:multiLevelType w:val="hybridMultilevel"/>
    <w:tmpl w:val="C454870A"/>
    <w:lvl w:ilvl="0" w:tplc="0682F7B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8662CA6"/>
    <w:multiLevelType w:val="hybridMultilevel"/>
    <w:tmpl w:val="47C6E01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5" w15:restartNumberingAfterBreak="0">
    <w:nsid w:val="797A0752"/>
    <w:multiLevelType w:val="hybridMultilevel"/>
    <w:tmpl w:val="0C7063E2"/>
    <w:lvl w:ilvl="0" w:tplc="52A05FB0">
      <w:numFmt w:val="bullet"/>
      <w:lvlText w:val="-"/>
      <w:lvlJc w:val="left"/>
      <w:pPr>
        <w:ind w:left="456" w:hanging="154"/>
      </w:pPr>
      <w:rPr>
        <w:rFonts w:ascii="Times New Roman" w:eastAsia="Times New Roman" w:hAnsi="Times New Roman" w:cs="Times New Roman" w:hint="default"/>
        <w:w w:val="100"/>
        <w:sz w:val="26"/>
        <w:szCs w:val="26"/>
        <w:lang w:val="en-US" w:eastAsia="en-US" w:bidi="ar-SA"/>
      </w:rPr>
    </w:lvl>
    <w:lvl w:ilvl="1" w:tplc="54F8285C">
      <w:numFmt w:val="bullet"/>
      <w:lvlText w:val="•"/>
      <w:lvlJc w:val="left"/>
      <w:pPr>
        <w:ind w:left="1324" w:hanging="154"/>
      </w:pPr>
      <w:rPr>
        <w:rFonts w:hint="default"/>
        <w:lang w:val="en-US" w:eastAsia="en-US" w:bidi="ar-SA"/>
      </w:rPr>
    </w:lvl>
    <w:lvl w:ilvl="2" w:tplc="985A282E">
      <w:numFmt w:val="bullet"/>
      <w:lvlText w:val="•"/>
      <w:lvlJc w:val="left"/>
      <w:pPr>
        <w:ind w:left="2188" w:hanging="154"/>
      </w:pPr>
      <w:rPr>
        <w:rFonts w:hint="default"/>
        <w:lang w:val="en-US" w:eastAsia="en-US" w:bidi="ar-SA"/>
      </w:rPr>
    </w:lvl>
    <w:lvl w:ilvl="3" w:tplc="C46AB326">
      <w:numFmt w:val="bullet"/>
      <w:lvlText w:val="•"/>
      <w:lvlJc w:val="left"/>
      <w:pPr>
        <w:ind w:left="3052" w:hanging="154"/>
      </w:pPr>
      <w:rPr>
        <w:rFonts w:hint="default"/>
        <w:lang w:val="en-US" w:eastAsia="en-US" w:bidi="ar-SA"/>
      </w:rPr>
    </w:lvl>
    <w:lvl w:ilvl="4" w:tplc="65D628B6">
      <w:numFmt w:val="bullet"/>
      <w:lvlText w:val="•"/>
      <w:lvlJc w:val="left"/>
      <w:pPr>
        <w:ind w:left="3916" w:hanging="154"/>
      </w:pPr>
      <w:rPr>
        <w:rFonts w:hint="default"/>
        <w:lang w:val="en-US" w:eastAsia="en-US" w:bidi="ar-SA"/>
      </w:rPr>
    </w:lvl>
    <w:lvl w:ilvl="5" w:tplc="144853D8">
      <w:numFmt w:val="bullet"/>
      <w:lvlText w:val="•"/>
      <w:lvlJc w:val="left"/>
      <w:pPr>
        <w:ind w:left="4780" w:hanging="154"/>
      </w:pPr>
      <w:rPr>
        <w:rFonts w:hint="default"/>
        <w:lang w:val="en-US" w:eastAsia="en-US" w:bidi="ar-SA"/>
      </w:rPr>
    </w:lvl>
    <w:lvl w:ilvl="6" w:tplc="FDFC5FEE">
      <w:numFmt w:val="bullet"/>
      <w:lvlText w:val="•"/>
      <w:lvlJc w:val="left"/>
      <w:pPr>
        <w:ind w:left="5644" w:hanging="154"/>
      </w:pPr>
      <w:rPr>
        <w:rFonts w:hint="default"/>
        <w:lang w:val="en-US" w:eastAsia="en-US" w:bidi="ar-SA"/>
      </w:rPr>
    </w:lvl>
    <w:lvl w:ilvl="7" w:tplc="B896E9A0">
      <w:numFmt w:val="bullet"/>
      <w:lvlText w:val="•"/>
      <w:lvlJc w:val="left"/>
      <w:pPr>
        <w:ind w:left="6508" w:hanging="154"/>
      </w:pPr>
      <w:rPr>
        <w:rFonts w:hint="default"/>
        <w:lang w:val="en-US" w:eastAsia="en-US" w:bidi="ar-SA"/>
      </w:rPr>
    </w:lvl>
    <w:lvl w:ilvl="8" w:tplc="1C0AF770">
      <w:numFmt w:val="bullet"/>
      <w:lvlText w:val="•"/>
      <w:lvlJc w:val="left"/>
      <w:pPr>
        <w:ind w:left="7372" w:hanging="154"/>
      </w:pPr>
      <w:rPr>
        <w:rFonts w:hint="default"/>
        <w:lang w:val="en-US" w:eastAsia="en-US" w:bidi="ar-SA"/>
      </w:rPr>
    </w:lvl>
  </w:abstractNum>
  <w:abstractNum w:abstractNumId="36" w15:restartNumberingAfterBreak="0">
    <w:nsid w:val="7A7408CE"/>
    <w:multiLevelType w:val="multilevel"/>
    <w:tmpl w:val="DB3C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E00F73"/>
    <w:multiLevelType w:val="hybridMultilevel"/>
    <w:tmpl w:val="601204BA"/>
    <w:lvl w:ilvl="0" w:tplc="9822E8D6">
      <w:start w:val="3"/>
      <w:numFmt w:val="decimal"/>
      <w:lvlText w:val="%1-"/>
      <w:lvlJc w:val="left"/>
      <w:pPr>
        <w:ind w:left="778" w:hanging="322"/>
      </w:pPr>
      <w:rPr>
        <w:rFonts w:ascii="Times New Roman" w:eastAsia="Times New Roman" w:hAnsi="Times New Roman" w:cs="Times New Roman" w:hint="default"/>
        <w:b/>
        <w:bCs/>
        <w:spacing w:val="0"/>
        <w:w w:val="100"/>
        <w:sz w:val="30"/>
        <w:szCs w:val="30"/>
        <w:lang w:val="en-US" w:eastAsia="en-US" w:bidi="ar-SA"/>
      </w:rPr>
    </w:lvl>
    <w:lvl w:ilvl="1" w:tplc="F60CC5B0">
      <w:numFmt w:val="none"/>
      <w:lvlText w:val=""/>
      <w:lvlJc w:val="left"/>
      <w:pPr>
        <w:tabs>
          <w:tab w:val="num" w:pos="360"/>
        </w:tabs>
      </w:pPr>
    </w:lvl>
    <w:lvl w:ilvl="2" w:tplc="73063DFE">
      <w:numFmt w:val="none"/>
      <w:lvlText w:val=""/>
      <w:lvlJc w:val="left"/>
      <w:pPr>
        <w:tabs>
          <w:tab w:val="num" w:pos="360"/>
        </w:tabs>
      </w:pPr>
    </w:lvl>
    <w:lvl w:ilvl="3" w:tplc="BF4A1C0A">
      <w:numFmt w:val="bullet"/>
      <w:lvlText w:val="•"/>
      <w:lvlJc w:val="left"/>
      <w:pPr>
        <w:ind w:left="2100" w:hanging="644"/>
      </w:pPr>
      <w:rPr>
        <w:rFonts w:hint="default"/>
        <w:lang w:val="en-US" w:eastAsia="en-US" w:bidi="ar-SA"/>
      </w:rPr>
    </w:lvl>
    <w:lvl w:ilvl="4" w:tplc="F310715A">
      <w:numFmt w:val="bullet"/>
      <w:lvlText w:val="•"/>
      <w:lvlJc w:val="left"/>
      <w:pPr>
        <w:ind w:left="3100" w:hanging="644"/>
      </w:pPr>
      <w:rPr>
        <w:rFonts w:hint="default"/>
        <w:lang w:val="en-US" w:eastAsia="en-US" w:bidi="ar-SA"/>
      </w:rPr>
    </w:lvl>
    <w:lvl w:ilvl="5" w:tplc="1818CC48">
      <w:numFmt w:val="bullet"/>
      <w:lvlText w:val="•"/>
      <w:lvlJc w:val="left"/>
      <w:pPr>
        <w:ind w:left="4100" w:hanging="644"/>
      </w:pPr>
      <w:rPr>
        <w:rFonts w:hint="default"/>
        <w:lang w:val="en-US" w:eastAsia="en-US" w:bidi="ar-SA"/>
      </w:rPr>
    </w:lvl>
    <w:lvl w:ilvl="6" w:tplc="83EA0ABC">
      <w:numFmt w:val="bullet"/>
      <w:lvlText w:val="•"/>
      <w:lvlJc w:val="left"/>
      <w:pPr>
        <w:ind w:left="5100" w:hanging="644"/>
      </w:pPr>
      <w:rPr>
        <w:rFonts w:hint="default"/>
        <w:lang w:val="en-US" w:eastAsia="en-US" w:bidi="ar-SA"/>
      </w:rPr>
    </w:lvl>
    <w:lvl w:ilvl="7" w:tplc="1F7C5A58">
      <w:numFmt w:val="bullet"/>
      <w:lvlText w:val="•"/>
      <w:lvlJc w:val="left"/>
      <w:pPr>
        <w:ind w:left="6100" w:hanging="644"/>
      </w:pPr>
      <w:rPr>
        <w:rFonts w:hint="default"/>
        <w:lang w:val="en-US" w:eastAsia="en-US" w:bidi="ar-SA"/>
      </w:rPr>
    </w:lvl>
    <w:lvl w:ilvl="8" w:tplc="5B0A190C">
      <w:numFmt w:val="bullet"/>
      <w:lvlText w:val="•"/>
      <w:lvlJc w:val="left"/>
      <w:pPr>
        <w:ind w:left="7100" w:hanging="644"/>
      </w:pPr>
      <w:rPr>
        <w:rFonts w:hint="default"/>
        <w:lang w:val="en-US" w:eastAsia="en-US" w:bidi="ar-SA"/>
      </w:rPr>
    </w:lvl>
  </w:abstractNum>
  <w:abstractNum w:abstractNumId="38" w15:restartNumberingAfterBreak="0">
    <w:nsid w:val="7D55039E"/>
    <w:multiLevelType w:val="hybridMultilevel"/>
    <w:tmpl w:val="CC380C7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abstractNumId w:val="12"/>
  </w:num>
  <w:num w:numId="2">
    <w:abstractNumId w:val="5"/>
  </w:num>
  <w:num w:numId="3">
    <w:abstractNumId w:val="4"/>
  </w:num>
  <w:num w:numId="4">
    <w:abstractNumId w:val="0"/>
  </w:num>
  <w:num w:numId="5">
    <w:abstractNumId w:val="27"/>
  </w:num>
  <w:num w:numId="6">
    <w:abstractNumId w:val="23"/>
  </w:num>
  <w:num w:numId="7">
    <w:abstractNumId w:val="1"/>
  </w:num>
  <w:num w:numId="8">
    <w:abstractNumId w:val="25"/>
  </w:num>
  <w:num w:numId="9">
    <w:abstractNumId w:val="26"/>
  </w:num>
  <w:num w:numId="10">
    <w:abstractNumId w:val="21"/>
  </w:num>
  <w:num w:numId="11">
    <w:abstractNumId w:val="14"/>
  </w:num>
  <w:num w:numId="12">
    <w:abstractNumId w:val="31"/>
  </w:num>
  <w:num w:numId="13">
    <w:abstractNumId w:val="22"/>
  </w:num>
  <w:num w:numId="14">
    <w:abstractNumId w:val="34"/>
  </w:num>
  <w:num w:numId="15">
    <w:abstractNumId w:val="15"/>
  </w:num>
  <w:num w:numId="16">
    <w:abstractNumId w:val="13"/>
  </w:num>
  <w:num w:numId="17">
    <w:abstractNumId w:val="38"/>
  </w:num>
  <w:num w:numId="18">
    <w:abstractNumId w:val="20"/>
  </w:num>
  <w:num w:numId="19">
    <w:abstractNumId w:val="9"/>
  </w:num>
  <w:num w:numId="20">
    <w:abstractNumId w:val="29"/>
  </w:num>
  <w:num w:numId="21">
    <w:abstractNumId w:val="36"/>
  </w:num>
  <w:num w:numId="22">
    <w:abstractNumId w:val="7"/>
  </w:num>
  <w:num w:numId="23">
    <w:abstractNumId w:val="32"/>
  </w:num>
  <w:num w:numId="24">
    <w:abstractNumId w:val="30"/>
  </w:num>
  <w:num w:numId="25">
    <w:abstractNumId w:val="17"/>
  </w:num>
  <w:num w:numId="26">
    <w:abstractNumId w:val="8"/>
  </w:num>
  <w:num w:numId="27">
    <w:abstractNumId w:val="18"/>
  </w:num>
  <w:num w:numId="28">
    <w:abstractNumId w:val="6"/>
  </w:num>
  <w:num w:numId="29">
    <w:abstractNumId w:val="11"/>
  </w:num>
  <w:num w:numId="30">
    <w:abstractNumId w:val="3"/>
  </w:num>
  <w:num w:numId="31">
    <w:abstractNumId w:val="2"/>
  </w:num>
  <w:num w:numId="32">
    <w:abstractNumId w:val="28"/>
  </w:num>
  <w:num w:numId="33">
    <w:abstractNumId w:val="37"/>
  </w:num>
  <w:num w:numId="34">
    <w:abstractNumId w:val="35"/>
  </w:num>
  <w:num w:numId="35">
    <w:abstractNumId w:val="24"/>
  </w:num>
  <w:num w:numId="36">
    <w:abstractNumId w:val="33"/>
  </w:num>
  <w:num w:numId="37">
    <w:abstractNumId w:val="10"/>
  </w:num>
  <w:num w:numId="38">
    <w:abstractNumId w:val="16"/>
  </w:num>
  <w:num w:numId="3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za Meutia Sari">
    <w15:presenceInfo w15:providerId="None" w15:userId="Liza Meutia S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1E6"/>
    <w:rsid w:val="00007C9E"/>
    <w:rsid w:val="0001089E"/>
    <w:rsid w:val="00011893"/>
    <w:rsid w:val="00012720"/>
    <w:rsid w:val="00012C42"/>
    <w:rsid w:val="00015986"/>
    <w:rsid w:val="00022829"/>
    <w:rsid w:val="00025A58"/>
    <w:rsid w:val="00025C21"/>
    <w:rsid w:val="00026DCA"/>
    <w:rsid w:val="00030B14"/>
    <w:rsid w:val="000336F7"/>
    <w:rsid w:val="00033E41"/>
    <w:rsid w:val="000341A2"/>
    <w:rsid w:val="00036DFD"/>
    <w:rsid w:val="0003744B"/>
    <w:rsid w:val="00041C89"/>
    <w:rsid w:val="00045392"/>
    <w:rsid w:val="0005021E"/>
    <w:rsid w:val="00054125"/>
    <w:rsid w:val="00056716"/>
    <w:rsid w:val="000570F3"/>
    <w:rsid w:val="0006459D"/>
    <w:rsid w:val="00066696"/>
    <w:rsid w:val="00071090"/>
    <w:rsid w:val="00071A5E"/>
    <w:rsid w:val="0007231D"/>
    <w:rsid w:val="00073CE2"/>
    <w:rsid w:val="00076760"/>
    <w:rsid w:val="000806F9"/>
    <w:rsid w:val="0008130A"/>
    <w:rsid w:val="0008444B"/>
    <w:rsid w:val="0008530D"/>
    <w:rsid w:val="000859F7"/>
    <w:rsid w:val="000870F0"/>
    <w:rsid w:val="00087BC2"/>
    <w:rsid w:val="00091A53"/>
    <w:rsid w:val="00091B4C"/>
    <w:rsid w:val="0009622B"/>
    <w:rsid w:val="00097897"/>
    <w:rsid w:val="000A07C1"/>
    <w:rsid w:val="000A2311"/>
    <w:rsid w:val="000A4138"/>
    <w:rsid w:val="000A75A1"/>
    <w:rsid w:val="000B0657"/>
    <w:rsid w:val="000B4E2A"/>
    <w:rsid w:val="000B70EB"/>
    <w:rsid w:val="000C048D"/>
    <w:rsid w:val="000C1EE5"/>
    <w:rsid w:val="000C46C4"/>
    <w:rsid w:val="000C4C80"/>
    <w:rsid w:val="000C6111"/>
    <w:rsid w:val="000E2517"/>
    <w:rsid w:val="000E3CD8"/>
    <w:rsid w:val="000E410D"/>
    <w:rsid w:val="000E7A61"/>
    <w:rsid w:val="000F4BEC"/>
    <w:rsid w:val="000F5724"/>
    <w:rsid w:val="00100A9F"/>
    <w:rsid w:val="00103866"/>
    <w:rsid w:val="00103F22"/>
    <w:rsid w:val="0010507B"/>
    <w:rsid w:val="001063F4"/>
    <w:rsid w:val="001116F7"/>
    <w:rsid w:val="00113F77"/>
    <w:rsid w:val="001208A8"/>
    <w:rsid w:val="0012207E"/>
    <w:rsid w:val="0012402C"/>
    <w:rsid w:val="00124E09"/>
    <w:rsid w:val="00126CFF"/>
    <w:rsid w:val="001303E1"/>
    <w:rsid w:val="00130D3F"/>
    <w:rsid w:val="00132E18"/>
    <w:rsid w:val="0013441F"/>
    <w:rsid w:val="00134BBA"/>
    <w:rsid w:val="00135622"/>
    <w:rsid w:val="001363A3"/>
    <w:rsid w:val="001400FF"/>
    <w:rsid w:val="001416B9"/>
    <w:rsid w:val="00142938"/>
    <w:rsid w:val="00142FF4"/>
    <w:rsid w:val="001435C0"/>
    <w:rsid w:val="00147F5C"/>
    <w:rsid w:val="0015105B"/>
    <w:rsid w:val="001514F6"/>
    <w:rsid w:val="00154916"/>
    <w:rsid w:val="0016128E"/>
    <w:rsid w:val="00162A5C"/>
    <w:rsid w:val="001630E3"/>
    <w:rsid w:val="00163ED5"/>
    <w:rsid w:val="0016420C"/>
    <w:rsid w:val="00164FD7"/>
    <w:rsid w:val="00171B8C"/>
    <w:rsid w:val="001772D2"/>
    <w:rsid w:val="00177440"/>
    <w:rsid w:val="00182F53"/>
    <w:rsid w:val="00192845"/>
    <w:rsid w:val="00192AFC"/>
    <w:rsid w:val="00194133"/>
    <w:rsid w:val="00194D56"/>
    <w:rsid w:val="00195FC4"/>
    <w:rsid w:val="00196CA2"/>
    <w:rsid w:val="0019784C"/>
    <w:rsid w:val="001A1056"/>
    <w:rsid w:val="001A1281"/>
    <w:rsid w:val="001A60F2"/>
    <w:rsid w:val="001A63D2"/>
    <w:rsid w:val="001B1737"/>
    <w:rsid w:val="001B2064"/>
    <w:rsid w:val="001B271A"/>
    <w:rsid w:val="001B3611"/>
    <w:rsid w:val="001B37E3"/>
    <w:rsid w:val="001B4D4F"/>
    <w:rsid w:val="001B66AB"/>
    <w:rsid w:val="001C13BB"/>
    <w:rsid w:val="001D0AE1"/>
    <w:rsid w:val="001D1586"/>
    <w:rsid w:val="001E550F"/>
    <w:rsid w:val="001E5781"/>
    <w:rsid w:val="001F1BF6"/>
    <w:rsid w:val="001F21A5"/>
    <w:rsid w:val="001F53F2"/>
    <w:rsid w:val="001F67FF"/>
    <w:rsid w:val="00200914"/>
    <w:rsid w:val="00200E1F"/>
    <w:rsid w:val="00200E5E"/>
    <w:rsid w:val="00201F70"/>
    <w:rsid w:val="002039B4"/>
    <w:rsid w:val="00217D2C"/>
    <w:rsid w:val="00220F70"/>
    <w:rsid w:val="00222F18"/>
    <w:rsid w:val="00222FCF"/>
    <w:rsid w:val="00224286"/>
    <w:rsid w:val="00226829"/>
    <w:rsid w:val="00231610"/>
    <w:rsid w:val="002413AB"/>
    <w:rsid w:val="00243934"/>
    <w:rsid w:val="00252FCC"/>
    <w:rsid w:val="00255B23"/>
    <w:rsid w:val="00256FEF"/>
    <w:rsid w:val="0026179C"/>
    <w:rsid w:val="002630FD"/>
    <w:rsid w:val="002645AC"/>
    <w:rsid w:val="00267178"/>
    <w:rsid w:val="00270DF9"/>
    <w:rsid w:val="002771E6"/>
    <w:rsid w:val="002805C1"/>
    <w:rsid w:val="00280D19"/>
    <w:rsid w:val="00281C54"/>
    <w:rsid w:val="002937DE"/>
    <w:rsid w:val="00295D54"/>
    <w:rsid w:val="00296D20"/>
    <w:rsid w:val="002A306B"/>
    <w:rsid w:val="002A34B8"/>
    <w:rsid w:val="002A4664"/>
    <w:rsid w:val="002B1841"/>
    <w:rsid w:val="002B5B20"/>
    <w:rsid w:val="002B7017"/>
    <w:rsid w:val="002C0F39"/>
    <w:rsid w:val="002C1686"/>
    <w:rsid w:val="002C52A6"/>
    <w:rsid w:val="002C61D1"/>
    <w:rsid w:val="002D7D46"/>
    <w:rsid w:val="002E3476"/>
    <w:rsid w:val="002E3699"/>
    <w:rsid w:val="002E4DC4"/>
    <w:rsid w:val="00307ACC"/>
    <w:rsid w:val="00311658"/>
    <w:rsid w:val="0031227A"/>
    <w:rsid w:val="00312ED7"/>
    <w:rsid w:val="00314A69"/>
    <w:rsid w:val="00314CBC"/>
    <w:rsid w:val="0032011A"/>
    <w:rsid w:val="00322F15"/>
    <w:rsid w:val="00331BF7"/>
    <w:rsid w:val="00333C84"/>
    <w:rsid w:val="003347BA"/>
    <w:rsid w:val="00334CBD"/>
    <w:rsid w:val="00337391"/>
    <w:rsid w:val="00337D11"/>
    <w:rsid w:val="003559E1"/>
    <w:rsid w:val="0036021D"/>
    <w:rsid w:val="0036113F"/>
    <w:rsid w:val="003619E6"/>
    <w:rsid w:val="00366560"/>
    <w:rsid w:val="003706D2"/>
    <w:rsid w:val="00371798"/>
    <w:rsid w:val="00372FF7"/>
    <w:rsid w:val="003736AD"/>
    <w:rsid w:val="00375396"/>
    <w:rsid w:val="00377B2E"/>
    <w:rsid w:val="0038278B"/>
    <w:rsid w:val="00384166"/>
    <w:rsid w:val="00384FE3"/>
    <w:rsid w:val="003908F2"/>
    <w:rsid w:val="00393760"/>
    <w:rsid w:val="00393B43"/>
    <w:rsid w:val="003947C6"/>
    <w:rsid w:val="003947E3"/>
    <w:rsid w:val="00395507"/>
    <w:rsid w:val="00397FCB"/>
    <w:rsid w:val="003A006C"/>
    <w:rsid w:val="003A27D6"/>
    <w:rsid w:val="003A3050"/>
    <w:rsid w:val="003C041A"/>
    <w:rsid w:val="003C0FA1"/>
    <w:rsid w:val="003C4060"/>
    <w:rsid w:val="003C4A95"/>
    <w:rsid w:val="003D2D8B"/>
    <w:rsid w:val="003D3E1D"/>
    <w:rsid w:val="003D50F9"/>
    <w:rsid w:val="003D64A4"/>
    <w:rsid w:val="003D67CF"/>
    <w:rsid w:val="003D69A2"/>
    <w:rsid w:val="003E00E2"/>
    <w:rsid w:val="003E02E5"/>
    <w:rsid w:val="003E097E"/>
    <w:rsid w:val="003E18A9"/>
    <w:rsid w:val="003E64E8"/>
    <w:rsid w:val="003F0188"/>
    <w:rsid w:val="003F025F"/>
    <w:rsid w:val="003F5884"/>
    <w:rsid w:val="00400138"/>
    <w:rsid w:val="00400DCD"/>
    <w:rsid w:val="004027C9"/>
    <w:rsid w:val="00402B9D"/>
    <w:rsid w:val="00405464"/>
    <w:rsid w:val="00407AA3"/>
    <w:rsid w:val="00407EE2"/>
    <w:rsid w:val="00411652"/>
    <w:rsid w:val="0042012F"/>
    <w:rsid w:val="004349CE"/>
    <w:rsid w:val="00434D3C"/>
    <w:rsid w:val="00442337"/>
    <w:rsid w:val="00444B00"/>
    <w:rsid w:val="0045021D"/>
    <w:rsid w:val="00453967"/>
    <w:rsid w:val="00455268"/>
    <w:rsid w:val="00455B25"/>
    <w:rsid w:val="00456531"/>
    <w:rsid w:val="00461355"/>
    <w:rsid w:val="00461F0D"/>
    <w:rsid w:val="00462FE7"/>
    <w:rsid w:val="004653B0"/>
    <w:rsid w:val="00474201"/>
    <w:rsid w:val="004770DF"/>
    <w:rsid w:val="00480594"/>
    <w:rsid w:val="00480F69"/>
    <w:rsid w:val="00482C2C"/>
    <w:rsid w:val="00484B2C"/>
    <w:rsid w:val="004859D6"/>
    <w:rsid w:val="00490169"/>
    <w:rsid w:val="00490854"/>
    <w:rsid w:val="00491F64"/>
    <w:rsid w:val="004927AE"/>
    <w:rsid w:val="004A1574"/>
    <w:rsid w:val="004A1E9F"/>
    <w:rsid w:val="004A2A43"/>
    <w:rsid w:val="004B02FD"/>
    <w:rsid w:val="004B1BCC"/>
    <w:rsid w:val="004B4331"/>
    <w:rsid w:val="004B51BE"/>
    <w:rsid w:val="004B67A5"/>
    <w:rsid w:val="004B6C37"/>
    <w:rsid w:val="004C0F72"/>
    <w:rsid w:val="004C2050"/>
    <w:rsid w:val="004C520E"/>
    <w:rsid w:val="004C75D9"/>
    <w:rsid w:val="004D0EAB"/>
    <w:rsid w:val="004D185D"/>
    <w:rsid w:val="004D19DB"/>
    <w:rsid w:val="004D1DE5"/>
    <w:rsid w:val="004D362F"/>
    <w:rsid w:val="004D40AE"/>
    <w:rsid w:val="004D5C18"/>
    <w:rsid w:val="004D76E9"/>
    <w:rsid w:val="004F4B66"/>
    <w:rsid w:val="004F52E6"/>
    <w:rsid w:val="004F58DF"/>
    <w:rsid w:val="004F5C62"/>
    <w:rsid w:val="005122B7"/>
    <w:rsid w:val="005170D1"/>
    <w:rsid w:val="00521873"/>
    <w:rsid w:val="00522BD6"/>
    <w:rsid w:val="00524821"/>
    <w:rsid w:val="00530952"/>
    <w:rsid w:val="0053345A"/>
    <w:rsid w:val="005347CE"/>
    <w:rsid w:val="00534FA0"/>
    <w:rsid w:val="00537B2F"/>
    <w:rsid w:val="00537FB9"/>
    <w:rsid w:val="00540919"/>
    <w:rsid w:val="005535C6"/>
    <w:rsid w:val="00556DCA"/>
    <w:rsid w:val="00564BF6"/>
    <w:rsid w:val="00566B04"/>
    <w:rsid w:val="0056756A"/>
    <w:rsid w:val="00571954"/>
    <w:rsid w:val="005728C4"/>
    <w:rsid w:val="005733AD"/>
    <w:rsid w:val="00582C00"/>
    <w:rsid w:val="00582FEA"/>
    <w:rsid w:val="005836A7"/>
    <w:rsid w:val="0059233B"/>
    <w:rsid w:val="00592C81"/>
    <w:rsid w:val="005969EB"/>
    <w:rsid w:val="005A1F22"/>
    <w:rsid w:val="005A32FB"/>
    <w:rsid w:val="005A3EC8"/>
    <w:rsid w:val="005B18A4"/>
    <w:rsid w:val="005B1E10"/>
    <w:rsid w:val="005C00AF"/>
    <w:rsid w:val="005C339B"/>
    <w:rsid w:val="005C654E"/>
    <w:rsid w:val="005C68AE"/>
    <w:rsid w:val="005D123C"/>
    <w:rsid w:val="005D579A"/>
    <w:rsid w:val="005D59C6"/>
    <w:rsid w:val="005D66CA"/>
    <w:rsid w:val="005E2C4C"/>
    <w:rsid w:val="005E3040"/>
    <w:rsid w:val="005E670C"/>
    <w:rsid w:val="005E774D"/>
    <w:rsid w:val="006034C6"/>
    <w:rsid w:val="00603F56"/>
    <w:rsid w:val="006040B7"/>
    <w:rsid w:val="00610489"/>
    <w:rsid w:val="00613144"/>
    <w:rsid w:val="00614902"/>
    <w:rsid w:val="0061691F"/>
    <w:rsid w:val="00625C9C"/>
    <w:rsid w:val="00631060"/>
    <w:rsid w:val="00632D1D"/>
    <w:rsid w:val="00634EE7"/>
    <w:rsid w:val="0063632F"/>
    <w:rsid w:val="00642F73"/>
    <w:rsid w:val="00645F8D"/>
    <w:rsid w:val="00647C39"/>
    <w:rsid w:val="00651037"/>
    <w:rsid w:val="006552F9"/>
    <w:rsid w:val="00660133"/>
    <w:rsid w:val="006627A6"/>
    <w:rsid w:val="0066385F"/>
    <w:rsid w:val="006639D1"/>
    <w:rsid w:val="0066640F"/>
    <w:rsid w:val="006705C1"/>
    <w:rsid w:val="006733ED"/>
    <w:rsid w:val="00675227"/>
    <w:rsid w:val="006775CC"/>
    <w:rsid w:val="00680F88"/>
    <w:rsid w:val="00687C5A"/>
    <w:rsid w:val="00691EC7"/>
    <w:rsid w:val="00692BD2"/>
    <w:rsid w:val="00694E38"/>
    <w:rsid w:val="00697B98"/>
    <w:rsid w:val="006A1DCB"/>
    <w:rsid w:val="006A56AA"/>
    <w:rsid w:val="006A7034"/>
    <w:rsid w:val="006B04A8"/>
    <w:rsid w:val="006B0702"/>
    <w:rsid w:val="006B4D94"/>
    <w:rsid w:val="006B55F3"/>
    <w:rsid w:val="006C0FA5"/>
    <w:rsid w:val="006C21E7"/>
    <w:rsid w:val="006D024E"/>
    <w:rsid w:val="006D0B8E"/>
    <w:rsid w:val="006D1E4B"/>
    <w:rsid w:val="006D27D3"/>
    <w:rsid w:val="006D4D8D"/>
    <w:rsid w:val="006D6E9F"/>
    <w:rsid w:val="006D75AC"/>
    <w:rsid w:val="006E3D97"/>
    <w:rsid w:val="006E78B7"/>
    <w:rsid w:val="006E7F86"/>
    <w:rsid w:val="006F06DA"/>
    <w:rsid w:val="006F1D40"/>
    <w:rsid w:val="006F2CC1"/>
    <w:rsid w:val="006F781C"/>
    <w:rsid w:val="00700BCA"/>
    <w:rsid w:val="00701CEA"/>
    <w:rsid w:val="00701DFC"/>
    <w:rsid w:val="00702BF9"/>
    <w:rsid w:val="00704BA2"/>
    <w:rsid w:val="00705ECE"/>
    <w:rsid w:val="00707665"/>
    <w:rsid w:val="00716A7C"/>
    <w:rsid w:val="00716CB3"/>
    <w:rsid w:val="00723042"/>
    <w:rsid w:val="00723C39"/>
    <w:rsid w:val="007257EF"/>
    <w:rsid w:val="00730AF4"/>
    <w:rsid w:val="00731337"/>
    <w:rsid w:val="00733016"/>
    <w:rsid w:val="00737D69"/>
    <w:rsid w:val="00737D6D"/>
    <w:rsid w:val="0074111D"/>
    <w:rsid w:val="007439B8"/>
    <w:rsid w:val="007442CE"/>
    <w:rsid w:val="007503BD"/>
    <w:rsid w:val="00750A74"/>
    <w:rsid w:val="00752639"/>
    <w:rsid w:val="007542E2"/>
    <w:rsid w:val="00754A5C"/>
    <w:rsid w:val="00755309"/>
    <w:rsid w:val="00756BFC"/>
    <w:rsid w:val="00763A65"/>
    <w:rsid w:val="00766574"/>
    <w:rsid w:val="0077095C"/>
    <w:rsid w:val="007722BE"/>
    <w:rsid w:val="00774F35"/>
    <w:rsid w:val="007751A6"/>
    <w:rsid w:val="00776CFD"/>
    <w:rsid w:val="00777C13"/>
    <w:rsid w:val="007803D6"/>
    <w:rsid w:val="007824BB"/>
    <w:rsid w:val="00783763"/>
    <w:rsid w:val="007847FE"/>
    <w:rsid w:val="0079482E"/>
    <w:rsid w:val="00794EF2"/>
    <w:rsid w:val="007976D1"/>
    <w:rsid w:val="007A1B11"/>
    <w:rsid w:val="007A68D3"/>
    <w:rsid w:val="007A7DA3"/>
    <w:rsid w:val="007B00C9"/>
    <w:rsid w:val="007B0107"/>
    <w:rsid w:val="007B0193"/>
    <w:rsid w:val="007B05FA"/>
    <w:rsid w:val="007B06DB"/>
    <w:rsid w:val="007B088E"/>
    <w:rsid w:val="007B0A94"/>
    <w:rsid w:val="007B3F65"/>
    <w:rsid w:val="007B7499"/>
    <w:rsid w:val="007C004C"/>
    <w:rsid w:val="007C085D"/>
    <w:rsid w:val="007C4A9A"/>
    <w:rsid w:val="007C4D56"/>
    <w:rsid w:val="007C6250"/>
    <w:rsid w:val="007D0F97"/>
    <w:rsid w:val="007D22E8"/>
    <w:rsid w:val="007D6F63"/>
    <w:rsid w:val="007E0331"/>
    <w:rsid w:val="007E461C"/>
    <w:rsid w:val="007F0807"/>
    <w:rsid w:val="007F3331"/>
    <w:rsid w:val="007F58E1"/>
    <w:rsid w:val="007F6AF1"/>
    <w:rsid w:val="007F7A59"/>
    <w:rsid w:val="00800B6F"/>
    <w:rsid w:val="00804BB4"/>
    <w:rsid w:val="00805A7B"/>
    <w:rsid w:val="00807048"/>
    <w:rsid w:val="0081305C"/>
    <w:rsid w:val="008142FE"/>
    <w:rsid w:val="00815CDC"/>
    <w:rsid w:val="00816482"/>
    <w:rsid w:val="00817C28"/>
    <w:rsid w:val="00823887"/>
    <w:rsid w:val="00823A48"/>
    <w:rsid w:val="00826A03"/>
    <w:rsid w:val="00832AC2"/>
    <w:rsid w:val="00832EFE"/>
    <w:rsid w:val="00833116"/>
    <w:rsid w:val="008357D3"/>
    <w:rsid w:val="0084286B"/>
    <w:rsid w:val="008437EB"/>
    <w:rsid w:val="00844782"/>
    <w:rsid w:val="0084544E"/>
    <w:rsid w:val="00845C7C"/>
    <w:rsid w:val="0084732D"/>
    <w:rsid w:val="00850421"/>
    <w:rsid w:val="00851437"/>
    <w:rsid w:val="008541FB"/>
    <w:rsid w:val="0085533E"/>
    <w:rsid w:val="00863495"/>
    <w:rsid w:val="00864B08"/>
    <w:rsid w:val="008664E4"/>
    <w:rsid w:val="00867F98"/>
    <w:rsid w:val="0087242E"/>
    <w:rsid w:val="00873857"/>
    <w:rsid w:val="00876263"/>
    <w:rsid w:val="00876E09"/>
    <w:rsid w:val="008776FA"/>
    <w:rsid w:val="00877B2F"/>
    <w:rsid w:val="00881293"/>
    <w:rsid w:val="008874D0"/>
    <w:rsid w:val="00891FE4"/>
    <w:rsid w:val="00896023"/>
    <w:rsid w:val="0089749F"/>
    <w:rsid w:val="00897600"/>
    <w:rsid w:val="008A1C8E"/>
    <w:rsid w:val="008A225B"/>
    <w:rsid w:val="008A248F"/>
    <w:rsid w:val="008A26A1"/>
    <w:rsid w:val="008A34A0"/>
    <w:rsid w:val="008A4452"/>
    <w:rsid w:val="008B25CE"/>
    <w:rsid w:val="008C2644"/>
    <w:rsid w:val="008C3E0B"/>
    <w:rsid w:val="008C44CC"/>
    <w:rsid w:val="008C6AD2"/>
    <w:rsid w:val="008E0B90"/>
    <w:rsid w:val="008E0FDE"/>
    <w:rsid w:val="008E3A4E"/>
    <w:rsid w:val="008E5101"/>
    <w:rsid w:val="008E7F6B"/>
    <w:rsid w:val="008F4CBE"/>
    <w:rsid w:val="008F750F"/>
    <w:rsid w:val="0090220A"/>
    <w:rsid w:val="009122C0"/>
    <w:rsid w:val="009123D5"/>
    <w:rsid w:val="009128BA"/>
    <w:rsid w:val="00912AB7"/>
    <w:rsid w:val="00913525"/>
    <w:rsid w:val="0091563C"/>
    <w:rsid w:val="0091587E"/>
    <w:rsid w:val="00916D58"/>
    <w:rsid w:val="009211EA"/>
    <w:rsid w:val="00921F02"/>
    <w:rsid w:val="0092211C"/>
    <w:rsid w:val="00930E8E"/>
    <w:rsid w:val="00931348"/>
    <w:rsid w:val="0093443B"/>
    <w:rsid w:val="0093574D"/>
    <w:rsid w:val="00937523"/>
    <w:rsid w:val="00940B71"/>
    <w:rsid w:val="00940C07"/>
    <w:rsid w:val="0094197F"/>
    <w:rsid w:val="009475F8"/>
    <w:rsid w:val="00947A8A"/>
    <w:rsid w:val="00950551"/>
    <w:rsid w:val="00952173"/>
    <w:rsid w:val="009530DF"/>
    <w:rsid w:val="00957D1E"/>
    <w:rsid w:val="00962736"/>
    <w:rsid w:val="009629B5"/>
    <w:rsid w:val="00971666"/>
    <w:rsid w:val="0097202B"/>
    <w:rsid w:val="0097241A"/>
    <w:rsid w:val="00973A8F"/>
    <w:rsid w:val="00975A0D"/>
    <w:rsid w:val="00980D78"/>
    <w:rsid w:val="00981615"/>
    <w:rsid w:val="00981ADA"/>
    <w:rsid w:val="009825C6"/>
    <w:rsid w:val="0098382D"/>
    <w:rsid w:val="00983A9C"/>
    <w:rsid w:val="00985317"/>
    <w:rsid w:val="00986515"/>
    <w:rsid w:val="00990312"/>
    <w:rsid w:val="009921EF"/>
    <w:rsid w:val="00993B1E"/>
    <w:rsid w:val="009A266A"/>
    <w:rsid w:val="009A73FE"/>
    <w:rsid w:val="009B524B"/>
    <w:rsid w:val="009B5B08"/>
    <w:rsid w:val="009C28A6"/>
    <w:rsid w:val="009C719F"/>
    <w:rsid w:val="009C7823"/>
    <w:rsid w:val="009C7D68"/>
    <w:rsid w:val="009D2DB3"/>
    <w:rsid w:val="009D62B3"/>
    <w:rsid w:val="009E06C1"/>
    <w:rsid w:val="009E0E02"/>
    <w:rsid w:val="009E1701"/>
    <w:rsid w:val="009F0BBE"/>
    <w:rsid w:val="009F25FC"/>
    <w:rsid w:val="009F2E6A"/>
    <w:rsid w:val="009F3F08"/>
    <w:rsid w:val="009F4A90"/>
    <w:rsid w:val="009F53A0"/>
    <w:rsid w:val="00A0489F"/>
    <w:rsid w:val="00A07902"/>
    <w:rsid w:val="00A10986"/>
    <w:rsid w:val="00A11EA5"/>
    <w:rsid w:val="00A12E66"/>
    <w:rsid w:val="00A17587"/>
    <w:rsid w:val="00A17837"/>
    <w:rsid w:val="00A20A22"/>
    <w:rsid w:val="00A22758"/>
    <w:rsid w:val="00A249B6"/>
    <w:rsid w:val="00A2539C"/>
    <w:rsid w:val="00A25D0D"/>
    <w:rsid w:val="00A26176"/>
    <w:rsid w:val="00A330C9"/>
    <w:rsid w:val="00A41768"/>
    <w:rsid w:val="00A43BD1"/>
    <w:rsid w:val="00A454B4"/>
    <w:rsid w:val="00A473BF"/>
    <w:rsid w:val="00A47BC9"/>
    <w:rsid w:val="00A5460C"/>
    <w:rsid w:val="00A547CC"/>
    <w:rsid w:val="00A54F58"/>
    <w:rsid w:val="00A54F9D"/>
    <w:rsid w:val="00A61B25"/>
    <w:rsid w:val="00A63003"/>
    <w:rsid w:val="00A63CFB"/>
    <w:rsid w:val="00A67477"/>
    <w:rsid w:val="00A67E37"/>
    <w:rsid w:val="00A73EBD"/>
    <w:rsid w:val="00A75DE6"/>
    <w:rsid w:val="00A764DB"/>
    <w:rsid w:val="00A77050"/>
    <w:rsid w:val="00A82DB7"/>
    <w:rsid w:val="00A83A81"/>
    <w:rsid w:val="00A8402B"/>
    <w:rsid w:val="00A8404A"/>
    <w:rsid w:val="00A84205"/>
    <w:rsid w:val="00A84411"/>
    <w:rsid w:val="00A8756C"/>
    <w:rsid w:val="00A935B6"/>
    <w:rsid w:val="00AA6A4E"/>
    <w:rsid w:val="00AA7CA1"/>
    <w:rsid w:val="00AB146E"/>
    <w:rsid w:val="00AB2315"/>
    <w:rsid w:val="00AB259E"/>
    <w:rsid w:val="00AB7870"/>
    <w:rsid w:val="00AC017F"/>
    <w:rsid w:val="00AC1ACD"/>
    <w:rsid w:val="00AC4386"/>
    <w:rsid w:val="00AC556E"/>
    <w:rsid w:val="00AC7A60"/>
    <w:rsid w:val="00AD0742"/>
    <w:rsid w:val="00AE3614"/>
    <w:rsid w:val="00AE3A70"/>
    <w:rsid w:val="00AE5781"/>
    <w:rsid w:val="00AE5A16"/>
    <w:rsid w:val="00AF0CF4"/>
    <w:rsid w:val="00AF1C8D"/>
    <w:rsid w:val="00AF5ACF"/>
    <w:rsid w:val="00AF6B53"/>
    <w:rsid w:val="00AF70A2"/>
    <w:rsid w:val="00B0142B"/>
    <w:rsid w:val="00B01FE5"/>
    <w:rsid w:val="00B0311D"/>
    <w:rsid w:val="00B04120"/>
    <w:rsid w:val="00B05E3A"/>
    <w:rsid w:val="00B05E52"/>
    <w:rsid w:val="00B0756A"/>
    <w:rsid w:val="00B0776C"/>
    <w:rsid w:val="00B10C60"/>
    <w:rsid w:val="00B10F8D"/>
    <w:rsid w:val="00B11426"/>
    <w:rsid w:val="00B20632"/>
    <w:rsid w:val="00B227D4"/>
    <w:rsid w:val="00B24BFB"/>
    <w:rsid w:val="00B24ECA"/>
    <w:rsid w:val="00B27CFB"/>
    <w:rsid w:val="00B400E3"/>
    <w:rsid w:val="00B40610"/>
    <w:rsid w:val="00B40673"/>
    <w:rsid w:val="00B44BFB"/>
    <w:rsid w:val="00B52679"/>
    <w:rsid w:val="00B61967"/>
    <w:rsid w:val="00B70E8C"/>
    <w:rsid w:val="00B71F7E"/>
    <w:rsid w:val="00B77030"/>
    <w:rsid w:val="00B808B5"/>
    <w:rsid w:val="00B81408"/>
    <w:rsid w:val="00B83928"/>
    <w:rsid w:val="00B900B8"/>
    <w:rsid w:val="00B936AE"/>
    <w:rsid w:val="00B9385E"/>
    <w:rsid w:val="00B93F16"/>
    <w:rsid w:val="00B96D77"/>
    <w:rsid w:val="00B97DD2"/>
    <w:rsid w:val="00BA0D91"/>
    <w:rsid w:val="00BA18B4"/>
    <w:rsid w:val="00BA455A"/>
    <w:rsid w:val="00BA6988"/>
    <w:rsid w:val="00BA7AA9"/>
    <w:rsid w:val="00BA7C72"/>
    <w:rsid w:val="00BC5D8C"/>
    <w:rsid w:val="00BC671C"/>
    <w:rsid w:val="00BD0035"/>
    <w:rsid w:val="00BD3FAF"/>
    <w:rsid w:val="00BD4AC1"/>
    <w:rsid w:val="00BD528F"/>
    <w:rsid w:val="00BD5DA0"/>
    <w:rsid w:val="00BF0490"/>
    <w:rsid w:val="00BF2E51"/>
    <w:rsid w:val="00BF3EAC"/>
    <w:rsid w:val="00BF6FF3"/>
    <w:rsid w:val="00C10DD5"/>
    <w:rsid w:val="00C132DB"/>
    <w:rsid w:val="00C15CAA"/>
    <w:rsid w:val="00C17163"/>
    <w:rsid w:val="00C2210F"/>
    <w:rsid w:val="00C250E3"/>
    <w:rsid w:val="00C2595A"/>
    <w:rsid w:val="00C33A2E"/>
    <w:rsid w:val="00C3714D"/>
    <w:rsid w:val="00C43D81"/>
    <w:rsid w:val="00C476FB"/>
    <w:rsid w:val="00C50C66"/>
    <w:rsid w:val="00C63822"/>
    <w:rsid w:val="00C64BDF"/>
    <w:rsid w:val="00C650B9"/>
    <w:rsid w:val="00C65AF4"/>
    <w:rsid w:val="00C661A5"/>
    <w:rsid w:val="00C72515"/>
    <w:rsid w:val="00C770E1"/>
    <w:rsid w:val="00C77D09"/>
    <w:rsid w:val="00C90F99"/>
    <w:rsid w:val="00C9306B"/>
    <w:rsid w:val="00C935B2"/>
    <w:rsid w:val="00C93D43"/>
    <w:rsid w:val="00CA2C0D"/>
    <w:rsid w:val="00CA468E"/>
    <w:rsid w:val="00CA7A50"/>
    <w:rsid w:val="00CB2994"/>
    <w:rsid w:val="00CB613D"/>
    <w:rsid w:val="00CC0A54"/>
    <w:rsid w:val="00CC2DCE"/>
    <w:rsid w:val="00CC6FDE"/>
    <w:rsid w:val="00CD1AEE"/>
    <w:rsid w:val="00CE4B9D"/>
    <w:rsid w:val="00CE5324"/>
    <w:rsid w:val="00CE7444"/>
    <w:rsid w:val="00CF6EFC"/>
    <w:rsid w:val="00D02FA5"/>
    <w:rsid w:val="00D067F3"/>
    <w:rsid w:val="00D16B92"/>
    <w:rsid w:val="00D20549"/>
    <w:rsid w:val="00D2097E"/>
    <w:rsid w:val="00D22B53"/>
    <w:rsid w:val="00D330A7"/>
    <w:rsid w:val="00D41BF5"/>
    <w:rsid w:val="00D50398"/>
    <w:rsid w:val="00D50948"/>
    <w:rsid w:val="00D568BD"/>
    <w:rsid w:val="00D60464"/>
    <w:rsid w:val="00D63DB8"/>
    <w:rsid w:val="00D70879"/>
    <w:rsid w:val="00D737D6"/>
    <w:rsid w:val="00D83719"/>
    <w:rsid w:val="00D84365"/>
    <w:rsid w:val="00D901D7"/>
    <w:rsid w:val="00D90ACB"/>
    <w:rsid w:val="00D972CE"/>
    <w:rsid w:val="00DA0BD5"/>
    <w:rsid w:val="00DA1B0A"/>
    <w:rsid w:val="00DA284D"/>
    <w:rsid w:val="00DA4957"/>
    <w:rsid w:val="00DB5BB8"/>
    <w:rsid w:val="00DB6EC9"/>
    <w:rsid w:val="00DC088B"/>
    <w:rsid w:val="00DC0D12"/>
    <w:rsid w:val="00DC2134"/>
    <w:rsid w:val="00DC3EC2"/>
    <w:rsid w:val="00DD036B"/>
    <w:rsid w:val="00DD2418"/>
    <w:rsid w:val="00DD27E8"/>
    <w:rsid w:val="00DD2987"/>
    <w:rsid w:val="00DD3E3B"/>
    <w:rsid w:val="00DE20CC"/>
    <w:rsid w:val="00DE3C88"/>
    <w:rsid w:val="00DE5123"/>
    <w:rsid w:val="00DE7A52"/>
    <w:rsid w:val="00DF11A5"/>
    <w:rsid w:val="00DF1E5F"/>
    <w:rsid w:val="00DF4804"/>
    <w:rsid w:val="00DF4F30"/>
    <w:rsid w:val="00DF61E9"/>
    <w:rsid w:val="00DF6263"/>
    <w:rsid w:val="00DF76F7"/>
    <w:rsid w:val="00E002C5"/>
    <w:rsid w:val="00E01E99"/>
    <w:rsid w:val="00E039A9"/>
    <w:rsid w:val="00E132FE"/>
    <w:rsid w:val="00E1630D"/>
    <w:rsid w:val="00E17CFB"/>
    <w:rsid w:val="00E202E6"/>
    <w:rsid w:val="00E211E5"/>
    <w:rsid w:val="00E2300C"/>
    <w:rsid w:val="00E23536"/>
    <w:rsid w:val="00E23C66"/>
    <w:rsid w:val="00E26C26"/>
    <w:rsid w:val="00E27466"/>
    <w:rsid w:val="00E32D7F"/>
    <w:rsid w:val="00E33FF7"/>
    <w:rsid w:val="00E35035"/>
    <w:rsid w:val="00E35CDA"/>
    <w:rsid w:val="00E367EE"/>
    <w:rsid w:val="00E404DD"/>
    <w:rsid w:val="00E413AF"/>
    <w:rsid w:val="00E417B2"/>
    <w:rsid w:val="00E438FB"/>
    <w:rsid w:val="00E4555E"/>
    <w:rsid w:val="00E460A3"/>
    <w:rsid w:val="00E46EE2"/>
    <w:rsid w:val="00E5079E"/>
    <w:rsid w:val="00E50DC1"/>
    <w:rsid w:val="00E510DE"/>
    <w:rsid w:val="00E56174"/>
    <w:rsid w:val="00E56207"/>
    <w:rsid w:val="00E62083"/>
    <w:rsid w:val="00E6418A"/>
    <w:rsid w:val="00E7298B"/>
    <w:rsid w:val="00E72BE9"/>
    <w:rsid w:val="00E82E36"/>
    <w:rsid w:val="00E905B5"/>
    <w:rsid w:val="00E9772B"/>
    <w:rsid w:val="00EA2949"/>
    <w:rsid w:val="00EA3DBF"/>
    <w:rsid w:val="00EA75CA"/>
    <w:rsid w:val="00EB275A"/>
    <w:rsid w:val="00EB59A2"/>
    <w:rsid w:val="00EB6083"/>
    <w:rsid w:val="00EC5240"/>
    <w:rsid w:val="00EC6DED"/>
    <w:rsid w:val="00ED1FAF"/>
    <w:rsid w:val="00ED2E3B"/>
    <w:rsid w:val="00ED54B2"/>
    <w:rsid w:val="00EE17D8"/>
    <w:rsid w:val="00EF01B9"/>
    <w:rsid w:val="00EF0464"/>
    <w:rsid w:val="00EF04A2"/>
    <w:rsid w:val="00EF3C5F"/>
    <w:rsid w:val="00EF58C6"/>
    <w:rsid w:val="00F011E1"/>
    <w:rsid w:val="00F079CF"/>
    <w:rsid w:val="00F11E90"/>
    <w:rsid w:val="00F179D1"/>
    <w:rsid w:val="00F20589"/>
    <w:rsid w:val="00F20F13"/>
    <w:rsid w:val="00F219EF"/>
    <w:rsid w:val="00F22B8E"/>
    <w:rsid w:val="00F264A7"/>
    <w:rsid w:val="00F2744A"/>
    <w:rsid w:val="00F30509"/>
    <w:rsid w:val="00F31844"/>
    <w:rsid w:val="00F40B03"/>
    <w:rsid w:val="00F4213F"/>
    <w:rsid w:val="00F43DBF"/>
    <w:rsid w:val="00F500B9"/>
    <w:rsid w:val="00F50780"/>
    <w:rsid w:val="00F52397"/>
    <w:rsid w:val="00F53846"/>
    <w:rsid w:val="00F634CB"/>
    <w:rsid w:val="00F6415C"/>
    <w:rsid w:val="00F67D5E"/>
    <w:rsid w:val="00F70C6E"/>
    <w:rsid w:val="00F749CD"/>
    <w:rsid w:val="00F77C3A"/>
    <w:rsid w:val="00F80680"/>
    <w:rsid w:val="00F843E2"/>
    <w:rsid w:val="00F85AD9"/>
    <w:rsid w:val="00F9080A"/>
    <w:rsid w:val="00F93CB8"/>
    <w:rsid w:val="00F94B7B"/>
    <w:rsid w:val="00F96266"/>
    <w:rsid w:val="00F96E88"/>
    <w:rsid w:val="00F97FFD"/>
    <w:rsid w:val="00FA1A7F"/>
    <w:rsid w:val="00FA3636"/>
    <w:rsid w:val="00FA4286"/>
    <w:rsid w:val="00FA4769"/>
    <w:rsid w:val="00FA5482"/>
    <w:rsid w:val="00FA6F04"/>
    <w:rsid w:val="00FA6FEE"/>
    <w:rsid w:val="00FB3441"/>
    <w:rsid w:val="00FB3FF0"/>
    <w:rsid w:val="00FB7AB5"/>
    <w:rsid w:val="00FC1F73"/>
    <w:rsid w:val="00FC736C"/>
    <w:rsid w:val="00FD35C6"/>
    <w:rsid w:val="00FD3A94"/>
    <w:rsid w:val="00FE6DF0"/>
    <w:rsid w:val="00FF0418"/>
    <w:rsid w:val="00FF1632"/>
    <w:rsid w:val="00FF2B7E"/>
    <w:rsid w:val="00FF4650"/>
    <w:rsid w:val="00FF72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665736"/>
  <w15:docId w15:val="{92CB118F-A3FB-4C61-A757-0F7AE4BA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0A2"/>
  </w:style>
  <w:style w:type="paragraph" w:styleId="Heading1">
    <w:name w:val="heading 1"/>
    <w:basedOn w:val="Normal"/>
    <w:next w:val="Normal"/>
    <w:link w:val="Heading1Char"/>
    <w:uiPriority w:val="9"/>
    <w:qFormat/>
    <w:rsid w:val="009F53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002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C1F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FC1F73"/>
    <w:pPr>
      <w:keepNext/>
      <w:spacing w:before="240" w:after="60"/>
      <w:outlineLvl w:val="3"/>
    </w:pPr>
    <w:rPr>
      <w:rFonts w:ascii="Calibri" w:eastAsia="Times New Roman" w:hAnsi="Calibri" w:cs="Times New Roman"/>
      <w:b/>
      <w:bCs/>
      <w:sz w:val="28"/>
      <w:szCs w:val="28"/>
    </w:rPr>
  </w:style>
  <w:style w:type="paragraph" w:styleId="Heading6">
    <w:name w:val="heading 6"/>
    <w:basedOn w:val="Normal"/>
    <w:next w:val="Normal"/>
    <w:link w:val="Heading6Char"/>
    <w:uiPriority w:val="9"/>
    <w:unhideWhenUsed/>
    <w:qFormat/>
    <w:rsid w:val="00E002C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7C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7C72"/>
    <w:rPr>
      <w:b/>
      <w:bCs/>
    </w:rPr>
  </w:style>
  <w:style w:type="character" w:styleId="Emphasis">
    <w:name w:val="Emphasis"/>
    <w:basedOn w:val="DefaultParagraphFont"/>
    <w:uiPriority w:val="20"/>
    <w:qFormat/>
    <w:rsid w:val="00BA7C72"/>
    <w:rPr>
      <w:i/>
      <w:iCs/>
    </w:rPr>
  </w:style>
  <w:style w:type="character" w:styleId="Hyperlink">
    <w:name w:val="Hyperlink"/>
    <w:basedOn w:val="DefaultParagraphFont"/>
    <w:uiPriority w:val="99"/>
    <w:unhideWhenUsed/>
    <w:rsid w:val="00BA7C72"/>
    <w:rPr>
      <w:color w:val="0000FF"/>
      <w:u w:val="single"/>
    </w:rPr>
  </w:style>
  <w:style w:type="paragraph" w:customStyle="1" w:styleId="ParaAttribute4">
    <w:name w:val="ParaAttribute4"/>
    <w:rsid w:val="00A473BF"/>
    <w:pPr>
      <w:widowControl w:val="0"/>
      <w:wordWrap w:val="0"/>
      <w:spacing w:after="0" w:line="240" w:lineRule="auto"/>
      <w:ind w:left="720" w:firstLine="360"/>
      <w:jc w:val="both"/>
    </w:pPr>
    <w:rPr>
      <w:rFonts w:ascii="Times New Roman" w:eastAsia="Batang" w:hAnsi="Times New Roman" w:cs="Times New Roman"/>
      <w:sz w:val="20"/>
      <w:szCs w:val="20"/>
    </w:rPr>
  </w:style>
  <w:style w:type="table" w:styleId="TableGrid">
    <w:name w:val="Table Grid"/>
    <w:basedOn w:val="TableNormal"/>
    <w:uiPriority w:val="39"/>
    <w:rsid w:val="00A473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660133"/>
    <w:pPr>
      <w:widowControl w:val="0"/>
      <w:wordWrap w:val="0"/>
      <w:autoSpaceDE w:val="0"/>
      <w:autoSpaceDN w:val="0"/>
      <w:spacing w:after="0" w:line="240" w:lineRule="auto"/>
      <w:ind w:left="400"/>
      <w:jc w:val="both"/>
    </w:pPr>
    <w:rPr>
      <w:rFonts w:ascii="Batang" w:eastAsia="Batang" w:hAnsi="Times New Roman" w:cs="Times New Roman"/>
      <w:kern w:val="2"/>
      <w:sz w:val="20"/>
      <w:szCs w:val="20"/>
      <w:lang w:eastAsia="ko-KR"/>
    </w:rPr>
  </w:style>
  <w:style w:type="paragraph" w:customStyle="1" w:styleId="ListParagraph1">
    <w:name w:val="List Paragraph1"/>
    <w:basedOn w:val="Normal"/>
    <w:qFormat/>
    <w:rsid w:val="00660133"/>
    <w:pPr>
      <w:bidi/>
      <w:ind w:left="720"/>
      <w:contextualSpacing/>
    </w:pPr>
    <w:rPr>
      <w:rFonts w:ascii="Calibri" w:eastAsia="Calibri" w:hAnsi="Calibri" w:cs="Arial"/>
    </w:rPr>
  </w:style>
  <w:style w:type="paragraph" w:customStyle="1" w:styleId="Default">
    <w:name w:val="Default"/>
    <w:uiPriority w:val="99"/>
    <w:rsid w:val="0020091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41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7B2"/>
    <w:rPr>
      <w:rFonts w:ascii="Tahoma" w:hAnsi="Tahoma" w:cs="Tahoma"/>
      <w:sz w:val="16"/>
      <w:szCs w:val="16"/>
    </w:rPr>
  </w:style>
  <w:style w:type="paragraph" w:customStyle="1" w:styleId="Normal1">
    <w:name w:val="Normal1"/>
    <w:rsid w:val="00453967"/>
    <w:pPr>
      <w:spacing w:after="160" w:line="259" w:lineRule="auto"/>
    </w:pPr>
    <w:rPr>
      <w:rFonts w:ascii="Calibri" w:eastAsia="Calibri" w:hAnsi="Calibri" w:cs="Calibri"/>
    </w:rPr>
  </w:style>
  <w:style w:type="character" w:customStyle="1" w:styleId="sw">
    <w:name w:val="sw"/>
    <w:basedOn w:val="DefaultParagraphFont"/>
    <w:rsid w:val="00C90F99"/>
  </w:style>
  <w:style w:type="paragraph" w:styleId="Header">
    <w:name w:val="header"/>
    <w:basedOn w:val="Normal"/>
    <w:link w:val="HeaderChar"/>
    <w:uiPriority w:val="99"/>
    <w:unhideWhenUsed/>
    <w:rsid w:val="009A2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66A"/>
  </w:style>
  <w:style w:type="paragraph" w:styleId="Footer">
    <w:name w:val="footer"/>
    <w:basedOn w:val="Normal"/>
    <w:link w:val="FooterChar"/>
    <w:uiPriority w:val="99"/>
    <w:unhideWhenUsed/>
    <w:rsid w:val="009A2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66A"/>
  </w:style>
  <w:style w:type="paragraph" w:styleId="BodyText">
    <w:name w:val="Body Text"/>
    <w:basedOn w:val="Normal"/>
    <w:link w:val="BodyTextChar"/>
    <w:uiPriority w:val="1"/>
    <w:qFormat/>
    <w:rsid w:val="00A454B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454B4"/>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FC1F7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C1F73"/>
    <w:rPr>
      <w:rFonts w:ascii="Calibri" w:eastAsia="Times New Roman" w:hAnsi="Calibri" w:cs="Times New Roman"/>
      <w:b/>
      <w:bCs/>
      <w:sz w:val="28"/>
      <w:szCs w:val="28"/>
    </w:rPr>
  </w:style>
  <w:style w:type="character" w:customStyle="1" w:styleId="emphb">
    <w:name w:val="emph_b"/>
    <w:basedOn w:val="DefaultParagraphFont"/>
    <w:rsid w:val="00FC1F73"/>
  </w:style>
  <w:style w:type="paragraph" w:styleId="Caption">
    <w:name w:val="caption"/>
    <w:basedOn w:val="Normal"/>
    <w:next w:val="Normal"/>
    <w:uiPriority w:val="35"/>
    <w:qFormat/>
    <w:rsid w:val="00FC1F73"/>
    <w:pPr>
      <w:spacing w:line="240" w:lineRule="auto"/>
    </w:pPr>
    <w:rPr>
      <w:rFonts w:ascii="Calibri" w:eastAsia="Calibri" w:hAnsi="Calibri" w:cs="Arial"/>
      <w:b/>
      <w:bCs/>
      <w:color w:val="4F81BD"/>
      <w:sz w:val="18"/>
      <w:szCs w:val="18"/>
    </w:rPr>
  </w:style>
  <w:style w:type="paragraph" w:customStyle="1" w:styleId="DecimalAligned">
    <w:name w:val="Decimal Aligned"/>
    <w:basedOn w:val="Normal"/>
    <w:uiPriority w:val="40"/>
    <w:qFormat/>
    <w:rsid w:val="00FC1F73"/>
    <w:pPr>
      <w:tabs>
        <w:tab w:val="decimal" w:pos="360"/>
      </w:tabs>
    </w:pPr>
    <w:rPr>
      <w:rFonts w:ascii="Calibri" w:eastAsia="Times New Roman" w:hAnsi="Calibri" w:cs="Arial"/>
    </w:rPr>
  </w:style>
  <w:style w:type="character" w:styleId="SubtleEmphasis">
    <w:name w:val="Subtle Emphasis"/>
    <w:uiPriority w:val="19"/>
    <w:qFormat/>
    <w:rsid w:val="00FC1F73"/>
    <w:rPr>
      <w:rFonts w:eastAsia="Times New Roman" w:cs="Arial"/>
      <w:bCs w:val="0"/>
      <w:i/>
      <w:iCs/>
      <w:color w:val="808080"/>
      <w:szCs w:val="22"/>
      <w:lang w:val="en-US"/>
    </w:rPr>
  </w:style>
  <w:style w:type="table" w:styleId="MediumShading2-Accent5">
    <w:name w:val="Medium Shading 2 Accent 5"/>
    <w:basedOn w:val="TableNormal"/>
    <w:uiPriority w:val="64"/>
    <w:rsid w:val="00FC1F73"/>
    <w:pPr>
      <w:spacing w:after="0" w:line="240" w:lineRule="auto"/>
    </w:pPr>
    <w:rPr>
      <w:rFonts w:ascii="Calibri" w:eastAsia="Times New Roman" w:hAnsi="Calibri" w:cs="Arial"/>
      <w:sz w:val="20"/>
      <w:szCs w:val="20"/>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FC1F73"/>
    <w:pPr>
      <w:spacing w:after="0" w:line="240" w:lineRule="auto"/>
    </w:pPr>
    <w:rPr>
      <w:rFonts w:ascii="Cambria" w:eastAsia="Times New Roman" w:hAnsi="Cambria" w:cs="Times New Roman"/>
      <w:color w:val="000000"/>
      <w:sz w:val="20"/>
      <w:szCs w:val="2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FC1F73"/>
    <w:pPr>
      <w:spacing w:after="0" w:line="240" w:lineRule="auto"/>
    </w:pPr>
    <w:rPr>
      <w:rFonts w:ascii="Calibri" w:eastAsia="Times New Roman" w:hAnsi="Calibri" w:cs="Arial"/>
      <w:sz w:val="20"/>
      <w:szCs w:val="20"/>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alendar1">
    <w:name w:val="Calendar 1"/>
    <w:basedOn w:val="TableNormal"/>
    <w:uiPriority w:val="99"/>
    <w:qFormat/>
    <w:rsid w:val="00FC1F73"/>
    <w:pPr>
      <w:spacing w:after="0" w:line="240" w:lineRule="auto"/>
    </w:pPr>
    <w:rPr>
      <w:rFonts w:ascii="Calibri" w:eastAsia="Times New Roman" w:hAnsi="Calibri" w:cs="Arial"/>
      <w:sz w:val="20"/>
      <w:szCs w:val="20"/>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ghtList-Accent2">
    <w:name w:val="Light List Accent 2"/>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4">
    <w:name w:val="Light Shading Accent 4"/>
    <w:basedOn w:val="TableNormal"/>
    <w:uiPriority w:val="60"/>
    <w:rsid w:val="00FC1F73"/>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1">
    <w:name w:val="Light Grid1"/>
    <w:basedOn w:val="TableNormal"/>
    <w:uiPriority w:val="62"/>
    <w:rsid w:val="00FC1F73"/>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1">
    <w:name w:val="Medium Shading 2 - Accent 11"/>
    <w:basedOn w:val="TableNormal"/>
    <w:uiPriority w:val="64"/>
    <w:rsid w:val="00FC1F7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FC1F73"/>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5">
    <w:name w:val="Light List Accent 5"/>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2">
    <w:name w:val="Medium Shading 2 Accent 2"/>
    <w:basedOn w:val="TableNormal"/>
    <w:uiPriority w:val="64"/>
    <w:rsid w:val="00FC1F7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FC1F7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C1F73"/>
    <w:rPr>
      <w:rFonts w:ascii="Calibri" w:eastAsia="Calibri" w:hAnsi="Calibri" w:cs="Times New Roman"/>
      <w:sz w:val="20"/>
      <w:szCs w:val="20"/>
    </w:rPr>
  </w:style>
  <w:style w:type="character" w:styleId="FootnoteReference">
    <w:name w:val="footnote reference"/>
    <w:uiPriority w:val="99"/>
    <w:semiHidden/>
    <w:unhideWhenUsed/>
    <w:rsid w:val="00FC1F73"/>
    <w:rPr>
      <w:vertAlign w:val="superscript"/>
    </w:rPr>
  </w:style>
  <w:style w:type="paragraph" w:styleId="EndnoteText">
    <w:name w:val="endnote text"/>
    <w:basedOn w:val="Normal"/>
    <w:link w:val="EndnoteTextChar"/>
    <w:uiPriority w:val="99"/>
    <w:semiHidden/>
    <w:unhideWhenUsed/>
    <w:rsid w:val="00FC1F7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FC1F73"/>
    <w:rPr>
      <w:rFonts w:ascii="Calibri" w:eastAsia="Calibri" w:hAnsi="Calibri" w:cs="Times New Roman"/>
      <w:sz w:val="20"/>
      <w:szCs w:val="20"/>
    </w:rPr>
  </w:style>
  <w:style w:type="character" w:styleId="EndnoteReference">
    <w:name w:val="endnote reference"/>
    <w:uiPriority w:val="99"/>
    <w:semiHidden/>
    <w:unhideWhenUsed/>
    <w:rsid w:val="00FC1F73"/>
    <w:rPr>
      <w:vertAlign w:val="superscript"/>
    </w:rPr>
  </w:style>
  <w:style w:type="character" w:customStyle="1" w:styleId="tgc">
    <w:name w:val="_tgc"/>
    <w:rsid w:val="00FC1F73"/>
  </w:style>
  <w:style w:type="paragraph" w:styleId="NoSpacing">
    <w:name w:val="No Spacing"/>
    <w:uiPriority w:val="1"/>
    <w:qFormat/>
    <w:rsid w:val="00FC1F73"/>
    <w:pPr>
      <w:spacing w:after="0" w:line="240" w:lineRule="auto"/>
    </w:pPr>
    <w:rPr>
      <w:rFonts w:ascii="Calibri" w:eastAsia="Calibri" w:hAnsi="Calibri" w:cs="Arial"/>
    </w:rPr>
  </w:style>
  <w:style w:type="paragraph" w:customStyle="1" w:styleId="1">
    <w:name w:val="سرد الفقرات1"/>
    <w:basedOn w:val="Normal"/>
    <w:qFormat/>
    <w:rsid w:val="00FC1F73"/>
    <w:pPr>
      <w:ind w:left="720"/>
      <w:contextualSpacing/>
    </w:pPr>
    <w:rPr>
      <w:rFonts w:ascii="Calibri" w:eastAsia="Times New Roman" w:hAnsi="Calibri" w:cs="Arial"/>
    </w:rPr>
  </w:style>
  <w:style w:type="character" w:customStyle="1" w:styleId="fontstyle01">
    <w:name w:val="fontstyle01"/>
    <w:rsid w:val="00FC1F73"/>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FC1F73"/>
    <w:pPr>
      <w:widowControl w:val="0"/>
      <w:autoSpaceDE w:val="0"/>
      <w:autoSpaceDN w:val="0"/>
      <w:spacing w:after="0" w:line="240" w:lineRule="auto"/>
    </w:pPr>
    <w:rPr>
      <w:rFonts w:ascii="Times New Roman" w:eastAsia="Times New Roman" w:hAnsi="Times New Roman" w:cs="Times New Roman"/>
    </w:rPr>
  </w:style>
  <w:style w:type="character" w:customStyle="1" w:styleId="CharAttribute7">
    <w:name w:val="CharAttribute7"/>
    <w:rsid w:val="004B1BCC"/>
    <w:rPr>
      <w:rFonts w:ascii="Cambria" w:eastAsia="Cambria" w:hAnsi="Cambria"/>
      <w:b/>
      <w:sz w:val="24"/>
    </w:rPr>
  </w:style>
  <w:style w:type="paragraph" w:customStyle="1" w:styleId="ParaAttribute8">
    <w:name w:val="ParaAttribute8"/>
    <w:rsid w:val="004B1BCC"/>
    <w:pPr>
      <w:widowControl w:val="0"/>
      <w:wordWrap w:val="0"/>
      <w:spacing w:before="280" w:after="280" w:line="240" w:lineRule="auto"/>
      <w:ind w:left="720"/>
      <w:jc w:val="both"/>
    </w:pPr>
    <w:rPr>
      <w:rFonts w:ascii="Times New Roman" w:eastAsia="Batang" w:hAnsi="Times New Roman" w:cs="Times New Roman"/>
      <w:sz w:val="20"/>
      <w:szCs w:val="20"/>
    </w:rPr>
  </w:style>
  <w:style w:type="character" w:customStyle="1" w:styleId="mixed-citation">
    <w:name w:val="mixed-citation"/>
    <w:basedOn w:val="DefaultParagraphFont"/>
    <w:rsid w:val="00817C28"/>
  </w:style>
  <w:style w:type="character" w:customStyle="1" w:styleId="ref-journal">
    <w:name w:val="ref-journal"/>
    <w:basedOn w:val="DefaultParagraphFont"/>
    <w:rsid w:val="00817C28"/>
  </w:style>
  <w:style w:type="character" w:customStyle="1" w:styleId="nowrap">
    <w:name w:val="nowrap"/>
    <w:basedOn w:val="DefaultParagraphFont"/>
    <w:rsid w:val="00817C28"/>
  </w:style>
  <w:style w:type="character" w:customStyle="1" w:styleId="ref-title">
    <w:name w:val="ref-title"/>
    <w:basedOn w:val="DefaultParagraphFont"/>
    <w:rsid w:val="00817C28"/>
  </w:style>
  <w:style w:type="character" w:customStyle="1" w:styleId="ref-vol">
    <w:name w:val="ref-vol"/>
    <w:basedOn w:val="DefaultParagraphFont"/>
    <w:rsid w:val="00817C28"/>
  </w:style>
  <w:style w:type="character" w:customStyle="1" w:styleId="CharAttribute13">
    <w:name w:val="CharAttribute13"/>
    <w:rsid w:val="006B04A8"/>
    <w:rPr>
      <w:rFonts w:ascii="Cambria" w:eastAsia="Cambria"/>
      <w:b/>
      <w:sz w:val="28"/>
    </w:rPr>
  </w:style>
  <w:style w:type="paragraph" w:customStyle="1" w:styleId="ParaAttribute5">
    <w:name w:val="ParaAttribute5"/>
    <w:rsid w:val="00A764DB"/>
    <w:pPr>
      <w:wordWrap w:val="0"/>
      <w:spacing w:after="0" w:line="240" w:lineRule="auto"/>
    </w:pPr>
    <w:rPr>
      <w:rFonts w:ascii="Times New Roman" w:eastAsia="□□" w:hAnsi="Times New Roman" w:cs="Times New Roman"/>
      <w:sz w:val="20"/>
      <w:szCs w:val="20"/>
    </w:rPr>
  </w:style>
  <w:style w:type="paragraph" w:customStyle="1" w:styleId="ParaAttribute18">
    <w:name w:val="ParaAttribute18"/>
    <w:rsid w:val="00A764DB"/>
    <w:pPr>
      <w:wordWrap w:val="0"/>
      <w:spacing w:line="240" w:lineRule="auto"/>
    </w:pPr>
    <w:rPr>
      <w:rFonts w:ascii="Times New Roman" w:eastAsia="□□" w:hAnsi="Times New Roman" w:cs="Times New Roman"/>
      <w:sz w:val="20"/>
      <w:szCs w:val="20"/>
    </w:rPr>
  </w:style>
  <w:style w:type="character" w:customStyle="1" w:styleId="CharAttribute31">
    <w:name w:val="CharAttribute31"/>
    <w:rsid w:val="00A764DB"/>
    <w:rPr>
      <w:rFonts w:ascii="Times New Roman" w:eastAsia="Times New Roman"/>
      <w:b/>
      <w:sz w:val="28"/>
    </w:rPr>
  </w:style>
  <w:style w:type="character" w:customStyle="1" w:styleId="hps">
    <w:name w:val="hps"/>
    <w:basedOn w:val="DefaultParagraphFont"/>
    <w:rsid w:val="00867F98"/>
  </w:style>
  <w:style w:type="character" w:customStyle="1" w:styleId="Heading1Char">
    <w:name w:val="Heading 1 Char"/>
    <w:basedOn w:val="DefaultParagraphFont"/>
    <w:link w:val="Heading1"/>
    <w:uiPriority w:val="9"/>
    <w:rsid w:val="009F53A0"/>
    <w:rPr>
      <w:rFonts w:asciiTheme="majorHAnsi" w:eastAsiaTheme="majorEastAsia" w:hAnsiTheme="majorHAnsi" w:cstheme="majorBidi"/>
      <w:color w:val="365F91" w:themeColor="accent1" w:themeShade="BF"/>
      <w:sz w:val="32"/>
      <w:szCs w:val="32"/>
    </w:rPr>
  </w:style>
  <w:style w:type="character" w:customStyle="1" w:styleId="Heading6Char">
    <w:name w:val="Heading 6 Char"/>
    <w:basedOn w:val="DefaultParagraphFont"/>
    <w:link w:val="Heading6"/>
    <w:uiPriority w:val="9"/>
    <w:rsid w:val="00E002C5"/>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E002C5"/>
    <w:rPr>
      <w:rFonts w:asciiTheme="majorHAnsi" w:eastAsiaTheme="majorEastAsia" w:hAnsiTheme="majorHAnsi" w:cstheme="majorBidi"/>
      <w:color w:val="365F91" w:themeColor="accent1" w:themeShade="BF"/>
      <w:sz w:val="26"/>
      <w:szCs w:val="26"/>
    </w:rPr>
  </w:style>
  <w:style w:type="character" w:customStyle="1" w:styleId="element-citation">
    <w:name w:val="element-citation"/>
    <w:basedOn w:val="DefaultParagraphFont"/>
    <w:rsid w:val="00056716"/>
  </w:style>
  <w:style w:type="character" w:styleId="UnresolvedMention">
    <w:name w:val="Unresolved Mention"/>
    <w:basedOn w:val="DefaultParagraphFont"/>
    <w:uiPriority w:val="99"/>
    <w:semiHidden/>
    <w:unhideWhenUsed/>
    <w:rsid w:val="000B70EB"/>
    <w:rPr>
      <w:color w:val="605E5C"/>
      <w:shd w:val="clear" w:color="auto" w:fill="E1DFDD"/>
    </w:rPr>
  </w:style>
  <w:style w:type="character" w:styleId="CommentReference">
    <w:name w:val="annotation reference"/>
    <w:basedOn w:val="DefaultParagraphFont"/>
    <w:uiPriority w:val="99"/>
    <w:semiHidden/>
    <w:unhideWhenUsed/>
    <w:rsid w:val="00B52679"/>
    <w:rPr>
      <w:sz w:val="16"/>
      <w:szCs w:val="16"/>
    </w:rPr>
  </w:style>
  <w:style w:type="paragraph" w:styleId="CommentText">
    <w:name w:val="annotation text"/>
    <w:basedOn w:val="Normal"/>
    <w:link w:val="CommentTextChar"/>
    <w:uiPriority w:val="99"/>
    <w:semiHidden/>
    <w:unhideWhenUsed/>
    <w:rsid w:val="00B52679"/>
    <w:pPr>
      <w:spacing w:line="240" w:lineRule="auto"/>
    </w:pPr>
    <w:rPr>
      <w:sz w:val="20"/>
      <w:szCs w:val="20"/>
    </w:rPr>
  </w:style>
  <w:style w:type="character" w:customStyle="1" w:styleId="CommentTextChar">
    <w:name w:val="Comment Text Char"/>
    <w:basedOn w:val="DefaultParagraphFont"/>
    <w:link w:val="CommentText"/>
    <w:uiPriority w:val="99"/>
    <w:semiHidden/>
    <w:rsid w:val="00B52679"/>
    <w:rPr>
      <w:sz w:val="20"/>
      <w:szCs w:val="20"/>
    </w:rPr>
  </w:style>
  <w:style w:type="paragraph" w:styleId="CommentSubject">
    <w:name w:val="annotation subject"/>
    <w:basedOn w:val="CommentText"/>
    <w:next w:val="CommentText"/>
    <w:link w:val="CommentSubjectChar"/>
    <w:uiPriority w:val="99"/>
    <w:semiHidden/>
    <w:unhideWhenUsed/>
    <w:rsid w:val="00B52679"/>
    <w:rPr>
      <w:b/>
      <w:bCs/>
    </w:rPr>
  </w:style>
  <w:style w:type="character" w:customStyle="1" w:styleId="CommentSubjectChar">
    <w:name w:val="Comment Subject Char"/>
    <w:basedOn w:val="CommentTextChar"/>
    <w:link w:val="CommentSubject"/>
    <w:uiPriority w:val="99"/>
    <w:semiHidden/>
    <w:rsid w:val="00B526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8263">
      <w:bodyDiv w:val="1"/>
      <w:marLeft w:val="0"/>
      <w:marRight w:val="0"/>
      <w:marTop w:val="0"/>
      <w:marBottom w:val="0"/>
      <w:divBdr>
        <w:top w:val="none" w:sz="0" w:space="0" w:color="auto"/>
        <w:left w:val="none" w:sz="0" w:space="0" w:color="auto"/>
        <w:bottom w:val="none" w:sz="0" w:space="0" w:color="auto"/>
        <w:right w:val="none" w:sz="0" w:space="0" w:color="auto"/>
      </w:divBdr>
      <w:divsChild>
        <w:div w:id="2083675150">
          <w:marLeft w:val="0"/>
          <w:marRight w:val="0"/>
          <w:marTop w:val="200"/>
          <w:marBottom w:val="200"/>
          <w:divBdr>
            <w:top w:val="none" w:sz="0" w:space="0" w:color="auto"/>
            <w:left w:val="none" w:sz="0" w:space="0" w:color="auto"/>
            <w:bottom w:val="none" w:sz="0" w:space="0" w:color="auto"/>
            <w:right w:val="none" w:sz="0" w:space="0" w:color="auto"/>
          </w:divBdr>
        </w:div>
        <w:div w:id="631134914">
          <w:marLeft w:val="0"/>
          <w:marRight w:val="0"/>
          <w:marTop w:val="200"/>
          <w:marBottom w:val="200"/>
          <w:divBdr>
            <w:top w:val="none" w:sz="0" w:space="0" w:color="auto"/>
            <w:left w:val="none" w:sz="0" w:space="0" w:color="auto"/>
            <w:bottom w:val="none" w:sz="0" w:space="0" w:color="auto"/>
            <w:right w:val="none" w:sz="0" w:space="0" w:color="auto"/>
          </w:divBdr>
        </w:div>
        <w:div w:id="1469322508">
          <w:marLeft w:val="0"/>
          <w:marRight w:val="0"/>
          <w:marTop w:val="200"/>
          <w:marBottom w:val="200"/>
          <w:divBdr>
            <w:top w:val="none" w:sz="0" w:space="0" w:color="auto"/>
            <w:left w:val="none" w:sz="0" w:space="0" w:color="auto"/>
            <w:bottom w:val="none" w:sz="0" w:space="0" w:color="auto"/>
            <w:right w:val="none" w:sz="0" w:space="0" w:color="auto"/>
          </w:divBdr>
        </w:div>
      </w:divsChild>
    </w:div>
    <w:div w:id="23943174">
      <w:bodyDiv w:val="1"/>
      <w:marLeft w:val="0"/>
      <w:marRight w:val="0"/>
      <w:marTop w:val="0"/>
      <w:marBottom w:val="0"/>
      <w:divBdr>
        <w:top w:val="none" w:sz="0" w:space="0" w:color="auto"/>
        <w:left w:val="none" w:sz="0" w:space="0" w:color="auto"/>
        <w:bottom w:val="none" w:sz="0" w:space="0" w:color="auto"/>
        <w:right w:val="none" w:sz="0" w:space="0" w:color="auto"/>
      </w:divBdr>
    </w:div>
    <w:div w:id="45882625">
      <w:bodyDiv w:val="1"/>
      <w:marLeft w:val="0"/>
      <w:marRight w:val="0"/>
      <w:marTop w:val="0"/>
      <w:marBottom w:val="0"/>
      <w:divBdr>
        <w:top w:val="none" w:sz="0" w:space="0" w:color="auto"/>
        <w:left w:val="none" w:sz="0" w:space="0" w:color="auto"/>
        <w:bottom w:val="none" w:sz="0" w:space="0" w:color="auto"/>
        <w:right w:val="none" w:sz="0" w:space="0" w:color="auto"/>
      </w:divBdr>
    </w:div>
    <w:div w:id="182403850">
      <w:bodyDiv w:val="1"/>
      <w:marLeft w:val="0"/>
      <w:marRight w:val="0"/>
      <w:marTop w:val="0"/>
      <w:marBottom w:val="0"/>
      <w:divBdr>
        <w:top w:val="none" w:sz="0" w:space="0" w:color="auto"/>
        <w:left w:val="none" w:sz="0" w:space="0" w:color="auto"/>
        <w:bottom w:val="none" w:sz="0" w:space="0" w:color="auto"/>
        <w:right w:val="none" w:sz="0" w:space="0" w:color="auto"/>
      </w:divBdr>
    </w:div>
    <w:div w:id="183323526">
      <w:bodyDiv w:val="1"/>
      <w:marLeft w:val="0"/>
      <w:marRight w:val="0"/>
      <w:marTop w:val="0"/>
      <w:marBottom w:val="0"/>
      <w:divBdr>
        <w:top w:val="none" w:sz="0" w:space="0" w:color="auto"/>
        <w:left w:val="none" w:sz="0" w:space="0" w:color="auto"/>
        <w:bottom w:val="none" w:sz="0" w:space="0" w:color="auto"/>
        <w:right w:val="none" w:sz="0" w:space="0" w:color="auto"/>
      </w:divBdr>
    </w:div>
    <w:div w:id="202326717">
      <w:bodyDiv w:val="1"/>
      <w:marLeft w:val="0"/>
      <w:marRight w:val="0"/>
      <w:marTop w:val="0"/>
      <w:marBottom w:val="0"/>
      <w:divBdr>
        <w:top w:val="none" w:sz="0" w:space="0" w:color="auto"/>
        <w:left w:val="none" w:sz="0" w:space="0" w:color="auto"/>
        <w:bottom w:val="none" w:sz="0" w:space="0" w:color="auto"/>
        <w:right w:val="none" w:sz="0" w:space="0" w:color="auto"/>
      </w:divBdr>
    </w:div>
    <w:div w:id="203638373">
      <w:bodyDiv w:val="1"/>
      <w:marLeft w:val="0"/>
      <w:marRight w:val="0"/>
      <w:marTop w:val="0"/>
      <w:marBottom w:val="0"/>
      <w:divBdr>
        <w:top w:val="none" w:sz="0" w:space="0" w:color="auto"/>
        <w:left w:val="none" w:sz="0" w:space="0" w:color="auto"/>
        <w:bottom w:val="none" w:sz="0" w:space="0" w:color="auto"/>
        <w:right w:val="none" w:sz="0" w:space="0" w:color="auto"/>
      </w:divBdr>
    </w:div>
    <w:div w:id="203715714">
      <w:bodyDiv w:val="1"/>
      <w:marLeft w:val="0"/>
      <w:marRight w:val="0"/>
      <w:marTop w:val="0"/>
      <w:marBottom w:val="0"/>
      <w:divBdr>
        <w:top w:val="none" w:sz="0" w:space="0" w:color="auto"/>
        <w:left w:val="none" w:sz="0" w:space="0" w:color="auto"/>
        <w:bottom w:val="none" w:sz="0" w:space="0" w:color="auto"/>
        <w:right w:val="none" w:sz="0" w:space="0" w:color="auto"/>
      </w:divBdr>
    </w:div>
    <w:div w:id="215161526">
      <w:bodyDiv w:val="1"/>
      <w:marLeft w:val="0"/>
      <w:marRight w:val="0"/>
      <w:marTop w:val="0"/>
      <w:marBottom w:val="0"/>
      <w:divBdr>
        <w:top w:val="none" w:sz="0" w:space="0" w:color="auto"/>
        <w:left w:val="none" w:sz="0" w:space="0" w:color="auto"/>
        <w:bottom w:val="none" w:sz="0" w:space="0" w:color="auto"/>
        <w:right w:val="none" w:sz="0" w:space="0" w:color="auto"/>
      </w:divBdr>
    </w:div>
    <w:div w:id="261956437">
      <w:bodyDiv w:val="1"/>
      <w:marLeft w:val="0"/>
      <w:marRight w:val="0"/>
      <w:marTop w:val="0"/>
      <w:marBottom w:val="0"/>
      <w:divBdr>
        <w:top w:val="none" w:sz="0" w:space="0" w:color="auto"/>
        <w:left w:val="none" w:sz="0" w:space="0" w:color="auto"/>
        <w:bottom w:val="none" w:sz="0" w:space="0" w:color="auto"/>
        <w:right w:val="none" w:sz="0" w:space="0" w:color="auto"/>
      </w:divBdr>
    </w:div>
    <w:div w:id="299654702">
      <w:bodyDiv w:val="1"/>
      <w:marLeft w:val="0"/>
      <w:marRight w:val="0"/>
      <w:marTop w:val="0"/>
      <w:marBottom w:val="0"/>
      <w:divBdr>
        <w:top w:val="none" w:sz="0" w:space="0" w:color="auto"/>
        <w:left w:val="none" w:sz="0" w:space="0" w:color="auto"/>
        <w:bottom w:val="none" w:sz="0" w:space="0" w:color="auto"/>
        <w:right w:val="none" w:sz="0" w:space="0" w:color="auto"/>
      </w:divBdr>
    </w:div>
    <w:div w:id="301814384">
      <w:bodyDiv w:val="1"/>
      <w:marLeft w:val="0"/>
      <w:marRight w:val="0"/>
      <w:marTop w:val="0"/>
      <w:marBottom w:val="0"/>
      <w:divBdr>
        <w:top w:val="none" w:sz="0" w:space="0" w:color="auto"/>
        <w:left w:val="none" w:sz="0" w:space="0" w:color="auto"/>
        <w:bottom w:val="none" w:sz="0" w:space="0" w:color="auto"/>
        <w:right w:val="none" w:sz="0" w:space="0" w:color="auto"/>
      </w:divBdr>
      <w:divsChild>
        <w:div w:id="1223518269">
          <w:marLeft w:val="0"/>
          <w:marRight w:val="0"/>
          <w:marTop w:val="0"/>
          <w:marBottom w:val="0"/>
          <w:divBdr>
            <w:top w:val="none" w:sz="0" w:space="0" w:color="auto"/>
            <w:left w:val="none" w:sz="0" w:space="0" w:color="auto"/>
            <w:bottom w:val="none" w:sz="0" w:space="0" w:color="auto"/>
            <w:right w:val="none" w:sz="0" w:space="0" w:color="auto"/>
          </w:divBdr>
        </w:div>
      </w:divsChild>
    </w:div>
    <w:div w:id="356585458">
      <w:bodyDiv w:val="1"/>
      <w:marLeft w:val="0"/>
      <w:marRight w:val="0"/>
      <w:marTop w:val="0"/>
      <w:marBottom w:val="0"/>
      <w:divBdr>
        <w:top w:val="none" w:sz="0" w:space="0" w:color="auto"/>
        <w:left w:val="none" w:sz="0" w:space="0" w:color="auto"/>
        <w:bottom w:val="none" w:sz="0" w:space="0" w:color="auto"/>
        <w:right w:val="none" w:sz="0" w:space="0" w:color="auto"/>
      </w:divBdr>
    </w:div>
    <w:div w:id="401023486">
      <w:bodyDiv w:val="1"/>
      <w:marLeft w:val="0"/>
      <w:marRight w:val="0"/>
      <w:marTop w:val="0"/>
      <w:marBottom w:val="0"/>
      <w:divBdr>
        <w:top w:val="none" w:sz="0" w:space="0" w:color="auto"/>
        <w:left w:val="none" w:sz="0" w:space="0" w:color="auto"/>
        <w:bottom w:val="none" w:sz="0" w:space="0" w:color="auto"/>
        <w:right w:val="none" w:sz="0" w:space="0" w:color="auto"/>
      </w:divBdr>
    </w:div>
    <w:div w:id="427503464">
      <w:bodyDiv w:val="1"/>
      <w:marLeft w:val="0"/>
      <w:marRight w:val="0"/>
      <w:marTop w:val="0"/>
      <w:marBottom w:val="0"/>
      <w:divBdr>
        <w:top w:val="none" w:sz="0" w:space="0" w:color="auto"/>
        <w:left w:val="none" w:sz="0" w:space="0" w:color="auto"/>
        <w:bottom w:val="none" w:sz="0" w:space="0" w:color="auto"/>
        <w:right w:val="none" w:sz="0" w:space="0" w:color="auto"/>
      </w:divBdr>
    </w:div>
    <w:div w:id="443307754">
      <w:bodyDiv w:val="1"/>
      <w:marLeft w:val="0"/>
      <w:marRight w:val="0"/>
      <w:marTop w:val="0"/>
      <w:marBottom w:val="0"/>
      <w:divBdr>
        <w:top w:val="none" w:sz="0" w:space="0" w:color="auto"/>
        <w:left w:val="none" w:sz="0" w:space="0" w:color="auto"/>
        <w:bottom w:val="none" w:sz="0" w:space="0" w:color="auto"/>
        <w:right w:val="none" w:sz="0" w:space="0" w:color="auto"/>
      </w:divBdr>
    </w:div>
    <w:div w:id="529148851">
      <w:bodyDiv w:val="1"/>
      <w:marLeft w:val="0"/>
      <w:marRight w:val="0"/>
      <w:marTop w:val="0"/>
      <w:marBottom w:val="0"/>
      <w:divBdr>
        <w:top w:val="none" w:sz="0" w:space="0" w:color="auto"/>
        <w:left w:val="none" w:sz="0" w:space="0" w:color="auto"/>
        <w:bottom w:val="none" w:sz="0" w:space="0" w:color="auto"/>
        <w:right w:val="none" w:sz="0" w:space="0" w:color="auto"/>
      </w:divBdr>
    </w:div>
    <w:div w:id="571739910">
      <w:bodyDiv w:val="1"/>
      <w:marLeft w:val="0"/>
      <w:marRight w:val="0"/>
      <w:marTop w:val="0"/>
      <w:marBottom w:val="0"/>
      <w:divBdr>
        <w:top w:val="none" w:sz="0" w:space="0" w:color="auto"/>
        <w:left w:val="none" w:sz="0" w:space="0" w:color="auto"/>
        <w:bottom w:val="none" w:sz="0" w:space="0" w:color="auto"/>
        <w:right w:val="none" w:sz="0" w:space="0" w:color="auto"/>
      </w:divBdr>
    </w:div>
    <w:div w:id="572542443">
      <w:bodyDiv w:val="1"/>
      <w:marLeft w:val="0"/>
      <w:marRight w:val="0"/>
      <w:marTop w:val="0"/>
      <w:marBottom w:val="0"/>
      <w:divBdr>
        <w:top w:val="none" w:sz="0" w:space="0" w:color="auto"/>
        <w:left w:val="none" w:sz="0" w:space="0" w:color="auto"/>
        <w:bottom w:val="none" w:sz="0" w:space="0" w:color="auto"/>
        <w:right w:val="none" w:sz="0" w:space="0" w:color="auto"/>
      </w:divBdr>
    </w:div>
    <w:div w:id="573054196">
      <w:bodyDiv w:val="1"/>
      <w:marLeft w:val="0"/>
      <w:marRight w:val="0"/>
      <w:marTop w:val="0"/>
      <w:marBottom w:val="0"/>
      <w:divBdr>
        <w:top w:val="none" w:sz="0" w:space="0" w:color="auto"/>
        <w:left w:val="none" w:sz="0" w:space="0" w:color="auto"/>
        <w:bottom w:val="none" w:sz="0" w:space="0" w:color="auto"/>
        <w:right w:val="none" w:sz="0" w:space="0" w:color="auto"/>
      </w:divBdr>
    </w:div>
    <w:div w:id="580331407">
      <w:bodyDiv w:val="1"/>
      <w:marLeft w:val="0"/>
      <w:marRight w:val="0"/>
      <w:marTop w:val="0"/>
      <w:marBottom w:val="0"/>
      <w:divBdr>
        <w:top w:val="none" w:sz="0" w:space="0" w:color="auto"/>
        <w:left w:val="none" w:sz="0" w:space="0" w:color="auto"/>
        <w:bottom w:val="none" w:sz="0" w:space="0" w:color="auto"/>
        <w:right w:val="none" w:sz="0" w:space="0" w:color="auto"/>
      </w:divBdr>
    </w:div>
    <w:div w:id="608397691">
      <w:bodyDiv w:val="1"/>
      <w:marLeft w:val="0"/>
      <w:marRight w:val="0"/>
      <w:marTop w:val="0"/>
      <w:marBottom w:val="0"/>
      <w:divBdr>
        <w:top w:val="none" w:sz="0" w:space="0" w:color="auto"/>
        <w:left w:val="none" w:sz="0" w:space="0" w:color="auto"/>
        <w:bottom w:val="none" w:sz="0" w:space="0" w:color="auto"/>
        <w:right w:val="none" w:sz="0" w:space="0" w:color="auto"/>
      </w:divBdr>
      <w:divsChild>
        <w:div w:id="1870218686">
          <w:marLeft w:val="0"/>
          <w:marRight w:val="0"/>
          <w:marTop w:val="0"/>
          <w:marBottom w:val="0"/>
          <w:divBdr>
            <w:top w:val="none" w:sz="0" w:space="0" w:color="auto"/>
            <w:left w:val="none" w:sz="0" w:space="0" w:color="auto"/>
            <w:bottom w:val="none" w:sz="0" w:space="0" w:color="auto"/>
            <w:right w:val="none" w:sz="0" w:space="0" w:color="auto"/>
          </w:divBdr>
        </w:div>
      </w:divsChild>
    </w:div>
    <w:div w:id="639120091">
      <w:bodyDiv w:val="1"/>
      <w:marLeft w:val="0"/>
      <w:marRight w:val="0"/>
      <w:marTop w:val="0"/>
      <w:marBottom w:val="0"/>
      <w:divBdr>
        <w:top w:val="none" w:sz="0" w:space="0" w:color="auto"/>
        <w:left w:val="none" w:sz="0" w:space="0" w:color="auto"/>
        <w:bottom w:val="none" w:sz="0" w:space="0" w:color="auto"/>
        <w:right w:val="none" w:sz="0" w:space="0" w:color="auto"/>
      </w:divBdr>
    </w:div>
    <w:div w:id="651297365">
      <w:bodyDiv w:val="1"/>
      <w:marLeft w:val="0"/>
      <w:marRight w:val="0"/>
      <w:marTop w:val="0"/>
      <w:marBottom w:val="0"/>
      <w:divBdr>
        <w:top w:val="none" w:sz="0" w:space="0" w:color="auto"/>
        <w:left w:val="none" w:sz="0" w:space="0" w:color="auto"/>
        <w:bottom w:val="none" w:sz="0" w:space="0" w:color="auto"/>
        <w:right w:val="none" w:sz="0" w:space="0" w:color="auto"/>
      </w:divBdr>
    </w:div>
    <w:div w:id="662856473">
      <w:bodyDiv w:val="1"/>
      <w:marLeft w:val="0"/>
      <w:marRight w:val="0"/>
      <w:marTop w:val="0"/>
      <w:marBottom w:val="0"/>
      <w:divBdr>
        <w:top w:val="none" w:sz="0" w:space="0" w:color="auto"/>
        <w:left w:val="none" w:sz="0" w:space="0" w:color="auto"/>
        <w:bottom w:val="none" w:sz="0" w:space="0" w:color="auto"/>
        <w:right w:val="none" w:sz="0" w:space="0" w:color="auto"/>
      </w:divBdr>
    </w:div>
    <w:div w:id="689601188">
      <w:bodyDiv w:val="1"/>
      <w:marLeft w:val="0"/>
      <w:marRight w:val="0"/>
      <w:marTop w:val="0"/>
      <w:marBottom w:val="0"/>
      <w:divBdr>
        <w:top w:val="none" w:sz="0" w:space="0" w:color="auto"/>
        <w:left w:val="none" w:sz="0" w:space="0" w:color="auto"/>
        <w:bottom w:val="none" w:sz="0" w:space="0" w:color="auto"/>
        <w:right w:val="none" w:sz="0" w:space="0" w:color="auto"/>
      </w:divBdr>
      <w:divsChild>
        <w:div w:id="1525902489">
          <w:marLeft w:val="0"/>
          <w:marRight w:val="0"/>
          <w:marTop w:val="200"/>
          <w:marBottom w:val="200"/>
          <w:divBdr>
            <w:top w:val="none" w:sz="0" w:space="0" w:color="auto"/>
            <w:left w:val="none" w:sz="0" w:space="0" w:color="auto"/>
            <w:bottom w:val="none" w:sz="0" w:space="0" w:color="auto"/>
            <w:right w:val="none" w:sz="0" w:space="0" w:color="auto"/>
          </w:divBdr>
        </w:div>
        <w:div w:id="1223905198">
          <w:marLeft w:val="0"/>
          <w:marRight w:val="0"/>
          <w:marTop w:val="200"/>
          <w:marBottom w:val="200"/>
          <w:divBdr>
            <w:top w:val="none" w:sz="0" w:space="0" w:color="auto"/>
            <w:left w:val="none" w:sz="0" w:space="0" w:color="auto"/>
            <w:bottom w:val="none" w:sz="0" w:space="0" w:color="auto"/>
            <w:right w:val="none" w:sz="0" w:space="0" w:color="auto"/>
          </w:divBdr>
        </w:div>
        <w:div w:id="1530603297">
          <w:marLeft w:val="0"/>
          <w:marRight w:val="0"/>
          <w:marTop w:val="200"/>
          <w:marBottom w:val="200"/>
          <w:divBdr>
            <w:top w:val="none" w:sz="0" w:space="0" w:color="auto"/>
            <w:left w:val="none" w:sz="0" w:space="0" w:color="auto"/>
            <w:bottom w:val="none" w:sz="0" w:space="0" w:color="auto"/>
            <w:right w:val="none" w:sz="0" w:space="0" w:color="auto"/>
          </w:divBdr>
        </w:div>
        <w:div w:id="927956766">
          <w:marLeft w:val="0"/>
          <w:marRight w:val="0"/>
          <w:marTop w:val="200"/>
          <w:marBottom w:val="200"/>
          <w:divBdr>
            <w:top w:val="none" w:sz="0" w:space="0" w:color="auto"/>
            <w:left w:val="none" w:sz="0" w:space="0" w:color="auto"/>
            <w:bottom w:val="none" w:sz="0" w:space="0" w:color="auto"/>
            <w:right w:val="none" w:sz="0" w:space="0" w:color="auto"/>
          </w:divBdr>
        </w:div>
        <w:div w:id="1294484140">
          <w:marLeft w:val="0"/>
          <w:marRight w:val="0"/>
          <w:marTop w:val="200"/>
          <w:marBottom w:val="200"/>
          <w:divBdr>
            <w:top w:val="none" w:sz="0" w:space="0" w:color="auto"/>
            <w:left w:val="none" w:sz="0" w:space="0" w:color="auto"/>
            <w:bottom w:val="none" w:sz="0" w:space="0" w:color="auto"/>
            <w:right w:val="none" w:sz="0" w:space="0" w:color="auto"/>
          </w:divBdr>
        </w:div>
        <w:div w:id="1484353382">
          <w:marLeft w:val="0"/>
          <w:marRight w:val="0"/>
          <w:marTop w:val="200"/>
          <w:marBottom w:val="200"/>
          <w:divBdr>
            <w:top w:val="none" w:sz="0" w:space="0" w:color="auto"/>
            <w:left w:val="none" w:sz="0" w:space="0" w:color="auto"/>
            <w:bottom w:val="none" w:sz="0" w:space="0" w:color="auto"/>
            <w:right w:val="none" w:sz="0" w:space="0" w:color="auto"/>
          </w:divBdr>
        </w:div>
        <w:div w:id="1111824763">
          <w:marLeft w:val="0"/>
          <w:marRight w:val="0"/>
          <w:marTop w:val="200"/>
          <w:marBottom w:val="200"/>
          <w:divBdr>
            <w:top w:val="none" w:sz="0" w:space="0" w:color="auto"/>
            <w:left w:val="none" w:sz="0" w:space="0" w:color="auto"/>
            <w:bottom w:val="none" w:sz="0" w:space="0" w:color="auto"/>
            <w:right w:val="none" w:sz="0" w:space="0" w:color="auto"/>
          </w:divBdr>
        </w:div>
        <w:div w:id="227571655">
          <w:marLeft w:val="0"/>
          <w:marRight w:val="0"/>
          <w:marTop w:val="200"/>
          <w:marBottom w:val="200"/>
          <w:divBdr>
            <w:top w:val="none" w:sz="0" w:space="0" w:color="auto"/>
            <w:left w:val="none" w:sz="0" w:space="0" w:color="auto"/>
            <w:bottom w:val="none" w:sz="0" w:space="0" w:color="auto"/>
            <w:right w:val="none" w:sz="0" w:space="0" w:color="auto"/>
          </w:divBdr>
        </w:div>
      </w:divsChild>
    </w:div>
    <w:div w:id="700087013">
      <w:bodyDiv w:val="1"/>
      <w:marLeft w:val="0"/>
      <w:marRight w:val="0"/>
      <w:marTop w:val="0"/>
      <w:marBottom w:val="0"/>
      <w:divBdr>
        <w:top w:val="none" w:sz="0" w:space="0" w:color="auto"/>
        <w:left w:val="none" w:sz="0" w:space="0" w:color="auto"/>
        <w:bottom w:val="none" w:sz="0" w:space="0" w:color="auto"/>
        <w:right w:val="none" w:sz="0" w:space="0" w:color="auto"/>
      </w:divBdr>
    </w:div>
    <w:div w:id="702638750">
      <w:bodyDiv w:val="1"/>
      <w:marLeft w:val="0"/>
      <w:marRight w:val="0"/>
      <w:marTop w:val="0"/>
      <w:marBottom w:val="0"/>
      <w:divBdr>
        <w:top w:val="none" w:sz="0" w:space="0" w:color="auto"/>
        <w:left w:val="none" w:sz="0" w:space="0" w:color="auto"/>
        <w:bottom w:val="none" w:sz="0" w:space="0" w:color="auto"/>
        <w:right w:val="none" w:sz="0" w:space="0" w:color="auto"/>
      </w:divBdr>
    </w:div>
    <w:div w:id="739984704">
      <w:bodyDiv w:val="1"/>
      <w:marLeft w:val="0"/>
      <w:marRight w:val="0"/>
      <w:marTop w:val="0"/>
      <w:marBottom w:val="0"/>
      <w:divBdr>
        <w:top w:val="none" w:sz="0" w:space="0" w:color="auto"/>
        <w:left w:val="none" w:sz="0" w:space="0" w:color="auto"/>
        <w:bottom w:val="none" w:sz="0" w:space="0" w:color="auto"/>
        <w:right w:val="none" w:sz="0" w:space="0" w:color="auto"/>
      </w:divBdr>
    </w:div>
    <w:div w:id="768282656">
      <w:bodyDiv w:val="1"/>
      <w:marLeft w:val="0"/>
      <w:marRight w:val="0"/>
      <w:marTop w:val="0"/>
      <w:marBottom w:val="0"/>
      <w:divBdr>
        <w:top w:val="none" w:sz="0" w:space="0" w:color="auto"/>
        <w:left w:val="none" w:sz="0" w:space="0" w:color="auto"/>
        <w:bottom w:val="none" w:sz="0" w:space="0" w:color="auto"/>
        <w:right w:val="none" w:sz="0" w:space="0" w:color="auto"/>
      </w:divBdr>
    </w:div>
    <w:div w:id="780029770">
      <w:bodyDiv w:val="1"/>
      <w:marLeft w:val="0"/>
      <w:marRight w:val="0"/>
      <w:marTop w:val="0"/>
      <w:marBottom w:val="0"/>
      <w:divBdr>
        <w:top w:val="none" w:sz="0" w:space="0" w:color="auto"/>
        <w:left w:val="none" w:sz="0" w:space="0" w:color="auto"/>
        <w:bottom w:val="none" w:sz="0" w:space="0" w:color="auto"/>
        <w:right w:val="none" w:sz="0" w:space="0" w:color="auto"/>
      </w:divBdr>
    </w:div>
    <w:div w:id="802581966">
      <w:bodyDiv w:val="1"/>
      <w:marLeft w:val="0"/>
      <w:marRight w:val="0"/>
      <w:marTop w:val="0"/>
      <w:marBottom w:val="0"/>
      <w:divBdr>
        <w:top w:val="none" w:sz="0" w:space="0" w:color="auto"/>
        <w:left w:val="none" w:sz="0" w:space="0" w:color="auto"/>
        <w:bottom w:val="none" w:sz="0" w:space="0" w:color="auto"/>
        <w:right w:val="none" w:sz="0" w:space="0" w:color="auto"/>
      </w:divBdr>
    </w:div>
    <w:div w:id="857424562">
      <w:bodyDiv w:val="1"/>
      <w:marLeft w:val="0"/>
      <w:marRight w:val="0"/>
      <w:marTop w:val="0"/>
      <w:marBottom w:val="0"/>
      <w:divBdr>
        <w:top w:val="none" w:sz="0" w:space="0" w:color="auto"/>
        <w:left w:val="none" w:sz="0" w:space="0" w:color="auto"/>
        <w:bottom w:val="none" w:sz="0" w:space="0" w:color="auto"/>
        <w:right w:val="none" w:sz="0" w:space="0" w:color="auto"/>
      </w:divBdr>
    </w:div>
    <w:div w:id="867449214">
      <w:bodyDiv w:val="1"/>
      <w:marLeft w:val="0"/>
      <w:marRight w:val="0"/>
      <w:marTop w:val="0"/>
      <w:marBottom w:val="0"/>
      <w:divBdr>
        <w:top w:val="none" w:sz="0" w:space="0" w:color="auto"/>
        <w:left w:val="none" w:sz="0" w:space="0" w:color="auto"/>
        <w:bottom w:val="none" w:sz="0" w:space="0" w:color="auto"/>
        <w:right w:val="none" w:sz="0" w:space="0" w:color="auto"/>
      </w:divBdr>
    </w:div>
    <w:div w:id="880242364">
      <w:bodyDiv w:val="1"/>
      <w:marLeft w:val="0"/>
      <w:marRight w:val="0"/>
      <w:marTop w:val="0"/>
      <w:marBottom w:val="0"/>
      <w:divBdr>
        <w:top w:val="none" w:sz="0" w:space="0" w:color="auto"/>
        <w:left w:val="none" w:sz="0" w:space="0" w:color="auto"/>
        <w:bottom w:val="none" w:sz="0" w:space="0" w:color="auto"/>
        <w:right w:val="none" w:sz="0" w:space="0" w:color="auto"/>
      </w:divBdr>
    </w:div>
    <w:div w:id="892353704">
      <w:bodyDiv w:val="1"/>
      <w:marLeft w:val="0"/>
      <w:marRight w:val="0"/>
      <w:marTop w:val="0"/>
      <w:marBottom w:val="0"/>
      <w:divBdr>
        <w:top w:val="none" w:sz="0" w:space="0" w:color="auto"/>
        <w:left w:val="none" w:sz="0" w:space="0" w:color="auto"/>
        <w:bottom w:val="none" w:sz="0" w:space="0" w:color="auto"/>
        <w:right w:val="none" w:sz="0" w:space="0" w:color="auto"/>
      </w:divBdr>
    </w:div>
    <w:div w:id="907105855">
      <w:bodyDiv w:val="1"/>
      <w:marLeft w:val="0"/>
      <w:marRight w:val="0"/>
      <w:marTop w:val="0"/>
      <w:marBottom w:val="0"/>
      <w:divBdr>
        <w:top w:val="none" w:sz="0" w:space="0" w:color="auto"/>
        <w:left w:val="none" w:sz="0" w:space="0" w:color="auto"/>
        <w:bottom w:val="none" w:sz="0" w:space="0" w:color="auto"/>
        <w:right w:val="none" w:sz="0" w:space="0" w:color="auto"/>
      </w:divBdr>
    </w:div>
    <w:div w:id="913471520">
      <w:bodyDiv w:val="1"/>
      <w:marLeft w:val="0"/>
      <w:marRight w:val="0"/>
      <w:marTop w:val="0"/>
      <w:marBottom w:val="0"/>
      <w:divBdr>
        <w:top w:val="none" w:sz="0" w:space="0" w:color="auto"/>
        <w:left w:val="none" w:sz="0" w:space="0" w:color="auto"/>
        <w:bottom w:val="none" w:sz="0" w:space="0" w:color="auto"/>
        <w:right w:val="none" w:sz="0" w:space="0" w:color="auto"/>
      </w:divBdr>
    </w:div>
    <w:div w:id="947084392">
      <w:bodyDiv w:val="1"/>
      <w:marLeft w:val="0"/>
      <w:marRight w:val="0"/>
      <w:marTop w:val="0"/>
      <w:marBottom w:val="0"/>
      <w:divBdr>
        <w:top w:val="none" w:sz="0" w:space="0" w:color="auto"/>
        <w:left w:val="none" w:sz="0" w:space="0" w:color="auto"/>
        <w:bottom w:val="none" w:sz="0" w:space="0" w:color="auto"/>
        <w:right w:val="none" w:sz="0" w:space="0" w:color="auto"/>
      </w:divBdr>
    </w:div>
    <w:div w:id="975993601">
      <w:bodyDiv w:val="1"/>
      <w:marLeft w:val="0"/>
      <w:marRight w:val="0"/>
      <w:marTop w:val="0"/>
      <w:marBottom w:val="0"/>
      <w:divBdr>
        <w:top w:val="none" w:sz="0" w:space="0" w:color="auto"/>
        <w:left w:val="none" w:sz="0" w:space="0" w:color="auto"/>
        <w:bottom w:val="none" w:sz="0" w:space="0" w:color="auto"/>
        <w:right w:val="none" w:sz="0" w:space="0" w:color="auto"/>
      </w:divBdr>
    </w:div>
    <w:div w:id="990477888">
      <w:bodyDiv w:val="1"/>
      <w:marLeft w:val="0"/>
      <w:marRight w:val="0"/>
      <w:marTop w:val="0"/>
      <w:marBottom w:val="0"/>
      <w:divBdr>
        <w:top w:val="none" w:sz="0" w:space="0" w:color="auto"/>
        <w:left w:val="none" w:sz="0" w:space="0" w:color="auto"/>
        <w:bottom w:val="none" w:sz="0" w:space="0" w:color="auto"/>
        <w:right w:val="none" w:sz="0" w:space="0" w:color="auto"/>
      </w:divBdr>
    </w:div>
    <w:div w:id="1022241534">
      <w:bodyDiv w:val="1"/>
      <w:marLeft w:val="0"/>
      <w:marRight w:val="0"/>
      <w:marTop w:val="0"/>
      <w:marBottom w:val="0"/>
      <w:divBdr>
        <w:top w:val="none" w:sz="0" w:space="0" w:color="auto"/>
        <w:left w:val="none" w:sz="0" w:space="0" w:color="auto"/>
        <w:bottom w:val="none" w:sz="0" w:space="0" w:color="auto"/>
        <w:right w:val="none" w:sz="0" w:space="0" w:color="auto"/>
      </w:divBdr>
    </w:div>
    <w:div w:id="1088886572">
      <w:bodyDiv w:val="1"/>
      <w:marLeft w:val="0"/>
      <w:marRight w:val="0"/>
      <w:marTop w:val="0"/>
      <w:marBottom w:val="0"/>
      <w:divBdr>
        <w:top w:val="none" w:sz="0" w:space="0" w:color="auto"/>
        <w:left w:val="none" w:sz="0" w:space="0" w:color="auto"/>
        <w:bottom w:val="none" w:sz="0" w:space="0" w:color="auto"/>
        <w:right w:val="none" w:sz="0" w:space="0" w:color="auto"/>
      </w:divBdr>
    </w:div>
    <w:div w:id="1096054098">
      <w:bodyDiv w:val="1"/>
      <w:marLeft w:val="0"/>
      <w:marRight w:val="0"/>
      <w:marTop w:val="0"/>
      <w:marBottom w:val="0"/>
      <w:divBdr>
        <w:top w:val="none" w:sz="0" w:space="0" w:color="auto"/>
        <w:left w:val="none" w:sz="0" w:space="0" w:color="auto"/>
        <w:bottom w:val="none" w:sz="0" w:space="0" w:color="auto"/>
        <w:right w:val="none" w:sz="0" w:space="0" w:color="auto"/>
      </w:divBdr>
    </w:div>
    <w:div w:id="1105538392">
      <w:bodyDiv w:val="1"/>
      <w:marLeft w:val="0"/>
      <w:marRight w:val="0"/>
      <w:marTop w:val="0"/>
      <w:marBottom w:val="0"/>
      <w:divBdr>
        <w:top w:val="none" w:sz="0" w:space="0" w:color="auto"/>
        <w:left w:val="none" w:sz="0" w:space="0" w:color="auto"/>
        <w:bottom w:val="none" w:sz="0" w:space="0" w:color="auto"/>
        <w:right w:val="none" w:sz="0" w:space="0" w:color="auto"/>
      </w:divBdr>
    </w:div>
    <w:div w:id="1129517363">
      <w:bodyDiv w:val="1"/>
      <w:marLeft w:val="0"/>
      <w:marRight w:val="0"/>
      <w:marTop w:val="0"/>
      <w:marBottom w:val="0"/>
      <w:divBdr>
        <w:top w:val="none" w:sz="0" w:space="0" w:color="auto"/>
        <w:left w:val="none" w:sz="0" w:space="0" w:color="auto"/>
        <w:bottom w:val="none" w:sz="0" w:space="0" w:color="auto"/>
        <w:right w:val="none" w:sz="0" w:space="0" w:color="auto"/>
      </w:divBdr>
    </w:div>
    <w:div w:id="1129857791">
      <w:bodyDiv w:val="1"/>
      <w:marLeft w:val="0"/>
      <w:marRight w:val="0"/>
      <w:marTop w:val="0"/>
      <w:marBottom w:val="0"/>
      <w:divBdr>
        <w:top w:val="none" w:sz="0" w:space="0" w:color="auto"/>
        <w:left w:val="none" w:sz="0" w:space="0" w:color="auto"/>
        <w:bottom w:val="none" w:sz="0" w:space="0" w:color="auto"/>
        <w:right w:val="none" w:sz="0" w:space="0" w:color="auto"/>
      </w:divBdr>
    </w:div>
    <w:div w:id="1151218976">
      <w:bodyDiv w:val="1"/>
      <w:marLeft w:val="0"/>
      <w:marRight w:val="0"/>
      <w:marTop w:val="0"/>
      <w:marBottom w:val="0"/>
      <w:divBdr>
        <w:top w:val="none" w:sz="0" w:space="0" w:color="auto"/>
        <w:left w:val="none" w:sz="0" w:space="0" w:color="auto"/>
        <w:bottom w:val="none" w:sz="0" w:space="0" w:color="auto"/>
        <w:right w:val="none" w:sz="0" w:space="0" w:color="auto"/>
      </w:divBdr>
    </w:div>
    <w:div w:id="1201479858">
      <w:bodyDiv w:val="1"/>
      <w:marLeft w:val="0"/>
      <w:marRight w:val="0"/>
      <w:marTop w:val="0"/>
      <w:marBottom w:val="0"/>
      <w:divBdr>
        <w:top w:val="none" w:sz="0" w:space="0" w:color="auto"/>
        <w:left w:val="none" w:sz="0" w:space="0" w:color="auto"/>
        <w:bottom w:val="none" w:sz="0" w:space="0" w:color="auto"/>
        <w:right w:val="none" w:sz="0" w:space="0" w:color="auto"/>
      </w:divBdr>
    </w:div>
    <w:div w:id="1221674468">
      <w:bodyDiv w:val="1"/>
      <w:marLeft w:val="0"/>
      <w:marRight w:val="0"/>
      <w:marTop w:val="0"/>
      <w:marBottom w:val="0"/>
      <w:divBdr>
        <w:top w:val="none" w:sz="0" w:space="0" w:color="auto"/>
        <w:left w:val="none" w:sz="0" w:space="0" w:color="auto"/>
        <w:bottom w:val="none" w:sz="0" w:space="0" w:color="auto"/>
        <w:right w:val="none" w:sz="0" w:space="0" w:color="auto"/>
      </w:divBdr>
    </w:div>
    <w:div w:id="1230771893">
      <w:bodyDiv w:val="1"/>
      <w:marLeft w:val="0"/>
      <w:marRight w:val="0"/>
      <w:marTop w:val="0"/>
      <w:marBottom w:val="0"/>
      <w:divBdr>
        <w:top w:val="none" w:sz="0" w:space="0" w:color="auto"/>
        <w:left w:val="none" w:sz="0" w:space="0" w:color="auto"/>
        <w:bottom w:val="none" w:sz="0" w:space="0" w:color="auto"/>
        <w:right w:val="none" w:sz="0" w:space="0" w:color="auto"/>
      </w:divBdr>
    </w:div>
    <w:div w:id="1234580564">
      <w:bodyDiv w:val="1"/>
      <w:marLeft w:val="0"/>
      <w:marRight w:val="0"/>
      <w:marTop w:val="0"/>
      <w:marBottom w:val="0"/>
      <w:divBdr>
        <w:top w:val="none" w:sz="0" w:space="0" w:color="auto"/>
        <w:left w:val="none" w:sz="0" w:space="0" w:color="auto"/>
        <w:bottom w:val="none" w:sz="0" w:space="0" w:color="auto"/>
        <w:right w:val="none" w:sz="0" w:space="0" w:color="auto"/>
      </w:divBdr>
    </w:div>
    <w:div w:id="1234773603">
      <w:bodyDiv w:val="1"/>
      <w:marLeft w:val="0"/>
      <w:marRight w:val="0"/>
      <w:marTop w:val="0"/>
      <w:marBottom w:val="0"/>
      <w:divBdr>
        <w:top w:val="none" w:sz="0" w:space="0" w:color="auto"/>
        <w:left w:val="none" w:sz="0" w:space="0" w:color="auto"/>
        <w:bottom w:val="none" w:sz="0" w:space="0" w:color="auto"/>
        <w:right w:val="none" w:sz="0" w:space="0" w:color="auto"/>
      </w:divBdr>
      <w:divsChild>
        <w:div w:id="956065678">
          <w:marLeft w:val="0"/>
          <w:marRight w:val="0"/>
          <w:marTop w:val="0"/>
          <w:marBottom w:val="0"/>
          <w:divBdr>
            <w:top w:val="none" w:sz="0" w:space="0" w:color="auto"/>
            <w:left w:val="none" w:sz="0" w:space="0" w:color="auto"/>
            <w:bottom w:val="none" w:sz="0" w:space="0" w:color="auto"/>
            <w:right w:val="none" w:sz="0" w:space="0" w:color="auto"/>
          </w:divBdr>
        </w:div>
      </w:divsChild>
    </w:div>
    <w:div w:id="1249921292">
      <w:bodyDiv w:val="1"/>
      <w:marLeft w:val="0"/>
      <w:marRight w:val="0"/>
      <w:marTop w:val="0"/>
      <w:marBottom w:val="0"/>
      <w:divBdr>
        <w:top w:val="none" w:sz="0" w:space="0" w:color="auto"/>
        <w:left w:val="none" w:sz="0" w:space="0" w:color="auto"/>
        <w:bottom w:val="none" w:sz="0" w:space="0" w:color="auto"/>
        <w:right w:val="none" w:sz="0" w:space="0" w:color="auto"/>
      </w:divBdr>
    </w:div>
    <w:div w:id="1270818619">
      <w:bodyDiv w:val="1"/>
      <w:marLeft w:val="0"/>
      <w:marRight w:val="0"/>
      <w:marTop w:val="0"/>
      <w:marBottom w:val="0"/>
      <w:divBdr>
        <w:top w:val="none" w:sz="0" w:space="0" w:color="auto"/>
        <w:left w:val="none" w:sz="0" w:space="0" w:color="auto"/>
        <w:bottom w:val="none" w:sz="0" w:space="0" w:color="auto"/>
        <w:right w:val="none" w:sz="0" w:space="0" w:color="auto"/>
      </w:divBdr>
    </w:div>
    <w:div w:id="1344554479">
      <w:bodyDiv w:val="1"/>
      <w:marLeft w:val="0"/>
      <w:marRight w:val="0"/>
      <w:marTop w:val="0"/>
      <w:marBottom w:val="0"/>
      <w:divBdr>
        <w:top w:val="none" w:sz="0" w:space="0" w:color="auto"/>
        <w:left w:val="none" w:sz="0" w:space="0" w:color="auto"/>
        <w:bottom w:val="none" w:sz="0" w:space="0" w:color="auto"/>
        <w:right w:val="none" w:sz="0" w:space="0" w:color="auto"/>
      </w:divBdr>
      <w:divsChild>
        <w:div w:id="452791295">
          <w:marLeft w:val="0"/>
          <w:marRight w:val="0"/>
          <w:marTop w:val="0"/>
          <w:marBottom w:val="0"/>
          <w:divBdr>
            <w:top w:val="none" w:sz="0" w:space="0" w:color="auto"/>
            <w:left w:val="none" w:sz="0" w:space="0" w:color="auto"/>
            <w:bottom w:val="none" w:sz="0" w:space="0" w:color="auto"/>
            <w:right w:val="none" w:sz="0" w:space="0" w:color="auto"/>
          </w:divBdr>
        </w:div>
      </w:divsChild>
    </w:div>
    <w:div w:id="1383560974">
      <w:bodyDiv w:val="1"/>
      <w:marLeft w:val="0"/>
      <w:marRight w:val="0"/>
      <w:marTop w:val="0"/>
      <w:marBottom w:val="0"/>
      <w:divBdr>
        <w:top w:val="none" w:sz="0" w:space="0" w:color="auto"/>
        <w:left w:val="none" w:sz="0" w:space="0" w:color="auto"/>
        <w:bottom w:val="none" w:sz="0" w:space="0" w:color="auto"/>
        <w:right w:val="none" w:sz="0" w:space="0" w:color="auto"/>
      </w:divBdr>
    </w:div>
    <w:div w:id="1385563099">
      <w:bodyDiv w:val="1"/>
      <w:marLeft w:val="0"/>
      <w:marRight w:val="0"/>
      <w:marTop w:val="0"/>
      <w:marBottom w:val="0"/>
      <w:divBdr>
        <w:top w:val="none" w:sz="0" w:space="0" w:color="auto"/>
        <w:left w:val="none" w:sz="0" w:space="0" w:color="auto"/>
        <w:bottom w:val="none" w:sz="0" w:space="0" w:color="auto"/>
        <w:right w:val="none" w:sz="0" w:space="0" w:color="auto"/>
      </w:divBdr>
    </w:div>
    <w:div w:id="1388993382">
      <w:bodyDiv w:val="1"/>
      <w:marLeft w:val="0"/>
      <w:marRight w:val="0"/>
      <w:marTop w:val="0"/>
      <w:marBottom w:val="0"/>
      <w:divBdr>
        <w:top w:val="none" w:sz="0" w:space="0" w:color="auto"/>
        <w:left w:val="none" w:sz="0" w:space="0" w:color="auto"/>
        <w:bottom w:val="none" w:sz="0" w:space="0" w:color="auto"/>
        <w:right w:val="none" w:sz="0" w:space="0" w:color="auto"/>
      </w:divBdr>
    </w:div>
    <w:div w:id="1389111012">
      <w:bodyDiv w:val="1"/>
      <w:marLeft w:val="0"/>
      <w:marRight w:val="0"/>
      <w:marTop w:val="0"/>
      <w:marBottom w:val="0"/>
      <w:divBdr>
        <w:top w:val="none" w:sz="0" w:space="0" w:color="auto"/>
        <w:left w:val="none" w:sz="0" w:space="0" w:color="auto"/>
        <w:bottom w:val="none" w:sz="0" w:space="0" w:color="auto"/>
        <w:right w:val="none" w:sz="0" w:space="0" w:color="auto"/>
      </w:divBdr>
    </w:div>
    <w:div w:id="1392772192">
      <w:bodyDiv w:val="1"/>
      <w:marLeft w:val="0"/>
      <w:marRight w:val="0"/>
      <w:marTop w:val="0"/>
      <w:marBottom w:val="0"/>
      <w:divBdr>
        <w:top w:val="none" w:sz="0" w:space="0" w:color="auto"/>
        <w:left w:val="none" w:sz="0" w:space="0" w:color="auto"/>
        <w:bottom w:val="none" w:sz="0" w:space="0" w:color="auto"/>
        <w:right w:val="none" w:sz="0" w:space="0" w:color="auto"/>
      </w:divBdr>
    </w:div>
    <w:div w:id="1424375676">
      <w:bodyDiv w:val="1"/>
      <w:marLeft w:val="0"/>
      <w:marRight w:val="0"/>
      <w:marTop w:val="0"/>
      <w:marBottom w:val="0"/>
      <w:divBdr>
        <w:top w:val="none" w:sz="0" w:space="0" w:color="auto"/>
        <w:left w:val="none" w:sz="0" w:space="0" w:color="auto"/>
        <w:bottom w:val="none" w:sz="0" w:space="0" w:color="auto"/>
        <w:right w:val="none" w:sz="0" w:space="0" w:color="auto"/>
      </w:divBdr>
      <w:divsChild>
        <w:div w:id="1635601886">
          <w:marLeft w:val="0"/>
          <w:marRight w:val="0"/>
          <w:marTop w:val="0"/>
          <w:marBottom w:val="0"/>
          <w:divBdr>
            <w:top w:val="none" w:sz="0" w:space="0" w:color="auto"/>
            <w:left w:val="none" w:sz="0" w:space="0" w:color="auto"/>
            <w:bottom w:val="none" w:sz="0" w:space="0" w:color="auto"/>
            <w:right w:val="none" w:sz="0" w:space="0" w:color="auto"/>
          </w:divBdr>
          <w:divsChild>
            <w:div w:id="1450778682">
              <w:marLeft w:val="0"/>
              <w:marRight w:val="0"/>
              <w:marTop w:val="0"/>
              <w:marBottom w:val="0"/>
              <w:divBdr>
                <w:top w:val="none" w:sz="0" w:space="0" w:color="auto"/>
                <w:left w:val="none" w:sz="0" w:space="0" w:color="auto"/>
                <w:bottom w:val="none" w:sz="0" w:space="0" w:color="auto"/>
                <w:right w:val="none" w:sz="0" w:space="0" w:color="auto"/>
              </w:divBdr>
              <w:divsChild>
                <w:div w:id="2041709000">
                  <w:marLeft w:val="0"/>
                  <w:marRight w:val="0"/>
                  <w:marTop w:val="0"/>
                  <w:marBottom w:val="0"/>
                  <w:divBdr>
                    <w:top w:val="none" w:sz="0" w:space="0" w:color="auto"/>
                    <w:left w:val="none" w:sz="0" w:space="0" w:color="auto"/>
                    <w:bottom w:val="none" w:sz="0" w:space="0" w:color="auto"/>
                    <w:right w:val="none" w:sz="0" w:space="0" w:color="auto"/>
                  </w:divBdr>
                  <w:divsChild>
                    <w:div w:id="1568111464">
                      <w:marLeft w:val="0"/>
                      <w:marRight w:val="0"/>
                      <w:marTop w:val="0"/>
                      <w:marBottom w:val="0"/>
                      <w:divBdr>
                        <w:top w:val="none" w:sz="0" w:space="0" w:color="auto"/>
                        <w:left w:val="none" w:sz="0" w:space="0" w:color="auto"/>
                        <w:bottom w:val="none" w:sz="0" w:space="0" w:color="auto"/>
                        <w:right w:val="none" w:sz="0" w:space="0" w:color="auto"/>
                      </w:divBdr>
                      <w:divsChild>
                        <w:div w:id="774397521">
                          <w:marLeft w:val="0"/>
                          <w:marRight w:val="0"/>
                          <w:marTop w:val="0"/>
                          <w:marBottom w:val="0"/>
                          <w:divBdr>
                            <w:top w:val="none" w:sz="0" w:space="0" w:color="auto"/>
                            <w:left w:val="none" w:sz="0" w:space="0" w:color="auto"/>
                            <w:bottom w:val="none" w:sz="0" w:space="0" w:color="auto"/>
                            <w:right w:val="none" w:sz="0" w:space="0" w:color="auto"/>
                          </w:divBdr>
                          <w:divsChild>
                            <w:div w:id="237132047">
                              <w:marLeft w:val="0"/>
                              <w:marRight w:val="0"/>
                              <w:marTop w:val="0"/>
                              <w:marBottom w:val="0"/>
                              <w:divBdr>
                                <w:top w:val="none" w:sz="0" w:space="0" w:color="auto"/>
                                <w:left w:val="none" w:sz="0" w:space="0" w:color="auto"/>
                                <w:bottom w:val="none" w:sz="0" w:space="0" w:color="auto"/>
                                <w:right w:val="none" w:sz="0" w:space="0" w:color="auto"/>
                              </w:divBdr>
                              <w:divsChild>
                                <w:div w:id="1973906406">
                                  <w:marLeft w:val="0"/>
                                  <w:marRight w:val="0"/>
                                  <w:marTop w:val="0"/>
                                  <w:marBottom w:val="0"/>
                                  <w:divBdr>
                                    <w:top w:val="none" w:sz="0" w:space="0" w:color="auto"/>
                                    <w:left w:val="none" w:sz="0" w:space="0" w:color="auto"/>
                                    <w:bottom w:val="none" w:sz="0" w:space="0" w:color="auto"/>
                                    <w:right w:val="none" w:sz="0" w:space="0" w:color="auto"/>
                                  </w:divBdr>
                                  <w:divsChild>
                                    <w:div w:id="832766849">
                                      <w:marLeft w:val="0"/>
                                      <w:marRight w:val="0"/>
                                      <w:marTop w:val="0"/>
                                      <w:marBottom w:val="0"/>
                                      <w:divBdr>
                                        <w:top w:val="none" w:sz="0" w:space="0" w:color="auto"/>
                                        <w:left w:val="none" w:sz="0" w:space="0" w:color="auto"/>
                                        <w:bottom w:val="none" w:sz="0" w:space="0" w:color="auto"/>
                                        <w:right w:val="none" w:sz="0" w:space="0" w:color="auto"/>
                                      </w:divBdr>
                                      <w:divsChild>
                                        <w:div w:id="19596775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46457">
          <w:marLeft w:val="0"/>
          <w:marRight w:val="0"/>
          <w:marTop w:val="0"/>
          <w:marBottom w:val="0"/>
          <w:divBdr>
            <w:top w:val="none" w:sz="0" w:space="0" w:color="auto"/>
            <w:left w:val="none" w:sz="0" w:space="0" w:color="auto"/>
            <w:bottom w:val="none" w:sz="0" w:space="0" w:color="auto"/>
            <w:right w:val="none" w:sz="0" w:space="0" w:color="auto"/>
          </w:divBdr>
          <w:divsChild>
            <w:div w:id="1838837514">
              <w:marLeft w:val="0"/>
              <w:marRight w:val="0"/>
              <w:marTop w:val="0"/>
              <w:marBottom w:val="0"/>
              <w:divBdr>
                <w:top w:val="none" w:sz="0" w:space="0" w:color="auto"/>
                <w:left w:val="none" w:sz="0" w:space="0" w:color="auto"/>
                <w:bottom w:val="none" w:sz="0" w:space="0" w:color="auto"/>
                <w:right w:val="none" w:sz="0" w:space="0" w:color="auto"/>
              </w:divBdr>
              <w:divsChild>
                <w:div w:id="292953793">
                  <w:marLeft w:val="0"/>
                  <w:marRight w:val="0"/>
                  <w:marTop w:val="0"/>
                  <w:marBottom w:val="0"/>
                  <w:divBdr>
                    <w:top w:val="none" w:sz="0" w:space="0" w:color="auto"/>
                    <w:left w:val="none" w:sz="0" w:space="0" w:color="auto"/>
                    <w:bottom w:val="none" w:sz="0" w:space="0" w:color="auto"/>
                    <w:right w:val="none" w:sz="0" w:space="0" w:color="auto"/>
                  </w:divBdr>
                  <w:divsChild>
                    <w:div w:id="627977540">
                      <w:marLeft w:val="0"/>
                      <w:marRight w:val="0"/>
                      <w:marTop w:val="0"/>
                      <w:marBottom w:val="0"/>
                      <w:divBdr>
                        <w:top w:val="none" w:sz="0" w:space="0" w:color="auto"/>
                        <w:left w:val="none" w:sz="0" w:space="0" w:color="auto"/>
                        <w:bottom w:val="none" w:sz="0" w:space="0" w:color="auto"/>
                        <w:right w:val="none" w:sz="0" w:space="0" w:color="auto"/>
                      </w:divBdr>
                      <w:divsChild>
                        <w:div w:id="532810572">
                          <w:marLeft w:val="0"/>
                          <w:marRight w:val="0"/>
                          <w:marTop w:val="0"/>
                          <w:marBottom w:val="0"/>
                          <w:divBdr>
                            <w:top w:val="none" w:sz="0" w:space="0" w:color="auto"/>
                            <w:left w:val="none" w:sz="0" w:space="0" w:color="auto"/>
                            <w:bottom w:val="none" w:sz="0" w:space="0" w:color="auto"/>
                            <w:right w:val="none" w:sz="0" w:space="0" w:color="auto"/>
                          </w:divBdr>
                          <w:divsChild>
                            <w:div w:id="1822306298">
                              <w:marLeft w:val="0"/>
                              <w:marRight w:val="0"/>
                              <w:marTop w:val="0"/>
                              <w:marBottom w:val="0"/>
                              <w:divBdr>
                                <w:top w:val="none" w:sz="0" w:space="0" w:color="auto"/>
                                <w:left w:val="none" w:sz="0" w:space="0" w:color="auto"/>
                                <w:bottom w:val="none" w:sz="0" w:space="0" w:color="auto"/>
                                <w:right w:val="none" w:sz="0" w:space="0" w:color="auto"/>
                              </w:divBdr>
                            </w:div>
                            <w:div w:id="661280445">
                              <w:marLeft w:val="0"/>
                              <w:marRight w:val="0"/>
                              <w:marTop w:val="0"/>
                              <w:marBottom w:val="0"/>
                              <w:divBdr>
                                <w:top w:val="none" w:sz="0" w:space="0" w:color="auto"/>
                                <w:left w:val="none" w:sz="0" w:space="0" w:color="auto"/>
                                <w:bottom w:val="none" w:sz="0" w:space="0" w:color="auto"/>
                                <w:right w:val="none" w:sz="0" w:space="0" w:color="auto"/>
                              </w:divBdr>
                              <w:divsChild>
                                <w:div w:id="573130935">
                                  <w:marLeft w:val="0"/>
                                  <w:marRight w:val="0"/>
                                  <w:marTop w:val="0"/>
                                  <w:marBottom w:val="0"/>
                                  <w:divBdr>
                                    <w:top w:val="none" w:sz="0" w:space="0" w:color="auto"/>
                                    <w:left w:val="none" w:sz="0" w:space="0" w:color="auto"/>
                                    <w:bottom w:val="none" w:sz="0" w:space="0" w:color="auto"/>
                                    <w:right w:val="none" w:sz="0" w:space="0" w:color="auto"/>
                                  </w:divBdr>
                                </w:div>
                                <w:div w:id="861430839">
                                  <w:marLeft w:val="0"/>
                                  <w:marRight w:val="0"/>
                                  <w:marTop w:val="0"/>
                                  <w:marBottom w:val="0"/>
                                  <w:divBdr>
                                    <w:top w:val="none" w:sz="0" w:space="0" w:color="auto"/>
                                    <w:left w:val="none" w:sz="0" w:space="0" w:color="auto"/>
                                    <w:bottom w:val="none" w:sz="0" w:space="0" w:color="auto"/>
                                    <w:right w:val="none" w:sz="0" w:space="0" w:color="auto"/>
                                  </w:divBdr>
                                </w:div>
                                <w:div w:id="1220627973">
                                  <w:marLeft w:val="0"/>
                                  <w:marRight w:val="0"/>
                                  <w:marTop w:val="0"/>
                                  <w:marBottom w:val="0"/>
                                  <w:divBdr>
                                    <w:top w:val="none" w:sz="0" w:space="0" w:color="auto"/>
                                    <w:left w:val="none" w:sz="0" w:space="0" w:color="auto"/>
                                    <w:bottom w:val="none" w:sz="0" w:space="0" w:color="auto"/>
                                    <w:right w:val="none" w:sz="0" w:space="0" w:color="auto"/>
                                  </w:divBdr>
                                </w:div>
                                <w:div w:id="875118310">
                                  <w:marLeft w:val="0"/>
                                  <w:marRight w:val="0"/>
                                  <w:marTop w:val="0"/>
                                  <w:marBottom w:val="0"/>
                                  <w:divBdr>
                                    <w:top w:val="none" w:sz="0" w:space="0" w:color="auto"/>
                                    <w:left w:val="none" w:sz="0" w:space="0" w:color="auto"/>
                                    <w:bottom w:val="none" w:sz="0" w:space="0" w:color="auto"/>
                                    <w:right w:val="none" w:sz="0" w:space="0" w:color="auto"/>
                                  </w:divBdr>
                                </w:div>
                              </w:divsChild>
                            </w:div>
                            <w:div w:id="267857187">
                              <w:marLeft w:val="0"/>
                              <w:marRight w:val="0"/>
                              <w:marTop w:val="0"/>
                              <w:marBottom w:val="0"/>
                              <w:divBdr>
                                <w:top w:val="none" w:sz="0" w:space="0" w:color="auto"/>
                                <w:left w:val="none" w:sz="0" w:space="0" w:color="auto"/>
                                <w:bottom w:val="none" w:sz="0" w:space="0" w:color="auto"/>
                                <w:right w:val="none" w:sz="0" w:space="0" w:color="auto"/>
                              </w:divBdr>
                              <w:divsChild>
                                <w:div w:id="757100031">
                                  <w:marLeft w:val="0"/>
                                  <w:marRight w:val="0"/>
                                  <w:marTop w:val="0"/>
                                  <w:marBottom w:val="0"/>
                                  <w:divBdr>
                                    <w:top w:val="none" w:sz="0" w:space="0" w:color="auto"/>
                                    <w:left w:val="none" w:sz="0" w:space="0" w:color="auto"/>
                                    <w:bottom w:val="none" w:sz="0" w:space="0" w:color="auto"/>
                                    <w:right w:val="none" w:sz="0" w:space="0" w:color="auto"/>
                                  </w:divBdr>
                                </w:div>
                                <w:div w:id="1930504214">
                                  <w:marLeft w:val="0"/>
                                  <w:marRight w:val="0"/>
                                  <w:marTop w:val="0"/>
                                  <w:marBottom w:val="0"/>
                                  <w:divBdr>
                                    <w:top w:val="none" w:sz="0" w:space="0" w:color="auto"/>
                                    <w:left w:val="none" w:sz="0" w:space="0" w:color="auto"/>
                                    <w:bottom w:val="none" w:sz="0" w:space="0" w:color="auto"/>
                                    <w:right w:val="none" w:sz="0" w:space="0" w:color="auto"/>
                                  </w:divBdr>
                                </w:div>
                                <w:div w:id="1863006043">
                                  <w:marLeft w:val="0"/>
                                  <w:marRight w:val="0"/>
                                  <w:marTop w:val="0"/>
                                  <w:marBottom w:val="0"/>
                                  <w:divBdr>
                                    <w:top w:val="none" w:sz="0" w:space="0" w:color="auto"/>
                                    <w:left w:val="none" w:sz="0" w:space="0" w:color="auto"/>
                                    <w:bottom w:val="none" w:sz="0" w:space="0" w:color="auto"/>
                                    <w:right w:val="none" w:sz="0" w:space="0" w:color="auto"/>
                                  </w:divBdr>
                                </w:div>
                                <w:div w:id="11346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3316">
      <w:bodyDiv w:val="1"/>
      <w:marLeft w:val="0"/>
      <w:marRight w:val="0"/>
      <w:marTop w:val="0"/>
      <w:marBottom w:val="0"/>
      <w:divBdr>
        <w:top w:val="none" w:sz="0" w:space="0" w:color="auto"/>
        <w:left w:val="none" w:sz="0" w:space="0" w:color="auto"/>
        <w:bottom w:val="none" w:sz="0" w:space="0" w:color="auto"/>
        <w:right w:val="none" w:sz="0" w:space="0" w:color="auto"/>
      </w:divBdr>
    </w:div>
    <w:div w:id="1553227132">
      <w:bodyDiv w:val="1"/>
      <w:marLeft w:val="0"/>
      <w:marRight w:val="0"/>
      <w:marTop w:val="0"/>
      <w:marBottom w:val="0"/>
      <w:divBdr>
        <w:top w:val="none" w:sz="0" w:space="0" w:color="auto"/>
        <w:left w:val="none" w:sz="0" w:space="0" w:color="auto"/>
        <w:bottom w:val="none" w:sz="0" w:space="0" w:color="auto"/>
        <w:right w:val="none" w:sz="0" w:space="0" w:color="auto"/>
      </w:divBdr>
    </w:div>
    <w:div w:id="1553301023">
      <w:bodyDiv w:val="1"/>
      <w:marLeft w:val="0"/>
      <w:marRight w:val="0"/>
      <w:marTop w:val="0"/>
      <w:marBottom w:val="0"/>
      <w:divBdr>
        <w:top w:val="none" w:sz="0" w:space="0" w:color="auto"/>
        <w:left w:val="none" w:sz="0" w:space="0" w:color="auto"/>
        <w:bottom w:val="none" w:sz="0" w:space="0" w:color="auto"/>
        <w:right w:val="none" w:sz="0" w:space="0" w:color="auto"/>
      </w:divBdr>
    </w:div>
    <w:div w:id="1554347858">
      <w:bodyDiv w:val="1"/>
      <w:marLeft w:val="0"/>
      <w:marRight w:val="0"/>
      <w:marTop w:val="0"/>
      <w:marBottom w:val="0"/>
      <w:divBdr>
        <w:top w:val="none" w:sz="0" w:space="0" w:color="auto"/>
        <w:left w:val="none" w:sz="0" w:space="0" w:color="auto"/>
        <w:bottom w:val="none" w:sz="0" w:space="0" w:color="auto"/>
        <w:right w:val="none" w:sz="0" w:space="0" w:color="auto"/>
      </w:divBdr>
    </w:div>
    <w:div w:id="1569028697">
      <w:bodyDiv w:val="1"/>
      <w:marLeft w:val="0"/>
      <w:marRight w:val="0"/>
      <w:marTop w:val="0"/>
      <w:marBottom w:val="0"/>
      <w:divBdr>
        <w:top w:val="none" w:sz="0" w:space="0" w:color="auto"/>
        <w:left w:val="none" w:sz="0" w:space="0" w:color="auto"/>
        <w:bottom w:val="none" w:sz="0" w:space="0" w:color="auto"/>
        <w:right w:val="none" w:sz="0" w:space="0" w:color="auto"/>
      </w:divBdr>
      <w:divsChild>
        <w:div w:id="1477533484">
          <w:marLeft w:val="0"/>
          <w:marRight w:val="0"/>
          <w:marTop w:val="200"/>
          <w:marBottom w:val="200"/>
          <w:divBdr>
            <w:top w:val="none" w:sz="0" w:space="0" w:color="auto"/>
            <w:left w:val="none" w:sz="0" w:space="0" w:color="auto"/>
            <w:bottom w:val="none" w:sz="0" w:space="0" w:color="auto"/>
            <w:right w:val="none" w:sz="0" w:space="0" w:color="auto"/>
          </w:divBdr>
        </w:div>
        <w:div w:id="1359355244">
          <w:marLeft w:val="0"/>
          <w:marRight w:val="0"/>
          <w:marTop w:val="200"/>
          <w:marBottom w:val="200"/>
          <w:divBdr>
            <w:top w:val="none" w:sz="0" w:space="0" w:color="auto"/>
            <w:left w:val="none" w:sz="0" w:space="0" w:color="auto"/>
            <w:bottom w:val="none" w:sz="0" w:space="0" w:color="auto"/>
            <w:right w:val="none" w:sz="0" w:space="0" w:color="auto"/>
          </w:divBdr>
        </w:div>
        <w:div w:id="1453935753">
          <w:marLeft w:val="0"/>
          <w:marRight w:val="0"/>
          <w:marTop w:val="200"/>
          <w:marBottom w:val="200"/>
          <w:divBdr>
            <w:top w:val="none" w:sz="0" w:space="0" w:color="auto"/>
            <w:left w:val="none" w:sz="0" w:space="0" w:color="auto"/>
            <w:bottom w:val="none" w:sz="0" w:space="0" w:color="auto"/>
            <w:right w:val="none" w:sz="0" w:space="0" w:color="auto"/>
          </w:divBdr>
        </w:div>
        <w:div w:id="1156340057">
          <w:marLeft w:val="0"/>
          <w:marRight w:val="0"/>
          <w:marTop w:val="200"/>
          <w:marBottom w:val="200"/>
          <w:divBdr>
            <w:top w:val="none" w:sz="0" w:space="0" w:color="auto"/>
            <w:left w:val="none" w:sz="0" w:space="0" w:color="auto"/>
            <w:bottom w:val="none" w:sz="0" w:space="0" w:color="auto"/>
            <w:right w:val="none" w:sz="0" w:space="0" w:color="auto"/>
          </w:divBdr>
        </w:div>
      </w:divsChild>
    </w:div>
    <w:div w:id="1610820826">
      <w:bodyDiv w:val="1"/>
      <w:marLeft w:val="0"/>
      <w:marRight w:val="0"/>
      <w:marTop w:val="0"/>
      <w:marBottom w:val="0"/>
      <w:divBdr>
        <w:top w:val="none" w:sz="0" w:space="0" w:color="auto"/>
        <w:left w:val="none" w:sz="0" w:space="0" w:color="auto"/>
        <w:bottom w:val="none" w:sz="0" w:space="0" w:color="auto"/>
        <w:right w:val="none" w:sz="0" w:space="0" w:color="auto"/>
      </w:divBdr>
    </w:div>
    <w:div w:id="1659113739">
      <w:bodyDiv w:val="1"/>
      <w:marLeft w:val="0"/>
      <w:marRight w:val="0"/>
      <w:marTop w:val="0"/>
      <w:marBottom w:val="0"/>
      <w:divBdr>
        <w:top w:val="none" w:sz="0" w:space="0" w:color="auto"/>
        <w:left w:val="none" w:sz="0" w:space="0" w:color="auto"/>
        <w:bottom w:val="none" w:sz="0" w:space="0" w:color="auto"/>
        <w:right w:val="none" w:sz="0" w:space="0" w:color="auto"/>
      </w:divBdr>
    </w:div>
    <w:div w:id="1696929014">
      <w:bodyDiv w:val="1"/>
      <w:marLeft w:val="0"/>
      <w:marRight w:val="0"/>
      <w:marTop w:val="0"/>
      <w:marBottom w:val="0"/>
      <w:divBdr>
        <w:top w:val="none" w:sz="0" w:space="0" w:color="auto"/>
        <w:left w:val="none" w:sz="0" w:space="0" w:color="auto"/>
        <w:bottom w:val="none" w:sz="0" w:space="0" w:color="auto"/>
        <w:right w:val="none" w:sz="0" w:space="0" w:color="auto"/>
      </w:divBdr>
    </w:div>
    <w:div w:id="1707440094">
      <w:bodyDiv w:val="1"/>
      <w:marLeft w:val="0"/>
      <w:marRight w:val="0"/>
      <w:marTop w:val="0"/>
      <w:marBottom w:val="0"/>
      <w:divBdr>
        <w:top w:val="none" w:sz="0" w:space="0" w:color="auto"/>
        <w:left w:val="none" w:sz="0" w:space="0" w:color="auto"/>
        <w:bottom w:val="none" w:sz="0" w:space="0" w:color="auto"/>
        <w:right w:val="none" w:sz="0" w:space="0" w:color="auto"/>
      </w:divBdr>
    </w:div>
    <w:div w:id="1732581153">
      <w:bodyDiv w:val="1"/>
      <w:marLeft w:val="0"/>
      <w:marRight w:val="0"/>
      <w:marTop w:val="0"/>
      <w:marBottom w:val="0"/>
      <w:divBdr>
        <w:top w:val="none" w:sz="0" w:space="0" w:color="auto"/>
        <w:left w:val="none" w:sz="0" w:space="0" w:color="auto"/>
        <w:bottom w:val="none" w:sz="0" w:space="0" w:color="auto"/>
        <w:right w:val="none" w:sz="0" w:space="0" w:color="auto"/>
      </w:divBdr>
    </w:div>
    <w:div w:id="1733768686">
      <w:bodyDiv w:val="1"/>
      <w:marLeft w:val="0"/>
      <w:marRight w:val="0"/>
      <w:marTop w:val="0"/>
      <w:marBottom w:val="0"/>
      <w:divBdr>
        <w:top w:val="none" w:sz="0" w:space="0" w:color="auto"/>
        <w:left w:val="none" w:sz="0" w:space="0" w:color="auto"/>
        <w:bottom w:val="none" w:sz="0" w:space="0" w:color="auto"/>
        <w:right w:val="none" w:sz="0" w:space="0" w:color="auto"/>
      </w:divBdr>
    </w:div>
    <w:div w:id="1740133623">
      <w:bodyDiv w:val="1"/>
      <w:marLeft w:val="0"/>
      <w:marRight w:val="0"/>
      <w:marTop w:val="0"/>
      <w:marBottom w:val="0"/>
      <w:divBdr>
        <w:top w:val="none" w:sz="0" w:space="0" w:color="auto"/>
        <w:left w:val="none" w:sz="0" w:space="0" w:color="auto"/>
        <w:bottom w:val="none" w:sz="0" w:space="0" w:color="auto"/>
        <w:right w:val="none" w:sz="0" w:space="0" w:color="auto"/>
      </w:divBdr>
    </w:div>
    <w:div w:id="1779832239">
      <w:bodyDiv w:val="1"/>
      <w:marLeft w:val="0"/>
      <w:marRight w:val="0"/>
      <w:marTop w:val="0"/>
      <w:marBottom w:val="0"/>
      <w:divBdr>
        <w:top w:val="none" w:sz="0" w:space="0" w:color="auto"/>
        <w:left w:val="none" w:sz="0" w:space="0" w:color="auto"/>
        <w:bottom w:val="none" w:sz="0" w:space="0" w:color="auto"/>
        <w:right w:val="none" w:sz="0" w:space="0" w:color="auto"/>
      </w:divBdr>
    </w:div>
    <w:div w:id="1841504767">
      <w:bodyDiv w:val="1"/>
      <w:marLeft w:val="0"/>
      <w:marRight w:val="0"/>
      <w:marTop w:val="0"/>
      <w:marBottom w:val="0"/>
      <w:divBdr>
        <w:top w:val="none" w:sz="0" w:space="0" w:color="auto"/>
        <w:left w:val="none" w:sz="0" w:space="0" w:color="auto"/>
        <w:bottom w:val="none" w:sz="0" w:space="0" w:color="auto"/>
        <w:right w:val="none" w:sz="0" w:space="0" w:color="auto"/>
      </w:divBdr>
    </w:div>
    <w:div w:id="1891071716">
      <w:bodyDiv w:val="1"/>
      <w:marLeft w:val="0"/>
      <w:marRight w:val="0"/>
      <w:marTop w:val="0"/>
      <w:marBottom w:val="0"/>
      <w:divBdr>
        <w:top w:val="none" w:sz="0" w:space="0" w:color="auto"/>
        <w:left w:val="none" w:sz="0" w:space="0" w:color="auto"/>
        <w:bottom w:val="none" w:sz="0" w:space="0" w:color="auto"/>
        <w:right w:val="none" w:sz="0" w:space="0" w:color="auto"/>
      </w:divBdr>
    </w:div>
    <w:div w:id="1908832205">
      <w:bodyDiv w:val="1"/>
      <w:marLeft w:val="0"/>
      <w:marRight w:val="0"/>
      <w:marTop w:val="0"/>
      <w:marBottom w:val="0"/>
      <w:divBdr>
        <w:top w:val="none" w:sz="0" w:space="0" w:color="auto"/>
        <w:left w:val="none" w:sz="0" w:space="0" w:color="auto"/>
        <w:bottom w:val="none" w:sz="0" w:space="0" w:color="auto"/>
        <w:right w:val="none" w:sz="0" w:space="0" w:color="auto"/>
      </w:divBdr>
      <w:divsChild>
        <w:div w:id="1245646891">
          <w:marLeft w:val="0"/>
          <w:marRight w:val="0"/>
          <w:marTop w:val="200"/>
          <w:marBottom w:val="200"/>
          <w:divBdr>
            <w:top w:val="none" w:sz="0" w:space="0" w:color="auto"/>
            <w:left w:val="none" w:sz="0" w:space="0" w:color="auto"/>
            <w:bottom w:val="none" w:sz="0" w:space="0" w:color="auto"/>
            <w:right w:val="none" w:sz="0" w:space="0" w:color="auto"/>
          </w:divBdr>
        </w:div>
        <w:div w:id="1086923800">
          <w:marLeft w:val="0"/>
          <w:marRight w:val="0"/>
          <w:marTop w:val="200"/>
          <w:marBottom w:val="200"/>
          <w:divBdr>
            <w:top w:val="none" w:sz="0" w:space="0" w:color="auto"/>
            <w:left w:val="none" w:sz="0" w:space="0" w:color="auto"/>
            <w:bottom w:val="none" w:sz="0" w:space="0" w:color="auto"/>
            <w:right w:val="none" w:sz="0" w:space="0" w:color="auto"/>
          </w:divBdr>
        </w:div>
        <w:div w:id="1109282020">
          <w:marLeft w:val="0"/>
          <w:marRight w:val="0"/>
          <w:marTop w:val="200"/>
          <w:marBottom w:val="200"/>
          <w:divBdr>
            <w:top w:val="none" w:sz="0" w:space="0" w:color="auto"/>
            <w:left w:val="none" w:sz="0" w:space="0" w:color="auto"/>
            <w:bottom w:val="none" w:sz="0" w:space="0" w:color="auto"/>
            <w:right w:val="none" w:sz="0" w:space="0" w:color="auto"/>
          </w:divBdr>
        </w:div>
        <w:div w:id="2006471683">
          <w:marLeft w:val="0"/>
          <w:marRight w:val="0"/>
          <w:marTop w:val="200"/>
          <w:marBottom w:val="200"/>
          <w:divBdr>
            <w:top w:val="none" w:sz="0" w:space="0" w:color="auto"/>
            <w:left w:val="none" w:sz="0" w:space="0" w:color="auto"/>
            <w:bottom w:val="none" w:sz="0" w:space="0" w:color="auto"/>
            <w:right w:val="none" w:sz="0" w:space="0" w:color="auto"/>
          </w:divBdr>
        </w:div>
        <w:div w:id="363558964">
          <w:marLeft w:val="0"/>
          <w:marRight w:val="0"/>
          <w:marTop w:val="200"/>
          <w:marBottom w:val="200"/>
          <w:divBdr>
            <w:top w:val="none" w:sz="0" w:space="0" w:color="auto"/>
            <w:left w:val="none" w:sz="0" w:space="0" w:color="auto"/>
            <w:bottom w:val="none" w:sz="0" w:space="0" w:color="auto"/>
            <w:right w:val="none" w:sz="0" w:space="0" w:color="auto"/>
          </w:divBdr>
        </w:div>
        <w:div w:id="144321225">
          <w:marLeft w:val="0"/>
          <w:marRight w:val="0"/>
          <w:marTop w:val="200"/>
          <w:marBottom w:val="200"/>
          <w:divBdr>
            <w:top w:val="none" w:sz="0" w:space="0" w:color="auto"/>
            <w:left w:val="none" w:sz="0" w:space="0" w:color="auto"/>
            <w:bottom w:val="none" w:sz="0" w:space="0" w:color="auto"/>
            <w:right w:val="none" w:sz="0" w:space="0" w:color="auto"/>
          </w:divBdr>
        </w:div>
      </w:divsChild>
    </w:div>
    <w:div w:id="1985116956">
      <w:bodyDiv w:val="1"/>
      <w:marLeft w:val="0"/>
      <w:marRight w:val="0"/>
      <w:marTop w:val="0"/>
      <w:marBottom w:val="0"/>
      <w:divBdr>
        <w:top w:val="none" w:sz="0" w:space="0" w:color="auto"/>
        <w:left w:val="none" w:sz="0" w:space="0" w:color="auto"/>
        <w:bottom w:val="none" w:sz="0" w:space="0" w:color="auto"/>
        <w:right w:val="none" w:sz="0" w:space="0" w:color="auto"/>
      </w:divBdr>
    </w:div>
    <w:div w:id="2009091956">
      <w:bodyDiv w:val="1"/>
      <w:marLeft w:val="0"/>
      <w:marRight w:val="0"/>
      <w:marTop w:val="0"/>
      <w:marBottom w:val="0"/>
      <w:divBdr>
        <w:top w:val="none" w:sz="0" w:space="0" w:color="auto"/>
        <w:left w:val="none" w:sz="0" w:space="0" w:color="auto"/>
        <w:bottom w:val="none" w:sz="0" w:space="0" w:color="auto"/>
        <w:right w:val="none" w:sz="0" w:space="0" w:color="auto"/>
      </w:divBdr>
    </w:div>
    <w:div w:id="2013603746">
      <w:bodyDiv w:val="1"/>
      <w:marLeft w:val="0"/>
      <w:marRight w:val="0"/>
      <w:marTop w:val="0"/>
      <w:marBottom w:val="0"/>
      <w:divBdr>
        <w:top w:val="none" w:sz="0" w:space="0" w:color="auto"/>
        <w:left w:val="none" w:sz="0" w:space="0" w:color="auto"/>
        <w:bottom w:val="none" w:sz="0" w:space="0" w:color="auto"/>
        <w:right w:val="none" w:sz="0" w:space="0" w:color="auto"/>
      </w:divBdr>
    </w:div>
    <w:div w:id="2048334572">
      <w:bodyDiv w:val="1"/>
      <w:marLeft w:val="0"/>
      <w:marRight w:val="0"/>
      <w:marTop w:val="0"/>
      <w:marBottom w:val="0"/>
      <w:divBdr>
        <w:top w:val="none" w:sz="0" w:space="0" w:color="auto"/>
        <w:left w:val="none" w:sz="0" w:space="0" w:color="auto"/>
        <w:bottom w:val="none" w:sz="0" w:space="0" w:color="auto"/>
        <w:right w:val="none" w:sz="0" w:space="0" w:color="auto"/>
      </w:divBdr>
    </w:div>
    <w:div w:id="2058772664">
      <w:bodyDiv w:val="1"/>
      <w:marLeft w:val="0"/>
      <w:marRight w:val="0"/>
      <w:marTop w:val="0"/>
      <w:marBottom w:val="0"/>
      <w:divBdr>
        <w:top w:val="none" w:sz="0" w:space="0" w:color="auto"/>
        <w:left w:val="none" w:sz="0" w:space="0" w:color="auto"/>
        <w:bottom w:val="none" w:sz="0" w:space="0" w:color="auto"/>
        <w:right w:val="none" w:sz="0" w:space="0" w:color="auto"/>
      </w:divBdr>
    </w:div>
    <w:div w:id="20708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79900-C646-4D9D-B1D4-68A8EB11F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25</Pages>
  <Words>6474</Words>
  <Characters>36903</Characters>
  <Application>Microsoft Office Word</Application>
  <DocSecurity>0</DocSecurity>
  <Lines>307</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Liza Meutia Sari</cp:lastModifiedBy>
  <cp:revision>169</cp:revision>
  <dcterms:created xsi:type="dcterms:W3CDTF">2024-07-03T18:11:00Z</dcterms:created>
  <dcterms:modified xsi:type="dcterms:W3CDTF">2025-06-16T02:45:00Z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f22396da8ad28050cbe5d3e649fac72ee406f6986d5a9c76c1d8c0549e8d406a</vt:lpwstr>
  </property>
</Properties>
</file>