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1FFB" w14:textId="77777777" w:rsidR="009D7B2E" w:rsidRPr="00D20786" w:rsidRDefault="009D7B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9D7B2E" w:rsidRPr="00D20786" w14:paraId="422FBCCE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157B9C81" w14:textId="77777777" w:rsidR="009D7B2E" w:rsidRPr="00D20786" w:rsidRDefault="009D7B2E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9D7B2E" w:rsidRPr="00D20786" w14:paraId="12642037" w14:textId="77777777">
        <w:trPr>
          <w:trHeight w:val="290"/>
        </w:trPr>
        <w:tc>
          <w:tcPr>
            <w:tcW w:w="5167" w:type="dxa"/>
          </w:tcPr>
          <w:p w14:paraId="3C6B10AA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1DD3" w14:textId="77777777" w:rsidR="009D7B2E" w:rsidRPr="00D20786" w:rsidRDefault="000C3B1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D2078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Mathematics and Computer Science</w:t>
              </w:r>
            </w:hyperlink>
            <w:r w:rsidRPr="00D2078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9D7B2E" w:rsidRPr="00D20786" w14:paraId="2CA49016" w14:textId="77777777">
        <w:trPr>
          <w:trHeight w:val="290"/>
        </w:trPr>
        <w:tc>
          <w:tcPr>
            <w:tcW w:w="5167" w:type="dxa"/>
          </w:tcPr>
          <w:p w14:paraId="26349B80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35D9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Ms_JAMCS_138320</w:t>
            </w:r>
          </w:p>
        </w:tc>
      </w:tr>
      <w:tr w:rsidR="009D7B2E" w:rsidRPr="00D20786" w14:paraId="4EE58FC9" w14:textId="77777777">
        <w:trPr>
          <w:trHeight w:val="650"/>
        </w:trPr>
        <w:tc>
          <w:tcPr>
            <w:tcW w:w="5167" w:type="dxa"/>
          </w:tcPr>
          <w:p w14:paraId="4038760E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DDA9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COASTAL RESORT DEVELOPMENT: OPTIMIZATION OF RESOURCES FOR ENVIRONMENTAL SUSTAINABILITY</w:t>
            </w:r>
          </w:p>
        </w:tc>
      </w:tr>
      <w:tr w:rsidR="009D7B2E" w:rsidRPr="00D20786" w14:paraId="4D223FEA" w14:textId="77777777">
        <w:trPr>
          <w:trHeight w:val="332"/>
        </w:trPr>
        <w:tc>
          <w:tcPr>
            <w:tcW w:w="5167" w:type="dxa"/>
          </w:tcPr>
          <w:p w14:paraId="57C9E15E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BAB2" w14:textId="77777777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FADA96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C1E93D8" w14:textId="07EBA50A" w:rsidR="009D7B2E" w:rsidRPr="00D20786" w:rsidRDefault="009D7B2E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32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3"/>
        <w:gridCol w:w="9357"/>
        <w:gridCol w:w="6442"/>
      </w:tblGrid>
      <w:tr w:rsidR="009D7B2E" w:rsidRPr="00D20786" w14:paraId="791D33D9" w14:textId="77777777" w:rsidTr="00D20786">
        <w:tc>
          <w:tcPr>
            <w:tcW w:w="21132" w:type="dxa"/>
            <w:gridSpan w:val="3"/>
            <w:tcBorders>
              <w:top w:val="nil"/>
              <w:left w:val="nil"/>
              <w:right w:val="nil"/>
            </w:tcBorders>
          </w:tcPr>
          <w:p w14:paraId="5C1A7C64" w14:textId="77777777" w:rsidR="009D7B2E" w:rsidRPr="00D20786" w:rsidRDefault="000C3B1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2078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20786">
              <w:rPr>
                <w:rFonts w:ascii="Arial" w:eastAsia="Times New Roman" w:hAnsi="Arial" w:cs="Arial"/>
              </w:rPr>
              <w:t xml:space="preserve"> Comments</w:t>
            </w:r>
          </w:p>
          <w:p w14:paraId="7F22E7A2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B2E" w:rsidRPr="00D20786" w14:paraId="67A7FB57" w14:textId="77777777" w:rsidTr="00D20786">
        <w:tc>
          <w:tcPr>
            <w:tcW w:w="5333" w:type="dxa"/>
          </w:tcPr>
          <w:p w14:paraId="705B11BA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70C3FD2F" w14:textId="77777777" w:rsidR="009D7B2E" w:rsidRPr="00D20786" w:rsidRDefault="000C3B1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20786">
              <w:rPr>
                <w:rFonts w:ascii="Arial" w:eastAsia="Times New Roman" w:hAnsi="Arial" w:cs="Arial"/>
              </w:rPr>
              <w:t>Reviewer’s comment</w:t>
            </w:r>
          </w:p>
          <w:p w14:paraId="29D4F494" w14:textId="77777777" w:rsidR="009D7B2E" w:rsidRPr="00D20786" w:rsidRDefault="000C3B11">
            <w:pP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9B79905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3764B0E" w14:textId="77777777" w:rsidR="009D7B2E" w:rsidRPr="00D20786" w:rsidRDefault="000C3B11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2078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2C2A23B1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373FBAEA" w14:textId="77777777" w:rsidTr="00D20786">
        <w:trPr>
          <w:trHeight w:val="1264"/>
        </w:trPr>
        <w:tc>
          <w:tcPr>
            <w:tcW w:w="5333" w:type="dxa"/>
          </w:tcPr>
          <w:p w14:paraId="326221BB" w14:textId="77777777" w:rsidR="009D7B2E" w:rsidRPr="00D20786" w:rsidRDefault="000C3B1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9B4D6B3" w14:textId="77777777" w:rsidR="009D7B2E" w:rsidRPr="00D20786" w:rsidRDefault="009D7B2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99D9414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>The research presented in this manuscript is essential to the scientific community as it addresses the pressing challenges of environmental sustainability in coastal resort development. This research provides a quantitative, dynamic framework that simulates the interactions between resource use, environmental impact, and mitigation strategies. The robust differential equation-based optimization model supports data-driven decision-making and offers predictive insights into sustainable development scenarios, making it a practical tool for policymakers, developers, and conservationists.</w:t>
            </w:r>
          </w:p>
        </w:tc>
        <w:tc>
          <w:tcPr>
            <w:tcW w:w="6442" w:type="dxa"/>
          </w:tcPr>
          <w:p w14:paraId="1D469145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1809ABC6" w14:textId="77777777" w:rsidTr="00D20786">
        <w:trPr>
          <w:trHeight w:val="1262"/>
        </w:trPr>
        <w:tc>
          <w:tcPr>
            <w:tcW w:w="5333" w:type="dxa"/>
          </w:tcPr>
          <w:p w14:paraId="22F27B5A" w14:textId="77777777" w:rsidR="009D7B2E" w:rsidRPr="00D20786" w:rsidRDefault="000C3B1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B72E517" w14:textId="77777777" w:rsidR="009D7B2E" w:rsidRPr="00D20786" w:rsidRDefault="000C3B1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1CB8271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757EFC8" w14:textId="77777777" w:rsidR="009D7B2E" w:rsidRPr="00D20786" w:rsidRDefault="000C3B11">
            <w:pP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>It is suitable.</w:t>
            </w:r>
          </w:p>
        </w:tc>
        <w:tc>
          <w:tcPr>
            <w:tcW w:w="6442" w:type="dxa"/>
          </w:tcPr>
          <w:p w14:paraId="1396B77B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67900F5E" w14:textId="77777777" w:rsidTr="00D20786">
        <w:trPr>
          <w:trHeight w:val="1262"/>
        </w:trPr>
        <w:tc>
          <w:tcPr>
            <w:tcW w:w="5333" w:type="dxa"/>
          </w:tcPr>
          <w:p w14:paraId="460F8659" w14:textId="77777777" w:rsidR="009D7B2E" w:rsidRPr="00D20786" w:rsidRDefault="000C3B1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2078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5CA1DFBE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9116CF1" w14:textId="77777777" w:rsidR="009D7B2E" w:rsidRPr="00D20786" w:rsidRDefault="000C3B11">
            <w:pP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 xml:space="preserve">The abstract is comprehensive with the following minor suggestion to improve it: </w:t>
            </w:r>
          </w:p>
          <w:p w14:paraId="3C8D2920" w14:textId="77777777" w:rsidR="009D7B2E" w:rsidRPr="00D20786" w:rsidRDefault="000C3B1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>“</w:t>
            </w:r>
            <w:proofErr w:type="gramStart"/>
            <w:r w:rsidRPr="00D20786">
              <w:rPr>
                <w:rFonts w:ascii="Arial" w:hAnsi="Arial" w:cs="Arial"/>
                <w:sz w:val="20"/>
                <w:szCs w:val="20"/>
              </w:rPr>
              <w:t>strategic</w:t>
            </w:r>
            <w:proofErr w:type="gramEnd"/>
            <w:r w:rsidRPr="00D20786">
              <w:rPr>
                <w:rFonts w:ascii="Arial" w:hAnsi="Arial" w:cs="Arial"/>
                <w:sz w:val="20"/>
                <w:szCs w:val="20"/>
              </w:rPr>
              <w:t xml:space="preserve"> interventions … significantly enhance environmental sustainability”. If this is quantifiable/measurable, it will be essential.</w:t>
            </w:r>
          </w:p>
        </w:tc>
        <w:tc>
          <w:tcPr>
            <w:tcW w:w="6442" w:type="dxa"/>
          </w:tcPr>
          <w:p w14:paraId="0E6F86B9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6EFDB624" w14:textId="77777777" w:rsidTr="00D20786">
        <w:trPr>
          <w:trHeight w:val="704"/>
        </w:trPr>
        <w:tc>
          <w:tcPr>
            <w:tcW w:w="5333" w:type="dxa"/>
          </w:tcPr>
          <w:p w14:paraId="1CAA70C7" w14:textId="77777777" w:rsidR="009D7B2E" w:rsidRPr="00D20786" w:rsidRDefault="000C3B1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2078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51B53DC9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 xml:space="preserve">The manuscript is scientifically correct, with a firm mathematical foundation and logical interpretations of results. </w:t>
            </w:r>
          </w:p>
          <w:p w14:paraId="31102A67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>However, ensure consistency of the notations e.g., "C (t)", "C</w:t>
            </w:r>
            <w:r w:rsidRPr="00D20786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20786">
              <w:rPr>
                <w:rFonts w:ascii="Arial" w:hAnsi="Arial" w:cs="Arial"/>
                <w:sz w:val="20"/>
                <w:szCs w:val="20"/>
              </w:rPr>
              <w:t>(t)", or "</w:t>
            </w:r>
            <w:r w:rsidRPr="00D20786">
              <w:rPr>
                <w:rFonts w:ascii="Cambria Math" w:hAnsi="Cambria Math" w:cs="Cambria Math"/>
                <w:sz w:val="20"/>
                <w:szCs w:val="20"/>
              </w:rPr>
              <w:t>𝐶</w:t>
            </w:r>
            <w:r w:rsidRPr="00D20786">
              <w:rPr>
                <w:rFonts w:ascii="Arial" w:hAnsi="Arial" w:cs="Arial"/>
                <w:sz w:val="20"/>
                <w:szCs w:val="20"/>
              </w:rPr>
              <w:t>(</w:t>
            </w:r>
            <w:r w:rsidRPr="00D20786">
              <w:rPr>
                <w:rFonts w:ascii="Cambria Math" w:hAnsi="Cambria Math" w:cs="Cambria Math"/>
                <w:sz w:val="20"/>
                <w:szCs w:val="20"/>
              </w:rPr>
              <w:t>𝑡</w:t>
            </w:r>
            <w:r w:rsidRPr="00D20786">
              <w:rPr>
                <w:rFonts w:ascii="Arial" w:hAnsi="Arial" w:cs="Arial"/>
                <w:sz w:val="20"/>
                <w:szCs w:val="20"/>
              </w:rPr>
              <w:t>)</w:t>
            </w:r>
            <w:proofErr w:type="gramStart"/>
            <w:r w:rsidRPr="00D20786">
              <w:rPr>
                <w:rFonts w:ascii="Arial" w:hAnsi="Arial" w:cs="Arial"/>
                <w:sz w:val="20"/>
                <w:szCs w:val="20"/>
              </w:rPr>
              <w:t>",  lambda</w:t>
            </w:r>
            <w:proofErr w:type="gramEnd"/>
            <w:r w:rsidRPr="00D20786">
              <w:rPr>
                <w:rFonts w:ascii="Arial" w:hAnsi="Arial" w:cs="Arial"/>
                <w:sz w:val="20"/>
                <w:szCs w:val="20"/>
              </w:rPr>
              <w:t xml:space="preserve"> vs. λ, M(t) vs. M</w:t>
            </w:r>
            <w:r w:rsidRPr="00D20786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20786">
              <w:rPr>
                <w:rFonts w:ascii="Arial" w:hAnsi="Arial" w:cs="Arial"/>
                <w:sz w:val="20"/>
                <w:szCs w:val="20"/>
              </w:rPr>
              <w:t>(t)</w:t>
            </w:r>
          </w:p>
        </w:tc>
        <w:tc>
          <w:tcPr>
            <w:tcW w:w="6442" w:type="dxa"/>
          </w:tcPr>
          <w:p w14:paraId="543777DA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24FF7C1F" w14:textId="77777777" w:rsidTr="00D20786">
        <w:trPr>
          <w:trHeight w:val="703"/>
        </w:trPr>
        <w:tc>
          <w:tcPr>
            <w:tcW w:w="5333" w:type="dxa"/>
          </w:tcPr>
          <w:p w14:paraId="16417C04" w14:textId="77777777" w:rsidR="009D7B2E" w:rsidRPr="00D20786" w:rsidRDefault="000C3B1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693F5F85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>Yes, the references in the manuscript are generally sufficient, relevant, and recent.</w:t>
            </w:r>
          </w:p>
        </w:tc>
        <w:tc>
          <w:tcPr>
            <w:tcW w:w="6442" w:type="dxa"/>
          </w:tcPr>
          <w:p w14:paraId="3F4068C1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31E3D084" w14:textId="77777777" w:rsidTr="00D20786">
        <w:trPr>
          <w:trHeight w:val="386"/>
        </w:trPr>
        <w:tc>
          <w:tcPr>
            <w:tcW w:w="5333" w:type="dxa"/>
          </w:tcPr>
          <w:p w14:paraId="78497A17" w14:textId="77777777" w:rsidR="009D7B2E" w:rsidRPr="00D20786" w:rsidRDefault="000C3B1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2078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35DDB37A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53B112F" w14:textId="77777777" w:rsidR="009D7B2E" w:rsidRPr="00D20786" w:rsidRDefault="000C3B11">
            <w:pP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D20786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D20786">
              <w:rPr>
                <w:rFonts w:ascii="Arial" w:hAnsi="Arial" w:cs="Arial"/>
                <w:sz w:val="20"/>
                <w:szCs w:val="20"/>
              </w:rPr>
              <w:t xml:space="preserve"> is suitable for scholarly communications with minor edits e.g. </w:t>
            </w:r>
          </w:p>
          <w:p w14:paraId="160F04F4" w14:textId="77777777" w:rsidR="009D7B2E" w:rsidRPr="00D20786" w:rsidRDefault="000C3B11">
            <w:pPr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 xml:space="preserve">Page 5: This system of differential equations </w:t>
            </w:r>
            <w:proofErr w:type="gramStart"/>
            <w:r w:rsidRPr="00D20786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D20786">
              <w:rPr>
                <w:rFonts w:ascii="Arial" w:hAnsi="Arial" w:cs="Arial"/>
                <w:sz w:val="20"/>
                <w:szCs w:val="20"/>
              </w:rPr>
              <w:t xml:space="preserve"> used…, correct: This system of differential equations is used ….</w:t>
            </w:r>
          </w:p>
        </w:tc>
        <w:tc>
          <w:tcPr>
            <w:tcW w:w="6442" w:type="dxa"/>
          </w:tcPr>
          <w:p w14:paraId="593DC60D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B2E" w:rsidRPr="00D20786" w14:paraId="051BFFE8" w14:textId="77777777" w:rsidTr="00D20786">
        <w:trPr>
          <w:trHeight w:val="1178"/>
        </w:trPr>
        <w:tc>
          <w:tcPr>
            <w:tcW w:w="5333" w:type="dxa"/>
          </w:tcPr>
          <w:p w14:paraId="0BC33218" w14:textId="77777777" w:rsidR="009D7B2E" w:rsidRPr="00D20786" w:rsidRDefault="000C3B1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2078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20786">
              <w:rPr>
                <w:rFonts w:ascii="Arial" w:eastAsia="Times New Roman" w:hAnsi="Arial" w:cs="Arial"/>
              </w:rPr>
              <w:t xml:space="preserve"> </w:t>
            </w:r>
            <w:r w:rsidRPr="00D20786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5A6589E6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04682BD4" w14:textId="77777777" w:rsidR="009D7B2E" w:rsidRPr="00D20786" w:rsidRDefault="000C3B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hAnsi="Arial" w:cs="Arial"/>
                <w:sz w:val="20"/>
                <w:szCs w:val="20"/>
              </w:rPr>
              <w:t xml:space="preserve">The manuscript is relevant in the scientific community as it presents a valuable contribution by applying differential equation </w:t>
            </w:r>
            <w:proofErr w:type="spellStart"/>
            <w:r w:rsidRPr="00D20786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  <w:r w:rsidRPr="00D20786">
              <w:rPr>
                <w:rFonts w:ascii="Arial" w:hAnsi="Arial" w:cs="Arial"/>
                <w:sz w:val="20"/>
                <w:szCs w:val="20"/>
              </w:rPr>
              <w:t xml:space="preserve"> and optimal control theory to the challenge of sustainable coastal resort development. Its interdisciplinary approach bridges mathematical </w:t>
            </w:r>
            <w:proofErr w:type="spellStart"/>
            <w:r w:rsidRPr="00D20786"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  <w:r w:rsidRPr="00D20786">
              <w:rPr>
                <w:rFonts w:ascii="Arial" w:hAnsi="Arial" w:cs="Arial"/>
                <w:sz w:val="20"/>
                <w:szCs w:val="20"/>
              </w:rPr>
              <w:t xml:space="preserve"> with environmental policy, offering practical tools for decision-makers. With minor improvements in language, and notation consistency, the manuscript will be well-suited for scholarly publication.</w:t>
            </w:r>
          </w:p>
        </w:tc>
        <w:tc>
          <w:tcPr>
            <w:tcW w:w="6442" w:type="dxa"/>
          </w:tcPr>
          <w:p w14:paraId="2B660D61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52D91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921D5AF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20F9BC1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BD6F448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0665EB4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24BCC1F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0E2ABF5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2EBC905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A8B97C2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849F09B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7A018D8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3E5C239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5907E8" w14:textId="77777777" w:rsidR="009D7B2E" w:rsidRPr="00D20786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9D7B2E" w:rsidRPr="00D20786" w14:paraId="5DFE4E27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2B39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2078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D2078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1633D851" w14:textId="77777777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9D7B2E" w:rsidRPr="00D20786" w14:paraId="0CB0566A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1DE4" w14:textId="77777777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60A2" w14:textId="77777777" w:rsidR="009D7B2E" w:rsidRPr="00D20786" w:rsidRDefault="000C3B1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20786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53A41885" w14:textId="77777777" w:rsidR="009D7B2E" w:rsidRPr="00D20786" w:rsidRDefault="000C3B11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2078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94D7C8F" w14:textId="77777777" w:rsidR="009D7B2E" w:rsidRPr="00D20786" w:rsidRDefault="009D7B2E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D7B2E" w:rsidRPr="00D20786" w14:paraId="742B5E1D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D987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7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0378F2A7" w14:textId="77777777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A5A4" w14:textId="77777777" w:rsidR="009D7B2E" w:rsidRPr="00D20786" w:rsidRDefault="000C3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2078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2078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D2078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243C6E87" w14:textId="77777777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6904BD" w14:textId="7627326B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00E79C62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70749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F5164" w14:textId="77777777" w:rsidR="009D7B2E" w:rsidRPr="00D20786" w:rsidRDefault="009D7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22E69" w14:textId="77777777" w:rsidR="009D7B2E" w:rsidRPr="00D20786" w:rsidRDefault="009D7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C160B7" w14:textId="77777777" w:rsidR="009D7B2E" w:rsidRDefault="009D7B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E345E4" w14:textId="77777777" w:rsidR="00D20786" w:rsidRPr="00955A8B" w:rsidRDefault="00D20786" w:rsidP="00D207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5A8B">
        <w:rPr>
          <w:rFonts w:ascii="Arial" w:hAnsi="Arial" w:cs="Arial"/>
          <w:b/>
          <w:u w:val="single"/>
        </w:rPr>
        <w:t>Reviewer details:</w:t>
      </w:r>
    </w:p>
    <w:p w14:paraId="11FCFF44" w14:textId="77777777" w:rsidR="00D20786" w:rsidRPr="00955A8B" w:rsidRDefault="00D20786" w:rsidP="00D2078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55A8B">
        <w:rPr>
          <w:rFonts w:ascii="Arial" w:hAnsi="Arial" w:cs="Arial"/>
          <w:b/>
        </w:rPr>
        <w:t>Robert Mureithi Maina, Dedan Kimathi University of Technology, Kenya</w:t>
      </w:r>
    </w:p>
    <w:p w14:paraId="797C8AAE" w14:textId="77777777" w:rsidR="00D20786" w:rsidRPr="00D20786" w:rsidRDefault="00D207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sectPr w:rsidR="00D20786" w:rsidRPr="00D20786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B94B" w14:textId="77777777" w:rsidR="00D85059" w:rsidRDefault="00D85059">
      <w:r>
        <w:separator/>
      </w:r>
    </w:p>
  </w:endnote>
  <w:endnote w:type="continuationSeparator" w:id="0">
    <w:p w14:paraId="2D7AE433" w14:textId="77777777" w:rsidR="00D85059" w:rsidRDefault="00D8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4066" w14:textId="77777777" w:rsidR="009D7B2E" w:rsidRDefault="000C3B1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4541" w14:textId="77777777" w:rsidR="00D85059" w:rsidRDefault="00D85059">
      <w:r>
        <w:separator/>
      </w:r>
    </w:p>
  </w:footnote>
  <w:footnote w:type="continuationSeparator" w:id="0">
    <w:p w14:paraId="4A3303D5" w14:textId="77777777" w:rsidR="00D85059" w:rsidRDefault="00D8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24DA" w14:textId="77777777" w:rsidR="009D7B2E" w:rsidRDefault="009D7B2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27A86E6" w14:textId="77777777" w:rsidR="009D7B2E" w:rsidRDefault="000C3B11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3072C"/>
    <w:multiLevelType w:val="multilevel"/>
    <w:tmpl w:val="9FC287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9354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2E"/>
    <w:rsid w:val="000C3B11"/>
    <w:rsid w:val="001D2D6D"/>
    <w:rsid w:val="003A634D"/>
    <w:rsid w:val="00625D3F"/>
    <w:rsid w:val="00973087"/>
    <w:rsid w:val="009D7B2E"/>
    <w:rsid w:val="00D20786"/>
    <w:rsid w:val="00D529F5"/>
    <w:rsid w:val="00D85059"/>
    <w:rsid w:val="00E2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A4BF"/>
  <w15:docId w15:val="{4DF0506F-59D2-46B0-BFA5-74A41A5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63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34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0786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2025-06-12T10:25:00Z</dcterms:created>
  <dcterms:modified xsi:type="dcterms:W3CDTF">2025-06-14T07:06:00Z</dcterms:modified>
</cp:coreProperties>
</file>