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B08B" w14:textId="77777777" w:rsidR="001A4BAC" w:rsidRPr="001A4BAC" w:rsidRDefault="001A4BAC" w:rsidP="001A4BAC">
      <w:pPr>
        <w:spacing w:before="240"/>
        <w:jc w:val="right"/>
        <w:rPr>
          <w:b/>
          <w:bCs/>
          <w:i/>
          <w:iCs/>
          <w:sz w:val="36"/>
          <w:szCs w:val="36"/>
          <w:u w:val="single"/>
          <w:lang w:val="en-US"/>
        </w:rPr>
      </w:pPr>
      <w:r w:rsidRPr="001A4BAC">
        <w:rPr>
          <w:b/>
          <w:bCs/>
          <w:i/>
          <w:iCs/>
          <w:sz w:val="36"/>
          <w:szCs w:val="36"/>
          <w:u w:val="single"/>
          <w:lang w:val="en-US"/>
        </w:rPr>
        <w:t>Original Research Article</w:t>
      </w:r>
    </w:p>
    <w:p w14:paraId="63FD384F" w14:textId="7351EDCD" w:rsidR="00535E04" w:rsidRPr="00F410FB" w:rsidRDefault="00DD709E" w:rsidP="00DD03CF">
      <w:pPr>
        <w:spacing w:before="240"/>
        <w:jc w:val="right"/>
        <w:rPr>
          <w:b/>
          <w:bCs/>
          <w:i/>
          <w:sz w:val="36"/>
          <w:szCs w:val="36"/>
        </w:rPr>
      </w:pPr>
      <w:r w:rsidRPr="00F410FB">
        <w:rPr>
          <w:b/>
          <w:bCs/>
          <w:i/>
          <w:sz w:val="36"/>
          <w:szCs w:val="36"/>
        </w:rPr>
        <w:t xml:space="preserve"> </w:t>
      </w:r>
      <w:r w:rsidRPr="00FA4343">
        <w:rPr>
          <w:b/>
          <w:bCs/>
          <w:sz w:val="36"/>
          <w:szCs w:val="36"/>
        </w:rPr>
        <w:t>Substantiating the Bioactivity and Safety of hydro-</w:t>
      </w:r>
      <w:r w:rsidR="00EF36B6" w:rsidRPr="00FA4343">
        <w:rPr>
          <w:b/>
          <w:bCs/>
          <w:sz w:val="36"/>
          <w:szCs w:val="36"/>
        </w:rPr>
        <w:t>m</w:t>
      </w:r>
      <w:r w:rsidRPr="00FA4343">
        <w:rPr>
          <w:b/>
          <w:bCs/>
          <w:sz w:val="36"/>
          <w:szCs w:val="36"/>
        </w:rPr>
        <w:t>ethanolic Lyophilised</w:t>
      </w:r>
      <w:r w:rsidRPr="00F410FB">
        <w:rPr>
          <w:b/>
          <w:bCs/>
          <w:i/>
          <w:sz w:val="36"/>
          <w:szCs w:val="36"/>
        </w:rPr>
        <w:t xml:space="preserve"> </w:t>
      </w:r>
      <w:r w:rsidR="00FA4343" w:rsidRPr="00FA4343">
        <w:rPr>
          <w:b/>
          <w:bCs/>
          <w:i/>
          <w:sz w:val="36"/>
          <w:szCs w:val="36"/>
        </w:rPr>
        <w:t>Solanum</w:t>
      </w:r>
      <w:r w:rsidR="00FA4343">
        <w:rPr>
          <w:b/>
          <w:bCs/>
          <w:i/>
          <w:sz w:val="36"/>
          <w:szCs w:val="36"/>
        </w:rPr>
        <w:t xml:space="preserve"> </w:t>
      </w:r>
      <w:r w:rsidR="00FA4343" w:rsidRPr="00FA4343">
        <w:rPr>
          <w:b/>
          <w:bCs/>
          <w:i/>
          <w:sz w:val="36"/>
          <w:szCs w:val="36"/>
        </w:rPr>
        <w:t>incanum</w:t>
      </w:r>
    </w:p>
    <w:p w14:paraId="02BCE03F" w14:textId="77777777" w:rsidR="00DD03CF" w:rsidRPr="00F410FB" w:rsidRDefault="00DD03CF" w:rsidP="00DD03CF">
      <w:pPr>
        <w:spacing w:before="240"/>
        <w:jc w:val="right"/>
        <w:rPr>
          <w:b/>
          <w:bCs/>
          <w:sz w:val="36"/>
          <w:szCs w:val="36"/>
        </w:rPr>
      </w:pPr>
    </w:p>
    <w:p w14:paraId="77F0C59E" w14:textId="77777777" w:rsidR="005C75E9" w:rsidRPr="00F410FB" w:rsidRDefault="005C75E9" w:rsidP="00125480">
      <w:pPr>
        <w:pStyle w:val="Footer"/>
        <w:spacing w:before="240"/>
        <w:rPr>
          <w:rStyle w:val="Hyperlink"/>
        </w:rPr>
      </w:pPr>
    </w:p>
    <w:p w14:paraId="65A17C0A" w14:textId="77777777" w:rsidR="00125480" w:rsidRPr="00F410FB" w:rsidRDefault="00125480" w:rsidP="00DD03CF">
      <w:pPr>
        <w:pStyle w:val="Affiliation"/>
        <w:spacing w:before="240"/>
        <w:rPr>
          <w:rFonts w:ascii="Times New Roman" w:hAnsi="Times New Roman"/>
        </w:rPr>
      </w:pPr>
    </w:p>
    <w:p w14:paraId="4277B32A" w14:textId="126229B3" w:rsidR="00535E04" w:rsidRPr="00F410FB" w:rsidRDefault="00DD03CF" w:rsidP="00DD03CF">
      <w:pPr>
        <w:pStyle w:val="Affiliation"/>
        <w:spacing w:before="240"/>
        <w:rPr>
          <w:rFonts w:ascii="Times New Roman" w:hAnsi="Times New Roman"/>
        </w:rPr>
      </w:pPr>
      <w:r w:rsidRPr="00F410FB">
        <w:rPr>
          <w:rFonts w:ascii="Times New Roman" w:hAnsi="Times New Roman"/>
          <w:i/>
          <w:noProof/>
          <w:vertAlign w:val="superscript"/>
          <w:lang w:val="en-ZW"/>
        </w:rPr>
        <mc:AlternateContent>
          <mc:Choice Requires="wps">
            <w:drawing>
              <wp:anchor distT="0" distB="0" distL="0" distR="0" simplePos="0" relativeHeight="251656192" behindDoc="0" locked="0" layoutInCell="1" allowOverlap="1" wp14:anchorId="6B5BB709" wp14:editId="3E3B06AD">
                <wp:simplePos x="0" y="0"/>
                <wp:positionH relativeFrom="column">
                  <wp:posOffset>-1559</wp:posOffset>
                </wp:positionH>
                <wp:positionV relativeFrom="paragraph">
                  <wp:posOffset>107315</wp:posOffset>
                </wp:positionV>
                <wp:extent cx="5867400" cy="7620"/>
                <wp:effectExtent l="0" t="0" r="19050" b="30480"/>
                <wp:wrapNone/>
                <wp:docPr id="1026"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w:pict>
              <v:line w14:anchorId="4CCDEFA4" id="Straight Connector 2" o:spid="_x0000_s1026" style="position:absolute;flip:y;z-index:251656192;visibility:visible;mso-wrap-style:square;mso-wrap-distance-left:0;mso-wrap-distance-top:0;mso-wrap-distance-right:0;mso-wrap-distance-bottom:0;mso-position-horizontal:absolute;mso-position-horizontal-relative:text;mso-position-vertical:absolute;mso-position-vertical-relative:text" from="-.1pt,8.45pt" to="46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" strokeweight="1.5pt">
                <v:stroke joinstyle="miter"/>
              </v:line>
            </w:pict>
          </mc:Fallback>
        </mc:AlternateContent>
      </w:r>
    </w:p>
    <w:p w14:paraId="052139A0" w14:textId="77777777" w:rsidR="00535E04" w:rsidRPr="00F410FB" w:rsidRDefault="00F14ED7" w:rsidP="00DD03CF">
      <w:pPr>
        <w:autoSpaceDE w:val="0"/>
        <w:autoSpaceDN w:val="0"/>
        <w:adjustRightInd w:val="0"/>
        <w:spacing w:before="240"/>
        <w:jc w:val="both"/>
        <w:rPr>
          <w:b/>
          <w:caps/>
          <w:szCs w:val="20"/>
          <w:lang w:val="en-US"/>
        </w:rPr>
      </w:pPr>
      <w:r w:rsidRPr="00F410FB">
        <w:rPr>
          <w:b/>
          <w:caps/>
          <w:szCs w:val="20"/>
          <w:lang w:val="en-US"/>
        </w:rPr>
        <w:t xml:space="preserve">Abstract </w:t>
      </w:r>
    </w:p>
    <w:p w14:paraId="7EB9DAD4" w14:textId="66A2FBEE" w:rsidR="00535E04" w:rsidRPr="00F410FB" w:rsidRDefault="00FA4343" w:rsidP="00DC7D80">
      <w:pPr>
        <w:pBdr>
          <w:top w:val="single" w:sz="4" w:space="1" w:color="666666"/>
          <w:left w:val="single" w:sz="4" w:space="4" w:color="666666"/>
          <w:bottom w:val="single" w:sz="4" w:space="0" w:color="666666"/>
          <w:right w:val="single" w:sz="4" w:space="4" w:color="666666"/>
        </w:pBdr>
        <w:spacing w:before="240"/>
        <w:jc w:val="both"/>
      </w:pPr>
      <w:r w:rsidRPr="00FA4343">
        <w:rPr>
          <w:i/>
        </w:rPr>
        <w:t>Solanum</w:t>
      </w:r>
      <w:r w:rsidR="00374737" w:rsidRPr="00374737">
        <w:rPr>
          <w:i/>
        </w:rPr>
        <w:t xml:space="preserve"> </w:t>
      </w:r>
      <w:r w:rsidRPr="00FA4343">
        <w:rPr>
          <w:i/>
        </w:rPr>
        <w:t>incanum</w:t>
      </w:r>
      <w:r w:rsidR="00E859AD" w:rsidRPr="00F410FB">
        <w:t xml:space="preserve"> </w:t>
      </w:r>
      <w:commentRangeStart w:id="0"/>
      <w:r w:rsidR="00E859AD" w:rsidRPr="00F410FB">
        <w:t>(</w:t>
      </w:r>
      <w:r w:rsidR="00E859AD" w:rsidRPr="009E3253">
        <w:rPr>
          <w:i/>
          <w:iCs/>
        </w:rPr>
        <w:t xml:space="preserve">S. </w:t>
      </w:r>
      <w:proofErr w:type="spellStart"/>
      <w:r w:rsidR="00E859AD" w:rsidRPr="009E3253">
        <w:rPr>
          <w:i/>
          <w:iCs/>
        </w:rPr>
        <w:t>incanum</w:t>
      </w:r>
      <w:proofErr w:type="spellEnd"/>
      <w:r w:rsidR="00E859AD" w:rsidRPr="00F410FB">
        <w:t>)</w:t>
      </w:r>
      <w:commentRangeEnd w:id="0"/>
      <w:r w:rsidR="001464E5">
        <w:rPr>
          <w:rStyle w:val="CommentReference"/>
        </w:rPr>
        <w:commentReference w:id="0"/>
      </w:r>
      <w:r w:rsidR="00E859AD" w:rsidRPr="00F410FB">
        <w:t xml:space="preserve">, a medicinal plant from the </w:t>
      </w:r>
      <w:r w:rsidR="00E859AD" w:rsidRPr="009E3253">
        <w:rPr>
          <w:i/>
          <w:iCs/>
        </w:rPr>
        <w:t xml:space="preserve">Solanaceae </w:t>
      </w:r>
      <w:r w:rsidR="00E859AD" w:rsidRPr="00F410FB">
        <w:t xml:space="preserve">family, thrives in tropical and subtropical regions, particularly in arid environments. It has been widely used in traditional medicine, mainly for treating infections, inflammation, and wound healing. Despite its extensive use, there is limited scientific validation of its medicinal properties which therefore necessitates the exploration of its bioactivity and safety profile for modern therapeutic applications. This study investigated the pharmacological potential and safety of hydro-methanolic lyophilised </w:t>
      </w:r>
      <w:r w:rsidR="00E859AD" w:rsidRPr="009E3253">
        <w:rPr>
          <w:i/>
          <w:iCs/>
        </w:rPr>
        <w:t>S. incanum</w:t>
      </w:r>
      <w:r w:rsidR="00E859AD" w:rsidRPr="00F410FB">
        <w:t xml:space="preserve"> extract. </w:t>
      </w:r>
      <w:commentRangeStart w:id="1"/>
      <w:r w:rsidR="00E859AD" w:rsidRPr="00F410FB">
        <w:t xml:space="preserve">Qualitative and quantitative </w:t>
      </w:r>
      <w:commentRangeEnd w:id="1"/>
      <w:r w:rsidR="001464E5">
        <w:rPr>
          <w:rStyle w:val="CommentReference"/>
        </w:rPr>
        <w:commentReference w:id="1"/>
      </w:r>
      <w:r w:rsidR="00DC7D80" w:rsidRPr="00F410FB">
        <w:t xml:space="preserve">methods were used to </w:t>
      </w:r>
      <w:r w:rsidR="00E859AD" w:rsidRPr="00F410FB">
        <w:t>determine</w:t>
      </w:r>
      <w:r w:rsidR="00DC7D80" w:rsidRPr="00F410FB">
        <w:t xml:space="preserve"> </w:t>
      </w:r>
      <w:r w:rsidR="00E859AD" w:rsidRPr="00F410FB">
        <w:t xml:space="preserve">the phytoconstituents of </w:t>
      </w:r>
      <w:r w:rsidR="00374737" w:rsidRPr="00374737">
        <w:rPr>
          <w:i/>
        </w:rPr>
        <w:t xml:space="preserve">S. </w:t>
      </w:r>
      <w:r w:rsidRPr="00FA4343">
        <w:rPr>
          <w:i/>
        </w:rPr>
        <w:t>incanum</w:t>
      </w:r>
      <w:r w:rsidR="00E859AD" w:rsidRPr="00F410FB">
        <w:t>, as well as its activity as an antioxidant and anti-inflammatory agent. Phytochemical screening confirmed the presence of key bioactive compounds such as alkaloids, saponins</w:t>
      </w:r>
      <w:r w:rsidR="00DC7D80" w:rsidRPr="00F410FB">
        <w:t>,</w:t>
      </w:r>
      <w:r w:rsidR="00E859AD" w:rsidRPr="00F410FB">
        <w:t xml:space="preserve"> phenolics</w:t>
      </w:r>
      <w:r w:rsidR="00DC7D80" w:rsidRPr="00F410FB">
        <w:t xml:space="preserve"> and flavonoids and</w:t>
      </w:r>
      <w:r w:rsidR="00E859AD" w:rsidRPr="00F410FB">
        <w:t xml:space="preserve"> the hydro-methanolic extract yield</w:t>
      </w:r>
      <w:r w:rsidR="00DC7D80" w:rsidRPr="00F410FB">
        <w:t>ed</w:t>
      </w:r>
      <w:r w:rsidR="00E859AD" w:rsidRPr="00F410FB">
        <w:t xml:space="preserve"> the highest phenolic content. </w:t>
      </w:r>
      <w:commentRangeStart w:id="2"/>
      <w:r w:rsidR="00E859AD" w:rsidRPr="00F410FB">
        <w:t xml:space="preserve">Antioxidant evaluation using DPPH and FRAP assays demonstrated notable radical scavenging activity comparable to ascorbic acid (p &lt; 0.05). The extract also </w:t>
      </w:r>
      <w:r w:rsidR="00DC7D80" w:rsidRPr="00F410FB">
        <w:t>displayed</w:t>
      </w:r>
      <w:r w:rsidR="00E859AD" w:rsidRPr="00F410FB">
        <w:t xml:space="preserve"> strong antimicrobial effects </w:t>
      </w:r>
      <w:r w:rsidR="00E859AD" w:rsidRPr="009E3253">
        <w:rPr>
          <w:i/>
          <w:iCs/>
        </w:rPr>
        <w:t>against Staphylococcus aureus and Escherichia coli</w:t>
      </w:r>
      <w:r w:rsidR="00E859AD" w:rsidRPr="00F410FB">
        <w:t xml:space="preserve">, as well as antifungal activity. </w:t>
      </w:r>
      <w:commentRangeEnd w:id="2"/>
      <w:r w:rsidR="001464E5">
        <w:rPr>
          <w:rStyle w:val="CommentReference"/>
        </w:rPr>
        <w:commentReference w:id="2"/>
      </w:r>
      <w:r w:rsidR="00E859AD" w:rsidRPr="00F410FB">
        <w:t>Furthermore, anti-inflammatory properties were assessed</w:t>
      </w:r>
      <w:commentRangeStart w:id="3"/>
      <w:r w:rsidR="00E859AD" w:rsidRPr="00F410FB">
        <w:t xml:space="preserve"> </w:t>
      </w:r>
      <w:r w:rsidR="009E3253">
        <w:t xml:space="preserve"> </w:t>
      </w:r>
      <w:commentRangeEnd w:id="3"/>
      <w:r w:rsidR="001464E5">
        <w:rPr>
          <w:rStyle w:val="CommentReference"/>
        </w:rPr>
        <w:commentReference w:id="3"/>
      </w:r>
      <w:r w:rsidR="009E3253">
        <w:t xml:space="preserve">and confirmed </w:t>
      </w:r>
      <w:r w:rsidR="00E859AD" w:rsidRPr="00F410FB">
        <w:t xml:space="preserve">using the egg albumin model, </w:t>
      </w:r>
      <w:r w:rsidR="009E3253">
        <w:t>with results comparable to Diclofenac</w:t>
      </w:r>
      <w:r w:rsidR="00E859AD" w:rsidRPr="00F410FB">
        <w:t>. Acute oral toxicity testing (OECD 425) in Sprague Dawley rats confirmed its safety</w:t>
      </w:r>
      <w:r w:rsidR="00DC7D80" w:rsidRPr="00F410FB">
        <w:t xml:space="preserve"> and confirmed</w:t>
      </w:r>
      <w:r w:rsidR="00E859AD" w:rsidRPr="00F410FB">
        <w:t xml:space="preserve"> no mortality or adverse </w:t>
      </w:r>
      <w:commentRangeStart w:id="4"/>
      <w:proofErr w:type="spellStart"/>
      <w:r w:rsidR="00E859AD" w:rsidRPr="00F410FB">
        <w:t>behav</w:t>
      </w:r>
      <w:r w:rsidR="00DC7D80" w:rsidRPr="00F410FB">
        <w:t>ou</w:t>
      </w:r>
      <w:r w:rsidR="00E859AD" w:rsidRPr="00F410FB">
        <w:t>ral</w:t>
      </w:r>
      <w:commentRangeEnd w:id="4"/>
      <w:proofErr w:type="spellEnd"/>
      <w:r w:rsidR="001464E5">
        <w:rPr>
          <w:rStyle w:val="CommentReference"/>
        </w:rPr>
        <w:commentReference w:id="4"/>
      </w:r>
      <w:r w:rsidR="00E859AD" w:rsidRPr="00F410FB">
        <w:t xml:space="preserve"> effects up to 2000 mg/kg.</w:t>
      </w:r>
      <w:r w:rsidR="00DC7D80" w:rsidRPr="00F410FB">
        <w:t xml:space="preserve"> </w:t>
      </w:r>
      <w:commentRangeStart w:id="5"/>
      <w:r w:rsidR="00E859AD" w:rsidRPr="00F410FB">
        <w:t xml:space="preserve">The strong bioactivity observed in </w:t>
      </w:r>
      <w:r w:rsidR="00E859AD" w:rsidRPr="009E3253">
        <w:rPr>
          <w:i/>
          <w:iCs/>
        </w:rPr>
        <w:t>S. incanum</w:t>
      </w:r>
      <w:r w:rsidR="00DC7D80" w:rsidRPr="00F410FB">
        <w:t xml:space="preserve"> due</w:t>
      </w:r>
      <w:r w:rsidR="00E859AD" w:rsidRPr="00F410FB">
        <w:t xml:space="preserve"> its high phenolic content</w:t>
      </w:r>
      <w:r w:rsidR="00DC7D80" w:rsidRPr="00F410FB">
        <w:t xml:space="preserve"> </w:t>
      </w:r>
      <w:r w:rsidR="00E859AD" w:rsidRPr="00F410FB">
        <w:t>supports its traditional use in wound care and healing</w:t>
      </w:r>
      <w:commentRangeEnd w:id="5"/>
      <w:r w:rsidR="001464E5">
        <w:rPr>
          <w:rStyle w:val="CommentReference"/>
        </w:rPr>
        <w:commentReference w:id="5"/>
      </w:r>
      <w:r w:rsidR="00E859AD" w:rsidRPr="00F410FB">
        <w:t xml:space="preserve">. </w:t>
      </w:r>
      <w:commentRangeStart w:id="6"/>
      <w:r w:rsidR="00E859AD" w:rsidRPr="00F410FB">
        <w:t>Additionally, its favo</w:t>
      </w:r>
      <w:r w:rsidR="00DC7D80" w:rsidRPr="00F410FB">
        <w:t>u</w:t>
      </w:r>
      <w:r w:rsidR="00E859AD" w:rsidRPr="00F410FB">
        <w:t>rable safety profile strengthens its potential for integration into modern therapeutic formulations.</w:t>
      </w:r>
      <w:commentRangeEnd w:id="6"/>
      <w:r w:rsidR="001464E5">
        <w:rPr>
          <w:rStyle w:val="CommentReference"/>
        </w:rPr>
        <w:commentReference w:id="6"/>
      </w:r>
      <w:r w:rsidR="00E859AD" w:rsidRPr="00F410FB">
        <w:t xml:space="preserve"> These findings suggest that </w:t>
      </w:r>
      <w:r w:rsidR="00E859AD" w:rsidRPr="009E3253">
        <w:rPr>
          <w:i/>
          <w:iCs/>
        </w:rPr>
        <w:t>S. incanum</w:t>
      </w:r>
      <w:r w:rsidR="00E859AD" w:rsidRPr="00F410FB">
        <w:t xml:space="preserve"> could be a valuable natural agent for skin regeneration and wound management, warranting further investigation into its clinical applications.</w:t>
      </w:r>
    </w:p>
    <w:p w14:paraId="24302A5A" w14:textId="66B1BD47" w:rsidR="00535E04" w:rsidRPr="00F410FB" w:rsidRDefault="00F14ED7" w:rsidP="00DC7D80">
      <w:pPr>
        <w:autoSpaceDE w:val="0"/>
        <w:autoSpaceDN w:val="0"/>
        <w:adjustRightInd w:val="0"/>
        <w:spacing w:before="240"/>
        <w:ind w:left="1440" w:hanging="1440"/>
        <w:rPr>
          <w:szCs w:val="20"/>
          <w:lang w:val="en-US"/>
        </w:rPr>
      </w:pPr>
      <w:r w:rsidRPr="00F410FB">
        <w:rPr>
          <w:b/>
          <w:szCs w:val="20"/>
        </w:rPr>
        <w:t>Key words</w:t>
      </w:r>
      <w:r w:rsidRPr="00F410FB">
        <w:rPr>
          <w:szCs w:val="20"/>
        </w:rPr>
        <w:t>:</w:t>
      </w:r>
      <w:r w:rsidR="00DC7D80" w:rsidRPr="00F410FB">
        <w:rPr>
          <w:szCs w:val="20"/>
        </w:rPr>
        <w:t xml:space="preserve"> </w:t>
      </w:r>
      <w:r w:rsidR="00DC7D80" w:rsidRPr="00F410FB">
        <w:rPr>
          <w:szCs w:val="20"/>
        </w:rPr>
        <w:tab/>
      </w:r>
      <w:r w:rsidRPr="00F410FB">
        <w:rPr>
          <w:szCs w:val="20"/>
          <w:lang w:val="en-US"/>
        </w:rPr>
        <w:t xml:space="preserve">cytotoxic, </w:t>
      </w:r>
      <w:r w:rsidR="00FA4343" w:rsidRPr="00FA4343">
        <w:rPr>
          <w:i/>
          <w:szCs w:val="20"/>
          <w:lang w:val="en-US"/>
        </w:rPr>
        <w:t>Solanum</w:t>
      </w:r>
      <w:r w:rsidR="00374737" w:rsidRPr="00374737">
        <w:rPr>
          <w:i/>
          <w:szCs w:val="20"/>
          <w:lang w:val="en-US"/>
        </w:rPr>
        <w:t xml:space="preserve"> </w:t>
      </w:r>
      <w:r w:rsidR="00FA4343" w:rsidRPr="00FA4343">
        <w:rPr>
          <w:i/>
          <w:szCs w:val="20"/>
          <w:lang w:val="en-US"/>
        </w:rPr>
        <w:t>incanum</w:t>
      </w:r>
      <w:r w:rsidR="00DC7D80" w:rsidRPr="00F410FB">
        <w:rPr>
          <w:szCs w:val="20"/>
          <w:lang w:val="en-US"/>
        </w:rPr>
        <w:t>, phytochemical screening, antioxidant activity, antimicrobial, safety profile</w:t>
      </w:r>
    </w:p>
    <w:p w14:paraId="27475F9D" w14:textId="77777777" w:rsidR="00535E04" w:rsidRPr="00F410FB" w:rsidRDefault="00535E04" w:rsidP="00DD03CF">
      <w:pPr>
        <w:spacing w:before="240"/>
      </w:pPr>
    </w:p>
    <w:p w14:paraId="74689EE3" w14:textId="77777777" w:rsidR="00535E04" w:rsidRPr="00F410FB" w:rsidRDefault="00F14ED7" w:rsidP="00DD03CF">
      <w:pPr>
        <w:spacing w:before="240"/>
        <w:rPr>
          <w:rStyle w:val="Hyperlink"/>
        </w:rPr>
      </w:pPr>
      <w:r w:rsidRPr="00F410FB">
        <w:rPr>
          <w:rStyle w:val="Hyperlink"/>
        </w:rPr>
        <w:br w:type="page"/>
      </w:r>
    </w:p>
    <w:p w14:paraId="6CA45A1B" w14:textId="77777777" w:rsidR="00535E04" w:rsidRPr="00F410FB" w:rsidRDefault="00F14ED7" w:rsidP="00DD03CF">
      <w:pPr>
        <w:pStyle w:val="Heading1"/>
        <w:rPr>
          <w:rFonts w:ascii="Times New Roman" w:hAnsi="Times New Roman" w:cs="Times New Roman"/>
          <w:szCs w:val="24"/>
        </w:rPr>
      </w:pPr>
      <w:r w:rsidRPr="00F410FB">
        <w:rPr>
          <w:rFonts w:ascii="Times New Roman" w:hAnsi="Times New Roman" w:cs="Times New Roman"/>
          <w:szCs w:val="24"/>
        </w:rPr>
        <w:lastRenderedPageBreak/>
        <w:t>Introduction</w:t>
      </w:r>
    </w:p>
    <w:p w14:paraId="7821B085" w14:textId="4B45628E" w:rsidR="00535E04" w:rsidRPr="00F410FB" w:rsidRDefault="00374737" w:rsidP="00DD03CF">
      <w:pPr>
        <w:pStyle w:val="Heading2"/>
        <w:spacing w:before="240"/>
        <w:rPr>
          <w:rFonts w:ascii="Times New Roman" w:hAnsi="Times New Roman" w:cs="Times New Roman"/>
          <w:szCs w:val="24"/>
        </w:rPr>
      </w:pPr>
      <w:r w:rsidRPr="00374737">
        <w:rPr>
          <w:rFonts w:ascii="Times New Roman" w:hAnsi="Times New Roman" w:cs="Times New Roman"/>
          <w:i/>
          <w:szCs w:val="24"/>
        </w:rPr>
        <w:t xml:space="preserve">S. </w:t>
      </w:r>
      <w:r w:rsidR="00FA4343" w:rsidRPr="00FA4343">
        <w:rPr>
          <w:rFonts w:ascii="Times New Roman" w:hAnsi="Times New Roman" w:cs="Times New Roman"/>
          <w:i/>
          <w:szCs w:val="24"/>
        </w:rPr>
        <w:t>incanum</w:t>
      </w:r>
    </w:p>
    <w:p w14:paraId="5B585FDB" w14:textId="60717A27" w:rsidR="00535E04" w:rsidRPr="00F410FB" w:rsidRDefault="00374737" w:rsidP="00DD03CF">
      <w:pPr>
        <w:spacing w:before="240"/>
        <w:jc w:val="both"/>
        <w:rPr>
          <w:lang w:val="en-US"/>
        </w:rPr>
      </w:pPr>
      <w:r w:rsidRPr="00374737">
        <w:rPr>
          <w:i/>
          <w:lang w:val="en-US"/>
        </w:rPr>
        <w:t xml:space="preserve">S. </w:t>
      </w:r>
      <w:r w:rsidR="00FA4343" w:rsidRPr="00FA4343">
        <w:rPr>
          <w:i/>
          <w:lang w:val="en-US"/>
        </w:rPr>
        <w:t>incanum</w:t>
      </w:r>
      <w:r w:rsidR="00F14ED7" w:rsidRPr="00F410FB">
        <w:rPr>
          <w:lang w:val="en-US"/>
        </w:rPr>
        <w:t xml:space="preserve"> Linn is an annual sub-shrub which his commonly known as thorn apple and it belongs to the Solanaceae family</w:t>
      </w:r>
      <w:r w:rsidR="007C6191">
        <w:rPr>
          <w:vertAlign w:val="superscript"/>
          <w:lang w:val="en-US"/>
        </w:rPr>
        <w:t>1</w:t>
      </w:r>
      <w:r w:rsidR="00F14ED7" w:rsidRPr="00F410FB">
        <w:rPr>
          <w:lang w:val="en-US"/>
        </w:rPr>
        <w:t xml:space="preserve">. </w:t>
      </w:r>
      <w:r w:rsidRPr="00374737">
        <w:rPr>
          <w:i/>
          <w:lang w:val="en-US"/>
        </w:rPr>
        <w:t xml:space="preserve">S. </w:t>
      </w:r>
      <w:r w:rsidR="00FA4343" w:rsidRPr="00FA4343">
        <w:rPr>
          <w:i/>
          <w:lang w:val="en-US"/>
        </w:rPr>
        <w:t>incanum</w:t>
      </w:r>
      <w:r w:rsidR="00F14ED7" w:rsidRPr="00F410FB">
        <w:rPr>
          <w:lang w:val="en-US"/>
        </w:rPr>
        <w:t xml:space="preserve">, commonly known as the "bitter apple" or "Sodom apple," is a perennial shrub native to arid and semi-arid regions. It belongs to the Solanaceae family, sharing its lineage with eggplants and tomatoes. </w:t>
      </w:r>
      <w:r w:rsidR="00F14ED7" w:rsidRPr="00F410FB">
        <w:t>It is a perennial plant often cultivated as an annual crop. It grows 1 3 m high with simple leaves, ovate, elliptic, 2.5–12 cm long and 2.5 8 cm wide</w:t>
      </w:r>
      <w:r w:rsidR="007C6191">
        <w:rPr>
          <w:vertAlign w:val="superscript"/>
        </w:rPr>
        <w:t>2</w:t>
      </w:r>
      <w:r w:rsidR="00F14ED7" w:rsidRPr="00F410FB">
        <w:t>. The fruit is fleshy and is approximately 3 cm in diameter on wild plants but much larger in cultivated forms. Botanically the fruit is classified as a berry and contains numerous small, soft seeds which are edible, but are bitter because they contain an insignificant amount of nicotinoid alkaloids</w:t>
      </w:r>
      <w:r w:rsidR="00CD7F97">
        <w:rPr>
          <w:vertAlign w:val="superscript"/>
        </w:rPr>
        <w:t>3</w:t>
      </w:r>
      <w:r w:rsidR="00F14ED7" w:rsidRPr="00F410FB">
        <w:t>.</w:t>
      </w:r>
      <w:r w:rsidR="00F14ED7" w:rsidRPr="00F410FB">
        <w:rPr>
          <w:lang w:val="en-US"/>
        </w:rPr>
        <w:t xml:space="preserve">The plant features thorny, woody stems and large, ovate leaves with a wavy edge, often covered in fine bristly hairs. Its striking purple flowers have a star-like shape with a yellow central cone of anthers, adding a pop of color to its surroundings. The round fruits, which turn yellow or orange when ripe, are toxic and unfit for consumption. </w:t>
      </w:r>
      <w:r w:rsidRPr="00374737">
        <w:rPr>
          <w:i/>
          <w:lang w:val="en-US"/>
        </w:rPr>
        <w:t xml:space="preserve">S. </w:t>
      </w:r>
      <w:r w:rsidR="00FA4343" w:rsidRPr="00FA4343">
        <w:rPr>
          <w:i/>
          <w:lang w:val="en-US"/>
        </w:rPr>
        <w:t>incanum</w:t>
      </w:r>
      <w:r w:rsidR="00F14ED7" w:rsidRPr="00F410FB">
        <w:rPr>
          <w:lang w:val="en-US"/>
        </w:rPr>
        <w:t xml:space="preserve"> is well-adapted to harsh environments, for example, its deep-rooted structure that allows it to survive in dry and nutrient-poor soils. </w:t>
      </w:r>
      <w:r w:rsidR="00886C0D" w:rsidRPr="00F410FB">
        <w:t>The plant is widely spread and abundant in overgrazed range areas or road-sides of Ethiopia</w:t>
      </w:r>
      <w:r w:rsidR="007C6191">
        <w:rPr>
          <w:vertAlign w:val="superscript"/>
        </w:rPr>
        <w:t>2</w:t>
      </w:r>
      <w:r w:rsidR="00886C0D" w:rsidRPr="00F410FB">
        <w:t>. It is also well-known in Uganda, Tanzania, South Africa, Senegal, and Zimbabwe</w:t>
      </w:r>
      <w:r w:rsidR="007C6191">
        <w:rPr>
          <w:vertAlign w:val="superscript"/>
        </w:rPr>
        <w:t>4</w:t>
      </w:r>
      <w:r w:rsidR="00886C0D" w:rsidRPr="00F410FB">
        <w:t>.</w:t>
      </w:r>
      <w:r w:rsidR="00A91A99" w:rsidRPr="00F410FB">
        <w:t xml:space="preserve"> </w:t>
      </w:r>
      <w:r w:rsidR="00F14ED7" w:rsidRPr="00F410FB">
        <w:rPr>
          <w:lang w:val="en-US"/>
        </w:rPr>
        <w:t>Different parts of it have many traditional uses in the management of pain and skin problems including infections</w:t>
      </w:r>
      <w:r w:rsidR="007C6191">
        <w:rPr>
          <w:vertAlign w:val="superscript"/>
          <w:lang w:val="en-US"/>
        </w:rPr>
        <w:t>5</w:t>
      </w:r>
      <w:r w:rsidR="00F14ED7" w:rsidRPr="00F410FB">
        <w:rPr>
          <w:lang w:val="en-US"/>
        </w:rPr>
        <w:t xml:space="preserve">. </w:t>
      </w:r>
      <w:r w:rsidRPr="00374737">
        <w:rPr>
          <w:i/>
          <w:lang w:val="en-US"/>
        </w:rPr>
        <w:t xml:space="preserve">S. </w:t>
      </w:r>
      <w:r w:rsidR="00FA4343" w:rsidRPr="00FA4343">
        <w:rPr>
          <w:i/>
          <w:lang w:val="en-US"/>
        </w:rPr>
        <w:t>incanum</w:t>
      </w:r>
      <w:r w:rsidR="00F14ED7" w:rsidRPr="00F410FB">
        <w:rPr>
          <w:lang w:val="en-US"/>
        </w:rPr>
        <w:t xml:space="preserve"> has well reported wound healing properties in folk medicine but partially evaluated scientifically</w:t>
      </w:r>
      <w:r w:rsidR="00C630F3">
        <w:rPr>
          <w:vertAlign w:val="superscript"/>
          <w:lang w:val="en-US"/>
        </w:rPr>
        <w:t>6</w:t>
      </w:r>
      <w:r w:rsidR="00F14ED7" w:rsidRPr="00F410FB">
        <w:rPr>
          <w:lang w:val="en-US"/>
        </w:rPr>
        <w:t xml:space="preserve">. </w:t>
      </w:r>
    </w:p>
    <w:p w14:paraId="68622EEC" w14:textId="551C2738" w:rsidR="00535E04" w:rsidRPr="00F410FB" w:rsidRDefault="00876419" w:rsidP="00DD03CF">
      <w:pPr>
        <w:spacing w:before="240" w:line="360" w:lineRule="auto"/>
        <w:jc w:val="both"/>
      </w:pPr>
      <w:r w:rsidRPr="00F410FB">
        <w:rPr>
          <w:noProof/>
        </w:rPr>
        <w:drawing>
          <wp:anchor distT="0" distB="0" distL="0" distR="0" simplePos="0" relativeHeight="251658240" behindDoc="1" locked="0" layoutInCell="1" allowOverlap="1" wp14:anchorId="2860B4C5" wp14:editId="4C0F0DAE">
            <wp:simplePos x="0" y="0"/>
            <wp:positionH relativeFrom="column">
              <wp:posOffset>2438400</wp:posOffset>
            </wp:positionH>
            <wp:positionV relativeFrom="paragraph">
              <wp:posOffset>26670</wp:posOffset>
            </wp:positionV>
            <wp:extent cx="1798320" cy="2268220"/>
            <wp:effectExtent l="0" t="0" r="0" b="0"/>
            <wp:wrapNone/>
            <wp:docPr id="1029"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13" cstate="print"/>
                    <a:srcRect b="3359"/>
                    <a:stretch>
                      <a:fillRect/>
                    </a:stretch>
                  </pic:blipFill>
                  <pic:spPr>
                    <a:xfrm>
                      <a:off x="0" y="0"/>
                      <a:ext cx="1798320" cy="2268220"/>
                    </a:xfrm>
                    <a:prstGeom prst="rect">
                      <a:avLst/>
                    </a:prstGeom>
                    <a:ln>
                      <a:noFill/>
                    </a:ln>
                  </pic:spPr>
                </pic:pic>
              </a:graphicData>
            </a:graphic>
            <wp14:sizeRelH relativeFrom="margin">
              <wp14:pctWidth>0</wp14:pctWidth>
            </wp14:sizeRelH>
            <wp14:sizeRelV relativeFrom="margin">
              <wp14:pctHeight>0</wp14:pctHeight>
            </wp14:sizeRelV>
          </wp:anchor>
        </w:drawing>
      </w:r>
      <w:r w:rsidRPr="00F410FB">
        <w:rPr>
          <w:noProof/>
        </w:rPr>
        <w:drawing>
          <wp:anchor distT="0" distB="0" distL="0" distR="0" simplePos="0" relativeHeight="251657216" behindDoc="1" locked="0" layoutInCell="1" allowOverlap="1" wp14:anchorId="17813C1F" wp14:editId="6B04FD88">
            <wp:simplePos x="0" y="0"/>
            <wp:positionH relativeFrom="column">
              <wp:posOffset>366395</wp:posOffset>
            </wp:positionH>
            <wp:positionV relativeFrom="paragraph">
              <wp:posOffset>5080</wp:posOffset>
            </wp:positionV>
            <wp:extent cx="2089150" cy="2306320"/>
            <wp:effectExtent l="0" t="0" r="13970" b="10160"/>
            <wp:wrapNone/>
            <wp:docPr id="1027" name="Picture 4"/>
            <wp:cNvGraphicFramePr/>
            <a:graphic xmlns:a="http://schemas.openxmlformats.org/drawingml/2006/main">
              <a:graphicData uri="http://schemas.openxmlformats.org/drawingml/2006/picture">
                <pic:pic xmlns:pic="http://schemas.openxmlformats.org/drawingml/2006/picture">
                  <pic:nvPicPr>
                    <pic:cNvPr id="1027" name="Picture 4"/>
                    <pic:cNvPicPr/>
                  </pic:nvPicPr>
                  <pic:blipFill>
                    <a:blip r:embed="rId14" cstate="print"/>
                    <a:srcRect/>
                    <a:stretch>
                      <a:fillRect/>
                    </a:stretch>
                  </pic:blipFill>
                  <pic:spPr>
                    <a:xfrm>
                      <a:off x="0" y="0"/>
                      <a:ext cx="2089150" cy="2306320"/>
                    </a:xfrm>
                    <a:prstGeom prst="rect">
                      <a:avLst/>
                    </a:prstGeom>
                    <a:ln>
                      <a:noFill/>
                    </a:ln>
                  </pic:spPr>
                </pic:pic>
              </a:graphicData>
            </a:graphic>
          </wp:anchor>
        </w:drawing>
      </w:r>
      <w:r w:rsidRPr="00F410FB">
        <w:t xml:space="preserve"> </w:t>
      </w:r>
    </w:p>
    <w:p w14:paraId="19AEEFD3" w14:textId="77777777" w:rsidR="00535E04" w:rsidRPr="00F410FB" w:rsidRDefault="00535E04" w:rsidP="00DD03CF">
      <w:pPr>
        <w:spacing w:before="240" w:line="360" w:lineRule="auto"/>
        <w:jc w:val="both"/>
      </w:pPr>
    </w:p>
    <w:p w14:paraId="63ABB149" w14:textId="77777777" w:rsidR="00535E04" w:rsidRPr="00F410FB" w:rsidRDefault="00535E04" w:rsidP="00DD03CF">
      <w:pPr>
        <w:spacing w:before="240" w:line="360" w:lineRule="auto"/>
        <w:jc w:val="both"/>
      </w:pPr>
    </w:p>
    <w:p w14:paraId="4CBD303C" w14:textId="77777777" w:rsidR="00535E04" w:rsidRPr="00F410FB" w:rsidRDefault="00535E04" w:rsidP="00DD03CF">
      <w:pPr>
        <w:pStyle w:val="Caption"/>
        <w:spacing w:before="240"/>
        <w:rPr>
          <w:sz w:val="24"/>
          <w:szCs w:val="24"/>
        </w:rPr>
      </w:pPr>
    </w:p>
    <w:p w14:paraId="51A4E05E" w14:textId="77777777" w:rsidR="00876419" w:rsidRPr="00F410FB" w:rsidRDefault="00F14ED7" w:rsidP="00DD03CF">
      <w:pPr>
        <w:pStyle w:val="Caption"/>
        <w:spacing w:before="240"/>
        <w:rPr>
          <w:sz w:val="24"/>
          <w:szCs w:val="24"/>
        </w:rPr>
      </w:pPr>
      <w:r w:rsidRPr="00F410FB">
        <w:rPr>
          <w:sz w:val="24"/>
          <w:szCs w:val="24"/>
        </w:rPr>
        <w:t xml:space="preserve">           </w:t>
      </w:r>
    </w:p>
    <w:p w14:paraId="6A294D79" w14:textId="77777777" w:rsidR="00876419" w:rsidRPr="00F410FB" w:rsidRDefault="00876419" w:rsidP="00DD03CF">
      <w:pPr>
        <w:pStyle w:val="Caption"/>
        <w:spacing w:before="240"/>
        <w:rPr>
          <w:sz w:val="24"/>
          <w:szCs w:val="24"/>
        </w:rPr>
      </w:pPr>
    </w:p>
    <w:p w14:paraId="10F04B29" w14:textId="3CF81E17" w:rsidR="00535E04" w:rsidRPr="00F410FB" w:rsidRDefault="00F14ED7" w:rsidP="00DD03CF">
      <w:pPr>
        <w:pStyle w:val="Caption"/>
        <w:spacing w:before="240"/>
        <w:rPr>
          <w:sz w:val="20"/>
          <w:szCs w:val="24"/>
          <w:lang w:val="en-US"/>
        </w:rPr>
      </w:pPr>
      <w:r w:rsidRPr="00F410FB">
        <w:rPr>
          <w:sz w:val="20"/>
          <w:szCs w:val="24"/>
        </w:rPr>
        <w:t xml:space="preserve">  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1</w:t>
      </w:r>
      <w:r w:rsidRPr="00F410FB">
        <w:rPr>
          <w:sz w:val="20"/>
          <w:szCs w:val="24"/>
        </w:rPr>
        <w:fldChar w:fldCharType="end"/>
      </w:r>
      <w:r w:rsidRPr="00F410FB">
        <w:rPr>
          <w:sz w:val="20"/>
          <w:szCs w:val="24"/>
        </w:rPr>
        <w:t xml:space="preserve">: Images of </w:t>
      </w:r>
      <w:r w:rsidRPr="00F410FB">
        <w:rPr>
          <w:sz w:val="20"/>
          <w:szCs w:val="24"/>
          <w:lang w:val="en-US"/>
        </w:rPr>
        <w:t>S</w:t>
      </w:r>
      <w:r w:rsidRPr="00F410FB">
        <w:rPr>
          <w:sz w:val="20"/>
          <w:szCs w:val="24"/>
        </w:rPr>
        <w:t xml:space="preserve"> </w:t>
      </w:r>
      <w:r w:rsidR="00FA4343" w:rsidRPr="00FA4343">
        <w:rPr>
          <w:sz w:val="20"/>
          <w:szCs w:val="24"/>
          <w:lang w:val="en-US"/>
        </w:rPr>
        <w:t>Incanum</w:t>
      </w:r>
      <w:r w:rsidRPr="00F410FB">
        <w:rPr>
          <w:sz w:val="20"/>
          <w:szCs w:val="24"/>
        </w:rPr>
        <w:t xml:space="preserve"> plant, aerial parts, foliage and fruit</w:t>
      </w:r>
    </w:p>
    <w:p w14:paraId="2D31B351" w14:textId="138C4622" w:rsidR="00535E04" w:rsidRPr="00F410FB" w:rsidRDefault="00F81E2C" w:rsidP="00DD03CF">
      <w:pPr>
        <w:pStyle w:val="Heading2"/>
        <w:spacing w:before="240"/>
        <w:rPr>
          <w:rFonts w:ascii="Times New Roman" w:hAnsi="Times New Roman" w:cs="Times New Roman"/>
          <w:szCs w:val="24"/>
        </w:rPr>
      </w:pPr>
      <w:r w:rsidRPr="00F410FB">
        <w:rPr>
          <w:rFonts w:ascii="Times New Roman" w:hAnsi="Times New Roman" w:cs="Times New Roman"/>
          <w:szCs w:val="24"/>
        </w:rPr>
        <w:t>Traditional and ethnobotanical uses</w:t>
      </w:r>
    </w:p>
    <w:p w14:paraId="57D6CC6E" w14:textId="216CEFE8" w:rsidR="00D87F66" w:rsidRPr="00F410FB" w:rsidRDefault="00F81E2C" w:rsidP="00DD03CF">
      <w:pPr>
        <w:pStyle w:val="NormalWeb"/>
        <w:spacing w:before="240" w:beforeAutospacing="0"/>
        <w:jc w:val="both"/>
      </w:pPr>
      <w:r w:rsidRPr="00F410FB">
        <w:t xml:space="preserve">Amongst medicinal plants used in folk medicine, </w:t>
      </w:r>
      <w:r w:rsidR="00374737" w:rsidRPr="00374737">
        <w:rPr>
          <w:i/>
        </w:rPr>
        <w:t xml:space="preserve">S. </w:t>
      </w:r>
      <w:r w:rsidR="00FA4343" w:rsidRPr="00FA4343">
        <w:rPr>
          <w:i/>
        </w:rPr>
        <w:t>incanum</w:t>
      </w:r>
      <w:r w:rsidRPr="00F410FB">
        <w:t xml:space="preserve"> has been widely used for the management of different</w:t>
      </w:r>
      <w:r w:rsidR="00CD7F97" w:rsidRPr="00CD7F97">
        <w:t xml:space="preserve"> </w:t>
      </w:r>
      <w:r w:rsidR="00CD7F97" w:rsidRPr="00F410FB">
        <w:t>infections</w:t>
      </w:r>
      <w:r w:rsidR="00CD7F97">
        <w:rPr>
          <w:vertAlign w:val="superscript"/>
        </w:rPr>
        <w:t>4</w:t>
      </w:r>
      <w:r w:rsidRPr="00F410FB">
        <w:t xml:space="preserve">. </w:t>
      </w:r>
      <w:r w:rsidR="00374737" w:rsidRPr="00374737">
        <w:rPr>
          <w:i/>
        </w:rPr>
        <w:t xml:space="preserve">S. </w:t>
      </w:r>
      <w:r w:rsidR="00FA4343" w:rsidRPr="00FA4343">
        <w:rPr>
          <w:i/>
        </w:rPr>
        <w:t>incanum</w:t>
      </w:r>
      <w:r w:rsidR="00D87F66" w:rsidRPr="00F410FB">
        <w:t xml:space="preserve"> L. is used throughout tropical Africa to treat: sore throat, stomach-ache, head-ache, painful menstruation, liver pain and pain caused by onchocerciasis, pneumonia and rheumatism</w:t>
      </w:r>
      <w:r w:rsidR="00684BEC">
        <w:rPr>
          <w:vertAlign w:val="superscript"/>
        </w:rPr>
        <w:t>2</w:t>
      </w:r>
      <w:r w:rsidR="00D87F66" w:rsidRPr="00F410FB">
        <w:t xml:space="preserve">. </w:t>
      </w:r>
      <w:r w:rsidR="00DE6D5E" w:rsidRPr="00F410FB">
        <w:t>In folk medicine, its medicinal properties have been harnessed through consuming leaf, root, and fruit decoctions, chewing and swallowing root saps</w:t>
      </w:r>
      <w:r w:rsidR="00684BEC">
        <w:rPr>
          <w:vertAlign w:val="superscript"/>
        </w:rPr>
        <w:t>4</w:t>
      </w:r>
      <w:r w:rsidR="008B4B79">
        <w:rPr>
          <w:vertAlign w:val="superscript"/>
        </w:rPr>
        <w:t>,2</w:t>
      </w:r>
      <w:r w:rsidR="0046472B" w:rsidRPr="00F410FB">
        <w:t>. E</w:t>
      </w:r>
      <w:r w:rsidR="00DE6D5E" w:rsidRPr="00F410FB">
        <w:t xml:space="preserve">xternal applications involve leaf paste, root infusions, and pounded fruits rubbed into scarifications. Leaf sap </w:t>
      </w:r>
      <w:r w:rsidR="0046472B" w:rsidRPr="00F410FB">
        <w:t xml:space="preserve">is </w:t>
      </w:r>
      <w:r w:rsidR="00DE6D5E" w:rsidRPr="00F410FB">
        <w:t>also used to wash painful areas, while ash from burnt plants mixed with fat is applied topically for pain relief</w:t>
      </w:r>
      <w:r w:rsidR="00484580">
        <w:rPr>
          <w:vertAlign w:val="superscript"/>
        </w:rPr>
        <w:t>4</w:t>
      </w:r>
      <w:r w:rsidR="0046472B" w:rsidRPr="00F410FB">
        <w:t xml:space="preserve">. </w:t>
      </w:r>
      <w:r w:rsidR="00DE6D5E" w:rsidRPr="00F410FB">
        <w:t>For dental issues</w:t>
      </w:r>
      <w:r w:rsidR="0046472B" w:rsidRPr="00F410FB">
        <w:t xml:space="preserve"> including </w:t>
      </w:r>
      <w:r w:rsidR="00DE6D5E" w:rsidRPr="00F410FB">
        <w:t>toothache, a root infusion serves as a mouthwash</w:t>
      </w:r>
      <w:r w:rsidR="0046472B" w:rsidRPr="00F410FB">
        <w:t xml:space="preserve"> and</w:t>
      </w:r>
      <w:r w:rsidR="00DE6D5E" w:rsidRPr="00F410FB">
        <w:t xml:space="preserve"> fruits or roots are rubbed onto the gums</w:t>
      </w:r>
      <w:r w:rsidR="0046472B" w:rsidRPr="00F410FB">
        <w:t xml:space="preserve"> as well as the </w:t>
      </w:r>
      <w:r w:rsidR="00DE6D5E" w:rsidRPr="00F410FB">
        <w:t>smoke from burning seeds is inhaled for pain management</w:t>
      </w:r>
      <w:r w:rsidR="00484580">
        <w:rPr>
          <w:vertAlign w:val="superscript"/>
        </w:rPr>
        <w:t>4</w:t>
      </w:r>
      <w:r w:rsidR="00DE6D5E" w:rsidRPr="00F410FB">
        <w:t>. The plant is also wide</w:t>
      </w:r>
      <w:r w:rsidR="0046472B" w:rsidRPr="00F410FB">
        <w:t>ly used</w:t>
      </w:r>
      <w:r w:rsidR="00DE6D5E" w:rsidRPr="00F410FB">
        <w:t xml:space="preserve"> in treating venereal diseases and skin-related conditions</w:t>
      </w:r>
      <w:r w:rsidR="0046472B" w:rsidRPr="00F410FB">
        <w:t xml:space="preserve"> such as</w:t>
      </w:r>
      <w:r w:rsidR="00DE6D5E" w:rsidRPr="00F410FB">
        <w:t xml:space="preserve"> infections, ringworm, burns, </w:t>
      </w:r>
      <w:r w:rsidR="00DE6D5E" w:rsidRPr="00F410FB">
        <w:lastRenderedPageBreak/>
        <w:t>sores, rashes, wounds, ulcers, warts, and benign tumors</w:t>
      </w:r>
      <w:r w:rsidR="00484580">
        <w:rPr>
          <w:vertAlign w:val="superscript"/>
        </w:rPr>
        <w:t>4</w:t>
      </w:r>
      <w:r w:rsidR="00DE6D5E" w:rsidRPr="00F410FB">
        <w:t>. Additionally, various plant parts are used to address gastrointestinal disorders, snake bites, chest pain, tonicities, and skin wounds in cattle, with leaves, fruits, roots</w:t>
      </w:r>
      <w:r w:rsidR="0046472B" w:rsidRPr="00F410FB">
        <w:t xml:space="preserve"> </w:t>
      </w:r>
      <w:r w:rsidR="00DE6D5E" w:rsidRPr="00F410FB">
        <w:t>and seeds boiled in butter for stomach ailments</w:t>
      </w:r>
      <w:r w:rsidR="00484580">
        <w:rPr>
          <w:vertAlign w:val="superscript"/>
        </w:rPr>
        <w:t>7</w:t>
      </w:r>
      <w:r w:rsidR="00DE6D5E" w:rsidRPr="00F410FB">
        <w:t>.</w:t>
      </w:r>
      <w:r w:rsidR="00552521" w:rsidRPr="00F410FB">
        <w:t xml:space="preserve"> The ethnobotanical use of </w:t>
      </w:r>
      <w:r w:rsidR="00552521" w:rsidRPr="00FA4343">
        <w:rPr>
          <w:i/>
        </w:rPr>
        <w:t>S</w:t>
      </w:r>
      <w:r w:rsidR="00FA4343">
        <w:rPr>
          <w:i/>
        </w:rPr>
        <w:t>.</w:t>
      </w:r>
      <w:r w:rsidR="00552521" w:rsidRPr="00FA4343">
        <w:rPr>
          <w:i/>
        </w:rPr>
        <w:t xml:space="preserve"> incanum</w:t>
      </w:r>
      <w:r w:rsidR="00552521" w:rsidRPr="00F410FB">
        <w:t xml:space="preserve"> differs from region to region</w:t>
      </w:r>
      <w:r w:rsidR="00484580">
        <w:rPr>
          <w:vertAlign w:val="superscript"/>
        </w:rPr>
        <w:t>2</w:t>
      </w:r>
      <w:r w:rsidR="00552521" w:rsidRPr="00F410FB">
        <w:t xml:space="preserve">. In Uganda, Tanzania, and South Africa </w:t>
      </w:r>
      <w:r w:rsidR="00DE6D5E" w:rsidRPr="00F410FB">
        <w:t>extracts of leaves or flowers serve as ear drops for inflammation</w:t>
      </w:r>
      <w:r w:rsidR="00484580">
        <w:rPr>
          <w:vertAlign w:val="superscript"/>
        </w:rPr>
        <w:t>4</w:t>
      </w:r>
      <w:r w:rsidR="00DE6D5E" w:rsidRPr="00F410FB">
        <w:t>. In Senegal,</w:t>
      </w:r>
      <w:r w:rsidR="00F14ED7" w:rsidRPr="00F410FB">
        <w:t xml:space="preserve"> </w:t>
      </w:r>
      <w:r w:rsidR="00DE6D5E" w:rsidRPr="00F410FB">
        <w:t>Kenya, Uganda, and Zimbabwe, different plant parts are used for snakebite treatments, including decoctions, chewing roots and swallowing sap, and applying pulped roots or young leaves directly onto the wound</w:t>
      </w:r>
      <w:r w:rsidR="00484580">
        <w:rPr>
          <w:vertAlign w:val="superscript"/>
        </w:rPr>
        <w:t>8</w:t>
      </w:r>
      <w:r w:rsidR="00DE6D5E" w:rsidRPr="00F410FB">
        <w:t>. In Ethiopia, fruit sap is combined with butter to control cattle ticks, while boiled fruits are utilized as soap and in leather tanning</w:t>
      </w:r>
      <w:r w:rsidR="00484580">
        <w:rPr>
          <w:vertAlign w:val="superscript"/>
        </w:rPr>
        <w:t>8</w:t>
      </w:r>
      <w:r w:rsidR="00DE6D5E" w:rsidRPr="00F410FB">
        <w:t>.</w:t>
      </w:r>
    </w:p>
    <w:p w14:paraId="66B8EA1D" w14:textId="30B45D15"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 xml:space="preserve">Antibacterial secondary metabolites  </w:t>
      </w:r>
    </w:p>
    <w:p w14:paraId="18221A2A" w14:textId="5705AF03" w:rsidR="00535E04" w:rsidRPr="00F410FB" w:rsidRDefault="00F14ED7" w:rsidP="00DC7D80">
      <w:pPr>
        <w:spacing w:before="240"/>
        <w:jc w:val="both"/>
      </w:pPr>
      <w:r w:rsidRPr="00F410FB">
        <w:rPr>
          <w:lang w:val="en-US"/>
        </w:rPr>
        <w:t>The overuse and misuse of antibiotics have led to the emergence of antimicrobial resistance (AMR), resulting in multidrug-resistant bacterial strains that render even the most potent drugs ineffective. This growing crisis highlights the limited lifespan of antibiotics, prompting urgent attention from the scientific community. In response, millions worldwide are increasingly relying on phytomedicine as a primary alternative for managing chronic diseases. Bacterial infections, particularly those caused by Staphylococcus aureus and Escherichia coli, frequently complicate wound healing</w:t>
      </w:r>
      <w:r w:rsidR="00C813E3">
        <w:rPr>
          <w:vertAlign w:val="superscript"/>
          <w:lang w:val="en-US"/>
        </w:rPr>
        <w:t>9</w:t>
      </w:r>
      <w:r w:rsidRPr="00F410FB">
        <w:rPr>
          <w:lang w:val="en-US"/>
        </w:rPr>
        <w:t>. Plant-derived extracts play a vital role in combating these infections, offering a natural defense against globally prevalent pathogens. Key bioactive compounds such as alkaloids, phenolics, terpenoids, essential oils, and polypeptides exhibit antimicrobial properties, making them potential adjuvants or replacements for conventional antibiotics</w:t>
      </w:r>
      <w:r w:rsidR="00C813E3">
        <w:rPr>
          <w:vertAlign w:val="superscript"/>
          <w:lang w:val="en-US"/>
        </w:rPr>
        <w:t>10</w:t>
      </w:r>
      <w:r w:rsidRPr="00F410FB">
        <w:rPr>
          <w:lang w:val="en-US"/>
        </w:rPr>
        <w:t xml:space="preserve">. Plants like </w:t>
      </w:r>
      <w:r w:rsidR="00374737" w:rsidRPr="00374737">
        <w:rPr>
          <w:i/>
          <w:iCs/>
          <w:lang w:val="en-US"/>
        </w:rPr>
        <w:t xml:space="preserve">S. </w:t>
      </w:r>
      <w:r w:rsidR="00FA4343" w:rsidRPr="00FA4343">
        <w:rPr>
          <w:i/>
          <w:iCs/>
          <w:lang w:val="en-US"/>
        </w:rPr>
        <w:t>incanum</w:t>
      </w:r>
      <w:r w:rsidRPr="00F410FB">
        <w:rPr>
          <w:lang w:val="en-US"/>
        </w:rPr>
        <w:t xml:space="preserve"> and hypericum perforatum are gaining research interest due to their rich phytochemical profiles. Beyond antimicrobial effects, bioactive substances such as probiotics, polysaccharides, and fatty acids can modulate immune responses and alleviate inflammatory skin conditions, including atopic dermatitis (AD) and diabetic foot ulcers (DFUs). Natural compounds with antioxidant, anti-inflammatory, and anticarcinogenic properties also help prevent skin damage. Biopolymers (e.g., chitosan, collagen, hyaluronic acid) and extracellular matrix (ECM) components demonstrate promising wound-healing capabilities due to their antimicrobial, immunomodulatory, and tissue-regenerative properties</w:t>
      </w:r>
      <w:r w:rsidR="00C813E3">
        <w:rPr>
          <w:vertAlign w:val="superscript"/>
          <w:lang w:val="en-US"/>
        </w:rPr>
        <w:t>10</w:t>
      </w:r>
      <w:r w:rsidRPr="00F410FB">
        <w:rPr>
          <w:lang w:val="en-US"/>
        </w:rPr>
        <w:t>. Medicinal plants thus represent an untapped reservoir of bioactive agents with therapeutic potential against bacterial infections and other ailments. However, many natural compounds remain understudied, necessitating further research to isolate and characterize novel molecules to address AMR. Future studies should also explore synergistic interactions between plant-derived compounds and antibiotics to enhance treatment efficacy. Through deepening an understanding of these natural resources, researchers can develop innovative strategies to combat resistant infections and improve wound care.</w:t>
      </w:r>
    </w:p>
    <w:p w14:paraId="6F528A6E"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Anti-inflammatory role in wound healing</w:t>
      </w:r>
    </w:p>
    <w:p w14:paraId="4C95A19C" w14:textId="761DA033" w:rsidR="00535E04" w:rsidRPr="00F410FB" w:rsidRDefault="00F14ED7" w:rsidP="00DD03CF">
      <w:pPr>
        <w:spacing w:before="240"/>
        <w:jc w:val="both"/>
      </w:pPr>
      <w:r w:rsidRPr="00F410FB">
        <w:rPr>
          <w:lang w:val="en-US"/>
        </w:rPr>
        <w:t>Effective wound healing relies on the proper activation and recruitment of inflammatory cells, including neutrophils and macrophages, which release pro-inflammatory cytokines such as tumor necrosis factor-α (TNF-α) and interleukin-1 (IL-1)</w:t>
      </w:r>
      <w:r w:rsidR="00AE2C9C">
        <w:rPr>
          <w:vertAlign w:val="superscript"/>
          <w:lang w:val="en-US"/>
        </w:rPr>
        <w:t>11,12</w:t>
      </w:r>
      <w:r w:rsidRPr="00F410FB">
        <w:rPr>
          <w:lang w:val="en-US"/>
        </w:rPr>
        <w:t>. These cytokines stimulate the production of growth factors like transforming growth factor-β (TGF-β) and fibroblast growth factors, promoting fibroblast proliferation and migration to the wound site. However, this natural healing process can be disrupted by factors such as aging, obesity, infections, and endocrine disorders like diabetes mellitus</w:t>
      </w:r>
      <w:r w:rsidR="00AE2C9C">
        <w:rPr>
          <w:vertAlign w:val="superscript"/>
          <w:lang w:val="en-US"/>
        </w:rPr>
        <w:t>13</w:t>
      </w:r>
      <w:r w:rsidRPr="00F410FB">
        <w:rPr>
          <w:lang w:val="en-US"/>
        </w:rPr>
        <w:t>. While balanced cytokine levels are crucial for proper healing, excessive inflammation can lead to abnormal fibroblast activity, resulting in hypertrophic scarring and skin disfigurement</w:t>
      </w:r>
      <w:r w:rsidR="0052713D">
        <w:rPr>
          <w:vertAlign w:val="superscript"/>
          <w:lang w:val="en-US"/>
        </w:rPr>
        <w:t>12</w:t>
      </w:r>
      <w:r w:rsidRPr="00F410FB">
        <w:rPr>
          <w:lang w:val="en-US"/>
        </w:rPr>
        <w:t xml:space="preserve">. In recent years, there has been increasing interest in phytochemicals and plant-based traditional therapies, both in developing and </w:t>
      </w:r>
      <w:r w:rsidRPr="00F410FB">
        <w:rPr>
          <w:lang w:val="en-US"/>
        </w:rPr>
        <w:lastRenderedPageBreak/>
        <w:t>developed nations. Although all therapeutic approaches whether synthetic or natural—should be valued, the rising demand for phytochemical-based treatments necessitates further scientific investigation</w:t>
      </w:r>
      <w:r w:rsidR="0052713D">
        <w:rPr>
          <w:vertAlign w:val="superscript"/>
          <w:lang w:val="en-US"/>
        </w:rPr>
        <w:t>12</w:t>
      </w:r>
      <w:r w:rsidRPr="00F410FB">
        <w:rPr>
          <w:lang w:val="en-US"/>
        </w:rPr>
        <w:t xml:space="preserve">. </w:t>
      </w:r>
      <w:commentRangeStart w:id="7"/>
      <w:r w:rsidRPr="00F410FB">
        <w:rPr>
          <w:lang w:val="en-US"/>
        </w:rPr>
        <w:t>Emerging evidence suggests that topical phytochemicals may enhance healing in both acute and chronic wounds</w:t>
      </w:r>
      <w:r w:rsidR="0052713D">
        <w:rPr>
          <w:vertAlign w:val="superscript"/>
          <w:lang w:val="en-US"/>
        </w:rPr>
        <w:t>12</w:t>
      </w:r>
      <w:r w:rsidRPr="00F410FB">
        <w:rPr>
          <w:lang w:val="en-US"/>
        </w:rPr>
        <w:t xml:space="preserve">. Studies have demonstrated the anti-inflammatory properties of </w:t>
      </w:r>
      <w:r w:rsidR="00374737" w:rsidRPr="00374737">
        <w:rPr>
          <w:i/>
          <w:lang w:val="en-US"/>
        </w:rPr>
        <w:t xml:space="preserve">S. </w:t>
      </w:r>
      <w:r w:rsidR="00FA4343" w:rsidRPr="00FA4343">
        <w:rPr>
          <w:i/>
          <w:lang w:val="en-US"/>
        </w:rPr>
        <w:t>incanum</w:t>
      </w:r>
      <w:r w:rsidRPr="00F410FB">
        <w:rPr>
          <w:lang w:val="en-US"/>
        </w:rPr>
        <w:t>, which protects the skin by neutralizing free radicals and suppressing inflammation through NF-κB inhibition</w:t>
      </w:r>
      <w:r w:rsidR="009355FE">
        <w:rPr>
          <w:vertAlign w:val="superscript"/>
          <w:lang w:val="en-US"/>
        </w:rPr>
        <w:t>14</w:t>
      </w:r>
      <w:r w:rsidRPr="00F410FB">
        <w:rPr>
          <w:lang w:val="en-US"/>
        </w:rPr>
        <w:t>. These findings highlight the potential of plant-derived compounds in improving wound repair while minimizing excessive scarring.</w:t>
      </w:r>
      <w:commentRangeEnd w:id="7"/>
      <w:r w:rsidR="00001AF9">
        <w:rPr>
          <w:rStyle w:val="CommentReference"/>
        </w:rPr>
        <w:commentReference w:id="7"/>
      </w:r>
    </w:p>
    <w:p w14:paraId="1112A4B2" w14:textId="77777777" w:rsidR="00535E04" w:rsidRPr="00F410FB" w:rsidRDefault="00F14ED7" w:rsidP="00DD03CF">
      <w:pPr>
        <w:pStyle w:val="Heading1"/>
        <w:rPr>
          <w:rFonts w:ascii="Times New Roman" w:hAnsi="Times New Roman" w:cs="Times New Roman"/>
          <w:szCs w:val="24"/>
        </w:rPr>
      </w:pPr>
      <w:r w:rsidRPr="00F410FB">
        <w:rPr>
          <w:rFonts w:ascii="Times New Roman" w:hAnsi="Times New Roman" w:cs="Times New Roman"/>
          <w:szCs w:val="24"/>
        </w:rPr>
        <w:t>Materials and methods</w:t>
      </w:r>
    </w:p>
    <w:p w14:paraId="1344F5A4"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Materials, equipment and facilities</w:t>
      </w:r>
    </w:p>
    <w:p w14:paraId="5790582A" w14:textId="52C44EE1" w:rsidR="00535E04" w:rsidRPr="00F410FB" w:rsidRDefault="00F14ED7" w:rsidP="00DD03CF">
      <w:pPr>
        <w:spacing w:before="240"/>
        <w:contextualSpacing/>
        <w:jc w:val="both"/>
      </w:pPr>
      <w:r w:rsidRPr="00F410FB">
        <w:t xml:space="preserve">All chemicals, associated reagents, equipment and facilities for the </w:t>
      </w:r>
      <w:r w:rsidRPr="00F410FB">
        <w:rPr>
          <w:i/>
        </w:rPr>
        <w:t>in-vivo</w:t>
      </w:r>
      <w:r w:rsidRPr="00F410FB">
        <w:t xml:space="preserve"> laboratory animal toxicity investigations and the bioactivity assays were obtained from the University of Zimbabwe, Faculty of Medicine and Health Sciences laboratories,</w:t>
      </w:r>
      <w:r w:rsidR="00FA4343">
        <w:t xml:space="preserve"> </w:t>
      </w:r>
      <w:r w:rsidRPr="00F410FB">
        <w:t>Pharmac</w:t>
      </w:r>
      <w:r w:rsidRPr="00F410FB">
        <w:rPr>
          <w:lang w:val="en-US"/>
        </w:rPr>
        <w:t>y and Pharmaceutical Sciences Department</w:t>
      </w:r>
      <w:r w:rsidRPr="00F410FB">
        <w:t xml:space="preserve">. </w:t>
      </w:r>
    </w:p>
    <w:p w14:paraId="579316F4" w14:textId="77777777" w:rsidR="00535E04" w:rsidRPr="00F410FB" w:rsidRDefault="00F14ED7" w:rsidP="00DD03CF">
      <w:pPr>
        <w:spacing w:before="240"/>
        <w:contextualSpacing/>
        <w:jc w:val="both"/>
      </w:pPr>
      <w:r w:rsidRPr="00F410FB">
        <w:t xml:space="preserve"> </w:t>
      </w:r>
    </w:p>
    <w:p w14:paraId="40E4645C"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Animal use approval </w:t>
      </w:r>
    </w:p>
    <w:p w14:paraId="14EAEF79" w14:textId="77777777" w:rsidR="00535E04" w:rsidRPr="00F410FB" w:rsidRDefault="00F14ED7" w:rsidP="00DD03CF">
      <w:pPr>
        <w:spacing w:before="240"/>
        <w:contextualSpacing/>
        <w:jc w:val="both"/>
      </w:pPr>
      <w:r w:rsidRPr="00F410FB">
        <w:t xml:space="preserve">Upon the investigations, animal use and research ethics approvals were obtained from the Joint Parirenyatwa Research Ethics Committee (JREC) which is the local research Institutional Review board for the University of Zimbabwe. </w:t>
      </w:r>
    </w:p>
    <w:p w14:paraId="13F1A477" w14:textId="77777777" w:rsidR="00535E04" w:rsidRPr="00F410FB" w:rsidRDefault="00F14ED7" w:rsidP="00DD03CF">
      <w:pPr>
        <w:spacing w:before="240"/>
        <w:contextualSpacing/>
        <w:jc w:val="both"/>
      </w:pPr>
      <w:r w:rsidRPr="00F410FB">
        <w:t xml:space="preserve"> </w:t>
      </w:r>
    </w:p>
    <w:p w14:paraId="383F22DA" w14:textId="05FC72D1" w:rsidR="00535E04" w:rsidRPr="00F410FB" w:rsidRDefault="00F14ED7" w:rsidP="00DD03CF">
      <w:pPr>
        <w:pStyle w:val="Heading3"/>
        <w:numPr>
          <w:ilvl w:val="0"/>
          <w:numId w:val="0"/>
        </w:numPr>
        <w:spacing w:before="240"/>
        <w:ind w:left="720" w:hanging="720"/>
        <w:rPr>
          <w:rFonts w:ascii="Times New Roman" w:hAnsi="Times New Roman" w:cs="Times New Roman"/>
          <w:sz w:val="24"/>
        </w:rPr>
      </w:pPr>
      <w:r w:rsidRPr="00F410FB">
        <w:rPr>
          <w:rFonts w:ascii="Times New Roman" w:hAnsi="Times New Roman" w:cs="Times New Roman"/>
          <w:sz w:val="24"/>
          <w:lang w:val="en-US"/>
        </w:rPr>
        <w:t xml:space="preserve">2.1.2 </w:t>
      </w:r>
      <w:r w:rsidR="00374737" w:rsidRPr="00374737">
        <w:rPr>
          <w:rFonts w:ascii="Times New Roman" w:hAnsi="Times New Roman" w:cs="Times New Roman"/>
          <w:sz w:val="24"/>
          <w:lang w:val="en-US"/>
        </w:rPr>
        <w:t xml:space="preserve">S. </w:t>
      </w:r>
      <w:r w:rsidR="00FA4343" w:rsidRPr="00FA4343">
        <w:rPr>
          <w:rFonts w:ascii="Times New Roman" w:hAnsi="Times New Roman" w:cs="Times New Roman"/>
          <w:sz w:val="24"/>
          <w:lang w:val="en-US"/>
        </w:rPr>
        <w:t>incanum</w:t>
      </w:r>
      <w:r w:rsidRPr="00F410FB">
        <w:rPr>
          <w:rFonts w:ascii="Times New Roman" w:hAnsi="Times New Roman" w:cs="Times New Roman"/>
          <w:sz w:val="24"/>
          <w:lang w:val="en-US"/>
        </w:rPr>
        <w:t xml:space="preserve"> </w:t>
      </w:r>
      <w:r w:rsidRPr="00F410FB">
        <w:rPr>
          <w:rFonts w:ascii="Times New Roman" w:hAnsi="Times New Roman" w:cs="Times New Roman"/>
          <w:sz w:val="24"/>
        </w:rPr>
        <w:t xml:space="preserve">Plant material collection and preparation </w:t>
      </w:r>
    </w:p>
    <w:p w14:paraId="6928D2D2" w14:textId="20FF1805" w:rsidR="00535E04" w:rsidRPr="00F410FB" w:rsidRDefault="00374737" w:rsidP="00DD03CF">
      <w:pPr>
        <w:pStyle w:val="NormalWeb"/>
        <w:spacing w:before="240" w:beforeAutospacing="0"/>
        <w:jc w:val="both"/>
        <w:rPr>
          <w:lang w:val="en-US"/>
        </w:rPr>
      </w:pPr>
      <w:r w:rsidRPr="00374737">
        <w:rPr>
          <w:i/>
          <w:lang w:val="en-US"/>
        </w:rPr>
        <w:t xml:space="preserve">S. </w:t>
      </w:r>
      <w:r w:rsidR="00FA4343" w:rsidRPr="00FA4343">
        <w:rPr>
          <w:i/>
          <w:lang w:val="en-US"/>
        </w:rPr>
        <w:t>incanum</w:t>
      </w:r>
      <w:r w:rsidR="00F14ED7" w:rsidRPr="00F410FB">
        <w:rPr>
          <w:i/>
          <w:lang w:val="en-US"/>
        </w:rPr>
        <w:t xml:space="preserve"> (Solanaceae)</w:t>
      </w:r>
      <w:r w:rsidR="00F14ED7" w:rsidRPr="00F410FB">
        <w:rPr>
          <w:lang w:val="en-US"/>
        </w:rPr>
        <w:t xml:space="preserve"> </w:t>
      </w:r>
      <w:r w:rsidR="004F363C" w:rsidRPr="00F410FB">
        <w:rPr>
          <w:lang w:val="en-US"/>
        </w:rPr>
        <w:t xml:space="preserve">leaves </w:t>
      </w:r>
      <w:r w:rsidR="00F14ED7" w:rsidRPr="00F410FB">
        <w:rPr>
          <w:lang w:val="en-US"/>
        </w:rPr>
        <w:t xml:space="preserve">were collected from Rusape in Makoni District (19.0188° S, 32.3689° E), during the month of November-December 2024 after carefully examining the location’s surrounding. Samples of the collected plants were taken to the National Herbarium and Botanical Garden for authentication where the sample were authenticated and identified as </w:t>
      </w:r>
      <w:r w:rsidR="00FA4343" w:rsidRPr="00FA4343">
        <w:rPr>
          <w:i/>
          <w:lang w:val="en-US"/>
        </w:rPr>
        <w:t>Solanum</w:t>
      </w:r>
      <w:r w:rsidR="00F14ED7" w:rsidRPr="00F410FB">
        <w:rPr>
          <w:i/>
          <w:lang w:val="en-US"/>
        </w:rPr>
        <w:t xml:space="preserve"> Compylacanthum ‘</w:t>
      </w:r>
      <w:r w:rsidR="00FA4343" w:rsidRPr="00FA4343">
        <w:rPr>
          <w:i/>
          <w:lang w:val="en-US"/>
        </w:rPr>
        <w:t>incanum</w:t>
      </w:r>
      <w:r w:rsidR="00DB2061" w:rsidRPr="00F410FB">
        <w:rPr>
          <w:lang w:val="en-US"/>
        </w:rPr>
        <w:t xml:space="preserve"> </w:t>
      </w:r>
      <w:r w:rsidR="00F14ED7" w:rsidRPr="00F410FB">
        <w:rPr>
          <w:lang w:val="en-US"/>
        </w:rPr>
        <w:t xml:space="preserve">type’ by Mr B. Ndlovu, a Research Officer. </w:t>
      </w:r>
      <w:r w:rsidR="00F14ED7" w:rsidRPr="00F410FB">
        <w:t xml:space="preserve">The </w:t>
      </w:r>
      <w:r w:rsidR="004F363C" w:rsidRPr="00F410FB">
        <w:rPr>
          <w:lang w:val="en-US"/>
        </w:rPr>
        <w:t>leaves</w:t>
      </w:r>
      <w:r w:rsidR="00F14ED7" w:rsidRPr="00F410FB">
        <w:t xml:space="preserve"> were thoroughly washed using clean water to remove debris and other contaminants, shade dried at room temperature to constant weight for three weeks, and then pulverized using mortar and pestle. The material was ground</w:t>
      </w:r>
      <w:r w:rsidR="00F14ED7" w:rsidRPr="00F410FB">
        <w:rPr>
          <w:lang w:val="en-US"/>
        </w:rPr>
        <w:t>ed</w:t>
      </w:r>
      <w:r w:rsidR="00F14ED7" w:rsidRPr="00F410FB">
        <w:t xml:space="preserve"> into a fine powder using a coffee grinder (Hamilton Beach Coffee Grinder Model- 80410).</w:t>
      </w:r>
      <w:r w:rsidR="00F14ED7" w:rsidRPr="00F410FB">
        <w:rPr>
          <w:lang w:val="en-US"/>
        </w:rPr>
        <w:t xml:space="preserve"> </w:t>
      </w:r>
    </w:p>
    <w:p w14:paraId="7176E3C2" w14:textId="5C6E4AE5" w:rsidR="00535E04" w:rsidRPr="00F410FB" w:rsidRDefault="00F14ED7" w:rsidP="00DD03CF">
      <w:pPr>
        <w:pStyle w:val="NormalWeb"/>
        <w:spacing w:before="240" w:beforeAutospacing="0"/>
        <w:jc w:val="both"/>
        <w:rPr>
          <w:lang w:val="en-US"/>
        </w:rPr>
      </w:pPr>
      <w:r w:rsidRPr="00F410FB">
        <w:rPr>
          <w:lang w:val="en-US"/>
        </w:rPr>
        <w:t xml:space="preserve">For phytochemical extraction, 500 g of powdered plant material was macerated in 1200 mL of 70% (v/v) hydroethanolic solution in a sterile 2-liter amber bottle. The mixture was subjected to maceration 5 days with intermittent shaking (3 minutes, twice daily). Primary filtration through muslin cloth, followed by secondary clarification using Whatman No. 1 filter paper. Then the filtrate was concentrated via rotary evaporation using (Rotavapor® R-300, Büchi, Switzerland) under reduced pressure and lyophilized usung (Lyovapor L-200, Büchi, Switzerland) at −50°C and 140 Pa pressure. The resulting freeze-dried extract was stored in airtight containers at 4°C until further analysis. </w:t>
      </w:r>
    </w:p>
    <w:p w14:paraId="790C8DB9" w14:textId="7278C49A" w:rsidR="00535E04" w:rsidRPr="00F410FB" w:rsidRDefault="00F14ED7" w:rsidP="00DD03CF">
      <w:pPr>
        <w:pStyle w:val="Heading2"/>
        <w:spacing w:before="240"/>
        <w:rPr>
          <w:rFonts w:ascii="Times New Roman" w:hAnsi="Times New Roman" w:cs="Times New Roman"/>
          <w:i/>
          <w:szCs w:val="24"/>
        </w:rPr>
      </w:pPr>
      <w:r w:rsidRPr="00F410FB">
        <w:rPr>
          <w:rFonts w:ascii="Times New Roman" w:hAnsi="Times New Roman" w:cs="Times New Roman"/>
          <w:szCs w:val="24"/>
        </w:rPr>
        <w:t xml:space="preserve">Phytochemical Screening of </w:t>
      </w:r>
      <w:r w:rsidRPr="00F410FB">
        <w:rPr>
          <w:rFonts w:ascii="Times New Roman" w:hAnsi="Times New Roman" w:cs="Times New Roman"/>
          <w:szCs w:val="24"/>
          <w:lang w:val="en-US"/>
        </w:rPr>
        <w:t>S</w:t>
      </w:r>
      <w:r w:rsidRPr="00F410FB">
        <w:rPr>
          <w:rFonts w:ascii="Times New Roman" w:hAnsi="Times New Roman" w:cs="Times New Roman"/>
          <w:i/>
          <w:szCs w:val="24"/>
        </w:rPr>
        <w:t xml:space="preserve">. </w:t>
      </w:r>
      <w:r w:rsidR="00FA4343" w:rsidRPr="00FA4343">
        <w:rPr>
          <w:rFonts w:ascii="Times New Roman" w:hAnsi="Times New Roman" w:cs="Times New Roman"/>
          <w:i/>
          <w:szCs w:val="24"/>
          <w:lang w:val="en-US"/>
        </w:rPr>
        <w:t>Incanum</w:t>
      </w:r>
    </w:p>
    <w:p w14:paraId="71A5E2F9" w14:textId="15BD41CC" w:rsidR="00535E04" w:rsidRPr="00F410FB" w:rsidRDefault="00F14ED7" w:rsidP="00DD03CF">
      <w:pPr>
        <w:autoSpaceDE w:val="0"/>
        <w:autoSpaceDN w:val="0"/>
        <w:adjustRightInd w:val="0"/>
        <w:spacing w:before="240"/>
        <w:contextualSpacing/>
        <w:jc w:val="both"/>
      </w:pPr>
      <w:r w:rsidRPr="00F410FB">
        <w:t xml:space="preserve">In a 200ml round bottomed flask, 10g of the lyophilized hydro-methanolic extracts of </w:t>
      </w:r>
      <w:r w:rsidR="00846553" w:rsidRPr="00F410FB">
        <w:rPr>
          <w:rFonts w:eastAsia="Calibri"/>
          <w:i/>
        </w:rPr>
        <w:t xml:space="preserve">S. </w:t>
      </w:r>
      <w:r w:rsidR="00FA4343" w:rsidRPr="00FA4343">
        <w:rPr>
          <w:rFonts w:eastAsia="Calibri"/>
          <w:i/>
        </w:rPr>
        <w:t>incanum</w:t>
      </w:r>
      <w:r w:rsidRPr="00F410FB">
        <w:rPr>
          <w:rFonts w:eastAsia="Calibri"/>
          <w:i/>
        </w:rPr>
        <w:t xml:space="preserve"> </w:t>
      </w:r>
      <w:r w:rsidRPr="00F410FB">
        <w:t xml:space="preserve">  were dissolved in 100ml of distilled water and subjected to various phyto-screening </w:t>
      </w:r>
      <w:r w:rsidRPr="00F410FB">
        <w:lastRenderedPageBreak/>
        <w:t>techniques to confirm the presence or absence of relevant phytoconstituents of pharmacological interest. The following qualitative tests were conducted on the extract liquor.</w:t>
      </w:r>
    </w:p>
    <w:p w14:paraId="04015289" w14:textId="77777777" w:rsidR="00535E04" w:rsidRPr="00F410FB" w:rsidRDefault="00F14ED7" w:rsidP="00DD03CF">
      <w:pPr>
        <w:autoSpaceDE w:val="0"/>
        <w:autoSpaceDN w:val="0"/>
        <w:adjustRightInd w:val="0"/>
        <w:spacing w:before="240"/>
        <w:contextualSpacing/>
        <w:jc w:val="both"/>
        <w:rPr>
          <w:color w:val="FF0000"/>
        </w:rPr>
      </w:pPr>
      <w:r w:rsidRPr="00F410FB">
        <w:rPr>
          <w:color w:val="FF0000"/>
        </w:rPr>
        <w:t xml:space="preserve"> </w:t>
      </w:r>
    </w:p>
    <w:p w14:paraId="41C810C9"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for alkaloids by the Wagner's test </w:t>
      </w:r>
    </w:p>
    <w:p w14:paraId="3338BFA5" w14:textId="55D8AF57" w:rsidR="00535E04" w:rsidRPr="00F410FB" w:rsidRDefault="00F14ED7" w:rsidP="00DD03CF">
      <w:pPr>
        <w:autoSpaceDE w:val="0"/>
        <w:autoSpaceDN w:val="0"/>
        <w:adjustRightInd w:val="0"/>
        <w:spacing w:before="240"/>
        <w:contextualSpacing/>
        <w:jc w:val="both"/>
      </w:pPr>
      <w:r w:rsidRPr="00F410FB">
        <w:t xml:space="preserve">Wagner's test was used to investigate the presence of alkaloids. A few drops of Wagner's reagent </w:t>
      </w:r>
      <w:r w:rsidR="00846553" w:rsidRPr="00F410FB">
        <w:t>were</w:t>
      </w:r>
      <w:r w:rsidRPr="00F410FB">
        <w:t xml:space="preserve"> added along the sides of a test tube to 3mls of the </w:t>
      </w:r>
      <w:r w:rsidR="00374737" w:rsidRPr="00374737">
        <w:rPr>
          <w:i/>
        </w:rPr>
        <w:t xml:space="preserve">S. </w:t>
      </w:r>
      <w:r w:rsidR="00FA4343" w:rsidRPr="00FA4343">
        <w:rPr>
          <w:i/>
        </w:rPr>
        <w:t>incanum</w:t>
      </w:r>
      <w:r w:rsidRPr="00F410FB">
        <w:t xml:space="preserve"> extract. Formation of a brown precipitate confirmed the presence of alkaloids</w:t>
      </w:r>
      <w:r w:rsidR="0020294C">
        <w:rPr>
          <w:vertAlign w:val="superscript"/>
        </w:rPr>
        <w:t>15</w:t>
      </w:r>
      <w:r w:rsidRPr="00F410FB">
        <w:t>.</w:t>
      </w:r>
    </w:p>
    <w:p w14:paraId="231CE181" w14:textId="77777777" w:rsidR="00535E04" w:rsidRPr="00F410FB" w:rsidRDefault="00535E04" w:rsidP="00DD03CF">
      <w:pPr>
        <w:autoSpaceDE w:val="0"/>
        <w:autoSpaceDN w:val="0"/>
        <w:adjustRightInd w:val="0"/>
        <w:spacing w:before="240"/>
        <w:contextualSpacing/>
        <w:jc w:val="both"/>
      </w:pPr>
    </w:p>
    <w:p w14:paraId="2603CD0F"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tannins by the Ferric chloride test </w:t>
      </w:r>
    </w:p>
    <w:p w14:paraId="7ADE7EF4" w14:textId="5D019BB1" w:rsidR="00535E04" w:rsidRPr="00F410FB" w:rsidRDefault="00F14ED7" w:rsidP="00DD03CF">
      <w:pPr>
        <w:autoSpaceDE w:val="0"/>
        <w:autoSpaceDN w:val="0"/>
        <w:adjustRightInd w:val="0"/>
        <w:spacing w:before="240"/>
        <w:contextualSpacing/>
        <w:jc w:val="both"/>
      </w:pPr>
      <w:r w:rsidRPr="00F410FB">
        <w:t xml:space="preserve">To 2mls of the </w:t>
      </w:r>
      <w:r w:rsidR="00374737" w:rsidRPr="00374737">
        <w:rPr>
          <w:i/>
        </w:rPr>
        <w:t xml:space="preserve">S. </w:t>
      </w:r>
      <w:r w:rsidR="00FA4343" w:rsidRPr="00FA4343">
        <w:rPr>
          <w:i/>
        </w:rPr>
        <w:t>incanum</w:t>
      </w:r>
      <w:r w:rsidRPr="00F410FB">
        <w:t xml:space="preserve"> extract,</w:t>
      </w:r>
      <w:r w:rsidR="00846553" w:rsidRPr="00F410FB">
        <w:t xml:space="preserve"> </w:t>
      </w:r>
      <w:r w:rsidRPr="00F410FB">
        <w:t>3 drops of 10% ferri</w:t>
      </w:r>
      <w:r w:rsidR="00846553" w:rsidRPr="00F410FB">
        <w:t>c</w:t>
      </w:r>
      <w:r w:rsidRPr="00F410FB">
        <w:t xml:space="preserve"> chloride solution were added</w:t>
      </w:r>
      <w:r w:rsidR="00846553" w:rsidRPr="00F410FB">
        <w:t xml:space="preserve"> and a </w:t>
      </w:r>
      <w:r w:rsidRPr="00F410FB">
        <w:t>blue- green colo</w:t>
      </w:r>
      <w:r w:rsidR="00846553" w:rsidRPr="00F410FB">
        <w:t>u</w:t>
      </w:r>
      <w:r w:rsidRPr="00F410FB">
        <w:t>r confirmed the presence of tannins</w:t>
      </w:r>
      <w:r w:rsidR="0020294C">
        <w:rPr>
          <w:vertAlign w:val="superscript"/>
        </w:rPr>
        <w:t>16</w:t>
      </w:r>
      <w:r w:rsidRPr="00F410FB">
        <w:t>.</w:t>
      </w:r>
    </w:p>
    <w:p w14:paraId="44B953EC" w14:textId="77777777" w:rsidR="00535E04" w:rsidRPr="00F410FB" w:rsidRDefault="00535E04" w:rsidP="00DD03CF">
      <w:pPr>
        <w:autoSpaceDE w:val="0"/>
        <w:autoSpaceDN w:val="0"/>
        <w:adjustRightInd w:val="0"/>
        <w:spacing w:before="240"/>
        <w:contextualSpacing/>
        <w:jc w:val="both"/>
      </w:pPr>
    </w:p>
    <w:p w14:paraId="14D55330"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flavonoids by the Ammonia test </w:t>
      </w:r>
    </w:p>
    <w:p w14:paraId="2D0C75EA" w14:textId="5A487917" w:rsidR="00535E04" w:rsidRPr="00F410FB" w:rsidRDefault="00F14ED7" w:rsidP="00DC7D80">
      <w:pPr>
        <w:autoSpaceDE w:val="0"/>
        <w:autoSpaceDN w:val="0"/>
        <w:adjustRightInd w:val="0"/>
        <w:spacing w:before="240"/>
        <w:contextualSpacing/>
        <w:jc w:val="both"/>
      </w:pPr>
      <w:r w:rsidRPr="00F410FB">
        <w:t xml:space="preserve">An ammonia test was performed. To 3mls of </w:t>
      </w:r>
      <w:r w:rsidR="00374737" w:rsidRPr="00374737">
        <w:rPr>
          <w:i/>
        </w:rPr>
        <w:t xml:space="preserve">S. </w:t>
      </w:r>
      <w:r w:rsidR="00FA4343" w:rsidRPr="00FA4343">
        <w:rPr>
          <w:i/>
        </w:rPr>
        <w:t>incanum</w:t>
      </w:r>
      <w:r w:rsidRPr="00F410FB">
        <w:t xml:space="preserve"> extract solution, 3mls of dilute ammonia solution was added followed by a few drops of conc</w:t>
      </w:r>
      <w:r w:rsidR="00846553" w:rsidRPr="00F410FB">
        <w:t>entrated</w:t>
      </w:r>
      <w:r w:rsidRPr="00F410FB">
        <w:t xml:space="preserve"> sulphuric acid. A yellow colo</w:t>
      </w:r>
      <w:r w:rsidR="00846553" w:rsidRPr="00F410FB">
        <w:t>u</w:t>
      </w:r>
      <w:r w:rsidRPr="00F410FB">
        <w:t>r confirmed the presence of flavonoids</w:t>
      </w:r>
      <w:r w:rsidR="0020294C">
        <w:rPr>
          <w:vertAlign w:val="superscript"/>
        </w:rPr>
        <w:t>17</w:t>
      </w:r>
      <w:r w:rsidRPr="00F410FB">
        <w:t>.</w:t>
      </w:r>
    </w:p>
    <w:p w14:paraId="52144DA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Glycosides by the Keller-Killani test </w:t>
      </w:r>
    </w:p>
    <w:p w14:paraId="768ABD50" w14:textId="2F317ADC" w:rsidR="00535E04" w:rsidRPr="00F410FB" w:rsidRDefault="00F14ED7" w:rsidP="00DC7D80">
      <w:pPr>
        <w:pStyle w:val="Default"/>
        <w:spacing w:before="240"/>
        <w:jc w:val="both"/>
        <w:rPr>
          <w:rFonts w:ascii="Times New Roman" w:eastAsia="Times New Roman" w:hAnsi="Times New Roman" w:cs="Times New Roman"/>
          <w:color w:val="auto"/>
          <w:lang w:eastAsia="en-ZW"/>
        </w:rPr>
      </w:pPr>
      <w:r w:rsidRPr="00F410FB">
        <w:rPr>
          <w:rFonts w:ascii="Times New Roman" w:eastAsia="Times New Roman" w:hAnsi="Times New Roman" w:cs="Times New Roman"/>
          <w:color w:val="auto"/>
          <w:lang w:eastAsia="en-ZW"/>
        </w:rPr>
        <w:t xml:space="preserve">Keller- Killani test was performed. To 1ml of </w:t>
      </w:r>
      <w:r w:rsidR="00374737" w:rsidRPr="00374737">
        <w:rPr>
          <w:rFonts w:ascii="Times New Roman" w:eastAsia="Times New Roman" w:hAnsi="Times New Roman" w:cs="Times New Roman"/>
          <w:i/>
          <w:color w:val="auto"/>
          <w:lang w:eastAsia="en-ZW"/>
        </w:rPr>
        <w:t xml:space="preserve">S. </w:t>
      </w:r>
      <w:r w:rsidR="00FA4343" w:rsidRPr="00FA4343">
        <w:rPr>
          <w:rFonts w:ascii="Times New Roman" w:eastAsia="Times New Roman" w:hAnsi="Times New Roman" w:cs="Times New Roman"/>
          <w:i/>
          <w:color w:val="auto"/>
          <w:lang w:eastAsia="en-ZW"/>
        </w:rPr>
        <w:t>incanum</w:t>
      </w:r>
      <w:r w:rsidRPr="00F410FB">
        <w:rPr>
          <w:rFonts w:ascii="Times New Roman" w:eastAsia="Times New Roman" w:hAnsi="Times New Roman" w:cs="Times New Roman"/>
          <w:color w:val="auto"/>
          <w:lang w:eastAsia="en-ZW"/>
        </w:rPr>
        <w:t xml:space="preserve"> extract, 1.5ml of glacial acetic acid was added followed by 1 drop of 5% ferri</w:t>
      </w:r>
      <w:r w:rsidR="00846553" w:rsidRPr="00F410FB">
        <w:rPr>
          <w:rFonts w:ascii="Times New Roman" w:eastAsia="Times New Roman" w:hAnsi="Times New Roman" w:cs="Times New Roman"/>
          <w:color w:val="auto"/>
          <w:lang w:eastAsia="en-ZW"/>
        </w:rPr>
        <w:t>c</w:t>
      </w:r>
      <w:r w:rsidRPr="00F410FB">
        <w:rPr>
          <w:rFonts w:ascii="Times New Roman" w:eastAsia="Times New Roman" w:hAnsi="Times New Roman" w:cs="Times New Roman"/>
          <w:color w:val="auto"/>
          <w:lang w:eastAsia="en-ZW"/>
        </w:rPr>
        <w:t xml:space="preserve"> chloride and conc</w:t>
      </w:r>
      <w:r w:rsidR="00846553" w:rsidRPr="00F410FB">
        <w:rPr>
          <w:rFonts w:ascii="Times New Roman" w:eastAsia="Times New Roman" w:hAnsi="Times New Roman" w:cs="Times New Roman"/>
          <w:color w:val="auto"/>
          <w:lang w:eastAsia="en-ZW"/>
        </w:rPr>
        <w:t>entrated</w:t>
      </w:r>
      <w:r w:rsidRPr="00F410FB">
        <w:rPr>
          <w:rFonts w:ascii="Times New Roman" w:eastAsia="Times New Roman" w:hAnsi="Times New Roman" w:cs="Times New Roman"/>
          <w:color w:val="auto"/>
          <w:lang w:eastAsia="en-ZW"/>
        </w:rPr>
        <w:t xml:space="preserve"> sulphuric acid along the side of the test tube. Emergence of a blue colo</w:t>
      </w:r>
      <w:r w:rsidR="00846553" w:rsidRPr="00F410FB">
        <w:rPr>
          <w:rFonts w:ascii="Times New Roman" w:eastAsia="Times New Roman" w:hAnsi="Times New Roman" w:cs="Times New Roman"/>
          <w:color w:val="auto"/>
          <w:lang w:eastAsia="en-ZW"/>
        </w:rPr>
        <w:t>u</w:t>
      </w:r>
      <w:r w:rsidRPr="00F410FB">
        <w:rPr>
          <w:rFonts w:ascii="Times New Roman" w:eastAsia="Times New Roman" w:hAnsi="Times New Roman" w:cs="Times New Roman"/>
          <w:color w:val="auto"/>
          <w:lang w:eastAsia="en-ZW"/>
        </w:rPr>
        <w:t>red solution was observed which confirmed the presence of glycosides</w:t>
      </w:r>
      <w:r w:rsidR="0020294C">
        <w:rPr>
          <w:rFonts w:ascii="Times New Roman" w:eastAsia="Times New Roman" w:hAnsi="Times New Roman" w:cs="Times New Roman"/>
          <w:color w:val="auto"/>
          <w:vertAlign w:val="superscript"/>
          <w:lang w:eastAsia="en-ZW"/>
        </w:rPr>
        <w:t>18</w:t>
      </w:r>
      <w:r w:rsidRPr="00F410FB">
        <w:rPr>
          <w:rFonts w:ascii="Times New Roman" w:eastAsia="Times New Roman" w:hAnsi="Times New Roman" w:cs="Times New Roman"/>
          <w:color w:val="auto"/>
          <w:lang w:eastAsia="en-ZW"/>
        </w:rPr>
        <w:t xml:space="preserve">. </w:t>
      </w:r>
    </w:p>
    <w:p w14:paraId="438D9D4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Detection of Phenolic compounds by the Gelatin test </w:t>
      </w:r>
    </w:p>
    <w:p w14:paraId="6E636C7C" w14:textId="4B0DE970" w:rsidR="00535E04" w:rsidRPr="00F410FB" w:rsidRDefault="00F14ED7" w:rsidP="00DD03CF">
      <w:pPr>
        <w:pStyle w:val="Default"/>
        <w:spacing w:before="240"/>
        <w:rPr>
          <w:rFonts w:ascii="Times New Roman" w:eastAsia="Times New Roman" w:hAnsi="Times New Roman" w:cs="Times New Roman"/>
          <w:color w:val="auto"/>
          <w:lang w:eastAsia="en-ZW"/>
        </w:rPr>
      </w:pPr>
      <w:r w:rsidRPr="00F410FB">
        <w:rPr>
          <w:rFonts w:ascii="Times New Roman" w:eastAsia="Times New Roman" w:hAnsi="Times New Roman" w:cs="Times New Roman"/>
          <w:color w:val="auto"/>
          <w:lang w:eastAsia="en-ZW"/>
        </w:rPr>
        <w:t>A ferri</w:t>
      </w:r>
      <w:r w:rsidR="00846553" w:rsidRPr="00F410FB">
        <w:rPr>
          <w:rFonts w:ascii="Times New Roman" w:eastAsia="Times New Roman" w:hAnsi="Times New Roman" w:cs="Times New Roman"/>
          <w:color w:val="auto"/>
          <w:lang w:eastAsia="en-ZW"/>
        </w:rPr>
        <w:t>c</w:t>
      </w:r>
      <w:r w:rsidRPr="00F410FB">
        <w:rPr>
          <w:rFonts w:ascii="Times New Roman" w:eastAsia="Times New Roman" w:hAnsi="Times New Roman" w:cs="Times New Roman"/>
          <w:color w:val="auto"/>
          <w:lang w:eastAsia="en-ZW"/>
        </w:rPr>
        <w:t xml:space="preserve"> chloride test was done. A few drops of 5% ferric chloride solution was added to 2ml of the </w:t>
      </w:r>
      <w:r w:rsidR="00FA4343" w:rsidRPr="00FA4343">
        <w:rPr>
          <w:rFonts w:ascii="Times New Roman" w:eastAsia="Times New Roman" w:hAnsi="Times New Roman" w:cs="Times New Roman"/>
          <w:i/>
          <w:color w:val="auto"/>
          <w:lang w:eastAsia="en-ZW"/>
        </w:rPr>
        <w:t>Solanum</w:t>
      </w:r>
      <w:r w:rsidRPr="00F410FB">
        <w:rPr>
          <w:rFonts w:ascii="Times New Roman" w:eastAsia="Times New Roman" w:hAnsi="Times New Roman" w:cs="Times New Roman"/>
          <w:color w:val="auto"/>
          <w:lang w:eastAsia="en-ZW"/>
        </w:rPr>
        <w:t xml:space="preserve"> incunum extract. A bluish back color confirmed the presence of phenols</w:t>
      </w:r>
      <w:r w:rsidR="0020294C">
        <w:rPr>
          <w:rFonts w:ascii="Times New Roman" w:eastAsia="Times New Roman" w:hAnsi="Times New Roman" w:cs="Times New Roman"/>
          <w:color w:val="auto"/>
          <w:vertAlign w:val="superscript"/>
          <w:lang w:eastAsia="en-ZW"/>
        </w:rPr>
        <w:t>19</w:t>
      </w:r>
      <w:r w:rsidR="00373C47">
        <w:rPr>
          <w:rFonts w:ascii="Times New Roman" w:eastAsia="Times New Roman" w:hAnsi="Times New Roman" w:cs="Times New Roman"/>
          <w:color w:val="auto"/>
          <w:lang w:eastAsia="en-ZW"/>
        </w:rPr>
        <w:t>.</w:t>
      </w:r>
    </w:p>
    <w:p w14:paraId="7745C422"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Detection of saponins by the simplified foam test</w:t>
      </w:r>
    </w:p>
    <w:p w14:paraId="03BFB556" w14:textId="4D4E81A3" w:rsidR="00535E04" w:rsidRPr="00F410FB" w:rsidRDefault="00F14ED7" w:rsidP="00DD03CF">
      <w:pPr>
        <w:autoSpaceDE w:val="0"/>
        <w:autoSpaceDN w:val="0"/>
        <w:adjustRightInd w:val="0"/>
        <w:spacing w:before="240"/>
        <w:contextualSpacing/>
        <w:jc w:val="both"/>
      </w:pPr>
      <w:r w:rsidRPr="00F410FB">
        <w:t xml:space="preserve">The foam test was used to detect the presence of saponins. 2ml of </w:t>
      </w:r>
      <w:r w:rsidR="00374737" w:rsidRPr="00374737">
        <w:rPr>
          <w:i/>
        </w:rPr>
        <w:t xml:space="preserve">S. </w:t>
      </w:r>
      <w:r w:rsidR="00FA4343" w:rsidRPr="00FA4343">
        <w:rPr>
          <w:i/>
        </w:rPr>
        <w:t>incanum</w:t>
      </w:r>
      <w:r w:rsidRPr="00F410FB">
        <w:t xml:space="preserve"> extract was added to 20ml distilled water. The mixture was shaken in a granulated cylinder for 15minutes. Formations of foam with head height of at least 1cm36 confirmed the presence of sapon</w:t>
      </w:r>
      <w:r w:rsidR="00846553" w:rsidRPr="00F410FB">
        <w:t>i</w:t>
      </w:r>
      <w:r w:rsidRPr="00F410FB">
        <w:t>ns</w:t>
      </w:r>
      <w:r w:rsidR="0020294C">
        <w:rPr>
          <w:vertAlign w:val="superscript"/>
        </w:rPr>
        <w:t>20</w:t>
      </w:r>
      <w:r w:rsidRPr="00F410FB">
        <w:t>.</w:t>
      </w:r>
    </w:p>
    <w:p w14:paraId="45D81444" w14:textId="54E1473A" w:rsidR="00535E04" w:rsidRPr="00F410FB" w:rsidRDefault="00F14ED7" w:rsidP="00DC7D80">
      <w:pPr>
        <w:pStyle w:val="Heading3"/>
        <w:spacing w:before="240"/>
        <w:rPr>
          <w:rFonts w:ascii="Times New Roman" w:hAnsi="Times New Roman" w:cs="Times New Roman"/>
          <w:sz w:val="24"/>
        </w:rPr>
      </w:pPr>
      <w:bookmarkStart w:id="8" w:name="_Toc157026289"/>
      <w:bookmarkEnd w:id="8"/>
      <w:r w:rsidRPr="00F410FB">
        <w:rPr>
          <w:rFonts w:ascii="Times New Roman" w:hAnsi="Times New Roman" w:cs="Times New Roman"/>
          <w:sz w:val="24"/>
        </w:rPr>
        <w:t>Quantification of Total Phenolic and Tannins content</w:t>
      </w:r>
    </w:p>
    <w:p w14:paraId="255CD3B5" w14:textId="3275379D" w:rsidR="00535E04" w:rsidRPr="00F410FB" w:rsidRDefault="00F14ED7" w:rsidP="00DD03CF">
      <w:pPr>
        <w:autoSpaceDE w:val="0"/>
        <w:autoSpaceDN w:val="0"/>
        <w:adjustRightInd w:val="0"/>
        <w:spacing w:before="240"/>
        <w:contextualSpacing/>
        <w:jc w:val="both"/>
      </w:pPr>
      <w:r w:rsidRPr="00F410FB">
        <w:rPr>
          <w:lang w:val="en-US"/>
        </w:rPr>
        <w:t xml:space="preserve">The total phenolic contents were calculated on the basis of the calibration curve of gallic acid and </w:t>
      </w:r>
      <w:r w:rsidR="00C147E9" w:rsidRPr="00F410FB">
        <w:rPr>
          <w:lang w:val="en-US"/>
        </w:rPr>
        <w:t>computed</w:t>
      </w:r>
      <w:r w:rsidRPr="00F410FB">
        <w:rPr>
          <w:lang w:val="en-US"/>
        </w:rPr>
        <w:t xml:space="preserve"> as gallic acid equivalents (GAE), in milligrams per gram of the sample (comparison was made between ethanolic and methanolic extracts in this assay).The total phenolic and tannin content of the lyophilized S. in</w:t>
      </w:r>
      <w:r w:rsidR="00846553" w:rsidRPr="00F410FB">
        <w:rPr>
          <w:lang w:val="en-US"/>
        </w:rPr>
        <w:t>canum</w:t>
      </w:r>
      <w:r w:rsidRPr="00F410FB">
        <w:rPr>
          <w:lang w:val="en-US"/>
        </w:rPr>
        <w:t xml:space="preserve"> extract was quantified using a modified Folin-Ciocalteu spectrophotometric method</w:t>
      </w:r>
      <w:r w:rsidR="00C138B2">
        <w:rPr>
          <w:vertAlign w:val="superscript"/>
          <w:lang w:val="en-US"/>
        </w:rPr>
        <w:t>21</w:t>
      </w:r>
      <w:r w:rsidRPr="00F410FB">
        <w:rPr>
          <w:lang w:val="en-US"/>
        </w:rPr>
        <w:t>. A stock solution of gallic acid (5 mg/mL) was prepared and serially diluted in 100 mL volumetric flasks with distilled water. For each calibration point, 0.25 mL of the diluted standard was mixed with 1.25 mL of 10-fold diluted Folin-Ciocalteu reagent (1:9 v/v Folin reagent:</w:t>
      </w:r>
      <w:r w:rsidR="00C147E9" w:rsidRPr="00F410FB">
        <w:rPr>
          <w:lang w:val="en-US"/>
        </w:rPr>
        <w:t xml:space="preserve"> </w:t>
      </w:r>
      <w:r w:rsidRPr="00F410FB">
        <w:rPr>
          <w:lang w:val="en-US"/>
        </w:rPr>
        <w:t xml:space="preserve">deionized water) and incubated for 5 minutes. Subsequently, 2 mL of 7.5% sodium carbonate (Na₂CO₃) solution was added, and the </w:t>
      </w:r>
      <w:r w:rsidRPr="00F410FB">
        <w:rPr>
          <w:lang w:val="en-US"/>
        </w:rPr>
        <w:lastRenderedPageBreak/>
        <w:t>final volume was adjusted to 5 mL with deionized water. After 1 hour of incubation at room temperature, absorbance was measured at 760 nm using a UV/Vis spectrophotometer (Lambda 35, Perkin Elmer Instruments). All measurements were performed in triplicate. Calibration curves were constructed to determine phenolic and tannin concentrations in the samples. Total phenolic content was calculated as gallic acid equivalents (GAE) in milligrams per gram of sample, based on the gallic acid standard curve. This assay included comparative analysis between ethanolic and methanolic extracts</w:t>
      </w:r>
    </w:p>
    <w:p w14:paraId="75328EE8"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Quantification of total flavonoids</w:t>
      </w:r>
    </w:p>
    <w:p w14:paraId="5BA33E2B" w14:textId="00E2B75F" w:rsidR="00535E04" w:rsidRPr="00F410FB" w:rsidRDefault="00F14ED7" w:rsidP="00DD03CF">
      <w:pPr>
        <w:autoSpaceDE w:val="0"/>
        <w:autoSpaceDN w:val="0"/>
        <w:adjustRightInd w:val="0"/>
        <w:spacing w:before="240"/>
        <w:contextualSpacing/>
        <w:jc w:val="both"/>
      </w:pPr>
      <w:r w:rsidRPr="00F410FB">
        <w:t>The total flavonoid content of the lyophilised S.</w:t>
      </w:r>
      <w:r w:rsidR="00C147E9" w:rsidRPr="00F410FB">
        <w:t xml:space="preserve"> </w:t>
      </w:r>
      <w:r w:rsidR="00FA4343" w:rsidRPr="00FA4343">
        <w:rPr>
          <w:i/>
        </w:rPr>
        <w:t>Incanum</w:t>
      </w:r>
      <w:r w:rsidRPr="00F410FB">
        <w:rPr>
          <w:i/>
          <w:iCs/>
        </w:rPr>
        <w:t xml:space="preserve"> </w:t>
      </w:r>
      <w:r w:rsidRPr="00F410FB">
        <w:t>was estimated spectrophotometrically at 510 nm. In the test, 1mg of extract was dissolved in 2mL of distilled water. To this solution, 0.5mL of 1M sodium nitrite was added together with 2ml of a 1M, NaOH solution. Distilled water was then added to make up to 10ml volume. The solution was shaken and</w:t>
      </w:r>
      <w:r w:rsidR="00C5760E" w:rsidRPr="00F410FB">
        <w:t xml:space="preserve"> it</w:t>
      </w:r>
      <w:r w:rsidRPr="00F410FB">
        <w:t xml:space="preserve"> st</w:t>
      </w:r>
      <w:r w:rsidR="00C5760E" w:rsidRPr="00F410FB">
        <w:t>oo</w:t>
      </w:r>
      <w:r w:rsidRPr="00F410FB">
        <w:t xml:space="preserve">d at room temperature for 15 min and the absorbance was </w:t>
      </w:r>
      <w:r w:rsidR="00C5760E" w:rsidRPr="00F410FB">
        <w:t>measured</w:t>
      </w:r>
      <w:r w:rsidRPr="00F410FB">
        <w:t>. The total flavonoid content was estimated as mg of quercetin equivalent (mg QE/g extract) on a dry weight basis using the standard curve</w:t>
      </w:r>
      <w:r w:rsidR="00C138B2">
        <w:rPr>
          <w:vertAlign w:val="superscript"/>
        </w:rPr>
        <w:t>22</w:t>
      </w:r>
      <w:r w:rsidRPr="00F410FB">
        <w:t>.</w:t>
      </w:r>
    </w:p>
    <w:p w14:paraId="2094EE76" w14:textId="63E9F39D"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 xml:space="preserve">Anti-inflammatory activity of </w:t>
      </w:r>
      <w:r w:rsidRPr="00F410FB">
        <w:rPr>
          <w:rFonts w:ascii="Times New Roman" w:hAnsi="Times New Roman" w:cs="Times New Roman"/>
          <w:i/>
          <w:iCs/>
          <w:szCs w:val="24"/>
        </w:rPr>
        <w:t xml:space="preserve">S. </w:t>
      </w:r>
      <w:r w:rsidR="00FA4343" w:rsidRPr="00FA4343">
        <w:rPr>
          <w:rFonts w:ascii="Times New Roman" w:hAnsi="Times New Roman" w:cs="Times New Roman"/>
          <w:i/>
          <w:iCs/>
          <w:szCs w:val="24"/>
        </w:rPr>
        <w:t>Incanum</w:t>
      </w:r>
      <w:r w:rsidRPr="00F410FB">
        <w:rPr>
          <w:rFonts w:ascii="Times New Roman" w:hAnsi="Times New Roman" w:cs="Times New Roman"/>
          <w:szCs w:val="24"/>
        </w:rPr>
        <w:t xml:space="preserve"> using the egg albumin denaturation test</w:t>
      </w:r>
    </w:p>
    <w:p w14:paraId="0C8CDB7E" w14:textId="43E69BCE"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 xml:space="preserve">The anti-inflammatory activity of the lyophilised </w:t>
      </w:r>
      <w:r w:rsidRPr="00F410FB">
        <w:rPr>
          <w:rFonts w:eastAsia="Calibri"/>
          <w:color w:val="000000"/>
          <w:lang w:val="en-US"/>
        </w:rPr>
        <w:t>fruit</w:t>
      </w:r>
      <w:r w:rsidRPr="00F410FB">
        <w:rPr>
          <w:rFonts w:eastAsia="Calibri"/>
          <w:color w:val="000000"/>
        </w:rPr>
        <w:t xml:space="preserve"> extract of </w:t>
      </w:r>
      <w:r w:rsidRPr="00F410FB">
        <w:rPr>
          <w:rFonts w:eastAsia="Calibri"/>
          <w:i/>
          <w:color w:val="000000"/>
        </w:rPr>
        <w:t xml:space="preserve">S. </w:t>
      </w:r>
      <w:r w:rsidR="00FA4343" w:rsidRPr="00FA4343">
        <w:rPr>
          <w:rFonts w:eastAsia="Calibri"/>
          <w:i/>
          <w:color w:val="000000"/>
        </w:rPr>
        <w:t>Incanum</w:t>
      </w:r>
      <w:r w:rsidRPr="00F410FB">
        <w:rPr>
          <w:rFonts w:eastAsia="Calibri"/>
          <w:color w:val="000000"/>
        </w:rPr>
        <w:t xml:space="preserve"> was determined using the egg albumin protein denaturation assay, with </w:t>
      </w:r>
      <w:r w:rsidR="00C5760E" w:rsidRPr="00F410FB">
        <w:rPr>
          <w:rFonts w:eastAsia="Calibri"/>
          <w:color w:val="000000"/>
        </w:rPr>
        <w:t xml:space="preserve">a few </w:t>
      </w:r>
      <w:r w:rsidRPr="00F410FB">
        <w:rPr>
          <w:rFonts w:eastAsia="Calibri"/>
          <w:color w:val="000000"/>
        </w:rPr>
        <w:t xml:space="preserve">modifications as described by Chifamba </w:t>
      </w:r>
      <w:r w:rsidRPr="00F410FB">
        <w:rPr>
          <w:rFonts w:eastAsia="Calibri"/>
          <w:i/>
          <w:color w:val="000000"/>
        </w:rPr>
        <w:t>et al</w:t>
      </w:r>
      <w:r w:rsidRPr="00F410FB">
        <w:rPr>
          <w:rFonts w:eastAsia="Calibri"/>
          <w:color w:val="000000"/>
        </w:rPr>
        <w:t xml:space="preserve"> (2024)</w:t>
      </w:r>
      <w:r w:rsidR="00C138B2">
        <w:rPr>
          <w:rFonts w:eastAsia="Calibri"/>
          <w:color w:val="000000"/>
          <w:vertAlign w:val="superscript"/>
        </w:rPr>
        <w:t>23</w:t>
      </w:r>
      <w:r w:rsidRPr="00F410FB">
        <w:rPr>
          <w:rFonts w:eastAsia="Calibri"/>
          <w:color w:val="000000"/>
        </w:rPr>
        <w:t>. The samples and reagents used for this assay clude 0.4 mL of egg albumin (fresh) from a free-range domesticated hen (</w:t>
      </w:r>
      <w:r w:rsidRPr="00F410FB">
        <w:rPr>
          <w:rFonts w:eastAsia="Calibri"/>
          <w:i/>
          <w:color w:val="000000"/>
        </w:rPr>
        <w:t>Gallus domesticus</w:t>
      </w:r>
      <w:r w:rsidRPr="00F410FB">
        <w:rPr>
          <w:rFonts w:eastAsia="Calibri"/>
          <w:color w:val="000000"/>
        </w:rPr>
        <w:t xml:space="preserve">), 10 mL of phosphate-buffered saline (PBS) at pH 7.2, and 5ml solutions of varying concentrations of the lyophilised </w:t>
      </w:r>
      <w:r w:rsidRPr="00F410FB">
        <w:rPr>
          <w:rFonts w:eastAsia="Calibri"/>
          <w:color w:val="000000"/>
          <w:lang w:val="en-US"/>
        </w:rPr>
        <w:t>fruit</w:t>
      </w:r>
      <w:r w:rsidRPr="00F410FB">
        <w:rPr>
          <w:rFonts w:eastAsia="Calibri"/>
          <w:color w:val="000000"/>
        </w:rPr>
        <w:t xml:space="preserve"> extracts in 0.4% DMSO. The concentrations of the lyophilized extracts in the total reaction solution ranged from 50 to 1000 µg/mL. The samples were incubated (Shel lab SRI3 Low Temperature BOD Incubator) for 20 minutes at 37°C; 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w:t>
      </w:r>
      <w:r w:rsidR="00C5760E" w:rsidRPr="00F410FB">
        <w:rPr>
          <w:rFonts w:eastAsia="Calibri"/>
          <w:color w:val="000000"/>
        </w:rPr>
        <w:t xml:space="preserve">the </w:t>
      </w:r>
      <w:r w:rsidRPr="00F410FB">
        <w:rPr>
          <w:rFonts w:eastAsia="Calibri"/>
          <w:color w:val="000000"/>
        </w:rPr>
        <w:t>positive control for the study at similar concentrations. The percentage</w:t>
      </w:r>
      <w:r w:rsidR="00C5760E" w:rsidRPr="00F410FB">
        <w:rPr>
          <w:rFonts w:eastAsia="Calibri"/>
          <w:color w:val="000000"/>
        </w:rPr>
        <w:t xml:space="preserve"> </w:t>
      </w:r>
      <w:r w:rsidRPr="00F410FB">
        <w:rPr>
          <w:rFonts w:eastAsia="Calibri"/>
          <w:color w:val="000000"/>
        </w:rPr>
        <w:t xml:space="preserve">inhibition, which translates to the anti-inflammatory activity of the extracts and standards, was calculated </w:t>
      </w:r>
      <w:r w:rsidR="00C5760E" w:rsidRPr="00F410FB">
        <w:rPr>
          <w:rFonts w:eastAsia="Calibri"/>
          <w:color w:val="000000"/>
        </w:rPr>
        <w:t xml:space="preserve">using the </w:t>
      </w:r>
      <w:r w:rsidRPr="00F410FB">
        <w:rPr>
          <w:rFonts w:eastAsia="Calibri"/>
          <w:color w:val="000000"/>
        </w:rPr>
        <w:t>equation:</w:t>
      </w:r>
    </w:p>
    <w:p w14:paraId="12CD3436" w14:textId="77777777" w:rsidR="00535E04" w:rsidRPr="00F410FB" w:rsidRDefault="00535E04" w:rsidP="00DD03CF">
      <w:pPr>
        <w:autoSpaceDE w:val="0"/>
        <w:autoSpaceDN w:val="0"/>
        <w:adjustRightInd w:val="0"/>
        <w:spacing w:before="240"/>
        <w:contextualSpacing/>
        <w:jc w:val="both"/>
        <w:rPr>
          <w:rFonts w:eastAsia="Calibri"/>
          <w:color w:val="000000"/>
        </w:rPr>
      </w:pPr>
    </w:p>
    <w:p w14:paraId="6558C160" w14:textId="77777777" w:rsidR="00535E04" w:rsidRPr="00F410FB" w:rsidRDefault="00F14ED7" w:rsidP="00DD03CF">
      <w:pPr>
        <w:autoSpaceDE w:val="0"/>
        <w:autoSpaceDN w:val="0"/>
        <w:adjustRightInd w:val="0"/>
        <w:spacing w:before="240"/>
        <w:contextualSpacing/>
        <w:jc w:val="both"/>
        <w:rPr>
          <w:rFonts w:eastAsia="Calibri"/>
          <w:b/>
          <w:i/>
          <w:color w:val="000000"/>
        </w:rPr>
      </w:pPr>
      <w:r w:rsidRPr="00F410FB">
        <w:rPr>
          <w:rFonts w:eastAsia="Calibri"/>
          <w:b/>
          <w:i/>
          <w:color w:val="000000"/>
        </w:rPr>
        <w:t>Equation 1</w:t>
      </w:r>
    </w:p>
    <w:p w14:paraId="18FF5DD6" w14:textId="77777777" w:rsidR="00535E04" w:rsidRPr="00F410FB" w:rsidRDefault="00F14ED7" w:rsidP="00DD03CF">
      <w:pPr>
        <w:autoSpaceDE w:val="0"/>
        <w:autoSpaceDN w:val="0"/>
        <w:adjustRightInd w:val="0"/>
        <w:spacing w:before="240"/>
        <w:contextualSpacing/>
        <w:jc w:val="both"/>
        <w:rPr>
          <w:rFonts w:eastAsia="Calibri"/>
          <w:color w:val="000000"/>
        </w:rPr>
      </w:pPr>
      <m:oMathPara>
        <m:oMath>
          <m:r>
            <w:rPr>
              <w:rFonts w:ascii="Cambria Math" w:eastAsia="Calibri" w:hAnsi="Cambria Math"/>
              <w:color w:val="000000"/>
            </w:rPr>
            <m:t>Inflamation inhibition percentage effect=</m:t>
          </m:r>
          <m:f>
            <m:fPr>
              <m:ctrlPr>
                <w:rPr>
                  <w:rFonts w:ascii="Cambria Math" w:eastAsia="Calibri" w:hAnsi="Cambria Math"/>
                  <w:i/>
                  <w:color w:val="000000"/>
                </w:rPr>
              </m:ctrlPr>
            </m:fPr>
            <m:num>
              <m:sSub>
                <m:sSubPr>
                  <m:ctrlPr>
                    <w:rPr>
                      <w:rFonts w:ascii="Cambria Math" w:eastAsia="Calibri" w:hAnsi="Cambria Math"/>
                      <w:i/>
                      <w:color w:val="000000"/>
                    </w:rPr>
                  </m:ctrlPr>
                </m:sSubPr>
                <m:e>
                  <m:r>
                    <w:rPr>
                      <w:rFonts w:ascii="Cambria Math" w:eastAsia="Calibri" w:hAnsi="Cambria Math"/>
                      <w:color w:val="000000"/>
                    </w:rPr>
                    <m:t>Abs</m:t>
                  </m:r>
                </m:e>
                <m:sub>
                  <m:r>
                    <w:rPr>
                      <w:rFonts w:ascii="Cambria Math" w:eastAsia="Calibri" w:hAnsi="Cambria Math"/>
                      <w:color w:val="000000"/>
                    </w:rPr>
                    <m:t>sample</m:t>
                  </m:r>
                </m:sub>
              </m:sSub>
            </m:num>
            <m:den>
              <m:sSub>
                <m:sSubPr>
                  <m:ctrlPr>
                    <w:rPr>
                      <w:rFonts w:ascii="Cambria Math" w:eastAsia="Calibri" w:hAnsi="Cambria Math"/>
                      <w:i/>
                      <w:color w:val="000000"/>
                    </w:rPr>
                  </m:ctrlPr>
                </m:sSubPr>
                <m:e>
                  <m:r>
                    <w:rPr>
                      <w:rFonts w:ascii="Cambria Math" w:eastAsia="Calibri" w:hAnsi="Cambria Math"/>
                      <w:color w:val="000000"/>
                    </w:rPr>
                    <m:t>Abs</m:t>
                  </m:r>
                </m:e>
                <m:sub>
                  <m:r>
                    <w:rPr>
                      <w:rFonts w:ascii="Cambria Math" w:eastAsia="Calibri" w:hAnsi="Cambria Math"/>
                      <w:color w:val="000000"/>
                    </w:rPr>
                    <m:t>control</m:t>
                  </m:r>
                </m:sub>
              </m:sSub>
              <m:r>
                <w:rPr>
                  <w:rFonts w:ascii="Cambria Math" w:eastAsia="Calibri" w:hAnsi="Cambria Math"/>
                  <w:color w:val="000000"/>
                </w:rPr>
                <m:t>-1</m:t>
              </m:r>
            </m:den>
          </m:f>
          <m:r>
            <w:rPr>
              <w:rFonts w:ascii="Cambria Math" w:eastAsia="Calibri" w:hAnsi="Cambria Math"/>
              <w:color w:val="000000"/>
            </w:rPr>
            <m:t xml:space="preserve"> x 100</m:t>
          </m:r>
        </m:oMath>
      </m:oMathPara>
    </w:p>
    <w:p w14:paraId="17BFAC0B" w14:textId="77777777"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 xml:space="preserve">                                </w:t>
      </w:r>
      <w:r w:rsidRPr="00F410FB">
        <w:rPr>
          <w:rFonts w:eastAsia="Calibri"/>
          <w:color w:val="000000"/>
        </w:rPr>
        <w:br/>
        <w:t>where,</w:t>
      </w:r>
    </w:p>
    <w:p w14:paraId="2F37D88C" w14:textId="77777777" w:rsidR="00535E04" w:rsidRPr="00F410FB" w:rsidRDefault="00F14ED7" w:rsidP="00DD03CF">
      <w:pPr>
        <w:autoSpaceDE w:val="0"/>
        <w:autoSpaceDN w:val="0"/>
        <w:adjustRightInd w:val="0"/>
        <w:spacing w:before="240"/>
        <w:contextualSpacing/>
        <w:jc w:val="both"/>
        <w:rPr>
          <w:rFonts w:eastAsia="Calibri"/>
          <w:color w:val="000000"/>
        </w:rPr>
      </w:pPr>
      <w:r w:rsidRPr="00F410FB">
        <w:rPr>
          <w:rFonts w:eastAsia="Calibri"/>
          <w:color w:val="000000"/>
        </w:rPr>
        <w:t>Abs</w:t>
      </w:r>
      <w:r w:rsidRPr="00F410FB">
        <w:rPr>
          <w:rFonts w:eastAsia="Calibri"/>
          <w:color w:val="000000"/>
          <w:vertAlign w:val="subscript"/>
        </w:rPr>
        <w:t xml:space="preserve"> sample</w:t>
      </w:r>
      <w:r w:rsidRPr="00F410FB">
        <w:rPr>
          <w:rFonts w:eastAsia="Calibri"/>
          <w:color w:val="000000"/>
        </w:rPr>
        <w:t xml:space="preserve"> = absorbance of sample, Abs</w:t>
      </w:r>
      <w:r w:rsidRPr="00F410FB">
        <w:rPr>
          <w:rFonts w:eastAsia="Calibri"/>
          <w:color w:val="000000"/>
          <w:vertAlign w:val="subscript"/>
        </w:rPr>
        <w:t xml:space="preserve"> control</w:t>
      </w:r>
      <w:r w:rsidRPr="00F410FB">
        <w:rPr>
          <w:rFonts w:eastAsia="Calibri"/>
          <w:color w:val="000000"/>
        </w:rPr>
        <w:t xml:space="preserve"> = absorbance of control.</w:t>
      </w:r>
    </w:p>
    <w:p w14:paraId="0C7B2F54" w14:textId="77777777" w:rsidR="00535E04" w:rsidRPr="00F410FB" w:rsidRDefault="00535E04" w:rsidP="00DD03CF">
      <w:pPr>
        <w:autoSpaceDE w:val="0"/>
        <w:autoSpaceDN w:val="0"/>
        <w:adjustRightInd w:val="0"/>
        <w:spacing w:before="240"/>
        <w:contextualSpacing/>
        <w:jc w:val="both"/>
        <w:rPr>
          <w:rFonts w:eastAsia="Calibri"/>
          <w:color w:val="000000"/>
        </w:rPr>
      </w:pPr>
    </w:p>
    <w:p w14:paraId="06FEC748" w14:textId="34D1F60F" w:rsidR="00535E04" w:rsidRPr="00F410FB" w:rsidRDefault="00F14ED7" w:rsidP="00DC7D80">
      <w:pPr>
        <w:pStyle w:val="Heading2"/>
        <w:spacing w:before="240"/>
        <w:rPr>
          <w:rFonts w:ascii="Times New Roman" w:hAnsi="Times New Roman" w:cs="Times New Roman"/>
          <w:szCs w:val="24"/>
        </w:rPr>
      </w:pPr>
      <w:r w:rsidRPr="00F410FB">
        <w:rPr>
          <w:rFonts w:ascii="Times New Roman" w:hAnsi="Times New Roman" w:cs="Times New Roman"/>
          <w:szCs w:val="24"/>
        </w:rPr>
        <w:t xml:space="preserve">Antibacterial Activity Test. </w:t>
      </w:r>
    </w:p>
    <w:p w14:paraId="772FC3AF"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Test microorganisms</w:t>
      </w:r>
    </w:p>
    <w:p w14:paraId="1E2F614A" w14:textId="75D9721D" w:rsidR="00535E04" w:rsidRPr="00F410FB" w:rsidRDefault="00F14ED7" w:rsidP="00DC7D80">
      <w:pPr>
        <w:autoSpaceDE w:val="0"/>
        <w:autoSpaceDN w:val="0"/>
        <w:adjustRightInd w:val="0"/>
        <w:spacing w:before="240"/>
        <w:jc w:val="both"/>
        <w:rPr>
          <w:color w:val="000000"/>
        </w:rPr>
      </w:pPr>
      <w:r w:rsidRPr="00F410FB">
        <w:rPr>
          <w:color w:val="000000"/>
        </w:rPr>
        <w:t xml:space="preserve">The bacterial species; </w:t>
      </w:r>
      <w:r w:rsidRPr="00F410FB">
        <w:rPr>
          <w:i/>
          <w:color w:val="000000"/>
        </w:rPr>
        <w:t>E.Coli,</w:t>
      </w:r>
      <w:r w:rsidRPr="00F410FB">
        <w:rPr>
          <w:i/>
          <w:color w:val="000000"/>
          <w:lang w:val="en-US"/>
        </w:rPr>
        <w:t xml:space="preserve"> </w:t>
      </w:r>
      <w:r w:rsidRPr="00F410FB">
        <w:rPr>
          <w:color w:val="000000"/>
        </w:rPr>
        <w:t>multi drug resistant strai</w:t>
      </w:r>
      <w:r w:rsidRPr="00F410FB">
        <w:rPr>
          <w:color w:val="000000"/>
          <w:lang w:val="en-US"/>
        </w:rPr>
        <w:t>n</w:t>
      </w:r>
      <w:r w:rsidRPr="00F410FB">
        <w:rPr>
          <w:color w:val="000000"/>
        </w:rPr>
        <w:t xml:space="preserve"> of gram </w:t>
      </w:r>
      <w:r w:rsidRPr="00F410FB">
        <w:rPr>
          <w:color w:val="000000"/>
          <w:lang w:val="en-US"/>
        </w:rPr>
        <w:t>negative</w:t>
      </w:r>
      <w:r w:rsidRPr="00F410FB">
        <w:rPr>
          <w:color w:val="000000"/>
        </w:rPr>
        <w:t xml:space="preserve"> </w:t>
      </w:r>
      <w:r w:rsidRPr="00F410FB">
        <w:rPr>
          <w:color w:val="000000"/>
          <w:lang w:val="en-US"/>
        </w:rPr>
        <w:t xml:space="preserve">and </w:t>
      </w:r>
      <w:r w:rsidRPr="00F410FB">
        <w:rPr>
          <w:i/>
          <w:color w:val="000000"/>
        </w:rPr>
        <w:t>Staphylococcus Aureus</w:t>
      </w:r>
      <w:r w:rsidRPr="00F410FB">
        <w:rPr>
          <w:color w:val="000000"/>
        </w:rPr>
        <w:t xml:space="preserve"> gram </w:t>
      </w:r>
      <w:r w:rsidRPr="00F410FB">
        <w:rPr>
          <w:color w:val="000000"/>
          <w:lang w:val="en-US"/>
        </w:rPr>
        <w:t xml:space="preserve">positive bacteriaa </w:t>
      </w:r>
      <w:r w:rsidRPr="00F410FB">
        <w:rPr>
          <w:color w:val="000000"/>
        </w:rPr>
        <w:t xml:space="preserve">were obtained from the University of Zimbabwe Department </w:t>
      </w:r>
      <w:r w:rsidRPr="00F410FB">
        <w:rPr>
          <w:color w:val="000000"/>
        </w:rPr>
        <w:lastRenderedPageBreak/>
        <w:t>of medical microbiology in Harare, Zimbabwe. The antibacterial, evaluation laboratory studies were performed according to C</w:t>
      </w:r>
      <w:r w:rsidRPr="00F410FB">
        <w:rPr>
          <w:color w:val="000000"/>
          <w:lang w:val="en-US"/>
        </w:rPr>
        <w:t xml:space="preserve">linical and </w:t>
      </w:r>
      <w:r w:rsidRPr="00F410FB">
        <w:rPr>
          <w:color w:val="000000"/>
        </w:rPr>
        <w:t>L</w:t>
      </w:r>
      <w:r w:rsidRPr="00F410FB">
        <w:rPr>
          <w:color w:val="000000"/>
          <w:lang w:val="en-US"/>
        </w:rPr>
        <w:t xml:space="preserve">aboratory </w:t>
      </w:r>
      <w:r w:rsidRPr="00F410FB">
        <w:rPr>
          <w:color w:val="000000"/>
        </w:rPr>
        <w:t>S</w:t>
      </w:r>
      <w:r w:rsidRPr="00F410FB">
        <w:rPr>
          <w:color w:val="000000"/>
          <w:lang w:val="en-US"/>
        </w:rPr>
        <w:t xml:space="preserve">tandards Institute </w:t>
      </w:r>
      <w:r w:rsidRPr="00F410FB">
        <w:rPr>
          <w:color w:val="000000"/>
        </w:rPr>
        <w:t>guidelines.</w:t>
      </w:r>
    </w:p>
    <w:p w14:paraId="1AB40976"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Determination of the zone of inhibition</w:t>
      </w:r>
    </w:p>
    <w:p w14:paraId="07DBA27A" w14:textId="14481B18" w:rsidR="00535E04" w:rsidRPr="00F410FB" w:rsidRDefault="00F14ED7" w:rsidP="00DC7D80">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A simplified Kirby-Bauer </w:t>
      </w:r>
      <w:r w:rsidRPr="00F410FB">
        <w:rPr>
          <w:rFonts w:eastAsia="Calibri"/>
          <w:iCs/>
          <w:color w:val="000000"/>
          <w:lang w:eastAsia="en-US"/>
        </w:rPr>
        <w:t>test, (Disk diffusion method)</w:t>
      </w:r>
      <w:r w:rsidRPr="00F410FB">
        <w:rPr>
          <w:rFonts w:eastAsia="Calibri"/>
          <w:color w:val="000000"/>
          <w:lang w:eastAsia="en-US"/>
        </w:rPr>
        <w:t xml:space="preserve"> was configured and used in this study to determine and compare the susceptibility of the chosen pathogenic bacteria to the extract of </w:t>
      </w:r>
      <w:r w:rsidR="00FA4343" w:rsidRPr="00FA4343">
        <w:rPr>
          <w:rFonts w:eastAsia="Calibri"/>
          <w:i/>
          <w:color w:val="000000"/>
          <w:lang w:eastAsia="en-US"/>
        </w:rPr>
        <w:t>Solanum</w:t>
      </w:r>
      <w:r w:rsidRPr="00F410FB">
        <w:rPr>
          <w:rFonts w:eastAsia="Calibri"/>
          <w:color w:val="000000"/>
          <w:lang w:eastAsia="en-US"/>
        </w:rPr>
        <w:t xml:space="preserve"> inanum, doxycycline as a positive control and distilled water as a negative control through zone of inhibition observations and MIC determination through serial dilution techniques</w:t>
      </w:r>
      <w:r w:rsidR="00C138B2">
        <w:rPr>
          <w:rFonts w:eastAsia="Calibri"/>
          <w:color w:val="000000"/>
          <w:vertAlign w:val="superscript"/>
          <w:lang w:eastAsia="en-US"/>
        </w:rPr>
        <w:t>24</w:t>
      </w:r>
      <w:r w:rsidRPr="00F410FB">
        <w:rPr>
          <w:rFonts w:eastAsia="Calibri"/>
          <w:color w:val="000000"/>
          <w:lang w:eastAsia="en-US"/>
        </w:rPr>
        <w:t>.</w:t>
      </w:r>
    </w:p>
    <w:p w14:paraId="0FF4D50D" w14:textId="77777777" w:rsidR="00535E04" w:rsidRPr="00F410FB" w:rsidRDefault="00F14ED7" w:rsidP="00DD03CF">
      <w:pPr>
        <w:pStyle w:val="Heading3"/>
        <w:spacing w:before="240"/>
        <w:rPr>
          <w:rFonts w:ascii="Times New Roman" w:hAnsi="Times New Roman" w:cs="Times New Roman"/>
          <w:sz w:val="24"/>
        </w:rPr>
      </w:pPr>
      <w:r w:rsidRPr="00F410FB">
        <w:rPr>
          <w:rStyle w:val="Heading3Char"/>
          <w:rFonts w:ascii="Times New Roman" w:hAnsi="Times New Roman" w:cs="Times New Roman"/>
          <w:i/>
          <w:sz w:val="24"/>
        </w:rPr>
        <w:t>Zone of inhibition MIC test requirements</w:t>
      </w:r>
    </w:p>
    <w:p w14:paraId="3E9E0613"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Nutrient agar plates</w:t>
      </w:r>
    </w:p>
    <w:p w14:paraId="4F5BE323"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Sterile swabs and forceps</w:t>
      </w:r>
    </w:p>
    <w:p w14:paraId="1325A68F" w14:textId="77777777" w:rsidR="00535E04" w:rsidRPr="00F410FB" w:rsidRDefault="00F14ED7" w:rsidP="00DD03CF">
      <w:pPr>
        <w:pStyle w:val="NormalWeb"/>
        <w:numPr>
          <w:ilvl w:val="0"/>
          <w:numId w:val="2"/>
        </w:numPr>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Pure bacterial cultures </w:t>
      </w:r>
    </w:p>
    <w:p w14:paraId="2673848E" w14:textId="2CC7016E" w:rsidR="00535E04" w:rsidRPr="00F410FB" w:rsidRDefault="00F14ED7" w:rsidP="00DD03CF">
      <w:pPr>
        <w:pStyle w:val="NormalWeb"/>
        <w:numPr>
          <w:ilvl w:val="0"/>
          <w:numId w:val="2"/>
        </w:numPr>
        <w:spacing w:before="240" w:beforeAutospacing="0" w:after="420" w:afterAutospacing="0"/>
        <w:contextualSpacing/>
        <w:jc w:val="both"/>
        <w:textAlignment w:val="baseline"/>
      </w:pPr>
      <w:r w:rsidRPr="00F410FB">
        <w:rPr>
          <w:rFonts w:eastAsia="Calibri"/>
          <w:color w:val="000000"/>
          <w:lang w:eastAsia="en-US"/>
        </w:rPr>
        <w:t xml:space="preserve">Samples of </w:t>
      </w:r>
      <w:r w:rsidR="00374737" w:rsidRPr="00374737">
        <w:rPr>
          <w:rFonts w:eastAsia="Calibri"/>
          <w:i/>
          <w:color w:val="000000"/>
          <w:lang w:eastAsia="en-US"/>
        </w:rPr>
        <w:t xml:space="preserve">S. </w:t>
      </w:r>
      <w:r w:rsidR="00FA4343" w:rsidRPr="00FA4343">
        <w:rPr>
          <w:rFonts w:eastAsia="Calibri"/>
          <w:i/>
          <w:color w:val="000000"/>
          <w:lang w:eastAsia="en-US"/>
        </w:rPr>
        <w:t>incanum</w:t>
      </w:r>
      <w:r w:rsidRPr="00F410FB">
        <w:rPr>
          <w:rFonts w:eastAsia="Calibri"/>
          <w:color w:val="000000"/>
          <w:lang w:eastAsia="en-US"/>
        </w:rPr>
        <w:t xml:space="preserve">, </w:t>
      </w:r>
    </w:p>
    <w:p w14:paraId="38B115CD"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 xml:space="preserve">Zone of inhibition measurement and MIC determination test protocol </w:t>
      </w:r>
    </w:p>
    <w:p w14:paraId="5A62E9E8" w14:textId="044CBF19" w:rsidR="00535E04" w:rsidRPr="00F410FB" w:rsidRDefault="00F14ED7" w:rsidP="00DC7D80">
      <w:pPr>
        <w:autoSpaceDE w:val="0"/>
        <w:autoSpaceDN w:val="0"/>
        <w:adjustRightInd w:val="0"/>
        <w:spacing w:before="240"/>
        <w:jc w:val="both"/>
        <w:rPr>
          <w:bCs/>
          <w:i/>
          <w:color w:val="000000"/>
        </w:rPr>
      </w:pPr>
      <w:r w:rsidRPr="00F410FB">
        <w:rPr>
          <w:color w:val="000000"/>
        </w:rPr>
        <w:t>Bacterial inoculum suspensions were spread uniformly on solidified nutrient Agar using sterile swab</w:t>
      </w:r>
      <w:r w:rsidR="00C138B2">
        <w:rPr>
          <w:color w:val="000000"/>
          <w:vertAlign w:val="superscript"/>
        </w:rPr>
        <w:t>25</w:t>
      </w:r>
      <w:r w:rsidRPr="00F410FB">
        <w:rPr>
          <w:color w:val="000000"/>
        </w:rPr>
        <w:t xml:space="preserve">. The bacterial strains used in the first study to confirm the broad spectrum antibacterial effects of </w:t>
      </w:r>
      <w:r w:rsidR="00374737" w:rsidRPr="00374737">
        <w:rPr>
          <w:i/>
          <w:color w:val="000000"/>
        </w:rPr>
        <w:t xml:space="preserve">S. </w:t>
      </w:r>
      <w:r w:rsidR="00FA4343" w:rsidRPr="00FA4343">
        <w:rPr>
          <w:i/>
          <w:color w:val="000000"/>
        </w:rPr>
        <w:t>incanum</w:t>
      </w:r>
      <w:r w:rsidRPr="00F410FB">
        <w:rPr>
          <w:color w:val="000000"/>
        </w:rPr>
        <w:t xml:space="preserve"> were </w:t>
      </w:r>
      <w:r w:rsidRPr="00F410FB">
        <w:rPr>
          <w:i/>
          <w:color w:val="000000"/>
        </w:rPr>
        <w:t>S.</w:t>
      </w:r>
      <w:r w:rsidRPr="00F410FB">
        <w:rPr>
          <w:i/>
          <w:color w:val="000000"/>
          <w:lang w:val="en-US"/>
        </w:rPr>
        <w:t xml:space="preserve">Aureus and E.Coli as well as for </w:t>
      </w:r>
      <w:r w:rsidRPr="00F410FB">
        <w:rPr>
          <w:color w:val="000000"/>
        </w:rPr>
        <w:t>multi drug resistant strains ® of gram positive</w:t>
      </w:r>
      <w:r w:rsidRPr="00F410FB">
        <w:rPr>
          <w:color w:val="000000"/>
          <w:lang w:val="en-US"/>
        </w:rPr>
        <w:t xml:space="preserve"> and</w:t>
      </w:r>
      <w:r w:rsidRPr="00F410FB">
        <w:rPr>
          <w:color w:val="000000"/>
        </w:rPr>
        <w:t xml:space="preserve"> gram negative </w:t>
      </w:r>
      <w:r w:rsidRPr="00F410FB">
        <w:rPr>
          <w:color w:val="000000"/>
          <w:lang w:val="en-US"/>
        </w:rPr>
        <w:t>respectively.</w:t>
      </w:r>
    </w:p>
    <w:p w14:paraId="1FB45FE5" w14:textId="77777777" w:rsidR="00535E04" w:rsidRPr="00F410FB" w:rsidRDefault="00F14ED7" w:rsidP="00DD03CF">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In the procedure: To the Nutrient agar plates, swabs of the pure bacterial cultures were evenly spread over and 2 -3 drops of the test samples were placed in the media plate using sterile forceps using the streak method. The petri plates were incubated for 24 hours at 36</w:t>
      </w:r>
      <w:r w:rsidRPr="00F410FB">
        <w:rPr>
          <w:rFonts w:eastAsia="Calibri"/>
          <w:color w:val="000000"/>
          <w:vertAlign w:val="superscript"/>
          <w:lang w:eastAsia="en-US"/>
        </w:rPr>
        <w:t>o</w:t>
      </w:r>
      <w:r w:rsidRPr="00F410FB">
        <w:rPr>
          <w:rFonts w:eastAsia="Calibri"/>
          <w:color w:val="00000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65CF9C45" w14:textId="77777777" w:rsidR="00535E04" w:rsidRPr="00F410FB" w:rsidRDefault="00535E04" w:rsidP="00DD03CF">
      <w:pPr>
        <w:pStyle w:val="NormalWeb"/>
        <w:spacing w:before="240" w:beforeAutospacing="0" w:after="420" w:afterAutospacing="0"/>
        <w:contextualSpacing/>
        <w:jc w:val="both"/>
        <w:textAlignment w:val="baseline"/>
        <w:rPr>
          <w:rFonts w:eastAsia="Calibri"/>
          <w:color w:val="000000"/>
          <w:lang w:eastAsia="en-US"/>
        </w:rPr>
      </w:pPr>
    </w:p>
    <w:p w14:paraId="5623A1B3" w14:textId="3D0AE7E4" w:rsidR="00535E04" w:rsidRPr="00F410FB" w:rsidRDefault="00F14ED7" w:rsidP="00DD03CF">
      <w:pPr>
        <w:pStyle w:val="NormalWeb"/>
        <w:spacing w:before="240" w:beforeAutospacing="0" w:after="420" w:afterAutospacing="0"/>
        <w:contextualSpacing/>
        <w:jc w:val="both"/>
        <w:textAlignment w:val="baseline"/>
        <w:rPr>
          <w:rFonts w:eastAsia="Calibri"/>
          <w:color w:val="000000"/>
          <w:lang w:eastAsia="en-US"/>
        </w:rPr>
      </w:pPr>
      <w:r w:rsidRPr="00F410FB">
        <w:rPr>
          <w:rFonts w:eastAsia="Calibri"/>
          <w:color w:val="000000"/>
          <w:lang w:eastAsia="en-US"/>
        </w:rPr>
        <w:t xml:space="preserve">For the determination of MICs the same experimental set up was used. Serial dilutions of the test materials with distilled water was done and the minimum concentrations of the test materials needed to inhibit the ability of the microorganism’s ability to produce any visible growth in the agar plates was noted. In this simplified modified method, the lowest concentration of the antimicrobial agents (in µg/ml) which prevented the appearance of visible growth of the microorganisms within a 24 hour period were determined as the MIC. </w:t>
      </w:r>
    </w:p>
    <w:p w14:paraId="2FFF38C8" w14:textId="22D71F19"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 xml:space="preserve">Acute oral toxicity evaluation of </w:t>
      </w:r>
      <w:r w:rsidRPr="00F410FB">
        <w:rPr>
          <w:rFonts w:ascii="Times New Roman" w:hAnsi="Times New Roman" w:cs="Times New Roman"/>
          <w:szCs w:val="24"/>
          <w:lang w:val="en-US"/>
        </w:rPr>
        <w:t>S</w:t>
      </w:r>
      <w:r w:rsidRPr="00F410FB">
        <w:rPr>
          <w:rFonts w:ascii="Times New Roman" w:hAnsi="Times New Roman" w:cs="Times New Roman"/>
          <w:i/>
          <w:iCs/>
          <w:szCs w:val="24"/>
        </w:rPr>
        <w:t xml:space="preserve">. </w:t>
      </w:r>
      <w:r w:rsidR="00FA4343" w:rsidRPr="00FA4343">
        <w:rPr>
          <w:rFonts w:ascii="Times New Roman" w:hAnsi="Times New Roman" w:cs="Times New Roman"/>
          <w:i/>
          <w:iCs/>
          <w:szCs w:val="24"/>
          <w:lang w:val="en-US"/>
        </w:rPr>
        <w:t>Incanum</w:t>
      </w:r>
    </w:p>
    <w:p w14:paraId="6D321896" w14:textId="2ACECE56" w:rsidR="00535E04" w:rsidRPr="00F410FB" w:rsidRDefault="00F14ED7" w:rsidP="00DD03CF">
      <w:pPr>
        <w:autoSpaceDE w:val="0"/>
        <w:autoSpaceDN w:val="0"/>
        <w:adjustRightInd w:val="0"/>
        <w:spacing w:before="240"/>
        <w:contextualSpacing/>
        <w:jc w:val="both"/>
        <w:rPr>
          <w:iCs/>
          <w:lang w:val="en-US"/>
        </w:rPr>
      </w:pPr>
      <w:r w:rsidRPr="00F410FB">
        <w:rPr>
          <w:iCs/>
          <w:lang w:val="en-US"/>
        </w:rPr>
        <w:t>The acute oral toxicity assessment of S. incanum lyophilized extract was conducted following a modified version of the OECD Guideline 425 (Up-and-Down Procedure)</w:t>
      </w:r>
      <w:r w:rsidR="00001F12">
        <w:rPr>
          <w:iCs/>
          <w:lang w:val="en-US"/>
        </w:rPr>
        <w:t xml:space="preserve"> </w:t>
      </w:r>
      <w:r w:rsidR="007A3772">
        <w:rPr>
          <w:iCs/>
          <w:vertAlign w:val="superscript"/>
          <w:lang w:val="en-US"/>
        </w:rPr>
        <w:t>26</w:t>
      </w:r>
      <w:r w:rsidRPr="00F410FB">
        <w:rPr>
          <w:iCs/>
          <w:lang w:val="en-US"/>
        </w:rPr>
        <w:t xml:space="preserve">. Twenty-four female Sprague Dawley rats were acclimatized for 10 days before the experiment under controlled environmental conditions, including a maintained temperature of 25°C, 40% relative humidity, and a 12-hour light/dark cycle. The animals were provided with standard rodent feed (Agrofeeds®) and unrestricted access to water, with their welfare monitored by a veterinary professional throughout the study. The rats were divided into two groups of 12 animals each: a control group receiving distilled water and a test group administered increasing doses of S. </w:t>
      </w:r>
      <w:r w:rsidRPr="00F410FB">
        <w:rPr>
          <w:iCs/>
          <w:lang w:val="en-US"/>
        </w:rPr>
        <w:lastRenderedPageBreak/>
        <w:t>incanum extract dissolved in water. Prior to dosing, the animals were fasted for 18 hours (with water available) to ensure accurate absorption assessment. The test group received sequential oral doses of 250, 500, 1000, 2500, and 5000 mg/kg body weight at 48-hour intervals, with dose escalation contingent upon survival and absence of toxicity signs in the preceding animal. The initial dose (250 mg/kg) was selected based on prior toxicological data and remained below an estimated LD50 threshold. Following administration, the rats were closely monitored for mortality and morbidity twice daily. Additionally, clinical signs of toxicity were recorded hourly for the first 12 hours post-dosing and once daily thereafter for 14 days. Body weight measurements were taken daily to assess any physiological changes. This systematic approach ensured a thorough evaluation of the extract's safety profile while adhering to ethical guidelines for animal testing.</w:t>
      </w:r>
    </w:p>
    <w:p w14:paraId="6F0DA1EC" w14:textId="77777777" w:rsidR="00DC7D80" w:rsidRPr="00F410FB" w:rsidRDefault="00DC7D80" w:rsidP="00DD03CF">
      <w:pPr>
        <w:autoSpaceDE w:val="0"/>
        <w:autoSpaceDN w:val="0"/>
        <w:adjustRightInd w:val="0"/>
        <w:spacing w:before="240"/>
        <w:contextualSpacing/>
        <w:jc w:val="both"/>
        <w:rPr>
          <w:iCs/>
          <w:lang w:val="en-US"/>
        </w:rPr>
      </w:pPr>
    </w:p>
    <w:p w14:paraId="0FCC477E" w14:textId="148E3B81" w:rsidR="00535E04" w:rsidRPr="00F410FB" w:rsidRDefault="00F14ED7" w:rsidP="00DD03CF">
      <w:pPr>
        <w:pStyle w:val="Heading1"/>
        <w:contextualSpacing/>
        <w:jc w:val="both"/>
        <w:rPr>
          <w:rFonts w:ascii="Times New Roman" w:hAnsi="Times New Roman" w:cs="Times New Roman"/>
          <w:szCs w:val="24"/>
        </w:rPr>
      </w:pPr>
      <w:r w:rsidRPr="00F410FB">
        <w:rPr>
          <w:rFonts w:ascii="Times New Roman" w:hAnsi="Times New Roman" w:cs="Times New Roman"/>
          <w:szCs w:val="24"/>
        </w:rPr>
        <w:t>Results and discussion</w:t>
      </w:r>
    </w:p>
    <w:p w14:paraId="59286A24" w14:textId="23168EC1"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Phytochemical screening</w:t>
      </w:r>
    </w:p>
    <w:p w14:paraId="7E7CD119" w14:textId="33164F7A" w:rsidR="00535E04" w:rsidRPr="00F410FB" w:rsidRDefault="00F14ED7" w:rsidP="00DD03CF">
      <w:pPr>
        <w:pStyle w:val="Caption"/>
        <w:spacing w:before="240"/>
        <w:rPr>
          <w:sz w:val="24"/>
          <w:szCs w:val="24"/>
        </w:rPr>
      </w:pPr>
      <w:r w:rsidRPr="00F410FB">
        <w:rPr>
          <w:sz w:val="24"/>
          <w:szCs w:val="24"/>
        </w:rPr>
        <w:t xml:space="preserve">Table </w:t>
      </w:r>
      <w:r w:rsidRPr="00F410FB">
        <w:rPr>
          <w:sz w:val="24"/>
          <w:szCs w:val="24"/>
        </w:rPr>
        <w:fldChar w:fldCharType="begin"/>
      </w:r>
      <w:r w:rsidRPr="00F410FB">
        <w:rPr>
          <w:sz w:val="24"/>
          <w:szCs w:val="24"/>
        </w:rPr>
        <w:instrText xml:space="preserve"> SEQ Table \* ARABIC </w:instrText>
      </w:r>
      <w:r w:rsidRPr="00F410FB">
        <w:rPr>
          <w:sz w:val="24"/>
          <w:szCs w:val="24"/>
        </w:rPr>
        <w:fldChar w:fldCharType="separate"/>
      </w:r>
      <w:r w:rsidRPr="00F410FB">
        <w:rPr>
          <w:sz w:val="24"/>
          <w:szCs w:val="24"/>
        </w:rPr>
        <w:t>1</w:t>
      </w:r>
      <w:r w:rsidRPr="00F410FB">
        <w:rPr>
          <w:sz w:val="24"/>
          <w:szCs w:val="24"/>
        </w:rPr>
        <w:fldChar w:fldCharType="end"/>
      </w:r>
      <w:r w:rsidRPr="00F410FB">
        <w:rPr>
          <w:sz w:val="24"/>
          <w:szCs w:val="24"/>
        </w:rPr>
        <w:t xml:space="preserve"> : Qualitative screening of </w:t>
      </w:r>
      <w:r w:rsidRPr="00F410FB">
        <w:rPr>
          <w:sz w:val="24"/>
          <w:szCs w:val="24"/>
          <w:lang w:val="en-US"/>
        </w:rPr>
        <w:t>S</w:t>
      </w:r>
      <w:r w:rsidRPr="00F410FB">
        <w:rPr>
          <w:sz w:val="24"/>
          <w:szCs w:val="24"/>
        </w:rPr>
        <w:t xml:space="preserve">. </w:t>
      </w:r>
      <w:r w:rsidR="00FA4343" w:rsidRPr="00FA4343">
        <w:rPr>
          <w:sz w:val="24"/>
          <w:szCs w:val="24"/>
          <w:lang w:val="en-US"/>
        </w:rPr>
        <w:t>Incanum</w:t>
      </w:r>
      <w:r w:rsidRPr="00F410FB">
        <w:rPr>
          <w:sz w:val="24"/>
          <w:szCs w:val="24"/>
        </w:rPr>
        <w:t xml:space="preserve"> secondary metabolites </w:t>
      </w:r>
    </w:p>
    <w:tbl>
      <w:tblPr>
        <w:tblStyle w:val="PlainTable23"/>
        <w:tblW w:w="0" w:type="auto"/>
        <w:tblInd w:w="625" w:type="dxa"/>
        <w:tblLook w:val="04A0" w:firstRow="1" w:lastRow="0" w:firstColumn="1" w:lastColumn="0" w:noHBand="0" w:noVBand="1"/>
      </w:tblPr>
      <w:tblGrid>
        <w:gridCol w:w="2405"/>
        <w:gridCol w:w="2552"/>
        <w:gridCol w:w="2835"/>
      </w:tblGrid>
      <w:tr w:rsidR="00535E04" w:rsidRPr="009E3253" w14:paraId="24EEE70A" w14:textId="77777777" w:rsidTr="00535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156EAD1D" w14:textId="77777777" w:rsidR="00535E04" w:rsidRPr="009E3253" w:rsidRDefault="00F14ED7" w:rsidP="00DD03CF">
            <w:pPr>
              <w:spacing w:before="240"/>
              <w:contextualSpacing/>
              <w:jc w:val="center"/>
              <w:rPr>
                <w:b w:val="0"/>
                <w:bCs w:val="0"/>
                <w:sz w:val="20"/>
                <w:szCs w:val="20"/>
              </w:rPr>
            </w:pPr>
            <w:r w:rsidRPr="009E3253">
              <w:rPr>
                <w:sz w:val="20"/>
                <w:szCs w:val="20"/>
              </w:rPr>
              <w:t>Test</w:t>
            </w:r>
          </w:p>
        </w:tc>
        <w:tc>
          <w:tcPr>
            <w:tcW w:w="2552" w:type="dxa"/>
            <w:tcBorders>
              <w:top w:val="single" w:sz="4" w:space="0" w:color="7E7E7E"/>
              <w:left w:val="nil"/>
              <w:bottom w:val="single" w:sz="4" w:space="0" w:color="7E7E7E"/>
              <w:right w:val="nil"/>
            </w:tcBorders>
            <w:shd w:val="clear" w:color="auto" w:fill="D0CECE"/>
          </w:tcPr>
          <w:p w14:paraId="51F3DCEB"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sz w:val="20"/>
                <w:szCs w:val="20"/>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136F03BB"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sz w:val="20"/>
                <w:szCs w:val="20"/>
              </w:rPr>
              <w:t>Presence in distilled water extract</w:t>
            </w:r>
          </w:p>
        </w:tc>
      </w:tr>
      <w:tr w:rsidR="00535E04" w:rsidRPr="009E3253" w14:paraId="4887A4BA"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C2236C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Alkaloids</w:t>
            </w:r>
          </w:p>
        </w:tc>
        <w:tc>
          <w:tcPr>
            <w:tcW w:w="2552" w:type="dxa"/>
            <w:tcBorders>
              <w:top w:val="single" w:sz="4" w:space="0" w:color="7E7E7E"/>
              <w:left w:val="nil"/>
              <w:bottom w:val="single" w:sz="4" w:space="0" w:color="7E7E7E"/>
              <w:right w:val="nil"/>
            </w:tcBorders>
          </w:tcPr>
          <w:p w14:paraId="479B9F4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383AF2F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5992C862"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6C759DA"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Phytosterols</w:t>
            </w:r>
          </w:p>
        </w:tc>
        <w:tc>
          <w:tcPr>
            <w:tcW w:w="2552" w:type="dxa"/>
            <w:tcBorders>
              <w:top w:val="nil"/>
              <w:left w:val="nil"/>
              <w:bottom w:val="nil"/>
              <w:right w:val="nil"/>
            </w:tcBorders>
          </w:tcPr>
          <w:p w14:paraId="78CEB15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2C76832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717AC691"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F1E478B"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Flavonoids</w:t>
            </w:r>
          </w:p>
        </w:tc>
        <w:tc>
          <w:tcPr>
            <w:tcW w:w="2552" w:type="dxa"/>
            <w:tcBorders>
              <w:top w:val="single" w:sz="4" w:space="0" w:color="7E7E7E"/>
              <w:left w:val="nil"/>
              <w:bottom w:val="single" w:sz="4" w:space="0" w:color="7E7E7E"/>
              <w:right w:val="nil"/>
            </w:tcBorders>
          </w:tcPr>
          <w:p w14:paraId="77AB879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0A7CD16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68437944"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0E209A9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Saponins</w:t>
            </w:r>
          </w:p>
        </w:tc>
        <w:tc>
          <w:tcPr>
            <w:tcW w:w="2552" w:type="dxa"/>
            <w:tcBorders>
              <w:top w:val="nil"/>
              <w:left w:val="nil"/>
              <w:bottom w:val="nil"/>
              <w:right w:val="nil"/>
            </w:tcBorders>
          </w:tcPr>
          <w:p w14:paraId="13D68A1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lang w:val="en-US"/>
              </w:rPr>
              <w:t>+++</w:t>
            </w:r>
          </w:p>
        </w:tc>
        <w:tc>
          <w:tcPr>
            <w:tcW w:w="2835" w:type="dxa"/>
            <w:tcBorders>
              <w:top w:val="nil"/>
              <w:left w:val="nil"/>
              <w:bottom w:val="nil"/>
              <w:right w:val="nil"/>
            </w:tcBorders>
          </w:tcPr>
          <w:p w14:paraId="287D416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lang w:val="en-US"/>
              </w:rPr>
              <w:t>+</w:t>
            </w:r>
          </w:p>
        </w:tc>
      </w:tr>
      <w:tr w:rsidR="00535E04" w:rsidRPr="009E3253" w14:paraId="0F8C526D"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F9005E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Proteins and Amino Acids</w:t>
            </w:r>
          </w:p>
        </w:tc>
        <w:tc>
          <w:tcPr>
            <w:tcW w:w="2552" w:type="dxa"/>
            <w:tcBorders>
              <w:top w:val="single" w:sz="4" w:space="0" w:color="7E7E7E"/>
              <w:left w:val="nil"/>
              <w:bottom w:val="single" w:sz="4" w:space="0" w:color="7E7E7E"/>
              <w:right w:val="nil"/>
            </w:tcBorders>
          </w:tcPr>
          <w:p w14:paraId="533F9E2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4AA3F8C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7DB6B62D"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542C870"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Fixed oils and fats</w:t>
            </w:r>
          </w:p>
        </w:tc>
        <w:tc>
          <w:tcPr>
            <w:tcW w:w="2552" w:type="dxa"/>
            <w:tcBorders>
              <w:top w:val="nil"/>
              <w:left w:val="nil"/>
              <w:bottom w:val="nil"/>
              <w:right w:val="nil"/>
            </w:tcBorders>
          </w:tcPr>
          <w:p w14:paraId="3E1023F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0C3F915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7A2D9C7"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577CFCF"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Phenolic compounds</w:t>
            </w:r>
          </w:p>
        </w:tc>
        <w:tc>
          <w:tcPr>
            <w:tcW w:w="2552" w:type="dxa"/>
            <w:tcBorders>
              <w:top w:val="single" w:sz="4" w:space="0" w:color="7E7E7E"/>
              <w:left w:val="nil"/>
              <w:bottom w:val="single" w:sz="4" w:space="0" w:color="7E7E7E"/>
              <w:right w:val="nil"/>
            </w:tcBorders>
          </w:tcPr>
          <w:p w14:paraId="406C34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12385F0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2800B333"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5D89644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Tannins</w:t>
            </w:r>
          </w:p>
        </w:tc>
        <w:tc>
          <w:tcPr>
            <w:tcW w:w="2552" w:type="dxa"/>
            <w:tcBorders>
              <w:top w:val="nil"/>
              <w:left w:val="nil"/>
              <w:bottom w:val="nil"/>
              <w:right w:val="nil"/>
            </w:tcBorders>
          </w:tcPr>
          <w:p w14:paraId="7AD918D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7599CAA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8CA8415"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3DE78478"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Carbohydrates</w:t>
            </w:r>
          </w:p>
        </w:tc>
        <w:tc>
          <w:tcPr>
            <w:tcW w:w="2552" w:type="dxa"/>
            <w:tcBorders>
              <w:top w:val="single" w:sz="4" w:space="0" w:color="7E7E7E"/>
              <w:left w:val="nil"/>
              <w:bottom w:val="single" w:sz="4" w:space="0" w:color="7E7E7E"/>
              <w:right w:val="nil"/>
            </w:tcBorders>
          </w:tcPr>
          <w:p w14:paraId="75D1BA5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09E7B2F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EFADC69"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C39C9E2"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Glycosides</w:t>
            </w:r>
          </w:p>
        </w:tc>
        <w:tc>
          <w:tcPr>
            <w:tcW w:w="2552" w:type="dxa"/>
            <w:tcBorders>
              <w:top w:val="nil"/>
              <w:left w:val="nil"/>
              <w:bottom w:val="nil"/>
              <w:right w:val="nil"/>
            </w:tcBorders>
          </w:tcPr>
          <w:p w14:paraId="4002BC0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nil"/>
              <w:left w:val="nil"/>
              <w:bottom w:val="nil"/>
              <w:right w:val="nil"/>
            </w:tcBorders>
          </w:tcPr>
          <w:p w14:paraId="43F4BCC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r w:rsidR="00535E04" w:rsidRPr="009E3253" w14:paraId="15D749EE" w14:textId="77777777" w:rsidTr="00535E04">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8E671E0" w14:textId="77777777" w:rsidR="00535E04" w:rsidRPr="009E3253" w:rsidRDefault="00F14ED7" w:rsidP="00DD03CF">
            <w:pPr>
              <w:spacing w:before="240"/>
              <w:contextualSpacing/>
              <w:jc w:val="center"/>
              <w:rPr>
                <w:b w:val="0"/>
                <w:bCs w:val="0"/>
                <w:sz w:val="20"/>
                <w:szCs w:val="20"/>
              </w:rPr>
            </w:pPr>
            <w:r w:rsidRPr="009E3253">
              <w:rPr>
                <w:b w:val="0"/>
                <w:bCs w:val="0"/>
                <w:sz w:val="20"/>
                <w:szCs w:val="20"/>
              </w:rPr>
              <w:t>Terpenoids</w:t>
            </w:r>
          </w:p>
        </w:tc>
        <w:tc>
          <w:tcPr>
            <w:tcW w:w="2552" w:type="dxa"/>
            <w:tcBorders>
              <w:top w:val="single" w:sz="4" w:space="0" w:color="7E7E7E"/>
              <w:left w:val="nil"/>
              <w:bottom w:val="single" w:sz="4" w:space="0" w:color="7E7E7E"/>
              <w:right w:val="nil"/>
            </w:tcBorders>
          </w:tcPr>
          <w:p w14:paraId="5BAB6E0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c>
          <w:tcPr>
            <w:tcW w:w="2835" w:type="dxa"/>
            <w:tcBorders>
              <w:top w:val="single" w:sz="4" w:space="0" w:color="7E7E7E"/>
              <w:left w:val="nil"/>
              <w:bottom w:val="single" w:sz="4" w:space="0" w:color="7E7E7E"/>
              <w:right w:val="nil"/>
            </w:tcBorders>
          </w:tcPr>
          <w:p w14:paraId="5AA8B93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9E3253">
              <w:rPr>
                <w:sz w:val="20"/>
                <w:szCs w:val="20"/>
              </w:rPr>
              <w:t>+</w:t>
            </w:r>
          </w:p>
        </w:tc>
      </w:tr>
    </w:tbl>
    <w:p w14:paraId="7F3BF118" w14:textId="77777777" w:rsidR="00535E04" w:rsidRPr="009E3253" w:rsidRDefault="00F14ED7" w:rsidP="00DD03CF">
      <w:pPr>
        <w:spacing w:before="240"/>
        <w:contextualSpacing/>
        <w:rPr>
          <w:i/>
          <w:sz w:val="20"/>
          <w:szCs w:val="20"/>
        </w:rPr>
      </w:pPr>
      <w:r w:rsidRPr="009E3253">
        <w:rPr>
          <w:i/>
          <w:sz w:val="20"/>
          <w:szCs w:val="20"/>
        </w:rPr>
        <w:t xml:space="preserve">(-): Indicates the absence of the phytochemical </w:t>
      </w:r>
    </w:p>
    <w:p w14:paraId="399D2A6B" w14:textId="77777777" w:rsidR="00535E04" w:rsidRPr="009E3253" w:rsidRDefault="00F14ED7" w:rsidP="00DD03CF">
      <w:pPr>
        <w:spacing w:before="240"/>
        <w:contextualSpacing/>
        <w:rPr>
          <w:i/>
          <w:sz w:val="20"/>
          <w:szCs w:val="20"/>
        </w:rPr>
      </w:pPr>
      <w:r w:rsidRPr="009E3253">
        <w:rPr>
          <w:i/>
          <w:sz w:val="20"/>
          <w:szCs w:val="20"/>
        </w:rPr>
        <w:t xml:space="preserve"> (+): Indicates the presence of the phytochemical </w:t>
      </w:r>
    </w:p>
    <w:p w14:paraId="5D7118B8" w14:textId="77777777" w:rsidR="00535E04" w:rsidRPr="009E3253" w:rsidRDefault="00F14ED7" w:rsidP="00DD03CF">
      <w:pPr>
        <w:spacing w:before="240"/>
        <w:contextualSpacing/>
        <w:rPr>
          <w:i/>
          <w:sz w:val="20"/>
          <w:szCs w:val="20"/>
        </w:rPr>
      </w:pPr>
      <w:r w:rsidRPr="009E3253">
        <w:rPr>
          <w:i/>
          <w:sz w:val="20"/>
          <w:szCs w:val="20"/>
        </w:rPr>
        <w:t>(++): Indicates moderate presence of the phytochemical</w:t>
      </w:r>
    </w:p>
    <w:p w14:paraId="56CE407B" w14:textId="77777777" w:rsidR="00535E04" w:rsidRPr="009E3253" w:rsidRDefault="00F14ED7" w:rsidP="00DD03CF">
      <w:pPr>
        <w:spacing w:before="240"/>
        <w:contextualSpacing/>
        <w:rPr>
          <w:i/>
          <w:sz w:val="20"/>
          <w:szCs w:val="20"/>
        </w:rPr>
      </w:pPr>
      <w:r w:rsidRPr="009E3253">
        <w:rPr>
          <w:i/>
          <w:sz w:val="20"/>
          <w:szCs w:val="20"/>
        </w:rPr>
        <w:t xml:space="preserve">(+++): Indicates strong presence of the phytochemical </w:t>
      </w:r>
    </w:p>
    <w:p w14:paraId="418C8F44" w14:textId="77777777" w:rsidR="00535E04" w:rsidRPr="00F410FB" w:rsidRDefault="00535E04" w:rsidP="00DD03CF">
      <w:pPr>
        <w:spacing w:before="240"/>
        <w:contextualSpacing/>
        <w:rPr>
          <w:i/>
        </w:rPr>
      </w:pPr>
    </w:p>
    <w:p w14:paraId="5FDAC877" w14:textId="6EE65ED6" w:rsidR="00535E04" w:rsidRPr="00F410FB" w:rsidRDefault="00F14ED7" w:rsidP="00DC7D80">
      <w:pPr>
        <w:spacing w:before="240"/>
        <w:contextualSpacing/>
        <w:jc w:val="both"/>
      </w:pPr>
      <w:r w:rsidRPr="00F410FB">
        <w:t xml:space="preserve">From the phytochemical screening protocols, </w:t>
      </w:r>
      <w:r w:rsidR="00607BB4" w:rsidRPr="00F410FB">
        <w:t>the</w:t>
      </w:r>
      <w:r w:rsidRPr="00F410FB">
        <w:t xml:space="preserve"> investigations confirmed the abundance of primary and secondary metabolites of biomedical relevance with regards to </w:t>
      </w:r>
      <w:r w:rsidR="00607BB4" w:rsidRPr="00F410FB">
        <w:rPr>
          <w:lang w:val="en-US"/>
        </w:rPr>
        <w:t xml:space="preserve">safety profile of </w:t>
      </w:r>
      <w:r w:rsidR="00607BB4" w:rsidRPr="00F410FB">
        <w:rPr>
          <w:i/>
          <w:lang w:val="en-US"/>
        </w:rPr>
        <w:t xml:space="preserve">S. </w:t>
      </w:r>
      <w:r w:rsidR="00FA4343" w:rsidRPr="00FA4343">
        <w:rPr>
          <w:i/>
          <w:lang w:val="en-US"/>
        </w:rPr>
        <w:t>incanum</w:t>
      </w:r>
      <w:r w:rsidRPr="00F410FB">
        <w:t xml:space="preserve">. The compounds with the strongest presence in the plant were phenolics (especially flavonoids), </w:t>
      </w:r>
      <w:r w:rsidRPr="00F410FB">
        <w:rPr>
          <w:lang w:val="en-US"/>
        </w:rPr>
        <w:t>alkaloid</w:t>
      </w:r>
      <w:r w:rsidRPr="00F410FB">
        <w:t xml:space="preserve">s, terpenes and </w:t>
      </w:r>
      <w:r w:rsidRPr="00F410FB">
        <w:rPr>
          <w:lang w:val="en-US"/>
        </w:rPr>
        <w:t>Saponin</w:t>
      </w:r>
      <w:r w:rsidRPr="00F410FB">
        <w:t xml:space="preserve">s. These results correlate with studies by </w:t>
      </w:r>
      <w:r w:rsidRPr="00F410FB">
        <w:rPr>
          <w:lang w:val="en-US"/>
        </w:rPr>
        <w:t>.</w:t>
      </w:r>
      <w:r w:rsidR="00607BB4" w:rsidRPr="00F410FB">
        <w:t xml:space="preserve"> </w:t>
      </w:r>
      <w:r w:rsidRPr="00F410FB">
        <w:rPr>
          <w:lang w:val="en-US"/>
        </w:rPr>
        <w:t xml:space="preserve">K.E Jepkoech </w:t>
      </w:r>
      <w:r w:rsidRPr="00F410FB">
        <w:t xml:space="preserve">and </w:t>
      </w:r>
      <w:r w:rsidRPr="00F410FB">
        <w:rPr>
          <w:lang w:val="en-US"/>
        </w:rPr>
        <w:t>Gakunga</w:t>
      </w:r>
      <w:r w:rsidRPr="00F410FB">
        <w:rPr>
          <w:vertAlign w:val="superscript"/>
        </w:rPr>
        <w:t xml:space="preserve"> </w:t>
      </w:r>
      <w:r w:rsidRPr="00F410FB">
        <w:t>who identifie</w:t>
      </w:r>
      <w:r w:rsidRPr="00F410FB">
        <w:rPr>
          <w:lang w:val="en-US"/>
        </w:rPr>
        <w:t xml:space="preserve">d glycosides, </w:t>
      </w:r>
      <w:r w:rsidRPr="00F410FB">
        <w:t xml:space="preserve">tannins, flavonoids, </w:t>
      </w:r>
      <w:r w:rsidRPr="00F410FB">
        <w:rPr>
          <w:lang w:val="en-US"/>
        </w:rPr>
        <w:t>alkaloids</w:t>
      </w:r>
      <w:r w:rsidRPr="00F410FB">
        <w:t>, phen</w:t>
      </w:r>
      <w:r w:rsidRPr="00F410FB">
        <w:rPr>
          <w:lang w:val="en-US"/>
        </w:rPr>
        <w:t>olic compounds</w:t>
      </w:r>
      <w:r w:rsidRPr="00F410FB">
        <w:t xml:space="preserve">, </w:t>
      </w:r>
      <w:r w:rsidRPr="00F410FB">
        <w:rPr>
          <w:lang w:val="en-US"/>
        </w:rPr>
        <w:t>saponins</w:t>
      </w:r>
      <w:r w:rsidRPr="00F410FB">
        <w:t>,</w:t>
      </w:r>
      <w:r w:rsidRPr="00F410FB">
        <w:rPr>
          <w:lang w:val="en-US"/>
        </w:rPr>
        <w:t xml:space="preserve"> </w:t>
      </w:r>
      <w:r w:rsidRPr="00F410FB">
        <w:t xml:space="preserve">and </w:t>
      </w:r>
      <w:r w:rsidRPr="00F410FB">
        <w:rPr>
          <w:lang w:val="en-US"/>
        </w:rPr>
        <w:t xml:space="preserve">steroids </w:t>
      </w:r>
      <w:r w:rsidRPr="00F410FB">
        <w:t xml:space="preserve">among other compounds in </w:t>
      </w:r>
      <w:r w:rsidRPr="00F410FB">
        <w:rPr>
          <w:lang w:val="en-US"/>
        </w:rPr>
        <w:t>S</w:t>
      </w:r>
      <w:r w:rsidRPr="00F410FB">
        <w:rPr>
          <w:i/>
          <w:iCs/>
        </w:rPr>
        <w:t xml:space="preserve">. </w:t>
      </w:r>
      <w:r w:rsidR="00FA4343" w:rsidRPr="00FA4343">
        <w:rPr>
          <w:i/>
          <w:iCs/>
          <w:lang w:val="en-US"/>
        </w:rPr>
        <w:t>Incanum</w:t>
      </w:r>
      <w:r w:rsidRPr="00F410FB">
        <w:t>.</w:t>
      </w:r>
      <w:bookmarkStart w:id="9" w:name="4.5_Identification_of_phytocompounds_in_"/>
      <w:bookmarkStart w:id="10" w:name="4.4.1_Total_protein_content_antioxidant_"/>
      <w:bookmarkStart w:id="11" w:name="Conclusion_and_Future_Prospects"/>
      <w:bookmarkStart w:id="12" w:name="Other_Effects"/>
      <w:bookmarkEnd w:id="9"/>
      <w:bookmarkEnd w:id="10"/>
      <w:bookmarkEnd w:id="11"/>
      <w:bookmarkEnd w:id="12"/>
      <w:r w:rsidRPr="00F410FB">
        <w:rPr>
          <w:lang w:val="en-US"/>
        </w:rPr>
        <w:t xml:space="preserve"> </w:t>
      </w:r>
      <w:r w:rsidRPr="00F410FB">
        <w:t>This proliferation of medically relevant phytoconstituents validates the numerous uses of the plant in traditional medical practice in general, and the management of diabetes in particular.</w:t>
      </w:r>
    </w:p>
    <w:p w14:paraId="6749654E" w14:textId="77777777" w:rsidR="00535E04" w:rsidRPr="00F410FB" w:rsidRDefault="00F14ED7" w:rsidP="00DD03CF">
      <w:pPr>
        <w:pStyle w:val="Heading3"/>
        <w:spacing w:before="240"/>
        <w:rPr>
          <w:rFonts w:ascii="Times New Roman" w:hAnsi="Times New Roman" w:cs="Times New Roman"/>
          <w:sz w:val="24"/>
        </w:rPr>
      </w:pPr>
      <w:r w:rsidRPr="00F410FB">
        <w:rPr>
          <w:rFonts w:ascii="Times New Roman" w:hAnsi="Times New Roman" w:cs="Times New Roman"/>
          <w:sz w:val="24"/>
        </w:rPr>
        <w:t>Total phenolic content</w:t>
      </w:r>
    </w:p>
    <w:p w14:paraId="05C046A5" w14:textId="067E0087" w:rsidR="00535E04" w:rsidRPr="00F410FB" w:rsidRDefault="00F14ED7" w:rsidP="00DD03CF">
      <w:pPr>
        <w:spacing w:before="240"/>
        <w:jc w:val="both"/>
        <w:rPr>
          <w:color w:val="000000"/>
        </w:rPr>
      </w:pPr>
      <w:r w:rsidRPr="00F410FB">
        <w:t>All the extracts from the 3 different solvents (methanol, ethanol, and water), had considerable total phenolic content (TPC). The results of the TPC of the hydro-methanolic extract was higher than both the hydro</w:t>
      </w:r>
      <w:r w:rsidR="00607BB4" w:rsidRPr="00F410FB">
        <w:t>e</w:t>
      </w:r>
      <w:r w:rsidR="00CF1E81" w:rsidRPr="00F410FB">
        <w:t>-</w:t>
      </w:r>
      <w:r w:rsidRPr="00F410FB">
        <w:t xml:space="preserve">ethanolic and aqueous extracts (Figure 2). This result can be explained by the fact that ethanol has higher </w:t>
      </w:r>
      <w:r w:rsidR="00EF31B5" w:rsidRPr="00F410FB">
        <w:t>Van der Waals forces</w:t>
      </w:r>
      <w:r w:rsidRPr="00F410FB">
        <w:t xml:space="preserve"> than methanol due to its higher </w:t>
      </w:r>
      <w:r w:rsidRPr="00F410FB">
        <w:lastRenderedPageBreak/>
        <w:t>molecular weight which leads to stronger intermolecular attraction than methanol.</w:t>
      </w:r>
      <w:r w:rsidR="00CF1E81" w:rsidRPr="00F410FB">
        <w:t xml:space="preserve"> Methanol was therefore able to extract most phenolic compounds.</w:t>
      </w:r>
    </w:p>
    <w:p w14:paraId="3C62CB3C" w14:textId="77777777" w:rsidR="00535E04" w:rsidRPr="00F410FB" w:rsidRDefault="00F14ED7" w:rsidP="00DD03CF">
      <w:pPr>
        <w:spacing w:before="240"/>
        <w:jc w:val="both"/>
        <w:rPr>
          <w:color w:val="000000"/>
        </w:rPr>
      </w:pPr>
      <w:r w:rsidRPr="00F410FB">
        <w:rPr>
          <w:noProof/>
        </w:rPr>
        <mc:AlternateContent>
          <mc:Choice Requires="wps">
            <w:drawing>
              <wp:anchor distT="0" distB="0" distL="0" distR="0" simplePos="0" relativeHeight="251659264" behindDoc="0" locked="0" layoutInCell="1" allowOverlap="1" wp14:anchorId="253EC30E" wp14:editId="6D3A9C6F">
                <wp:simplePos x="0" y="0"/>
                <wp:positionH relativeFrom="column">
                  <wp:posOffset>922020</wp:posOffset>
                </wp:positionH>
                <wp:positionV relativeFrom="paragraph">
                  <wp:posOffset>1819910</wp:posOffset>
                </wp:positionV>
                <wp:extent cx="4135120" cy="226060"/>
                <wp:effectExtent l="0" t="0" r="0" b="2540"/>
                <wp:wrapNone/>
                <wp:docPr id="1030" name="Text Box 2"/>
                <wp:cNvGraphicFramePr/>
                <a:graphic xmlns:a="http://schemas.openxmlformats.org/drawingml/2006/main">
                  <a:graphicData uri="http://schemas.microsoft.com/office/word/2010/wordprocessingShape">
                    <wps:wsp>
                      <wps:cNvSpPr/>
                      <wps:spPr>
                        <a:xfrm>
                          <a:off x="0" y="0"/>
                          <a:ext cx="4135119" cy="226060"/>
                        </a:xfrm>
                        <a:prstGeom prst="rect">
                          <a:avLst/>
                        </a:prstGeom>
                        <a:solidFill>
                          <a:schemeClr val="bg2"/>
                        </a:solidFill>
                        <a:ln w="9525" cap="flat" cmpd="sng">
                          <a:noFill/>
                          <a:prstDash val="solid"/>
                          <a:miter/>
                          <a:headEnd type="none" w="med" len="med"/>
                          <a:tailEnd type="none" w="med" len="med"/>
                        </a:ln>
                      </wps:spPr>
                      <wps:txbx>
                        <w:txbxContent>
                          <w:p w14:paraId="4B4C6A28" w14:textId="7118C041" w:rsidR="00A91A99" w:rsidRPr="00EF31B5" w:rsidRDefault="00A91A99">
                            <w:pPr>
                              <w:rPr>
                                <w:rFonts w:ascii="Arial" w:hAnsi="Arial" w:cs="Arial"/>
                                <w:b/>
                                <w:sz w:val="16"/>
                                <w:szCs w:val="20"/>
                              </w:rPr>
                            </w:pPr>
                            <w:r w:rsidRPr="00EF31B5">
                              <w:rPr>
                                <w:rFonts w:ascii="Arial" w:hAnsi="Arial" w:cs="Arial"/>
                                <w:b/>
                                <w:sz w:val="16"/>
                                <w:szCs w:val="20"/>
                              </w:rPr>
                              <w:t xml:space="preserve">       Hydro-</w:t>
                            </w:r>
                            <w:r w:rsidR="00607BB4" w:rsidRPr="00EF31B5">
                              <w:rPr>
                                <w:rFonts w:ascii="Arial" w:hAnsi="Arial" w:cs="Arial"/>
                                <w:b/>
                                <w:sz w:val="16"/>
                                <w:szCs w:val="20"/>
                              </w:rPr>
                              <w:t>m</w:t>
                            </w:r>
                            <w:r w:rsidRPr="00EF31B5">
                              <w:rPr>
                                <w:rFonts w:ascii="Arial" w:hAnsi="Arial" w:cs="Arial"/>
                                <w:b/>
                                <w:sz w:val="16"/>
                                <w:szCs w:val="20"/>
                              </w:rPr>
                              <w:t>ethanolic</w:t>
                            </w:r>
                            <w:r w:rsidRPr="00EF31B5">
                              <w:rPr>
                                <w:rFonts w:ascii="Arial" w:hAnsi="Arial" w:cs="Arial"/>
                                <w:b/>
                                <w:sz w:val="16"/>
                                <w:szCs w:val="20"/>
                              </w:rPr>
                              <w:tab/>
                              <w:t xml:space="preserve">                   aqueous                          hydro-ethanolic</w:t>
                            </w:r>
                          </w:p>
                        </w:txbxContent>
                      </wps:txbx>
                      <wps:bodyPr vert="horz" wrap="square" lIns="91440" tIns="45720" rIns="91440" bIns="45720" anchor="t">
                        <a:noAutofit/>
                      </wps:bodyPr>
                    </wps:wsp>
                  </a:graphicData>
                </a:graphic>
              </wp:anchor>
            </w:drawing>
          </mc:Choice>
          <mc:Fallback>
            <w:pict>
              <v:rect w14:anchorId="253EC30E" id="Text Box 2" o:spid="_x0000_s1026" style="position:absolute;left:0;text-align:left;margin-left:72.6pt;margin-top:143.3pt;width:325.6pt;height:17.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" fillcolor="#eeece1 [3214]" stroked="f">
                <v:textbox>
                  <w:txbxContent>
                    <w:p w14:paraId="4B4C6A28" w14:textId="7118C041" w:rsidR="00A91A99" w:rsidRPr="00EF31B5" w:rsidRDefault="00A91A99">
                      <w:pPr>
                        <w:rPr>
                          <w:rFonts w:ascii="Arial" w:hAnsi="Arial" w:cs="Arial"/>
                          <w:b/>
                          <w:sz w:val="16"/>
                          <w:szCs w:val="20"/>
                        </w:rPr>
                      </w:pPr>
                      <w:r w:rsidRPr="00EF31B5">
                        <w:rPr>
                          <w:rFonts w:ascii="Arial" w:hAnsi="Arial" w:cs="Arial"/>
                          <w:b/>
                          <w:sz w:val="16"/>
                          <w:szCs w:val="20"/>
                        </w:rPr>
                        <w:t xml:space="preserve">       Hydro-</w:t>
                      </w:r>
                      <w:r w:rsidR="00607BB4" w:rsidRPr="00EF31B5">
                        <w:rPr>
                          <w:rFonts w:ascii="Arial" w:hAnsi="Arial" w:cs="Arial"/>
                          <w:b/>
                          <w:sz w:val="16"/>
                          <w:szCs w:val="20"/>
                        </w:rPr>
                        <w:t>m</w:t>
                      </w:r>
                      <w:r w:rsidRPr="00EF31B5">
                        <w:rPr>
                          <w:rFonts w:ascii="Arial" w:hAnsi="Arial" w:cs="Arial"/>
                          <w:b/>
                          <w:sz w:val="16"/>
                          <w:szCs w:val="20"/>
                        </w:rPr>
                        <w:t>ethanolic</w:t>
                      </w:r>
                      <w:r w:rsidRPr="00EF31B5">
                        <w:rPr>
                          <w:rFonts w:ascii="Arial" w:hAnsi="Arial" w:cs="Arial"/>
                          <w:b/>
                          <w:sz w:val="16"/>
                          <w:szCs w:val="20"/>
                        </w:rPr>
                        <w:tab/>
                        <w:t xml:space="preserve">                   aqueous                          hydro-ethanolic</w:t>
                      </w:r>
                    </w:p>
                  </w:txbxContent>
                </v:textbox>
              </v:rect>
            </w:pict>
          </mc:Fallback>
        </mc:AlternateContent>
      </w:r>
      <w:r w:rsidRPr="00F410FB">
        <w:t xml:space="preserve">                </w:t>
      </w:r>
      <w:r w:rsidRPr="00F410FB">
        <w:rPr>
          <w:noProof/>
        </w:rPr>
        <w:drawing>
          <wp:inline distT="0" distB="0" distL="114300" distR="114300" wp14:anchorId="3544A340" wp14:editId="0321F0B4">
            <wp:extent cx="4579620" cy="2377440"/>
            <wp:effectExtent l="0" t="0" r="0" b="3810"/>
            <wp:docPr id="103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410FB">
        <w:t xml:space="preserve"> </w:t>
      </w:r>
    </w:p>
    <w:p w14:paraId="351B857A" w14:textId="71E0A1BB" w:rsidR="00535E04" w:rsidRPr="00F410FB" w:rsidRDefault="00F14ED7" w:rsidP="00DD03CF">
      <w:pPr>
        <w:pStyle w:val="Caption"/>
        <w:spacing w:before="240"/>
        <w:rPr>
          <w:sz w:val="20"/>
          <w:szCs w:val="24"/>
        </w:rPr>
      </w:pPr>
      <w:r w:rsidRPr="00F410FB">
        <w:rPr>
          <w:sz w:val="20"/>
          <w:szCs w:val="24"/>
        </w:rPr>
        <w:t xml:space="preserve">                    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2</w:t>
      </w:r>
      <w:r w:rsidRPr="00F410FB">
        <w:rPr>
          <w:sz w:val="20"/>
          <w:szCs w:val="24"/>
        </w:rPr>
        <w:fldChar w:fldCharType="end"/>
      </w:r>
      <w:r w:rsidRPr="00F410FB">
        <w:rPr>
          <w:sz w:val="20"/>
          <w:szCs w:val="24"/>
        </w:rPr>
        <w:t xml:space="preserve">: Total phenolic content for S. </w:t>
      </w:r>
      <w:r w:rsidR="00FA4343" w:rsidRPr="00FA4343">
        <w:rPr>
          <w:sz w:val="20"/>
          <w:szCs w:val="24"/>
        </w:rPr>
        <w:t>incanum</w:t>
      </w:r>
      <w:r w:rsidRPr="00F410FB">
        <w:rPr>
          <w:sz w:val="20"/>
          <w:szCs w:val="24"/>
        </w:rPr>
        <w:t xml:space="preserve"> extract</w:t>
      </w:r>
    </w:p>
    <w:p w14:paraId="7BDC7A80" w14:textId="05673219" w:rsidR="00535E04" w:rsidRPr="00F410FB" w:rsidRDefault="00F14ED7" w:rsidP="00DD03CF">
      <w:pPr>
        <w:spacing w:before="240"/>
        <w:jc w:val="both"/>
      </w:pPr>
      <w:r w:rsidRPr="00F410FB">
        <w:t>The TPC represent the largest, diverse group of related secondary metabolites produced by plants which share a related sub structure composed of an aromatic-OH moiety. Phenolics are produced mainly as a defence mechanism in response to h</w:t>
      </w:r>
      <w:r w:rsidR="00EF31B5" w:rsidRPr="00F410FB">
        <w:t xml:space="preserve">arsh </w:t>
      </w:r>
      <w:r w:rsidRPr="00F410FB">
        <w:t>environmental biotic or abiotic stresses. Plant phenolics are mostly hydroxybenzoic and hydroxycinnamic acid derivatives. There has been increased interest towards their medicinal use as antioxidant, photoprotective, anti-inflammatory and wound healing activities</w:t>
      </w:r>
      <w:r w:rsidR="00E21872">
        <w:rPr>
          <w:vertAlign w:val="superscript"/>
        </w:rPr>
        <w:t>23</w:t>
      </w:r>
      <w:r w:rsidRPr="00F410FB">
        <w:t xml:space="preserve">.  Plant phenolics are the main group of secondary metabolites that function as antioxidants or reactive species scavengers. To this regard, these plant polyphenols mostly operate as singlet oxygen scavengers as well as reducing agents. In our study we preferred the Folin-Ciocalteu method compared to the others. In the present study the results were observed through the formation of a blue-coloured solution after the addition of the lyophilised extracts to the Folin-Ciocalteau reagent in the conducive medium. The colour change was due to the </w:t>
      </w:r>
      <w:r w:rsidRPr="00F410FB">
        <w:rPr>
          <w:i/>
        </w:rPr>
        <w:t>in-situ</w:t>
      </w:r>
      <w:r w:rsidRPr="00F410FB">
        <w:t xml:space="preserve"> formation of the phospho molybdic-phosphotungstic-phenol complex. The TPC was calculated aided by the use of the regression equation of the calibration curve (R2 =0.989, y = 0.009x + 0.0464), expressed in GAE as milligrams per gram of the extract or fraction (mg GAE/g extract or fraction). As shown in Figure 2 and Figure 3, the 3 extracts yielded phenolic compounds in the following order: hydroethanolic &gt; hydromethanolic&gt; distilled water. </w:t>
      </w:r>
    </w:p>
    <w:p w14:paraId="545470E4" w14:textId="77777777" w:rsidR="00535E04" w:rsidRPr="00F410FB" w:rsidRDefault="00F14ED7" w:rsidP="00DD03CF">
      <w:pPr>
        <w:spacing w:before="240"/>
      </w:pPr>
      <w:r w:rsidRPr="00F410FB">
        <w:lastRenderedPageBreak/>
        <w:t xml:space="preserve">      </w:t>
      </w:r>
      <w:r w:rsidRPr="00F410FB">
        <w:rPr>
          <w:noProof/>
        </w:rPr>
        <w:drawing>
          <wp:inline distT="0" distB="0" distL="114300" distR="114300" wp14:anchorId="60FF25A2" wp14:editId="4D44FBB9">
            <wp:extent cx="4826000" cy="2743200"/>
            <wp:effectExtent l="0" t="0" r="12700" b="0"/>
            <wp:docPr id="103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7BC65A" w14:textId="6B5B729A" w:rsidR="00535E04" w:rsidRPr="00F410FB" w:rsidRDefault="00F14ED7" w:rsidP="00DD03CF">
      <w:pPr>
        <w:pStyle w:val="Caption"/>
        <w:spacing w:before="240"/>
        <w:rPr>
          <w:sz w:val="20"/>
          <w:szCs w:val="24"/>
        </w:rPr>
      </w:pPr>
      <w:r w:rsidRPr="00F410FB">
        <w:rPr>
          <w:sz w:val="20"/>
          <w:szCs w:val="24"/>
        </w:rPr>
        <w:t xml:space="preserve">Figure </w:t>
      </w:r>
      <w:r w:rsidRPr="00F410FB">
        <w:rPr>
          <w:sz w:val="20"/>
          <w:szCs w:val="24"/>
        </w:rPr>
        <w:fldChar w:fldCharType="begin"/>
      </w:r>
      <w:r w:rsidRPr="00F410FB">
        <w:rPr>
          <w:sz w:val="20"/>
          <w:szCs w:val="24"/>
        </w:rPr>
        <w:instrText xml:space="preserve"> SEQ Figure \* ARABIC </w:instrText>
      </w:r>
      <w:r w:rsidRPr="00F410FB">
        <w:rPr>
          <w:sz w:val="20"/>
          <w:szCs w:val="24"/>
        </w:rPr>
        <w:fldChar w:fldCharType="separate"/>
      </w:r>
      <w:r w:rsidRPr="00F410FB">
        <w:rPr>
          <w:sz w:val="20"/>
          <w:szCs w:val="24"/>
        </w:rPr>
        <w:t>3</w:t>
      </w:r>
      <w:r w:rsidRPr="00F410FB">
        <w:rPr>
          <w:sz w:val="20"/>
          <w:szCs w:val="24"/>
        </w:rPr>
        <w:fldChar w:fldCharType="end"/>
      </w:r>
      <w:r w:rsidRPr="00F410FB">
        <w:rPr>
          <w:sz w:val="20"/>
          <w:szCs w:val="24"/>
        </w:rPr>
        <w:t xml:space="preserve">:  Total flavonoid content for S. </w:t>
      </w:r>
      <w:r w:rsidR="00FA4343" w:rsidRPr="00FA4343">
        <w:rPr>
          <w:sz w:val="20"/>
          <w:szCs w:val="24"/>
        </w:rPr>
        <w:t>incanum</w:t>
      </w:r>
      <w:r w:rsidRPr="00F410FB">
        <w:rPr>
          <w:sz w:val="20"/>
          <w:szCs w:val="24"/>
        </w:rPr>
        <w:t xml:space="preserve"> extract</w:t>
      </w:r>
    </w:p>
    <w:p w14:paraId="4CD64455" w14:textId="22498BB1" w:rsidR="00535E04" w:rsidRPr="00F410FB" w:rsidRDefault="00F14ED7" w:rsidP="00F16B2B">
      <w:pPr>
        <w:spacing w:before="240"/>
        <w:jc w:val="both"/>
      </w:pPr>
      <w:r w:rsidRPr="00F410FB">
        <w:t>Flavonoids are polyphenolic compounds that are differentiated by the chemical structures yielding subgroups such as flavones, flavonols, flavanones and flavanols</w:t>
      </w:r>
      <w:r w:rsidR="007A3772">
        <w:rPr>
          <w:vertAlign w:val="superscript"/>
        </w:rPr>
        <w:t>27</w:t>
      </w:r>
      <w:r w:rsidRPr="00F410FB">
        <w:t xml:space="preserve">. Flavonoids possess antioxidant activities. These contribute to the scavenging of 2,2-diphenyl-1- picrylhydrazyl (DPPH) as shown in this study (Figure 4). Other related studies have demonstrated their </w:t>
      </w:r>
      <w:r w:rsidR="00EE32AA" w:rsidRPr="00F410FB">
        <w:t>a</w:t>
      </w:r>
      <w:r w:rsidRPr="00F410FB">
        <w:t xml:space="preserve">ctivity against super oxides and ABTS radicals; and strong iron chelating activity. The most abundant flavonoids isolated from the aerial parts of </w:t>
      </w:r>
      <w:r w:rsidRPr="00F410FB">
        <w:rPr>
          <w:lang w:val="en-US"/>
        </w:rPr>
        <w:t>S. Incanum</w:t>
      </w:r>
      <w:r w:rsidRPr="00F410FB">
        <w:t xml:space="preserve"> in published studies include rutin, kaempferol and quercetin</w:t>
      </w:r>
      <w:r w:rsidR="00E21872">
        <w:rPr>
          <w:vertAlign w:val="superscript"/>
        </w:rPr>
        <w:t>25</w:t>
      </w:r>
      <w:r w:rsidRPr="00F410FB">
        <w:t>. These flavonoids have displayed anti-inflammatory, arterial blood pressure and anti-diuretic activities in other studies</w:t>
      </w:r>
      <w:r w:rsidR="00E21872">
        <w:rPr>
          <w:vertAlign w:val="superscript"/>
        </w:rPr>
        <w:t>25</w:t>
      </w:r>
      <w:r w:rsidRPr="00F410FB">
        <w:t xml:space="preserve"> Muruthi et al., 2023).  </w:t>
      </w:r>
    </w:p>
    <w:p w14:paraId="53084ACB"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Antioxidant Assay</w:t>
      </w:r>
    </w:p>
    <w:p w14:paraId="6C0F793B" w14:textId="5A771FF6" w:rsidR="00535E04" w:rsidRPr="00F410FB" w:rsidRDefault="00F14ED7" w:rsidP="00F16B2B">
      <w:pPr>
        <w:spacing w:before="240"/>
        <w:jc w:val="both"/>
      </w:pPr>
      <w:commentRangeStart w:id="13"/>
      <w:r w:rsidRPr="00F410FB">
        <w:rPr>
          <w:lang w:val="en-US"/>
        </w:rPr>
        <w:t>The DPPH radical scavenging assay revealed significant antioxidant activity in both hydro-ethanolic and aqueous extracts of S. incanum, though with varying potency. Ascorbic acid, used as the reference standard, demonstrated 93.4% scavenging activity at 150 µg/mL, while the hydro-ethanolic and aqueous extracts of S. incanum showed 70.8% and 47.4% inhibition, respectively. The IC50 values further highlighted these differences, with ascorbic acid exhibiting the strongest activity (28.5 µg/mL), followed by the hydro-ethanolic extract (61.33 µg/mL) and the aqueous extract (116.95 µg/mL). The DPPH assay operates on the principle that antioxidants can reduce the stable violet-colored DPPH radical (absorbance at 515 nm) to a colorless or pale-yellow hydrazine derivative (DPPH-H or DPPH-R), which is measurable spectrophotometrically</w:t>
      </w:r>
      <w:r w:rsidR="007A3772">
        <w:rPr>
          <w:vertAlign w:val="superscript"/>
          <w:lang w:val="en-US"/>
        </w:rPr>
        <w:t>28</w:t>
      </w:r>
      <w:r w:rsidRPr="00F410FB">
        <w:rPr>
          <w:lang w:val="en-US"/>
        </w:rPr>
        <w:t xml:space="preserve">. This reaction serves as an indicator of free radical scavenging capacity, which can occur through multiple mechanisms, including electron donation, metal chelation, or radical neutralization. Previous studies have attributed the antioxidant properties of S. incanum to its rich content of polyphenols, glycosides, phytosterols, and enzymatic components, which collectively contribute to inhibiting oxidative processes. In this study, both extracts displayed concentration-dependent scavenging activity, with higher concentrations yielding greater percent inhibition. Notably, the hydro-ethanolic extract outperformed the aqueous extract, suggesting that the solvent system influences the extraction efficiency of bioactive compounds responsible for antioxidant effects. These findings align with existing literature on plant-derived antioxidants and underscore the potential of S. incanum as a source of natural radical scavengers, warranting further investigation into its phytochemical profile and therapeutic applications </w:t>
      </w:r>
      <w:r w:rsidRPr="00F410FB">
        <w:t>as shown in Figure 5.</w:t>
      </w:r>
      <w:bookmarkStart w:id="14" w:name="Lignans"/>
      <w:bookmarkEnd w:id="14"/>
      <w:commentRangeEnd w:id="13"/>
      <w:r w:rsidR="00001AF9">
        <w:rPr>
          <w:rStyle w:val="CommentReference"/>
        </w:rPr>
        <w:commentReference w:id="13"/>
      </w:r>
    </w:p>
    <w:p w14:paraId="735E989C" w14:textId="7E20B06A" w:rsidR="00DB2061" w:rsidRPr="00F410FB" w:rsidRDefault="00F14ED7" w:rsidP="00DD03CF">
      <w:pPr>
        <w:spacing w:before="240"/>
        <w:rPr>
          <w:i/>
          <w:iCs/>
        </w:rPr>
      </w:pPr>
      <w:r w:rsidRPr="00F410FB">
        <w:rPr>
          <w:i/>
          <w:iCs/>
        </w:rPr>
        <w:lastRenderedPageBreak/>
        <w:t xml:space="preserve">              </w:t>
      </w:r>
      <w:r w:rsidRPr="00F410FB">
        <w:rPr>
          <w:noProof/>
        </w:rPr>
        <w:drawing>
          <wp:inline distT="0" distB="0" distL="114300" distR="114300" wp14:anchorId="1D8473E7" wp14:editId="029FEA68">
            <wp:extent cx="4632960" cy="2743200"/>
            <wp:effectExtent l="0" t="0" r="0" b="0"/>
            <wp:docPr id="103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E44627" w14:textId="2911A3B2" w:rsidR="00535E04" w:rsidRPr="00F410FB" w:rsidRDefault="00F14ED7" w:rsidP="00F16B2B">
      <w:pPr>
        <w:pStyle w:val="Caption"/>
        <w:spacing w:before="240"/>
        <w:ind w:firstLine="720"/>
        <w:rPr>
          <w:sz w:val="20"/>
          <w:szCs w:val="24"/>
        </w:rPr>
      </w:pPr>
      <w:r w:rsidRPr="00F410FB">
        <w:rPr>
          <w:sz w:val="20"/>
          <w:szCs w:val="24"/>
        </w:rPr>
        <w:t xml:space="preserve">Figure 4: Absorbance vs Concentration of S. </w:t>
      </w:r>
      <w:r w:rsidR="00FA4343" w:rsidRPr="00FA4343">
        <w:rPr>
          <w:sz w:val="20"/>
          <w:szCs w:val="24"/>
        </w:rPr>
        <w:t>Incanum</w:t>
      </w:r>
      <w:r w:rsidRPr="00F410FB">
        <w:rPr>
          <w:sz w:val="20"/>
          <w:szCs w:val="24"/>
        </w:rPr>
        <w:t xml:space="preserve"> extract</w:t>
      </w:r>
    </w:p>
    <w:p w14:paraId="37AFA328" w14:textId="77777777" w:rsidR="00F16B2B" w:rsidRPr="00F410FB" w:rsidRDefault="00F16B2B" w:rsidP="00F16B2B"/>
    <w:p w14:paraId="210ECF20" w14:textId="3FA8D105" w:rsidR="00535E04" w:rsidRPr="00F410FB" w:rsidRDefault="00F14ED7" w:rsidP="00F16B2B">
      <w:pPr>
        <w:spacing w:before="240"/>
        <w:rPr>
          <w:i/>
          <w:iCs/>
          <w14:textOutline w14:w="9525" w14:cap="rnd" w14:cmpd="sng" w14:algn="ctr">
            <w14:noFill/>
            <w14:prstDash w14:val="solid"/>
            <w14:bevel/>
          </w14:textOutline>
        </w:rPr>
      </w:pPr>
      <w:r w:rsidRPr="00F410FB">
        <w:rPr>
          <w:i/>
          <w:iCs/>
          <w14:textOutline w14:w="9525" w14:cap="rnd" w14:cmpd="sng" w14:algn="ctr">
            <w14:noFill/>
            <w14:prstDash w14:val="solid"/>
            <w14:bevel/>
          </w14:textOutline>
        </w:rPr>
        <w:t xml:space="preserve">               </w:t>
      </w:r>
      <w:r w:rsidRPr="00F410FB">
        <w:rPr>
          <w:noProof/>
          <w14:textOutline w14:w="9525" w14:cap="rnd" w14:cmpd="sng" w14:algn="ctr">
            <w14:noFill/>
            <w14:prstDash w14:val="solid"/>
            <w14:bevel/>
          </w14:textOutline>
        </w:rPr>
        <w:drawing>
          <wp:inline distT="0" distB="0" distL="114300" distR="114300" wp14:anchorId="48DDB6D2" wp14:editId="3F72C9E5">
            <wp:extent cx="4625340" cy="2743200"/>
            <wp:effectExtent l="0" t="0" r="3810" b="0"/>
            <wp:docPr id="103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56F386" w14:textId="352B8B15" w:rsidR="00535E04" w:rsidRPr="00F410FB" w:rsidRDefault="00F14ED7" w:rsidP="00F16B2B">
      <w:pPr>
        <w:pStyle w:val="Caption"/>
        <w:spacing w:before="240"/>
        <w:ind w:firstLine="720"/>
        <w:rPr>
          <w:sz w:val="20"/>
          <w:szCs w:val="24"/>
        </w:rPr>
      </w:pPr>
      <w:r w:rsidRPr="00F410FB">
        <w:rPr>
          <w:sz w:val="20"/>
          <w:szCs w:val="24"/>
        </w:rPr>
        <w:t xml:space="preserve">Figure 5: Antioxidant activity of S. </w:t>
      </w:r>
      <w:r w:rsidR="00FA4343" w:rsidRPr="00FA4343">
        <w:rPr>
          <w:sz w:val="20"/>
          <w:szCs w:val="24"/>
        </w:rPr>
        <w:t>incanum</w:t>
      </w:r>
    </w:p>
    <w:p w14:paraId="2755E720" w14:textId="14C7B09C" w:rsidR="00535E04" w:rsidRPr="00F410FB" w:rsidRDefault="00F57B84" w:rsidP="00F16B2B">
      <w:pPr>
        <w:spacing w:before="240"/>
        <w:jc w:val="both"/>
      </w:pPr>
      <w:r w:rsidRPr="00F410FB">
        <w:t>These results</w:t>
      </w:r>
      <w:r w:rsidR="00F14ED7" w:rsidRPr="00F410FB">
        <w:t xml:space="preserve"> confirm that</w:t>
      </w:r>
      <w:r w:rsidR="00F14ED7" w:rsidRPr="00F410FB">
        <w:rPr>
          <w:lang w:val="en-US"/>
        </w:rPr>
        <w:t xml:space="preserve"> S. Incanum </w:t>
      </w:r>
      <w:r w:rsidR="00F14ED7" w:rsidRPr="00F410FB">
        <w:t xml:space="preserve">extracts are rich in various antioxidant compounds, which help mitigate oxidative stress, a contributing factor in </w:t>
      </w:r>
      <w:r w:rsidR="00F14ED7" w:rsidRPr="00F410FB">
        <w:rPr>
          <w:lang w:val="en-US"/>
        </w:rPr>
        <w:t>wound healing</w:t>
      </w:r>
      <w:r w:rsidR="00F14ED7" w:rsidRPr="00F410FB">
        <w:t xml:space="preserve"> complications</w:t>
      </w:r>
      <w:r w:rsidRPr="00F410FB">
        <w:t xml:space="preserve"> and cancer</w:t>
      </w:r>
      <w:r w:rsidR="007A3772">
        <w:rPr>
          <w:vertAlign w:val="superscript"/>
        </w:rPr>
        <w:t>29</w:t>
      </w:r>
      <w:r w:rsidR="00F14ED7" w:rsidRPr="00F410FB">
        <w:t xml:space="preserve">. Although not investigated in our study, </w:t>
      </w:r>
      <w:r w:rsidR="00F14ED7" w:rsidRPr="00F410FB">
        <w:rPr>
          <w:lang w:val="en-US"/>
        </w:rPr>
        <w:t>wound healing</w:t>
      </w:r>
      <w:r w:rsidR="00F14ED7" w:rsidRPr="00F410FB">
        <w:t xml:space="preserve"> properties of </w:t>
      </w:r>
      <w:r w:rsidR="00F14ED7" w:rsidRPr="00F410FB">
        <w:rPr>
          <w:lang w:val="en-US"/>
        </w:rPr>
        <w:t>S. Incanum</w:t>
      </w:r>
      <w:r w:rsidR="00F14ED7" w:rsidRPr="00F410FB">
        <w:t xml:space="preserve"> are well documented. In studies oral administration of the </w:t>
      </w:r>
      <w:r w:rsidRPr="00F410FB">
        <w:t>m</w:t>
      </w:r>
      <w:r w:rsidR="00F14ED7" w:rsidRPr="00F410FB">
        <w:t xml:space="preserve">ethanolic extract of </w:t>
      </w:r>
      <w:r w:rsidR="00F14ED7" w:rsidRPr="00F410FB">
        <w:rPr>
          <w:lang w:val="en-US"/>
        </w:rPr>
        <w:t>S</w:t>
      </w:r>
      <w:r w:rsidR="00F14ED7" w:rsidRPr="00F410FB">
        <w:rPr>
          <w:i/>
          <w:iCs/>
        </w:rPr>
        <w:t xml:space="preserve">. </w:t>
      </w:r>
      <w:r w:rsidR="00FA4343" w:rsidRPr="00FA4343">
        <w:rPr>
          <w:i/>
          <w:iCs/>
          <w:lang w:val="en-US"/>
        </w:rPr>
        <w:t>incanum</w:t>
      </w:r>
      <w:r w:rsidR="00F14ED7" w:rsidRPr="00F410FB">
        <w:t xml:space="preserve"> (2 g/kg body weight) significantly decreased </w:t>
      </w:r>
      <w:r w:rsidR="00F14ED7" w:rsidRPr="00F410FB">
        <w:rPr>
          <w:lang w:val="en-US"/>
        </w:rPr>
        <w:t>the diameter of the wound and speed up healing processes o</w:t>
      </w:r>
      <w:r w:rsidR="00F14ED7" w:rsidRPr="00F410FB">
        <w:t>n</w:t>
      </w:r>
      <w:r w:rsidR="00F14ED7" w:rsidRPr="00F410FB">
        <w:rPr>
          <w:lang w:val="en-US"/>
        </w:rPr>
        <w:t xml:space="preserve"> chronic wounds that were on</w:t>
      </w:r>
      <w:r w:rsidR="00F14ED7" w:rsidRPr="00F410FB">
        <w:t xml:space="preserve"> adult </w:t>
      </w:r>
      <w:r w:rsidR="00F14ED7" w:rsidRPr="00F410FB">
        <w:rPr>
          <w:lang w:val="en-US"/>
        </w:rPr>
        <w:t>fe</w:t>
      </w:r>
      <w:r w:rsidR="00F14ED7" w:rsidRPr="00F410FB">
        <w:t xml:space="preserve">male </w:t>
      </w:r>
      <w:r w:rsidR="00F14ED7" w:rsidRPr="00F410FB">
        <w:rPr>
          <w:lang w:val="en-US"/>
        </w:rPr>
        <w:t>Sprawge Dawley</w:t>
      </w:r>
      <w:r w:rsidR="00F14ED7" w:rsidRPr="00F410FB">
        <w:t xml:space="preserve"> rats throughout the 3 h sampling period (P &lt; 0.05). </w:t>
      </w:r>
      <w:r w:rsidR="00F14ED7" w:rsidRPr="00F410FB">
        <w:rPr>
          <w:lang w:val="en-US"/>
        </w:rPr>
        <w:t>S</w:t>
      </w:r>
      <w:r w:rsidR="00F14ED7" w:rsidRPr="00F410FB">
        <w:rPr>
          <w:i/>
        </w:rPr>
        <w:t xml:space="preserve">. </w:t>
      </w:r>
      <w:r w:rsidR="00FA4343" w:rsidRPr="00FA4343">
        <w:rPr>
          <w:i/>
          <w:lang w:val="en-US"/>
        </w:rPr>
        <w:t>incanum</w:t>
      </w:r>
      <w:r w:rsidR="00F14ED7" w:rsidRPr="00F410FB">
        <w:t xml:space="preserve"> (2 g/kg) had significant</w:t>
      </w:r>
      <w:r w:rsidR="00F14ED7" w:rsidRPr="00F410FB">
        <w:rPr>
          <w:lang w:val="en-US"/>
        </w:rPr>
        <w:t xml:space="preserve"> wound healing </w:t>
      </w:r>
      <w:r w:rsidR="00F14ED7" w:rsidRPr="00F410FB">
        <w:t>activity in comparison with the reference drugs (500 mg/kg) and</w:t>
      </w:r>
      <w:r w:rsidR="00F14ED7" w:rsidRPr="00F410FB">
        <w:rPr>
          <w:lang w:val="en-US"/>
        </w:rPr>
        <w:t xml:space="preserve"> Silver Sulphur Diazine</w:t>
      </w:r>
      <w:r w:rsidR="00F14ED7" w:rsidRPr="00F410FB">
        <w:t xml:space="preserve"> (3 mg/kg)</w:t>
      </w:r>
      <w:r w:rsidR="007A3772">
        <w:rPr>
          <w:vertAlign w:val="superscript"/>
        </w:rPr>
        <w:t>24</w:t>
      </w:r>
      <w:r w:rsidR="00F14ED7" w:rsidRPr="00F410FB">
        <w:t>.</w:t>
      </w:r>
    </w:p>
    <w:p w14:paraId="3328D7C1" w14:textId="51B7508C" w:rsidR="00535E04" w:rsidRPr="00F410FB" w:rsidRDefault="00F14ED7" w:rsidP="00DD03CF">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Anti-inflammatory tests</w:t>
      </w:r>
    </w:p>
    <w:p w14:paraId="40E9C514" w14:textId="1CC4A75F" w:rsidR="00535E04" w:rsidRPr="00F410FB" w:rsidRDefault="00F14ED7" w:rsidP="00DD03CF">
      <w:pPr>
        <w:pStyle w:val="Caption"/>
        <w:spacing w:before="240"/>
        <w:rPr>
          <w:sz w:val="20"/>
          <w:szCs w:val="24"/>
        </w:rPr>
      </w:pPr>
      <w:r w:rsidRPr="00F410FB">
        <w:rPr>
          <w:sz w:val="20"/>
          <w:szCs w:val="24"/>
        </w:rPr>
        <w:t xml:space="preserve">Table </w:t>
      </w:r>
      <w:r w:rsidRPr="00F410FB">
        <w:rPr>
          <w:sz w:val="20"/>
          <w:szCs w:val="24"/>
        </w:rPr>
        <w:fldChar w:fldCharType="begin"/>
      </w:r>
      <w:r w:rsidRPr="00F410FB">
        <w:rPr>
          <w:sz w:val="20"/>
          <w:szCs w:val="24"/>
        </w:rPr>
        <w:instrText xml:space="preserve"> SEQ Table \* ARABIC </w:instrText>
      </w:r>
      <w:r w:rsidRPr="00F410FB">
        <w:rPr>
          <w:sz w:val="20"/>
          <w:szCs w:val="24"/>
        </w:rPr>
        <w:fldChar w:fldCharType="separate"/>
      </w:r>
      <w:r w:rsidRPr="00F410FB">
        <w:rPr>
          <w:sz w:val="20"/>
          <w:szCs w:val="24"/>
        </w:rPr>
        <w:t>2</w:t>
      </w:r>
      <w:r w:rsidRPr="00F410FB">
        <w:rPr>
          <w:sz w:val="20"/>
          <w:szCs w:val="24"/>
        </w:rPr>
        <w:fldChar w:fldCharType="end"/>
      </w:r>
      <w:r w:rsidRPr="00F410FB">
        <w:rPr>
          <w:sz w:val="20"/>
          <w:szCs w:val="24"/>
        </w:rPr>
        <w:t xml:space="preserve">: Anti-inflammatory activity of lyophilised </w:t>
      </w:r>
      <w:r w:rsidRPr="00F410FB">
        <w:rPr>
          <w:sz w:val="20"/>
          <w:szCs w:val="24"/>
          <w:lang w:val="en-US"/>
        </w:rPr>
        <w:t>S</w:t>
      </w:r>
      <w:r w:rsidRPr="00F410FB">
        <w:rPr>
          <w:sz w:val="20"/>
          <w:szCs w:val="24"/>
        </w:rPr>
        <w:t xml:space="preserve">. </w:t>
      </w:r>
      <w:r w:rsidR="00FA4343" w:rsidRPr="00FA4343">
        <w:rPr>
          <w:sz w:val="20"/>
          <w:szCs w:val="24"/>
          <w:lang w:val="en-US"/>
        </w:rPr>
        <w:t>Incanum</w:t>
      </w:r>
      <w:r w:rsidRPr="00F410FB">
        <w:rPr>
          <w:sz w:val="20"/>
          <w:szCs w:val="24"/>
        </w:rPr>
        <w:t xml:space="preserve"> extracts</w:t>
      </w:r>
    </w:p>
    <w:tbl>
      <w:tblPr>
        <w:tblStyle w:val="ListTable21"/>
        <w:tblW w:w="7083" w:type="dxa"/>
        <w:tblInd w:w="979" w:type="dxa"/>
        <w:tblLook w:val="04A0" w:firstRow="1" w:lastRow="0" w:firstColumn="1" w:lastColumn="0" w:noHBand="0" w:noVBand="1"/>
      </w:tblPr>
      <w:tblGrid>
        <w:gridCol w:w="1765"/>
        <w:gridCol w:w="2766"/>
        <w:gridCol w:w="2552"/>
      </w:tblGrid>
      <w:tr w:rsidR="00535E04" w:rsidRPr="009E3253" w14:paraId="0F8E2CA3" w14:textId="77777777" w:rsidTr="00535E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65" w:type="dxa"/>
            <w:tcBorders>
              <w:bottom w:val="single" w:sz="4" w:space="0" w:color="666666"/>
            </w:tcBorders>
            <w:shd w:val="clear" w:color="auto" w:fill="E7E6E6"/>
            <w:noWrap/>
          </w:tcPr>
          <w:p w14:paraId="633A726B"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lastRenderedPageBreak/>
              <w:t>Concentration</w:t>
            </w:r>
          </w:p>
        </w:tc>
        <w:tc>
          <w:tcPr>
            <w:tcW w:w="2766" w:type="dxa"/>
            <w:tcBorders>
              <w:bottom w:val="single" w:sz="4" w:space="0" w:color="666666"/>
            </w:tcBorders>
            <w:shd w:val="clear" w:color="auto" w:fill="E7E6E6"/>
            <w:noWrap/>
          </w:tcPr>
          <w:p w14:paraId="54447120"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E3253">
              <w:rPr>
                <w:color w:val="000000"/>
                <w:sz w:val="20"/>
                <w:szCs w:val="20"/>
              </w:rPr>
              <w:t xml:space="preserve">% Inhibition </w:t>
            </w:r>
          </w:p>
        </w:tc>
        <w:tc>
          <w:tcPr>
            <w:tcW w:w="2552" w:type="dxa"/>
            <w:tcBorders>
              <w:bottom w:val="single" w:sz="4" w:space="0" w:color="666666"/>
            </w:tcBorders>
            <w:shd w:val="clear" w:color="auto" w:fill="E7E6E6"/>
            <w:noWrap/>
          </w:tcPr>
          <w:p w14:paraId="60B4B4EF" w14:textId="77777777" w:rsidR="00535E04" w:rsidRPr="009E3253" w:rsidRDefault="00F14ED7" w:rsidP="00DD03CF">
            <w:pPr>
              <w:spacing w:before="24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E3253">
              <w:rPr>
                <w:color w:val="000000"/>
                <w:sz w:val="20"/>
                <w:szCs w:val="20"/>
              </w:rPr>
              <w:t xml:space="preserve">% Inhibition </w:t>
            </w:r>
          </w:p>
        </w:tc>
      </w:tr>
      <w:tr w:rsidR="00535E04" w:rsidRPr="009E3253" w14:paraId="70C5311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shd w:val="clear" w:color="auto" w:fill="E7E6E6"/>
            <w:noWrap/>
          </w:tcPr>
          <w:p w14:paraId="5C532DB3"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 xml:space="preserve"> µg/ml</w:t>
            </w:r>
          </w:p>
        </w:tc>
        <w:tc>
          <w:tcPr>
            <w:tcW w:w="2766" w:type="dxa"/>
            <w:shd w:val="clear" w:color="auto" w:fill="E7E6E6"/>
            <w:noWrap/>
          </w:tcPr>
          <w:p w14:paraId="7E0D069D" w14:textId="51A6536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3253">
              <w:rPr>
                <w:b/>
                <w:i/>
                <w:iCs/>
                <w:color w:val="000000"/>
                <w:sz w:val="20"/>
                <w:szCs w:val="20"/>
                <w:lang w:val="en-US"/>
              </w:rPr>
              <w:t>S</w:t>
            </w:r>
            <w:r w:rsidRPr="009E3253">
              <w:rPr>
                <w:b/>
                <w:i/>
                <w:iCs/>
                <w:color w:val="000000"/>
                <w:sz w:val="20"/>
                <w:szCs w:val="20"/>
              </w:rPr>
              <w:t xml:space="preserve">. </w:t>
            </w:r>
            <w:r w:rsidR="00FA4343" w:rsidRPr="009E3253">
              <w:rPr>
                <w:b/>
                <w:i/>
                <w:iCs/>
                <w:color w:val="000000"/>
                <w:sz w:val="20"/>
                <w:szCs w:val="20"/>
                <w:lang w:val="en-US"/>
              </w:rPr>
              <w:t>incanum</w:t>
            </w:r>
            <w:r w:rsidRPr="009E3253">
              <w:rPr>
                <w:b/>
                <w:color w:val="000000"/>
                <w:sz w:val="20"/>
                <w:szCs w:val="20"/>
              </w:rPr>
              <w:t xml:space="preserve"> hydroethanolic extract</w:t>
            </w:r>
          </w:p>
        </w:tc>
        <w:tc>
          <w:tcPr>
            <w:tcW w:w="2552" w:type="dxa"/>
            <w:shd w:val="clear" w:color="auto" w:fill="E7E6E6"/>
            <w:noWrap/>
          </w:tcPr>
          <w:p w14:paraId="54C3A60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3253">
              <w:rPr>
                <w:b/>
                <w:color w:val="000000"/>
                <w:sz w:val="20"/>
                <w:szCs w:val="20"/>
              </w:rPr>
              <w:t>Diclofenac (standard)</w:t>
            </w:r>
          </w:p>
        </w:tc>
      </w:tr>
      <w:tr w:rsidR="00535E04" w:rsidRPr="009E3253" w14:paraId="2F8F5041"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57F8EAF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250</w:t>
            </w:r>
          </w:p>
        </w:tc>
        <w:tc>
          <w:tcPr>
            <w:tcW w:w="2766" w:type="dxa"/>
            <w:noWrap/>
          </w:tcPr>
          <w:p w14:paraId="035AD4C9" w14:textId="293113D6"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1</w:t>
            </w:r>
            <w:r w:rsidR="00F57B84" w:rsidRPr="009E3253">
              <w:rPr>
                <w:color w:val="000000"/>
                <w:sz w:val="20"/>
                <w:szCs w:val="20"/>
              </w:rPr>
              <w:t>0</w:t>
            </w:r>
            <w:r w:rsidRPr="009E3253">
              <w:rPr>
                <w:color w:val="000000"/>
                <w:sz w:val="20"/>
                <w:szCs w:val="20"/>
              </w:rPr>
              <w:t>± 0.08</w:t>
            </w:r>
          </w:p>
        </w:tc>
        <w:tc>
          <w:tcPr>
            <w:tcW w:w="2552" w:type="dxa"/>
            <w:noWrap/>
          </w:tcPr>
          <w:p w14:paraId="4EA1C85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7</w:t>
            </w:r>
            <w:r w:rsidRPr="009E3253">
              <w:rPr>
                <w:color w:val="000000"/>
                <w:sz w:val="20"/>
                <w:szCs w:val="20"/>
              </w:rPr>
              <w:t>±0.84</w:t>
            </w:r>
          </w:p>
        </w:tc>
      </w:tr>
      <w:tr w:rsidR="00535E04" w:rsidRPr="009E3253" w14:paraId="18876744"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28068C41"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500</w:t>
            </w:r>
          </w:p>
        </w:tc>
        <w:tc>
          <w:tcPr>
            <w:tcW w:w="2766" w:type="dxa"/>
            <w:noWrap/>
          </w:tcPr>
          <w:p w14:paraId="1E3F6DC3" w14:textId="5FBE0B29"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1</w:t>
            </w:r>
            <w:r w:rsidR="00F57B84" w:rsidRPr="009E3253">
              <w:rPr>
                <w:color w:val="000000"/>
                <w:sz w:val="20"/>
                <w:szCs w:val="20"/>
              </w:rPr>
              <w:t>6</w:t>
            </w:r>
            <w:r w:rsidRPr="009E3253">
              <w:rPr>
                <w:color w:val="000000"/>
                <w:sz w:val="20"/>
                <w:szCs w:val="20"/>
              </w:rPr>
              <w:t>±0.03</w:t>
            </w:r>
          </w:p>
        </w:tc>
        <w:tc>
          <w:tcPr>
            <w:tcW w:w="2552" w:type="dxa"/>
            <w:noWrap/>
          </w:tcPr>
          <w:p w14:paraId="026284A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6</w:t>
            </w:r>
            <w:r w:rsidRPr="009E3253">
              <w:rPr>
                <w:color w:val="000000"/>
                <w:sz w:val="20"/>
                <w:szCs w:val="20"/>
                <w:lang w:val="en-US"/>
              </w:rPr>
              <w:t>6</w:t>
            </w:r>
            <w:r w:rsidRPr="009E3253">
              <w:rPr>
                <w:color w:val="000000"/>
                <w:sz w:val="20"/>
                <w:szCs w:val="20"/>
              </w:rPr>
              <w:t>±1.78</w:t>
            </w:r>
          </w:p>
        </w:tc>
      </w:tr>
      <w:tr w:rsidR="00535E04" w:rsidRPr="009E3253" w14:paraId="4D5F7F4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1D914D7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1000</w:t>
            </w:r>
          </w:p>
        </w:tc>
        <w:tc>
          <w:tcPr>
            <w:tcW w:w="2766" w:type="dxa"/>
            <w:noWrap/>
          </w:tcPr>
          <w:p w14:paraId="6A55635C" w14:textId="73CAF370"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00F57B84" w:rsidRPr="009E3253">
              <w:rPr>
                <w:color w:val="000000"/>
                <w:sz w:val="20"/>
                <w:szCs w:val="20"/>
              </w:rPr>
              <w:t>4</w:t>
            </w:r>
            <w:r w:rsidRPr="009E3253">
              <w:rPr>
                <w:color w:val="000000"/>
                <w:sz w:val="20"/>
                <w:szCs w:val="20"/>
              </w:rPr>
              <w:t>±0.28</w:t>
            </w:r>
          </w:p>
        </w:tc>
        <w:tc>
          <w:tcPr>
            <w:tcW w:w="2552" w:type="dxa"/>
            <w:noWrap/>
          </w:tcPr>
          <w:p w14:paraId="68D1A2C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1</w:t>
            </w:r>
            <w:r w:rsidRPr="009E3253">
              <w:rPr>
                <w:color w:val="000000"/>
                <w:sz w:val="20"/>
                <w:szCs w:val="20"/>
              </w:rPr>
              <w:t>2±3.40</w:t>
            </w:r>
          </w:p>
        </w:tc>
      </w:tr>
      <w:tr w:rsidR="00535E04" w:rsidRPr="009E3253" w14:paraId="6EC4C45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63A24A03"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2000</w:t>
            </w:r>
          </w:p>
        </w:tc>
        <w:tc>
          <w:tcPr>
            <w:tcW w:w="2766" w:type="dxa"/>
            <w:noWrap/>
          </w:tcPr>
          <w:p w14:paraId="63FE4E06" w14:textId="6C1A5EE3"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2</w:t>
            </w:r>
            <w:r w:rsidRPr="009E3253">
              <w:rPr>
                <w:color w:val="000000"/>
                <w:sz w:val="20"/>
                <w:szCs w:val="20"/>
                <w:lang w:val="en-US"/>
              </w:rPr>
              <w:t>5</w:t>
            </w:r>
            <w:r w:rsidR="00F57B84" w:rsidRPr="009E3253">
              <w:rPr>
                <w:color w:val="000000"/>
                <w:sz w:val="20"/>
                <w:szCs w:val="20"/>
                <w:lang w:val="en-US"/>
              </w:rPr>
              <w:t>3</w:t>
            </w:r>
            <w:r w:rsidRPr="009E3253">
              <w:rPr>
                <w:color w:val="000000"/>
                <w:sz w:val="20"/>
                <w:szCs w:val="20"/>
              </w:rPr>
              <w:t>±1.76</w:t>
            </w:r>
          </w:p>
        </w:tc>
        <w:tc>
          <w:tcPr>
            <w:tcW w:w="2552" w:type="dxa"/>
            <w:noWrap/>
          </w:tcPr>
          <w:p w14:paraId="2E041C7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Pr="009E3253">
              <w:rPr>
                <w:color w:val="000000"/>
                <w:sz w:val="20"/>
                <w:szCs w:val="20"/>
                <w:lang w:val="en-US"/>
              </w:rPr>
              <w:t>3</w:t>
            </w:r>
            <w:r w:rsidRPr="009E3253">
              <w:rPr>
                <w:color w:val="000000"/>
                <w:sz w:val="20"/>
                <w:szCs w:val="20"/>
              </w:rPr>
              <w:t>0.12± 4.20</w:t>
            </w:r>
          </w:p>
        </w:tc>
      </w:tr>
      <w:tr w:rsidR="00535E04" w:rsidRPr="009E3253" w14:paraId="7456E7A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0DAE1A6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4000</w:t>
            </w:r>
          </w:p>
        </w:tc>
        <w:tc>
          <w:tcPr>
            <w:tcW w:w="2766" w:type="dxa"/>
            <w:noWrap/>
          </w:tcPr>
          <w:p w14:paraId="6B378335" w14:textId="6E9C6312"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3</w:t>
            </w:r>
            <w:r w:rsidRPr="009E3253">
              <w:rPr>
                <w:color w:val="000000"/>
                <w:sz w:val="20"/>
                <w:szCs w:val="20"/>
                <w:lang w:val="en-US"/>
              </w:rPr>
              <w:t>5</w:t>
            </w:r>
            <w:r w:rsidR="00F57B84" w:rsidRPr="009E3253">
              <w:rPr>
                <w:color w:val="000000"/>
                <w:sz w:val="20"/>
                <w:szCs w:val="20"/>
                <w:lang w:val="en-US"/>
              </w:rPr>
              <w:t>4</w:t>
            </w:r>
            <w:r w:rsidRPr="009E3253">
              <w:rPr>
                <w:color w:val="000000"/>
                <w:sz w:val="20"/>
                <w:szCs w:val="20"/>
              </w:rPr>
              <w:t>±1.34</w:t>
            </w:r>
          </w:p>
        </w:tc>
        <w:tc>
          <w:tcPr>
            <w:tcW w:w="2552" w:type="dxa"/>
            <w:noWrap/>
          </w:tcPr>
          <w:p w14:paraId="4BB1856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r w:rsidR="00535E04" w:rsidRPr="009E3253" w14:paraId="16E100AE"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4500DBF6"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6000</w:t>
            </w:r>
          </w:p>
        </w:tc>
        <w:tc>
          <w:tcPr>
            <w:tcW w:w="2766" w:type="dxa"/>
            <w:noWrap/>
          </w:tcPr>
          <w:p w14:paraId="4D034981" w14:textId="6EB3D525"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48</w:t>
            </w:r>
            <w:r w:rsidR="00F57B84" w:rsidRPr="009E3253">
              <w:rPr>
                <w:color w:val="000000"/>
                <w:sz w:val="20"/>
                <w:szCs w:val="20"/>
              </w:rPr>
              <w:t>9</w:t>
            </w:r>
            <w:r w:rsidRPr="009E3253">
              <w:rPr>
                <w:color w:val="000000"/>
                <w:sz w:val="20"/>
                <w:szCs w:val="20"/>
              </w:rPr>
              <w:t>±3.56</w:t>
            </w:r>
          </w:p>
        </w:tc>
        <w:tc>
          <w:tcPr>
            <w:tcW w:w="2552" w:type="dxa"/>
            <w:noWrap/>
          </w:tcPr>
          <w:p w14:paraId="1227AB3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r w:rsidR="00535E04" w:rsidRPr="009E3253" w14:paraId="3749FA38"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765" w:type="dxa"/>
            <w:noWrap/>
          </w:tcPr>
          <w:p w14:paraId="50E3CB8E"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8000</w:t>
            </w:r>
          </w:p>
        </w:tc>
        <w:tc>
          <w:tcPr>
            <w:tcW w:w="2766" w:type="dxa"/>
            <w:noWrap/>
          </w:tcPr>
          <w:p w14:paraId="4E04F734" w14:textId="4A900351"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7</w:t>
            </w:r>
            <w:r w:rsidRPr="009E3253">
              <w:rPr>
                <w:color w:val="000000"/>
                <w:sz w:val="20"/>
                <w:szCs w:val="20"/>
                <w:lang w:val="en-US"/>
              </w:rPr>
              <w:t>2</w:t>
            </w:r>
            <w:r w:rsidR="00F57B84" w:rsidRPr="009E3253">
              <w:rPr>
                <w:color w:val="000000"/>
                <w:sz w:val="20"/>
                <w:szCs w:val="20"/>
                <w:lang w:val="en-US"/>
              </w:rPr>
              <w:t>9</w:t>
            </w:r>
            <w:r w:rsidRPr="009E3253">
              <w:rPr>
                <w:color w:val="000000"/>
                <w:sz w:val="20"/>
                <w:szCs w:val="20"/>
              </w:rPr>
              <w:t>±3.54</w:t>
            </w:r>
          </w:p>
        </w:tc>
        <w:tc>
          <w:tcPr>
            <w:tcW w:w="2552" w:type="dxa"/>
            <w:noWrap/>
          </w:tcPr>
          <w:p w14:paraId="2F8C5F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tested</w:t>
            </w:r>
          </w:p>
        </w:tc>
      </w:tr>
    </w:tbl>
    <w:p w14:paraId="5D353979" w14:textId="2BF46318" w:rsidR="00535E04" w:rsidRPr="00F410FB" w:rsidRDefault="00F14ED7" w:rsidP="00DD03CF">
      <w:pPr>
        <w:spacing w:before="240"/>
        <w:jc w:val="both"/>
        <w:rPr>
          <w:lang w:val="en-US"/>
        </w:rPr>
      </w:pPr>
      <w:commentRangeStart w:id="15"/>
      <w:r w:rsidRPr="00F410FB">
        <w:t xml:space="preserve">At related concentrations, the lyophilised extracts from the </w:t>
      </w:r>
      <w:r w:rsidRPr="00F410FB">
        <w:rPr>
          <w:lang w:val="en-US"/>
        </w:rPr>
        <w:t xml:space="preserve">fruits of </w:t>
      </w:r>
      <w:r w:rsidR="00374737" w:rsidRPr="00374737">
        <w:rPr>
          <w:i/>
          <w:lang w:val="en-US"/>
        </w:rPr>
        <w:t xml:space="preserve">S. </w:t>
      </w:r>
      <w:r w:rsidR="00FA4343" w:rsidRPr="00FA4343">
        <w:rPr>
          <w:i/>
          <w:lang w:val="en-US"/>
        </w:rPr>
        <w:t>incanum</w:t>
      </w:r>
      <w:r w:rsidRPr="00F410FB">
        <w:t xml:space="preserve"> exhibited anti-inflammatory effects that are approximately a third of the anti-inflammatory attributes of the standard Diclofenac (Table 2). The anti-inflammatory activity of </w:t>
      </w:r>
      <w:r w:rsidRPr="00F410FB">
        <w:rPr>
          <w:lang w:val="en-US"/>
        </w:rPr>
        <w:t>S</w:t>
      </w:r>
      <w:r w:rsidRPr="00F410FB">
        <w:rPr>
          <w:i/>
          <w:iCs/>
        </w:rPr>
        <w:t xml:space="preserve">. </w:t>
      </w:r>
      <w:r w:rsidR="00FA4343" w:rsidRPr="00FA4343">
        <w:rPr>
          <w:i/>
          <w:iCs/>
          <w:lang w:val="en-US"/>
        </w:rPr>
        <w:t>Incanum</w:t>
      </w:r>
      <w:r w:rsidRPr="00F410FB">
        <w:t xml:space="preserve"> became comparable to the least dose of the positive control Diclofenac (250 µg/ml) used in this study at</w:t>
      </w:r>
      <w:r w:rsidR="00F57B84" w:rsidRPr="00F410FB">
        <w:t xml:space="preserve"> </w:t>
      </w:r>
      <w:r w:rsidRPr="00F410FB">
        <w:t>around 750µg/ml. The anti-inflammatory effect of 2000 µg/ml of the positive control Diclofenac was approximately 6</w:t>
      </w:r>
      <w:r w:rsidR="00F57B84" w:rsidRPr="00F410FB">
        <w:t>.6</w:t>
      </w:r>
      <w:r w:rsidRPr="00F410FB">
        <w:t>% greater than that for 8000 µg/ml lyophilised crude extracts the</w:t>
      </w:r>
      <w:r w:rsidRPr="00F410FB">
        <w:rPr>
          <w:lang w:val="en-US"/>
        </w:rPr>
        <w:t xml:space="preserve"> S</w:t>
      </w:r>
      <w:r w:rsidRPr="00F410FB">
        <w:rPr>
          <w:i/>
          <w:iCs/>
        </w:rPr>
        <w:t xml:space="preserve">. </w:t>
      </w:r>
      <w:r w:rsidR="00FA4343" w:rsidRPr="00FA4343">
        <w:rPr>
          <w:i/>
          <w:iCs/>
          <w:lang w:val="en-US"/>
        </w:rPr>
        <w:t>Incanum</w:t>
      </w:r>
      <w:r w:rsidRPr="00F410FB">
        <w:t>.</w:t>
      </w:r>
      <w:r w:rsidRPr="00F410FB">
        <w:rPr>
          <w:lang w:val="en-US"/>
        </w:rPr>
        <w:t xml:space="preserve"> </w:t>
      </w:r>
      <w:r w:rsidRPr="00F410FB">
        <w:t xml:space="preserve">Although different methods are used here to represent inhibition of inflammation, the value of 8000µg/ml recorded in our protein denaturation assay, represents significant anti-inflammatory potential of </w:t>
      </w:r>
      <w:r w:rsidRPr="00F410FB">
        <w:rPr>
          <w:lang w:val="en-US"/>
        </w:rPr>
        <w:t>S</w:t>
      </w:r>
      <w:r w:rsidRPr="00F410FB">
        <w:rPr>
          <w:i/>
        </w:rPr>
        <w:t xml:space="preserve">. </w:t>
      </w:r>
      <w:r w:rsidR="00FA4343" w:rsidRPr="00FA4343">
        <w:rPr>
          <w:i/>
          <w:lang w:val="en-US"/>
        </w:rPr>
        <w:t>Incanum</w:t>
      </w:r>
      <w:r w:rsidRPr="00F410FB">
        <w:t xml:space="preserve">, since the extract was used in its crude form. Activity is expected to increase further using bioactive fractions and isolated compounds. Phytosterols, triterpenoids such as lupeol and oleanolic acid, sesquiterpenes, and flavonoids such as rutin and kaempferol have been associated with anti-inflammatory activity of the </w:t>
      </w:r>
      <w:r w:rsidRPr="00F410FB">
        <w:rPr>
          <w:lang w:val="en-US"/>
        </w:rPr>
        <w:t xml:space="preserve">Solanaceae </w:t>
      </w:r>
      <w:r w:rsidRPr="00F410FB">
        <w:t>genus.  Saponins which are normally found in abundance in the plant, have also shown anti-inflammatory activity in addition to anti-oxidant capacity.</w:t>
      </w:r>
      <w:r w:rsidRPr="00F410FB">
        <w:rPr>
          <w:lang w:val="en-US"/>
        </w:rPr>
        <w:t xml:space="preserve"> However less significant inflammatory responses </w:t>
      </w:r>
      <w:proofErr w:type="gramStart"/>
      <w:r w:rsidRPr="00F410FB">
        <w:rPr>
          <w:lang w:val="en-US"/>
        </w:rPr>
        <w:t>was</w:t>
      </w:r>
      <w:proofErr w:type="gramEnd"/>
      <w:r w:rsidRPr="00F410FB">
        <w:rPr>
          <w:lang w:val="en-US"/>
        </w:rPr>
        <w:t xml:space="preserve"> found from the fruit extracts of S. Incanum and this presented it as a good wound healing agent as inflammation improves the wound healing process.</w:t>
      </w:r>
      <w:commentRangeEnd w:id="15"/>
      <w:r w:rsidR="00001AF9">
        <w:rPr>
          <w:rStyle w:val="CommentReference"/>
        </w:rPr>
        <w:commentReference w:id="15"/>
      </w:r>
    </w:p>
    <w:p w14:paraId="48FE1BA9" w14:textId="5777F7F6" w:rsidR="00F16B2B" w:rsidRPr="00F410FB" w:rsidRDefault="00F16B2B" w:rsidP="00DD03CF">
      <w:pPr>
        <w:spacing w:before="240"/>
        <w:jc w:val="both"/>
      </w:pPr>
    </w:p>
    <w:p w14:paraId="53CBF044" w14:textId="325D3AB1" w:rsidR="00F16B2B" w:rsidRPr="00F410FB" w:rsidRDefault="00F14ED7" w:rsidP="00F16B2B">
      <w:pPr>
        <w:pStyle w:val="Heading2"/>
        <w:spacing w:before="240"/>
        <w:contextualSpacing/>
        <w:jc w:val="both"/>
        <w:rPr>
          <w:rFonts w:ascii="Times New Roman" w:hAnsi="Times New Roman" w:cs="Times New Roman"/>
          <w:szCs w:val="24"/>
        </w:rPr>
      </w:pPr>
      <w:r w:rsidRPr="00F410FB">
        <w:rPr>
          <w:rFonts w:ascii="Times New Roman" w:hAnsi="Times New Roman" w:cs="Times New Roman"/>
          <w:szCs w:val="24"/>
        </w:rPr>
        <w:t>Acute oral toxicity evaluation</w:t>
      </w:r>
    </w:p>
    <w:p w14:paraId="43ADC384" w14:textId="2CC712B8" w:rsidR="00535E04" w:rsidRPr="00F410FB" w:rsidRDefault="00F14ED7" w:rsidP="00DD03CF">
      <w:pPr>
        <w:pStyle w:val="Caption"/>
        <w:keepNext/>
        <w:spacing w:before="240"/>
        <w:rPr>
          <w:sz w:val="20"/>
          <w:szCs w:val="24"/>
        </w:rPr>
      </w:pPr>
      <w:r w:rsidRPr="00F410FB">
        <w:rPr>
          <w:sz w:val="20"/>
          <w:szCs w:val="24"/>
        </w:rPr>
        <w:t xml:space="preserve">Table </w:t>
      </w:r>
      <w:r w:rsidRPr="00F410FB">
        <w:rPr>
          <w:sz w:val="20"/>
          <w:szCs w:val="24"/>
        </w:rPr>
        <w:fldChar w:fldCharType="begin"/>
      </w:r>
      <w:r w:rsidRPr="00F410FB">
        <w:rPr>
          <w:sz w:val="20"/>
          <w:szCs w:val="24"/>
        </w:rPr>
        <w:instrText xml:space="preserve"> SEQ Table \* ARABIC </w:instrText>
      </w:r>
      <w:r w:rsidRPr="00F410FB">
        <w:rPr>
          <w:sz w:val="20"/>
          <w:szCs w:val="24"/>
        </w:rPr>
        <w:fldChar w:fldCharType="separate"/>
      </w:r>
      <w:r w:rsidRPr="00F410FB">
        <w:rPr>
          <w:sz w:val="20"/>
          <w:szCs w:val="24"/>
        </w:rPr>
        <w:t>3</w:t>
      </w:r>
      <w:r w:rsidRPr="00F410FB">
        <w:rPr>
          <w:sz w:val="20"/>
          <w:szCs w:val="24"/>
        </w:rPr>
        <w:fldChar w:fldCharType="end"/>
      </w:r>
      <w:r w:rsidRPr="00F410FB">
        <w:rPr>
          <w:sz w:val="20"/>
          <w:szCs w:val="24"/>
        </w:rPr>
        <w:t xml:space="preserve">: Acute oral toxicity study of </w:t>
      </w:r>
      <w:r w:rsidRPr="00F410FB">
        <w:rPr>
          <w:sz w:val="20"/>
          <w:szCs w:val="24"/>
          <w:lang w:val="en-US"/>
        </w:rPr>
        <w:t xml:space="preserve">S. </w:t>
      </w:r>
      <w:r w:rsidR="00FA4343" w:rsidRPr="00FA4343">
        <w:rPr>
          <w:sz w:val="20"/>
          <w:szCs w:val="24"/>
          <w:lang w:val="en-US"/>
        </w:rPr>
        <w:t>Incanum</w:t>
      </w:r>
      <w:r w:rsidRPr="00F410FB">
        <w:rPr>
          <w:sz w:val="20"/>
          <w:szCs w:val="24"/>
          <w:lang w:val="en-US"/>
        </w:rPr>
        <w:t xml:space="preserve"> </w:t>
      </w:r>
      <w:r w:rsidRPr="00F410FB">
        <w:rPr>
          <w:sz w:val="20"/>
          <w:szCs w:val="24"/>
        </w:rPr>
        <w:t>behavioural Observations</w:t>
      </w:r>
    </w:p>
    <w:tbl>
      <w:tblPr>
        <w:tblStyle w:val="ListTable21"/>
        <w:tblW w:w="8217" w:type="dxa"/>
        <w:tblLook w:val="04A0" w:firstRow="1" w:lastRow="0" w:firstColumn="1" w:lastColumn="0" w:noHBand="0" w:noVBand="1"/>
      </w:tblPr>
      <w:tblGrid>
        <w:gridCol w:w="1555"/>
        <w:gridCol w:w="992"/>
        <w:gridCol w:w="1134"/>
        <w:gridCol w:w="1134"/>
        <w:gridCol w:w="1134"/>
        <w:gridCol w:w="1134"/>
        <w:gridCol w:w="1134"/>
      </w:tblGrid>
      <w:tr w:rsidR="00535E04" w:rsidRPr="00F410FB" w14:paraId="15B71AA2" w14:textId="77777777" w:rsidTr="00535E0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C32726B" w14:textId="77777777" w:rsidR="00535E04" w:rsidRPr="009E3253" w:rsidRDefault="00F14ED7" w:rsidP="00DD03CF">
            <w:pPr>
              <w:spacing w:before="240"/>
              <w:contextualSpacing/>
              <w:jc w:val="center"/>
              <w:rPr>
                <w:b w:val="0"/>
                <w:bCs w:val="0"/>
                <w:color w:val="000000"/>
                <w:sz w:val="20"/>
                <w:szCs w:val="20"/>
              </w:rPr>
            </w:pPr>
            <w:r w:rsidRPr="009E3253">
              <w:rPr>
                <w:color w:val="000000"/>
                <w:sz w:val="20"/>
                <w:szCs w:val="20"/>
              </w:rPr>
              <w:t>Observed parameter</w:t>
            </w:r>
          </w:p>
        </w:tc>
        <w:tc>
          <w:tcPr>
            <w:tcW w:w="6662" w:type="dxa"/>
            <w:gridSpan w:val="6"/>
          </w:tcPr>
          <w:p w14:paraId="365C8069" w14:textId="05B7DD4C" w:rsidR="00535E04" w:rsidRPr="009E3253" w:rsidRDefault="00F14ED7" w:rsidP="00DD03CF">
            <w:pPr>
              <w:spacing w:before="240"/>
              <w:contextualSpacing/>
              <w:cnfStyle w:val="100000000000" w:firstRow="1" w:lastRow="0" w:firstColumn="0" w:lastColumn="0" w:oddVBand="0" w:evenVBand="0" w:oddHBand="0" w:evenHBand="0" w:firstRowFirstColumn="0" w:firstRowLastColumn="0" w:lastRowFirstColumn="0" w:lastRowLastColumn="0"/>
              <w:rPr>
                <w:b w:val="0"/>
                <w:bCs w:val="0"/>
                <w:sz w:val="20"/>
                <w:szCs w:val="20"/>
              </w:rPr>
            </w:pPr>
            <w:r w:rsidRPr="009E3253">
              <w:rPr>
                <w:color w:val="000000"/>
                <w:sz w:val="20"/>
                <w:szCs w:val="20"/>
              </w:rPr>
              <w:t xml:space="preserve">                              Dose of </w:t>
            </w:r>
            <w:r w:rsidRPr="009E3253">
              <w:rPr>
                <w:color w:val="000000"/>
                <w:sz w:val="20"/>
                <w:szCs w:val="20"/>
                <w:lang w:val="en-US"/>
              </w:rPr>
              <w:t>S</w:t>
            </w:r>
            <w:r w:rsidRPr="009E3253">
              <w:rPr>
                <w:i/>
                <w:iCs/>
                <w:color w:val="000000"/>
                <w:sz w:val="20"/>
                <w:szCs w:val="20"/>
              </w:rPr>
              <w:t xml:space="preserve">. </w:t>
            </w:r>
            <w:r w:rsidR="00FA4343" w:rsidRPr="009E3253">
              <w:rPr>
                <w:i/>
                <w:iCs/>
                <w:color w:val="000000"/>
                <w:sz w:val="20"/>
                <w:szCs w:val="20"/>
                <w:lang w:val="en-US"/>
              </w:rPr>
              <w:t>Incanum</w:t>
            </w:r>
            <w:r w:rsidRPr="009E3253">
              <w:rPr>
                <w:i/>
                <w:iCs/>
                <w:color w:val="000000"/>
                <w:sz w:val="20"/>
                <w:szCs w:val="20"/>
              </w:rPr>
              <w:t xml:space="preserve"> </w:t>
            </w:r>
            <w:r w:rsidRPr="009E3253">
              <w:rPr>
                <w:color w:val="000000"/>
                <w:sz w:val="20"/>
                <w:szCs w:val="20"/>
              </w:rPr>
              <w:t>in mg/kg body weight</w:t>
            </w:r>
          </w:p>
        </w:tc>
      </w:tr>
      <w:tr w:rsidR="00535E04" w:rsidRPr="00F410FB" w14:paraId="1FD7DF6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C856E34" w14:textId="77777777" w:rsidR="00535E04" w:rsidRPr="009E3253" w:rsidRDefault="00535E04" w:rsidP="00DD03CF">
            <w:pPr>
              <w:spacing w:before="240"/>
              <w:contextualSpacing/>
              <w:jc w:val="center"/>
              <w:rPr>
                <w:b w:val="0"/>
                <w:bCs w:val="0"/>
                <w:sz w:val="20"/>
                <w:szCs w:val="20"/>
              </w:rPr>
            </w:pPr>
          </w:p>
        </w:tc>
        <w:tc>
          <w:tcPr>
            <w:tcW w:w="992" w:type="dxa"/>
            <w:noWrap/>
          </w:tcPr>
          <w:p w14:paraId="15E180F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250mg</w:t>
            </w:r>
          </w:p>
        </w:tc>
        <w:tc>
          <w:tcPr>
            <w:tcW w:w="1134" w:type="dxa"/>
            <w:noWrap/>
          </w:tcPr>
          <w:p w14:paraId="071CF61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500mg</w:t>
            </w:r>
          </w:p>
        </w:tc>
        <w:tc>
          <w:tcPr>
            <w:tcW w:w="1134" w:type="dxa"/>
            <w:noWrap/>
          </w:tcPr>
          <w:p w14:paraId="7D19CE4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1000mg</w:t>
            </w:r>
          </w:p>
        </w:tc>
        <w:tc>
          <w:tcPr>
            <w:tcW w:w="1134" w:type="dxa"/>
            <w:noWrap/>
          </w:tcPr>
          <w:p w14:paraId="620C938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2500mg</w:t>
            </w:r>
          </w:p>
        </w:tc>
        <w:tc>
          <w:tcPr>
            <w:tcW w:w="1134" w:type="dxa"/>
          </w:tcPr>
          <w:p w14:paraId="1783776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5000mg</w:t>
            </w:r>
          </w:p>
        </w:tc>
        <w:tc>
          <w:tcPr>
            <w:tcW w:w="1134" w:type="dxa"/>
            <w:noWrap/>
          </w:tcPr>
          <w:p w14:paraId="2989A05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E3253">
              <w:rPr>
                <w:b/>
                <w:bCs/>
                <w:color w:val="000000"/>
                <w:sz w:val="20"/>
                <w:szCs w:val="20"/>
              </w:rPr>
              <w:t>Control</w:t>
            </w:r>
          </w:p>
        </w:tc>
      </w:tr>
      <w:tr w:rsidR="00535E04" w:rsidRPr="00F410FB" w14:paraId="1DD96763"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37A13633"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Food intake</w:t>
            </w:r>
          </w:p>
        </w:tc>
        <w:tc>
          <w:tcPr>
            <w:tcW w:w="992" w:type="dxa"/>
            <w:noWrap/>
          </w:tcPr>
          <w:p w14:paraId="3EA9119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714267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B13A86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C311C5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2318042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6B65076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16EE039C"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386015B6"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Water intake</w:t>
            </w:r>
          </w:p>
        </w:tc>
        <w:tc>
          <w:tcPr>
            <w:tcW w:w="992" w:type="dxa"/>
            <w:noWrap/>
          </w:tcPr>
          <w:p w14:paraId="592DAB4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48118E0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648363D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F99DDCA"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6CDE481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267FFBD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C3F3395"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40D4599"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Death</w:t>
            </w:r>
          </w:p>
        </w:tc>
        <w:tc>
          <w:tcPr>
            <w:tcW w:w="992" w:type="dxa"/>
            <w:noWrap/>
          </w:tcPr>
          <w:p w14:paraId="4C33D4D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7B787F1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58B15AE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26F9CC0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tcPr>
          <w:p w14:paraId="5815F10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c>
          <w:tcPr>
            <w:tcW w:w="1134" w:type="dxa"/>
            <w:noWrap/>
          </w:tcPr>
          <w:p w14:paraId="5CCC7F5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Alive</w:t>
            </w:r>
          </w:p>
        </w:tc>
      </w:tr>
      <w:tr w:rsidR="00535E04" w:rsidRPr="00F410FB" w14:paraId="0AD1117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0FAAAD54"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Breathing</w:t>
            </w:r>
          </w:p>
        </w:tc>
        <w:tc>
          <w:tcPr>
            <w:tcW w:w="992" w:type="dxa"/>
            <w:noWrap/>
          </w:tcPr>
          <w:p w14:paraId="21C82CF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7718AB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9E48FC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06C058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5B1CF63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011E849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9A66201"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1989539"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Diarrhea</w:t>
            </w:r>
          </w:p>
        </w:tc>
        <w:tc>
          <w:tcPr>
            <w:tcW w:w="992" w:type="dxa"/>
            <w:noWrap/>
          </w:tcPr>
          <w:p w14:paraId="25A15C2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A58F4F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01BB3B3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06DB1F59"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1F4E4A91"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98F4DBF"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r w:rsidR="00535E04" w:rsidRPr="00F410FB" w14:paraId="1E4C9808"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F0A98BD"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Urination</w:t>
            </w:r>
          </w:p>
        </w:tc>
        <w:tc>
          <w:tcPr>
            <w:tcW w:w="992" w:type="dxa"/>
            <w:noWrap/>
          </w:tcPr>
          <w:p w14:paraId="04928117"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036EF2F3"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26B127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70B0564A"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37EB46C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806F75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2DADAAB0"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B713E4C"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Skin colour</w:t>
            </w:r>
          </w:p>
        </w:tc>
        <w:tc>
          <w:tcPr>
            <w:tcW w:w="992" w:type="dxa"/>
            <w:noWrap/>
          </w:tcPr>
          <w:p w14:paraId="426FF02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B5DF73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3EE2D9E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1FCDEDE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tcPr>
          <w:p w14:paraId="3A2C63E0"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c>
          <w:tcPr>
            <w:tcW w:w="1134" w:type="dxa"/>
            <w:noWrap/>
          </w:tcPr>
          <w:p w14:paraId="5400619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Normal</w:t>
            </w:r>
          </w:p>
        </w:tc>
      </w:tr>
      <w:tr w:rsidR="00535E04" w:rsidRPr="00F410FB" w14:paraId="6E5D8DCD"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A79F5EE"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Drowsiness</w:t>
            </w:r>
          </w:p>
        </w:tc>
        <w:tc>
          <w:tcPr>
            <w:tcW w:w="992" w:type="dxa"/>
            <w:noWrap/>
          </w:tcPr>
          <w:p w14:paraId="33DC9D0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181E3A6"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5F072EAB"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1964E6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6E49CD8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205EC2A2"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r w:rsidR="00535E04" w:rsidRPr="00F410FB" w14:paraId="1FB680D3" w14:textId="77777777" w:rsidTr="00535E04">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615E038" w14:textId="77777777" w:rsidR="00535E04" w:rsidRPr="009E3253" w:rsidRDefault="00F14ED7" w:rsidP="00DD03CF">
            <w:pPr>
              <w:spacing w:before="240"/>
              <w:contextualSpacing/>
              <w:jc w:val="center"/>
              <w:rPr>
                <w:b w:val="0"/>
                <w:bCs w:val="0"/>
                <w:color w:val="000000"/>
                <w:sz w:val="20"/>
                <w:szCs w:val="20"/>
              </w:rPr>
            </w:pPr>
            <w:r w:rsidRPr="009E3253">
              <w:rPr>
                <w:b w:val="0"/>
                <w:bCs w:val="0"/>
                <w:color w:val="000000"/>
                <w:sz w:val="20"/>
                <w:szCs w:val="20"/>
              </w:rPr>
              <w:t>Erection of Fur</w:t>
            </w:r>
          </w:p>
        </w:tc>
        <w:tc>
          <w:tcPr>
            <w:tcW w:w="992" w:type="dxa"/>
            <w:noWrap/>
          </w:tcPr>
          <w:p w14:paraId="604789CD"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37E65EC"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318F085"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3ECFD35E"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tcPr>
          <w:p w14:paraId="45EC87B4"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c>
          <w:tcPr>
            <w:tcW w:w="1134" w:type="dxa"/>
            <w:noWrap/>
          </w:tcPr>
          <w:p w14:paraId="1E1ED3F8" w14:textId="77777777" w:rsidR="00535E04" w:rsidRPr="009E3253" w:rsidRDefault="00F14ED7" w:rsidP="00DD03CF">
            <w:pPr>
              <w:spacing w:before="240"/>
              <w:contextualSpacing/>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E3253">
              <w:rPr>
                <w:color w:val="000000"/>
                <w:sz w:val="20"/>
                <w:szCs w:val="20"/>
              </w:rPr>
              <w:t>Not observed</w:t>
            </w:r>
          </w:p>
        </w:tc>
      </w:tr>
    </w:tbl>
    <w:p w14:paraId="03BE3851" w14:textId="6052CF42" w:rsidR="00535E04" w:rsidRPr="00F410FB" w:rsidRDefault="00F14ED7" w:rsidP="00F16B2B">
      <w:pPr>
        <w:kinsoku w:val="0"/>
        <w:overflowPunct w:val="0"/>
        <w:autoSpaceDE w:val="0"/>
        <w:autoSpaceDN w:val="0"/>
        <w:adjustRightInd w:val="0"/>
        <w:spacing w:before="240" w:line="261" w:lineRule="auto"/>
        <w:ind w:right="106"/>
        <w:jc w:val="both"/>
      </w:pPr>
      <w:r w:rsidRPr="00F410FB">
        <w:lastRenderedPageBreak/>
        <w:t xml:space="preserve">The acute toxicity study was carried out as per OECD technical guideline 425. The observations, results and interpretation were done by a qualified veterinary expert. Our findings indicated that the extract at doses up to 5000 mg/kg body weight imparted neither visible signs of toxicity nor mortality in rats, suggesting its safety. No animals were withdrawn from the study for any reason during the observation period.  </w:t>
      </w:r>
      <w:r w:rsidR="00D02161" w:rsidRPr="00F410FB">
        <w:t>These</w:t>
      </w:r>
      <w:r w:rsidRPr="00F410FB">
        <w:t xml:space="preserve"> results agree with studies by Ya’u </w:t>
      </w:r>
      <w:r w:rsidRPr="00F410FB">
        <w:rPr>
          <w:i/>
          <w:iCs/>
        </w:rPr>
        <w:t>et al</w:t>
      </w:r>
      <w:r w:rsidR="00D02161" w:rsidRPr="00F410FB">
        <w:rPr>
          <w:vertAlign w:val="superscript"/>
        </w:rPr>
        <w:t xml:space="preserve"> </w:t>
      </w:r>
      <w:r w:rsidR="00D02161" w:rsidRPr="00F410FB">
        <w:t>(2013)</w:t>
      </w:r>
      <w:r w:rsidR="007A3772">
        <w:rPr>
          <w:vertAlign w:val="superscript"/>
        </w:rPr>
        <w:t>30</w:t>
      </w:r>
      <w:r w:rsidRPr="00F410FB">
        <w:t xml:space="preserve"> where the LD50 of the </w:t>
      </w:r>
      <w:r w:rsidRPr="00F410FB">
        <w:rPr>
          <w:lang w:val="en-US"/>
        </w:rPr>
        <w:t>S</w:t>
      </w:r>
      <w:r w:rsidRPr="00F410FB">
        <w:rPr>
          <w:i/>
          <w:iCs/>
        </w:rPr>
        <w:t xml:space="preserve">. </w:t>
      </w:r>
      <w:r w:rsidR="00FA4343" w:rsidRPr="00FA4343">
        <w:rPr>
          <w:i/>
          <w:iCs/>
          <w:lang w:val="en-US"/>
        </w:rPr>
        <w:t>Incanum</w:t>
      </w:r>
      <w:r w:rsidRPr="00F410FB">
        <w:t xml:space="preserve"> extract was estimated to be &gt; 5000 mg/kg body weight. Our extracts were deemed non-toxic, based on the toxicity classiﬁcation proposed by Loomis and Hayes, which categorise substances with LD50 values from 500 to 5000 mg/kg as slightly toxic and those with LD50 values 5000 to 15,000 mg/kg body weight are regarded as practically non-toxic</w:t>
      </w:r>
      <w:r w:rsidR="007A3772">
        <w:rPr>
          <w:vertAlign w:val="superscript"/>
        </w:rPr>
        <w:t>31</w:t>
      </w:r>
      <w:r w:rsidRPr="00F410FB">
        <w:t xml:space="preserve"> (Loomis and Hayes, 1996). This therefore implies that the use of high extract concentrations to achieve the desired bioactivity effects will not pose any toxicity in </w:t>
      </w:r>
      <w:r w:rsidRPr="00F410FB">
        <w:rPr>
          <w:lang w:val="en-US"/>
        </w:rPr>
        <w:t>S</w:t>
      </w:r>
      <w:r w:rsidRPr="00F410FB">
        <w:rPr>
          <w:i/>
        </w:rPr>
        <w:t xml:space="preserve">. </w:t>
      </w:r>
      <w:r w:rsidR="00FA4343" w:rsidRPr="00FA4343">
        <w:rPr>
          <w:i/>
          <w:lang w:val="en-US"/>
        </w:rPr>
        <w:t>Incanum</w:t>
      </w:r>
      <w:r w:rsidRPr="00F410FB">
        <w:t xml:space="preserve"> based treatments.</w:t>
      </w:r>
    </w:p>
    <w:p w14:paraId="33833772" w14:textId="77777777" w:rsidR="00535E04" w:rsidRPr="00F410FB" w:rsidRDefault="00F14ED7" w:rsidP="00DD03CF">
      <w:pPr>
        <w:pStyle w:val="Heading2"/>
        <w:spacing w:before="240"/>
        <w:rPr>
          <w:rFonts w:ascii="Times New Roman" w:hAnsi="Times New Roman" w:cs="Times New Roman"/>
          <w:szCs w:val="24"/>
        </w:rPr>
      </w:pPr>
      <w:r w:rsidRPr="00F410FB">
        <w:rPr>
          <w:rFonts w:ascii="Times New Roman" w:hAnsi="Times New Roman" w:cs="Times New Roman"/>
          <w:szCs w:val="24"/>
        </w:rPr>
        <w:t>Rat weights observations</w:t>
      </w:r>
    </w:p>
    <w:p w14:paraId="4BF2D6D9" w14:textId="4428108B" w:rsidR="00535E04" w:rsidRPr="00F410FB" w:rsidRDefault="002F636B" w:rsidP="00DD03CF">
      <w:pPr>
        <w:spacing w:before="240"/>
      </w:pPr>
      <w:r w:rsidRPr="00F410FB">
        <w:rPr>
          <w:noProof/>
        </w:rPr>
        <w:drawing>
          <wp:inline distT="0" distB="0" distL="0" distR="0" wp14:anchorId="500F836E" wp14:editId="7AECC7CF">
            <wp:extent cx="4572000" cy="2743200"/>
            <wp:effectExtent l="0" t="0" r="0" b="0"/>
            <wp:docPr id="1" name="Chart 1">
              <a:extLst xmlns:a="http://schemas.openxmlformats.org/drawingml/2006/main">
                <a:ext uri="{FF2B5EF4-FFF2-40B4-BE49-F238E27FC236}">
                  <a16:creationId xmlns:a16="http://schemas.microsoft.com/office/drawing/2014/main" id="{E78CC6FF-5261-45CB-801F-D4194C4F7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14ED7" w:rsidRPr="00F410FB">
        <w:t xml:space="preserve"> </w:t>
      </w:r>
    </w:p>
    <w:p w14:paraId="3E2912C8" w14:textId="2E47ADFD" w:rsidR="00535E04" w:rsidRPr="00F410FB" w:rsidRDefault="00F14ED7" w:rsidP="00DD03CF">
      <w:pPr>
        <w:pStyle w:val="Caption"/>
        <w:spacing w:before="240"/>
        <w:rPr>
          <w:sz w:val="24"/>
          <w:szCs w:val="24"/>
        </w:rPr>
      </w:pPr>
      <w:bookmarkStart w:id="16" w:name="Discussion"/>
      <w:bookmarkStart w:id="17" w:name="_bookmark0"/>
      <w:bookmarkStart w:id="18" w:name="_bookmark2"/>
      <w:bookmarkStart w:id="19" w:name="Histopathological_study"/>
      <w:bookmarkEnd w:id="16"/>
      <w:bookmarkEnd w:id="17"/>
      <w:bookmarkEnd w:id="18"/>
      <w:bookmarkEnd w:id="19"/>
      <w:r w:rsidRPr="00F410FB">
        <w:rPr>
          <w:sz w:val="24"/>
          <w:szCs w:val="24"/>
        </w:rPr>
        <w:t xml:space="preserve">Figure </w:t>
      </w:r>
      <w:r w:rsidR="003E08AA">
        <w:rPr>
          <w:sz w:val="24"/>
          <w:szCs w:val="24"/>
        </w:rPr>
        <w:t>6</w:t>
      </w:r>
      <w:r w:rsidRPr="00F410FB">
        <w:rPr>
          <w:sz w:val="24"/>
          <w:szCs w:val="24"/>
        </w:rPr>
        <w:t xml:space="preserve">: Observed rat weights during acute oral toxicity studies of </w:t>
      </w:r>
      <w:r w:rsidRPr="00F410FB">
        <w:rPr>
          <w:sz w:val="24"/>
          <w:szCs w:val="24"/>
          <w:lang w:val="en-US"/>
        </w:rPr>
        <w:t xml:space="preserve">S. </w:t>
      </w:r>
      <w:r w:rsidR="00FA4343" w:rsidRPr="00FA4343">
        <w:rPr>
          <w:sz w:val="24"/>
          <w:szCs w:val="24"/>
          <w:lang w:val="en-US"/>
        </w:rPr>
        <w:t>Incanum</w:t>
      </w:r>
    </w:p>
    <w:p w14:paraId="48C2553A" w14:textId="326DCD7A" w:rsidR="00535E04" w:rsidRPr="00F410FB" w:rsidRDefault="002F636B" w:rsidP="00DD03CF">
      <w:pPr>
        <w:kinsoku w:val="0"/>
        <w:overflowPunct w:val="0"/>
        <w:autoSpaceDE w:val="0"/>
        <w:autoSpaceDN w:val="0"/>
        <w:adjustRightInd w:val="0"/>
        <w:spacing w:before="240" w:line="261" w:lineRule="auto"/>
        <w:ind w:right="106"/>
        <w:jc w:val="both"/>
      </w:pPr>
      <w:commentRangeStart w:id="20"/>
      <w:r w:rsidRPr="00F410FB">
        <w:t>In toxicity studies, unexpected changes in body weight serve as a straightforward and sensitive indicator of adverse effects following exposure to certain substances. These fluctuations often reflect underlying toxic responses in test animals, helping researchers assess the potential impact of a material on overall health and</w:t>
      </w:r>
      <w:r w:rsidR="004C3B7B" w:rsidRPr="00F410FB">
        <w:t xml:space="preserve"> </w:t>
      </w:r>
      <w:r w:rsidRPr="00F410FB">
        <w:t>metabolism.</w:t>
      </w:r>
      <w:r w:rsidR="004C3B7B" w:rsidRPr="00F410FB">
        <w:t xml:space="preserve"> </w:t>
      </w:r>
      <w:r w:rsidR="00F14ED7" w:rsidRPr="00F410FB">
        <w:t xml:space="preserve">Progressive </w:t>
      </w:r>
      <w:r w:rsidR="004C3B7B" w:rsidRPr="00F410FB">
        <w:t>w</w:t>
      </w:r>
      <w:r w:rsidR="00F14ED7" w:rsidRPr="00F410FB">
        <w:t xml:space="preserve">eight loss or gain of animals is usually indicative of stress, failure to feed or a response to observed or underlying adverse health conditions. In the present study, the lyophilised extracts did not signiﬁcantly affect normal body weight growth during the study period suggesting that the extract did not alter rat growth at the concentrations investigated. </w:t>
      </w:r>
      <w:commentRangeEnd w:id="20"/>
      <w:r w:rsidR="003F4AE5">
        <w:rPr>
          <w:rStyle w:val="CommentReference"/>
        </w:rPr>
        <w:commentReference w:id="20"/>
      </w:r>
    </w:p>
    <w:p w14:paraId="624C725A" w14:textId="77777777" w:rsidR="00535E04" w:rsidRPr="00F410FB" w:rsidRDefault="00F14ED7" w:rsidP="00DD03CF">
      <w:pPr>
        <w:pStyle w:val="Heading1"/>
        <w:contextualSpacing/>
        <w:jc w:val="both"/>
        <w:rPr>
          <w:rFonts w:ascii="Times New Roman" w:hAnsi="Times New Roman" w:cs="Times New Roman"/>
          <w:szCs w:val="24"/>
        </w:rPr>
      </w:pPr>
      <w:r w:rsidRPr="00F410FB">
        <w:rPr>
          <w:rFonts w:ascii="Times New Roman" w:hAnsi="Times New Roman" w:cs="Times New Roman"/>
          <w:szCs w:val="24"/>
        </w:rPr>
        <w:t>Conclusions</w:t>
      </w:r>
    </w:p>
    <w:p w14:paraId="29CBD032" w14:textId="39709B4F" w:rsidR="00535E04" w:rsidRPr="00F410FB" w:rsidRDefault="00F14ED7" w:rsidP="00DD03CF">
      <w:pPr>
        <w:spacing w:before="240"/>
        <w:jc w:val="both"/>
      </w:pPr>
      <w:r w:rsidRPr="00F410FB">
        <w:rPr>
          <w:lang w:val="en-US"/>
        </w:rPr>
        <w:t>The lyophilized hydro-</w:t>
      </w:r>
      <w:r w:rsidR="004C3B7B" w:rsidRPr="00F410FB">
        <w:rPr>
          <w:lang w:val="en-US"/>
        </w:rPr>
        <w:t>m</w:t>
      </w:r>
      <w:r w:rsidRPr="00F410FB">
        <w:rPr>
          <w:lang w:val="en-US"/>
        </w:rPr>
        <w:t xml:space="preserve">ethanolic extracts derived from the aerial parts of S. incanum demonstrated significant antioxidant and antibacterial properties in our study. These pharmacological effects stem from the plant's rich composition of bioactive secondary metabolites, including lignins, phenolic compounds, flavonoids, and phytosterols, which </w:t>
      </w:r>
      <w:r w:rsidRPr="00F410FB">
        <w:rPr>
          <w:lang w:val="en-US"/>
        </w:rPr>
        <w:lastRenderedPageBreak/>
        <w:t xml:space="preserve">collectively contribute to its therapeutic potential. The presence of these phytochemicals explains the extract's effectiveness in promoting wound healing, particularly in treating burn injuries and pressure ulcers. Importantly, toxicological evaluation confirmed the safety of S. incanum, showing no adverse effects at doses up to 5000 mg/kg body weight. These findings from both biosafety assessments and bioactivity studies validate the traditional use of </w:t>
      </w:r>
      <w:commentRangeStart w:id="21"/>
      <w:r w:rsidRPr="00F410FB">
        <w:rPr>
          <w:lang w:val="en-US"/>
        </w:rPr>
        <w:t xml:space="preserve">S. </w:t>
      </w:r>
      <w:proofErr w:type="spellStart"/>
      <w:r w:rsidRPr="00F410FB">
        <w:rPr>
          <w:lang w:val="en-US"/>
        </w:rPr>
        <w:t>incanum</w:t>
      </w:r>
      <w:proofErr w:type="spellEnd"/>
      <w:r w:rsidRPr="00F410FB">
        <w:rPr>
          <w:lang w:val="en-US"/>
        </w:rPr>
        <w:t xml:space="preserve"> </w:t>
      </w:r>
      <w:commentRangeEnd w:id="21"/>
      <w:r w:rsidR="003F4AE5">
        <w:rPr>
          <w:rStyle w:val="CommentReference"/>
        </w:rPr>
        <w:commentReference w:id="21"/>
      </w:r>
      <w:r w:rsidRPr="00F410FB">
        <w:rPr>
          <w:lang w:val="en-US"/>
        </w:rPr>
        <w:t>in herbal medicine as a safe and effective wound healing agent, supporting its potential application in modern therapeutic formulations for skin repair and regeneration.</w:t>
      </w:r>
    </w:p>
    <w:p w14:paraId="536A481A" w14:textId="77777777" w:rsidR="00535E04" w:rsidRPr="00F410FB" w:rsidRDefault="00535E04" w:rsidP="00DD03CF">
      <w:pPr>
        <w:spacing w:before="240"/>
        <w:contextualSpacing/>
        <w:jc w:val="both"/>
      </w:pPr>
    </w:p>
    <w:p w14:paraId="1DB61D36" w14:textId="77777777" w:rsidR="002C4F47" w:rsidRPr="002C4F47" w:rsidRDefault="002C4F47" w:rsidP="002C4F47">
      <w:pPr>
        <w:pStyle w:val="Heading1"/>
        <w:contextualSpacing/>
        <w:jc w:val="both"/>
        <w:rPr>
          <w:rFonts w:ascii="Times New Roman" w:hAnsi="Times New Roman" w:cs="Times New Roman"/>
          <w:szCs w:val="24"/>
        </w:rPr>
      </w:pPr>
      <w:bookmarkStart w:id="22" w:name="_Hlk180402183"/>
      <w:r w:rsidRPr="002C4F47">
        <w:rPr>
          <w:rFonts w:ascii="Times New Roman" w:hAnsi="Times New Roman" w:cs="Times New Roman"/>
          <w:szCs w:val="24"/>
        </w:rPr>
        <w:t>Disclaimer (Artificial intelligence)</w:t>
      </w:r>
    </w:p>
    <w:p w14:paraId="6E8B5D15" w14:textId="77777777" w:rsidR="002C4F47" w:rsidRPr="002C4F47" w:rsidRDefault="002C4F47" w:rsidP="002C4F47">
      <w:pPr>
        <w:spacing w:after="200" w:line="276" w:lineRule="auto"/>
        <w:rPr>
          <w:lang w:val="en-US"/>
        </w:rPr>
      </w:pPr>
      <w:r w:rsidRPr="002C4F47">
        <w:rPr>
          <w:lang w:val="en-US"/>
        </w:rPr>
        <w:t xml:space="preserve">The Authors hereby declare that NO generative AI technologies such as Large Language Models (ChatGPT, COPILOT, etc.) and text-to-image generators have been used during the writing or editing of this manuscript. </w:t>
      </w:r>
    </w:p>
    <w:bookmarkEnd w:id="22"/>
    <w:p w14:paraId="1BB41B17" w14:textId="77777777" w:rsidR="00535E04" w:rsidRPr="00F410FB" w:rsidRDefault="00535E04" w:rsidP="00DD03CF">
      <w:pPr>
        <w:spacing w:before="240"/>
        <w:contextualSpacing/>
        <w:jc w:val="both"/>
      </w:pPr>
    </w:p>
    <w:p w14:paraId="6F680FB5" w14:textId="062F8433" w:rsidR="00F16B2B" w:rsidRPr="00F410FB" w:rsidRDefault="00F16B2B" w:rsidP="00DD03CF">
      <w:pPr>
        <w:spacing w:before="240"/>
        <w:contextualSpacing/>
        <w:jc w:val="both"/>
      </w:pPr>
    </w:p>
    <w:p w14:paraId="67EF4C4D" w14:textId="624F1384" w:rsidR="00F16B2B" w:rsidRPr="00F410FB" w:rsidRDefault="00F16B2B" w:rsidP="00DD03CF">
      <w:pPr>
        <w:spacing w:before="240"/>
        <w:contextualSpacing/>
        <w:jc w:val="both"/>
      </w:pPr>
    </w:p>
    <w:p w14:paraId="74CA451C" w14:textId="0ECA2BED" w:rsidR="00F16B2B" w:rsidRPr="00F410FB" w:rsidRDefault="00F16B2B" w:rsidP="00DD03CF">
      <w:pPr>
        <w:spacing w:before="240"/>
        <w:contextualSpacing/>
        <w:jc w:val="both"/>
      </w:pPr>
    </w:p>
    <w:p w14:paraId="7D03D42C" w14:textId="77777777" w:rsidR="00F16B2B" w:rsidRPr="00F410FB" w:rsidRDefault="00F16B2B" w:rsidP="00DD03CF">
      <w:pPr>
        <w:spacing w:before="240"/>
        <w:contextualSpacing/>
        <w:jc w:val="both"/>
      </w:pPr>
    </w:p>
    <w:p w14:paraId="78B0CD1D" w14:textId="139AAA4D" w:rsidR="00F410FB" w:rsidRPr="009E3253" w:rsidRDefault="009E3253" w:rsidP="009E3253">
      <w:pPr>
        <w:pStyle w:val="Heading1"/>
        <w:contextualSpacing/>
        <w:jc w:val="both"/>
        <w:rPr>
          <w:rFonts w:ascii="Times New Roman" w:hAnsi="Times New Roman" w:cs="Times New Roman"/>
          <w:szCs w:val="24"/>
        </w:rPr>
      </w:pPr>
      <w:r w:rsidRPr="009E3253">
        <w:rPr>
          <w:rFonts w:ascii="Times New Roman" w:hAnsi="Times New Roman" w:cs="Times New Roman"/>
          <w:szCs w:val="24"/>
        </w:rPr>
        <w:t xml:space="preserve">References </w:t>
      </w:r>
    </w:p>
    <w:p w14:paraId="121701CE" w14:textId="77777777" w:rsidR="00371E85" w:rsidRDefault="00F410FB" w:rsidP="00371E85">
      <w:pPr>
        <w:pStyle w:val="NormalWeb"/>
        <w:numPr>
          <w:ilvl w:val="0"/>
          <w:numId w:val="4"/>
        </w:numPr>
        <w:spacing w:after="240"/>
        <w:jc w:val="both"/>
      </w:pPr>
      <w:r w:rsidRPr="00F410FB">
        <w:t>Akobundu IO and Agyakwa CW (1998) A Handbook of West 170 African Weeds. International Institute of Tropical Agri</w:t>
      </w:r>
      <w:r w:rsidR="006C115D">
        <w:t>culture, Ibadan, Nigeria, 564</w:t>
      </w:r>
    </w:p>
    <w:p w14:paraId="4A094520" w14:textId="77777777" w:rsidR="00371E85" w:rsidRDefault="006C115D" w:rsidP="00371E85">
      <w:pPr>
        <w:pStyle w:val="NormalWeb"/>
        <w:numPr>
          <w:ilvl w:val="0"/>
          <w:numId w:val="4"/>
        </w:numPr>
        <w:spacing w:after="240"/>
        <w:jc w:val="both"/>
      </w:pPr>
      <w:r w:rsidRPr="00F410FB">
        <w:t xml:space="preserve">Dakone, D., Guadie, A., 2016. A review on ethnomedicinal use, nutritional value, phytochemistry and pharmacological characteristics of </w:t>
      </w:r>
      <w:r w:rsidRPr="00371E85">
        <w:rPr>
          <w:i/>
        </w:rPr>
        <w:t>S. incanum</w:t>
      </w:r>
      <w:r w:rsidRPr="00F410FB">
        <w:t xml:space="preserve"> L. An important medicinal plant 5.</w:t>
      </w:r>
      <w:r w:rsidRPr="006C115D">
        <w:t xml:space="preserve"> </w:t>
      </w:r>
    </w:p>
    <w:p w14:paraId="11446B77" w14:textId="77777777" w:rsidR="00371E85" w:rsidRDefault="006C115D" w:rsidP="00371E85">
      <w:pPr>
        <w:pStyle w:val="NormalWeb"/>
        <w:numPr>
          <w:ilvl w:val="0"/>
          <w:numId w:val="4"/>
        </w:numPr>
        <w:spacing w:after="240"/>
        <w:jc w:val="both"/>
      </w:pPr>
      <w:r w:rsidRPr="00F410FB">
        <w:t xml:space="preserve">Mbaya, B. and Muhammed, S., 1976. Antibiotic action of </w:t>
      </w:r>
      <w:r w:rsidRPr="00371E85">
        <w:rPr>
          <w:i/>
        </w:rPr>
        <w:t>S. incanum</w:t>
      </w:r>
      <w:r w:rsidRPr="00F410FB">
        <w:t xml:space="preserve"> L. Anti-microb. Agents Chemother, 6, pp.920-927</w:t>
      </w:r>
    </w:p>
    <w:p w14:paraId="18555D2D" w14:textId="77777777" w:rsidR="00371E85" w:rsidRDefault="00731C21" w:rsidP="00371E85">
      <w:pPr>
        <w:pStyle w:val="NormalWeb"/>
        <w:numPr>
          <w:ilvl w:val="0"/>
          <w:numId w:val="4"/>
        </w:numPr>
        <w:spacing w:after="240"/>
        <w:jc w:val="both"/>
      </w:pPr>
      <w:r w:rsidRPr="00F410FB">
        <w:t xml:space="preserve">Giday, M., Asfaw, Z., Woldu, Z., Teklehaymanot, T., 2009. Medicinal plant knowledge of the Bench ethnic group of Ethiopia: an ethnobotanical investigation. Journal of Ethnobiology and Ethnomedicine 5, 34. </w:t>
      </w:r>
    </w:p>
    <w:p w14:paraId="321632AA" w14:textId="77777777" w:rsidR="00F62615" w:rsidRPr="00F62615" w:rsidRDefault="006C115D" w:rsidP="00371E85">
      <w:pPr>
        <w:pStyle w:val="NormalWeb"/>
        <w:numPr>
          <w:ilvl w:val="0"/>
          <w:numId w:val="4"/>
        </w:numPr>
        <w:spacing w:after="240"/>
        <w:jc w:val="both"/>
      </w:pPr>
      <w:r w:rsidRPr="00371E85">
        <w:rPr>
          <w:color w:val="222222"/>
          <w:shd w:val="clear" w:color="auto" w:fill="FFFFFF"/>
        </w:rPr>
        <w:t xml:space="preserve">Qureshi, Z.Q., Taous Khan, T.K., Shah, A.J. and Fazli Wahid, F.W., 2019. </w:t>
      </w:r>
      <w:r w:rsidRPr="00371E85">
        <w:rPr>
          <w:i/>
          <w:color w:val="222222"/>
          <w:shd w:val="clear" w:color="auto" w:fill="FFFFFF"/>
        </w:rPr>
        <w:t>S. incanum</w:t>
      </w:r>
      <w:r w:rsidRPr="00371E85">
        <w:rPr>
          <w:color w:val="222222"/>
          <w:shd w:val="clear" w:color="auto" w:fill="FFFFFF"/>
        </w:rPr>
        <w:t xml:space="preserve"> extract enhances wound healing and tissue regeneration in burn mice model.</w:t>
      </w:r>
    </w:p>
    <w:p w14:paraId="0137DDF3" w14:textId="77777777" w:rsidR="00F62615" w:rsidRDefault="00731C21" w:rsidP="00371E85">
      <w:pPr>
        <w:pStyle w:val="NormalWeb"/>
        <w:numPr>
          <w:ilvl w:val="0"/>
          <w:numId w:val="4"/>
        </w:numPr>
        <w:spacing w:after="240"/>
        <w:jc w:val="both"/>
      </w:pPr>
      <w:r w:rsidRPr="00F62615">
        <w:rPr>
          <w:color w:val="222222"/>
          <w:shd w:val="clear" w:color="auto" w:fill="FFFFFF"/>
        </w:rPr>
        <w:t>Ali, H. and Qaiser, M.J.P.J.B., 2009. The ethnobotany of Chitral valley, Pakistan with particular reference to medicinal plants. </w:t>
      </w:r>
      <w:r w:rsidRPr="00F62615">
        <w:rPr>
          <w:i/>
          <w:iCs/>
          <w:color w:val="222222"/>
          <w:shd w:val="clear" w:color="auto" w:fill="FFFFFF"/>
        </w:rPr>
        <w:t>Pak. J. Bot</w:t>
      </w:r>
      <w:r w:rsidRPr="00F62615">
        <w:rPr>
          <w:color w:val="222222"/>
          <w:shd w:val="clear" w:color="auto" w:fill="FFFFFF"/>
        </w:rPr>
        <w:t>, </w:t>
      </w:r>
      <w:r w:rsidRPr="00F62615">
        <w:rPr>
          <w:i/>
          <w:iCs/>
          <w:color w:val="222222"/>
          <w:shd w:val="clear" w:color="auto" w:fill="FFFFFF"/>
        </w:rPr>
        <w:t>41</w:t>
      </w:r>
      <w:r w:rsidRPr="00F62615">
        <w:rPr>
          <w:color w:val="222222"/>
          <w:shd w:val="clear" w:color="auto" w:fill="FFFFFF"/>
        </w:rPr>
        <w:t>(4), pp.2009-2041.</w:t>
      </w:r>
    </w:p>
    <w:p w14:paraId="09B1EB3D" w14:textId="77777777" w:rsidR="00F62615" w:rsidRDefault="00731C21" w:rsidP="00371E85">
      <w:pPr>
        <w:pStyle w:val="NormalWeb"/>
        <w:numPr>
          <w:ilvl w:val="0"/>
          <w:numId w:val="4"/>
        </w:numPr>
        <w:spacing w:after="240"/>
        <w:jc w:val="both"/>
      </w:pPr>
      <w:r w:rsidRPr="00F410FB">
        <w:t>Teklehaymanot, T. and Giday, M., 2007. Ethnobotanical study of medicinal plants used by people in Zegie Peninsula, Northwestern Ethiopia. Journal of ethnobiology and Ethnomedicine, 3, pp.1-11.</w:t>
      </w:r>
    </w:p>
    <w:p w14:paraId="74C28837" w14:textId="77777777" w:rsidR="00F62615" w:rsidRDefault="00731C21" w:rsidP="00371E85">
      <w:pPr>
        <w:pStyle w:val="NormalWeb"/>
        <w:numPr>
          <w:ilvl w:val="0"/>
          <w:numId w:val="4"/>
        </w:numPr>
        <w:spacing w:after="240"/>
        <w:jc w:val="both"/>
      </w:pPr>
      <w:r w:rsidRPr="00F410FB">
        <w:t xml:space="preserve">Giday, M., Asfaw, Z., Elmqvist, T., Woldu, Z., 2003. An ethnobotanical study of medicinal plants used by the Zay people in Ethiopia. Journal of Ethnopharmacology 85, 43–52. </w:t>
      </w:r>
    </w:p>
    <w:p w14:paraId="146E6F26" w14:textId="77777777" w:rsidR="00F62615" w:rsidRPr="00F62615" w:rsidRDefault="00731C21" w:rsidP="00371E85">
      <w:pPr>
        <w:pStyle w:val="NormalWeb"/>
        <w:numPr>
          <w:ilvl w:val="0"/>
          <w:numId w:val="4"/>
        </w:numPr>
        <w:spacing w:after="240"/>
        <w:jc w:val="both"/>
      </w:pPr>
      <w:r w:rsidRPr="00F62615">
        <w:rPr>
          <w:color w:val="222222"/>
          <w:shd w:val="clear" w:color="auto" w:fill="FFFFFF"/>
          <w:lang w:val="en-US"/>
        </w:rPr>
        <w:t>Bessa, L.J., Fazii, P., Di Giulio, M. and Cellini, L., 2015. Bacterial isolates from infected wounds and their antibiotic susceptibility pattern: some remarks about wound infection. International wound journal, 12(1), pp.47-52.</w:t>
      </w:r>
    </w:p>
    <w:p w14:paraId="2BEAB583" w14:textId="77777777" w:rsidR="00F62615" w:rsidRPr="00F62615" w:rsidRDefault="00731C21" w:rsidP="00371E85">
      <w:pPr>
        <w:pStyle w:val="NormalWeb"/>
        <w:numPr>
          <w:ilvl w:val="0"/>
          <w:numId w:val="4"/>
        </w:numPr>
        <w:spacing w:after="240"/>
        <w:jc w:val="both"/>
      </w:pPr>
      <w:r w:rsidRPr="00F62615">
        <w:rPr>
          <w:color w:val="222222"/>
          <w:shd w:val="clear" w:color="auto" w:fill="FFFFFF"/>
          <w:lang w:val="en-US"/>
        </w:rPr>
        <w:t>Breijyeh, Z. and Karaman, R., 2024. Antibacterial activity of medicinal plants and their role in wound healing. Future Journal of Pharmaceutical Sciences, 10(1), p.68.</w:t>
      </w:r>
    </w:p>
    <w:p w14:paraId="0A46E8F1" w14:textId="77777777" w:rsidR="00F62615" w:rsidRPr="00F62615" w:rsidRDefault="00731C21" w:rsidP="00371E85">
      <w:pPr>
        <w:pStyle w:val="NormalWeb"/>
        <w:numPr>
          <w:ilvl w:val="0"/>
          <w:numId w:val="4"/>
        </w:numPr>
        <w:spacing w:after="240"/>
        <w:jc w:val="both"/>
      </w:pPr>
      <w:r w:rsidRPr="00F62615">
        <w:rPr>
          <w:color w:val="222222"/>
          <w:shd w:val="clear" w:color="FFFFFF" w:fill="FFFFFF"/>
          <w:lang w:val="en-US"/>
        </w:rPr>
        <w:t xml:space="preserve">Portou, M.J., Baker, D., Abraham, D. and Tsui, J., 2015. The innate immune system, toll-like receptors and dermal wound healing: A review. Vascular pharmacology, 71, pp.31-36. </w:t>
      </w:r>
    </w:p>
    <w:p w14:paraId="407F1A37" w14:textId="77777777" w:rsidR="00F62615" w:rsidRPr="00F62615" w:rsidRDefault="00BE24F9" w:rsidP="00371E85">
      <w:pPr>
        <w:pStyle w:val="NormalWeb"/>
        <w:numPr>
          <w:ilvl w:val="0"/>
          <w:numId w:val="4"/>
        </w:numPr>
        <w:spacing w:after="240"/>
        <w:jc w:val="both"/>
      </w:pPr>
      <w:r w:rsidRPr="00F62615">
        <w:rPr>
          <w:color w:val="222222"/>
          <w:shd w:val="clear" w:color="auto" w:fill="FFFFFF"/>
        </w:rPr>
        <w:lastRenderedPageBreak/>
        <w:t>Shah, A. and Amini-Nik, S., 2017. The role of phytochemicals in the inflammatory phase of wound healing. </w:t>
      </w:r>
      <w:r w:rsidRPr="00F62615">
        <w:rPr>
          <w:i/>
          <w:iCs/>
          <w:color w:val="222222"/>
          <w:shd w:val="clear" w:color="auto" w:fill="FFFFFF"/>
        </w:rPr>
        <w:t>International journal of molecular sciences</w:t>
      </w:r>
      <w:r w:rsidRPr="00F62615">
        <w:rPr>
          <w:color w:val="222222"/>
          <w:shd w:val="clear" w:color="auto" w:fill="FFFFFF"/>
        </w:rPr>
        <w:t>, </w:t>
      </w:r>
      <w:r w:rsidRPr="00F62615">
        <w:rPr>
          <w:i/>
          <w:iCs/>
          <w:color w:val="222222"/>
          <w:shd w:val="clear" w:color="auto" w:fill="FFFFFF"/>
        </w:rPr>
        <w:t>18</w:t>
      </w:r>
      <w:r w:rsidRPr="00F62615">
        <w:rPr>
          <w:color w:val="222222"/>
          <w:shd w:val="clear" w:color="auto" w:fill="FFFFFF"/>
        </w:rPr>
        <w:t>(5), p.1068.</w:t>
      </w:r>
    </w:p>
    <w:p w14:paraId="196095ED"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Guo, S. al, and Luisa A. DiPietro. "Factors affecting wound healing." Journal of dental research 89, no. 3 (2010): 219-229</w:t>
      </w:r>
    </w:p>
    <w:p w14:paraId="0D36C0F0" w14:textId="77777777" w:rsidR="00F62615" w:rsidRPr="00F62615" w:rsidRDefault="00DB7423" w:rsidP="00731C21">
      <w:pPr>
        <w:pStyle w:val="NormalWeb"/>
        <w:numPr>
          <w:ilvl w:val="0"/>
          <w:numId w:val="4"/>
        </w:numPr>
        <w:spacing w:after="240"/>
        <w:jc w:val="both"/>
      </w:pPr>
      <w:r w:rsidRPr="00F62615">
        <w:rPr>
          <w:color w:val="222222"/>
          <w:shd w:val="clear" w:color="auto" w:fill="FFFFFF"/>
        </w:rPr>
        <w:t>Mwonjoria, J.K., Kariuki, H.N. and Waweru, F.N., 2011. The antinociceptive antipyretic effects of Solanum incanum (Linneaus) in animal models. </w:t>
      </w:r>
      <w:r w:rsidRPr="00F62615">
        <w:rPr>
          <w:i/>
          <w:iCs/>
          <w:color w:val="222222"/>
          <w:shd w:val="clear" w:color="auto" w:fill="FFFFFF"/>
        </w:rPr>
        <w:t>International Journal</w:t>
      </w:r>
      <w:r w:rsidRPr="00F62615">
        <w:rPr>
          <w:color w:val="222222"/>
          <w:shd w:val="clear" w:color="auto" w:fill="FFFFFF"/>
        </w:rPr>
        <w:t>, </w:t>
      </w:r>
      <w:r w:rsidRPr="00F62615">
        <w:rPr>
          <w:i/>
          <w:iCs/>
          <w:color w:val="222222"/>
          <w:shd w:val="clear" w:color="auto" w:fill="FFFFFF"/>
        </w:rPr>
        <w:t>2229</w:t>
      </w:r>
      <w:r w:rsidRPr="00F62615">
        <w:rPr>
          <w:color w:val="222222"/>
          <w:shd w:val="clear" w:color="auto" w:fill="FFFFFF"/>
        </w:rPr>
        <w:t>, p.7472.</w:t>
      </w:r>
    </w:p>
    <w:p w14:paraId="3851BF19"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Alemu, M., Lulekal, E., Asfaw, Z., Warkineh, B., Debella, A., Abebe, A., Degu, S. &amp; Debebe, E., 2024. Antibacterial activity and phytochemical screening of traditional medicinal plants most preferred for treating infectious diseases in Habru District, North Wollo Zone, Amhara Region, Ethiopia. PL</w:t>
      </w:r>
      <w:r w:rsidR="00F62615">
        <w:rPr>
          <w:color w:val="222222"/>
          <w:shd w:val="clear" w:color="auto" w:fill="FFFFFF"/>
          <w:lang w:val="en-US"/>
        </w:rPr>
        <w:t>oS One, 19(3), p.e0300060. DOI:</w:t>
      </w:r>
      <w:r w:rsidRPr="00F62615">
        <w:rPr>
          <w:color w:val="222222"/>
          <w:shd w:val="clear" w:color="auto" w:fill="FFFFFF"/>
          <w:lang w:val="en-US"/>
        </w:rPr>
        <w:t>10.1371/journal.pone.0300060.J</w:t>
      </w:r>
    </w:p>
    <w:p w14:paraId="06EF6B28" w14:textId="77777777" w:rsidR="00F62615" w:rsidRPr="00F62615" w:rsidRDefault="00731C21" w:rsidP="00731C21">
      <w:pPr>
        <w:pStyle w:val="NormalWeb"/>
        <w:numPr>
          <w:ilvl w:val="0"/>
          <w:numId w:val="4"/>
        </w:numPr>
        <w:spacing w:after="240"/>
        <w:jc w:val="both"/>
      </w:pPr>
      <w:r w:rsidRPr="00F62615">
        <w:rPr>
          <w:color w:val="222222"/>
          <w:shd w:val="clear" w:color="auto" w:fill="FFFFFF"/>
          <w:lang w:val="en-US"/>
        </w:rPr>
        <w:t>Kebede, T., Gadisa, E. &amp; Tufa, A., 2021. Antimicrobial activities evaluation and phytochemical screening of some selected medicinal plants: A possible alternative in the treatment of multidrug-resistant microbes. PLoS One, 16(3), p.e0249253. DOI: 10.1371/journal.pone.0249253.</w:t>
      </w:r>
    </w:p>
    <w:p w14:paraId="0B755C5A" w14:textId="77777777" w:rsidR="00F62615" w:rsidRPr="00F62615" w:rsidRDefault="00731C21" w:rsidP="00BC4009">
      <w:pPr>
        <w:pStyle w:val="NormalWeb"/>
        <w:numPr>
          <w:ilvl w:val="0"/>
          <w:numId w:val="4"/>
        </w:numPr>
        <w:spacing w:after="240"/>
        <w:jc w:val="both"/>
      </w:pPr>
      <w:r w:rsidRPr="00F62615">
        <w:rPr>
          <w:color w:val="222222"/>
          <w:shd w:val="clear" w:color="auto" w:fill="FFFFFF"/>
          <w:lang w:val="en-US"/>
        </w:rPr>
        <w:t xml:space="preserve">Jaafar, H.Z., Ibrahim, M.H. &amp; Karimi, E., 2012. Phenolics and flavonoids compounds, phenylalanine ammonia lyase and antioxidant activity responses to elevated CO₂ in Labisia pumila (Myrisinaceae). Molecules, 17(6), pp.6331-6347. </w:t>
      </w:r>
    </w:p>
    <w:p w14:paraId="1C192F2B" w14:textId="77777777" w:rsidR="00F62615" w:rsidRDefault="00BC4009" w:rsidP="00731C21">
      <w:pPr>
        <w:pStyle w:val="NormalWeb"/>
        <w:numPr>
          <w:ilvl w:val="0"/>
          <w:numId w:val="4"/>
        </w:numPr>
        <w:spacing w:after="240"/>
        <w:jc w:val="both"/>
      </w:pPr>
      <w:r w:rsidRPr="00F62615">
        <w:rPr>
          <w:color w:val="222222"/>
          <w:shd w:val="clear" w:color="auto" w:fill="FFFFFF"/>
          <w:lang w:val="en-US"/>
        </w:rPr>
        <w:t>Brainly, 2025. Keller-Kiliani test for cardiac glycosides. Available at: &lt;https://brainly.in/question/10471653&gt; [Accessed 24 Apr. 2025].</w:t>
      </w:r>
    </w:p>
    <w:p w14:paraId="74B548EC" w14:textId="77777777" w:rsidR="00F62615" w:rsidRPr="00F62615" w:rsidRDefault="00BC4009" w:rsidP="00BC4009">
      <w:pPr>
        <w:pStyle w:val="NormalWeb"/>
        <w:numPr>
          <w:ilvl w:val="0"/>
          <w:numId w:val="4"/>
        </w:numPr>
        <w:spacing w:after="240"/>
        <w:jc w:val="both"/>
      </w:pPr>
      <w:r w:rsidRPr="00F62615">
        <w:rPr>
          <w:color w:val="222222"/>
          <w:shd w:val="clear" w:color="auto" w:fill="FFFFFF"/>
          <w:lang w:val="en-US"/>
        </w:rPr>
        <w:t>Hongzhen, L., Danli, L., Xiaoxian, W. &amp; Liching, T., 2005. Determination of phenolic preservatives in gelatin and vacant capsules for medicine use by ion-suppression reversed-phase high-performance liquid chromatography. Journal of Pharmaceutical and Biomedical Analysis, 37(2), pp.369-372. DOI: 10.1016/j.jpba.2004.11.001</w:t>
      </w:r>
    </w:p>
    <w:p w14:paraId="6DB0EBB5" w14:textId="77777777" w:rsidR="00F62615" w:rsidRDefault="00BC4009" w:rsidP="00731C21">
      <w:pPr>
        <w:pStyle w:val="NormalWeb"/>
        <w:numPr>
          <w:ilvl w:val="0"/>
          <w:numId w:val="4"/>
        </w:numPr>
        <w:spacing w:after="240"/>
        <w:jc w:val="both"/>
      </w:pPr>
      <w:r w:rsidRPr="00F62615">
        <w:rPr>
          <w:color w:val="222222"/>
          <w:shd w:val="clear" w:color="auto" w:fill="FFFFFF"/>
          <w:lang w:val="en-US"/>
        </w:rPr>
        <w:t>Rai, S., Kafle, A., Devkota, H.P. &amp; Bhattarai, A., 2023. Characterization of saponins from the leaves and stem bark of Jatropha curcas L. for surface-active properties. Heliyon, 9(5), p.e15807. DOI: 10.1016/j.heliyon.2023.e15807.</w:t>
      </w:r>
    </w:p>
    <w:p w14:paraId="71069C78" w14:textId="77777777" w:rsidR="00F62615" w:rsidRPr="00F62615" w:rsidRDefault="00BC4009" w:rsidP="00C00E8E">
      <w:pPr>
        <w:pStyle w:val="NormalWeb"/>
        <w:numPr>
          <w:ilvl w:val="0"/>
          <w:numId w:val="4"/>
        </w:numPr>
        <w:spacing w:after="240"/>
        <w:jc w:val="both"/>
      </w:pPr>
      <w:r w:rsidRPr="00F62615">
        <w:rPr>
          <w:color w:val="222222"/>
          <w:shd w:val="clear" w:color="auto" w:fill="FFFFFF"/>
          <w:lang w:val="en-US"/>
        </w:rPr>
        <w:t xml:space="preserve">Pérez, M., Dominguez-López, I. &amp; Lamuela-Raventós, R.M., 2023. The Chemistry Behind the Folin-Ciocalteu Method for the Estimation of (Poly)phenol Content in Food: Total Phenolic Intake in a Mediterranean Dietary Pattern. Journal of Agricultural and Food Chemistry, 71(46), pp.17543-17553. </w:t>
      </w:r>
    </w:p>
    <w:p w14:paraId="3E2FFE0F"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Ramos, R.T.M., Bezerra, I.C.F., Ferreira, M.R.A. &amp; Soares, L.A.L., 2017. Spectrophotometric Quantification of Flavonoids in Herbal Material, Crude Extract, and Fractions from Leaves of Eugenia uniflora Linn. Pharmacognosy Research, 9(3), pp.253-260. DOI: 10.4103/pr.pr_143_16.Shah, A. and Amini-Nik, S., 2017. The role of phytochemicals in the inflammatory phase of wound healing. International journal of molecular sciences, 18(5), p.1068.</w:t>
      </w:r>
    </w:p>
    <w:p w14:paraId="05A2B877"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Chifamba, J., Addae, A.J., Zengeni, S., Pomerai, M. &amp; Kurebgaseka, N., 2024. Lyophilised Aloe Excelsa fractions, photo-protection and actinic damage retardation claims substantiation. Journal of Complementary and Alternative Medical Research, 25(5), pp.37-52. DOI: 10.9734/jocamr/2024/v25i5536.</w:t>
      </w:r>
    </w:p>
    <w:p w14:paraId="798CD604" w14:textId="77777777" w:rsidR="00F62615" w:rsidRPr="00F62615" w:rsidRDefault="00C00E8E" w:rsidP="00C00E8E">
      <w:pPr>
        <w:pStyle w:val="NormalWeb"/>
        <w:numPr>
          <w:ilvl w:val="0"/>
          <w:numId w:val="4"/>
        </w:numPr>
        <w:spacing w:after="240"/>
        <w:jc w:val="both"/>
      </w:pPr>
      <w:r w:rsidRPr="00F62615">
        <w:rPr>
          <w:lang w:val="en-US"/>
        </w:rPr>
        <w:t>Elfakhrany, A., Abo-Elsoud, R.A.E.A., Abd El Kareem, H.M., Samaka, R.M. &amp; Elfiky, S.R., 2022. Autophagy and Oxidative Balance Mediate the Effect of Carvedilol and Glibenclamide in a Rat Model of Renal Ischemia-Reperfusion Injury. Open Access Macedonian Journal of Medical Sciences, 10(A), pp.1402-1410.</w:t>
      </w:r>
    </w:p>
    <w:p w14:paraId="54033C7E" w14:textId="77777777" w:rsidR="00F62615" w:rsidRPr="00F62615" w:rsidRDefault="00020662" w:rsidP="007A3772">
      <w:pPr>
        <w:pStyle w:val="NormalWeb"/>
        <w:numPr>
          <w:ilvl w:val="0"/>
          <w:numId w:val="4"/>
        </w:numPr>
        <w:spacing w:after="240"/>
        <w:jc w:val="both"/>
      </w:pPr>
      <w:r w:rsidRPr="00F62615">
        <w:rPr>
          <w:color w:val="222222"/>
          <w:shd w:val="clear" w:color="auto" w:fill="FFFFFF"/>
        </w:rPr>
        <w:t>Muruthi, C.W., Ngugi, M.P., Runo, S.M. and Mwitari, P.G., 2023. In vitro antioxidant activities of Carissa edulis ((Forssk) Vahl) and Pappea capensis (Eckyl. &amp; Zeyh) extracts. </w:t>
      </w:r>
      <w:r w:rsidRPr="00F62615">
        <w:rPr>
          <w:i/>
          <w:iCs/>
          <w:color w:val="222222"/>
          <w:shd w:val="clear" w:color="auto" w:fill="FFFFFF"/>
        </w:rPr>
        <w:t>Heliyon</w:t>
      </w:r>
      <w:r w:rsidRPr="00F62615">
        <w:rPr>
          <w:color w:val="222222"/>
          <w:shd w:val="clear" w:color="auto" w:fill="FFFFFF"/>
        </w:rPr>
        <w:t>, </w:t>
      </w:r>
      <w:r w:rsidRPr="00F62615">
        <w:rPr>
          <w:i/>
          <w:iCs/>
          <w:color w:val="222222"/>
          <w:shd w:val="clear" w:color="auto" w:fill="FFFFFF"/>
        </w:rPr>
        <w:t>9</w:t>
      </w:r>
      <w:r w:rsidRPr="00F62615">
        <w:rPr>
          <w:color w:val="222222"/>
          <w:shd w:val="clear" w:color="auto" w:fill="FFFFFF"/>
        </w:rPr>
        <w:t>(1).</w:t>
      </w:r>
    </w:p>
    <w:p w14:paraId="7F45CF30" w14:textId="77777777" w:rsidR="00F62615" w:rsidRPr="00F62615" w:rsidRDefault="007A3772" w:rsidP="007A3772">
      <w:pPr>
        <w:pStyle w:val="NormalWeb"/>
        <w:numPr>
          <w:ilvl w:val="0"/>
          <w:numId w:val="4"/>
        </w:numPr>
        <w:spacing w:after="240"/>
        <w:jc w:val="both"/>
      </w:pPr>
      <w:r w:rsidRPr="00F62615">
        <w:rPr>
          <w:color w:val="222222"/>
          <w:shd w:val="clear" w:color="FFFFFF" w:fill="FFFFFF"/>
          <w:lang w:val="en-US"/>
        </w:rPr>
        <w:lastRenderedPageBreak/>
        <w:t>OECD, 2025. Test No. 425: Acute Oral Toxicity—Up-and-Down Procedure. Available at: &lt;https://www.oecd-ilibrary.org/environment/test-no-425-acute-oral-toxicity-up-and-down-procedure_9789264071049-en&gt; [Accessed 24 Apr. 2025].</w:t>
      </w:r>
    </w:p>
    <w:p w14:paraId="3EF38E71" w14:textId="77777777" w:rsidR="00F62615" w:rsidRPr="00F62615" w:rsidRDefault="007A3772" w:rsidP="00C00E8E">
      <w:pPr>
        <w:pStyle w:val="NormalWeb"/>
        <w:numPr>
          <w:ilvl w:val="0"/>
          <w:numId w:val="4"/>
        </w:numPr>
        <w:spacing w:after="240"/>
        <w:jc w:val="both"/>
      </w:pPr>
      <w:r w:rsidRPr="00F62615">
        <w:rPr>
          <w:lang w:val="en-US"/>
        </w:rPr>
        <w:t>Dias, M.C., Pinto, D.C.G.A. &amp; Silva, A.M.S., 2</w:t>
      </w:r>
      <w:r w:rsidR="00F62615" w:rsidRPr="00F62615">
        <w:rPr>
          <w:lang w:val="en-US"/>
        </w:rPr>
        <w:t xml:space="preserve">021. Plant Flavonoids: Chemical </w:t>
      </w:r>
      <w:r w:rsidRPr="00F62615">
        <w:rPr>
          <w:lang w:val="en-US"/>
        </w:rPr>
        <w:t>Characteristics and Biological Activity. Molecules, 26(17), p.5377. DOI: 10.3390/molecules26175377.</w:t>
      </w:r>
    </w:p>
    <w:p w14:paraId="735C1FA4" w14:textId="77777777" w:rsidR="00F62615" w:rsidRPr="00F62615" w:rsidRDefault="00C00E8E" w:rsidP="00C00E8E">
      <w:pPr>
        <w:pStyle w:val="NormalWeb"/>
        <w:numPr>
          <w:ilvl w:val="0"/>
          <w:numId w:val="4"/>
        </w:numPr>
        <w:spacing w:after="240"/>
        <w:jc w:val="both"/>
      </w:pPr>
      <w:r w:rsidRPr="00F62615">
        <w:rPr>
          <w:color w:val="222222"/>
          <w:shd w:val="clear" w:color="auto" w:fill="FFFFFF"/>
          <w:lang w:val="en-US"/>
        </w:rPr>
        <w:t>Gulcin, İ. &amp; Alwasel, S.H., 2023. DPPH Radical Scavenging Assay. Processes, 11, p.2248. DOI: 10.3390/pr11082248.</w:t>
      </w:r>
    </w:p>
    <w:p w14:paraId="22ACC2D4" w14:textId="77777777" w:rsidR="00F62615" w:rsidRDefault="00827E51" w:rsidP="00F62615">
      <w:pPr>
        <w:pStyle w:val="NormalWeb"/>
        <w:numPr>
          <w:ilvl w:val="0"/>
          <w:numId w:val="4"/>
        </w:numPr>
        <w:spacing w:after="240"/>
        <w:jc w:val="both"/>
      </w:pPr>
      <w:r w:rsidRPr="00F62615">
        <w:rPr>
          <w:color w:val="222222"/>
          <w:shd w:val="clear" w:color="auto" w:fill="FFFFFF"/>
        </w:rPr>
        <w:t>Zivanayi, W., Venables, L., Van de Venter, M., Rasana, N. and Hlangothi, B., 2023. Evaluating biological ethnopharmaceutical activities of fruit and root extracts of Solanum incanum L. </w:t>
      </w:r>
      <w:r w:rsidRPr="00F62615">
        <w:rPr>
          <w:i/>
          <w:iCs/>
          <w:color w:val="222222"/>
          <w:shd w:val="clear" w:color="auto" w:fill="FFFFFF"/>
        </w:rPr>
        <w:t>African Journal of Food, Agriculture, Nutrition and Development</w:t>
      </w:r>
      <w:r w:rsidRPr="00F62615">
        <w:rPr>
          <w:color w:val="222222"/>
          <w:shd w:val="clear" w:color="auto" w:fill="FFFFFF"/>
        </w:rPr>
        <w:t>, </w:t>
      </w:r>
      <w:r w:rsidRPr="00F62615">
        <w:rPr>
          <w:i/>
          <w:iCs/>
          <w:color w:val="222222"/>
          <w:shd w:val="clear" w:color="auto" w:fill="FFFFFF"/>
        </w:rPr>
        <w:t>23</w:t>
      </w:r>
      <w:r w:rsidRPr="00F62615">
        <w:rPr>
          <w:color w:val="222222"/>
          <w:shd w:val="clear" w:color="auto" w:fill="FFFFFF"/>
        </w:rPr>
        <w:t>(7), pp.24136-24156</w:t>
      </w:r>
      <w:r w:rsidRPr="00F62615">
        <w:rPr>
          <w:rFonts w:ascii="Arial" w:hAnsi="Arial" w:cs="Arial"/>
          <w:color w:val="222222"/>
          <w:sz w:val="20"/>
          <w:szCs w:val="20"/>
          <w:shd w:val="clear" w:color="auto" w:fill="FFFFFF"/>
        </w:rPr>
        <w:t>.</w:t>
      </w:r>
    </w:p>
    <w:p w14:paraId="25B819E7" w14:textId="77777777" w:rsidR="00F62615" w:rsidRDefault="00C00E8E" w:rsidP="001265AB">
      <w:pPr>
        <w:pStyle w:val="NormalWeb"/>
        <w:numPr>
          <w:ilvl w:val="0"/>
          <w:numId w:val="4"/>
        </w:numPr>
        <w:spacing w:after="240"/>
        <w:jc w:val="both"/>
      </w:pPr>
      <w:r w:rsidRPr="00F410FB">
        <w:t xml:space="preserve">Ya'u, J., Chindo, B.A., Yaro, A.H., Okhale, S.E., Anuka, J.A. and Hussaini, I.M. (2013) ‘Safety assessment of the standardized extract of Carissa edulis root bark in rats’, Journal of Ethnopharmacology, 147(3), pp. 653–661. Available at: </w:t>
      </w:r>
      <w:hyperlink r:id="rId20" w:history="1">
        <w:r w:rsidR="001265AB" w:rsidRPr="009A2E9D">
          <w:rPr>
            <w:rStyle w:val="Hyperlink"/>
          </w:rPr>
          <w:t>https://doi.org/10.1016/j.jep.2013.03.064</w:t>
        </w:r>
      </w:hyperlink>
      <w:r w:rsidRPr="00F410FB">
        <w:t>.</w:t>
      </w:r>
    </w:p>
    <w:p w14:paraId="0B5741A7" w14:textId="22C68005" w:rsidR="001265AB" w:rsidRPr="00F62615" w:rsidRDefault="001265AB" w:rsidP="001265AB">
      <w:pPr>
        <w:pStyle w:val="NormalWeb"/>
        <w:numPr>
          <w:ilvl w:val="0"/>
          <w:numId w:val="4"/>
        </w:numPr>
        <w:spacing w:after="240"/>
        <w:jc w:val="both"/>
      </w:pPr>
      <w:r w:rsidRPr="00F62615">
        <w:rPr>
          <w:color w:val="222222"/>
          <w:shd w:val="clear" w:color="auto" w:fill="FFFFFF"/>
          <w:lang w:val="en-US"/>
        </w:rPr>
        <w:t>Loomis, T.A. &amp; Hayes, A.W., 1996. Loomis’s Essentials of Toxicology. 4th ed. Academic Press, Cambridge, pp.208-245. DOI: 10.1016/B978-012455625-6/50014-3.</w:t>
      </w:r>
    </w:p>
    <w:p w14:paraId="2C728B30" w14:textId="0913F444" w:rsidR="00F410FB" w:rsidRPr="00D16E90" w:rsidRDefault="00F410FB" w:rsidP="00D16E90">
      <w:pPr>
        <w:spacing w:after="240"/>
        <w:jc w:val="both"/>
        <w:rPr>
          <w:color w:val="222222"/>
          <w:shd w:val="clear" w:color="auto" w:fill="FFFFFF"/>
          <w:lang w:val="en-US"/>
        </w:rPr>
      </w:pPr>
    </w:p>
    <w:sectPr w:rsidR="00F410FB" w:rsidRPr="00D16E9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J Enema" w:date="2025-06-19T16:55:00Z" w:initials="OE">
    <w:p w14:paraId="5F26216A" w14:textId="7967831C" w:rsidR="001464E5" w:rsidRDefault="001464E5">
      <w:pPr>
        <w:pStyle w:val="CommentText"/>
      </w:pPr>
      <w:r>
        <w:rPr>
          <w:rStyle w:val="CommentReference"/>
        </w:rPr>
        <w:annotationRef/>
      </w:r>
      <w:r>
        <w:t xml:space="preserve">Please remove, this is not necessary. </w:t>
      </w:r>
    </w:p>
  </w:comment>
  <w:comment w:id="1" w:author="OJ Enema" w:date="2025-06-19T16:57:00Z" w:initials="OE">
    <w:p w14:paraId="131DBE96" w14:textId="02C12964" w:rsidR="001464E5" w:rsidRDefault="001464E5">
      <w:pPr>
        <w:pStyle w:val="CommentText"/>
      </w:pPr>
      <w:r>
        <w:rPr>
          <w:rStyle w:val="CommentReference"/>
        </w:rPr>
        <w:annotationRef/>
      </w:r>
      <w:r>
        <w:t>Please mention specific qualitative and quantitative methods utilized in the study</w:t>
      </w:r>
    </w:p>
  </w:comment>
  <w:comment w:id="2" w:author="OJ Enema" w:date="2025-06-19T16:58:00Z" w:initials="OE">
    <w:p w14:paraId="475D9B79" w14:textId="497C61C4" w:rsidR="001464E5" w:rsidRDefault="001464E5">
      <w:pPr>
        <w:pStyle w:val="CommentText"/>
      </w:pPr>
      <w:r>
        <w:rPr>
          <w:rStyle w:val="CommentReference"/>
        </w:rPr>
        <w:annotationRef/>
      </w:r>
      <w:r>
        <w:t>Add specific antioxidant analysis results (Real values), like percentage of inhibition at notable concentrations in the assay in comparison to the standard ascorbic acid.</w:t>
      </w:r>
    </w:p>
  </w:comment>
  <w:comment w:id="3" w:author="OJ Enema" w:date="2025-06-19T17:02:00Z" w:initials="OE">
    <w:p w14:paraId="43BF81E2" w14:textId="4F2BB59B" w:rsidR="001464E5" w:rsidRDefault="001464E5">
      <w:pPr>
        <w:pStyle w:val="CommentText"/>
      </w:pPr>
      <w:r>
        <w:rPr>
          <w:rStyle w:val="CommentReference"/>
        </w:rPr>
        <w:annotationRef/>
      </w:r>
      <w:r>
        <w:t>Close space</w:t>
      </w:r>
    </w:p>
  </w:comment>
  <w:comment w:id="4" w:author="OJ Enema" w:date="2025-06-19T17:02:00Z" w:initials="OE">
    <w:p w14:paraId="5AE2E45B" w14:textId="4F2D09E6" w:rsidR="001464E5" w:rsidRDefault="001464E5">
      <w:pPr>
        <w:pStyle w:val="CommentText"/>
      </w:pPr>
      <w:r>
        <w:rPr>
          <w:rStyle w:val="CommentReference"/>
        </w:rPr>
        <w:annotationRef/>
      </w:r>
      <w:r>
        <w:t>Check spelling</w:t>
      </w:r>
    </w:p>
  </w:comment>
  <w:comment w:id="5" w:author="OJ Enema" w:date="2025-06-19T17:03:00Z" w:initials="OE">
    <w:p w14:paraId="0DE190B4" w14:textId="2A07EAB1" w:rsidR="001464E5" w:rsidRDefault="001464E5">
      <w:pPr>
        <w:pStyle w:val="CommentText"/>
      </w:pPr>
      <w:r>
        <w:rPr>
          <w:rStyle w:val="CommentReference"/>
        </w:rPr>
        <w:annotationRef/>
      </w:r>
      <w:r>
        <w:t xml:space="preserve">You have not shown any real results (values) in terms of antioxidant and antiinflammatory properties to support this statement. As requested above regarding adding real calculated values from antioxidant assay, do same for antiinflammatory assay. </w:t>
      </w:r>
    </w:p>
  </w:comment>
  <w:comment w:id="6" w:author="OJ Enema" w:date="2025-06-19T17:05:00Z" w:initials="OE">
    <w:p w14:paraId="0CC352EF" w14:textId="0A8E8163" w:rsidR="001464E5" w:rsidRDefault="001464E5">
      <w:pPr>
        <w:pStyle w:val="CommentText"/>
      </w:pPr>
      <w:r>
        <w:rPr>
          <w:rStyle w:val="CommentReference"/>
        </w:rPr>
        <w:annotationRef/>
      </w:r>
      <w:r>
        <w:t>You did not state the method used in determining the toxicity of your extract</w:t>
      </w:r>
      <w:r w:rsidR="00001AF9">
        <w:t xml:space="preserve"> correctly. Putting OECD 425 in bracket does not do the job well. It has to be clearly stated just as you did with the antiinflammatory study.</w:t>
      </w:r>
    </w:p>
  </w:comment>
  <w:comment w:id="7" w:author="OJ Enema" w:date="2025-06-19T17:07:00Z" w:initials="OE">
    <w:p w14:paraId="00BA015A" w14:textId="56E48182" w:rsidR="00001AF9" w:rsidRDefault="00001AF9">
      <w:pPr>
        <w:pStyle w:val="CommentText"/>
      </w:pPr>
      <w:r>
        <w:rPr>
          <w:rStyle w:val="CommentReference"/>
        </w:rPr>
        <w:annotationRef/>
      </w:r>
      <w:r>
        <w:t xml:space="preserve">The introduction has to clearly define the problem that this research is set out to solve and why it is relevant in the scientific community. Consider this like statement of research problem in your thesis. </w:t>
      </w:r>
    </w:p>
  </w:comment>
  <w:comment w:id="13" w:author="OJ Enema" w:date="2025-06-19T17:14:00Z" w:initials="OE">
    <w:p w14:paraId="18065B21" w14:textId="39695BAC" w:rsidR="00001AF9" w:rsidRDefault="00001AF9">
      <w:pPr>
        <w:pStyle w:val="CommentText"/>
      </w:pPr>
      <w:r>
        <w:rPr>
          <w:rStyle w:val="CommentReference"/>
        </w:rPr>
        <w:annotationRef/>
      </w:r>
      <w:r>
        <w:t xml:space="preserve">You need to compare this result with already existing literature… This will give it more balance. </w:t>
      </w:r>
    </w:p>
  </w:comment>
  <w:comment w:id="15" w:author="OJ Enema" w:date="2025-06-19T17:15:00Z" w:initials="OE">
    <w:p w14:paraId="19EEB47F" w14:textId="756D93B5" w:rsidR="00001AF9" w:rsidRDefault="00001AF9">
      <w:pPr>
        <w:pStyle w:val="CommentText"/>
      </w:pPr>
      <w:r>
        <w:rPr>
          <w:rStyle w:val="CommentReference"/>
        </w:rPr>
        <w:annotationRef/>
      </w:r>
      <w:r>
        <w:t xml:space="preserve">Compare this result with already existing literature in this area. </w:t>
      </w:r>
    </w:p>
  </w:comment>
  <w:comment w:id="20" w:author="OJ Enema" w:date="2025-06-19T17:16:00Z" w:initials="OE">
    <w:p w14:paraId="7778A124" w14:textId="185EDD15" w:rsidR="003F4AE5" w:rsidRDefault="003F4AE5">
      <w:pPr>
        <w:pStyle w:val="CommentText"/>
      </w:pPr>
      <w:r>
        <w:rPr>
          <w:rStyle w:val="CommentReference"/>
        </w:rPr>
        <w:annotationRef/>
      </w:r>
      <w:r>
        <w:t xml:space="preserve">You need to do a little bit more research on the family of this plant and compare your findings with already existing literature. </w:t>
      </w:r>
    </w:p>
  </w:comment>
  <w:comment w:id="21" w:author="OJ Enema" w:date="2025-06-19T17:17:00Z" w:initials="OE">
    <w:p w14:paraId="0A542242" w14:textId="50F39AEC" w:rsidR="003F4AE5" w:rsidRDefault="003F4AE5">
      <w:pPr>
        <w:pStyle w:val="CommentText"/>
      </w:pPr>
      <w:r>
        <w:rPr>
          <w:rStyle w:val="CommentReference"/>
        </w:rPr>
        <w:annotationRef/>
      </w:r>
      <w:r>
        <w:t>italicise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26216A" w15:done="0"/>
  <w15:commentEx w15:paraId="131DBE96" w15:done="0"/>
  <w15:commentEx w15:paraId="475D9B79" w15:done="0"/>
  <w15:commentEx w15:paraId="43BF81E2" w15:done="0"/>
  <w15:commentEx w15:paraId="5AE2E45B" w15:done="0"/>
  <w15:commentEx w15:paraId="0DE190B4" w15:done="0"/>
  <w15:commentEx w15:paraId="0CC352EF" w15:done="0"/>
  <w15:commentEx w15:paraId="00BA015A" w15:done="0"/>
  <w15:commentEx w15:paraId="18065B21" w15:done="0"/>
  <w15:commentEx w15:paraId="19EEB47F" w15:done="0"/>
  <w15:commentEx w15:paraId="7778A124" w15:done="0"/>
  <w15:commentEx w15:paraId="0A542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565B32" w16cex:dateUtc="2025-06-19T15:55:00Z"/>
  <w16cex:commentExtensible w16cex:durableId="2D7FE158" w16cex:dateUtc="2025-06-19T15:57:00Z"/>
  <w16cex:commentExtensible w16cex:durableId="09FA6C71" w16cex:dateUtc="2025-06-19T15:58:00Z"/>
  <w16cex:commentExtensible w16cex:durableId="72908822" w16cex:dateUtc="2025-06-19T16:02:00Z"/>
  <w16cex:commentExtensible w16cex:durableId="54C52F7C" w16cex:dateUtc="2025-06-19T16:02:00Z"/>
  <w16cex:commentExtensible w16cex:durableId="1BF53932" w16cex:dateUtc="2025-06-19T16:03:00Z"/>
  <w16cex:commentExtensible w16cex:durableId="173810A7" w16cex:dateUtc="2025-06-19T16:05:00Z"/>
  <w16cex:commentExtensible w16cex:durableId="5D50F23C" w16cex:dateUtc="2025-06-19T16:07:00Z"/>
  <w16cex:commentExtensible w16cex:durableId="50198C94" w16cex:dateUtc="2025-06-19T16:14:00Z"/>
  <w16cex:commentExtensible w16cex:durableId="6002CFF2" w16cex:dateUtc="2025-06-19T16:15:00Z"/>
  <w16cex:commentExtensible w16cex:durableId="285D5A1A" w16cex:dateUtc="2025-06-19T16:16:00Z"/>
  <w16cex:commentExtensible w16cex:durableId="00615572" w16cex:dateUtc="2025-06-19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26216A" w16cid:durableId="10565B32"/>
  <w16cid:commentId w16cid:paraId="131DBE96" w16cid:durableId="2D7FE158"/>
  <w16cid:commentId w16cid:paraId="475D9B79" w16cid:durableId="09FA6C71"/>
  <w16cid:commentId w16cid:paraId="43BF81E2" w16cid:durableId="72908822"/>
  <w16cid:commentId w16cid:paraId="5AE2E45B" w16cid:durableId="54C52F7C"/>
  <w16cid:commentId w16cid:paraId="0DE190B4" w16cid:durableId="1BF53932"/>
  <w16cid:commentId w16cid:paraId="0CC352EF" w16cid:durableId="173810A7"/>
  <w16cid:commentId w16cid:paraId="00BA015A" w16cid:durableId="5D50F23C"/>
  <w16cid:commentId w16cid:paraId="18065B21" w16cid:durableId="50198C94"/>
  <w16cid:commentId w16cid:paraId="19EEB47F" w16cid:durableId="6002CFF2"/>
  <w16cid:commentId w16cid:paraId="7778A124" w16cid:durableId="285D5A1A"/>
  <w16cid:commentId w16cid:paraId="0A542242" w16cid:durableId="006155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DBE8" w14:textId="77777777" w:rsidR="004130EC" w:rsidRDefault="004130EC">
      <w:r>
        <w:separator/>
      </w:r>
    </w:p>
  </w:endnote>
  <w:endnote w:type="continuationSeparator" w:id="0">
    <w:p w14:paraId="43FBE492" w14:textId="77777777" w:rsidR="004130EC" w:rsidRDefault="0041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5A0B" w14:textId="77777777" w:rsidR="00A07014" w:rsidRDefault="00A07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73AC" w14:textId="77777777" w:rsidR="00A91A99" w:rsidRDefault="00A91A99">
    <w:pPr>
      <w:pStyle w:val="Footer"/>
      <w:jc w:val="center"/>
    </w:pPr>
    <w:r>
      <w:fldChar w:fldCharType="begin"/>
    </w:r>
    <w:r>
      <w:instrText xml:space="preserve"> PAGE   \* MERGEFORMAT </w:instrText>
    </w:r>
    <w:r>
      <w:fldChar w:fldCharType="separate"/>
    </w:r>
    <w:r w:rsidR="00421731">
      <w:rPr>
        <w:noProof/>
      </w:rPr>
      <w:t>1</w:t>
    </w:r>
    <w:r>
      <w:fldChar w:fldCharType="end"/>
    </w:r>
  </w:p>
  <w:p w14:paraId="46008B84" w14:textId="77777777" w:rsidR="00A91A99" w:rsidRDefault="00A91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A0FA" w14:textId="77777777" w:rsidR="00A07014" w:rsidRDefault="00A07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5BF1" w14:textId="77777777" w:rsidR="004130EC" w:rsidRDefault="004130EC">
      <w:r>
        <w:separator/>
      </w:r>
    </w:p>
  </w:footnote>
  <w:footnote w:type="continuationSeparator" w:id="0">
    <w:p w14:paraId="3C2E7A64" w14:textId="77777777" w:rsidR="004130EC" w:rsidRDefault="0041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03F9" w14:textId="6373466C" w:rsidR="00A07014" w:rsidRDefault="00000000">
    <w:pPr>
      <w:pStyle w:val="Header"/>
    </w:pPr>
    <w:r>
      <w:rPr>
        <w:noProof/>
      </w:rPr>
      <w:pict w14:anchorId="62A15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B317" w14:textId="7FE5CDA3" w:rsidR="00A91A99" w:rsidRDefault="00000000">
    <w:pPr>
      <w:jc w:val="center"/>
    </w:pPr>
    <w:r>
      <w:rPr>
        <w:noProof/>
      </w:rPr>
      <w:pict w14:anchorId="1CE7B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15EC" w14:textId="6D3743C7" w:rsidR="00A07014" w:rsidRDefault="00000000">
    <w:pPr>
      <w:pStyle w:val="Header"/>
    </w:pPr>
    <w:r>
      <w:rPr>
        <w:noProof/>
      </w:rPr>
      <w:pict w14:anchorId="39723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853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decimal"/>
      <w:pStyle w:val="Heading1"/>
      <w:lvlText w:val="%1"/>
      <w:lvlJc w:val="left"/>
      <w:pPr>
        <w:ind w:left="432" w:hanging="432"/>
      </w:pPr>
      <w:rPr>
        <w:sz w:val="24"/>
      </w:rPr>
    </w:lvl>
    <w:lvl w:ilvl="1">
      <w:start w:val="1"/>
      <w:numFmt w:val="decimal"/>
      <w:pStyle w:val="Heading2"/>
      <w:lvlText w:val="%1.%2"/>
      <w:lvlJc w:val="left"/>
      <w:pPr>
        <w:ind w:left="2205"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441EAF"/>
    <w:multiLevelType w:val="hybridMultilevel"/>
    <w:tmpl w:val="BC70CF7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1859658198">
    <w:abstractNumId w:val="1"/>
  </w:num>
  <w:num w:numId="2" w16cid:durableId="2024896290">
    <w:abstractNumId w:val="0"/>
  </w:num>
  <w:num w:numId="3" w16cid:durableId="1921021299">
    <w:abstractNumId w:val="2"/>
  </w:num>
  <w:num w:numId="4" w16cid:durableId="163786556">
    <w:abstractNumId w:val="3"/>
  </w:num>
  <w:num w:numId="5" w16cid:durableId="209652263">
    <w:abstractNumId w:val="1"/>
  </w:num>
  <w:num w:numId="6" w16cid:durableId="17901974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J Enema">
    <w15:presenceInfo w15:providerId="Windows Live" w15:userId="dfab378a0fbb3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0"/>
    <w:rsid w:val="000016DF"/>
    <w:rsid w:val="00001AF9"/>
    <w:rsid w:val="00001F12"/>
    <w:rsid w:val="00020662"/>
    <w:rsid w:val="000373FB"/>
    <w:rsid w:val="000508B6"/>
    <w:rsid w:val="000B098F"/>
    <w:rsid w:val="000E504F"/>
    <w:rsid w:val="000E633F"/>
    <w:rsid w:val="0010692A"/>
    <w:rsid w:val="00107B57"/>
    <w:rsid w:val="00125480"/>
    <w:rsid w:val="001265AB"/>
    <w:rsid w:val="001314FA"/>
    <w:rsid w:val="001464E5"/>
    <w:rsid w:val="00147BA7"/>
    <w:rsid w:val="001A4BAC"/>
    <w:rsid w:val="0020294C"/>
    <w:rsid w:val="00206E9A"/>
    <w:rsid w:val="00261E13"/>
    <w:rsid w:val="002C4F47"/>
    <w:rsid w:val="002F636B"/>
    <w:rsid w:val="00340ECB"/>
    <w:rsid w:val="00371E85"/>
    <w:rsid w:val="00373C47"/>
    <w:rsid w:val="00374737"/>
    <w:rsid w:val="0037598A"/>
    <w:rsid w:val="003E08AA"/>
    <w:rsid w:val="003F4AE5"/>
    <w:rsid w:val="00400F7A"/>
    <w:rsid w:val="004130EC"/>
    <w:rsid w:val="00421731"/>
    <w:rsid w:val="00431D01"/>
    <w:rsid w:val="0046472B"/>
    <w:rsid w:val="00484580"/>
    <w:rsid w:val="004C3B7B"/>
    <w:rsid w:val="004F363C"/>
    <w:rsid w:val="00514E76"/>
    <w:rsid w:val="0052713D"/>
    <w:rsid w:val="00535E04"/>
    <w:rsid w:val="00552521"/>
    <w:rsid w:val="00565A37"/>
    <w:rsid w:val="005C75E9"/>
    <w:rsid w:val="00607BB4"/>
    <w:rsid w:val="00617ACA"/>
    <w:rsid w:val="006409A0"/>
    <w:rsid w:val="0065725C"/>
    <w:rsid w:val="00666838"/>
    <w:rsid w:val="00674009"/>
    <w:rsid w:val="00681DD2"/>
    <w:rsid w:val="00684BEC"/>
    <w:rsid w:val="006C115D"/>
    <w:rsid w:val="006C4760"/>
    <w:rsid w:val="006E7420"/>
    <w:rsid w:val="00722167"/>
    <w:rsid w:val="00731C21"/>
    <w:rsid w:val="00741DAA"/>
    <w:rsid w:val="0075241C"/>
    <w:rsid w:val="007A3772"/>
    <w:rsid w:val="007C6191"/>
    <w:rsid w:val="007E2037"/>
    <w:rsid w:val="00806E28"/>
    <w:rsid w:val="00827E51"/>
    <w:rsid w:val="00846553"/>
    <w:rsid w:val="008511B3"/>
    <w:rsid w:val="00876419"/>
    <w:rsid w:val="00886C0D"/>
    <w:rsid w:val="008A020F"/>
    <w:rsid w:val="008B4B79"/>
    <w:rsid w:val="009355FE"/>
    <w:rsid w:val="009601DF"/>
    <w:rsid w:val="009B4FF7"/>
    <w:rsid w:val="009E3253"/>
    <w:rsid w:val="00A07014"/>
    <w:rsid w:val="00A116D1"/>
    <w:rsid w:val="00A41BFF"/>
    <w:rsid w:val="00A85261"/>
    <w:rsid w:val="00A91A99"/>
    <w:rsid w:val="00AE2C9C"/>
    <w:rsid w:val="00BC4009"/>
    <w:rsid w:val="00BE24F9"/>
    <w:rsid w:val="00C00E8E"/>
    <w:rsid w:val="00C138B2"/>
    <w:rsid w:val="00C147E9"/>
    <w:rsid w:val="00C5760E"/>
    <w:rsid w:val="00C630F3"/>
    <w:rsid w:val="00C813E3"/>
    <w:rsid w:val="00CD23D5"/>
    <w:rsid w:val="00CD7F97"/>
    <w:rsid w:val="00CF1E81"/>
    <w:rsid w:val="00D02161"/>
    <w:rsid w:val="00D16E90"/>
    <w:rsid w:val="00D4371B"/>
    <w:rsid w:val="00D87F66"/>
    <w:rsid w:val="00DB2061"/>
    <w:rsid w:val="00DB7423"/>
    <w:rsid w:val="00DC7D80"/>
    <w:rsid w:val="00DD03CF"/>
    <w:rsid w:val="00DD5CF9"/>
    <w:rsid w:val="00DD709E"/>
    <w:rsid w:val="00DD7D04"/>
    <w:rsid w:val="00DE6D5E"/>
    <w:rsid w:val="00E145E6"/>
    <w:rsid w:val="00E21872"/>
    <w:rsid w:val="00E82B4E"/>
    <w:rsid w:val="00E859AD"/>
    <w:rsid w:val="00E93160"/>
    <w:rsid w:val="00E96C99"/>
    <w:rsid w:val="00EE32AA"/>
    <w:rsid w:val="00EF31B5"/>
    <w:rsid w:val="00EF36B6"/>
    <w:rsid w:val="00F14ED7"/>
    <w:rsid w:val="00F16B2B"/>
    <w:rsid w:val="00F410FB"/>
    <w:rsid w:val="00F5076C"/>
    <w:rsid w:val="00F57B84"/>
    <w:rsid w:val="00F62615"/>
    <w:rsid w:val="00F770BC"/>
    <w:rsid w:val="00F81E2C"/>
    <w:rsid w:val="00F93FE2"/>
    <w:rsid w:val="00FA0937"/>
    <w:rsid w:val="00FA4343"/>
    <w:rsid w:val="2CAF580F"/>
    <w:rsid w:val="4E9C6B6A"/>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7360F3"/>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unhideWhenUsed/>
    <w:qFormat/>
    <w:pPr>
      <w:keepNext/>
      <w:keepLines/>
      <w:numPr>
        <w:ilvl w:val="1"/>
        <w:numId w:val="1"/>
      </w:numPr>
      <w:spacing w:before="40"/>
      <w:ind w:left="576"/>
      <w:outlineLvl w:val="1"/>
    </w:pPr>
    <w:rPr>
      <w:rFonts w:ascii="Arial" w:eastAsia="SimSun" w:hAnsi="Arial" w:cs="SimSun"/>
      <w:b/>
      <w:color w:val="000000"/>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SimSun" w:hAnsi="Arial" w:cs="SimSun"/>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character" w:customStyle="1" w:styleId="UnresolvedMention3">
    <w:name w:val="Unresolved Mention3"/>
    <w:basedOn w:val="DefaultParagraphFont"/>
    <w:uiPriority w:val="99"/>
    <w:qFormat/>
    <w:rPr>
      <w:color w:val="605E5C"/>
      <w:shd w:val="clear" w:color="auto" w:fill="E1DFDD"/>
    </w:rPr>
  </w:style>
  <w:style w:type="paragraph" w:styleId="Bibliography">
    <w:name w:val="Bibliography"/>
    <w:basedOn w:val="Normal"/>
    <w:next w:val="Normal"/>
    <w:uiPriority w:val="37"/>
    <w:unhideWhenUsed/>
    <w:rsid w:val="00DE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4756">
      <w:bodyDiv w:val="1"/>
      <w:marLeft w:val="0"/>
      <w:marRight w:val="0"/>
      <w:marTop w:val="0"/>
      <w:marBottom w:val="0"/>
      <w:divBdr>
        <w:top w:val="none" w:sz="0" w:space="0" w:color="auto"/>
        <w:left w:val="none" w:sz="0" w:space="0" w:color="auto"/>
        <w:bottom w:val="none" w:sz="0" w:space="0" w:color="auto"/>
        <w:right w:val="none" w:sz="0" w:space="0" w:color="auto"/>
      </w:divBdr>
    </w:div>
    <w:div w:id="459105722">
      <w:bodyDiv w:val="1"/>
      <w:marLeft w:val="0"/>
      <w:marRight w:val="0"/>
      <w:marTop w:val="0"/>
      <w:marBottom w:val="0"/>
      <w:divBdr>
        <w:top w:val="none" w:sz="0" w:space="0" w:color="auto"/>
        <w:left w:val="none" w:sz="0" w:space="0" w:color="auto"/>
        <w:bottom w:val="none" w:sz="0" w:space="0" w:color="auto"/>
        <w:right w:val="none" w:sz="0" w:space="0" w:color="auto"/>
      </w:divBdr>
    </w:div>
    <w:div w:id="832376722">
      <w:bodyDiv w:val="1"/>
      <w:marLeft w:val="0"/>
      <w:marRight w:val="0"/>
      <w:marTop w:val="0"/>
      <w:marBottom w:val="0"/>
      <w:divBdr>
        <w:top w:val="none" w:sz="0" w:space="0" w:color="auto"/>
        <w:left w:val="none" w:sz="0" w:space="0" w:color="auto"/>
        <w:bottom w:val="none" w:sz="0" w:space="0" w:color="auto"/>
        <w:right w:val="none" w:sz="0" w:space="0" w:color="auto"/>
      </w:divBdr>
    </w:div>
    <w:div w:id="845291362">
      <w:bodyDiv w:val="1"/>
      <w:marLeft w:val="0"/>
      <w:marRight w:val="0"/>
      <w:marTop w:val="0"/>
      <w:marBottom w:val="0"/>
      <w:divBdr>
        <w:top w:val="none" w:sz="0" w:space="0" w:color="auto"/>
        <w:left w:val="none" w:sz="0" w:space="0" w:color="auto"/>
        <w:bottom w:val="none" w:sz="0" w:space="0" w:color="auto"/>
        <w:right w:val="none" w:sz="0" w:space="0" w:color="auto"/>
      </w:divBdr>
    </w:div>
    <w:div w:id="1045257986">
      <w:bodyDiv w:val="1"/>
      <w:marLeft w:val="0"/>
      <w:marRight w:val="0"/>
      <w:marTop w:val="0"/>
      <w:marBottom w:val="0"/>
      <w:divBdr>
        <w:top w:val="none" w:sz="0" w:space="0" w:color="auto"/>
        <w:left w:val="none" w:sz="0" w:space="0" w:color="auto"/>
        <w:bottom w:val="none" w:sz="0" w:space="0" w:color="auto"/>
        <w:right w:val="none" w:sz="0" w:space="0" w:color="auto"/>
      </w:divBdr>
    </w:div>
    <w:div w:id="1320035198">
      <w:bodyDiv w:val="1"/>
      <w:marLeft w:val="0"/>
      <w:marRight w:val="0"/>
      <w:marTop w:val="0"/>
      <w:marBottom w:val="0"/>
      <w:divBdr>
        <w:top w:val="none" w:sz="0" w:space="0" w:color="auto"/>
        <w:left w:val="none" w:sz="0" w:space="0" w:color="auto"/>
        <w:bottom w:val="none" w:sz="0" w:space="0" w:color="auto"/>
        <w:right w:val="none" w:sz="0" w:space="0" w:color="auto"/>
      </w:divBdr>
    </w:div>
    <w:div w:id="206933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chart" Target="charts/chart4.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hart" Target="charts/chart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doi.org/10.1016/j.jep.2013.03.0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ckup%20Account\Desktop\manuscrpts\Sumissions\Aloe%20paper%20submission\Aloe%20paper\aloe%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ackup%20Account\Desktop\manuscrpts\Sumissions\Aloe%20paper%20submission\Aloe%20paper\aloe%20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ackup%20Account\Downloads\C%20edulis%20antioxidan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Backup%20Account\Downloads\C%20edulis%20antioxidant.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i="1">
                <a:solidFill>
                  <a:sysClr val="windowText" lastClr="000000"/>
                </a:solidFill>
              </a:rPr>
              <a:t>S.</a:t>
            </a:r>
            <a:r>
              <a:rPr lang="en-US" i="1" baseline="0">
                <a:solidFill>
                  <a:sysClr val="windowText" lastClr="000000"/>
                </a:solidFill>
              </a:rPr>
              <a:t> Incanum</a:t>
            </a:r>
            <a:r>
              <a:rPr lang="en-US" i="1">
                <a:solidFill>
                  <a:sysClr val="windowText" lastClr="000000"/>
                </a:solidFill>
              </a:rPr>
              <a:t>  </a:t>
            </a:r>
            <a:r>
              <a:rPr lang="en-US">
                <a:solidFill>
                  <a:sysClr val="windowText" lastClr="000000"/>
                </a:solidFill>
              </a:rPr>
              <a:t>quantitative phytochemicals evaluation </a:t>
            </a:r>
          </a:p>
        </c:rich>
      </c:tx>
      <c:overlay val="0"/>
      <c:spPr>
        <a:noFill/>
        <a:ln>
          <a:noFill/>
        </a:ln>
        <a:effectLst/>
      </c:spPr>
      <c:txPr>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'[aloe graphs.xlsx]Sheet1'!$F$13:$F$15</c:f>
              <c:strCache>
                <c:ptCount val="1"/>
                <c:pt idx="0">
                  <c:v>Total phenol mgGAE/g extract</c:v>
                </c:pt>
              </c:strCache>
            </c:strRef>
          </c:tx>
          <c:spPr>
            <a:ln w="28575" cap="rnd" cmpd="sng" algn="ctr">
              <a:solidFill>
                <a:schemeClr val="dk1">
                  <a:tint val="88500"/>
                  <a:shade val="95000"/>
                  <a:satMod val="105000"/>
                </a:schemeClr>
              </a:solidFill>
              <a:prstDash val="solid"/>
              <a:round/>
            </a:ln>
            <a:effectLst>
              <a:outerShdw blurRad="57150" dist="19050" dir="5400000" algn="ctr" rotWithShape="0">
                <a:srgbClr val="000000">
                  <a:alpha val="63000"/>
                </a:srgbClr>
              </a:outerShdw>
            </a:effectLst>
          </c:spPr>
          <c:marker>
            <c:symbol val="none"/>
          </c:marker>
          <c:dLbls>
            <c:dLbl>
              <c:idx val="0"/>
              <c:tx>
                <c:rich>
                  <a:bodyPr/>
                  <a:lstStyle/>
                  <a:p>
                    <a:r>
                      <a:rPr lang="en-US"/>
                      <a:t>77</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2D5-4AA3-8963-7DEB6AD32715}"/>
                </c:ext>
              </c:extLst>
            </c:dLbl>
            <c:dLbl>
              <c:idx val="1"/>
              <c:layout>
                <c:manualLayout>
                  <c:x val="-2.7731558513588463E-2"/>
                  <c:y val="2.1367521367521368E-2"/>
                </c:manualLayout>
              </c:layout>
              <c:tx>
                <c:rich>
                  <a:bodyPr/>
                  <a:lstStyle/>
                  <a:p>
                    <a:r>
                      <a:rPr lang="en-US"/>
                      <a:t>50</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D5-4AA3-8963-7DEB6AD32715}"/>
                </c:ext>
              </c:extLst>
            </c:dLbl>
            <c:dLbl>
              <c:idx val="2"/>
              <c:layout>
                <c:manualLayout>
                  <c:x val="-2.7731558513588463E-2"/>
                  <c:y val="-1.0683760683760684E-2"/>
                </c:manualLayout>
              </c:layout>
              <c:tx>
                <c:rich>
                  <a:bodyPr/>
                  <a:lstStyle/>
                  <a:p>
                    <a:r>
                      <a:rPr lang="en-US"/>
                      <a:t>68</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2D5-4AA3-8963-7DEB6AD3271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lt1">
                          <a:lumMod val="95000"/>
                          <a:alpha val="54000"/>
                        </a:schemeClr>
                      </a:solidFill>
                      <a:prstDash val="solid"/>
                      <a:round/>
                    </a:ln>
                    <a:effectLst/>
                  </c:spPr>
                </c15:leaderLines>
              </c:ext>
            </c:extLst>
          </c:dLbls>
          <c:cat>
            <c:strRef>
              <c:f>'[aloe graphs.xlsx]Sheet1'!$E$16:$E$18</c:f>
              <c:strCache>
                <c:ptCount val="3"/>
                <c:pt idx="0">
                  <c:v>C. edulis- Hydroethanolic</c:v>
                </c:pt>
                <c:pt idx="1">
                  <c:v>C. edulis. Aqueous</c:v>
                </c:pt>
                <c:pt idx="2">
                  <c:v> C edulis-Hydromethanolic</c:v>
                </c:pt>
              </c:strCache>
            </c:strRef>
          </c:cat>
          <c:val>
            <c:numRef>
              <c:f>'[aloe graphs.xlsx]Sheet1'!$F$16:$F$18</c:f>
              <c:numCache>
                <c:formatCode>General</c:formatCode>
                <c:ptCount val="3"/>
                <c:pt idx="0">
                  <c:v>73</c:v>
                </c:pt>
                <c:pt idx="1">
                  <c:v>52</c:v>
                </c:pt>
                <c:pt idx="2">
                  <c:v>71</c:v>
                </c:pt>
              </c:numCache>
            </c:numRef>
          </c:val>
          <c:smooth val="0"/>
          <c:extLst>
            <c:ext xmlns:c16="http://schemas.microsoft.com/office/drawing/2014/chart" uri="{C3380CC4-5D6E-409C-BE32-E72D297353CC}">
              <c16:uniqueId val="{00000000-E68A-4292-B016-682C31B24225}"/>
            </c:ext>
          </c:extLst>
        </c:ser>
        <c:ser>
          <c:idx val="1"/>
          <c:order val="1"/>
          <c:tx>
            <c:strRef>
              <c:f>'[aloe graphs.xlsx]Sheet1'!$G$13:$G$15</c:f>
              <c:strCache>
                <c:ptCount val="1"/>
                <c:pt idx="0">
                  <c:v>Total Tannins mgGAE/g extract</c:v>
                </c:pt>
              </c:strCache>
            </c:strRef>
          </c:tx>
          <c:spPr>
            <a:ln w="28575" cap="rnd" cmpd="sng" algn="ctr">
              <a:solidFill>
                <a:schemeClr val="dk1">
                  <a:tint val="55000"/>
                  <a:shade val="95000"/>
                  <a:satMod val="105000"/>
                </a:schemeClr>
              </a:solidFill>
              <a:prstDash val="solid"/>
              <a:round/>
            </a:ln>
            <a:effectLst>
              <a:outerShdw blurRad="57150" dist="19050" dir="5400000" algn="ctr" rotWithShape="0">
                <a:srgbClr val="000000">
                  <a:alpha val="63000"/>
                </a:srgbClr>
              </a:outerShdw>
            </a:effectLst>
          </c:spPr>
          <c:marker>
            <c:symbol val="none"/>
          </c:marker>
          <c:dLbls>
            <c:dLbl>
              <c:idx val="0"/>
              <c:tx>
                <c:rich>
                  <a:bodyPr/>
                  <a:lstStyle/>
                  <a:p>
                    <a:r>
                      <a:rPr lang="en-US"/>
                      <a:t>23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D5-4AA3-8963-7DEB6AD32715}"/>
                </c:ext>
              </c:extLst>
            </c:dLbl>
            <c:dLbl>
              <c:idx val="1"/>
              <c:layout>
                <c:manualLayout>
                  <c:x val="-2.7731558513588463E-2"/>
                  <c:y val="1.0683760683760585E-2"/>
                </c:manualLayout>
              </c:layout>
              <c:tx>
                <c:rich>
                  <a:bodyPr/>
                  <a:lstStyle/>
                  <a:p>
                    <a:r>
                      <a:rPr lang="en-US"/>
                      <a:t>24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2D5-4AA3-8963-7DEB6AD32715}"/>
                </c:ext>
              </c:extLst>
            </c:dLbl>
            <c:dLbl>
              <c:idx val="2"/>
              <c:tx>
                <c:rich>
                  <a:bodyPr/>
                  <a:lstStyle/>
                  <a:p>
                    <a:r>
                      <a:rPr lang="en-US"/>
                      <a:t>23</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D5-4AA3-8963-7DEB6AD3271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lt1">
                          <a:lumMod val="95000"/>
                          <a:alpha val="54000"/>
                        </a:schemeClr>
                      </a:solidFill>
                      <a:prstDash val="solid"/>
                      <a:round/>
                    </a:ln>
                    <a:effectLst/>
                  </c:spPr>
                </c15:leaderLines>
              </c:ext>
            </c:extLst>
          </c:dLbls>
          <c:cat>
            <c:strRef>
              <c:f>'[aloe graphs.xlsx]Sheet1'!$E$16:$E$18</c:f>
              <c:strCache>
                <c:ptCount val="3"/>
                <c:pt idx="0">
                  <c:v>C. edulis- Hydroethanolic</c:v>
                </c:pt>
                <c:pt idx="1">
                  <c:v>C. edulis. Aqueous</c:v>
                </c:pt>
                <c:pt idx="2">
                  <c:v> C edulis-Hydromethanolic</c:v>
                </c:pt>
              </c:strCache>
            </c:strRef>
          </c:cat>
          <c:val>
            <c:numRef>
              <c:f>'[aloe graphs.xlsx]Sheet1'!$G$16:$G$18</c:f>
              <c:numCache>
                <c:formatCode>General</c:formatCode>
                <c:ptCount val="3"/>
                <c:pt idx="0">
                  <c:v>24</c:v>
                </c:pt>
                <c:pt idx="1">
                  <c:v>23</c:v>
                </c:pt>
                <c:pt idx="2">
                  <c:v>24</c:v>
                </c:pt>
              </c:numCache>
            </c:numRef>
          </c:val>
          <c:smooth val="0"/>
          <c:extLst>
            <c:ext xmlns:c16="http://schemas.microsoft.com/office/drawing/2014/chart" uri="{C3380CC4-5D6E-409C-BE32-E72D297353CC}">
              <c16:uniqueId val="{00000001-E68A-4292-B016-682C31B24225}"/>
            </c:ext>
          </c:extLst>
        </c:ser>
        <c:dLbls>
          <c:showLegendKey val="0"/>
          <c:showVal val="1"/>
          <c:showCatName val="0"/>
          <c:showSerName val="0"/>
          <c:showPercent val="0"/>
          <c:showBubbleSize val="0"/>
        </c:dLbls>
        <c:smooth val="0"/>
        <c:axId val="1482260272"/>
        <c:axId val="1482265168"/>
      </c:lineChart>
      <c:dateAx>
        <c:axId val="1482260272"/>
        <c:scaling>
          <c:orientation val="minMax"/>
        </c:scaling>
        <c:delete val="0"/>
        <c:axPos val="b"/>
        <c:numFmt formatCode="General" sourceLinked="1"/>
        <c:majorTickMark val="none"/>
        <c:minorTickMark val="none"/>
        <c:tickLblPos val="nextTo"/>
        <c:spPr>
          <a:solidFill>
            <a:schemeClr val="bg2"/>
          </a:solidFill>
          <a:ln w="12700" cap="flat" cmpd="sng" algn="ctr">
            <a:solidFill>
              <a:schemeClr val="lt1">
                <a:lumMod val="95000"/>
                <a:alpha val="54000"/>
              </a:schemeClr>
            </a:solidFill>
            <a:prstDash val="solid"/>
            <a:round/>
          </a:ln>
          <a:effectLst/>
        </c:spPr>
        <c:txPr>
          <a:bodyPr rot="-60000000" spcFirstLastPara="0" vertOverflow="ellipsis" vert="horz" wrap="square" anchor="ctr" anchorCtr="1" forceAA="0"/>
          <a:lstStyle/>
          <a:p>
            <a:pPr>
              <a:defRPr lang="en-US" sz="900" b="0" i="0" u="none" strike="noStrike" kern="1200" baseline="0">
                <a:ln>
                  <a:noFill/>
                </a:ln>
                <a:solidFill>
                  <a:schemeClr val="bg2"/>
                </a:solidFill>
                <a:latin typeface="+mn-lt"/>
                <a:ea typeface="+mn-ea"/>
                <a:cs typeface="+mn-cs"/>
              </a:defRPr>
            </a:pPr>
            <a:endParaRPr lang="en-US"/>
          </a:p>
        </c:txPr>
        <c:crossAx val="1482265168"/>
        <c:crosses val="autoZero"/>
        <c:auto val="0"/>
        <c:lblOffset val="100"/>
        <c:baseTimeUnit val="days"/>
      </c:dateAx>
      <c:valAx>
        <c:axId val="1482265168"/>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82260272"/>
        <c:crosses val="autoZero"/>
        <c:crossBetween val="between"/>
      </c:valAx>
      <c:spPr>
        <a:noFill/>
        <a:ln>
          <a:noFill/>
        </a:ln>
        <a:effectLst/>
      </c:spPr>
    </c:plotArea>
    <c:legend>
      <c:legendPos val="b"/>
      <c:overlay val="0"/>
      <c:spPr>
        <a:solidFill>
          <a:schemeClr val="bg2"/>
        </a:solid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b8818ef8-5c1e-43dc-87a3-f98813ca1594}"/>
      </c:ext>
    </c:extLst>
  </c:chart>
  <c:spPr>
    <a:solidFill>
      <a:schemeClr val="bg2"/>
    </a:solidFill>
    <a:ln w="9525" cap="flat" cmpd="sng" algn="ctr">
      <a:no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Total Flavonoids  mgQE/g extract</a:t>
            </a:r>
          </a:p>
        </c:rich>
      </c:tx>
      <c:overlay val="0"/>
      <c:spPr>
        <a:noFill/>
        <a:ln>
          <a:noFill/>
        </a:ln>
        <a:effectLst/>
      </c:spPr>
    </c:title>
    <c:autoTitleDeleted val="0"/>
    <c:plotArea>
      <c:layout/>
      <c:lineChart>
        <c:grouping val="standard"/>
        <c:varyColors val="0"/>
        <c:ser>
          <c:idx val="0"/>
          <c:order val="0"/>
          <c:tx>
            <c:strRef>
              <c:f>'[aloe graphs.xlsx]Sheet5'!$D$8:$D$9</c:f>
              <c:strCache>
                <c:ptCount val="1"/>
                <c:pt idx="0">
                  <c:v>Total Flavanoids  mgQE/g extract</c:v>
                </c:pt>
              </c:strCache>
            </c:strRef>
          </c:tx>
          <c:spPr>
            <a:effectLst>
              <a:outerShdw blurRad="57150" dist="19050" dir="5400000" algn="ctr" rotWithShape="0">
                <a:srgbClr val="000000">
                  <a:alpha val="63000"/>
                </a:srgbClr>
              </a:outerShdw>
            </a:effectLst>
          </c:spPr>
          <c:marker>
            <c:symbol val="none"/>
          </c:marker>
          <c:cat>
            <c:strRef>
              <c:f>'[aloe graphs.xlsx]Sheet5'!$C$10:$C$12</c:f>
              <c:strCache>
                <c:ptCount val="3"/>
                <c:pt idx="0">
                  <c:v>C. edulis- Hydroethanolic</c:v>
                </c:pt>
                <c:pt idx="1">
                  <c:v>C. Edulis. Aqueous</c:v>
                </c:pt>
                <c:pt idx="2">
                  <c:v> C. edulis-Hydromethanolic</c:v>
                </c:pt>
              </c:strCache>
            </c:strRef>
          </c:cat>
          <c:val>
            <c:numRef>
              <c:f>'[aloe graphs.xlsx]Sheet5'!$D$10:$D$12</c:f>
              <c:numCache>
                <c:formatCode>General</c:formatCode>
                <c:ptCount val="3"/>
                <c:pt idx="0">
                  <c:v>9.4E-2</c:v>
                </c:pt>
                <c:pt idx="1">
                  <c:v>5.8000000000000003E-2</c:v>
                </c:pt>
                <c:pt idx="2">
                  <c:v>6.8000000000000005E-2</c:v>
                </c:pt>
              </c:numCache>
            </c:numRef>
          </c:val>
          <c:smooth val="0"/>
          <c:extLst>
            <c:ext xmlns:c16="http://schemas.microsoft.com/office/drawing/2014/chart" uri="{C3380CC4-5D6E-409C-BE32-E72D297353CC}">
              <c16:uniqueId val="{00000000-2612-4639-821B-55A249D7A560}"/>
            </c:ext>
          </c:extLst>
        </c:ser>
        <c:dLbls>
          <c:showLegendKey val="0"/>
          <c:showVal val="0"/>
          <c:showCatName val="0"/>
          <c:showSerName val="0"/>
          <c:showPercent val="0"/>
          <c:showBubbleSize val="0"/>
        </c:dLbls>
        <c:smooth val="0"/>
        <c:axId val="1482255376"/>
        <c:axId val="1482255920"/>
      </c:lineChart>
      <c:catAx>
        <c:axId val="1482255376"/>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482255920"/>
        <c:crosses val="autoZero"/>
        <c:auto val="1"/>
        <c:lblAlgn val="ctr"/>
        <c:lblOffset val="100"/>
        <c:noMultiLvlLbl val="0"/>
      </c:catAx>
      <c:valAx>
        <c:axId val="1482255920"/>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8225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d11fd151-69d7-421b-b7d2-a05291625394}"/>
      </c:ext>
    </c:extLst>
  </c:chart>
  <c:spPr>
    <a:solidFill>
      <a:schemeClr val="bg2"/>
    </a:solidFill>
    <a:ln w="9525" cap="flat" cmpd="sng" algn="ctr">
      <a:solidFill>
        <a:srgbClr val="FFFF00"/>
      </a:solidFill>
      <a:prstDash val="solid"/>
      <a:round/>
    </a:ln>
    <a:effectLst/>
  </c:spPr>
  <c:txPr>
    <a:bodyPr/>
    <a:lstStyle/>
    <a:p>
      <a:pPr>
        <a:defRPr lang="en-US"/>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Absorbance Vs Concentration</a:t>
            </a:r>
          </a:p>
        </c:rich>
      </c:tx>
      <c:overlay val="0"/>
      <c:spPr>
        <a:noFill/>
        <a:ln>
          <a:noFill/>
        </a:ln>
        <a:effectLst/>
      </c:spPr>
    </c:title>
    <c:autoTitleDeleted val="0"/>
    <c:plotArea>
      <c:layout/>
      <c:scatterChart>
        <c:scatterStyle val="lineMarker"/>
        <c:varyColors val="0"/>
        <c:ser>
          <c:idx val="0"/>
          <c:order val="0"/>
          <c:tx>
            <c:strRef>
              <c:f>'[C edulis antioxidant.xlsx]Sheet1'!$C$19:$C$20</c:f>
              <c:strCache>
                <c:ptCount val="1"/>
                <c:pt idx="0">
                  <c:v>Ascorbic acid</c:v>
                </c:pt>
              </c:strCache>
            </c:strRef>
          </c:tx>
          <c:spPr>
            <a:ln w="9525" cap="rnd" cmpd="sng" algn="ctr">
              <a:solidFill>
                <a:schemeClr val="accent1"/>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cmpd="sng" algn="ctr">
                <a:solidFill>
                  <a:schemeClr val="accent1"/>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1"/>
                </a:solidFill>
                <a:prstDash val="sysDash"/>
                <a:round/>
              </a:ln>
              <a:effectLst/>
            </c:spPr>
            <c:trendlineType val="linear"/>
            <c:dispRSqr val="1"/>
            <c:dispEq val="1"/>
            <c:trendlineLbl>
              <c:layout>
                <c:manualLayout>
                  <c:x val="-0.15738057742782199"/>
                  <c:y val="-0.11208369787109899"/>
                </c:manualLayout>
              </c:layout>
              <c:numFmt formatCode="General" sourceLinked="0"/>
              <c:spPr>
                <a:noFill/>
                <a:ln>
                  <a:no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antioxidant.xlsx]Sheet1'!$C$21:$C$29</c:f>
              <c:numCache>
                <c:formatCode>General</c:formatCode>
                <c:ptCount val="9"/>
                <c:pt idx="0">
                  <c:v>0.88200000000000001</c:v>
                </c:pt>
                <c:pt idx="1">
                  <c:v>0.72099999999999997</c:v>
                </c:pt>
                <c:pt idx="2">
                  <c:v>0.61199999999999999</c:v>
                </c:pt>
                <c:pt idx="3">
                  <c:v>0.51200000000000001</c:v>
                </c:pt>
                <c:pt idx="4">
                  <c:v>0.34699999999999998</c:v>
                </c:pt>
                <c:pt idx="5">
                  <c:v>0.248</c:v>
                </c:pt>
                <c:pt idx="6">
                  <c:v>0.17799999999999999</c:v>
                </c:pt>
                <c:pt idx="7">
                  <c:v>0.10199999999999999</c:v>
                </c:pt>
                <c:pt idx="8">
                  <c:v>7.5999999999999998E-2</c:v>
                </c:pt>
              </c:numCache>
            </c:numRef>
          </c:yVal>
          <c:smooth val="0"/>
          <c:extLst>
            <c:ext xmlns:c16="http://schemas.microsoft.com/office/drawing/2014/chart" uri="{C3380CC4-5D6E-409C-BE32-E72D297353CC}">
              <c16:uniqueId val="{00000001-6473-4F43-A6B7-01D45C769750}"/>
            </c:ext>
          </c:extLst>
        </c:ser>
        <c:ser>
          <c:idx val="1"/>
          <c:order val="1"/>
          <c:tx>
            <c:strRef>
              <c:f>'[C edulis antioxidant.xlsx]Sheet1'!$D$19:$D$20</c:f>
              <c:strCache>
                <c:ptCount val="1"/>
                <c:pt idx="0">
                  <c:v>C. edulis aqueous extract</c:v>
                </c:pt>
              </c:strCache>
            </c:strRef>
          </c:tx>
          <c:spPr>
            <a:ln w="9525" cap="rnd" cmpd="sng" algn="ctr">
              <a:solidFill>
                <a:schemeClr val="accent2"/>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cmpd="sng" algn="ctr">
                <a:solidFill>
                  <a:schemeClr val="accent2"/>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2"/>
                </a:solidFill>
                <a:prstDash val="sysDash"/>
                <a:round/>
              </a:ln>
              <a:effectLst/>
            </c:spPr>
            <c:trendlineType val="linear"/>
            <c:dispRSqr val="1"/>
            <c:dispEq val="1"/>
            <c:trendlineLbl>
              <c:layout>
                <c:manualLayout>
                  <c:x val="9.8174978127734E-2"/>
                  <c:y val="-0.169319407990668"/>
                </c:manualLayout>
              </c:layout>
              <c:numFmt formatCode="General" sourceLinked="0"/>
              <c:spPr>
                <a:noFill/>
                <a:ln>
                  <a:solidFill>
                    <a:schemeClr val="lt1">
                      <a:lumMod val="50000"/>
                    </a:schemeClr>
                  </a:solid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antioxidant.xlsx]Sheet1'!$D$21:$D$29</c:f>
              <c:numCache>
                <c:formatCode>General</c:formatCode>
                <c:ptCount val="9"/>
                <c:pt idx="0">
                  <c:v>0.93799999999999994</c:v>
                </c:pt>
                <c:pt idx="1">
                  <c:v>0.90800000000000003</c:v>
                </c:pt>
                <c:pt idx="2">
                  <c:v>0.83799999999999997</c:v>
                </c:pt>
                <c:pt idx="3">
                  <c:v>0.80200000000000005</c:v>
                </c:pt>
                <c:pt idx="4">
                  <c:v>0.745</c:v>
                </c:pt>
                <c:pt idx="5">
                  <c:v>0.66800000000000004</c:v>
                </c:pt>
                <c:pt idx="6">
                  <c:v>0.58399999999999996</c:v>
                </c:pt>
                <c:pt idx="7">
                  <c:v>0.53400000000000003</c:v>
                </c:pt>
                <c:pt idx="8">
                  <c:v>0.48899999999999999</c:v>
                </c:pt>
              </c:numCache>
            </c:numRef>
          </c:yVal>
          <c:smooth val="0"/>
          <c:extLst>
            <c:ext xmlns:c16="http://schemas.microsoft.com/office/drawing/2014/chart" uri="{C3380CC4-5D6E-409C-BE32-E72D297353CC}">
              <c16:uniqueId val="{00000003-6473-4F43-A6B7-01D45C769750}"/>
            </c:ext>
          </c:extLst>
        </c:ser>
        <c:ser>
          <c:idx val="2"/>
          <c:order val="2"/>
          <c:tx>
            <c:strRef>
              <c:f>'[C edulis antioxidant.xlsx]Sheet1'!$E$19:$E$20</c:f>
              <c:strCache>
                <c:ptCount val="1"/>
                <c:pt idx="0">
                  <c:v>C. edulis ethanolic extract</c:v>
                </c:pt>
              </c:strCache>
            </c:strRef>
          </c:tx>
          <c:spPr>
            <a:ln w="9525" cap="rnd" cmpd="sng" algn="ctr">
              <a:solidFill>
                <a:schemeClr val="accent3"/>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cmpd="sng" algn="ctr">
                <a:solidFill>
                  <a:schemeClr val="accent3"/>
                </a:solidFill>
                <a:prstDash val="solid"/>
                <a:round/>
              </a:ln>
              <a:effectLst>
                <a:outerShdw blurRad="57150" dist="19050" dir="5400000" algn="ctr" rotWithShape="0">
                  <a:srgbClr val="000000">
                    <a:alpha val="63000"/>
                  </a:srgbClr>
                </a:outerShdw>
              </a:effectLst>
            </c:spPr>
          </c:marker>
          <c:trendline>
            <c:spPr>
              <a:ln w="19050" cap="rnd" cmpd="sng" algn="ctr">
                <a:solidFill>
                  <a:schemeClr val="accent3"/>
                </a:solidFill>
                <a:prstDash val="sysDash"/>
                <a:round/>
              </a:ln>
              <a:effectLst/>
            </c:spPr>
            <c:trendlineType val="linear"/>
            <c:dispRSqr val="1"/>
            <c:dispEq val="1"/>
            <c:trendlineLbl>
              <c:layout>
                <c:manualLayout>
                  <c:x val="0.22750831146106701"/>
                  <c:y val="-9.2723461650627004E-2"/>
                </c:manualLayout>
              </c:layout>
              <c:numFmt formatCode="General" sourceLinked="0"/>
              <c:spPr>
                <a:noFill/>
                <a:ln>
                  <a:noFill/>
                </a:ln>
                <a:effectLst/>
              </c:spPr>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trendlineLbl>
          </c:trendline>
          <c:xVal>
            <c:numRef>
              <c:f>'[C edulis antioxidant.xlsx]Sheet1'!$B$21:$B$29</c:f>
              <c:numCache>
                <c:formatCode>General</c:formatCode>
                <c:ptCount val="9"/>
                <c:pt idx="0">
                  <c:v>5</c:v>
                </c:pt>
                <c:pt idx="1">
                  <c:v>10</c:v>
                </c:pt>
                <c:pt idx="2">
                  <c:v>15</c:v>
                </c:pt>
                <c:pt idx="3">
                  <c:v>25</c:v>
                </c:pt>
                <c:pt idx="4">
                  <c:v>50</c:v>
                </c:pt>
                <c:pt idx="5">
                  <c:v>75</c:v>
                </c:pt>
                <c:pt idx="6">
                  <c:v>100</c:v>
                </c:pt>
                <c:pt idx="7">
                  <c:v>125</c:v>
                </c:pt>
                <c:pt idx="8">
                  <c:v>150</c:v>
                </c:pt>
              </c:numCache>
            </c:numRef>
          </c:xVal>
          <c:yVal>
            <c:numRef>
              <c:f>'[C edulis antioxidant.xlsx]Sheet1'!$E$21:$E$29</c:f>
              <c:numCache>
                <c:formatCode>General</c:formatCode>
                <c:ptCount val="9"/>
                <c:pt idx="0">
                  <c:v>0.92100000000000004</c:v>
                </c:pt>
                <c:pt idx="1">
                  <c:v>0.88800000000000001</c:v>
                </c:pt>
                <c:pt idx="2">
                  <c:v>0.79400000000000004</c:v>
                </c:pt>
                <c:pt idx="3">
                  <c:v>0.69199999999999995</c:v>
                </c:pt>
                <c:pt idx="4">
                  <c:v>0.59599999999999997</c:v>
                </c:pt>
                <c:pt idx="5">
                  <c:v>0.41599999999999998</c:v>
                </c:pt>
                <c:pt idx="6">
                  <c:v>0.32200000000000001</c:v>
                </c:pt>
                <c:pt idx="7">
                  <c:v>0.27700000000000002</c:v>
                </c:pt>
                <c:pt idx="8">
                  <c:v>0.24399999999999999</c:v>
                </c:pt>
              </c:numCache>
            </c:numRef>
          </c:yVal>
          <c:smooth val="0"/>
          <c:extLst>
            <c:ext xmlns:c16="http://schemas.microsoft.com/office/drawing/2014/chart" uri="{C3380CC4-5D6E-409C-BE32-E72D297353CC}">
              <c16:uniqueId val="{00000005-6473-4F43-A6B7-01D45C769750}"/>
            </c:ext>
          </c:extLst>
        </c:ser>
        <c:dLbls>
          <c:showLegendKey val="0"/>
          <c:showVal val="0"/>
          <c:showCatName val="0"/>
          <c:showSerName val="0"/>
          <c:showPercent val="0"/>
          <c:showBubbleSize val="0"/>
        </c:dLbls>
        <c:axId val="1416357584"/>
        <c:axId val="1416346160"/>
      </c:scatterChart>
      <c:valAx>
        <c:axId val="1416357584"/>
        <c:scaling>
          <c:orientation val="minMax"/>
        </c:scaling>
        <c:delete val="0"/>
        <c:axPos val="b"/>
        <c:majorGridlines>
          <c:spPr>
            <a:ln w="9525" cap="flat" cmpd="sng" algn="ctr">
              <a:solidFill>
                <a:schemeClr val="lt1">
                  <a:lumMod val="95000"/>
                  <a:alpha val="10000"/>
                </a:schemeClr>
              </a:solidFill>
              <a:prstDash val="solid"/>
              <a:round/>
            </a:ln>
            <a:effectLst/>
          </c:spPr>
        </c:majorGridlines>
        <c:title>
          <c:tx>
            <c:rich>
              <a:bodyPr rot="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Concentration</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crossAx val="1416346160"/>
        <c:crosses val="autoZero"/>
        <c:crossBetween val="midCat"/>
      </c:valAx>
      <c:valAx>
        <c:axId val="1416346160"/>
        <c:scaling>
          <c:orientation val="minMax"/>
        </c:scaling>
        <c:delete val="0"/>
        <c:axPos val="l"/>
        <c:majorGridlines>
          <c:spPr>
            <a:ln w="9525" cap="flat" cmpd="sng" algn="ctr">
              <a:solidFill>
                <a:schemeClr val="lt1">
                  <a:lumMod val="95000"/>
                  <a:alpha val="10000"/>
                </a:schemeClr>
              </a:solidFill>
              <a:prstDash val="solid"/>
              <a:round/>
            </a:ln>
            <a:effectLst/>
          </c:spPr>
        </c:majorGridlines>
        <c:title>
          <c:tx>
            <c:rich>
              <a:bodyPr rot="-540000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Absorbance</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crossAx val="1416357584"/>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legendEntry>
      <c:legendEntry>
        <c:idx val="3"/>
        <c:txPr>
          <a:bodyPr rot="0" spcFirstLastPara="1" vertOverflow="ellipsis" vert="horz" wrap="square" anchor="ctr" anchorCtr="1"/>
          <a:lstStyle/>
          <a:p>
            <a:pPr>
              <a:defRPr lang="en-US" sz="900" b="1" i="0" u="none" strike="noStrike" kern="1200" baseline="0">
                <a:ln>
                  <a:noFill/>
                </a:ln>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en-US" sz="900" b="1" i="0" u="none" strike="noStrike" kern="1200" baseline="0">
              <a:ln>
                <a:solidFill>
                  <a:schemeClr val="bg1"/>
                </a:solidFill>
              </a:ln>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f433c2e0-5449-4abe-a784-938edceba608}"/>
      </c:ext>
    </c:extLst>
  </c:chart>
  <c:spPr>
    <a:solidFill>
      <a:schemeClr val="bg2"/>
    </a:solidFill>
    <a:ln w="9525" cap="flat" cmpd="sng" algn="ctr">
      <a:noFill/>
      <a:prstDash val="solid"/>
      <a:round/>
    </a:ln>
    <a:effectLst/>
  </c:spPr>
  <c:txPr>
    <a:bodyPr/>
    <a:lstStyle/>
    <a:p>
      <a:pPr>
        <a:defRPr lang="en-US"/>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en-US">
                <a:solidFill>
                  <a:sysClr val="windowText" lastClr="000000"/>
                </a:solidFill>
              </a:rPr>
              <a:t>Antioxidant activity of </a:t>
            </a:r>
            <a:r>
              <a:rPr lang="en-US" i="1">
                <a:solidFill>
                  <a:sysClr val="windowText" lastClr="000000"/>
                </a:solidFill>
              </a:rPr>
              <a:t>S.</a:t>
            </a:r>
            <a:r>
              <a:rPr lang="en-US" i="1" baseline="0">
                <a:solidFill>
                  <a:sysClr val="windowText" lastClr="000000"/>
                </a:solidFill>
              </a:rPr>
              <a:t> Incanum</a:t>
            </a:r>
            <a:endParaRPr lang="en-US" i="1">
              <a:solidFill>
                <a:sysClr val="windowText" lastClr="000000"/>
              </a:solidFill>
            </a:endParaRPr>
          </a:p>
        </c:rich>
      </c:tx>
      <c:overlay val="0"/>
      <c:spPr>
        <a:noFill/>
        <a:ln>
          <a:noFill/>
        </a:ln>
        <a:effectLst/>
      </c:spPr>
    </c:title>
    <c:autoTitleDeleted val="0"/>
    <c:plotArea>
      <c:layout/>
      <c:lineChart>
        <c:grouping val="standard"/>
        <c:varyColors val="0"/>
        <c:ser>
          <c:idx val="1"/>
          <c:order val="0"/>
          <c:tx>
            <c:strRef>
              <c:f>'[C edulis antioxidant.xlsx]Sheet1'!$C$7</c:f>
              <c:strCache>
                <c:ptCount val="1"/>
                <c:pt idx="0">
                  <c:v>Ascorbic acid</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Sheet1!$C$8:$C$16</c:f>
              <c:numCache>
                <c:formatCode>General</c:formatCode>
                <c:ptCount val="8"/>
                <c:pt idx="0">
                  <c:v>37.299999999999997</c:v>
                </c:pt>
                <c:pt idx="1">
                  <c:v>46.78</c:v>
                </c:pt>
                <c:pt idx="2">
                  <c:v>55.48</c:v>
                </c:pt>
                <c:pt idx="3">
                  <c:v>69.83</c:v>
                </c:pt>
                <c:pt idx="4">
                  <c:v>78.430000000000007</c:v>
                </c:pt>
                <c:pt idx="5">
                  <c:v>84.52</c:v>
                </c:pt>
                <c:pt idx="6">
                  <c:v>91.13</c:v>
                </c:pt>
                <c:pt idx="7">
                  <c:v>93.39</c:v>
                </c:pt>
              </c:numCache>
            </c:numRef>
          </c:val>
          <c:smooth val="0"/>
          <c:extLst>
            <c:ext xmlns:c16="http://schemas.microsoft.com/office/drawing/2014/chart" uri="{C3380CC4-5D6E-409C-BE32-E72D297353CC}">
              <c16:uniqueId val="{00000000-D924-43F8-BA67-08CB612D500E}"/>
            </c:ext>
          </c:extLst>
        </c:ser>
        <c:ser>
          <c:idx val="2"/>
          <c:order val="1"/>
          <c:tx>
            <c:strRef>
              <c:f>'[C edulis antioxidant.xlsx]Sheet1'!$D$7</c:f>
              <c:strCache>
                <c:ptCount val="1"/>
                <c:pt idx="0">
                  <c:v>C. edulis aquoeous extract</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Sheet1!$D$8:$D$16</c:f>
              <c:numCache>
                <c:formatCode>General</c:formatCode>
                <c:ptCount val="8"/>
                <c:pt idx="0">
                  <c:v>21.04</c:v>
                </c:pt>
                <c:pt idx="1">
                  <c:v>27.13</c:v>
                </c:pt>
                <c:pt idx="2">
                  <c:v>30.26</c:v>
                </c:pt>
                <c:pt idx="3">
                  <c:v>35.22</c:v>
                </c:pt>
                <c:pt idx="4">
                  <c:v>41.91</c:v>
                </c:pt>
                <c:pt idx="5">
                  <c:v>47.23</c:v>
                </c:pt>
                <c:pt idx="6">
                  <c:v>49.22</c:v>
                </c:pt>
                <c:pt idx="7">
                  <c:v>57.47</c:v>
                </c:pt>
              </c:numCache>
            </c:numRef>
          </c:val>
          <c:smooth val="0"/>
          <c:extLst>
            <c:ext xmlns:c16="http://schemas.microsoft.com/office/drawing/2014/chart" uri="{C3380CC4-5D6E-409C-BE32-E72D297353CC}">
              <c16:uniqueId val="{00000001-D924-43F8-BA67-08CB612D500E}"/>
            </c:ext>
          </c:extLst>
        </c:ser>
        <c:ser>
          <c:idx val="3"/>
          <c:order val="2"/>
          <c:tx>
            <c:strRef>
              <c:f>'[C edulis antioxidant.xlsx]Sheet1'!$E$7</c:f>
              <c:strCache>
                <c:ptCount val="1"/>
                <c:pt idx="0">
                  <c:v>C. edulis ethanolic extract</c:v>
                </c:pt>
              </c:strCache>
            </c:strRef>
          </c:tx>
          <c:spPr>
            <a:effectLst>
              <a:outerShdw blurRad="57150" dist="19050" dir="5400000" algn="ctr" rotWithShape="0">
                <a:srgbClr val="000000">
                  <a:alpha val="63000"/>
                </a:srgbClr>
              </a:outerShdw>
            </a:effectLst>
          </c:spPr>
          <c:marker>
            <c:symbol val="none"/>
          </c:marker>
          <c:cat>
            <c:numRef>
              <c:f>'[C edulis antioxidant.xlsx]Sheet1'!$B$7:$B$16</c:f>
              <c:numCache>
                <c:formatCode>General</c:formatCode>
                <c:ptCount val="9"/>
                <c:pt idx="0">
                  <c:v>5</c:v>
                </c:pt>
                <c:pt idx="1">
                  <c:v>10</c:v>
                </c:pt>
                <c:pt idx="2">
                  <c:v>15</c:v>
                </c:pt>
                <c:pt idx="3">
                  <c:v>25</c:v>
                </c:pt>
                <c:pt idx="4">
                  <c:v>50</c:v>
                </c:pt>
                <c:pt idx="5">
                  <c:v>75</c:v>
                </c:pt>
                <c:pt idx="6">
                  <c:v>100</c:v>
                </c:pt>
                <c:pt idx="7">
                  <c:v>125</c:v>
                </c:pt>
                <c:pt idx="8">
                  <c:v>150</c:v>
                </c:pt>
              </c:numCache>
            </c:numRef>
          </c:cat>
          <c:val>
            <c:numRef>
              <c:f>Sheet1!$E$8:$E$16</c:f>
              <c:numCache>
                <c:formatCode>General</c:formatCode>
                <c:ptCount val="8"/>
                <c:pt idx="0">
                  <c:v>22.78</c:v>
                </c:pt>
                <c:pt idx="1">
                  <c:v>30.96</c:v>
                </c:pt>
                <c:pt idx="2">
                  <c:v>39.83</c:v>
                </c:pt>
                <c:pt idx="3">
                  <c:v>48.17</c:v>
                </c:pt>
                <c:pt idx="4">
                  <c:v>63.83</c:v>
                </c:pt>
                <c:pt idx="5">
                  <c:v>72</c:v>
                </c:pt>
                <c:pt idx="6">
                  <c:v>75.91</c:v>
                </c:pt>
                <c:pt idx="7">
                  <c:v>78.78</c:v>
                </c:pt>
              </c:numCache>
            </c:numRef>
          </c:val>
          <c:smooth val="0"/>
          <c:extLst>
            <c:ext xmlns:c16="http://schemas.microsoft.com/office/drawing/2014/chart" uri="{C3380CC4-5D6E-409C-BE32-E72D297353CC}">
              <c16:uniqueId val="{00000002-D924-43F8-BA67-08CB612D500E}"/>
            </c:ext>
          </c:extLst>
        </c:ser>
        <c:dLbls>
          <c:showLegendKey val="0"/>
          <c:showVal val="0"/>
          <c:showCatName val="0"/>
          <c:showSerName val="0"/>
          <c:showPercent val="0"/>
          <c:showBubbleSize val="0"/>
        </c:dLbls>
        <c:smooth val="0"/>
        <c:axId val="1416348880"/>
        <c:axId val="1416349968"/>
      </c:lineChart>
      <c:catAx>
        <c:axId val="14163488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416349968"/>
        <c:crosses val="autoZero"/>
        <c:auto val="1"/>
        <c:lblAlgn val="ctr"/>
        <c:lblOffset val="100"/>
        <c:noMultiLvlLbl val="0"/>
      </c:catAx>
      <c:valAx>
        <c:axId val="1416349968"/>
        <c:scaling>
          <c:orientation val="minMax"/>
        </c:scaling>
        <c:delete val="0"/>
        <c:axPos val="l"/>
        <c:majorGridlines>
          <c:spPr>
            <a:ln w="9525" cap="flat" cmpd="sng" algn="ctr">
              <a:solidFill>
                <a:schemeClr val="lt1">
                  <a:lumMod val="95000"/>
                  <a:alpha val="10000"/>
                </a:schemeClr>
              </a:solidFill>
              <a:prstDash val="solid"/>
              <a:round/>
            </a:ln>
            <a:effectLst/>
          </c:spPr>
        </c:majorGridlines>
        <c:title>
          <c:tx>
            <c:rich>
              <a:bodyPr rot="-5400000" spcFirstLastPara="1" vertOverflow="ellipsis" vert="horz" wrap="square" anchor="ctr" anchorCtr="1"/>
              <a:lstStyle/>
              <a:p>
                <a:pPr>
                  <a:defRPr lang="en-US" sz="900" b="1" i="0" u="none" strike="noStrike" kern="1200" cap="all" baseline="0">
                    <a:ln>
                      <a:noFill/>
                    </a:ln>
                    <a:solidFill>
                      <a:sysClr val="windowText" lastClr="000000"/>
                    </a:solidFill>
                    <a:latin typeface="+mn-lt"/>
                    <a:ea typeface="+mn-ea"/>
                    <a:cs typeface="+mn-cs"/>
                  </a:defRPr>
                </a:pPr>
                <a:r>
                  <a:rPr lang="en-US">
                    <a:ln>
                      <a:noFill/>
                    </a:ln>
                    <a:solidFill>
                      <a:sysClr val="windowText" lastClr="000000"/>
                    </a:solidFill>
                  </a:rPr>
                  <a:t>% inhibition</a:t>
                </a:r>
              </a:p>
            </c:rich>
          </c:tx>
          <c:layout>
            <c:manualLayout>
              <c:xMode val="edge"/>
              <c:yMode val="edge"/>
              <c:x val="0.21965952773201539"/>
              <c:y val="0.23710265383493731"/>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416348880"/>
        <c:crosses val="autoZero"/>
        <c:crossBetween val="between"/>
      </c:valAx>
      <c:dTable>
        <c:showHorzBorder val="1"/>
        <c:showVertBorder val="1"/>
        <c:showOutline val="1"/>
        <c:showKeys val="1"/>
        <c:spPr>
          <a:noFill/>
          <a:ln w="9525" cap="flat" cmpd="sng" algn="ctr">
            <a:solidFill>
              <a:schemeClr val="lt1">
                <a:lumMod val="95000"/>
                <a:alpha val="54000"/>
              </a:schemeClr>
            </a:solidFill>
            <a:prstDash val="solid"/>
            <a:round/>
          </a:ln>
          <a:effectLst/>
        </c:spPr>
        <c:txPr>
          <a:bodyPr rot="0" spcFirstLastPara="1" vertOverflow="ellipsis" vert="horz" wrap="square" anchor="ctr" anchorCtr="1"/>
          <a:lstStyle/>
          <a:p>
            <a:pPr rtl="0">
              <a:defRPr lang="en-US" sz="900" b="0" i="0" u="none" strike="noStrike" kern="1200" baseline="0">
                <a:ln>
                  <a:solidFill>
                    <a:schemeClr val="tx1"/>
                  </a:solidFill>
                </a:ln>
                <a:solidFill>
                  <a:schemeClr val="bg1"/>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bg1"/>
              </a:solidFill>
              <a:latin typeface="+mn-lt"/>
              <a:ea typeface="+mn-ea"/>
              <a:cs typeface="+mn-cs"/>
            </a:defRPr>
          </a:pPr>
          <a:endParaRPr lang="en-US"/>
        </a:p>
      </c:txPr>
    </c:legend>
    <c:plotVisOnly val="1"/>
    <c:dispBlanksAs val="gap"/>
    <c:showDLblsOverMax val="0"/>
    <c:extLst>
      <c:ext uri="{0b15fc19-7d7d-44ad-8c2d-2c3a37ce22c3}">
        <chartProps xmlns="https://web.wps.cn/et/2018/main" chartId="{a08314a0-8507-4f20-baf9-e66cb429ad6f}"/>
      </c:ext>
    </c:extLst>
  </c:chart>
  <c:spPr>
    <a:solidFill>
      <a:schemeClr val="bg2"/>
    </a:solidFill>
    <a:ln w="9525" cap="flat" cmpd="sng" algn="ctr">
      <a:noFill/>
      <a:prstDash val="solid"/>
      <a:round/>
    </a:ln>
    <a:effectLst/>
  </c:spPr>
  <c:txPr>
    <a:bodyPr/>
    <a:lstStyle/>
    <a:p>
      <a:pPr>
        <a:defRPr lang="en-US"/>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1" i="0" baseline="0">
                <a:effectLst>
                  <a:outerShdw blurRad="50800" dist="38100" dir="5400000" algn="t" rotWithShape="0">
                    <a:srgbClr val="000000">
                      <a:alpha val="40000"/>
                    </a:srgbClr>
                  </a:outerShdw>
                </a:effectLst>
              </a:rPr>
              <a:t>Observed rats weights (g) during oral  toxicty studies</a:t>
            </a:r>
            <a:endParaRPr lang="en-ZW">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ZW"/>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ZW"/>
        </a:p>
      </c:txPr>
    </c:title>
    <c:autoTitleDeleted val="0"/>
    <c:plotArea>
      <c:layout/>
      <c:barChart>
        <c:barDir val="col"/>
        <c:grouping val="clustered"/>
        <c:varyColors val="0"/>
        <c:ser>
          <c:idx val="0"/>
          <c:order val="0"/>
          <c:tx>
            <c:strRef>
              <c:f>Sheet1!$H$25</c:f>
              <c:strCache>
                <c:ptCount val="1"/>
                <c:pt idx="0">
                  <c:v>initial weight</c:v>
                </c:pt>
              </c:strCache>
            </c:strRef>
          </c:tx>
          <c:spPr>
            <a:solidFill>
              <a:schemeClr val="accent1"/>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Sheet1!$H$26:$H$30</c:f>
              <c:numCache>
                <c:formatCode>General</c:formatCode>
                <c:ptCount val="5"/>
                <c:pt idx="0">
                  <c:v>246</c:v>
                </c:pt>
                <c:pt idx="1">
                  <c:v>255</c:v>
                </c:pt>
                <c:pt idx="2">
                  <c:v>244</c:v>
                </c:pt>
                <c:pt idx="3">
                  <c:v>250</c:v>
                </c:pt>
                <c:pt idx="4">
                  <c:v>245</c:v>
                </c:pt>
              </c:numCache>
            </c:numRef>
          </c:val>
          <c:extLst>
            <c:ext xmlns:c16="http://schemas.microsoft.com/office/drawing/2014/chart" uri="{C3380CC4-5D6E-409C-BE32-E72D297353CC}">
              <c16:uniqueId val="{00000000-6CDA-4224-9364-28725A191494}"/>
            </c:ext>
          </c:extLst>
        </c:ser>
        <c:ser>
          <c:idx val="1"/>
          <c:order val="1"/>
          <c:tx>
            <c:strRef>
              <c:f>Sheet1!$I$25</c:f>
              <c:strCache>
                <c:ptCount val="1"/>
                <c:pt idx="0">
                  <c:v>weight after 7 days</c:v>
                </c:pt>
              </c:strCache>
            </c:strRef>
          </c:tx>
          <c:spPr>
            <a:solidFill>
              <a:schemeClr val="accent2"/>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Sheet1!$I$26:$I$30</c:f>
              <c:numCache>
                <c:formatCode>General</c:formatCode>
                <c:ptCount val="5"/>
                <c:pt idx="0">
                  <c:v>259</c:v>
                </c:pt>
                <c:pt idx="1">
                  <c:v>260</c:v>
                </c:pt>
                <c:pt idx="2">
                  <c:v>258</c:v>
                </c:pt>
                <c:pt idx="3">
                  <c:v>257</c:v>
                </c:pt>
                <c:pt idx="4">
                  <c:v>255</c:v>
                </c:pt>
              </c:numCache>
            </c:numRef>
          </c:val>
          <c:extLst>
            <c:ext xmlns:c16="http://schemas.microsoft.com/office/drawing/2014/chart" uri="{C3380CC4-5D6E-409C-BE32-E72D297353CC}">
              <c16:uniqueId val="{00000001-6CDA-4224-9364-28725A191494}"/>
            </c:ext>
          </c:extLst>
        </c:ser>
        <c:ser>
          <c:idx val="2"/>
          <c:order val="2"/>
          <c:tx>
            <c:strRef>
              <c:f>Sheet1!$J$25</c:f>
              <c:strCache>
                <c:ptCount val="1"/>
                <c:pt idx="0">
                  <c:v>weight after 14 days</c:v>
                </c:pt>
              </c:strCache>
            </c:strRef>
          </c:tx>
          <c:spPr>
            <a:solidFill>
              <a:schemeClr val="accent3"/>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Sheet1!$J$26:$J$30</c:f>
              <c:numCache>
                <c:formatCode>General</c:formatCode>
                <c:ptCount val="5"/>
                <c:pt idx="0">
                  <c:v>271</c:v>
                </c:pt>
                <c:pt idx="1">
                  <c:v>274</c:v>
                </c:pt>
                <c:pt idx="2">
                  <c:v>265</c:v>
                </c:pt>
                <c:pt idx="3">
                  <c:v>277</c:v>
                </c:pt>
                <c:pt idx="4">
                  <c:v>266</c:v>
                </c:pt>
              </c:numCache>
            </c:numRef>
          </c:val>
          <c:extLst>
            <c:ext xmlns:c16="http://schemas.microsoft.com/office/drawing/2014/chart" uri="{C3380CC4-5D6E-409C-BE32-E72D297353CC}">
              <c16:uniqueId val="{00000002-6CDA-4224-9364-28725A191494}"/>
            </c:ext>
          </c:extLst>
        </c:ser>
        <c:ser>
          <c:idx val="3"/>
          <c:order val="3"/>
          <c:tx>
            <c:strRef>
              <c:f>Sheet1!$K$25</c:f>
              <c:strCache>
                <c:ptCount val="1"/>
                <c:pt idx="0">
                  <c:v>weight after 21 days</c:v>
                </c:pt>
              </c:strCache>
            </c:strRef>
          </c:tx>
          <c:spPr>
            <a:solidFill>
              <a:schemeClr val="accent4"/>
            </a:solidFill>
            <a:ln>
              <a:noFill/>
            </a:ln>
            <a:effectLst/>
          </c:spPr>
          <c:invertIfNegative val="0"/>
          <c:cat>
            <c:strRef>
              <c:f>Sheet1!$G$26:$G$30</c:f>
              <c:strCache>
                <c:ptCount val="5"/>
                <c:pt idx="0">
                  <c:v>250mg/kg</c:v>
                </c:pt>
                <c:pt idx="1">
                  <c:v>500mg/kg</c:v>
                </c:pt>
                <c:pt idx="2">
                  <c:v>1000mg/kg</c:v>
                </c:pt>
                <c:pt idx="3">
                  <c:v>2000mg/kg</c:v>
                </c:pt>
                <c:pt idx="4">
                  <c:v>distilled water</c:v>
                </c:pt>
              </c:strCache>
            </c:strRef>
          </c:cat>
          <c:val>
            <c:numRef>
              <c:f>Sheet1!$K$26:$K$30</c:f>
              <c:numCache>
                <c:formatCode>General</c:formatCode>
                <c:ptCount val="5"/>
                <c:pt idx="0">
                  <c:v>282</c:v>
                </c:pt>
                <c:pt idx="1">
                  <c:v>287</c:v>
                </c:pt>
                <c:pt idx="2">
                  <c:v>280</c:v>
                </c:pt>
                <c:pt idx="3">
                  <c:v>281</c:v>
                </c:pt>
                <c:pt idx="4">
                  <c:v>282</c:v>
                </c:pt>
              </c:numCache>
            </c:numRef>
          </c:val>
          <c:extLst>
            <c:ext xmlns:c16="http://schemas.microsoft.com/office/drawing/2014/chart" uri="{C3380CC4-5D6E-409C-BE32-E72D297353CC}">
              <c16:uniqueId val="{00000003-6CDA-4224-9364-28725A191494}"/>
            </c:ext>
          </c:extLst>
        </c:ser>
        <c:dLbls>
          <c:showLegendKey val="0"/>
          <c:showVal val="0"/>
          <c:showCatName val="0"/>
          <c:showSerName val="0"/>
          <c:showPercent val="0"/>
          <c:showBubbleSize val="0"/>
        </c:dLbls>
        <c:gapWidth val="150"/>
        <c:axId val="1417093568"/>
        <c:axId val="1417094656"/>
      </c:barChart>
      <c:catAx>
        <c:axId val="1417093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Dose</a:t>
                </a:r>
                <a:r>
                  <a:rPr lang="en-ZW" baseline="0"/>
                  <a:t> categories</a:t>
                </a:r>
                <a:endParaRPr lang="en-ZW"/>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Z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094656"/>
        <c:crosses val="autoZero"/>
        <c:auto val="1"/>
        <c:lblAlgn val="ctr"/>
        <c:lblOffset val="100"/>
        <c:noMultiLvlLbl val="0"/>
      </c:catAx>
      <c:valAx>
        <c:axId val="141709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W"/>
                  <a:t>weight/g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09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cdr:x>
      <cdr:y>0.81597</cdr:y>
    </cdr:from>
    <cdr:to>
      <cdr:x>0.93671</cdr:x>
      <cdr:y>0.89838</cdr:y>
    </cdr:to>
    <cdr:sp macro="" textlink="">
      <cdr:nvSpPr>
        <cdr:cNvPr id="2" name="Rectangles 1"/>
        <cdr:cNvSpPr/>
      </cdr:nvSpPr>
      <cdr:spPr>
        <a:xfrm xmlns:a="http://schemas.openxmlformats.org/drawingml/2006/main">
          <a:off x="386080" y="2238375"/>
          <a:ext cx="4134485" cy="22606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p xmlns:a="http://schemas.openxmlformats.org/drawingml/2006/main">
          <a:pPr>
            <a:spcAft>
              <a:spcPts val="0"/>
            </a:spcAft>
          </a:pPr>
          <a:r>
            <a:rPr lang="en-US" sz="800" b="1">
              <a:solidFill>
                <a:sysClr val="windowText" lastClr="000000"/>
              </a:solidFill>
              <a:effectLst/>
              <a:latin typeface="Arial" panose="020B0604020202020204" pitchFamily="2" charset="0"/>
              <a:ea typeface="Times New Roman" panose="02020603050405020304" charset="0"/>
            </a:rPr>
            <a:t>       Hydro-ethanolic</a:t>
          </a:r>
          <a:r>
            <a:rPr lang="en-US" sz="800" b="1" baseline="0">
              <a:solidFill>
                <a:sysClr val="windowText" lastClr="000000"/>
              </a:solidFill>
              <a:effectLst/>
              <a:latin typeface="Arial" panose="020B0604020202020204" pitchFamily="2" charset="0"/>
              <a:ea typeface="Times New Roman" panose="02020603050405020304" charset="0"/>
            </a:rPr>
            <a:t>               </a:t>
          </a:r>
          <a:r>
            <a:rPr lang="en-US" sz="800" b="1">
              <a:solidFill>
                <a:sysClr val="windowText" lastClr="000000"/>
              </a:solidFill>
              <a:effectLst/>
              <a:latin typeface="Arial" panose="020B0604020202020204" pitchFamily="2" charset="0"/>
              <a:ea typeface="Times New Roman" panose="02020603050405020304" charset="0"/>
            </a:rPr>
            <a:t>        aqueous                          hydro-methanolic</a:t>
          </a:r>
          <a:endParaRPr lang="en-US" sz="1200">
            <a:solidFill>
              <a:sysClr val="windowText" lastClr="000000"/>
            </a:solidFill>
            <a:effectLst/>
            <a:latin typeface="Times New Roman" panose="02020603050405020304" charset="0"/>
            <a:ea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0.1446</cdr:x>
      <cdr:y>0.90301</cdr:y>
    </cdr:from>
    <cdr:to>
      <cdr:x>0.49191</cdr:x>
      <cdr:y>0.98681</cdr:y>
    </cdr:to>
    <cdr:sp macro="" textlink="">
      <cdr:nvSpPr>
        <cdr:cNvPr id="2" name="Rectangles 1"/>
        <cdr:cNvSpPr/>
      </cdr:nvSpPr>
      <cdr:spPr>
        <a:xfrm xmlns:a="http://schemas.openxmlformats.org/drawingml/2006/main">
          <a:off x="669925" y="2477135"/>
          <a:ext cx="1609073" cy="22988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Linear (aqueous extract)</a:t>
          </a:r>
        </a:p>
      </cdr:txBody>
    </cdr:sp>
  </cdr:relSizeAnchor>
  <cdr:relSizeAnchor xmlns:cdr="http://schemas.openxmlformats.org/drawingml/2006/chartDrawing">
    <cdr:from>
      <cdr:x>0.15776</cdr:x>
      <cdr:y>0.79676</cdr:y>
    </cdr:from>
    <cdr:to>
      <cdr:x>0.4305</cdr:x>
      <cdr:y>0.88075</cdr:y>
    </cdr:to>
    <cdr:sp macro="" textlink="">
      <cdr:nvSpPr>
        <cdr:cNvPr id="3" name="Rectangles 2"/>
        <cdr:cNvSpPr/>
      </cdr:nvSpPr>
      <cdr:spPr>
        <a:xfrm xmlns:a="http://schemas.openxmlformats.org/drawingml/2006/main">
          <a:off x="730885" y="2185670"/>
          <a:ext cx="1263600" cy="23040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0.16872</cdr:x>
      <cdr:y>0.81528</cdr:y>
    </cdr:from>
    <cdr:to>
      <cdr:x>0.44146</cdr:x>
      <cdr:y>0.89927</cdr:y>
    </cdr:to>
    <cdr:sp macro="" textlink="">
      <cdr:nvSpPr>
        <cdr:cNvPr id="4" name="Rectangles 3"/>
        <cdr:cNvSpPr/>
      </cdr:nvSpPr>
      <cdr:spPr>
        <a:xfrm xmlns:a="http://schemas.openxmlformats.org/drawingml/2006/main">
          <a:off x="781685" y="2236470"/>
          <a:ext cx="1263600" cy="230400"/>
        </a:xfrm>
        <a:prstGeom xmlns:a="http://schemas.openxmlformats.org/drawingml/2006/main" prst="rect">
          <a:avLst/>
        </a:prstGeom>
        <a:solidFill xmlns:a="http://schemas.openxmlformats.org/drawingml/2006/main">
          <a:srgbClr val="00B0F0"/>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0.16872</cdr:x>
      <cdr:y>0.81528</cdr:y>
    </cdr:from>
    <cdr:to>
      <cdr:x>0.44146</cdr:x>
      <cdr:y>0.89927</cdr:y>
    </cdr:to>
    <cdr:sp macro="" textlink="">
      <cdr:nvSpPr>
        <cdr:cNvPr id="5" name="Rectangles 4"/>
        <cdr:cNvSpPr/>
      </cdr:nvSpPr>
      <cdr:spPr>
        <a:xfrm xmlns:a="http://schemas.openxmlformats.org/drawingml/2006/main">
          <a:off x="781685" y="2236470"/>
          <a:ext cx="1263600" cy="23040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0.1446</cdr:x>
      <cdr:y>0.81921</cdr:y>
    </cdr:from>
    <cdr:to>
      <cdr:x>0.39268</cdr:x>
      <cdr:y>0.9032</cdr:y>
    </cdr:to>
    <cdr:sp macro="" textlink="">
      <cdr:nvSpPr>
        <cdr:cNvPr id="6" name="Rectangles 5"/>
        <cdr:cNvSpPr/>
      </cdr:nvSpPr>
      <cdr:spPr>
        <a:xfrm xmlns:a="http://schemas.openxmlformats.org/drawingml/2006/main">
          <a:off x="669925" y="2247265"/>
          <a:ext cx="1149350" cy="230401"/>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0.59115</cdr:x>
      <cdr:y>0.73542</cdr:y>
    </cdr:from>
    <cdr:to>
      <cdr:x>0.86389</cdr:x>
      <cdr:y>0.81941</cdr:y>
    </cdr:to>
    <cdr:sp macro="" textlink="">
      <cdr:nvSpPr>
        <cdr:cNvPr id="7" name="Rectangles 6"/>
        <cdr:cNvSpPr/>
      </cdr:nvSpPr>
      <cdr:spPr>
        <a:xfrm xmlns:a="http://schemas.openxmlformats.org/drawingml/2006/main">
          <a:off x="2738755" y="2017395"/>
          <a:ext cx="1263594" cy="230401"/>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aqueus extract</a:t>
          </a:r>
        </a:p>
      </cdr:txBody>
    </cdr:sp>
  </cdr:relSizeAnchor>
  <cdr:relSizeAnchor xmlns:cdr="http://schemas.openxmlformats.org/drawingml/2006/chartDrawing">
    <cdr:from>
      <cdr:x>0.65392</cdr:x>
      <cdr:y>0.91532</cdr:y>
    </cdr:from>
    <cdr:to>
      <cdr:x>0.92666</cdr:x>
      <cdr:y>0.99931</cdr:y>
    </cdr:to>
    <cdr:sp macro="" textlink="">
      <cdr:nvSpPr>
        <cdr:cNvPr id="8" name="Rectangles 7"/>
        <cdr:cNvSpPr/>
      </cdr:nvSpPr>
      <cdr:spPr>
        <a:xfrm xmlns:a="http://schemas.openxmlformats.org/drawingml/2006/main">
          <a:off x="3029585" y="2510895"/>
          <a:ext cx="1263600" cy="230400"/>
        </a:xfrm>
        <a:prstGeom xmlns:a="http://schemas.openxmlformats.org/drawingml/2006/main" prst="rect">
          <a:avLst/>
        </a:prstGeom>
        <a:solidFill xmlns:a="http://schemas.openxmlformats.org/drawingml/2006/main">
          <a:srgbClr val="00B0F0"/>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chemeClr val="bg1"/>
              </a:solidFill>
              <a:effectLst/>
              <a:latin typeface="Times New Roman" panose="02020603050405020304" charset="0"/>
              <a:ea typeface="Times New Roman" panose="02020603050405020304" charset="0"/>
            </a:rPr>
            <a:t>methanolic extract</a:t>
          </a:r>
        </a:p>
      </cdr:txBody>
    </cdr:sp>
  </cdr:relSizeAnchor>
  <cdr:relSizeAnchor xmlns:cdr="http://schemas.openxmlformats.org/drawingml/2006/chartDrawing">
    <cdr:from>
      <cdr:x>0.5795</cdr:x>
      <cdr:y>0.87986</cdr:y>
    </cdr:from>
    <cdr:to>
      <cdr:x>0.92681</cdr:x>
      <cdr:y>1</cdr:y>
    </cdr:to>
    <cdr:sp macro="" textlink="">
      <cdr:nvSpPr>
        <cdr:cNvPr id="9" name="Rectangles 8"/>
        <cdr:cNvSpPr/>
      </cdr:nvSpPr>
      <cdr:spPr>
        <a:xfrm xmlns:a="http://schemas.openxmlformats.org/drawingml/2006/main">
          <a:off x="2684780" y="2413634"/>
          <a:ext cx="1609090" cy="329566"/>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Linear (methanolic</a:t>
          </a:r>
          <a:r>
            <a:rPr lang="en-US" sz="900" b="1" baseline="0">
              <a:solidFill>
                <a:sysClr val="windowText" lastClr="000000"/>
              </a:solidFill>
              <a:effectLst/>
              <a:latin typeface="Times New Roman" panose="02020603050405020304" charset="0"/>
              <a:ea typeface="Times New Roman" panose="02020603050405020304" charset="0"/>
            </a:rPr>
            <a:t> extract)</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0.10008</cdr:x>
      <cdr:y>0.67245</cdr:y>
    </cdr:from>
    <cdr:to>
      <cdr:x>0.37342</cdr:x>
      <cdr:y>0.75625</cdr:y>
    </cdr:to>
    <cdr:sp macro="" textlink="">
      <cdr:nvSpPr>
        <cdr:cNvPr id="2" name="Rectangles 1"/>
        <cdr:cNvSpPr/>
      </cdr:nvSpPr>
      <cdr:spPr>
        <a:xfrm xmlns:a="http://schemas.openxmlformats.org/drawingml/2006/main">
          <a:off x="462915" y="1844675"/>
          <a:ext cx="1264285" cy="22987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S.</a:t>
          </a:r>
          <a:r>
            <a:rPr lang="en-US" sz="900" b="1" baseline="0">
              <a:solidFill>
                <a:sysClr val="windowText" lastClr="000000"/>
              </a:solidFill>
              <a:effectLst/>
              <a:latin typeface="Times New Roman" panose="02020603050405020304" charset="0"/>
              <a:ea typeface="Times New Roman" panose="02020603050405020304" charset="0"/>
            </a:rPr>
            <a:t> </a:t>
          </a:r>
          <a:r>
            <a:rPr lang="en-US" sz="900" b="1" i="1" baseline="0">
              <a:solidFill>
                <a:sysClr val="windowText" lastClr="000000"/>
              </a:solidFill>
              <a:effectLst/>
              <a:latin typeface="Times New Roman" panose="02020603050405020304" charset="0"/>
              <a:ea typeface="Times New Roman" panose="02020603050405020304" charset="0"/>
            </a:rPr>
            <a:t>incanum </a:t>
          </a:r>
          <a:r>
            <a:rPr lang="en-US" sz="900" b="1">
              <a:solidFill>
                <a:sysClr val="windowText" lastClr="000000"/>
              </a:solidFill>
              <a:effectLst/>
              <a:latin typeface="Times New Roman" panose="02020603050405020304" charset="0"/>
              <a:ea typeface="Times New Roman" panose="02020603050405020304" charset="0"/>
            </a:rPr>
            <a:t>aqueous</a:t>
          </a:r>
          <a:r>
            <a:rPr lang="en-US" sz="900" b="1" baseline="0">
              <a:solidFill>
                <a:sysClr val="windowText" lastClr="000000"/>
              </a:solidFill>
              <a:effectLst/>
              <a:latin typeface="Times New Roman" panose="02020603050405020304" charset="0"/>
              <a:ea typeface="Times New Roman" panose="02020603050405020304" charset="0"/>
            </a:rPr>
            <a:t> </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dr:relSizeAnchor xmlns:cdr="http://schemas.openxmlformats.org/drawingml/2006/chartDrawing">
    <cdr:from>
      <cdr:x>0.10008</cdr:x>
      <cdr:y>0.79815</cdr:y>
    </cdr:from>
    <cdr:to>
      <cdr:x>0.37342</cdr:x>
      <cdr:y>0.88194</cdr:y>
    </cdr:to>
    <cdr:sp macro="" textlink="">
      <cdr:nvSpPr>
        <cdr:cNvPr id="3" name="Rectangles 2"/>
        <cdr:cNvSpPr/>
      </cdr:nvSpPr>
      <cdr:spPr>
        <a:xfrm xmlns:a="http://schemas.openxmlformats.org/drawingml/2006/main">
          <a:off x="462916" y="2189480"/>
          <a:ext cx="1264284" cy="229870"/>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900" b="1">
              <a:solidFill>
                <a:sysClr val="windowText" lastClr="000000"/>
              </a:solidFill>
              <a:effectLst/>
              <a:latin typeface="Times New Roman" panose="02020603050405020304" charset="0"/>
              <a:ea typeface="Times New Roman" panose="02020603050405020304" charset="0"/>
            </a:rPr>
            <a:t>methanolic</a:t>
          </a:r>
          <a:r>
            <a:rPr lang="en-US" sz="900" b="1" baseline="0">
              <a:solidFill>
                <a:sysClr val="windowText" lastClr="000000"/>
              </a:solidFill>
              <a:effectLst/>
              <a:latin typeface="Times New Roman" panose="02020603050405020304" charset="0"/>
              <a:ea typeface="Times New Roman" panose="02020603050405020304" charset="0"/>
            </a:rPr>
            <a:t> extract</a:t>
          </a:r>
          <a:endParaRPr lang="en-US" sz="900" b="1">
            <a:solidFill>
              <a:sysClr val="windowText" lastClr="000000"/>
            </a:solidFill>
            <a:effectLst/>
            <a:latin typeface="Times New Roman" panose="02020603050405020304" charset="0"/>
            <a:ea typeface="Times New Roman" panose="02020603050405020304" charset="0"/>
          </a:endParaRPr>
        </a:p>
      </cdr:txBody>
    </cdr:sp>
  </cdr:relSizeAnchor>
  <cdr:relSizeAnchor xmlns:cdr="http://schemas.openxmlformats.org/drawingml/2006/chartDrawing">
    <cdr:from>
      <cdr:x>0.05038</cdr:x>
      <cdr:y>0.89838</cdr:y>
    </cdr:from>
    <cdr:to>
      <cdr:x>0.9698</cdr:x>
      <cdr:y>0.96574</cdr:y>
    </cdr:to>
    <cdr:sp macro="" textlink="">
      <cdr:nvSpPr>
        <cdr:cNvPr id="4" name="Rectangles 3"/>
        <cdr:cNvSpPr/>
      </cdr:nvSpPr>
      <cdr:spPr>
        <a:xfrm xmlns:a="http://schemas.openxmlformats.org/drawingml/2006/main">
          <a:off x="233044" y="2464435"/>
          <a:ext cx="4252595" cy="184785"/>
        </a:xfrm>
        <a:prstGeom xmlns:a="http://schemas.openxmlformats.org/drawingml/2006/main" prst="rect">
          <a:avLst/>
        </a:prstGeom>
        <a:solidFill xmlns:a="http://schemas.openxmlformats.org/drawingml/2006/main">
          <a:schemeClr val="bg2"/>
        </a:solidFill>
        <a:ln xmlns:a="http://schemas.openxmlformats.org/drawingml/2006/main" w="9525" cap="flat" cmpd="sng">
          <a:noFill/>
          <a:prstDash val="solid"/>
          <a:miter/>
          <a:headEnd type="none" w="med" len="med"/>
          <a:tailEnd type="none" w="med" len="med"/>
        </a:ln>
      </cdr:spPr>
      <cdr:txBody>
        <a:bodyPr xmlns:a="http://schemas.openxmlformats.org/drawingml/2006/main"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endParaRPr lang="en-US" sz="900" b="1">
            <a:solidFill>
              <a:schemeClr val="bg1"/>
            </a:solidFill>
            <a:effectLst/>
            <a:latin typeface="Times New Roman" panose="02020603050405020304" charset="0"/>
            <a:ea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9F014E7A-9B3D-4C50-9536-1EFD6CCC75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5944</Words>
  <Characters>35729</Characters>
  <Application>Microsoft Office Word</Application>
  <DocSecurity>0</DocSecurity>
  <Lines>1880</Lines>
  <Paragraphs>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OJ Enema</cp:lastModifiedBy>
  <cp:revision>2</cp:revision>
  <dcterms:created xsi:type="dcterms:W3CDTF">2025-06-19T16:26:00Z</dcterms:created>
  <dcterms:modified xsi:type="dcterms:W3CDTF">2025-06-19T16:26:00Z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045C98B7C81842CE9D3FAD6EFA597773_13</vt:lpwstr>
  </property>
  <property fmtid="{D5CDD505-2E9C-101B-9397-08002B2CF9AE}" pid="4" name="ZOTERO_PREF_1">
    <vt:lpwstr>&lt;data data-version="3" zotero-version="7.0.15"&gt;&lt;session id="mBJVfDJ2"/&gt;&lt;style id="http://www.zotero.org/styles/elsevier-harvard" hasBibliography="1" bibliographyStyleHasBeenSet="1"/&gt;&lt;prefs&gt;&lt;pref name="fieldType" value="Field"/&gt;&lt;/prefs&gt;&lt;/data&gt;</vt:lpwstr>
  </property>
  <property fmtid="{D5CDD505-2E9C-101B-9397-08002B2CF9AE}" pid="5" name="GrammarlyDocumentId">
    <vt:lpwstr>fd1c2dd0-037d-4c14-bb5e-66935a252469</vt:lpwstr>
  </property>
</Properties>
</file>