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14A" w:rsidRPr="000F414A" w:rsidRDefault="000F414A" w:rsidP="000F414A">
      <w:pPr>
        <w:rPr>
          <w:rFonts w:ascii="Times New Roman" w:hAnsi="Times New Roman" w:cs="Times New Roman"/>
          <w:b/>
          <w:bCs/>
          <w:sz w:val="28"/>
          <w:szCs w:val="28"/>
          <w:u w:val="single"/>
        </w:rPr>
      </w:pPr>
      <w:r w:rsidRPr="000F414A">
        <w:rPr>
          <w:rFonts w:ascii="Times New Roman" w:hAnsi="Times New Roman" w:cs="Times New Roman"/>
          <w:b/>
          <w:bCs/>
          <w:sz w:val="28"/>
          <w:szCs w:val="28"/>
          <w:u w:val="single"/>
        </w:rPr>
        <w:t>Original Research Article</w:t>
      </w:r>
    </w:p>
    <w:p w:rsidR="009D341F" w:rsidRPr="007B51B6" w:rsidRDefault="009D341F" w:rsidP="00081956">
      <w:pPr>
        <w:jc w:val="center"/>
        <w:rPr>
          <w:rFonts w:ascii="Times New Roman" w:hAnsi="Times New Roman" w:cs="Times New Roman"/>
          <w:b/>
          <w:bCs/>
          <w:sz w:val="28"/>
          <w:szCs w:val="28"/>
        </w:rPr>
      </w:pPr>
      <w:commentRangeStart w:id="0"/>
      <w:r w:rsidRPr="007B51B6">
        <w:rPr>
          <w:rFonts w:ascii="Times New Roman" w:hAnsi="Times New Roman" w:cs="Times New Roman"/>
          <w:b/>
          <w:bCs/>
          <w:sz w:val="28"/>
          <w:szCs w:val="28"/>
        </w:rPr>
        <w:t>Modulation ofGrowth Dynamics and Yield Performance under Influence of Exogenous Plant Growth Regulators in Tomato (</w:t>
      </w:r>
      <w:r w:rsidRPr="007B51B6">
        <w:rPr>
          <w:rFonts w:ascii="Times New Roman" w:hAnsi="Times New Roman" w:cs="Times New Roman"/>
          <w:b/>
          <w:bCs/>
          <w:i/>
          <w:iCs/>
          <w:sz w:val="28"/>
          <w:szCs w:val="28"/>
        </w:rPr>
        <w:t>Solanum lycopersicum</w:t>
      </w:r>
      <w:r w:rsidRPr="007B51B6">
        <w:rPr>
          <w:rFonts w:ascii="Times New Roman" w:hAnsi="Times New Roman" w:cs="Times New Roman"/>
          <w:b/>
          <w:bCs/>
          <w:sz w:val="28"/>
          <w:szCs w:val="28"/>
        </w:rPr>
        <w:t xml:space="preserve">L.) </w:t>
      </w:r>
      <w:commentRangeEnd w:id="0"/>
      <w:r w:rsidR="002E6AA5">
        <w:rPr>
          <w:rStyle w:val="CommentReference"/>
        </w:rPr>
        <w:commentReference w:id="0"/>
      </w:r>
    </w:p>
    <w:p w:rsidR="001B0A57" w:rsidRPr="007B51B6" w:rsidRDefault="001B0A57" w:rsidP="00346833">
      <w:pPr>
        <w:rPr>
          <w:rFonts w:ascii="Times New Roman" w:hAnsi="Times New Roman" w:cs="Times New Roman"/>
          <w:sz w:val="20"/>
          <w:szCs w:val="20"/>
        </w:rPr>
      </w:pPr>
    </w:p>
    <w:p w:rsidR="00D76562" w:rsidRPr="007B51B6" w:rsidRDefault="00D76562" w:rsidP="00346833">
      <w:pPr>
        <w:rPr>
          <w:rFonts w:ascii="Times New Roman" w:hAnsi="Times New Roman" w:cs="Times New Roman"/>
          <w:sz w:val="20"/>
          <w:szCs w:val="20"/>
        </w:rPr>
      </w:pPr>
    </w:p>
    <w:p w:rsidR="00081956" w:rsidRPr="007B51B6" w:rsidRDefault="00081956" w:rsidP="00081956">
      <w:pPr>
        <w:jc w:val="center"/>
        <w:rPr>
          <w:rFonts w:ascii="Times New Roman" w:hAnsi="Times New Roman" w:cs="Times New Roman"/>
          <w:b/>
          <w:bCs/>
          <w:sz w:val="24"/>
          <w:szCs w:val="24"/>
        </w:rPr>
      </w:pPr>
      <w:r w:rsidRPr="007B51B6">
        <w:rPr>
          <w:rFonts w:ascii="Times New Roman" w:hAnsi="Times New Roman" w:cs="Times New Roman"/>
          <w:b/>
          <w:bCs/>
          <w:sz w:val="24"/>
          <w:szCs w:val="24"/>
        </w:rPr>
        <w:t xml:space="preserve">Abstract </w:t>
      </w:r>
    </w:p>
    <w:p w:rsidR="006E1EC4" w:rsidRPr="007B51B6" w:rsidRDefault="007250C3" w:rsidP="006E1EC4">
      <w:pPr>
        <w:spacing w:line="360" w:lineRule="auto"/>
        <w:jc w:val="both"/>
        <w:rPr>
          <w:rFonts w:ascii="Times New Roman" w:eastAsia="Times New Roman" w:hAnsi="Times New Roman" w:cs="Times New Roman"/>
          <w:sz w:val="24"/>
          <w:szCs w:val="24"/>
          <w:lang w:bidi="hi-IN"/>
        </w:rPr>
      </w:pPr>
      <w:commentRangeStart w:id="1"/>
      <w:commentRangeStart w:id="2"/>
      <w:r>
        <w:rPr>
          <w:rFonts w:ascii="Times New Roman" w:eastAsia="Times New Roman" w:hAnsi="Times New Roman" w:cs="Times New Roman"/>
          <w:sz w:val="24"/>
          <w:szCs w:val="24"/>
          <w:lang w:bidi="hi-IN"/>
        </w:rPr>
        <w:t>The</w:t>
      </w:r>
      <w:commentRangeEnd w:id="1"/>
      <w:r w:rsidR="000757D9">
        <w:rPr>
          <w:rStyle w:val="CommentReference"/>
        </w:rPr>
        <w:commentReference w:id="1"/>
      </w:r>
      <w:r w:rsidR="006E1EC4" w:rsidRPr="007B51B6">
        <w:rPr>
          <w:rFonts w:ascii="Times New Roman" w:eastAsia="Times New Roman" w:hAnsi="Times New Roman" w:cs="Times New Roman"/>
          <w:sz w:val="24"/>
          <w:szCs w:val="24"/>
          <w:lang w:bidi="hi-IN"/>
        </w:rPr>
        <w:t xml:space="preserve"> experiment was conducted during the rabi season of 2024–2025 at United University, Prayagraj, to assess the effects of plant growth regulators (PGRs) on tomato cultivar ‘NDT-1’. </w:t>
      </w:r>
      <w:commentRangeEnd w:id="2"/>
      <w:r w:rsidR="00D56948">
        <w:rPr>
          <w:rStyle w:val="CommentReference"/>
        </w:rPr>
        <w:commentReference w:id="2"/>
      </w:r>
      <w:r w:rsidR="006E1EC4" w:rsidRPr="007B51B6">
        <w:rPr>
          <w:rFonts w:ascii="Times New Roman" w:eastAsia="Times New Roman" w:hAnsi="Times New Roman" w:cs="Times New Roman"/>
          <w:sz w:val="24"/>
          <w:szCs w:val="24"/>
          <w:lang w:bidi="hi-IN"/>
        </w:rPr>
        <w:t xml:space="preserve">The randomized block design included 13 treatments: four concentrations (25, 50, 75, and 100 ppm) each of GA₃, auxins, and kinetin, plus a control, replicated thrice. Results showed that GA₃ at 75 ppm (T₃) was most effective, significantly reducing days to first flowering (39.54 days) and 50% flowering (40.58 days), while enhancing plant height (101.35 cm), primary branches (7.14), flower clusters (10.98), yield (2.68 kg/plant), and fruit quality (TSS 6.23 °Brix, ascorbic acid 26.58 mg/100 g, lycopene 6.23 mg/100 g). Kinetin at 25 ppm (T₉) and auxin at 100 ppm (T₈) also improved some parameters. These findings underscore the potential of GA₃ at 75 ppm for boosting tomato growth, yield, and quality under these conditions. Future work could explore synergistic PGR effects and integrated nutrient management for </w:t>
      </w:r>
      <w:bookmarkStart w:id="3" w:name="_GoBack"/>
      <w:bookmarkEnd w:id="3"/>
      <w:r w:rsidR="006E1EC4" w:rsidRPr="007B51B6">
        <w:rPr>
          <w:rFonts w:ascii="Times New Roman" w:eastAsia="Times New Roman" w:hAnsi="Times New Roman" w:cs="Times New Roman"/>
          <w:sz w:val="24"/>
          <w:szCs w:val="24"/>
          <w:lang w:bidi="hi-IN"/>
        </w:rPr>
        <w:t>enhanced productivity.</w:t>
      </w:r>
    </w:p>
    <w:p w:rsidR="00132848" w:rsidRPr="007B51B6" w:rsidRDefault="00132848" w:rsidP="006E1EC4">
      <w:pPr>
        <w:spacing w:line="360" w:lineRule="auto"/>
        <w:jc w:val="both"/>
        <w:rPr>
          <w:rFonts w:ascii="Times New Roman" w:eastAsia="Times New Roman" w:hAnsi="Times New Roman" w:cs="Times New Roman"/>
          <w:sz w:val="24"/>
          <w:szCs w:val="24"/>
          <w:lang w:bidi="hi-IN"/>
        </w:rPr>
      </w:pPr>
      <w:r w:rsidRPr="007B51B6">
        <w:rPr>
          <w:rFonts w:ascii="Times New Roman" w:eastAsia="Times New Roman" w:hAnsi="Times New Roman" w:cs="Times New Roman"/>
          <w:b/>
          <w:bCs/>
          <w:sz w:val="24"/>
          <w:szCs w:val="24"/>
          <w:lang w:bidi="hi-IN"/>
        </w:rPr>
        <w:t>Keywords-</w:t>
      </w:r>
      <w:r w:rsidRPr="007B51B6">
        <w:rPr>
          <w:rFonts w:ascii="Times New Roman" w:eastAsia="Times New Roman" w:hAnsi="Times New Roman" w:cs="Times New Roman"/>
          <w:sz w:val="24"/>
          <w:szCs w:val="24"/>
          <w:lang w:bidi="hi-IN"/>
        </w:rPr>
        <w:t xml:space="preserve"> Gibberellic acid, Auxin, Kinetin, Plant growth regulators, Growth dynamics, Yield, Fruit quality.</w:t>
      </w:r>
    </w:p>
    <w:p w:rsidR="00346833" w:rsidRPr="007B51B6" w:rsidRDefault="00346833" w:rsidP="00346833">
      <w:pPr>
        <w:jc w:val="both"/>
        <w:rPr>
          <w:rFonts w:ascii="Times New Roman" w:hAnsi="Times New Roman" w:cs="Times New Roman"/>
          <w:sz w:val="20"/>
          <w:szCs w:val="20"/>
        </w:rPr>
      </w:pPr>
    </w:p>
    <w:p w:rsidR="00131295" w:rsidRPr="007B51B6" w:rsidRDefault="00C727A2" w:rsidP="00833BC1">
      <w:pPr>
        <w:rPr>
          <w:rFonts w:ascii="Times New Roman" w:hAnsi="Times New Roman" w:cs="Times New Roman"/>
          <w:b/>
          <w:bCs/>
          <w:sz w:val="24"/>
          <w:szCs w:val="24"/>
        </w:rPr>
      </w:pPr>
      <w:r w:rsidRPr="007B51B6">
        <w:rPr>
          <w:rFonts w:ascii="Times New Roman" w:hAnsi="Times New Roman" w:cs="Times New Roman"/>
          <w:b/>
          <w:bCs/>
          <w:sz w:val="24"/>
          <w:szCs w:val="24"/>
        </w:rPr>
        <w:t xml:space="preserve">1.0 </w:t>
      </w:r>
      <w:r w:rsidR="00081956" w:rsidRPr="007B51B6">
        <w:rPr>
          <w:rFonts w:ascii="Times New Roman" w:hAnsi="Times New Roman" w:cs="Times New Roman"/>
          <w:b/>
          <w:bCs/>
          <w:sz w:val="24"/>
          <w:szCs w:val="24"/>
        </w:rPr>
        <w:t>Introduction</w:t>
      </w:r>
    </w:p>
    <w:p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Tomato (</w:t>
      </w:r>
      <w:r w:rsidRPr="007B51B6">
        <w:rPr>
          <w:rFonts w:ascii="Times New Roman" w:hAnsi="Times New Roman" w:cs="Times New Roman"/>
          <w:i/>
          <w:iCs/>
          <w:sz w:val="24"/>
          <w:szCs w:val="24"/>
        </w:rPr>
        <w:t>Solanum lycopersicum</w:t>
      </w:r>
      <w:r w:rsidRPr="007B51B6">
        <w:rPr>
          <w:rFonts w:ascii="Times New Roman" w:hAnsi="Times New Roman" w:cs="Times New Roman"/>
          <w:sz w:val="24"/>
          <w:szCs w:val="24"/>
        </w:rPr>
        <w:t xml:space="preserve"> L.), a member of the Solanaceae family, is a widely cultivated horticultural crop valued both for its culinary versatility and nutritional benefits. Originating from tropical America—particularly the Andean regions of Bolivia, Ecuador, and Peru—tomato is now globally recognized as one of the most important vegetable crops. It ranks just below sweet potatoes and potatoes in terms of vegetable production and is predominantly grown in tropical and subtropical regions (Mahesti</w:t>
      </w:r>
      <w:r w:rsidR="004874F6" w:rsidRPr="007B51B6">
        <w:rPr>
          <w:rFonts w:ascii="Times New Roman" w:hAnsi="Times New Roman" w:cs="Times New Roman"/>
          <w:i/>
          <w:iCs/>
          <w:sz w:val="24"/>
          <w:szCs w:val="24"/>
        </w:rPr>
        <w:t>et al</w:t>
      </w:r>
      <w:r w:rsidRPr="007B51B6">
        <w:rPr>
          <w:rFonts w:ascii="Times New Roman" w:hAnsi="Times New Roman" w:cs="Times New Roman"/>
          <w:sz w:val="24"/>
          <w:szCs w:val="24"/>
        </w:rPr>
        <w:t xml:space="preserve">., 2025; Tanim </w:t>
      </w:r>
      <w:r w:rsidR="004874F6" w:rsidRPr="007B51B6">
        <w:rPr>
          <w:rFonts w:ascii="Times New Roman" w:hAnsi="Times New Roman" w:cs="Times New Roman"/>
          <w:i/>
          <w:iCs/>
          <w:sz w:val="24"/>
          <w:szCs w:val="24"/>
        </w:rPr>
        <w:t>et al</w:t>
      </w:r>
      <w:r w:rsidR="004874F6" w:rsidRPr="007B51B6">
        <w:rPr>
          <w:rFonts w:ascii="Times New Roman" w:hAnsi="Times New Roman" w:cs="Times New Roman"/>
          <w:sz w:val="24"/>
          <w:szCs w:val="24"/>
        </w:rPr>
        <w:t xml:space="preserve">., </w:t>
      </w:r>
      <w:r w:rsidRPr="007B51B6">
        <w:rPr>
          <w:rFonts w:ascii="Times New Roman" w:hAnsi="Times New Roman" w:cs="Times New Roman"/>
          <w:sz w:val="24"/>
          <w:szCs w:val="24"/>
        </w:rPr>
        <w:t>2025). According to the first advance estimate by the Department of Agriculture &amp; Farmers Welfare (2025), the total area under tomato cultivation in India is approximately 853,000 hectares, yielding a total production of about 21.55 million metric tonnes.</w:t>
      </w:r>
    </w:p>
    <w:p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lastRenderedPageBreak/>
        <w:t>Tomatoes are nutritionally rich, containing essential minerals and vitamins at both the green and ripe stages. They provide 13 mg of calcium, 27 mg of phosphorus, 0.5 mg of iron, and 244 mg of potassium per 100 grams. Notably, Vitamin A content increases from 270 I.U. in green tomatoes to 900 I.U. in ripe ones, while Niacin (Vitamin B3) and ascorbic acid (Vitamin C) also show a modest increase during ripening (Sainju</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2003; Sohrabi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2025). These nutritional attributes make tomato not only a dietary staple but also a valuable crop for addressing nutritional </w:t>
      </w:r>
      <w:commentRangeStart w:id="4"/>
      <w:r w:rsidRPr="007B51B6">
        <w:rPr>
          <w:rFonts w:ascii="Times New Roman" w:hAnsi="Times New Roman" w:cs="Times New Roman"/>
          <w:sz w:val="24"/>
          <w:szCs w:val="24"/>
        </w:rPr>
        <w:t>security</w:t>
      </w:r>
      <w:commentRangeEnd w:id="4"/>
      <w:r w:rsidR="00FF7577">
        <w:rPr>
          <w:rStyle w:val="CommentReference"/>
        </w:rPr>
        <w:commentReference w:id="4"/>
      </w:r>
      <w:r w:rsidRPr="007B51B6">
        <w:rPr>
          <w:rFonts w:ascii="Times New Roman" w:hAnsi="Times New Roman" w:cs="Times New Roman"/>
          <w:sz w:val="24"/>
          <w:szCs w:val="24"/>
        </w:rPr>
        <w:t>.</w:t>
      </w:r>
    </w:p>
    <w:p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To enhance tomato productivity and fruit quality, the application of Plant Growth Regulators (PGRs) has gained significant attention in modern agriculture. PGRs play a vital role in </w:t>
      </w:r>
      <w:commentRangeStart w:id="5"/>
      <w:r w:rsidRPr="007B51B6">
        <w:rPr>
          <w:rFonts w:ascii="Times New Roman" w:hAnsi="Times New Roman" w:cs="Times New Roman"/>
          <w:sz w:val="24"/>
          <w:szCs w:val="24"/>
        </w:rPr>
        <w:t>manipulating</w:t>
      </w:r>
      <w:commentRangeEnd w:id="5"/>
      <w:r w:rsidR="00757495">
        <w:rPr>
          <w:rStyle w:val="CommentReference"/>
        </w:rPr>
        <w:commentReference w:id="5"/>
      </w:r>
      <w:r w:rsidRPr="007B51B6">
        <w:rPr>
          <w:rFonts w:ascii="Times New Roman" w:hAnsi="Times New Roman" w:cs="Times New Roman"/>
          <w:sz w:val="24"/>
          <w:szCs w:val="24"/>
        </w:rPr>
        <w:t xml:space="preserve"> physiological processes such as fruit set, fruit development, and overall plant growth. Among these, gibberellic acid (GA) is well-documented for its role in promoting seed germination, stem elongation, flowering, and fruit enlargement, with its concentration peaking during early fruit development (Wu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2024). Additionally, GA biosynthesis inhibitors are employed to regulate plant architecture and reproductive timing (Shohat</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2021).</w:t>
      </w:r>
    </w:p>
    <w:p w:rsidR="00445C68"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Other important PGRs include auxins and cytokinins, which have critical roles in plant development. Auxins are central to flower initiation, sex expression, fruit development, and parthenocarpy. They also facilitate cell elongation and differentiation, especially in vascular tissues (Alam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2020). Cytokinins, on the other hand, are crucial for promoting cell division, delaying leaf senescence, and enhancing lateral growth. They also contribute to stress resilience and mediate nutrient signaling pathways within the plant system (Dawood </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2022). The strategic application of these hormones has proven effective in improving tomato yield and quality under varying environmental and agronomic conditions (Gomasta</w:t>
      </w:r>
      <w:r w:rsidR="004874F6" w:rsidRPr="007B51B6">
        <w:rPr>
          <w:rFonts w:ascii="Times New Roman" w:hAnsi="Times New Roman" w:cs="Times New Roman"/>
          <w:i/>
          <w:iCs/>
          <w:sz w:val="24"/>
          <w:szCs w:val="24"/>
        </w:rPr>
        <w:t>et al</w:t>
      </w:r>
      <w:r w:rsidRPr="007B51B6">
        <w:rPr>
          <w:rFonts w:ascii="Times New Roman" w:hAnsi="Times New Roman" w:cs="Times New Roman"/>
          <w:i/>
          <w:iCs/>
          <w:sz w:val="24"/>
          <w:szCs w:val="24"/>
        </w:rPr>
        <w:t>.,</w:t>
      </w:r>
      <w:r w:rsidRPr="007B51B6">
        <w:rPr>
          <w:rFonts w:ascii="Times New Roman" w:hAnsi="Times New Roman" w:cs="Times New Roman"/>
          <w:sz w:val="24"/>
          <w:szCs w:val="24"/>
        </w:rPr>
        <w:t xml:space="preserve"> 2025).</w:t>
      </w:r>
    </w:p>
    <w:p w:rsidR="00A41AE7" w:rsidRPr="007B51B6" w:rsidRDefault="00445C68" w:rsidP="00445C68">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Keeping these points in view, the present research has been planned to investigate the effects of selected plant growth regulators on the growth, yield, and quality attributes of tomato. This study aims to contribute to a better understanding of how different PGRs can be effectively utilized to enhance tomato production and meet the growing demand for high-quality horticultural produce.</w:t>
      </w:r>
    </w:p>
    <w:p w:rsidR="00D20F17" w:rsidRPr="007B51B6" w:rsidRDefault="00C727A2" w:rsidP="00833BC1">
      <w:pPr>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2.0 </w:t>
      </w:r>
      <w:r w:rsidR="00D20F17" w:rsidRPr="007B51B6">
        <w:rPr>
          <w:rFonts w:ascii="Times New Roman" w:hAnsi="Times New Roman" w:cs="Times New Roman"/>
          <w:b/>
          <w:bCs/>
          <w:sz w:val="24"/>
          <w:szCs w:val="24"/>
        </w:rPr>
        <w:t>Materials and Methods</w:t>
      </w:r>
    </w:p>
    <w:p w:rsidR="00D76562"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The experiment was conducted during the rabi season of 2024–2025 at the Agricultural Research Farm of United University, Jhalwa, Prayagraj, Uttar Pradesh (211012), India. The primary </w:t>
      </w:r>
      <w:r w:rsidRPr="007B51B6">
        <w:rPr>
          <w:rFonts w:ascii="Times New Roman" w:hAnsi="Times New Roman" w:cs="Times New Roman"/>
          <w:sz w:val="24"/>
          <w:szCs w:val="24"/>
        </w:rPr>
        <w:lastRenderedPageBreak/>
        <w:t>objective was to evaluate the effect of different plant growth regulators on the vegetative and reproductive attributes of the tomato cultivar ‘NDT-1’.</w:t>
      </w:r>
    </w:p>
    <w:p w:rsidR="00D76562"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experimental layout followed a Randomized Block Design (RBD) comprising 13 treatments with three replications each. The treatments included four concentrations of gibberellic acid (GA₃): 25 ppm (T1), 50 ppm (T2), 75 ppm (T3), and 100 ppm (T4); four concentrations of auxin: 25 ppm (T5), 50 ppm (T6), 75 ppm (T7), and 100 ppm (T8); and four concentrations of kinetin: 25 ppm (T9), 50 ppm (T10), 75 ppm (T11), and 100 ppm (T12). A control treatment without any plant growth regulator was also included (T13).</w:t>
      </w:r>
    </w:p>
    <w:p w:rsidR="00D76562"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nursery was sown on 15 September 2024, and seedlings were transplanted on 12 October 2024, with a planting distance of 45 cm × 60 cm. During field preparation, 3.5 quintals of well-rotted farmyard manure were incorporated into the soil. The recommended dose of fertilizers (NPK) was applied at rates of 250 kg/ha of nitrogen, 200 kg/ha of phosphorus, and 150 kg/ha of potassium in two split doses. The full dose of nitrogen and half doses of phosphorus and potassium were applied as a basal application at the time of transplanting, while the remaining half doses of phosphorus and potassium were applied 45 days after transplanting.</w:t>
      </w:r>
    </w:p>
    <w:p w:rsidR="00A73255" w:rsidRPr="007B51B6" w:rsidRDefault="00D7656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Data were collected from ten randomly selected plants from each plot for the following parameters: days to first flowering, days to 50% flowering, plant height (cm), number of primary branches per plant, number of flower clusters per plant, total number of fruits per plant, fruit length (cm), fruit diameter (cm), average fruit weight (g), yield per plant (kg), total soluble solids (°Brix), pH, </w:t>
      </w:r>
      <w:commentRangeStart w:id="6"/>
      <w:r w:rsidRPr="007B51B6">
        <w:rPr>
          <w:rFonts w:ascii="Times New Roman" w:hAnsi="Times New Roman" w:cs="Times New Roman"/>
          <w:sz w:val="24"/>
          <w:szCs w:val="24"/>
        </w:rPr>
        <w:t xml:space="preserve">ascorbic acid content (mg/100g), and lycopene content (mg/100g). </w:t>
      </w:r>
      <w:commentRangeEnd w:id="6"/>
      <w:r w:rsidR="00FF7577">
        <w:rPr>
          <w:rStyle w:val="CommentReference"/>
        </w:rPr>
        <w:commentReference w:id="6"/>
      </w:r>
      <w:r w:rsidRPr="007B51B6">
        <w:rPr>
          <w:rFonts w:ascii="Times New Roman" w:hAnsi="Times New Roman" w:cs="Times New Roman"/>
          <w:sz w:val="24"/>
          <w:szCs w:val="24"/>
        </w:rPr>
        <w:t xml:space="preserve">The collected data were analyzed using </w:t>
      </w:r>
      <w:commentRangeStart w:id="7"/>
      <w:r w:rsidRPr="007B51B6">
        <w:rPr>
          <w:rFonts w:ascii="Times New Roman" w:hAnsi="Times New Roman" w:cs="Times New Roman"/>
          <w:sz w:val="24"/>
          <w:szCs w:val="24"/>
        </w:rPr>
        <w:t>SPSS software (version 30).</w:t>
      </w:r>
      <w:commentRangeEnd w:id="7"/>
      <w:r w:rsidR="00C02037">
        <w:rPr>
          <w:rStyle w:val="CommentReference"/>
        </w:rPr>
        <w:commentReference w:id="7"/>
      </w:r>
    </w:p>
    <w:p w:rsidR="00C727A2" w:rsidRPr="007B51B6" w:rsidRDefault="00C727A2" w:rsidP="00833BC1">
      <w:pPr>
        <w:jc w:val="both"/>
        <w:rPr>
          <w:rFonts w:ascii="Times New Roman" w:hAnsi="Times New Roman" w:cs="Times New Roman"/>
          <w:b/>
          <w:bCs/>
          <w:sz w:val="24"/>
          <w:szCs w:val="24"/>
        </w:rPr>
      </w:pPr>
      <w:r w:rsidRPr="007B51B6">
        <w:rPr>
          <w:rFonts w:ascii="Times New Roman" w:hAnsi="Times New Roman" w:cs="Times New Roman"/>
          <w:b/>
          <w:bCs/>
          <w:sz w:val="24"/>
          <w:szCs w:val="24"/>
        </w:rPr>
        <w:t>3.0 Results and Discussion</w:t>
      </w:r>
    </w:p>
    <w:p w:rsidR="00C727A2" w:rsidRPr="007B51B6" w:rsidRDefault="00D76562" w:rsidP="00C727A2">
      <w:pPr>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 </w:t>
      </w:r>
      <w:r w:rsidR="00C727A2" w:rsidRPr="007B51B6">
        <w:rPr>
          <w:rFonts w:ascii="Times New Roman" w:hAnsi="Times New Roman" w:cs="Times New Roman"/>
          <w:b/>
          <w:bCs/>
          <w:sz w:val="24"/>
          <w:szCs w:val="24"/>
        </w:rPr>
        <w:t>Days to First Flowering</w:t>
      </w:r>
    </w:p>
    <w:p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earliest initiation of flowering was observed with GA₃ at 75 ppm (T₃), which recorded the lowest value of 39.54 days. This was significantly earlier than the control treatment (T₁₃), which exhibited the highest value of 52.63 days. Treatments T₂ (43.56 days), T₉ (41.87 days), and T₁ (47.54 days) were statistically at par with T₃ and also promoted early flowering.</w:t>
      </w:r>
      <w:r w:rsidR="00982860" w:rsidRPr="007B51B6">
        <w:rPr>
          <w:rFonts w:ascii="Times New Roman" w:hAnsi="Times New Roman" w:cs="Times New Roman"/>
          <w:sz w:val="24"/>
          <w:szCs w:val="24"/>
        </w:rPr>
        <w:t xml:space="preserve">The results are in agreement with </w:t>
      </w:r>
      <w:r w:rsidR="007310A8" w:rsidRPr="007B51B6">
        <w:rPr>
          <w:rFonts w:ascii="Times New Roman" w:hAnsi="Times New Roman" w:cs="Times New Roman"/>
          <w:sz w:val="24"/>
          <w:szCs w:val="24"/>
        </w:rPr>
        <w:t xml:space="preserve">Poudel </w:t>
      </w:r>
      <w:r w:rsidR="007310A8" w:rsidRPr="007B51B6">
        <w:rPr>
          <w:rFonts w:ascii="Times New Roman" w:hAnsi="Times New Roman" w:cs="Times New Roman"/>
          <w:i/>
          <w:iCs/>
          <w:sz w:val="24"/>
          <w:szCs w:val="24"/>
          <w:shd w:val="clear" w:color="auto" w:fill="FFFFFF"/>
        </w:rPr>
        <w:t>et al</w:t>
      </w:r>
      <w:r w:rsidR="007310A8" w:rsidRPr="007B51B6">
        <w:rPr>
          <w:rFonts w:ascii="Times New Roman" w:hAnsi="Times New Roman" w:cs="Times New Roman"/>
          <w:sz w:val="24"/>
          <w:szCs w:val="24"/>
          <w:shd w:val="clear" w:color="auto" w:fill="FFFFFF"/>
        </w:rPr>
        <w:t>., 2020 &amp;</w:t>
      </w:r>
      <w:r w:rsidR="00D15A38" w:rsidRPr="007B51B6">
        <w:rPr>
          <w:rFonts w:ascii="Times New Roman" w:hAnsi="Times New Roman" w:cs="Times New Roman"/>
          <w:sz w:val="24"/>
          <w:szCs w:val="24"/>
        </w:rPr>
        <w:t xml:space="preserve">Singh </w:t>
      </w:r>
      <w:r w:rsidR="00D15A38" w:rsidRPr="007B51B6">
        <w:rPr>
          <w:rFonts w:ascii="Times New Roman" w:hAnsi="Times New Roman" w:cs="Times New Roman"/>
          <w:i/>
          <w:iCs/>
          <w:sz w:val="24"/>
          <w:szCs w:val="24"/>
          <w:shd w:val="clear" w:color="auto" w:fill="FFFFFF"/>
        </w:rPr>
        <w:t>et al</w:t>
      </w:r>
      <w:r w:rsidR="00D15A38" w:rsidRPr="007B51B6">
        <w:rPr>
          <w:rFonts w:ascii="Times New Roman" w:hAnsi="Times New Roman" w:cs="Times New Roman"/>
          <w:sz w:val="24"/>
          <w:szCs w:val="24"/>
          <w:shd w:val="clear" w:color="auto" w:fill="FFFFFF"/>
        </w:rPr>
        <w:t>., 2021</w:t>
      </w:r>
      <w:r w:rsidR="007310A8" w:rsidRPr="007B51B6">
        <w:rPr>
          <w:rFonts w:ascii="Times New Roman" w:hAnsi="Times New Roman" w:cs="Times New Roman"/>
          <w:sz w:val="24"/>
          <w:szCs w:val="24"/>
        </w:rPr>
        <w:t>.</w:t>
      </w:r>
    </w:p>
    <w:p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3.2 </w:t>
      </w:r>
      <w:r w:rsidR="00C727A2" w:rsidRPr="007B51B6">
        <w:rPr>
          <w:rFonts w:ascii="Times New Roman" w:hAnsi="Times New Roman" w:cs="Times New Roman"/>
          <w:b/>
          <w:bCs/>
          <w:sz w:val="24"/>
          <w:szCs w:val="24"/>
        </w:rPr>
        <w:t>Days to 50% Flowering</w:t>
      </w:r>
    </w:p>
    <w:p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lastRenderedPageBreak/>
        <w:t>The least number of days to reach 50% flowering was also recorded in T₃ (40.58 days), indicating enhanced synchronization in flowering. In contrast, the control treatment (T₁₃) took the maximum time at 54.45 days. Treatments such as T₂ (44.58 days), T₉ (42.78 days), and T₁ (49.54 days) were found to be statistically similar to T₃.</w:t>
      </w:r>
      <w:r w:rsidR="00807F8D" w:rsidRPr="007B51B6">
        <w:rPr>
          <w:rFonts w:ascii="Times New Roman" w:hAnsi="Times New Roman" w:cs="Times New Roman"/>
          <w:sz w:val="24"/>
          <w:szCs w:val="24"/>
        </w:rPr>
        <w:t xml:space="preserve"> The result is in support with Singh</w:t>
      </w:r>
      <w:r w:rsidR="00807F8D" w:rsidRPr="007B51B6">
        <w:rPr>
          <w:rFonts w:ascii="Times New Roman" w:hAnsi="Times New Roman" w:cs="Times New Roman"/>
          <w:i/>
          <w:iCs/>
          <w:sz w:val="24"/>
          <w:szCs w:val="24"/>
          <w:shd w:val="clear" w:color="auto" w:fill="FFFFFF"/>
        </w:rPr>
        <w:t xml:space="preserve"> et al</w:t>
      </w:r>
      <w:r w:rsidR="00807F8D" w:rsidRPr="007B51B6">
        <w:rPr>
          <w:rFonts w:ascii="Times New Roman" w:hAnsi="Times New Roman" w:cs="Times New Roman"/>
          <w:sz w:val="24"/>
          <w:szCs w:val="24"/>
          <w:shd w:val="clear" w:color="auto" w:fill="FFFFFF"/>
        </w:rPr>
        <w:t>., 2024</w:t>
      </w:r>
      <w:r w:rsidR="00807F8D" w:rsidRPr="007B51B6">
        <w:rPr>
          <w:rFonts w:ascii="Times New Roman" w:hAnsi="Times New Roman" w:cs="Times New Roman"/>
          <w:sz w:val="24"/>
          <w:szCs w:val="24"/>
        </w:rPr>
        <w:t xml:space="preserve">.  </w:t>
      </w:r>
    </w:p>
    <w:p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3.3 </w:t>
      </w:r>
      <w:r w:rsidR="00C727A2" w:rsidRPr="007B51B6">
        <w:rPr>
          <w:rFonts w:ascii="Times New Roman" w:hAnsi="Times New Roman" w:cs="Times New Roman"/>
          <w:b/>
          <w:bCs/>
          <w:sz w:val="24"/>
          <w:szCs w:val="24"/>
        </w:rPr>
        <w:t>Plant Height (cm)</w:t>
      </w:r>
    </w:p>
    <w:p w:rsidR="00C727A2" w:rsidRDefault="00C727A2" w:rsidP="00D76562">
      <w:pPr>
        <w:spacing w:line="360" w:lineRule="auto"/>
        <w:jc w:val="both"/>
        <w:rPr>
          <w:rFonts w:ascii="Times New Roman" w:hAnsi="Times New Roman" w:cs="Times New Roman"/>
          <w:sz w:val="24"/>
          <w:szCs w:val="24"/>
          <w:shd w:val="clear" w:color="auto" w:fill="FFFFFF"/>
        </w:rPr>
      </w:pPr>
      <w:r w:rsidRPr="007B51B6">
        <w:rPr>
          <w:rFonts w:ascii="Times New Roman" w:hAnsi="Times New Roman" w:cs="Times New Roman"/>
          <w:sz w:val="24"/>
          <w:szCs w:val="24"/>
        </w:rPr>
        <w:t>The highest plant height was recorded in T₃ (101.35 cm), followed by T₂ (97.25 cm), T₉ (98.87 cm), and T₅ (99.36 cm), all of which were statistically at par. The shortest plants were observed in the control (T₁₃), which recorded the lowest value of 90.18 cm.</w:t>
      </w:r>
      <w:r w:rsidR="00744F11" w:rsidRPr="007B51B6">
        <w:rPr>
          <w:rFonts w:ascii="Times New Roman" w:hAnsi="Times New Roman" w:cs="Times New Roman"/>
          <w:sz w:val="24"/>
          <w:szCs w:val="24"/>
        </w:rPr>
        <w:t xml:space="preserve"> Similar findings was also reported by </w:t>
      </w:r>
      <w:r w:rsidR="00744F11" w:rsidRPr="007B51B6">
        <w:rPr>
          <w:rFonts w:ascii="Times New Roman" w:hAnsi="Times New Roman" w:cs="Times New Roman"/>
          <w:sz w:val="24"/>
          <w:szCs w:val="24"/>
          <w:shd w:val="clear" w:color="auto" w:fill="FFFFFF"/>
        </w:rPr>
        <w:t xml:space="preserve">Choudhury </w:t>
      </w:r>
      <w:r w:rsidR="00744F11" w:rsidRPr="007B51B6">
        <w:rPr>
          <w:rFonts w:ascii="Times New Roman" w:hAnsi="Times New Roman" w:cs="Times New Roman"/>
          <w:i/>
          <w:iCs/>
          <w:sz w:val="24"/>
          <w:szCs w:val="24"/>
          <w:shd w:val="clear" w:color="auto" w:fill="FFFFFF"/>
        </w:rPr>
        <w:t>et al</w:t>
      </w:r>
      <w:r w:rsidR="00744F11" w:rsidRPr="007B51B6">
        <w:rPr>
          <w:rFonts w:ascii="Times New Roman" w:hAnsi="Times New Roman" w:cs="Times New Roman"/>
          <w:sz w:val="24"/>
          <w:szCs w:val="24"/>
          <w:shd w:val="clear" w:color="auto" w:fill="FFFFFF"/>
        </w:rPr>
        <w:t>., 2013.</w:t>
      </w:r>
    </w:p>
    <w:p w:rsidR="00C30862" w:rsidRPr="00F45EB1" w:rsidRDefault="00C30862" w:rsidP="00D76562">
      <w:pPr>
        <w:spacing w:line="360" w:lineRule="auto"/>
        <w:jc w:val="both"/>
        <w:rPr>
          <w:rFonts w:ascii="Times New Roman" w:hAnsi="Times New Roman" w:cs="Times New Roman"/>
          <w:sz w:val="24"/>
          <w:szCs w:val="24"/>
        </w:rPr>
      </w:pPr>
      <w:r w:rsidRPr="00F45EB1">
        <w:rPr>
          <w:rFonts w:ascii="Times New Roman" w:hAnsi="Times New Roman" w:cs="Times New Roman"/>
          <w:b/>
          <w:bCs/>
          <w:sz w:val="24"/>
          <w:szCs w:val="24"/>
        </w:rPr>
        <w:t>Table</w:t>
      </w:r>
      <w:r w:rsidR="00F45EB1" w:rsidRPr="00F45EB1">
        <w:rPr>
          <w:rFonts w:ascii="Times New Roman" w:hAnsi="Times New Roman" w:cs="Times New Roman"/>
          <w:b/>
          <w:bCs/>
          <w:sz w:val="24"/>
          <w:szCs w:val="24"/>
        </w:rPr>
        <w:t xml:space="preserve"> 1-</w:t>
      </w:r>
      <w:r w:rsidR="00F45EB1">
        <w:rPr>
          <w:rFonts w:ascii="Times New Roman" w:hAnsi="Times New Roman" w:cs="Times New Roman"/>
          <w:sz w:val="24"/>
          <w:szCs w:val="24"/>
        </w:rPr>
        <w:t xml:space="preserve"> </w:t>
      </w:r>
      <w:commentRangeStart w:id="8"/>
      <w:r w:rsidR="00F45EB1">
        <w:rPr>
          <w:rFonts w:ascii="Times New Roman" w:hAnsi="Times New Roman" w:cs="Times New Roman"/>
          <w:sz w:val="24"/>
          <w:szCs w:val="24"/>
        </w:rPr>
        <w:t>Analyzed data set of different parameters for designed treatments.</w:t>
      </w:r>
      <w:commentRangeEnd w:id="8"/>
      <w:r w:rsidR="00990EDA">
        <w:rPr>
          <w:rStyle w:val="CommentReference"/>
        </w:rPr>
        <w:commentReference w:id="8"/>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1"/>
        <w:gridCol w:w="1051"/>
        <w:gridCol w:w="1157"/>
        <w:gridCol w:w="982"/>
        <w:gridCol w:w="1046"/>
        <w:gridCol w:w="1046"/>
        <w:gridCol w:w="982"/>
        <w:gridCol w:w="981"/>
      </w:tblGrid>
      <w:tr w:rsidR="007B51B6" w:rsidRPr="007B51B6" w:rsidTr="00DF162F">
        <w:trPr>
          <w:trHeight w:val="1260"/>
        </w:trPr>
        <w:tc>
          <w:tcPr>
            <w:tcW w:w="1217" w:type="pct"/>
            <w:shd w:val="clear" w:color="auto" w:fill="auto"/>
            <w:vAlign w:val="center"/>
            <w:hideMark/>
          </w:tcPr>
          <w:p w:rsidR="002F2939" w:rsidRPr="007B51B6" w:rsidRDefault="002F2939" w:rsidP="002F2939">
            <w:pPr>
              <w:spacing w:after="0" w:line="240" w:lineRule="auto"/>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Treatments</w:t>
            </w:r>
          </w:p>
        </w:tc>
        <w:tc>
          <w:tcPr>
            <w:tcW w:w="549" w:type="pct"/>
            <w:shd w:val="clear" w:color="auto" w:fill="auto"/>
            <w:vAlign w:val="center"/>
            <w:hideMark/>
          </w:tcPr>
          <w:p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Days to first flowering</w:t>
            </w:r>
          </w:p>
        </w:tc>
        <w:tc>
          <w:tcPr>
            <w:tcW w:w="604" w:type="pct"/>
            <w:shd w:val="clear" w:color="auto" w:fill="auto"/>
            <w:vAlign w:val="center"/>
            <w:hideMark/>
          </w:tcPr>
          <w:p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Days to 50 % flowering</w:t>
            </w:r>
          </w:p>
        </w:tc>
        <w:tc>
          <w:tcPr>
            <w:tcW w:w="513" w:type="pct"/>
            <w:shd w:val="clear" w:color="auto" w:fill="auto"/>
            <w:vAlign w:val="center"/>
            <w:hideMark/>
          </w:tcPr>
          <w:p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Plant height (cm)</w:t>
            </w:r>
          </w:p>
        </w:tc>
        <w:tc>
          <w:tcPr>
            <w:tcW w:w="546" w:type="pct"/>
            <w:shd w:val="clear" w:color="auto" w:fill="auto"/>
            <w:vAlign w:val="center"/>
            <w:hideMark/>
          </w:tcPr>
          <w:p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Primary branches per plant</w:t>
            </w:r>
          </w:p>
        </w:tc>
        <w:tc>
          <w:tcPr>
            <w:tcW w:w="546" w:type="pct"/>
            <w:shd w:val="clear" w:color="auto" w:fill="auto"/>
            <w:vAlign w:val="center"/>
            <w:hideMark/>
          </w:tcPr>
          <w:p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Number of flower cluster per plant</w:t>
            </w:r>
          </w:p>
        </w:tc>
        <w:tc>
          <w:tcPr>
            <w:tcW w:w="513" w:type="pct"/>
            <w:shd w:val="clear" w:color="auto" w:fill="auto"/>
            <w:vAlign w:val="center"/>
            <w:hideMark/>
          </w:tcPr>
          <w:p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 xml:space="preserve">Total number of fruits per plant </w:t>
            </w:r>
          </w:p>
        </w:tc>
        <w:tc>
          <w:tcPr>
            <w:tcW w:w="512" w:type="pct"/>
            <w:vAlign w:val="center"/>
          </w:tcPr>
          <w:p w:rsidR="002F2939" w:rsidRPr="007B51B6" w:rsidRDefault="004874F6" w:rsidP="002F2939">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Fruit length (cm)</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 (GA3@ 25ppm)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47.54</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49.54</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95.35</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5.65</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7.65</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25.83</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3.83</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T2 (GA3@ 50ppm)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43.56</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44.58</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97.25</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4.89</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8.68</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30.80</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5.10</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T3 (GA3@ 75ppm)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39.54</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40.58</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101.35</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7.14</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10.98</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27.10</w:t>
            </w:r>
          </w:p>
        </w:tc>
        <w:tc>
          <w:tcPr>
            <w:tcW w:w="512" w:type="pct"/>
            <w:shd w:val="clear" w:color="auto" w:fill="auto"/>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4.70</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T4 (GA3@ 100ppm)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48.24</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50.17</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94.87</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6.42</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8.48</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25.64</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3.89</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T5 (Auxin@ 25ppm)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45.67</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48.61</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99.36</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4.35</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7.42</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26.50</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4.66</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T6 (Auxin@ 50ppm)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48.65</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49.71</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90.82</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5.54</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9.12</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26.50</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3.66</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T7 (Auxin@ 75ppm)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48.37</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51.65</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91.98</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5.40</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8.18</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25.66</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3.66</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T8 (Auxin@ 100ppm)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50.64</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52.35</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93.64</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5.95</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9.58</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26.54</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4.18</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T9 (Kinetin@25ppm)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41.87</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42.78</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98.87</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6.58</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8.56</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25.80</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4.20</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T10 (Kinetin@ 50ppm)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49.71</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51.84</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96.65</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4.38</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7.69</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26.03</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3.86</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T11 (Kinetin @75ppm)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52.62</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53.41</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94.68</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6.48</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6.54</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26.16</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3.93</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T12 (Kinetin @100ppm)</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48.69</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50.48</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93.54</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5.69</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7.54</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25.19</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3.25</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w:t>
            </w:r>
            <w:r w:rsidR="006C3097" w:rsidRPr="007B51B6">
              <w:rPr>
                <w:rFonts w:ascii="Times New Roman" w:eastAsia="Times New Roman" w:hAnsi="Times New Roman" w:cs="Times New Roman"/>
                <w:sz w:val="20"/>
                <w:szCs w:val="20"/>
                <w:lang w:bidi="hi-IN"/>
              </w:rPr>
              <w:t>3</w:t>
            </w:r>
            <w:r w:rsidRPr="007B51B6">
              <w:rPr>
                <w:rFonts w:ascii="Times New Roman" w:eastAsia="Times New Roman" w:hAnsi="Times New Roman" w:cs="Times New Roman"/>
                <w:sz w:val="20"/>
                <w:szCs w:val="20"/>
                <w:lang w:bidi="hi-IN"/>
              </w:rPr>
              <w:t xml:space="preserve"> (Control)</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52.63</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54.45</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90.18</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4.12</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7.35</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22.93</w:t>
            </w:r>
          </w:p>
        </w:tc>
        <w:tc>
          <w:tcPr>
            <w:tcW w:w="512" w:type="pct"/>
            <w:vAlign w:val="center"/>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3.36</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SED</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0.68</w:t>
            </w:r>
          </w:p>
        </w:tc>
        <w:tc>
          <w:tcPr>
            <w:tcW w:w="604"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0.63</w:t>
            </w:r>
          </w:p>
        </w:tc>
        <w:tc>
          <w:tcPr>
            <w:tcW w:w="513"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0.78</w:t>
            </w:r>
          </w:p>
        </w:tc>
        <w:tc>
          <w:tcPr>
            <w:tcW w:w="546"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0.41</w:t>
            </w:r>
          </w:p>
        </w:tc>
        <w:tc>
          <w:tcPr>
            <w:tcW w:w="546"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0.19</w:t>
            </w:r>
          </w:p>
        </w:tc>
        <w:tc>
          <w:tcPr>
            <w:tcW w:w="513"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1.56</w:t>
            </w:r>
          </w:p>
        </w:tc>
        <w:tc>
          <w:tcPr>
            <w:tcW w:w="512" w:type="pct"/>
            <w:vAlign w:val="bottom"/>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0.085</w:t>
            </w:r>
          </w:p>
        </w:tc>
      </w:tr>
      <w:tr w:rsidR="007B51B6" w:rsidRPr="007B51B6" w:rsidTr="00DF162F">
        <w:trPr>
          <w:trHeight w:val="315"/>
        </w:trPr>
        <w:tc>
          <w:tcPr>
            <w:tcW w:w="1217" w:type="pct"/>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CD (0.05)</w:t>
            </w:r>
          </w:p>
        </w:tc>
        <w:tc>
          <w:tcPr>
            <w:tcW w:w="549"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3.54</w:t>
            </w:r>
          </w:p>
        </w:tc>
        <w:tc>
          <w:tcPr>
            <w:tcW w:w="604"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2.54</w:t>
            </w:r>
          </w:p>
        </w:tc>
        <w:tc>
          <w:tcPr>
            <w:tcW w:w="513"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3.61</w:t>
            </w:r>
          </w:p>
        </w:tc>
        <w:tc>
          <w:tcPr>
            <w:tcW w:w="546" w:type="pct"/>
            <w:shd w:val="clear" w:color="auto" w:fill="auto"/>
            <w:noWrap/>
            <w:vAlign w:val="center"/>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0.21</w:t>
            </w:r>
          </w:p>
        </w:tc>
        <w:tc>
          <w:tcPr>
            <w:tcW w:w="546"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0.57</w:t>
            </w:r>
          </w:p>
        </w:tc>
        <w:tc>
          <w:tcPr>
            <w:tcW w:w="513" w:type="pct"/>
            <w:shd w:val="clear" w:color="auto" w:fill="auto"/>
            <w:noWrap/>
            <w:vAlign w:val="bottom"/>
            <w:hideMark/>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3.98</w:t>
            </w:r>
          </w:p>
        </w:tc>
        <w:tc>
          <w:tcPr>
            <w:tcW w:w="512" w:type="pct"/>
            <w:vAlign w:val="bottom"/>
          </w:tcPr>
          <w:p w:rsidR="002F2939" w:rsidRPr="007B51B6" w:rsidRDefault="002F2939" w:rsidP="002F2939">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0.29</w:t>
            </w:r>
          </w:p>
        </w:tc>
      </w:tr>
    </w:tbl>
    <w:p w:rsidR="00C727A2" w:rsidRPr="007B51B6" w:rsidRDefault="00C727A2" w:rsidP="00C727A2">
      <w:pPr>
        <w:jc w:val="both"/>
        <w:rPr>
          <w:rFonts w:ascii="Times New Roman" w:hAnsi="Times New Roman" w:cs="Times New Roman"/>
          <w:sz w:val="24"/>
          <w:szCs w:val="24"/>
        </w:rPr>
      </w:pPr>
    </w:p>
    <w:p w:rsidR="00F45EB1" w:rsidRPr="00F45EB1" w:rsidRDefault="00F45EB1" w:rsidP="00F45EB1">
      <w:pPr>
        <w:spacing w:after="0" w:line="360" w:lineRule="auto"/>
        <w:jc w:val="both"/>
        <w:rPr>
          <w:rFonts w:ascii="Times New Roman" w:hAnsi="Times New Roman" w:cs="Times New Roman"/>
          <w:sz w:val="24"/>
          <w:szCs w:val="24"/>
        </w:rPr>
      </w:pPr>
      <w:r w:rsidRPr="00F45EB1">
        <w:rPr>
          <w:rFonts w:ascii="Times New Roman" w:hAnsi="Times New Roman" w:cs="Times New Roman"/>
          <w:b/>
          <w:bCs/>
          <w:sz w:val="24"/>
          <w:szCs w:val="24"/>
        </w:rPr>
        <w:t>Table-2</w:t>
      </w:r>
      <w:r>
        <w:rPr>
          <w:rFonts w:ascii="Times New Roman" w:hAnsi="Times New Roman" w:cs="Times New Roman"/>
          <w:sz w:val="24"/>
          <w:szCs w:val="24"/>
        </w:rPr>
        <w:t>Analyzed data set of different parameters for designed treatments.</w:t>
      </w:r>
    </w:p>
    <w:tbl>
      <w:tblPr>
        <w:tblW w:w="5000" w:type="pct"/>
        <w:tblLook w:val="04A0"/>
      </w:tblPr>
      <w:tblGrid>
        <w:gridCol w:w="2267"/>
        <w:gridCol w:w="1188"/>
        <w:gridCol w:w="1008"/>
        <w:gridCol w:w="1134"/>
        <w:gridCol w:w="852"/>
        <w:gridCol w:w="933"/>
        <w:gridCol w:w="1097"/>
        <w:gridCol w:w="1097"/>
      </w:tblGrid>
      <w:tr w:rsidR="007B51B6" w:rsidRPr="007B51B6" w:rsidTr="00F45EB1">
        <w:trPr>
          <w:trHeight w:val="1260"/>
        </w:trPr>
        <w:tc>
          <w:tcPr>
            <w:tcW w:w="1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F2939" w:rsidRPr="007B51B6" w:rsidRDefault="002F2939" w:rsidP="00A41AE7">
            <w:pPr>
              <w:spacing w:after="0" w:line="240" w:lineRule="auto"/>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lastRenderedPageBreak/>
              <w:t>Treatments</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 xml:space="preserve">Fruit </w:t>
            </w:r>
            <w:r w:rsidR="004874F6" w:rsidRPr="007B51B6">
              <w:rPr>
                <w:rFonts w:ascii="Times New Roman" w:eastAsia="Times New Roman" w:hAnsi="Times New Roman" w:cs="Times New Roman"/>
                <w:b/>
                <w:bCs/>
                <w:sz w:val="20"/>
                <w:szCs w:val="20"/>
                <w:lang w:bidi="hi-IN"/>
              </w:rPr>
              <w:t>d</w:t>
            </w:r>
            <w:r w:rsidRPr="007B51B6">
              <w:rPr>
                <w:rFonts w:ascii="Times New Roman" w:eastAsia="Times New Roman" w:hAnsi="Times New Roman" w:cs="Times New Roman"/>
                <w:b/>
                <w:bCs/>
                <w:sz w:val="20"/>
                <w:szCs w:val="20"/>
                <w:lang w:bidi="hi-IN"/>
              </w:rPr>
              <w:t>iameter (cm)</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 xml:space="preserve">Average </w:t>
            </w:r>
            <w:r w:rsidR="004874F6" w:rsidRPr="007B51B6">
              <w:rPr>
                <w:rFonts w:ascii="Times New Roman" w:eastAsia="Times New Roman" w:hAnsi="Times New Roman" w:cs="Times New Roman"/>
                <w:b/>
                <w:bCs/>
                <w:sz w:val="20"/>
                <w:szCs w:val="20"/>
                <w:lang w:bidi="hi-IN"/>
              </w:rPr>
              <w:t>Fruit</w:t>
            </w:r>
            <w:r w:rsidRPr="007B51B6">
              <w:rPr>
                <w:rFonts w:ascii="Times New Roman" w:eastAsia="Times New Roman" w:hAnsi="Times New Roman" w:cs="Times New Roman"/>
                <w:b/>
                <w:bCs/>
                <w:sz w:val="20"/>
                <w:szCs w:val="20"/>
                <w:lang w:bidi="hi-IN"/>
              </w:rPr>
              <w:t xml:space="preserve"> weight (g)</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Yield per plant (kg)</w:t>
            </w:r>
          </w:p>
        </w:tc>
        <w:tc>
          <w:tcPr>
            <w:tcW w:w="445" w:type="pct"/>
            <w:tcBorders>
              <w:top w:val="single" w:sz="4" w:space="0" w:color="auto"/>
              <w:left w:val="nil"/>
              <w:bottom w:val="single" w:sz="4" w:space="0" w:color="auto"/>
              <w:right w:val="single" w:sz="4" w:space="0" w:color="auto"/>
            </w:tcBorders>
            <w:shd w:val="clear" w:color="auto" w:fill="auto"/>
            <w:vAlign w:val="center"/>
            <w:hideMark/>
          </w:tcPr>
          <w:p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TSS (</w:t>
            </w:r>
            <w:r w:rsidRPr="007B51B6">
              <w:rPr>
                <w:rFonts w:ascii="Times New Roman" w:eastAsia="Times New Roman" w:hAnsi="Times New Roman" w:cs="Times New Roman"/>
                <w:b/>
                <w:bCs/>
                <w:sz w:val="20"/>
                <w:szCs w:val="20"/>
                <w:vertAlign w:val="superscript"/>
                <w:lang w:bidi="hi-IN"/>
              </w:rPr>
              <w:t>0</w:t>
            </w:r>
            <w:r w:rsidRPr="007B51B6">
              <w:rPr>
                <w:rFonts w:ascii="Times New Roman" w:eastAsia="Times New Roman" w:hAnsi="Times New Roman" w:cs="Times New Roman"/>
                <w:b/>
                <w:bCs/>
                <w:sz w:val="20"/>
                <w:szCs w:val="20"/>
                <w:lang w:bidi="hi-IN"/>
              </w:rPr>
              <w:t>Brix)</w:t>
            </w:r>
          </w:p>
        </w:tc>
        <w:tc>
          <w:tcPr>
            <w:tcW w:w="487" w:type="pct"/>
            <w:tcBorders>
              <w:top w:val="single" w:sz="4" w:space="0" w:color="auto"/>
              <w:left w:val="nil"/>
              <w:bottom w:val="single" w:sz="4" w:space="0" w:color="auto"/>
              <w:right w:val="single" w:sz="4" w:space="0" w:color="auto"/>
            </w:tcBorders>
            <w:shd w:val="clear" w:color="auto" w:fill="auto"/>
            <w:vAlign w:val="center"/>
            <w:hideMark/>
          </w:tcPr>
          <w:p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pH</w:t>
            </w:r>
          </w:p>
        </w:tc>
        <w:tc>
          <w:tcPr>
            <w:tcW w:w="573" w:type="pct"/>
            <w:tcBorders>
              <w:top w:val="single" w:sz="4" w:space="0" w:color="auto"/>
              <w:left w:val="nil"/>
              <w:bottom w:val="single" w:sz="4" w:space="0" w:color="auto"/>
              <w:right w:val="single" w:sz="4" w:space="0" w:color="auto"/>
            </w:tcBorders>
            <w:shd w:val="clear" w:color="auto" w:fill="auto"/>
            <w:vAlign w:val="center"/>
            <w:hideMark/>
          </w:tcPr>
          <w:p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Ascorbic acid (mg/100g)</w:t>
            </w:r>
          </w:p>
        </w:tc>
        <w:tc>
          <w:tcPr>
            <w:tcW w:w="573" w:type="pct"/>
            <w:tcBorders>
              <w:top w:val="single" w:sz="4" w:space="0" w:color="auto"/>
              <w:left w:val="nil"/>
              <w:bottom w:val="single" w:sz="4" w:space="0" w:color="auto"/>
              <w:right w:val="single" w:sz="4" w:space="0" w:color="auto"/>
            </w:tcBorders>
            <w:shd w:val="clear" w:color="auto" w:fill="auto"/>
            <w:vAlign w:val="center"/>
            <w:hideMark/>
          </w:tcPr>
          <w:p w:rsidR="002F2939" w:rsidRPr="007B51B6" w:rsidRDefault="002F2939" w:rsidP="00A41AE7">
            <w:pPr>
              <w:spacing w:after="0" w:line="240" w:lineRule="auto"/>
              <w:jc w:val="center"/>
              <w:rPr>
                <w:rFonts w:ascii="Times New Roman" w:eastAsia="Times New Roman" w:hAnsi="Times New Roman" w:cs="Times New Roman"/>
                <w:b/>
                <w:bCs/>
                <w:sz w:val="20"/>
                <w:szCs w:val="20"/>
                <w:lang w:bidi="hi-IN"/>
              </w:rPr>
            </w:pPr>
            <w:r w:rsidRPr="007B51B6">
              <w:rPr>
                <w:rFonts w:ascii="Times New Roman" w:eastAsia="Times New Roman" w:hAnsi="Times New Roman" w:cs="Times New Roman"/>
                <w:b/>
                <w:bCs/>
                <w:sz w:val="20"/>
                <w:szCs w:val="20"/>
                <w:lang w:bidi="hi-IN"/>
              </w:rPr>
              <w:t>Lycopene (mg/100g)</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 (GA3@ 25ppm)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3.33</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73.18</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1.89</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6.08</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4.08</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22.58</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5.54</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T2 (GA3@ 50ppm)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4.93</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69.81</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2.15</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6.05</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4.05</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22.82</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4.15</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T3 (GA3@ 75ppm)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3.90</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98.90</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2.68</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6.23</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4.14</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26.58</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6.23</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T4 (GA3@ 100ppm)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3.58</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85.03</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2.18</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5.89</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4.08</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21.54</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4.25</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T5 (Auxin@ 25ppm)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4.30</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83.02</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2.20</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5.73</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4.06</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23.64</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4.13</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T6 (Auxin@ 50ppm)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3.96</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66.42</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1.76</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5.68</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4.11</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24.23</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5.74</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T7 (Auxin@ 75ppm)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3.36</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69.37</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1.78</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5.25</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3.97</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25.73</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3.69</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T8 (Auxin@ 100ppm)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2.89</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95.71</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2.54</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5.81</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3.68</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26.05</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5.89</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T9 (Kinetin@25ppm)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4.13</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78.69</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2.03</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5.40</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4.12</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24.63</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4.52</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T10 (Kinetin@ 50ppm)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3.83</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71.46</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1.86</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5.47</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3.93</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21.75</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3.54</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T11 (Kinetin @75ppm)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3.33</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62.31</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1.63</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5.07</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4.03</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23.04</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5.89</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T12 (Kinetin @100ppm)</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4.12</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76.23</w:t>
            </w:r>
          </w:p>
        </w:tc>
        <w:tc>
          <w:tcPr>
            <w:tcW w:w="592"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1.92</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4.98</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3.56</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24.23</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3.69</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T1</w:t>
            </w:r>
            <w:r w:rsidR="006C3097" w:rsidRPr="007B51B6">
              <w:rPr>
                <w:rFonts w:ascii="Times New Roman" w:eastAsia="Times New Roman" w:hAnsi="Times New Roman" w:cs="Times New Roman"/>
                <w:sz w:val="20"/>
                <w:szCs w:val="20"/>
                <w:lang w:bidi="hi-IN"/>
              </w:rPr>
              <w:t xml:space="preserve">3 </w:t>
            </w:r>
            <w:r w:rsidRPr="007B51B6">
              <w:rPr>
                <w:rFonts w:ascii="Times New Roman" w:eastAsia="Times New Roman" w:hAnsi="Times New Roman" w:cs="Times New Roman"/>
                <w:sz w:val="20"/>
                <w:szCs w:val="20"/>
                <w:lang w:bidi="hi-IN"/>
              </w:rPr>
              <w:t>(Control)</w:t>
            </w:r>
          </w:p>
        </w:tc>
        <w:tc>
          <w:tcPr>
            <w:tcW w:w="620"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3.16</w:t>
            </w:r>
          </w:p>
        </w:tc>
        <w:tc>
          <w:tcPr>
            <w:tcW w:w="526" w:type="pct"/>
            <w:tcBorders>
              <w:top w:val="nil"/>
              <w:left w:val="nil"/>
              <w:bottom w:val="single" w:sz="4" w:space="0" w:color="auto"/>
              <w:right w:val="single" w:sz="4" w:space="0" w:color="auto"/>
            </w:tcBorders>
            <w:shd w:val="clear" w:color="auto" w:fill="auto"/>
            <w:noWrap/>
            <w:vAlign w:val="center"/>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70.22</w:t>
            </w:r>
          </w:p>
        </w:tc>
        <w:tc>
          <w:tcPr>
            <w:tcW w:w="592"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1.61</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4.58</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3.48</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21.34</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3.49</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commentRangeStart w:id="9"/>
            <w:r w:rsidRPr="007B51B6">
              <w:rPr>
                <w:rFonts w:ascii="Times New Roman" w:eastAsia="Times New Roman" w:hAnsi="Times New Roman" w:cs="Times New Roman"/>
                <w:sz w:val="20"/>
                <w:szCs w:val="20"/>
                <w:lang w:bidi="hi-IN"/>
              </w:rPr>
              <w:t>SED</w:t>
            </w:r>
            <w:commentRangeEnd w:id="9"/>
            <w:r w:rsidR="00F17459">
              <w:rPr>
                <w:rStyle w:val="CommentReference"/>
              </w:rPr>
              <w:commentReference w:id="9"/>
            </w:r>
          </w:p>
        </w:tc>
        <w:tc>
          <w:tcPr>
            <w:tcW w:w="620"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0.075</w:t>
            </w:r>
          </w:p>
        </w:tc>
        <w:tc>
          <w:tcPr>
            <w:tcW w:w="526"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0.42</w:t>
            </w:r>
          </w:p>
        </w:tc>
        <w:tc>
          <w:tcPr>
            <w:tcW w:w="592"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0.11</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0.04</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0.05</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0.33</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0.12</w:t>
            </w:r>
          </w:p>
        </w:tc>
      </w:tr>
      <w:tr w:rsidR="007B51B6" w:rsidRPr="007B51B6" w:rsidTr="00F45EB1">
        <w:trPr>
          <w:trHeight w:val="315"/>
        </w:trPr>
        <w:tc>
          <w:tcPr>
            <w:tcW w:w="1183" w:type="pct"/>
            <w:tcBorders>
              <w:top w:val="nil"/>
              <w:left w:val="single" w:sz="4" w:space="0" w:color="auto"/>
              <w:bottom w:val="single" w:sz="4" w:space="0" w:color="auto"/>
              <w:right w:val="single" w:sz="4" w:space="0" w:color="auto"/>
            </w:tcBorders>
            <w:shd w:val="clear" w:color="auto" w:fill="auto"/>
            <w:noWrap/>
            <w:vAlign w:val="bottom"/>
            <w:hideMark/>
          </w:tcPr>
          <w:p w:rsidR="002F2939" w:rsidRPr="007B51B6" w:rsidRDefault="002F2939" w:rsidP="002F2939">
            <w:pPr>
              <w:spacing w:after="0" w:line="240" w:lineRule="auto"/>
              <w:rPr>
                <w:rFonts w:ascii="Times New Roman" w:eastAsia="Times New Roman" w:hAnsi="Times New Roman" w:cs="Times New Roman"/>
                <w:sz w:val="20"/>
                <w:szCs w:val="20"/>
                <w:lang w:bidi="hi-IN"/>
              </w:rPr>
            </w:pPr>
            <w:commentRangeStart w:id="10"/>
            <w:r w:rsidRPr="007B51B6">
              <w:rPr>
                <w:rFonts w:ascii="Times New Roman" w:eastAsia="Times New Roman" w:hAnsi="Times New Roman" w:cs="Times New Roman"/>
                <w:sz w:val="20"/>
                <w:szCs w:val="20"/>
                <w:lang w:bidi="hi-IN"/>
              </w:rPr>
              <w:t>CD (0.05)</w:t>
            </w:r>
            <w:commentRangeEnd w:id="10"/>
            <w:r w:rsidR="00F17459">
              <w:rPr>
                <w:rStyle w:val="CommentReference"/>
              </w:rPr>
              <w:commentReference w:id="10"/>
            </w:r>
          </w:p>
        </w:tc>
        <w:tc>
          <w:tcPr>
            <w:tcW w:w="620"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0.24</w:t>
            </w:r>
          </w:p>
        </w:tc>
        <w:tc>
          <w:tcPr>
            <w:tcW w:w="526"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2.09</w:t>
            </w:r>
          </w:p>
        </w:tc>
        <w:tc>
          <w:tcPr>
            <w:tcW w:w="592"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0.38</w:t>
            </w:r>
          </w:p>
        </w:tc>
        <w:tc>
          <w:tcPr>
            <w:tcW w:w="445"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0.21</w:t>
            </w:r>
          </w:p>
        </w:tc>
        <w:tc>
          <w:tcPr>
            <w:tcW w:w="487"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0.17</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1.05</w:t>
            </w:r>
          </w:p>
        </w:tc>
        <w:tc>
          <w:tcPr>
            <w:tcW w:w="573" w:type="pct"/>
            <w:tcBorders>
              <w:top w:val="nil"/>
              <w:left w:val="nil"/>
              <w:bottom w:val="single" w:sz="4" w:space="0" w:color="auto"/>
              <w:right w:val="single" w:sz="4" w:space="0" w:color="auto"/>
            </w:tcBorders>
            <w:shd w:val="clear" w:color="auto" w:fill="auto"/>
            <w:noWrap/>
            <w:vAlign w:val="bottom"/>
            <w:hideMark/>
          </w:tcPr>
          <w:p w:rsidR="002F2939" w:rsidRPr="007B51B6" w:rsidRDefault="002F2939" w:rsidP="00A41AE7">
            <w:pPr>
              <w:spacing w:after="0" w:line="240" w:lineRule="auto"/>
              <w:jc w:val="center"/>
              <w:rPr>
                <w:rFonts w:ascii="Times New Roman" w:eastAsia="Times New Roman" w:hAnsi="Times New Roman" w:cs="Times New Roman"/>
                <w:sz w:val="20"/>
                <w:szCs w:val="20"/>
                <w:lang w:bidi="hi-IN"/>
              </w:rPr>
            </w:pPr>
            <w:r w:rsidRPr="007B51B6">
              <w:rPr>
                <w:rFonts w:ascii="Times New Roman" w:eastAsia="Times New Roman" w:hAnsi="Times New Roman" w:cs="Times New Roman"/>
                <w:sz w:val="20"/>
                <w:szCs w:val="20"/>
                <w:lang w:bidi="hi-IN"/>
              </w:rPr>
              <w:t>0.69</w:t>
            </w:r>
          </w:p>
        </w:tc>
      </w:tr>
    </w:tbl>
    <w:p w:rsidR="00F45EB1" w:rsidRPr="007B51B6" w:rsidRDefault="00F45EB1" w:rsidP="00F45EB1">
      <w:pPr>
        <w:spacing w:after="0"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3.4 Primary Branches per Plant</w:t>
      </w:r>
    </w:p>
    <w:p w:rsidR="00F45EB1"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GA₃ at 75 ppm (T₃) resulted in the highest number of primary branches per plant (7.14), whereas the control had the least (4.12). Treatments T₉ (6.58), T₄ (6.42), and T₁₁ (6.48) were also statistically at par with T₃ and demonstrated significant branching. The results are in agreement with Tiwari and Singh, 2014 and Manish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2024</w:t>
      </w:r>
      <w:r w:rsidRPr="007B51B6">
        <w:rPr>
          <w:rFonts w:ascii="Times New Roman" w:hAnsi="Times New Roman" w:cs="Times New Roman"/>
          <w:sz w:val="24"/>
          <w:szCs w:val="24"/>
        </w:rPr>
        <w:t xml:space="preserve">. </w:t>
      </w:r>
    </w:p>
    <w:p w:rsidR="00F45EB1" w:rsidRPr="007B51B6" w:rsidRDefault="00F45EB1" w:rsidP="00F45EB1">
      <w:pPr>
        <w:spacing w:after="0"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3.5 Number of Flower Clusters per Plant</w:t>
      </w:r>
    </w:p>
    <w:p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sz w:val="24"/>
          <w:szCs w:val="24"/>
        </w:rPr>
        <w:t>The maximum number of flower clusters per plant was recorded in T₃ (10.98), followed by T₈ (9.58), T₆ (9.12), and T₇ (8.18), which were all statistically comparable. The minimum value was noted in T₁₁ (6.54). Similar result was reported by Uddain</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2009</w:t>
      </w:r>
      <w:r w:rsidRPr="007B51B6">
        <w:rPr>
          <w:rFonts w:ascii="Times New Roman" w:hAnsi="Times New Roman" w:cs="Times New Roman"/>
          <w:sz w:val="24"/>
          <w:szCs w:val="24"/>
        </w:rPr>
        <w:t>.</w:t>
      </w:r>
    </w:p>
    <w:p w:rsidR="00F45EB1" w:rsidRPr="007B51B6" w:rsidRDefault="00F45EB1" w:rsidP="00F45EB1">
      <w:pPr>
        <w:spacing w:after="0"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3.6 Total Number of Fruits per Plant</w:t>
      </w:r>
    </w:p>
    <w:p w:rsidR="00F45EB1" w:rsidRDefault="00F45EB1" w:rsidP="00F45EB1">
      <w:pPr>
        <w:spacing w:line="360" w:lineRule="auto"/>
        <w:jc w:val="both"/>
        <w:rPr>
          <w:rFonts w:ascii="Times New Roman" w:hAnsi="Times New Roman" w:cs="Times New Roman"/>
          <w:sz w:val="24"/>
          <w:szCs w:val="24"/>
          <w:shd w:val="clear" w:color="auto" w:fill="FFFFFF"/>
        </w:rPr>
        <w:sectPr w:rsidR="00F45EB1" w:rsidSect="002F29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7B51B6">
        <w:rPr>
          <w:rFonts w:ascii="Times New Roman" w:hAnsi="Times New Roman" w:cs="Times New Roman"/>
          <w:sz w:val="24"/>
          <w:szCs w:val="24"/>
        </w:rPr>
        <w:t xml:space="preserve">Although the highest number of fruits per plant was recorded in T₂ (30.80), T₃ showed a high value of 27.10 fruits, comparable to T₅ (26.50) and T₆ (26.50). The control exhibited the lowest fruit count with only 22.93 fruits per plant. The results are in agreement with Poudel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xml:space="preserve">., 2020 &amp; Ahmed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2021.</w:t>
      </w:r>
    </w:p>
    <w:p w:rsidR="00F45EB1" w:rsidRDefault="00C12BCE" w:rsidP="00F45EB1">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simplePos x="0" y="0"/>
            <wp:positionH relativeFrom="margin">
              <wp:posOffset>-457200</wp:posOffset>
            </wp:positionH>
            <wp:positionV relativeFrom="paragraph">
              <wp:posOffset>285115</wp:posOffset>
            </wp:positionV>
            <wp:extent cx="9246870" cy="5305425"/>
            <wp:effectExtent l="0" t="0" r="0" b="9525"/>
            <wp:wrapThrough wrapText="bothSides">
              <wp:wrapPolygon edited="0">
                <wp:start x="0" y="0"/>
                <wp:lineTo x="0" y="21561"/>
                <wp:lineTo x="21538" y="21561"/>
                <wp:lineTo x="215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752"/>
                    <a:stretch/>
                  </pic:blipFill>
                  <pic:spPr bwMode="auto">
                    <a:xfrm>
                      <a:off x="0" y="0"/>
                      <a:ext cx="9246870" cy="53054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F45EB1">
        <w:rPr>
          <w:rFonts w:ascii="Times New Roman" w:hAnsi="Times New Roman" w:cs="Times New Roman"/>
          <w:b/>
          <w:bCs/>
          <w:sz w:val="24"/>
          <w:szCs w:val="24"/>
        </w:rPr>
        <w:t>Graph-1</w:t>
      </w:r>
      <w:r w:rsidR="00F45EB1">
        <w:rPr>
          <w:rFonts w:ascii="Times New Roman" w:hAnsi="Times New Roman" w:cs="Times New Roman"/>
          <w:sz w:val="24"/>
          <w:szCs w:val="24"/>
        </w:rPr>
        <w:t xml:space="preserve"> </w:t>
      </w:r>
      <w:commentRangeStart w:id="11"/>
      <w:r w:rsidR="00F45EB1">
        <w:rPr>
          <w:rFonts w:ascii="Times New Roman" w:hAnsi="Times New Roman" w:cs="Times New Roman"/>
          <w:sz w:val="24"/>
          <w:szCs w:val="24"/>
        </w:rPr>
        <w:t xml:space="preserve">Multiline graph </w:t>
      </w:r>
      <w:commentRangeEnd w:id="11"/>
      <w:r w:rsidR="001D3CBA">
        <w:rPr>
          <w:rStyle w:val="CommentReference"/>
        </w:rPr>
        <w:commentReference w:id="11"/>
      </w:r>
      <w:r w:rsidR="00F45EB1">
        <w:rPr>
          <w:rFonts w:ascii="Times New Roman" w:hAnsi="Times New Roman" w:cs="Times New Roman"/>
          <w:sz w:val="24"/>
          <w:szCs w:val="24"/>
        </w:rPr>
        <w:t>for comparative visualization for all parameters</w:t>
      </w:r>
    </w:p>
    <w:p w:rsidR="00F45EB1" w:rsidRDefault="007310A8" w:rsidP="00C12BCE">
      <w:pPr>
        <w:jc w:val="both"/>
        <w:rPr>
          <w:rFonts w:ascii="Times New Roman" w:hAnsi="Times New Roman" w:cs="Times New Roman"/>
          <w:sz w:val="24"/>
          <w:szCs w:val="24"/>
          <w:shd w:val="clear" w:color="auto" w:fill="FFFFFF"/>
        </w:rPr>
        <w:sectPr w:rsidR="00F45EB1" w:rsidSect="00F45EB1">
          <w:headerReference w:type="even" r:id="rId15"/>
          <w:headerReference w:type="default" r:id="rId16"/>
          <w:headerReference w:type="first" r:id="rId17"/>
          <w:pgSz w:w="15840" w:h="12240" w:orient="landscape"/>
          <w:pgMar w:top="1440" w:right="1440" w:bottom="1440" w:left="1440" w:header="720" w:footer="720" w:gutter="0"/>
          <w:cols w:space="720"/>
          <w:docGrid w:linePitch="360"/>
        </w:sectPr>
      </w:pPr>
      <w:r w:rsidRPr="007B51B6">
        <w:rPr>
          <w:rFonts w:ascii="Times New Roman" w:hAnsi="Times New Roman" w:cs="Times New Roman"/>
          <w:sz w:val="24"/>
          <w:szCs w:val="24"/>
          <w:shd w:val="clear" w:color="auto" w:fill="FFFFFF"/>
        </w:rPr>
        <w:t>.</w:t>
      </w:r>
    </w:p>
    <w:p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lastRenderedPageBreak/>
        <w:t>3.7 Fruit Length (cm)</w:t>
      </w:r>
    </w:p>
    <w:p w:rsidR="00F45EB1"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T₂ produced fruits with the greatest length (5.10 cm), followed closely by T₅ (4.66 cm), T₃ (4.70 cm), and T₈ (4.18 cm). The smallest fruit length (3.25 cm) was recorded in T₁₂. The similar result was also reported by Singh</w:t>
      </w:r>
      <w:r w:rsidRPr="007B51B6">
        <w:rPr>
          <w:rFonts w:ascii="Times New Roman" w:hAnsi="Times New Roman" w:cs="Times New Roman"/>
          <w:i/>
          <w:iCs/>
          <w:sz w:val="24"/>
          <w:szCs w:val="24"/>
          <w:shd w:val="clear" w:color="auto" w:fill="FFFFFF"/>
        </w:rPr>
        <w:t xml:space="preserve"> et al</w:t>
      </w:r>
      <w:r w:rsidRPr="007B51B6">
        <w:rPr>
          <w:rFonts w:ascii="Times New Roman" w:hAnsi="Times New Roman" w:cs="Times New Roman"/>
          <w:sz w:val="24"/>
          <w:szCs w:val="24"/>
          <w:shd w:val="clear" w:color="auto" w:fill="FFFFFF"/>
        </w:rPr>
        <w:t>., 2024 &amp;</w:t>
      </w:r>
      <w:r w:rsidRPr="007B51B6">
        <w:rPr>
          <w:rFonts w:ascii="Times New Roman" w:hAnsi="Times New Roman" w:cs="Times New Roman"/>
          <w:sz w:val="24"/>
          <w:szCs w:val="24"/>
        </w:rPr>
        <w:t xml:space="preserve">Manish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2024</w:t>
      </w:r>
      <w:r w:rsidRPr="007B51B6">
        <w:rPr>
          <w:rFonts w:ascii="Times New Roman" w:hAnsi="Times New Roman" w:cs="Times New Roman"/>
          <w:sz w:val="24"/>
          <w:szCs w:val="24"/>
        </w:rPr>
        <w:t xml:space="preserve">. </w:t>
      </w:r>
    </w:p>
    <w:p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3.8 Fruit Diameter (cm)</w:t>
      </w:r>
    </w:p>
    <w:p w:rsidR="00F45EB1"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The highest fruit diameter was observed in T₂ (4.93 cm), with T₅ (4.30 cm), T₉ (4.13 cm), and T₃ (3.90 cm) also showing considerable girth. The lowest diameter (2.89 cm) was found in T₈. The results are in agreement with Tiwari and Singh, 2014 and Manish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2024</w:t>
      </w:r>
      <w:r w:rsidRPr="007B51B6">
        <w:rPr>
          <w:rFonts w:ascii="Times New Roman" w:hAnsi="Times New Roman" w:cs="Times New Roman"/>
          <w:sz w:val="24"/>
          <w:szCs w:val="24"/>
        </w:rPr>
        <w:t>.</w:t>
      </w:r>
    </w:p>
    <w:p w:rsidR="00F45EB1" w:rsidRPr="007B51B6" w:rsidRDefault="00F45EB1" w:rsidP="00F45EB1">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3.9 Average Fruit Weight (g)</w:t>
      </w:r>
    </w:p>
    <w:p w:rsidR="00C727A2" w:rsidRPr="007B51B6" w:rsidRDefault="00F45EB1" w:rsidP="00F45EB1">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 xml:space="preserve">T₃ recorded the highest average fruit weight (98.90 g), followed by T₈ (95.71 g), T₄ (85.03 g), and T₅ (83.02 g), which were all statistically at par. The lowest fruit weight was recorded in T₁₁ (62.31 g). The result is in </w:t>
      </w:r>
      <w:r w:rsidR="0005167B" w:rsidRPr="0005167B">
        <w:rPr>
          <w:rFonts w:ascii="Times New Roman" w:hAnsi="Times New Roman" w:cs="Times New Roman"/>
          <w:sz w:val="24"/>
          <w:szCs w:val="24"/>
        </w:rPr>
        <w:t>Chart</w:t>
      </w:r>
      <w:r w:rsidRPr="007B51B6">
        <w:rPr>
          <w:rFonts w:ascii="Times New Roman" w:hAnsi="Times New Roman" w:cs="Times New Roman"/>
          <w:sz w:val="24"/>
          <w:szCs w:val="24"/>
        </w:rPr>
        <w:t xml:space="preserve">ort with Poudel </w:t>
      </w:r>
      <w:r w:rsidRPr="007B51B6">
        <w:rPr>
          <w:rFonts w:ascii="Times New Roman" w:hAnsi="Times New Roman" w:cs="Times New Roman"/>
          <w:i/>
          <w:iCs/>
          <w:sz w:val="24"/>
          <w:szCs w:val="24"/>
          <w:shd w:val="clear" w:color="auto" w:fill="FFFFFF"/>
        </w:rPr>
        <w:t>et al</w:t>
      </w:r>
      <w:r w:rsidRPr="007B51B6">
        <w:rPr>
          <w:rFonts w:ascii="Times New Roman" w:hAnsi="Times New Roman" w:cs="Times New Roman"/>
          <w:sz w:val="24"/>
          <w:szCs w:val="24"/>
          <w:shd w:val="clear" w:color="auto" w:fill="FFFFFF"/>
        </w:rPr>
        <w:t>., 2020</w:t>
      </w:r>
    </w:p>
    <w:p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3.10 </w:t>
      </w:r>
      <w:r w:rsidR="00C727A2" w:rsidRPr="007B51B6">
        <w:rPr>
          <w:rFonts w:ascii="Times New Roman" w:hAnsi="Times New Roman" w:cs="Times New Roman"/>
          <w:b/>
          <w:bCs/>
          <w:sz w:val="24"/>
          <w:szCs w:val="24"/>
        </w:rPr>
        <w:t>Yield per Plant (kg)</w:t>
      </w:r>
    </w:p>
    <w:p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maximum yield per plant was observed in T₃ (2.68 kg), followed by T₈ (2.54 kg), T₄ (2.18 kg), and T₂ (2.15 kg). The minimum yield was recorded in the control (T₁₃) at 1.61 kg per plant.</w:t>
      </w:r>
      <w:r w:rsidR="00982860" w:rsidRPr="007B51B6">
        <w:rPr>
          <w:rFonts w:ascii="Times New Roman" w:hAnsi="Times New Roman" w:cs="Times New Roman"/>
          <w:sz w:val="24"/>
          <w:szCs w:val="24"/>
        </w:rPr>
        <w:t xml:space="preserve">Similar findings were reported </w:t>
      </w:r>
      <w:r w:rsidR="0076483A" w:rsidRPr="007B51B6">
        <w:rPr>
          <w:rFonts w:ascii="Times New Roman" w:hAnsi="Times New Roman" w:cs="Times New Roman"/>
          <w:sz w:val="24"/>
          <w:szCs w:val="24"/>
        </w:rPr>
        <w:t xml:space="preserve">by </w:t>
      </w:r>
      <w:r w:rsidR="006F67EA" w:rsidRPr="007B51B6">
        <w:rPr>
          <w:rFonts w:ascii="Times New Roman" w:hAnsi="Times New Roman" w:cs="Times New Roman"/>
          <w:sz w:val="24"/>
          <w:szCs w:val="24"/>
        </w:rPr>
        <w:t>Tiwari and Singh, 2014 &amp;</w:t>
      </w:r>
      <w:r w:rsidR="0076483A" w:rsidRPr="007B51B6">
        <w:rPr>
          <w:rFonts w:ascii="Times New Roman" w:hAnsi="Times New Roman" w:cs="Times New Roman"/>
          <w:sz w:val="24"/>
          <w:szCs w:val="24"/>
        </w:rPr>
        <w:t>Singh</w:t>
      </w:r>
      <w:r w:rsidR="0076483A" w:rsidRPr="007B51B6">
        <w:rPr>
          <w:rFonts w:ascii="Times New Roman" w:hAnsi="Times New Roman" w:cs="Times New Roman"/>
          <w:i/>
          <w:iCs/>
          <w:sz w:val="24"/>
          <w:szCs w:val="24"/>
          <w:shd w:val="clear" w:color="auto" w:fill="FFFFFF"/>
        </w:rPr>
        <w:t xml:space="preserve"> et al</w:t>
      </w:r>
      <w:r w:rsidR="0076483A" w:rsidRPr="007B51B6">
        <w:rPr>
          <w:rFonts w:ascii="Times New Roman" w:hAnsi="Times New Roman" w:cs="Times New Roman"/>
          <w:sz w:val="24"/>
          <w:szCs w:val="24"/>
          <w:shd w:val="clear" w:color="auto" w:fill="FFFFFF"/>
        </w:rPr>
        <w:t>., 2024</w:t>
      </w:r>
      <w:r w:rsidR="0076483A" w:rsidRPr="007B51B6">
        <w:rPr>
          <w:rFonts w:ascii="Times New Roman" w:hAnsi="Times New Roman" w:cs="Times New Roman"/>
          <w:sz w:val="24"/>
          <w:szCs w:val="24"/>
        </w:rPr>
        <w:t xml:space="preserve">.  </w:t>
      </w:r>
    </w:p>
    <w:p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3.11 </w:t>
      </w:r>
      <w:r w:rsidR="00C727A2" w:rsidRPr="007B51B6">
        <w:rPr>
          <w:rFonts w:ascii="Times New Roman" w:hAnsi="Times New Roman" w:cs="Times New Roman"/>
          <w:b/>
          <w:bCs/>
          <w:sz w:val="24"/>
          <w:szCs w:val="24"/>
        </w:rPr>
        <w:t>Total Soluble Solids (°Brix)</w:t>
      </w:r>
    </w:p>
    <w:p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highest TSS value was recorded in T₃ (6.23 °Brix), followed by T₁ (6.08 °Brix), T₂ (6.05 °Brix), and T₈ (5.81 °Brix), all of which were statistically at par. The control treatment had the lowest TSS (4.58 °Brix).</w:t>
      </w:r>
      <w:r w:rsidR="00744F11" w:rsidRPr="007B51B6">
        <w:rPr>
          <w:rFonts w:ascii="Times New Roman" w:hAnsi="Times New Roman" w:cs="Times New Roman"/>
          <w:sz w:val="24"/>
          <w:szCs w:val="24"/>
        </w:rPr>
        <w:t xml:space="preserve"> Similar result was also reported by </w:t>
      </w:r>
      <w:r w:rsidR="00744F11" w:rsidRPr="007B51B6">
        <w:rPr>
          <w:rFonts w:ascii="Times New Roman" w:hAnsi="Times New Roman" w:cs="Times New Roman"/>
          <w:sz w:val="24"/>
          <w:szCs w:val="24"/>
          <w:shd w:val="clear" w:color="auto" w:fill="FFFFFF"/>
        </w:rPr>
        <w:t xml:space="preserve">Ali </w:t>
      </w:r>
      <w:r w:rsidR="00744F11" w:rsidRPr="007B51B6">
        <w:rPr>
          <w:rFonts w:ascii="Times New Roman" w:hAnsi="Times New Roman" w:cs="Times New Roman"/>
          <w:i/>
          <w:iCs/>
          <w:sz w:val="24"/>
          <w:szCs w:val="24"/>
          <w:shd w:val="clear" w:color="auto" w:fill="FFFFFF"/>
        </w:rPr>
        <w:t>et al</w:t>
      </w:r>
      <w:r w:rsidR="00744F11" w:rsidRPr="007B51B6">
        <w:rPr>
          <w:rFonts w:ascii="Times New Roman" w:hAnsi="Times New Roman" w:cs="Times New Roman"/>
          <w:sz w:val="24"/>
          <w:szCs w:val="24"/>
          <w:shd w:val="clear" w:color="auto" w:fill="FFFFFF"/>
        </w:rPr>
        <w:t>., 20</w:t>
      </w:r>
      <w:r w:rsidR="00D15A38" w:rsidRPr="007B51B6">
        <w:rPr>
          <w:rFonts w:ascii="Times New Roman" w:hAnsi="Times New Roman" w:cs="Times New Roman"/>
          <w:sz w:val="24"/>
          <w:szCs w:val="24"/>
          <w:shd w:val="clear" w:color="auto" w:fill="FFFFFF"/>
        </w:rPr>
        <w:t>22</w:t>
      </w:r>
      <w:r w:rsidR="00807F8D" w:rsidRPr="007B51B6">
        <w:rPr>
          <w:rFonts w:ascii="Times New Roman" w:hAnsi="Times New Roman" w:cs="Times New Roman"/>
          <w:sz w:val="24"/>
          <w:szCs w:val="24"/>
          <w:shd w:val="clear" w:color="auto" w:fill="FFFFFF"/>
        </w:rPr>
        <w:t xml:space="preserve">, </w:t>
      </w:r>
      <w:r w:rsidR="00807F8D" w:rsidRPr="007B51B6">
        <w:rPr>
          <w:rFonts w:ascii="Times New Roman" w:hAnsi="Times New Roman" w:cs="Times New Roman"/>
          <w:sz w:val="24"/>
          <w:szCs w:val="24"/>
        </w:rPr>
        <w:t>Singh</w:t>
      </w:r>
      <w:r w:rsidR="00807F8D" w:rsidRPr="007B51B6">
        <w:rPr>
          <w:rFonts w:ascii="Times New Roman" w:hAnsi="Times New Roman" w:cs="Times New Roman"/>
          <w:i/>
          <w:iCs/>
          <w:sz w:val="24"/>
          <w:szCs w:val="24"/>
          <w:shd w:val="clear" w:color="auto" w:fill="FFFFFF"/>
        </w:rPr>
        <w:t xml:space="preserve"> et al</w:t>
      </w:r>
      <w:r w:rsidR="00807F8D" w:rsidRPr="007B51B6">
        <w:rPr>
          <w:rFonts w:ascii="Times New Roman" w:hAnsi="Times New Roman" w:cs="Times New Roman"/>
          <w:sz w:val="24"/>
          <w:szCs w:val="24"/>
          <w:shd w:val="clear" w:color="auto" w:fill="FFFFFF"/>
        </w:rPr>
        <w:t>., 2024</w:t>
      </w:r>
      <w:r w:rsidR="00807F8D" w:rsidRPr="007B51B6">
        <w:rPr>
          <w:rFonts w:ascii="Times New Roman" w:hAnsi="Times New Roman" w:cs="Times New Roman"/>
          <w:sz w:val="24"/>
          <w:szCs w:val="24"/>
        </w:rPr>
        <w:t xml:space="preserve">.  </w:t>
      </w:r>
      <w:r w:rsidR="00D15A38" w:rsidRPr="007B51B6">
        <w:rPr>
          <w:rFonts w:ascii="Times New Roman" w:hAnsi="Times New Roman" w:cs="Times New Roman"/>
          <w:sz w:val="24"/>
          <w:szCs w:val="24"/>
          <w:shd w:val="clear" w:color="auto" w:fill="FFFFFF"/>
        </w:rPr>
        <w:t>&amp;Poonia</w:t>
      </w:r>
      <w:r w:rsidR="00D15A38" w:rsidRPr="007B51B6">
        <w:rPr>
          <w:rFonts w:ascii="Times New Roman" w:hAnsi="Times New Roman" w:cs="Times New Roman"/>
          <w:i/>
          <w:iCs/>
          <w:sz w:val="24"/>
          <w:szCs w:val="24"/>
          <w:shd w:val="clear" w:color="auto" w:fill="FFFFFF"/>
        </w:rPr>
        <w:t>et al</w:t>
      </w:r>
      <w:r w:rsidR="00D15A38" w:rsidRPr="007B51B6">
        <w:rPr>
          <w:rFonts w:ascii="Times New Roman" w:hAnsi="Times New Roman" w:cs="Times New Roman"/>
          <w:sz w:val="24"/>
          <w:szCs w:val="24"/>
          <w:shd w:val="clear" w:color="auto" w:fill="FFFFFF"/>
        </w:rPr>
        <w:t>., 2024</w:t>
      </w:r>
      <w:r w:rsidR="00744F11" w:rsidRPr="007B51B6">
        <w:rPr>
          <w:rFonts w:ascii="Times New Roman" w:hAnsi="Times New Roman" w:cs="Times New Roman"/>
          <w:sz w:val="24"/>
          <w:szCs w:val="24"/>
          <w:shd w:val="clear" w:color="auto" w:fill="FFFFFF"/>
        </w:rPr>
        <w:t>.</w:t>
      </w:r>
    </w:p>
    <w:p w:rsidR="00D7656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3.12 </w:t>
      </w:r>
      <w:r w:rsidR="00C727A2" w:rsidRPr="007B51B6">
        <w:rPr>
          <w:rFonts w:ascii="Times New Roman" w:hAnsi="Times New Roman" w:cs="Times New Roman"/>
          <w:b/>
          <w:bCs/>
          <w:sz w:val="24"/>
          <w:szCs w:val="24"/>
        </w:rPr>
        <w:t>pH</w:t>
      </w:r>
    </w:p>
    <w:p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highest fruit pH was recorded in T₃ (4.14), followed by T₉ (4.12), T₁ (4.08), and T₄ (4.08). The lowest pH was observed in the control (3.48), indicating comparatively higher acidity.</w:t>
      </w:r>
      <w:r w:rsidR="00BF47D6" w:rsidRPr="007B51B6">
        <w:rPr>
          <w:rFonts w:ascii="Times New Roman" w:hAnsi="Times New Roman" w:cs="Times New Roman"/>
          <w:sz w:val="24"/>
          <w:szCs w:val="24"/>
        </w:rPr>
        <w:t xml:space="preserve"> Similar result was reported by Uddain</w:t>
      </w:r>
      <w:r w:rsidR="00BF47D6" w:rsidRPr="007B51B6">
        <w:rPr>
          <w:rFonts w:ascii="Times New Roman" w:hAnsi="Times New Roman" w:cs="Times New Roman"/>
          <w:i/>
          <w:iCs/>
          <w:sz w:val="24"/>
          <w:szCs w:val="24"/>
          <w:shd w:val="clear" w:color="auto" w:fill="FFFFFF"/>
        </w:rPr>
        <w:t>et al</w:t>
      </w:r>
      <w:r w:rsidR="00BF47D6" w:rsidRPr="007B51B6">
        <w:rPr>
          <w:rFonts w:ascii="Times New Roman" w:hAnsi="Times New Roman" w:cs="Times New Roman"/>
          <w:sz w:val="24"/>
          <w:szCs w:val="24"/>
          <w:shd w:val="clear" w:color="auto" w:fill="FFFFFF"/>
        </w:rPr>
        <w:t>., 2009</w:t>
      </w:r>
      <w:r w:rsidR="00BF47D6" w:rsidRPr="007B51B6">
        <w:rPr>
          <w:rFonts w:ascii="Times New Roman" w:hAnsi="Times New Roman" w:cs="Times New Roman"/>
          <w:sz w:val="24"/>
          <w:szCs w:val="24"/>
        </w:rPr>
        <w:t>.</w:t>
      </w:r>
    </w:p>
    <w:p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3.13 </w:t>
      </w:r>
      <w:r w:rsidR="00C727A2" w:rsidRPr="007B51B6">
        <w:rPr>
          <w:rFonts w:ascii="Times New Roman" w:hAnsi="Times New Roman" w:cs="Times New Roman"/>
          <w:b/>
          <w:bCs/>
          <w:sz w:val="24"/>
          <w:szCs w:val="24"/>
        </w:rPr>
        <w:t>Ascorbic Acid Content (mg/100g)</w:t>
      </w:r>
    </w:p>
    <w:p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lastRenderedPageBreak/>
        <w:t>T₃ also recorded the highest ascorbic acid content (26.58 mg/100g), followed by T₈ (26.05 mg/100g), T₇ (25.73 mg/100g), and T₆ (24.23 mg/100g), while the control exhibited the lowest value (21.34 mg/100g).</w:t>
      </w:r>
      <w:r w:rsidR="00982860" w:rsidRPr="007B51B6">
        <w:rPr>
          <w:rFonts w:ascii="Times New Roman" w:hAnsi="Times New Roman" w:cs="Times New Roman"/>
          <w:sz w:val="24"/>
          <w:szCs w:val="24"/>
        </w:rPr>
        <w:t>The results are in agreement</w:t>
      </w:r>
      <w:r w:rsidR="00982860" w:rsidRPr="007B51B6">
        <w:rPr>
          <w:rFonts w:ascii="Times New Roman" w:hAnsi="Times New Roman" w:cs="Times New Roman"/>
          <w:sz w:val="24"/>
          <w:szCs w:val="24"/>
          <w:shd w:val="clear" w:color="auto" w:fill="FFFFFF"/>
        </w:rPr>
        <w:t xml:space="preserve"> with </w:t>
      </w:r>
      <w:r w:rsidR="00744F11" w:rsidRPr="007B51B6">
        <w:rPr>
          <w:rFonts w:ascii="Times New Roman" w:hAnsi="Times New Roman" w:cs="Times New Roman"/>
          <w:sz w:val="24"/>
          <w:szCs w:val="24"/>
          <w:shd w:val="clear" w:color="auto" w:fill="FFFFFF"/>
        </w:rPr>
        <w:t>Poonia</w:t>
      </w:r>
      <w:r w:rsidR="00744F11" w:rsidRPr="007B51B6">
        <w:rPr>
          <w:rFonts w:ascii="Times New Roman" w:hAnsi="Times New Roman" w:cs="Times New Roman"/>
          <w:i/>
          <w:iCs/>
          <w:sz w:val="24"/>
          <w:szCs w:val="24"/>
          <w:shd w:val="clear" w:color="auto" w:fill="FFFFFF"/>
        </w:rPr>
        <w:t>et al</w:t>
      </w:r>
      <w:r w:rsidR="00744F11" w:rsidRPr="007B51B6">
        <w:rPr>
          <w:rFonts w:ascii="Times New Roman" w:hAnsi="Times New Roman" w:cs="Times New Roman"/>
          <w:sz w:val="24"/>
          <w:szCs w:val="24"/>
          <w:shd w:val="clear" w:color="auto" w:fill="FFFFFF"/>
        </w:rPr>
        <w:t xml:space="preserve">., 2024. </w:t>
      </w:r>
    </w:p>
    <w:p w:rsidR="00C727A2" w:rsidRPr="007B51B6" w:rsidRDefault="00D7656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 xml:space="preserve">3.14 </w:t>
      </w:r>
      <w:r w:rsidR="00C727A2" w:rsidRPr="007B51B6">
        <w:rPr>
          <w:rFonts w:ascii="Times New Roman" w:hAnsi="Times New Roman" w:cs="Times New Roman"/>
          <w:b/>
          <w:bCs/>
          <w:sz w:val="24"/>
          <w:szCs w:val="24"/>
        </w:rPr>
        <w:t>Lycopene Content (mg/100g)</w:t>
      </w:r>
    </w:p>
    <w:p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The lycopene content was highest in T₃ (6.23 mg/100g), followed by T₈ (5.89 mg/100g), T₆ (5.74 mg/100g), and T₁ (5.54 mg/100g), with the control recording the lowest content (3.49 mg/100g).</w:t>
      </w:r>
      <w:r w:rsidR="00BF47D6" w:rsidRPr="007B51B6">
        <w:rPr>
          <w:rFonts w:ascii="Times New Roman" w:hAnsi="Times New Roman" w:cs="Times New Roman"/>
          <w:sz w:val="24"/>
          <w:szCs w:val="24"/>
        </w:rPr>
        <w:t xml:space="preserve"> Similar result was reported by </w:t>
      </w:r>
      <w:commentRangeStart w:id="12"/>
      <w:r w:rsidR="00BF47D6" w:rsidRPr="007B51B6">
        <w:rPr>
          <w:rFonts w:ascii="Times New Roman" w:hAnsi="Times New Roman" w:cs="Times New Roman"/>
          <w:sz w:val="24"/>
          <w:szCs w:val="24"/>
        </w:rPr>
        <w:t>Uddain</w:t>
      </w:r>
      <w:r w:rsidR="00BF47D6" w:rsidRPr="007B51B6">
        <w:rPr>
          <w:rFonts w:ascii="Times New Roman" w:hAnsi="Times New Roman" w:cs="Times New Roman"/>
          <w:i/>
          <w:iCs/>
          <w:sz w:val="24"/>
          <w:szCs w:val="24"/>
          <w:shd w:val="clear" w:color="auto" w:fill="FFFFFF"/>
        </w:rPr>
        <w:t>et al</w:t>
      </w:r>
      <w:r w:rsidR="00BF47D6" w:rsidRPr="007B51B6">
        <w:rPr>
          <w:rFonts w:ascii="Times New Roman" w:hAnsi="Times New Roman" w:cs="Times New Roman"/>
          <w:sz w:val="24"/>
          <w:szCs w:val="24"/>
          <w:shd w:val="clear" w:color="auto" w:fill="FFFFFF"/>
        </w:rPr>
        <w:t>., 2009</w:t>
      </w:r>
      <w:r w:rsidR="00BF47D6" w:rsidRPr="007B51B6">
        <w:rPr>
          <w:rFonts w:ascii="Times New Roman" w:hAnsi="Times New Roman" w:cs="Times New Roman"/>
          <w:sz w:val="24"/>
          <w:szCs w:val="24"/>
        </w:rPr>
        <w:t>.</w:t>
      </w:r>
      <w:commentRangeEnd w:id="12"/>
      <w:r w:rsidR="001B4D2E">
        <w:rPr>
          <w:rStyle w:val="CommentReference"/>
        </w:rPr>
        <w:commentReference w:id="12"/>
      </w:r>
    </w:p>
    <w:p w:rsidR="00C727A2" w:rsidRPr="007B51B6" w:rsidRDefault="00C727A2" w:rsidP="00D76562">
      <w:pPr>
        <w:spacing w:line="360" w:lineRule="auto"/>
        <w:jc w:val="both"/>
        <w:rPr>
          <w:rFonts w:ascii="Times New Roman" w:hAnsi="Times New Roman" w:cs="Times New Roman"/>
          <w:b/>
          <w:bCs/>
          <w:sz w:val="24"/>
          <w:szCs w:val="24"/>
        </w:rPr>
      </w:pPr>
      <w:r w:rsidRPr="007B51B6">
        <w:rPr>
          <w:rFonts w:ascii="Times New Roman" w:hAnsi="Times New Roman" w:cs="Times New Roman"/>
          <w:b/>
          <w:bCs/>
          <w:sz w:val="24"/>
          <w:szCs w:val="24"/>
        </w:rPr>
        <w:t>4.0 Conclusion</w:t>
      </w:r>
    </w:p>
    <w:p w:rsidR="00C727A2" w:rsidRPr="007B51B6" w:rsidRDefault="00C727A2" w:rsidP="00D76562">
      <w:p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Overall, GA₃ application at 75 ppm (T₃) was the most effective treatment in promoting early flowering, vigorous vegetative growth, higher fruit set, improved fruit size and weight, and enhanced yield and quality attributes. This confirms the role of GA₃ as a potent growth regulator that can be employed to improve crop productivity and fruit quality under the given experimental conditions. Future studies could focus on the combined use of GA₃ with other growth regulators or nutrient management strategies to further optimize crop performance.</w:t>
      </w:r>
    </w:p>
    <w:p w:rsidR="002070DE" w:rsidRPr="007B51B6" w:rsidRDefault="00C727A2">
      <w:pPr>
        <w:rPr>
          <w:rFonts w:ascii="Times New Roman" w:hAnsi="Times New Roman" w:cs="Times New Roman"/>
          <w:b/>
          <w:bCs/>
          <w:sz w:val="24"/>
          <w:szCs w:val="24"/>
        </w:rPr>
      </w:pPr>
      <w:r w:rsidRPr="007B51B6">
        <w:rPr>
          <w:rFonts w:ascii="Times New Roman" w:hAnsi="Times New Roman" w:cs="Times New Roman"/>
          <w:b/>
          <w:bCs/>
          <w:sz w:val="24"/>
          <w:szCs w:val="24"/>
        </w:rPr>
        <w:t xml:space="preserve">5.0 </w:t>
      </w:r>
      <w:r w:rsidR="00833BC1" w:rsidRPr="007B51B6">
        <w:rPr>
          <w:rFonts w:ascii="Times New Roman" w:hAnsi="Times New Roman" w:cs="Times New Roman"/>
          <w:b/>
          <w:bCs/>
          <w:sz w:val="24"/>
          <w:szCs w:val="24"/>
        </w:rPr>
        <w:t>References</w:t>
      </w:r>
    </w:p>
    <w:p w:rsidR="007B51B6" w:rsidRPr="007B51B6" w:rsidRDefault="007B51B6" w:rsidP="00CF15EB">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Ahmed, B., Sultana, M., Sumi, M., Mitu, A. S., Biswas, R., &amp; Hussen, M. A. M. (2021). Effects of plant growth regulators on yield and yield attributes of tomato (Solanum lycopersicum). </w:t>
      </w:r>
      <w:r w:rsidRPr="007B51B6">
        <w:rPr>
          <w:rFonts w:ascii="Times New Roman" w:hAnsi="Times New Roman" w:cs="Times New Roman"/>
          <w:i/>
          <w:iCs/>
          <w:sz w:val="24"/>
          <w:szCs w:val="24"/>
          <w:shd w:val="clear" w:color="auto" w:fill="FFFFFF"/>
        </w:rPr>
        <w:t>Bangladesh Journal of Agriculture</w:t>
      </w:r>
      <w:r w:rsidRPr="007B51B6">
        <w:rPr>
          <w:rFonts w:ascii="Times New Roman" w:hAnsi="Times New Roman" w:cs="Times New Roman"/>
          <w:sz w:val="24"/>
          <w:szCs w:val="24"/>
          <w:shd w:val="clear" w:color="auto" w:fill="FFFFFF"/>
        </w:rPr>
        <w:t>, 141-146.</w:t>
      </w:r>
    </w:p>
    <w:p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rPr>
        <w:t>Alam, M., Khan, M. A., Imtiaz, M., Khan, M. A., Naeem, M., Shah, S. A., &amp; Khan, L.(2020).Indole-3-acetic acid rescues plant growth and yield of salinity stressed tomato</w:t>
      </w:r>
      <w:r w:rsidRPr="007B51B6">
        <w:rPr>
          <w:rFonts w:ascii="Times New Roman" w:hAnsi="Times New Roman" w:cs="Times New Roman"/>
          <w:i/>
          <w:iCs/>
          <w:sz w:val="24"/>
          <w:szCs w:val="24"/>
        </w:rPr>
        <w:t xml:space="preserve"> (Lycopersicon esculentum L.). GesundePflanzen, 72(1), 87-95.</w:t>
      </w:r>
    </w:p>
    <w:p w:rsidR="007B51B6" w:rsidRPr="007B51B6" w:rsidRDefault="007B51B6" w:rsidP="00CF15EB">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Ali, M. R., Quddus, M. A., Trina, T. N., Salim, M. M. R., &amp;Asaduzzaman, M. (2022). Influence of plant growth regulators on growth, yield, and quality of tomato grown under high temperature in the tropics in the summer. </w:t>
      </w:r>
      <w:r w:rsidRPr="007B51B6">
        <w:rPr>
          <w:rFonts w:ascii="Times New Roman" w:hAnsi="Times New Roman" w:cs="Times New Roman"/>
          <w:i/>
          <w:iCs/>
          <w:sz w:val="24"/>
          <w:szCs w:val="24"/>
          <w:shd w:val="clear" w:color="auto" w:fill="FFFFFF"/>
        </w:rPr>
        <w:t>International Journal of Vegetable Science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28</w:t>
      </w:r>
      <w:r w:rsidRPr="007B51B6">
        <w:rPr>
          <w:rFonts w:ascii="Times New Roman" w:hAnsi="Times New Roman" w:cs="Times New Roman"/>
          <w:sz w:val="24"/>
          <w:szCs w:val="24"/>
          <w:shd w:val="clear" w:color="auto" w:fill="FFFFFF"/>
        </w:rPr>
        <w:t>(1), 59-75.</w:t>
      </w:r>
    </w:p>
    <w:p w:rsidR="007B51B6" w:rsidRPr="007B51B6" w:rsidRDefault="007B51B6" w:rsidP="00CF15EB">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Choudhury, S., Islam, N., Sarkar, M. D., &amp; Ali, M. A. (2013). Growth and yield of summer tomato as influenced by plant growth regulators. </w:t>
      </w:r>
      <w:r w:rsidRPr="007B51B6">
        <w:rPr>
          <w:rFonts w:ascii="Times New Roman" w:hAnsi="Times New Roman" w:cs="Times New Roman"/>
          <w:i/>
          <w:iCs/>
          <w:sz w:val="24"/>
          <w:szCs w:val="24"/>
          <w:shd w:val="clear" w:color="auto" w:fill="FFFFFF"/>
        </w:rPr>
        <w:t>International journal of sustainable Agriculture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5</w:t>
      </w:r>
      <w:r w:rsidRPr="007B51B6">
        <w:rPr>
          <w:rFonts w:ascii="Times New Roman" w:hAnsi="Times New Roman" w:cs="Times New Roman"/>
          <w:sz w:val="24"/>
          <w:szCs w:val="24"/>
          <w:shd w:val="clear" w:color="auto" w:fill="FFFFFF"/>
        </w:rPr>
        <w:t>(1), 25-28.</w:t>
      </w:r>
    </w:p>
    <w:p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shd w:val="clear" w:color="auto" w:fill="FFFFFF"/>
        </w:rPr>
        <w:lastRenderedPageBreak/>
        <w:t>Dawood, M. F., Abu-Elsaoud, A. M., Sofy, M. R., Mohamed, H. I., &amp; Soliman, M. H. (2022). Appraisal of kinetin spraying strategy to alleviate the harmful effects of UVC stress on tomato plants. </w:t>
      </w:r>
      <w:r w:rsidRPr="007B51B6">
        <w:rPr>
          <w:rFonts w:ascii="Times New Roman" w:hAnsi="Times New Roman" w:cs="Times New Roman"/>
          <w:i/>
          <w:iCs/>
          <w:sz w:val="24"/>
          <w:szCs w:val="24"/>
          <w:shd w:val="clear" w:color="auto" w:fill="FFFFFF"/>
        </w:rPr>
        <w:t>Environmental Science and Pollution Research</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29</w:t>
      </w:r>
      <w:r w:rsidRPr="007B51B6">
        <w:rPr>
          <w:rFonts w:ascii="Times New Roman" w:hAnsi="Times New Roman" w:cs="Times New Roman"/>
          <w:sz w:val="24"/>
          <w:szCs w:val="24"/>
          <w:shd w:val="clear" w:color="auto" w:fill="FFFFFF"/>
        </w:rPr>
        <w:t>(35), 52378-52398.</w:t>
      </w:r>
    </w:p>
    <w:p w:rsidR="007B51B6" w:rsidRPr="007B51B6" w:rsidRDefault="007B51B6" w:rsidP="00D76562">
      <w:pPr>
        <w:pStyle w:val="ListParagraph"/>
        <w:numPr>
          <w:ilvl w:val="0"/>
          <w:numId w:val="2"/>
        </w:numPr>
        <w:spacing w:line="360" w:lineRule="auto"/>
        <w:rPr>
          <w:rFonts w:ascii="Times New Roman" w:hAnsi="Times New Roman" w:cs="Times New Roman"/>
          <w:sz w:val="24"/>
          <w:szCs w:val="24"/>
        </w:rPr>
      </w:pPr>
      <w:r w:rsidRPr="007B51B6">
        <w:rPr>
          <w:rFonts w:ascii="Times New Roman" w:hAnsi="Times New Roman" w:cs="Times New Roman"/>
          <w:sz w:val="24"/>
          <w:szCs w:val="24"/>
        </w:rPr>
        <w:t>Department of Agriculture &amp; Farmers Welfare (MoA&amp; FW), Government of India, Ministry of Agriculture, 18 May 2025, New Delhi, India.</w:t>
      </w:r>
    </w:p>
    <w:p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shd w:val="clear" w:color="auto" w:fill="FFFFFF"/>
        </w:rPr>
        <w:t>Gomasta, J., Hassan, J., Sultana, H., &amp;Kayesh, E. (2024). Interactive plant growth regulator and fertilizer application dataset on growth and yield attributes of tomato (</w:t>
      </w:r>
      <w:r w:rsidRPr="007B51B6">
        <w:rPr>
          <w:rFonts w:ascii="Times New Roman" w:hAnsi="Times New Roman" w:cs="Times New Roman"/>
          <w:i/>
          <w:iCs/>
          <w:sz w:val="24"/>
          <w:szCs w:val="24"/>
          <w:shd w:val="clear" w:color="auto" w:fill="FFFFFF"/>
        </w:rPr>
        <w:t>Solanum lycopersicum</w:t>
      </w:r>
      <w:r w:rsidRPr="007B51B6">
        <w:rPr>
          <w:rFonts w:ascii="Times New Roman" w:hAnsi="Times New Roman" w:cs="Times New Roman"/>
          <w:sz w:val="24"/>
          <w:szCs w:val="24"/>
          <w:shd w:val="clear" w:color="auto" w:fill="FFFFFF"/>
        </w:rPr>
        <w:t xml:space="preserve"> L.). </w:t>
      </w:r>
      <w:r w:rsidRPr="007B51B6">
        <w:rPr>
          <w:rFonts w:ascii="Times New Roman" w:hAnsi="Times New Roman" w:cs="Times New Roman"/>
          <w:i/>
          <w:iCs/>
          <w:sz w:val="24"/>
          <w:szCs w:val="24"/>
          <w:shd w:val="clear" w:color="auto" w:fill="FFFFFF"/>
        </w:rPr>
        <w:t>Data in Brief</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57</w:t>
      </w:r>
      <w:r w:rsidRPr="007B51B6">
        <w:rPr>
          <w:rFonts w:ascii="Times New Roman" w:hAnsi="Times New Roman" w:cs="Times New Roman"/>
          <w:sz w:val="24"/>
          <w:szCs w:val="24"/>
          <w:shd w:val="clear" w:color="auto" w:fill="FFFFFF"/>
        </w:rPr>
        <w:t>, 111136.</w:t>
      </w:r>
    </w:p>
    <w:p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Kumar, M. ., Singh, S. K. ., Singh, A. K. ., Singh, D. K. ., Yadav, A. K. ., &amp; Singh, U. . (2024). Effect of plant growth regulators on growth and yield of tomato. </w:t>
      </w:r>
      <w:r w:rsidRPr="007B51B6">
        <w:rPr>
          <w:rFonts w:ascii="Times New Roman" w:hAnsi="Times New Roman" w:cs="Times New Roman"/>
          <w:i/>
          <w:iCs/>
          <w:sz w:val="24"/>
          <w:szCs w:val="24"/>
          <w:shd w:val="clear" w:color="auto" w:fill="FFFFFF"/>
        </w:rPr>
        <w:t>Vegetable Science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51</w:t>
      </w:r>
      <w:r w:rsidRPr="007B51B6">
        <w:rPr>
          <w:rFonts w:ascii="Times New Roman" w:hAnsi="Times New Roman" w:cs="Times New Roman"/>
          <w:sz w:val="24"/>
          <w:szCs w:val="24"/>
          <w:shd w:val="clear" w:color="auto" w:fill="FFFFFF"/>
        </w:rPr>
        <w:t>(01), 188-191.</w:t>
      </w:r>
    </w:p>
    <w:p w:rsidR="007B51B6" w:rsidRPr="007B51B6" w:rsidRDefault="007B51B6" w:rsidP="00D76562">
      <w:pPr>
        <w:pStyle w:val="ListParagraph"/>
        <w:numPr>
          <w:ilvl w:val="0"/>
          <w:numId w:val="2"/>
        </w:numPr>
        <w:spacing w:line="360" w:lineRule="auto"/>
        <w:rPr>
          <w:rFonts w:ascii="Times New Roman" w:hAnsi="Times New Roman" w:cs="Times New Roman"/>
          <w:sz w:val="24"/>
          <w:szCs w:val="24"/>
        </w:rPr>
      </w:pPr>
      <w:r w:rsidRPr="007B51B6">
        <w:rPr>
          <w:rFonts w:ascii="Times New Roman" w:hAnsi="Times New Roman" w:cs="Times New Roman"/>
          <w:sz w:val="24"/>
          <w:szCs w:val="24"/>
        </w:rPr>
        <w:t>Mahesti, F. L., Rosyida, R., and Karno, K. (2025). Growth Responses and Chlorophyll Content of Two Varieties of Tomatoes (</w:t>
      </w:r>
      <w:r w:rsidRPr="007B51B6">
        <w:rPr>
          <w:rFonts w:ascii="Times New Roman" w:hAnsi="Times New Roman" w:cs="Times New Roman"/>
          <w:i/>
          <w:iCs/>
          <w:sz w:val="24"/>
          <w:szCs w:val="24"/>
        </w:rPr>
        <w:t>Solanum Lycopersicum</w:t>
      </w:r>
      <w:r w:rsidRPr="007B51B6">
        <w:rPr>
          <w:rFonts w:ascii="Times New Roman" w:hAnsi="Times New Roman" w:cs="Times New Roman"/>
          <w:sz w:val="24"/>
          <w:szCs w:val="24"/>
        </w:rPr>
        <w:t xml:space="preserve"> L.) to Natural Plant Growth Regulators. Agro Bali: </w:t>
      </w:r>
      <w:r w:rsidRPr="007B51B6">
        <w:rPr>
          <w:rFonts w:ascii="Times New Roman" w:hAnsi="Times New Roman" w:cs="Times New Roman"/>
          <w:i/>
          <w:iCs/>
          <w:sz w:val="24"/>
          <w:szCs w:val="24"/>
        </w:rPr>
        <w:t>Agricultural Journal</w:t>
      </w:r>
      <w:r w:rsidRPr="007B51B6">
        <w:rPr>
          <w:rFonts w:ascii="Times New Roman" w:hAnsi="Times New Roman" w:cs="Times New Roman"/>
          <w:sz w:val="24"/>
          <w:szCs w:val="24"/>
        </w:rPr>
        <w:t>, 8(1), 46-55.</w:t>
      </w:r>
    </w:p>
    <w:p w:rsidR="007B51B6" w:rsidRPr="007B51B6" w:rsidRDefault="007B51B6" w:rsidP="00CF15EB">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Poonia, S., Choudhary, S., Moond, S. K., Ram, M., &amp; Kuri, R. (2024). Effect of PGRs on growth, reproductive efficiency, and quality of tomato (Solanum lycopersicum) in arid regions. </w:t>
      </w:r>
      <w:r w:rsidRPr="007B51B6">
        <w:rPr>
          <w:rFonts w:ascii="Times New Roman" w:hAnsi="Times New Roman" w:cs="Times New Roman"/>
          <w:i/>
          <w:iCs/>
          <w:sz w:val="24"/>
          <w:szCs w:val="24"/>
          <w:shd w:val="clear" w:color="auto" w:fill="FFFFFF"/>
        </w:rPr>
        <w:t>Current horticulture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12</w:t>
      </w:r>
      <w:r w:rsidRPr="007B51B6">
        <w:rPr>
          <w:rFonts w:ascii="Times New Roman" w:hAnsi="Times New Roman" w:cs="Times New Roman"/>
          <w:sz w:val="24"/>
          <w:szCs w:val="24"/>
          <w:shd w:val="clear" w:color="auto" w:fill="FFFFFF"/>
        </w:rPr>
        <w:t>(1), 81-85.</w:t>
      </w:r>
    </w:p>
    <w:p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Poudel, A., Duwadi, A., Acharya, A., Gyawali, P., Bhatt, R., Gautam, S., &amp; Srivastava, A. (2020). Effect of Different Plant Growth Regulators on Growth and Yield of Tomato (Lycopersicon esculentum). </w:t>
      </w:r>
      <w:r w:rsidRPr="007B51B6">
        <w:rPr>
          <w:rFonts w:ascii="Times New Roman" w:hAnsi="Times New Roman" w:cs="Times New Roman"/>
          <w:i/>
          <w:iCs/>
          <w:sz w:val="24"/>
          <w:szCs w:val="24"/>
          <w:shd w:val="clear" w:color="auto" w:fill="FFFFFF"/>
        </w:rPr>
        <w:t>Journal of the Institute of Agriculture and Animal Science</w:t>
      </w:r>
      <w:r w:rsidRPr="007B51B6">
        <w:rPr>
          <w:rFonts w:ascii="Times New Roman" w:hAnsi="Times New Roman" w:cs="Times New Roman"/>
          <w:sz w:val="24"/>
          <w:szCs w:val="24"/>
          <w:shd w:val="clear" w:color="auto" w:fill="FFFFFF"/>
        </w:rPr>
        <w:t>, 161-167.</w:t>
      </w:r>
    </w:p>
    <w:p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rPr>
        <w:t xml:space="preserve">Sainju, Upendra &amp;Dris, Ramdane &amp; Singh, Bharat. (2003). Mineral nutrition of tomato. </w:t>
      </w:r>
      <w:r w:rsidRPr="007B51B6">
        <w:rPr>
          <w:rFonts w:ascii="Times New Roman" w:hAnsi="Times New Roman" w:cs="Times New Roman"/>
          <w:i/>
          <w:iCs/>
          <w:sz w:val="24"/>
          <w:szCs w:val="24"/>
        </w:rPr>
        <w:t>Journal of Food, Agriculture and Environment</w:t>
      </w:r>
      <w:r w:rsidRPr="007B51B6">
        <w:rPr>
          <w:rFonts w:ascii="Times New Roman" w:hAnsi="Times New Roman" w:cs="Times New Roman"/>
          <w:sz w:val="24"/>
          <w:szCs w:val="24"/>
        </w:rPr>
        <w:t>, 1(2), 176-183.</w:t>
      </w:r>
    </w:p>
    <w:p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shd w:val="clear" w:color="auto" w:fill="FFFFFF"/>
        </w:rPr>
        <w:t>Shohat, H., Eliaz, N. I., &amp; Weiss, D. (2021). Gibberellin in tomato: Metabolism, signaling and role in drought responses. </w:t>
      </w:r>
      <w:r w:rsidRPr="007B51B6">
        <w:rPr>
          <w:rFonts w:ascii="Times New Roman" w:hAnsi="Times New Roman" w:cs="Times New Roman"/>
          <w:i/>
          <w:iCs/>
          <w:sz w:val="24"/>
          <w:szCs w:val="24"/>
          <w:shd w:val="clear" w:color="auto" w:fill="FFFFFF"/>
        </w:rPr>
        <w:t>Molecular Horticulture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w:t>
      </w:r>
      <w:r w:rsidRPr="007B51B6">
        <w:rPr>
          <w:rFonts w:ascii="Times New Roman" w:hAnsi="Times New Roman" w:cs="Times New Roman"/>
          <w:sz w:val="24"/>
          <w:szCs w:val="24"/>
          <w:shd w:val="clear" w:color="auto" w:fill="FFFFFF"/>
        </w:rPr>
        <w:t>(1), 15.</w:t>
      </w:r>
    </w:p>
    <w:p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rPr>
        <w:t>Singh, Shivraj, Urfi Fatmi, and Deepanshu. 2024. “Effect of Plant Growth Regulators on Growth, Yield and Quality of Tomato (</w:t>
      </w:r>
      <w:r w:rsidRPr="007B51B6">
        <w:rPr>
          <w:rFonts w:ascii="Times New Roman" w:hAnsi="Times New Roman" w:cs="Times New Roman"/>
          <w:i/>
          <w:iCs/>
          <w:sz w:val="24"/>
          <w:szCs w:val="24"/>
        </w:rPr>
        <w:t>Lycopersicon esculentum</w:t>
      </w:r>
      <w:r w:rsidRPr="007B51B6">
        <w:rPr>
          <w:rFonts w:ascii="Times New Roman" w:hAnsi="Times New Roman" w:cs="Times New Roman"/>
          <w:sz w:val="24"/>
          <w:szCs w:val="24"/>
        </w:rPr>
        <w:t xml:space="preserve"> L.)”. </w:t>
      </w:r>
      <w:r w:rsidRPr="007B51B6">
        <w:rPr>
          <w:rFonts w:ascii="Times New Roman" w:hAnsi="Times New Roman" w:cs="Times New Roman"/>
          <w:i/>
          <w:iCs/>
          <w:sz w:val="24"/>
          <w:szCs w:val="24"/>
        </w:rPr>
        <w:t>Asian Journal of Soil Science and Plant Nutrition</w:t>
      </w:r>
      <w:r w:rsidRPr="007B51B6">
        <w:rPr>
          <w:rFonts w:ascii="Times New Roman" w:hAnsi="Times New Roman" w:cs="Times New Roman"/>
          <w:sz w:val="24"/>
          <w:szCs w:val="24"/>
        </w:rPr>
        <w:t>,10 (2):375-81.</w:t>
      </w:r>
    </w:p>
    <w:p w:rsidR="007B51B6" w:rsidRPr="007B51B6" w:rsidRDefault="007B51B6" w:rsidP="00CF15EB">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lastRenderedPageBreak/>
        <w:t>Singh, V. P., Singh, D. P., Lal, B., Yadav, M. K., &amp; Kumar, S. (2021). Effect of micronutrients and PGR on growth and yield of tomato (Solanum lycopersicum L.) Variety Azad-T6. </w:t>
      </w:r>
      <w:r w:rsidRPr="007B51B6">
        <w:rPr>
          <w:rFonts w:ascii="Times New Roman" w:hAnsi="Times New Roman" w:cs="Times New Roman"/>
          <w:i/>
          <w:iCs/>
          <w:sz w:val="24"/>
          <w:szCs w:val="24"/>
          <w:shd w:val="clear" w:color="auto" w:fill="FFFFFF"/>
        </w:rPr>
        <w:t>IJCS</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9</w:t>
      </w:r>
      <w:r w:rsidRPr="007B51B6">
        <w:rPr>
          <w:rFonts w:ascii="Times New Roman" w:hAnsi="Times New Roman" w:cs="Times New Roman"/>
          <w:sz w:val="24"/>
          <w:szCs w:val="24"/>
          <w:shd w:val="clear" w:color="auto" w:fill="FFFFFF"/>
        </w:rPr>
        <w:t>(2), 467-470.</w:t>
      </w:r>
    </w:p>
    <w:p w:rsidR="007B51B6" w:rsidRPr="007B51B6" w:rsidRDefault="007B51B6" w:rsidP="00D76562">
      <w:pPr>
        <w:pStyle w:val="ListParagraph"/>
        <w:numPr>
          <w:ilvl w:val="0"/>
          <w:numId w:val="2"/>
        </w:numPr>
        <w:spacing w:line="360" w:lineRule="auto"/>
        <w:jc w:val="both"/>
        <w:rPr>
          <w:rFonts w:ascii="Times New Roman" w:hAnsi="Times New Roman" w:cs="Times New Roman"/>
          <w:i/>
          <w:iCs/>
          <w:sz w:val="24"/>
          <w:szCs w:val="24"/>
        </w:rPr>
      </w:pPr>
      <w:r w:rsidRPr="007B51B6">
        <w:rPr>
          <w:rFonts w:ascii="Times New Roman" w:hAnsi="Times New Roman" w:cs="Times New Roman"/>
          <w:sz w:val="24"/>
          <w:szCs w:val="24"/>
          <w:shd w:val="clear" w:color="auto" w:fill="FFFFFF"/>
        </w:rPr>
        <w:t>Sohrabi, O., Hatamzadeh, A., Ghasemnezhad, A., Samizadeh, H., &amp;Erfani-moghadam, V. (2025). A Preliminary Experimental Protocol for Enhanced Tomato Callus Formation and Growth via Several Medicinal Plant Extracts. </w:t>
      </w:r>
      <w:r w:rsidRPr="007B51B6">
        <w:rPr>
          <w:rFonts w:ascii="Times New Roman" w:hAnsi="Times New Roman" w:cs="Times New Roman"/>
          <w:i/>
          <w:iCs/>
          <w:sz w:val="24"/>
          <w:szCs w:val="24"/>
          <w:shd w:val="clear" w:color="auto" w:fill="FFFFFF"/>
        </w:rPr>
        <w:t>International Journal of Horticultural Science and Technology</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12</w:t>
      </w:r>
      <w:r w:rsidRPr="007B51B6">
        <w:rPr>
          <w:rFonts w:ascii="Times New Roman" w:hAnsi="Times New Roman" w:cs="Times New Roman"/>
          <w:sz w:val="24"/>
          <w:szCs w:val="24"/>
          <w:shd w:val="clear" w:color="auto" w:fill="FFFFFF"/>
        </w:rPr>
        <w:t>(1), 83-100.</w:t>
      </w:r>
    </w:p>
    <w:p w:rsidR="007B51B6" w:rsidRPr="007B51B6" w:rsidRDefault="007B51B6" w:rsidP="00D76562">
      <w:pPr>
        <w:pStyle w:val="ListParagraph"/>
        <w:numPr>
          <w:ilvl w:val="0"/>
          <w:numId w:val="2"/>
        </w:numPr>
        <w:spacing w:line="360" w:lineRule="auto"/>
        <w:rPr>
          <w:rFonts w:ascii="Times New Roman" w:hAnsi="Times New Roman" w:cs="Times New Roman"/>
          <w:sz w:val="24"/>
          <w:szCs w:val="24"/>
        </w:rPr>
      </w:pPr>
      <w:r w:rsidRPr="007B51B6">
        <w:rPr>
          <w:rFonts w:ascii="Times New Roman" w:hAnsi="Times New Roman" w:cs="Times New Roman"/>
          <w:sz w:val="24"/>
          <w:szCs w:val="24"/>
        </w:rPr>
        <w:t>TanimAhmmed, M. S. A., Rahaman, S., Shikder, M. M., Mohammad, N., Hossain, M. B., Jote, J. F., and Islam, M. S. (2025). Effect of foliar application of gibberellic acid on growth and yield of tomato (</w:t>
      </w:r>
      <w:r w:rsidRPr="007B51B6">
        <w:rPr>
          <w:rFonts w:ascii="Times New Roman" w:hAnsi="Times New Roman" w:cs="Times New Roman"/>
          <w:i/>
          <w:iCs/>
          <w:sz w:val="24"/>
          <w:szCs w:val="24"/>
        </w:rPr>
        <w:t>Lycopersicon esculentum</w:t>
      </w:r>
      <w:r w:rsidRPr="007B51B6">
        <w:rPr>
          <w:rFonts w:ascii="Times New Roman" w:hAnsi="Times New Roman" w:cs="Times New Roman"/>
          <w:sz w:val="24"/>
          <w:szCs w:val="24"/>
        </w:rPr>
        <w:t xml:space="preserve"> mill.) Under moderate saline soil conditions. </w:t>
      </w:r>
      <w:r w:rsidRPr="007B51B6">
        <w:rPr>
          <w:rFonts w:ascii="Times New Roman" w:hAnsi="Times New Roman" w:cs="Times New Roman"/>
          <w:i/>
          <w:iCs/>
          <w:sz w:val="24"/>
          <w:szCs w:val="24"/>
        </w:rPr>
        <w:t>Science</w:t>
      </w:r>
      <w:r w:rsidRPr="007B51B6">
        <w:rPr>
          <w:rFonts w:ascii="Times New Roman" w:hAnsi="Times New Roman" w:cs="Times New Roman"/>
          <w:sz w:val="24"/>
          <w:szCs w:val="24"/>
        </w:rPr>
        <w:t>, 9(1), 01-04.</w:t>
      </w:r>
    </w:p>
    <w:p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Tiwari, A. K., &amp; Singh, D. K. (2014). Use of plant growth regulators in tomato (Solanum lycopersicum L.) under tarai conditions of Uttarkhand. </w:t>
      </w:r>
      <w:r w:rsidRPr="007B51B6">
        <w:rPr>
          <w:rFonts w:ascii="Times New Roman" w:hAnsi="Times New Roman" w:cs="Times New Roman"/>
          <w:i/>
          <w:iCs/>
          <w:sz w:val="24"/>
          <w:szCs w:val="24"/>
          <w:shd w:val="clear" w:color="auto" w:fill="FFFFFF"/>
        </w:rPr>
        <w:t>Indian Journal of Hill Farming</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27</w:t>
      </w:r>
      <w:r w:rsidRPr="007B51B6">
        <w:rPr>
          <w:rFonts w:ascii="Times New Roman" w:hAnsi="Times New Roman" w:cs="Times New Roman"/>
          <w:sz w:val="24"/>
          <w:szCs w:val="24"/>
          <w:shd w:val="clear" w:color="auto" w:fill="FFFFFF"/>
        </w:rPr>
        <w:t>(2), 38-40.</w:t>
      </w:r>
    </w:p>
    <w:p w:rsidR="007B51B6" w:rsidRPr="007B51B6" w:rsidRDefault="007B51B6" w:rsidP="00255534">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Uddain, J., Hossain, K. A., Mostafa, M. G., &amp; Rahman, M. J. (2009). Effect of different plant growth regulators on growth and yield of tomato. </w:t>
      </w:r>
      <w:r w:rsidRPr="007B51B6">
        <w:rPr>
          <w:rFonts w:ascii="Times New Roman" w:hAnsi="Times New Roman" w:cs="Times New Roman"/>
          <w:i/>
          <w:iCs/>
          <w:sz w:val="24"/>
          <w:szCs w:val="24"/>
          <w:shd w:val="clear" w:color="auto" w:fill="FFFFFF"/>
        </w:rPr>
        <w:t>International Journal of Sustainable Agriculture</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w:t>
      </w:r>
      <w:r w:rsidRPr="007B51B6">
        <w:rPr>
          <w:rFonts w:ascii="Times New Roman" w:hAnsi="Times New Roman" w:cs="Times New Roman"/>
          <w:sz w:val="24"/>
          <w:szCs w:val="24"/>
          <w:shd w:val="clear" w:color="auto" w:fill="FFFFFF"/>
        </w:rPr>
        <w:t>(3), 58-63.</w:t>
      </w:r>
    </w:p>
    <w:p w:rsidR="007B51B6" w:rsidRPr="007B51B6" w:rsidRDefault="007B51B6" w:rsidP="00CF15EB">
      <w:pPr>
        <w:pStyle w:val="ListParagraph"/>
        <w:numPr>
          <w:ilvl w:val="0"/>
          <w:numId w:val="2"/>
        </w:numPr>
        <w:spacing w:line="360" w:lineRule="auto"/>
        <w:jc w:val="both"/>
        <w:rPr>
          <w:rFonts w:ascii="Times New Roman" w:hAnsi="Times New Roman" w:cs="Times New Roman"/>
          <w:sz w:val="24"/>
          <w:szCs w:val="24"/>
        </w:rPr>
      </w:pPr>
      <w:r w:rsidRPr="007B51B6">
        <w:rPr>
          <w:rFonts w:ascii="Times New Roman" w:hAnsi="Times New Roman" w:cs="Times New Roman"/>
          <w:sz w:val="24"/>
          <w:szCs w:val="24"/>
          <w:shd w:val="clear" w:color="auto" w:fill="FFFFFF"/>
        </w:rPr>
        <w:t>Wu, M., Liu, K., Li, H., Li, Y., Zhu, Y., Su, D. &amp; Liu, M. (2024). Gibberellins involved in fruit ripening and softening by mediating multiple hormonal signals in tomato. </w:t>
      </w:r>
      <w:r w:rsidRPr="007B51B6">
        <w:rPr>
          <w:rFonts w:ascii="Times New Roman" w:hAnsi="Times New Roman" w:cs="Times New Roman"/>
          <w:i/>
          <w:iCs/>
          <w:sz w:val="24"/>
          <w:szCs w:val="24"/>
          <w:shd w:val="clear" w:color="auto" w:fill="FFFFFF"/>
        </w:rPr>
        <w:t>Horticulture Research</w:t>
      </w:r>
      <w:r w:rsidRPr="007B51B6">
        <w:rPr>
          <w:rFonts w:ascii="Times New Roman" w:hAnsi="Times New Roman" w:cs="Times New Roman"/>
          <w:sz w:val="24"/>
          <w:szCs w:val="24"/>
          <w:shd w:val="clear" w:color="auto" w:fill="FFFFFF"/>
        </w:rPr>
        <w:t>, </w:t>
      </w:r>
      <w:r w:rsidRPr="007B51B6">
        <w:rPr>
          <w:rFonts w:ascii="Times New Roman" w:hAnsi="Times New Roman" w:cs="Times New Roman"/>
          <w:i/>
          <w:iCs/>
          <w:sz w:val="24"/>
          <w:szCs w:val="24"/>
          <w:shd w:val="clear" w:color="auto" w:fill="FFFFFF"/>
        </w:rPr>
        <w:t>11</w:t>
      </w:r>
      <w:r w:rsidRPr="007B51B6">
        <w:rPr>
          <w:rFonts w:ascii="Times New Roman" w:hAnsi="Times New Roman" w:cs="Times New Roman"/>
          <w:sz w:val="24"/>
          <w:szCs w:val="24"/>
          <w:shd w:val="clear" w:color="auto" w:fill="FFFFFF"/>
        </w:rPr>
        <w:t>(2), uhad275.</w:t>
      </w:r>
    </w:p>
    <w:p w:rsidR="00E97A32" w:rsidRPr="007B51B6" w:rsidRDefault="00E97A32" w:rsidP="00E97A32">
      <w:pPr>
        <w:spacing w:line="360" w:lineRule="auto"/>
        <w:jc w:val="both"/>
        <w:rPr>
          <w:rFonts w:ascii="Times New Roman" w:hAnsi="Times New Roman" w:cs="Times New Roman"/>
          <w:sz w:val="24"/>
          <w:szCs w:val="24"/>
        </w:rPr>
      </w:pPr>
    </w:p>
    <w:sectPr w:rsidR="00E97A32" w:rsidRPr="007B51B6" w:rsidSect="002F2939">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06-18T20:26:00Z" w:initials="H">
    <w:p w:rsidR="00CF15EB" w:rsidRDefault="00CF15EB">
      <w:pPr>
        <w:pStyle w:val="CommentText"/>
      </w:pPr>
      <w:r>
        <w:rPr>
          <w:rStyle w:val="CommentReference"/>
        </w:rPr>
        <w:annotationRef/>
      </w:r>
      <w:r>
        <w:t>Study of modulation of growth dynamics, yield and fruit quality in response to exogenous plant growth regulators in tomato (</w:t>
      </w:r>
      <w:r w:rsidRPr="002E6AA5">
        <w:rPr>
          <w:i/>
        </w:rPr>
        <w:t xml:space="preserve">Solanum lycopersicum </w:t>
      </w:r>
      <w:r>
        <w:t>L.)</w:t>
      </w:r>
    </w:p>
  </w:comment>
  <w:comment w:id="1" w:author="HP" w:date="2025-06-19T08:58:00Z" w:initials="H">
    <w:p w:rsidR="00CF15EB" w:rsidRDefault="00CF15EB" w:rsidP="00D56948">
      <w:pPr>
        <w:pStyle w:val="CommentText"/>
        <w:tabs>
          <w:tab w:val="left" w:pos="6521"/>
        </w:tabs>
      </w:pPr>
      <w:r>
        <w:rPr>
          <w:rStyle w:val="CommentReference"/>
        </w:rPr>
        <w:annotationRef/>
      </w:r>
      <w:r>
        <w:t>Since here your focus is on tomato. So, write on</w:t>
      </w:r>
      <w:r w:rsidR="00D56948">
        <w:t>e or two line about tomato</w:t>
      </w:r>
      <w:r>
        <w:t>.</w:t>
      </w:r>
    </w:p>
  </w:comment>
  <w:comment w:id="2" w:author="HP" w:date="2025-06-19T08:59:00Z" w:initials="H">
    <w:p w:rsidR="00D56948" w:rsidRDefault="00D56948">
      <w:pPr>
        <w:pStyle w:val="CommentText"/>
      </w:pPr>
      <w:r>
        <w:rPr>
          <w:rStyle w:val="CommentReference"/>
        </w:rPr>
        <w:annotationRef/>
      </w:r>
      <w:r>
        <w:t>Delete this line from abstract. Mention in material and method.</w:t>
      </w:r>
    </w:p>
  </w:comment>
  <w:comment w:id="4" w:author="HP" w:date="2025-06-17T11:14:00Z" w:initials="H">
    <w:p w:rsidR="00CF15EB" w:rsidRDefault="00CF15EB">
      <w:pPr>
        <w:pStyle w:val="CommentText"/>
      </w:pPr>
      <w:r>
        <w:rPr>
          <w:rStyle w:val="CommentReference"/>
        </w:rPr>
        <w:annotationRef/>
      </w:r>
      <w:r>
        <w:t>Elaborate importance of lycopene and ascorbic acid in tomato as you are seeing the impact on their content using PGRs.</w:t>
      </w:r>
    </w:p>
  </w:comment>
  <w:comment w:id="5" w:author="HP" w:date="2025-06-17T10:05:00Z" w:initials="H">
    <w:p w:rsidR="00CF15EB" w:rsidRDefault="00CF15EB">
      <w:pPr>
        <w:pStyle w:val="CommentText"/>
      </w:pPr>
      <w:r>
        <w:rPr>
          <w:rStyle w:val="CommentReference"/>
        </w:rPr>
        <w:annotationRef/>
      </w:r>
      <w:r>
        <w:t>Regulating various</w:t>
      </w:r>
    </w:p>
  </w:comment>
  <w:comment w:id="6" w:author="HP" w:date="2025-06-18T09:32:00Z" w:initials="H">
    <w:p w:rsidR="00CF15EB" w:rsidRDefault="00CF15EB">
      <w:pPr>
        <w:pStyle w:val="CommentText"/>
      </w:pPr>
      <w:r>
        <w:rPr>
          <w:rStyle w:val="CommentReference"/>
        </w:rPr>
        <w:annotationRef/>
      </w:r>
      <w:r>
        <w:t>Elaborate method to measure ascorbic acid content and lycopene content.</w:t>
      </w:r>
    </w:p>
    <w:p w:rsidR="00CF15EB" w:rsidRDefault="00CF15EB">
      <w:pPr>
        <w:pStyle w:val="CommentText"/>
      </w:pPr>
      <w:r>
        <w:t>Also give references from which experiment was designed for determining lycopene and ascorbic acid content.</w:t>
      </w:r>
    </w:p>
  </w:comment>
  <w:comment w:id="7" w:author="HP" w:date="2025-06-18T09:29:00Z" w:initials="H">
    <w:p w:rsidR="00CF15EB" w:rsidRDefault="00CF15EB">
      <w:pPr>
        <w:pStyle w:val="CommentText"/>
      </w:pPr>
      <w:r>
        <w:rPr>
          <w:rStyle w:val="CommentReference"/>
        </w:rPr>
        <w:annotationRef/>
      </w:r>
      <w:r>
        <w:t xml:space="preserve"> Statistical analysis used for data analysis is not sufficient. Standard deviation and standard error depiction in result required.  </w:t>
      </w:r>
    </w:p>
  </w:comment>
  <w:comment w:id="8" w:author="HP" w:date="2025-06-18T09:33:00Z" w:initials="H">
    <w:p w:rsidR="00CF15EB" w:rsidRDefault="00CF15EB">
      <w:pPr>
        <w:pStyle w:val="CommentText"/>
      </w:pPr>
      <w:r>
        <w:rPr>
          <w:rStyle w:val="CommentReference"/>
        </w:rPr>
        <w:annotationRef/>
      </w:r>
      <w:r>
        <w:t>Give some morphological picture from your experiments which show differences in response to PGRs treatment.</w:t>
      </w:r>
    </w:p>
  </w:comment>
  <w:comment w:id="9" w:author="HP" w:date="2025-06-17T10:38:00Z" w:initials="H">
    <w:p w:rsidR="00CF15EB" w:rsidRDefault="00CF15EB">
      <w:pPr>
        <w:pStyle w:val="CommentText"/>
      </w:pPr>
      <w:r>
        <w:rPr>
          <w:rStyle w:val="CommentReference"/>
        </w:rPr>
        <w:annotationRef/>
      </w:r>
      <w:r>
        <w:t>Full form</w:t>
      </w:r>
    </w:p>
  </w:comment>
  <w:comment w:id="10" w:author="HP" w:date="2025-06-17T10:38:00Z" w:initials="H">
    <w:p w:rsidR="00CF15EB" w:rsidRDefault="00CF15EB">
      <w:pPr>
        <w:pStyle w:val="CommentText"/>
      </w:pPr>
      <w:r>
        <w:rPr>
          <w:rStyle w:val="CommentReference"/>
        </w:rPr>
        <w:annotationRef/>
      </w:r>
      <w:r>
        <w:t>Full form</w:t>
      </w:r>
    </w:p>
  </w:comment>
  <w:comment w:id="11" w:author="HP" w:date="2025-06-17T10:26:00Z" w:initials="H">
    <w:p w:rsidR="00CF15EB" w:rsidRDefault="00CF15EB">
      <w:pPr>
        <w:pStyle w:val="CommentText"/>
      </w:pPr>
      <w:r>
        <w:rPr>
          <w:rStyle w:val="CommentReference"/>
        </w:rPr>
        <w:annotationRef/>
      </w:r>
      <w:r>
        <w:t>Bar graph required for better depiction of the result.</w:t>
      </w:r>
    </w:p>
  </w:comment>
  <w:comment w:id="12" w:author="HP" w:date="2025-06-18T09:23:00Z" w:initials="H">
    <w:p w:rsidR="00CF15EB" w:rsidRDefault="00CF15EB">
      <w:pPr>
        <w:pStyle w:val="CommentText"/>
      </w:pPr>
      <w:r>
        <w:rPr>
          <w:rStyle w:val="CommentReference"/>
        </w:rPr>
        <w:annotationRef/>
      </w:r>
      <w:r>
        <w:t>Cite recent paper.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CF0" w:rsidRDefault="00A62CF0" w:rsidP="00F45EB1">
      <w:pPr>
        <w:spacing w:after="0" w:line="240" w:lineRule="auto"/>
      </w:pPr>
      <w:r>
        <w:separator/>
      </w:r>
    </w:p>
  </w:endnote>
  <w:endnote w:type="continuationSeparator" w:id="1">
    <w:p w:rsidR="00A62CF0" w:rsidRDefault="00A62CF0" w:rsidP="00F45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CF0" w:rsidRDefault="00A62CF0" w:rsidP="00F45EB1">
      <w:pPr>
        <w:spacing w:after="0" w:line="240" w:lineRule="auto"/>
      </w:pPr>
      <w:r>
        <w:separator/>
      </w:r>
    </w:p>
  </w:footnote>
  <w:footnote w:type="continuationSeparator" w:id="1">
    <w:p w:rsidR="00A62CF0" w:rsidRDefault="00A62CF0" w:rsidP="00F45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4"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5"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3"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7"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8"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5EB" w:rsidRDefault="00CF15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6506"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6368"/>
    <w:multiLevelType w:val="multilevel"/>
    <w:tmpl w:val="A4920CB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6FD03BDE"/>
    <w:multiLevelType w:val="hybridMultilevel"/>
    <w:tmpl w:val="B7F48234"/>
    <w:lvl w:ilvl="0" w:tplc="7E6EAA9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C077AE"/>
    <w:rsid w:val="00025BB5"/>
    <w:rsid w:val="000437B7"/>
    <w:rsid w:val="0005167B"/>
    <w:rsid w:val="00061AC8"/>
    <w:rsid w:val="00070638"/>
    <w:rsid w:val="000757D9"/>
    <w:rsid w:val="00081956"/>
    <w:rsid w:val="0009507D"/>
    <w:rsid w:val="000F414A"/>
    <w:rsid w:val="00131295"/>
    <w:rsid w:val="00132848"/>
    <w:rsid w:val="00157DBB"/>
    <w:rsid w:val="001B0A57"/>
    <w:rsid w:val="001B4D2E"/>
    <w:rsid w:val="001D3CBA"/>
    <w:rsid w:val="001F22EB"/>
    <w:rsid w:val="00206F7D"/>
    <w:rsid w:val="002070DE"/>
    <w:rsid w:val="00255534"/>
    <w:rsid w:val="00271FF1"/>
    <w:rsid w:val="002D030B"/>
    <w:rsid w:val="002E0C3C"/>
    <w:rsid w:val="002E46A5"/>
    <w:rsid w:val="002E6AA5"/>
    <w:rsid w:val="002F2939"/>
    <w:rsid w:val="00324EA6"/>
    <w:rsid w:val="00325D7F"/>
    <w:rsid w:val="00346833"/>
    <w:rsid w:val="0039697F"/>
    <w:rsid w:val="00436CD5"/>
    <w:rsid w:val="00445C68"/>
    <w:rsid w:val="004874F6"/>
    <w:rsid w:val="004D5AC9"/>
    <w:rsid w:val="00605E8C"/>
    <w:rsid w:val="006B6B6D"/>
    <w:rsid w:val="006C3097"/>
    <w:rsid w:val="006E1EC4"/>
    <w:rsid w:val="006F67EA"/>
    <w:rsid w:val="00700E1B"/>
    <w:rsid w:val="007250C3"/>
    <w:rsid w:val="00725302"/>
    <w:rsid w:val="007310A8"/>
    <w:rsid w:val="007411A8"/>
    <w:rsid w:val="00744F11"/>
    <w:rsid w:val="00756F43"/>
    <w:rsid w:val="00757495"/>
    <w:rsid w:val="0076483A"/>
    <w:rsid w:val="007B4910"/>
    <w:rsid w:val="007B51B6"/>
    <w:rsid w:val="007B7A03"/>
    <w:rsid w:val="00807F8D"/>
    <w:rsid w:val="00833BC1"/>
    <w:rsid w:val="00856ACC"/>
    <w:rsid w:val="00856F21"/>
    <w:rsid w:val="00891952"/>
    <w:rsid w:val="008A6A99"/>
    <w:rsid w:val="008D5617"/>
    <w:rsid w:val="009146DA"/>
    <w:rsid w:val="00982860"/>
    <w:rsid w:val="0098598B"/>
    <w:rsid w:val="00990EDA"/>
    <w:rsid w:val="009D341F"/>
    <w:rsid w:val="00A41AE7"/>
    <w:rsid w:val="00A62CF0"/>
    <w:rsid w:val="00A73255"/>
    <w:rsid w:val="00A83FA3"/>
    <w:rsid w:val="00AE2516"/>
    <w:rsid w:val="00B4023E"/>
    <w:rsid w:val="00BD0CCD"/>
    <w:rsid w:val="00BF47D6"/>
    <w:rsid w:val="00C02037"/>
    <w:rsid w:val="00C077AE"/>
    <w:rsid w:val="00C12BCE"/>
    <w:rsid w:val="00C22F03"/>
    <w:rsid w:val="00C30862"/>
    <w:rsid w:val="00C64B39"/>
    <w:rsid w:val="00C6536A"/>
    <w:rsid w:val="00C727A2"/>
    <w:rsid w:val="00CD2C54"/>
    <w:rsid w:val="00CD4F68"/>
    <w:rsid w:val="00CF15EB"/>
    <w:rsid w:val="00D15A38"/>
    <w:rsid w:val="00D20F17"/>
    <w:rsid w:val="00D400F4"/>
    <w:rsid w:val="00D56948"/>
    <w:rsid w:val="00D76562"/>
    <w:rsid w:val="00D922CA"/>
    <w:rsid w:val="00DF162F"/>
    <w:rsid w:val="00E92C13"/>
    <w:rsid w:val="00E97A32"/>
    <w:rsid w:val="00ED0421"/>
    <w:rsid w:val="00EE599A"/>
    <w:rsid w:val="00F17459"/>
    <w:rsid w:val="00F234B7"/>
    <w:rsid w:val="00F45EB1"/>
    <w:rsid w:val="00F844EF"/>
    <w:rsid w:val="00FF75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E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956"/>
    <w:pPr>
      <w:ind w:left="720"/>
      <w:contextualSpacing/>
    </w:pPr>
  </w:style>
  <w:style w:type="paragraph" w:styleId="NormalWeb">
    <w:name w:val="Normal (Web)"/>
    <w:basedOn w:val="Normal"/>
    <w:uiPriority w:val="99"/>
    <w:semiHidden/>
    <w:unhideWhenUsed/>
    <w:rsid w:val="00C727A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C727A2"/>
    <w:rPr>
      <w:b/>
      <w:bCs/>
    </w:rPr>
  </w:style>
  <w:style w:type="character" w:styleId="Hyperlink">
    <w:name w:val="Hyperlink"/>
    <w:basedOn w:val="DefaultParagraphFont"/>
    <w:uiPriority w:val="99"/>
    <w:unhideWhenUsed/>
    <w:rsid w:val="00E97A32"/>
    <w:rPr>
      <w:color w:val="0000FF"/>
      <w:u w:val="single"/>
    </w:rPr>
  </w:style>
  <w:style w:type="paragraph" w:styleId="Header">
    <w:name w:val="header"/>
    <w:basedOn w:val="Normal"/>
    <w:link w:val="HeaderChar"/>
    <w:uiPriority w:val="99"/>
    <w:unhideWhenUsed/>
    <w:rsid w:val="00F45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B1"/>
  </w:style>
  <w:style w:type="paragraph" w:styleId="Footer">
    <w:name w:val="footer"/>
    <w:basedOn w:val="Normal"/>
    <w:link w:val="FooterChar"/>
    <w:uiPriority w:val="99"/>
    <w:unhideWhenUsed/>
    <w:rsid w:val="00F45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B1"/>
  </w:style>
  <w:style w:type="character" w:customStyle="1" w:styleId="UnresolvedMention">
    <w:name w:val="Unresolved Mention"/>
    <w:basedOn w:val="DefaultParagraphFont"/>
    <w:uiPriority w:val="99"/>
    <w:semiHidden/>
    <w:unhideWhenUsed/>
    <w:rsid w:val="001B0A57"/>
    <w:rPr>
      <w:color w:val="605E5C"/>
      <w:shd w:val="clear" w:color="auto" w:fill="E1DFDD"/>
    </w:rPr>
  </w:style>
  <w:style w:type="character" w:styleId="CommentReference">
    <w:name w:val="annotation reference"/>
    <w:basedOn w:val="DefaultParagraphFont"/>
    <w:uiPriority w:val="99"/>
    <w:semiHidden/>
    <w:unhideWhenUsed/>
    <w:rsid w:val="00757495"/>
    <w:rPr>
      <w:sz w:val="16"/>
      <w:szCs w:val="16"/>
    </w:rPr>
  </w:style>
  <w:style w:type="paragraph" w:styleId="CommentText">
    <w:name w:val="annotation text"/>
    <w:basedOn w:val="Normal"/>
    <w:link w:val="CommentTextChar"/>
    <w:uiPriority w:val="99"/>
    <w:semiHidden/>
    <w:unhideWhenUsed/>
    <w:rsid w:val="00757495"/>
    <w:pPr>
      <w:spacing w:line="240" w:lineRule="auto"/>
    </w:pPr>
    <w:rPr>
      <w:sz w:val="20"/>
      <w:szCs w:val="20"/>
    </w:rPr>
  </w:style>
  <w:style w:type="character" w:customStyle="1" w:styleId="CommentTextChar">
    <w:name w:val="Comment Text Char"/>
    <w:basedOn w:val="DefaultParagraphFont"/>
    <w:link w:val="CommentText"/>
    <w:uiPriority w:val="99"/>
    <w:semiHidden/>
    <w:rsid w:val="00757495"/>
    <w:rPr>
      <w:sz w:val="20"/>
      <w:szCs w:val="20"/>
    </w:rPr>
  </w:style>
  <w:style w:type="paragraph" w:styleId="CommentSubject">
    <w:name w:val="annotation subject"/>
    <w:basedOn w:val="CommentText"/>
    <w:next w:val="CommentText"/>
    <w:link w:val="CommentSubjectChar"/>
    <w:uiPriority w:val="99"/>
    <w:semiHidden/>
    <w:unhideWhenUsed/>
    <w:rsid w:val="00757495"/>
    <w:rPr>
      <w:b/>
      <w:bCs/>
    </w:rPr>
  </w:style>
  <w:style w:type="character" w:customStyle="1" w:styleId="CommentSubjectChar">
    <w:name w:val="Comment Subject Char"/>
    <w:basedOn w:val="CommentTextChar"/>
    <w:link w:val="CommentSubject"/>
    <w:uiPriority w:val="99"/>
    <w:semiHidden/>
    <w:rsid w:val="00757495"/>
    <w:rPr>
      <w:b/>
      <w:bCs/>
    </w:rPr>
  </w:style>
  <w:style w:type="paragraph" w:styleId="BalloonText">
    <w:name w:val="Balloon Text"/>
    <w:basedOn w:val="Normal"/>
    <w:link w:val="BalloonTextChar"/>
    <w:uiPriority w:val="99"/>
    <w:semiHidden/>
    <w:unhideWhenUsed/>
    <w:rsid w:val="00757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4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843168">
      <w:bodyDiv w:val="1"/>
      <w:marLeft w:val="0"/>
      <w:marRight w:val="0"/>
      <w:marTop w:val="0"/>
      <w:marBottom w:val="0"/>
      <w:divBdr>
        <w:top w:val="none" w:sz="0" w:space="0" w:color="auto"/>
        <w:left w:val="none" w:sz="0" w:space="0" w:color="auto"/>
        <w:bottom w:val="none" w:sz="0" w:space="0" w:color="auto"/>
        <w:right w:val="none" w:sz="0" w:space="0" w:color="auto"/>
      </w:divBdr>
    </w:div>
    <w:div w:id="469369661">
      <w:bodyDiv w:val="1"/>
      <w:marLeft w:val="0"/>
      <w:marRight w:val="0"/>
      <w:marTop w:val="0"/>
      <w:marBottom w:val="0"/>
      <w:divBdr>
        <w:top w:val="none" w:sz="0" w:space="0" w:color="auto"/>
        <w:left w:val="none" w:sz="0" w:space="0" w:color="auto"/>
        <w:bottom w:val="none" w:sz="0" w:space="0" w:color="auto"/>
        <w:right w:val="none" w:sz="0" w:space="0" w:color="auto"/>
      </w:divBdr>
    </w:div>
    <w:div w:id="737748873">
      <w:bodyDiv w:val="1"/>
      <w:marLeft w:val="0"/>
      <w:marRight w:val="0"/>
      <w:marTop w:val="0"/>
      <w:marBottom w:val="0"/>
      <w:divBdr>
        <w:top w:val="none" w:sz="0" w:space="0" w:color="auto"/>
        <w:left w:val="none" w:sz="0" w:space="0" w:color="auto"/>
        <w:bottom w:val="none" w:sz="0" w:space="0" w:color="auto"/>
        <w:right w:val="none" w:sz="0" w:space="0" w:color="auto"/>
      </w:divBdr>
    </w:div>
    <w:div w:id="940723408">
      <w:bodyDiv w:val="1"/>
      <w:marLeft w:val="0"/>
      <w:marRight w:val="0"/>
      <w:marTop w:val="0"/>
      <w:marBottom w:val="0"/>
      <w:divBdr>
        <w:top w:val="none" w:sz="0" w:space="0" w:color="auto"/>
        <w:left w:val="none" w:sz="0" w:space="0" w:color="auto"/>
        <w:bottom w:val="none" w:sz="0" w:space="0" w:color="auto"/>
        <w:right w:val="none" w:sz="0" w:space="0" w:color="auto"/>
      </w:divBdr>
    </w:div>
    <w:div w:id="1068310544">
      <w:bodyDiv w:val="1"/>
      <w:marLeft w:val="0"/>
      <w:marRight w:val="0"/>
      <w:marTop w:val="0"/>
      <w:marBottom w:val="0"/>
      <w:divBdr>
        <w:top w:val="none" w:sz="0" w:space="0" w:color="auto"/>
        <w:left w:val="none" w:sz="0" w:space="0" w:color="auto"/>
        <w:bottom w:val="none" w:sz="0" w:space="0" w:color="auto"/>
        <w:right w:val="none" w:sz="0" w:space="0" w:color="auto"/>
      </w:divBdr>
    </w:div>
    <w:div w:id="1129126021">
      <w:bodyDiv w:val="1"/>
      <w:marLeft w:val="0"/>
      <w:marRight w:val="0"/>
      <w:marTop w:val="0"/>
      <w:marBottom w:val="0"/>
      <w:divBdr>
        <w:top w:val="none" w:sz="0" w:space="0" w:color="auto"/>
        <w:left w:val="none" w:sz="0" w:space="0" w:color="auto"/>
        <w:bottom w:val="none" w:sz="0" w:space="0" w:color="auto"/>
        <w:right w:val="none" w:sz="0" w:space="0" w:color="auto"/>
      </w:divBdr>
    </w:div>
    <w:div w:id="13252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2</cp:revision>
  <dcterms:created xsi:type="dcterms:W3CDTF">2025-06-19T03:40:00Z</dcterms:created>
  <dcterms:modified xsi:type="dcterms:W3CDTF">2025-06-19T03:40:00Z</dcterms:modified>
</cp:coreProperties>
</file>