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4D530" w14:textId="77777777" w:rsidR="00B97467" w:rsidRPr="00B97467" w:rsidRDefault="00B97467" w:rsidP="00B97467">
      <w:pPr>
        <w:pStyle w:val="Title"/>
        <w:jc w:val="both"/>
        <w:rPr>
          <w:rFonts w:ascii="Arial" w:hAnsi="Arial" w:cs="Arial"/>
          <w:bCs/>
          <w:i/>
          <w:iCs/>
          <w:u w:val="single"/>
        </w:rPr>
      </w:pPr>
      <w:r w:rsidRPr="00B97467">
        <w:rPr>
          <w:rFonts w:ascii="Arial" w:hAnsi="Arial" w:cs="Arial"/>
          <w:bCs/>
          <w:i/>
          <w:iCs/>
          <w:u w:val="single"/>
        </w:rPr>
        <w:t>Minireview Article</w:t>
      </w:r>
    </w:p>
    <w:p w14:paraId="71527561" w14:textId="77777777" w:rsidR="00754C9A" w:rsidRDefault="00754C9A" w:rsidP="00441B6F">
      <w:pPr>
        <w:pStyle w:val="Title"/>
        <w:spacing w:after="0"/>
        <w:jc w:val="both"/>
        <w:rPr>
          <w:rFonts w:ascii="Arial" w:hAnsi="Arial" w:cs="Arial"/>
        </w:rPr>
      </w:pPr>
    </w:p>
    <w:p w14:paraId="036DF3F7" w14:textId="77777777" w:rsidR="003E2E75" w:rsidRPr="006C41D8" w:rsidRDefault="003E2E75" w:rsidP="003E2E75">
      <w:pPr>
        <w:pStyle w:val="Author"/>
        <w:spacing w:line="240" w:lineRule="auto"/>
        <w:rPr>
          <w:rFonts w:ascii="Arial" w:hAnsi="Arial" w:cs="Arial"/>
          <w:bCs/>
          <w:iCs/>
          <w:kern w:val="28"/>
          <w:sz w:val="36"/>
        </w:rPr>
      </w:pPr>
      <w:r w:rsidRPr="006C41D8">
        <w:rPr>
          <w:rFonts w:ascii="Arial" w:hAnsi="Arial" w:cs="Arial"/>
          <w:bCs/>
          <w:iCs/>
          <w:kern w:val="28"/>
          <w:sz w:val="36"/>
        </w:rPr>
        <w:t>Use of Probiotics as an alternative to Antibiotic Growth Promoters in Poultry Farming - a Review</w:t>
      </w:r>
    </w:p>
    <w:p w14:paraId="2C350999" w14:textId="77777777" w:rsidR="00163BC4" w:rsidRPr="006C41D8" w:rsidRDefault="00231920" w:rsidP="00441B6F">
      <w:pPr>
        <w:pStyle w:val="Author"/>
        <w:spacing w:line="240" w:lineRule="auto"/>
        <w:rPr>
          <w:rFonts w:ascii="Arial" w:hAnsi="Arial" w:cs="Arial"/>
          <w:bCs/>
          <w:iCs/>
          <w:kern w:val="28"/>
          <w:sz w:val="36"/>
        </w:rPr>
      </w:pPr>
      <w:r w:rsidRPr="006C41D8">
        <w:rPr>
          <w:rFonts w:ascii="Arial" w:hAnsi="Arial" w:cs="Arial"/>
          <w:bCs/>
          <w:iCs/>
          <w:kern w:val="28"/>
          <w:sz w:val="36"/>
        </w:rPr>
        <w:t xml:space="preserve"> </w:t>
      </w:r>
    </w:p>
    <w:p w14:paraId="09BDF546" w14:textId="77777777" w:rsidR="00A258C3" w:rsidRPr="006C41D8" w:rsidRDefault="00A258C3" w:rsidP="00441B6F">
      <w:pPr>
        <w:pStyle w:val="Author"/>
        <w:spacing w:line="240" w:lineRule="auto"/>
        <w:jc w:val="both"/>
        <w:rPr>
          <w:rFonts w:ascii="Arial" w:hAnsi="Arial" w:cs="Arial"/>
          <w:sz w:val="36"/>
        </w:rPr>
      </w:pPr>
    </w:p>
    <w:p w14:paraId="54BF9EA7" w14:textId="77777777" w:rsidR="00B01FCD" w:rsidRPr="006C41D8" w:rsidRDefault="007E35E8" w:rsidP="00441B6F">
      <w:pPr>
        <w:pStyle w:val="Copyright"/>
        <w:spacing w:after="0" w:line="240" w:lineRule="auto"/>
        <w:jc w:val="both"/>
        <w:rPr>
          <w:rFonts w:ascii="Arial" w:hAnsi="Arial" w:cs="Arial"/>
        </w:rPr>
        <w:sectPr w:rsidR="00B01FCD" w:rsidRPr="006C41D8" w:rsidSect="005E39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C41D8">
        <w:rPr>
          <w:rFonts w:ascii="Arial" w:hAnsi="Arial" w:cs="Arial"/>
          <w:noProof/>
        </w:rPr>
        <mc:AlternateContent>
          <mc:Choice Requires="wps">
            <w:drawing>
              <wp:inline distT="0" distB="0" distL="0" distR="0" wp14:anchorId="79471A75" wp14:editId="37CEEE6B">
                <wp:extent cx="5303520" cy="0"/>
                <wp:effectExtent l="17145" t="9525" r="1333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8224D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6C41D8">
        <w:rPr>
          <w:rFonts w:ascii="Arial" w:hAnsi="Arial" w:cs="Arial"/>
        </w:rPr>
        <w:t>.</w:t>
      </w:r>
    </w:p>
    <w:p w14:paraId="56365079" w14:textId="29FACDE8" w:rsidR="00B01FCD" w:rsidRPr="006C41D8" w:rsidRDefault="00B01FCD" w:rsidP="00441B6F">
      <w:pPr>
        <w:pStyle w:val="AbstHead"/>
        <w:spacing w:after="0"/>
        <w:jc w:val="both"/>
        <w:rPr>
          <w:rFonts w:ascii="Arial" w:hAnsi="Arial" w:cs="Arial"/>
        </w:rPr>
      </w:pPr>
      <w:r w:rsidRPr="006C41D8">
        <w:rPr>
          <w:rFonts w:ascii="Arial" w:hAnsi="Arial" w:cs="Arial"/>
        </w:rPr>
        <w:t>ABSTRACT</w:t>
      </w:r>
      <w:r w:rsidR="0066510A" w:rsidRPr="006C41D8">
        <w:rPr>
          <w:rFonts w:ascii="Arial" w:hAnsi="Arial" w:cs="Arial"/>
        </w:rPr>
        <w:t xml:space="preserve"> </w:t>
      </w:r>
    </w:p>
    <w:p w14:paraId="7CBA09B2" w14:textId="77777777" w:rsidR="00790ADA" w:rsidRPr="006C41D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C41D8" w14:paraId="0BD7D0A7" w14:textId="77777777" w:rsidTr="001E44FE">
        <w:tc>
          <w:tcPr>
            <w:tcW w:w="9576" w:type="dxa"/>
            <w:shd w:val="clear" w:color="auto" w:fill="F2F2F2"/>
          </w:tcPr>
          <w:p w14:paraId="0812E668" w14:textId="77777777" w:rsidR="00E3114E" w:rsidRPr="006C41D8" w:rsidRDefault="00510A69" w:rsidP="00441B6F">
            <w:pPr>
              <w:pStyle w:val="Body"/>
              <w:spacing w:after="0"/>
              <w:rPr>
                <w:rFonts w:ascii="Arial" w:eastAsia="Calibri" w:hAnsi="Arial" w:cs="Arial"/>
                <w:szCs w:val="22"/>
              </w:rPr>
            </w:pPr>
            <w:r w:rsidRPr="006C41D8">
              <w:rPr>
                <w:rFonts w:ascii="Arial" w:eastAsia="Calibri" w:hAnsi="Arial" w:cs="Arial"/>
                <w:szCs w:val="22"/>
              </w:rPr>
              <w:t>Probiotics have been raised as a viable alternative to antibiotics in the poultry industry. Offering notable advantages for growth performance and gut health while addressing concerns related to antimicrobial resistance. In addition to enhancing growth performance, probiotics contribute to improved gut health and immune function, thereby serving as a valuable component of poultry diets. They can effectively replace antibiotic growth promoters by enhancing nutrient absorption and competing with harmful pathogens within the poultry's gastrointestinal tract. This transition towards the application of probiotics underscores a growing recognition of the necessity for sustainable farming practices that prioritize animal health and reduce dependence on antibiotics. The incorporation of probiotics into poultry diets represents a significant advancement in promoting both animal welfare and production efficiency while also mitigating the risks associated with antibiotic usage. This approach not only bolsters poultry health but also aligns with contemporary agricultural practices that emphasize sustainability and food safety.</w:t>
            </w:r>
          </w:p>
          <w:p w14:paraId="581DD741" w14:textId="77777777" w:rsidR="00505F06" w:rsidRPr="006C41D8" w:rsidRDefault="00505F06" w:rsidP="00441B6F">
            <w:pPr>
              <w:pStyle w:val="Body"/>
              <w:spacing w:after="0"/>
              <w:rPr>
                <w:rFonts w:ascii="Arial" w:eastAsia="Calibri" w:hAnsi="Arial" w:cs="Arial"/>
                <w:szCs w:val="22"/>
              </w:rPr>
            </w:pPr>
          </w:p>
        </w:tc>
      </w:tr>
    </w:tbl>
    <w:p w14:paraId="716C49B1" w14:textId="77777777" w:rsidR="00636EB2" w:rsidRPr="006C41D8" w:rsidRDefault="00636EB2" w:rsidP="00441B6F">
      <w:pPr>
        <w:pStyle w:val="Body"/>
        <w:spacing w:after="0"/>
        <w:rPr>
          <w:rFonts w:ascii="Arial" w:hAnsi="Arial" w:cs="Arial"/>
          <w:i/>
        </w:rPr>
      </w:pPr>
    </w:p>
    <w:p w14:paraId="6253FFE3" w14:textId="77777777" w:rsidR="00A24E7E" w:rsidRPr="006C41D8" w:rsidRDefault="00A24E7E" w:rsidP="00510A69">
      <w:pPr>
        <w:pStyle w:val="Body"/>
        <w:spacing w:after="0"/>
        <w:jc w:val="center"/>
        <w:rPr>
          <w:rFonts w:ascii="Arial" w:hAnsi="Arial" w:cs="Arial"/>
          <w:i/>
        </w:rPr>
      </w:pPr>
      <w:r w:rsidRPr="006C41D8">
        <w:rPr>
          <w:rFonts w:ascii="Arial" w:hAnsi="Arial" w:cs="Arial"/>
          <w:i/>
        </w:rPr>
        <w:t xml:space="preserve">Keywords: </w:t>
      </w:r>
      <w:r w:rsidR="00510A69" w:rsidRPr="006C41D8">
        <w:rPr>
          <w:rFonts w:ascii="Arial" w:hAnsi="Arial" w:cs="Arial"/>
          <w:i/>
          <w:color w:val="000000" w:themeColor="text1"/>
        </w:rPr>
        <w:t>Bacteria, competitive exclusion, enzyme, immune response, probiotic, poultry</w:t>
      </w:r>
    </w:p>
    <w:p w14:paraId="4B8C9995" w14:textId="77777777" w:rsidR="00790ADA" w:rsidRPr="006C41D8" w:rsidRDefault="00790ADA" w:rsidP="00441B6F">
      <w:pPr>
        <w:pStyle w:val="Body"/>
        <w:spacing w:after="0"/>
        <w:rPr>
          <w:rFonts w:ascii="Arial" w:hAnsi="Arial" w:cs="Arial"/>
          <w:i/>
        </w:rPr>
      </w:pPr>
    </w:p>
    <w:p w14:paraId="6BECB51B" w14:textId="77777777" w:rsidR="0024282C" w:rsidRPr="006C41D8" w:rsidRDefault="0024282C" w:rsidP="00441B6F">
      <w:pPr>
        <w:pStyle w:val="Body"/>
        <w:spacing w:after="0"/>
        <w:rPr>
          <w:rFonts w:ascii="Arial" w:hAnsi="Arial" w:cs="Arial"/>
          <w:i/>
          <w:sz w:val="18"/>
        </w:rPr>
      </w:pPr>
    </w:p>
    <w:p w14:paraId="72ECADB0" w14:textId="77777777" w:rsidR="00505F06" w:rsidRPr="006C41D8" w:rsidRDefault="00505F06" w:rsidP="00441B6F">
      <w:pPr>
        <w:pStyle w:val="Body"/>
        <w:spacing w:after="0"/>
        <w:rPr>
          <w:rFonts w:ascii="Arial" w:hAnsi="Arial" w:cs="Arial"/>
          <w:i/>
        </w:rPr>
      </w:pPr>
    </w:p>
    <w:p w14:paraId="7CD033E4" w14:textId="21AA933A" w:rsidR="007F7B32" w:rsidRPr="006C41D8" w:rsidRDefault="00902823" w:rsidP="00441B6F">
      <w:pPr>
        <w:pStyle w:val="AbstHead"/>
        <w:spacing w:after="0"/>
        <w:jc w:val="both"/>
        <w:rPr>
          <w:rFonts w:ascii="Arial" w:hAnsi="Arial" w:cs="Arial"/>
        </w:rPr>
      </w:pPr>
      <w:r w:rsidRPr="006C41D8">
        <w:rPr>
          <w:rFonts w:ascii="Arial" w:hAnsi="Arial" w:cs="Arial"/>
        </w:rPr>
        <w:t xml:space="preserve">1. </w:t>
      </w:r>
      <w:r w:rsidR="00B01FCD" w:rsidRPr="006C41D8">
        <w:rPr>
          <w:rFonts w:ascii="Arial" w:hAnsi="Arial" w:cs="Arial"/>
        </w:rPr>
        <w:t>INTRODUCTION</w:t>
      </w:r>
      <w:r w:rsidR="007F7B32" w:rsidRPr="006C41D8">
        <w:rPr>
          <w:rFonts w:ascii="Arial" w:hAnsi="Arial" w:cs="Arial"/>
        </w:rPr>
        <w:t xml:space="preserve"> </w:t>
      </w:r>
    </w:p>
    <w:p w14:paraId="5A63B4E0" w14:textId="77777777" w:rsidR="00790ADA" w:rsidRPr="006C41D8" w:rsidRDefault="00790ADA" w:rsidP="00441B6F">
      <w:pPr>
        <w:pStyle w:val="AbstHead"/>
        <w:spacing w:after="0"/>
        <w:jc w:val="both"/>
        <w:rPr>
          <w:rFonts w:ascii="Arial" w:hAnsi="Arial" w:cs="Arial"/>
        </w:rPr>
      </w:pPr>
    </w:p>
    <w:p w14:paraId="3E1EE9BD" w14:textId="77777777" w:rsidR="00510A69" w:rsidRPr="006C41D8" w:rsidRDefault="00510A69" w:rsidP="00510A69">
      <w:pPr>
        <w:pStyle w:val="Body"/>
        <w:rPr>
          <w:rFonts w:ascii="Arial" w:hAnsi="Arial" w:cs="Arial"/>
        </w:rPr>
      </w:pPr>
      <w:r w:rsidRPr="006C41D8">
        <w:rPr>
          <w:rFonts w:ascii="Arial" w:hAnsi="Arial" w:cs="Arial"/>
        </w:rPr>
        <w:t xml:space="preserve">Poultry farming has utilized antibiotics since the early 1950s to enhance growth performance and feed efficiency. However, adverse effects have surfaced, including antibiotic resistance, the presence of antibiotic residues in eggs and meat, and disruptions in the balance of beneficial gut microbiota </w:t>
      </w:r>
      <w:r w:rsidRPr="006C41D8">
        <w:rPr>
          <w:rFonts w:ascii="Arial" w:hAnsi="Arial" w:cs="Arial"/>
        </w:rPr>
        <w:fldChar w:fldCharType="begin" w:fldLock="1"/>
      </w:r>
      <w:r w:rsidR="00D0560D" w:rsidRPr="006C41D8">
        <w:rPr>
          <w:rFonts w:ascii="Arial" w:hAnsi="Arial" w:cs="Arial"/>
        </w:rPr>
        <w:instrText>ADDIN CSL_CITATION {"citationItems":[{"id":"ITEM-1","itemData":{"DOI":"10.55145/ajbms.2024.03.02.02","ISSN":"2958-0870","abstract":"Veterinary medications, particularly antibiotics, are crucial elements in the manufacturing of animal feed. Typically, antibiotics are mostly employed in animals for the purpose of treating and preventing infections, as well as promoting growth. The utilization of antibiotics in animals can lead to the presence of antibiotic residues in food products, including milk, eggs, and meat. It is possible for these residues to cause a lot of bad things, like the spread of bacteria that are resistant to antibiotics to humans, immune system problems, allergies, and even cancer (with sulphamethazine, and other drugs). The most harmful consequence of residual drugs is the transfer of resistant antibiotic germs to individuals, aided by the mobility traits of resistance. Controlling the consumption of antibiotics in cattle is imperative in order to mitigate these detrimental effects. The issue should be communicated to individuals and local protocols through formal education. This review will discuss the use of antibiotics in food products and their effects on the health of people.","author":[{"dropping-particle":"","family":"Al_ward","given":"Mais Adnan","non-dropping-particle":"","parse-names":false,"suffix":""},{"dropping-particle":"","family":"Al-Akaidi","given":"Marwa Adel Hussein","non-dropping-particle":"","parse-names":false,"suffix":""},{"dropping-particle":"","family":"Hassan","given":"Wassan A.","non-dropping-particle":"","parse-names":false,"suffix":""},{"dropping-particle":"","family":"Jawad","given":"Asmaa A.","non-dropping-particle":"","parse-names":false,"suffix":""},{"dropping-particle":"","family":"Hamid","given":"Daniah M.","non-dropping-particle":"","parse-names":false,"suffix":""},{"dropping-particle":"","family":"Shaher","given":"Rana Fadhil","non-dropping-particle":"","parse-names":false,"suffix":""},{"dropping-particle":"","family":"Jaafar","given":"May Ridha","non-dropping-particle":"","parse-names":false,"suffix":""},{"dropping-particle":"","family":"Safir","given":"Nadhum Hussen","non-dropping-particle":"","parse-names":false,"suffix":""}],"container-title":"Al-Salam Journal for Medical Science","id":"ITEM-1","issue":"2","issued":{"date-parts":[["2024"]]},"page":"9-15","title":"Antibiotics used in food animals: A review","type":"article-journal","volume":"3"},"uris":["http://www.mendeley.com/documents/?uuid=15219abc-4a12-49da-9cb7-e60dfcd42668"]}],"mendeley":{"formattedCitation":"(Al_ward et al., 2024)","manualFormatting":"(Al_ward et al., 2024","plainTextFormattedCitation":"(Al_ward et al., 2024)","previouslyFormattedCitation":"(Al_ward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(Al_ward et al., 2024</w:t>
      </w:r>
      <w:r w:rsidRPr="006C41D8">
        <w:rPr>
          <w:rFonts w:ascii="Arial" w:hAnsi="Arial" w:cs="Arial"/>
        </w:rPr>
        <w:fldChar w:fldCharType="end"/>
      </w:r>
      <w:r w:rsidR="00CB09EF" w:rsidRPr="006C41D8">
        <w:rPr>
          <w:rFonts w:ascii="Arial" w:hAnsi="Arial" w:cs="Arial"/>
        </w:rPr>
        <w:t>;</w:t>
      </w:r>
      <w:r w:rsidRPr="006C41D8">
        <w:rPr>
          <w:rFonts w:ascii="Arial" w:hAnsi="Arial" w:cs="Arial"/>
        </w:rPr>
        <w:t xml:space="preserve"> </w:t>
      </w:r>
      <w:r w:rsidRPr="006C41D8">
        <w:rPr>
          <w:rFonts w:ascii="Arial" w:hAnsi="Arial" w:cs="Arial"/>
        </w:rPr>
        <w:fldChar w:fldCharType="begin" w:fldLock="1"/>
      </w:r>
      <w:r w:rsidR="00D0560D" w:rsidRPr="006C41D8">
        <w:rPr>
          <w:rFonts w:ascii="Arial" w:hAnsi="Arial" w:cs="Arial"/>
        </w:rPr>
        <w:instrText>ADDIN CSL_CITATION {"citationItems":[{"id":"ITEM-1","itemData":{"DOI":"10.36418/dev.v3i10.206","ISSN":"2777-0915","abstract":"The poultry sector has grown quickly over the past three decades. This has led to increased use of antibiotics as both medicinal and growth-promoting drugs. Concerns about the emergence of antibiotic resistance in bacterial populations, the presence of antibiotic residues in poultry products, and the increasing consumer demand for products free of antibiotic residues have accelerated the search for alternatives that could replace antibiotics without causing a loss in productivity or product quality. These alternatives to antibiotics in chicken include the use of organic acids, probiotic microorganisms, prebiotic substrates that encourage the establishment of beneficial bacterial populations, or symbiotic (combinations of prebiotics and probiotics), which boost production and maintain bird health. Phytobiotics, antimicrobial peptides, herbal medications, vitamins and minerals, and plant extracts are more examples. Probiotic organisms compete with pathogenic organisms for colonization sites in the gastrointestinal tract, redirect fewer nutrients to harmful microorganisms and the toxins they produce, and stimulate the immune system. Prebiotics also present an option since they change the immune system and intestinal microorganisms to prevent pathogens from colonizing the gut and to promote the growth of healthy microflora. However, further research is required to select probiotic, prebiotic, or synbiotics either alone or in combination that can result in the selection of strains capable of functioning well in the gastrointestinal system. Using synbiotics is still a preferable method for improving poultry production. Researchers can utilize the information in this review to further their understanding of antibiotic alternatives for poultry birds without sacrificing the welfare or performance of the birds.","author":[{"dropping-particle":"","family":"Samad","given":"Abdul","non-dropping-particle":"","parse-names":false,"suffix":""}],"container-title":"Devotion : Journal of Research and Community Service","id":"ITEM-1","issue":"10","issued":{"date-parts":[["2022"]]},"page":"999-1020","title":"Antibiotics resistance in poultry and its solution","type":"article-journal","volume":"3"},"uris":["http://www.mendeley.com/documents/?uuid=c3c3aa2a-0ecf-4b05-849d-ca2de2511201"]}],"mendeley":{"formattedCitation":"(Samad, 2022)","manualFormatting":"Samad, 2022)","plainTextFormattedCitation":"(Samad, 2022)","previouslyFormattedCitation":"(Samad, 2022)"},"properties":{"noteIndex":0},"schema":"https://github.com/citation-style-language/schema/raw/master/csl-citation.json"}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Samad, 2022)</w:t>
      </w:r>
      <w:r w:rsidRPr="006C41D8">
        <w:rPr>
          <w:rFonts w:ascii="Arial" w:hAnsi="Arial" w:cs="Arial"/>
        </w:rPr>
        <w:fldChar w:fldCharType="end"/>
      </w:r>
      <w:r w:rsidRPr="006C41D8">
        <w:rPr>
          <w:rFonts w:ascii="Arial" w:hAnsi="Arial" w:cs="Arial"/>
        </w:rPr>
        <w:t>. These resistant strains can spread to humans and contaminate fertilizers, leading to further public health concerns regarding antibiotic resistance and food safety</w:t>
      </w:r>
      <w:r w:rsidR="0015602D" w:rsidRPr="006C41D8">
        <w:rPr>
          <w:rFonts w:ascii="Arial" w:hAnsi="Arial" w:cs="Arial"/>
        </w:rPr>
        <w:t xml:space="preserve"> </w:t>
      </w:r>
      <w:r w:rsidR="0015602D" w:rsidRPr="006C41D8">
        <w:rPr>
          <w:rFonts w:ascii="Arial" w:hAnsi="Arial" w:cs="Arial"/>
        </w:rPr>
        <w:fldChar w:fldCharType="begin" w:fldLock="1"/>
      </w:r>
      <w:r w:rsidR="00D0560D" w:rsidRPr="006C41D8">
        <w:rPr>
          <w:rFonts w:ascii="Arial" w:hAnsi="Arial" w:cs="Arial"/>
        </w:rPr>
        <w:instrText>ADDIN CSL_CITATION {"citationItems":[{"id":"ITEM-1","itemData":{"DOI":"10.3390/fermentation8120672","ISSN":"23115637","abstract":"Antibiotics have been used to maintain the overall health of poultry by increasing production efficiency, promoting growth, and improving intestinal function for more than 50 years. However, they have a number of side effects, such as antibiotic resistance, gut dysbiosis, destruction of beneficial bacteria, and the potential to spread diseases to humans. In order to address the aforementioned issues, a lot of effort is put into the development of antibiotic alternatives. One of them is the use of probiotics that can be added to the feed in order to increase poultry performance and avoid the aforementioned problems. Probiotics are live microorganisms consumed as feed additives or supplements. They function in the poultry gastrointestinal tract to benefit the host. Probiotics improve growth performance, bone health, meat and eggshell quality. The addition of probiotics to the diet also positively affects the immune response, intestinal microflora, and disease resistance. Careful selection of probiotic strains is of utmost importance. This review focuses on the significance of probiotics as a potential antibiotic-free alternative and the way in which they can be used as supplements in poultry feed for boosting production and safeguarding health.","author":[{"dropping-particle":"","family":"Ahmad","given":"Rafiq","non-dropping-particle":"","parse-names":false,"suffix":""},{"dropping-particle":"","family":"Yu","given":"Yu Hsiang","non-dropping-particle":"","parse-names":false,"suffix":""},{"dropping-particle":"","family":"Hsiao","given":"Felix Shih Hsiang","non-dropping-particle":"","parse-names":false,"suffix":""},{"dropping-particle":"","family":"Dybus","given":"Andrzej","non-dropping-particle":"","parse-names":false,"suffix":""},{"dropping-particle":"","family":"Ali","given":"Ilyas","non-dropping-particle":"","parse-names":false,"suffix":""},{"dropping-particle":"","family":"Hsu","given":"Hui Chen","non-dropping-particle":"","parse-names":false,"suffix":""},{"dropping-particle":"","family":"Cheng","given":"Yeong Hsiang","non-dropping-particle":"","parse-names":false,"suffix":""}],"container-title":"Fermentation","id":"ITEM-1","issue":"12","issued":{"date-parts":[["2022"]]},"title":"Probiotics as a friendly antibiotic alternative: assessment of their effects on the health and productive performance of poultry","type":"article-journal","volume":"8"},"uris":["http://www.mendeley.com/documents/?uuid=e0000dea-3068-46bf-873c-de744a6634b7"]}],"mendeley":{"formattedCitation":"(Ahmad et al., 2022)","plainTextFormattedCitation":"(Ahmad et al., 2022)","previouslyFormattedCitation":"(Ahmad et al., 2022)"},"properties":{"noteIndex":0},"schema":"https://github.com/citation-style-language/schema/raw/master/csl-citation.json"}</w:instrText>
      </w:r>
      <w:r w:rsidR="0015602D" w:rsidRPr="006C41D8">
        <w:rPr>
          <w:rFonts w:ascii="Arial" w:hAnsi="Arial" w:cs="Arial"/>
        </w:rPr>
        <w:fldChar w:fldCharType="separate"/>
      </w:r>
      <w:r w:rsidR="0015602D" w:rsidRPr="006C41D8">
        <w:rPr>
          <w:rFonts w:ascii="Arial" w:hAnsi="Arial" w:cs="Arial"/>
          <w:noProof/>
        </w:rPr>
        <w:t>(Ahmad et al., 2022)</w:t>
      </w:r>
      <w:r w:rsidR="0015602D" w:rsidRPr="006C41D8">
        <w:rPr>
          <w:rFonts w:ascii="Arial" w:hAnsi="Arial" w:cs="Arial"/>
        </w:rPr>
        <w:fldChar w:fldCharType="end"/>
      </w:r>
      <w:r w:rsidRPr="006C41D8">
        <w:rPr>
          <w:rFonts w:ascii="Arial" w:hAnsi="Arial" w:cs="Arial"/>
        </w:rPr>
        <w:t xml:space="preserve">. Alternatively, farmers can use other safer and more sustainable feed additives, such as probiotics </w:t>
      </w:r>
      <w:r w:rsidRPr="006C41D8">
        <w:rPr>
          <w:rFonts w:ascii="Arial" w:hAnsi="Arial" w:cs="Arial"/>
        </w:rPr>
        <w:fldChar w:fldCharType="begin" w:fldLock="1"/>
      </w:r>
      <w:r w:rsidR="00D0560D" w:rsidRPr="006C41D8">
        <w:rPr>
          <w:rFonts w:ascii="Arial" w:hAnsi="Arial" w:cs="Arial"/>
        </w:rPr>
        <w:instrText>ADDIN CSL_CITATION {"citationItems":[{"id":"ITEM-1","itemData":{"DOI":"10.5772/intechopen.1007406","ISBN":"978-0-85014-845-9","abstract":"Mamphogoro, T. P., Makete, G., Modika, K. Y., &amp; Kamutando, C. N. (2024). Probiotics as Feed Additives for Improved Animal Health and Nutrition: The Current Perspectives. IntechOpen. doi: 10.5772/intechopen.1007406","author":[{"dropping-particle":"","family":"Paris","given":"Mamphogoro Tshifhiwa","non-dropping-particle":"","parse-names":false,"suffix":""},{"dropping-particle":"","family":"Goitsemang","given":"Makete","non-dropping-particle":"","parse-names":false,"suffix":""},{"dropping-particle":"","family":"Yvonne","given":"Modika Kedibone","non-dropping-particle":"","parse-names":false,"suffix":""},{"dropping-particle":"","family":"Nyaradzai","given":"Kamutando Casper","non-dropping-particle":"","parse-names":false,"suffix":""}],"container-title":"Probiotics, Prebiotics, and Postbiotics in Human Health and Sustainable Food Systems","editor":[{"dropping-particle":"","family":"Vilela","given":"Alice","non-dropping-particle":"","parse-names":false,"suffix":""},{"dropping-particle":"","family":"Inês","given":"António","non-dropping-particle":"","parse-names":false,"suffix":""}],"id":"ITEM-1","issued":{"date-parts":[["2024"]]},"publisher":"IntechOpen","title":"Probiotics as feed additives for improved animal health and nutrition : The current perspectives","type":"chapter"},"uris":["http://www.mendeley.com/documents/?uuid=5ccea898-876b-4dd0-b9ad-7531161b2ab5"]}],"mendeley":{"formattedCitation":"(Paris et al., 2024)","manualFormatting":"(Paris et al., 2024; ","plainTextFormattedCitation":"(Paris et al., 2024)","previouslyFormattedCitation":"(Paris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 xml:space="preserve">(Paris et al., 2024; </w:t>
      </w:r>
      <w:r w:rsidRPr="006C41D8">
        <w:rPr>
          <w:rFonts w:ascii="Arial" w:hAnsi="Arial" w:cs="Arial"/>
        </w:rPr>
        <w:fldChar w:fldCharType="end"/>
      </w:r>
      <w:r w:rsidR="00E86352" w:rsidRPr="006C41D8">
        <w:rPr>
          <w:rFonts w:ascii="Arial" w:hAnsi="Arial" w:cs="Arial"/>
        </w:rPr>
        <w:fldChar w:fldCharType="begin" w:fldLock="1"/>
      </w:r>
      <w:r w:rsidR="00E86352" w:rsidRPr="006C41D8">
        <w:rPr>
          <w:rFonts w:ascii="Arial" w:hAnsi="Arial" w:cs="Arial"/>
        </w:rPr>
        <w:instrText>ADDIN CSL_CITATION {"citationItems":[{"id":"ITEM-1","itemData":{"DOI":"10.3390/vaccines10010097","ISSN":"2076393X","abstract":"Coccidiosis is an important parasitic disease of poultry with great economic importance. Due to drug resistance issues, the study was conducted to investigate how probiotics (Lactobacillus plantarum or L. plantarum) affected oocysts per gram of feces (OPG), fecal scores, feed conversion ratio (FCR), immunomodulatory effect in terms of the cell-mediated and humoral immune response. Serum chemistry (ALT, AST, LDH, and creatinine) was measured in different treated chicken groups. mRNA expression levels of antioxidant enzymes (SOD 1 and CAT), peptide transporter 1 (PepT 1), and tight junction proteins (ZO and CLDN 1) were also examined in chicken groups infected with Eimeria tenella (E. tenella). Chickens supplemented with L. plantarum 1 × 108 CFU (colony-forming unit) showed an improved cell-mediated and humoral immune response, compared with the control group (p &lt; 0.05). Probiotics also enhanced the performance of antioxidant enzymes, PepT 1, and tight junction proteins, and improved serum chemistry (AST, ALT, and LDH), compared with control-infected, non-medicated chickens. However, no significant difference (p &gt; 0.05) was observed in CLDN 1 expression level and creatinine in all treated chicken groups. These findings demonstrated that probiotics supplementation in the feed can protect the birds against E. tenella infection.","author":[{"dropping-particle":"","family":"Mohsin","given":"Muhammad","non-dropping-particle":"","parse-names":false,"suffix":""},{"dropping-particle":"","family":"Zhang","given":"Ziping","non-dropping-particle":"","parse-names":false,"suffix":""},{"dropping-particle":"","family":"Yin","given":"Guangwen","non-dropping-particle":"","parse-names":false,"suffix":""}],"container-title":"Vaccines","id":"ITEM-1","issue":"1","issued":{"date-parts":[["2022"]]},"page":"1-14","title":"Effect of probiotics on the performance and intestinal health of broiler chickens infected with Eimeria tenella","type":"article-journal","volume":"10"},"uris":["http://www.mendeley.com/documents/?uuid=577120dd-942d-4e18-b522-b2092ff646af"]}],"mendeley":{"formattedCitation":"(Mohsin et al., 2022)","plainTextFormattedCitation":"(Mohsin et al., 2022)"},"properties":{"noteIndex":0},"schema":"https://github.com/citation-style-language/schema/raw/master/csl-citation.json"}</w:instrText>
      </w:r>
      <w:r w:rsidR="00E86352" w:rsidRPr="006C41D8">
        <w:rPr>
          <w:rFonts w:ascii="Arial" w:hAnsi="Arial" w:cs="Arial"/>
        </w:rPr>
        <w:fldChar w:fldCharType="separate"/>
      </w:r>
      <w:r w:rsidR="00E86352" w:rsidRPr="006C41D8">
        <w:rPr>
          <w:rFonts w:ascii="Arial" w:hAnsi="Arial" w:cs="Arial"/>
          <w:noProof/>
        </w:rPr>
        <w:t>Mohsin et al., 2022)</w:t>
      </w:r>
      <w:r w:rsidR="00E86352" w:rsidRPr="006C41D8">
        <w:rPr>
          <w:rFonts w:ascii="Arial" w:hAnsi="Arial" w:cs="Arial"/>
        </w:rPr>
        <w:fldChar w:fldCharType="end"/>
      </w:r>
      <w:r w:rsidRPr="006C41D8">
        <w:rPr>
          <w:rFonts w:ascii="Arial" w:hAnsi="Arial" w:cs="Arial"/>
        </w:rPr>
        <w:t xml:space="preserve">, prebiotics </w:t>
      </w:r>
      <w:r w:rsidRPr="006C41D8">
        <w:rPr>
          <w:rFonts w:ascii="Arial" w:hAnsi="Arial" w:cs="Arial"/>
        </w:rPr>
        <w:fldChar w:fldCharType="begin" w:fldLock="1"/>
      </w:r>
      <w:r w:rsidR="00D0560D" w:rsidRPr="006C41D8">
        <w:rPr>
          <w:rFonts w:ascii="Arial" w:hAnsi="Arial" w:cs="Arial"/>
        </w:rPr>
        <w:instrText>ADDIN CSL_CITATION {"citationItems":[{"id":"ITEM-1","itemData":{"DOI":"10.1007/978-3-030-04624-8_23","ISBN":"9783030046248","abstract":"Animal feed additives are used all over the world for various livestock including poultry for more reasons than one like to provide essential nutrients, increase palatability of the feed, improve their growth performance, as well as optimize the utilization of the...","author":[{"dropping-particle":"","family":"Pandey","given":"Amit Kumar","non-dropping-particle":"","parse-names":false,"suffix":""},{"dropping-particle":"","family":"Kumar","given":"Prafulla","non-dropping-particle":"","parse-names":false,"suffix":""},{"dropping-particle":"","family":"Saxena","given":"M. J.","non-dropping-particle":"","parse-names":false,"suffix":""}],"container-title":"Nutraceuticals in Veterinary Medicine","id":"ITEM-1","issued":{"date-parts":[["2019"]]},"page":"345-362","publisher":"Springer Nature Switzerland","title":"Feed additives in animal health","type":"chapter"},"uris":["http://www.mendeley.com/documents/?uuid=9612f641-471f-4732-835b-35179620f4f3"]}],"mendeley":{"formattedCitation":"(Pandey et al., 2019)","manualFormatting":"(Pandey et al., 2019","plainTextFormattedCitation":"(Pandey et al., 2019)","previouslyFormattedCitation":"(Pandey et al.,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(Pandey et al., 2019</w:t>
      </w:r>
      <w:r w:rsidRPr="006C41D8">
        <w:rPr>
          <w:rFonts w:ascii="Arial" w:hAnsi="Arial" w:cs="Arial"/>
        </w:rPr>
        <w:fldChar w:fldCharType="end"/>
      </w:r>
      <w:r w:rsidRPr="006C41D8">
        <w:rPr>
          <w:rFonts w:ascii="Arial" w:hAnsi="Arial" w:cs="Arial"/>
        </w:rPr>
        <w:t xml:space="preserve">; </w:t>
      </w:r>
      <w:r w:rsidRPr="006C41D8">
        <w:rPr>
          <w:rFonts w:ascii="Arial" w:hAnsi="Arial" w:cs="Arial"/>
        </w:rPr>
        <w:fldChar w:fldCharType="begin" w:fldLock="1"/>
      </w:r>
      <w:r w:rsidRPr="006C41D8">
        <w:rPr>
          <w:rFonts w:ascii="Arial" w:hAnsi="Arial" w:cs="Arial"/>
        </w:rPr>
        <w:instrText>ADDIN CSL_CITATION {"citationItems":[{"id":"ITEM-1","itemData":{"DOI":"10.3390/ani11061542","ISSN":"20762615","abstract":"In recent years, a boost in the ruminant population has been observed, and consequently, an increase in the animals’ demand for nutrients and methane emissions. Methane emission is generated during the microbial fermentation of feed in the rumen, and a percentage even up to 12% of the energy obtained by this process can be wasted. In addition, the use of antibiotics in animal husbandry is being increasingly restricted. restricted. As a result, there is a continuous search for innovative feed additives that can serve as alternatives to antibiotics, and will also be safe for both people and the environment. In the present review article, additives were selected on basis that, according to studies conducted so far, may positively affect the microbiome of the digestive system by improving indicators and/or reducing methane production. Among them, probiotics, prebiotics or their combination—synbiotics are at the forefront of research. However, additives in the form of algae or plant origin are also gaining ground in popularity, such as essential oils, fermented wheat straw or Gelidium amansii, due to their general recognition as safe (GRAS) for both humans and environment.","author":[{"dropping-particle":"","family":"Michalak","given":"Marta","non-dropping-particle":"","parse-names":false,"suffix":""},{"dropping-particle":"","family":"Wojnarowski","given":"Konrad","non-dropping-particle":"","parse-names":false,"suffix":""},{"dropping-particle":"","family":"Cholewińska","given":"Paulina","non-dropping-particle":"","parse-names":false,"suffix":""},{"dropping-particle":"","family":"Szeligowska","given":"Natalia","non-dropping-particle":"","parse-names":false,"suffix":""},{"dropping-particle":"","family":"Bawej","given":"Marcel","non-dropping-particle":"","parse-names":false,"suffix":""},{"dropping-particle":"","family":"Pacoń","given":"Jakub","non-dropping-particle":"","parse-names":false,"suffix":""}],"container-title":"Animals","id":"ITEM-1","issue":"6","issued":{"date-parts":[["2021"]]},"title":"Selected alternative feed additives used to manipulate the rumen microbiome","type":"article-journal","volume":"11"},"uris":["http://www.mendeley.com/documents/?uuid=152256be-f996-4c89-9960-b5f40ca3fb03"]}],"mendeley":{"formattedCitation":"(Michalak et al., 2021)","manualFormatting":"Michalak et al., 2021)","plainTextFormattedCitation":"(Michalak et al., 2021)","previouslyFormattedCitation":"(Michalak et al., 2021)"},"properties":{"noteIndex":0},"schema":"https://github.com/citation-style-language/schema/raw/master/csl-citation.json"}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Michalak et al., 2021)</w:t>
      </w:r>
      <w:r w:rsidRPr="006C41D8">
        <w:rPr>
          <w:rFonts w:ascii="Arial" w:hAnsi="Arial" w:cs="Arial"/>
        </w:rPr>
        <w:fldChar w:fldCharType="end"/>
      </w:r>
      <w:r w:rsidRPr="006C41D8">
        <w:rPr>
          <w:rFonts w:ascii="Arial" w:hAnsi="Arial" w:cs="Arial"/>
        </w:rPr>
        <w:t xml:space="preserve">, acidifiers </w:t>
      </w:r>
      <w:r w:rsidRPr="006C41D8">
        <w:rPr>
          <w:rFonts w:ascii="Arial" w:hAnsi="Arial" w:cs="Arial"/>
        </w:rPr>
        <w:fldChar w:fldCharType="begin" w:fldLock="1"/>
      </w:r>
      <w:r w:rsidR="00D0560D" w:rsidRPr="006C41D8">
        <w:rPr>
          <w:rFonts w:ascii="Arial" w:hAnsi="Arial" w:cs="Arial"/>
        </w:rPr>
        <w:instrText>ADDIN CSL_CITATION {"citationItems":[{"id":"ITEM-1","itemData":{"DOI":"10.3390/antibiotics11060766","ISSN":"20796382","abstract":"The overuse and misuse of antibiotics has contributed to the rise and spread of multidrugresistant bacteria. To address this global public health threat, many countries have restricted the use of antibiotics as growth promoters and promoted the development of alternatives to antibiotics in human and veterinary medicine and animal farming. In food-animal production, acidifiers, bacteriophages, enzymes, phytochemicals, probiotics, prebiotics, and antimicrobial peptides have shown hallmarks as alternatives to antibiotics. This review reports the current state of these alternatives as growth-promoting factors for poultry and swine production and describes their mode of action. Recent findings on their usefulness and the factors that presently hinder their broader use in animal food production are identified by SWOT (strength, weakness, opportunity, and threat) analysis. The potential for resistance development as well as co- and cross-resistance with currently used antibiotics is also discussed. Using predetermined keywords, we searched specialized databases including Scopus, Web of Science, and Google Scholar. Antibiotic resistance cannot be stopped, but its spreading can certainly be hindered or delayed with the development of more alternatives with innovative modes of action and a wise and careful use of antimicrobials in a One Health approach.","author":[{"dropping-particle":"","family":"Rahman","given":"Md Ramim Tanver","non-dropping-particle":"","parse-names":false,"suffix":""},{"dropping-particle":"","family":"Fliss","given":"Ismail","non-dropping-particle":"","parse-names":false,"suffix":""},{"dropping-particle":"","family":"Biron","given":"Eric","non-dropping-particle":"","parse-names":false,"suffix":""}],"container-title":"Antibiotics","id":"ITEM-1","issue":"6","issued":{"date-parts":[["2022"]]},"page":"1-29","title":"Insights in the development and uses of alternatives to antibiotic growth promoters in poultry and swine production","type":"article-journal","volume":"11"},"uris":["http://www.mendeley.com/documents/?uuid=f75539c9-b8f3-4ff7-bfb3-f3ce5058c869"]}],"mendeley":{"formattedCitation":"(Rahman et al., 2022)","plainTextFormattedCitation":"(Rahman et al., 2022)","previouslyFormattedCitation":"(Rahman et al., 2022)"},"properties":{"noteIndex":0},"schema":"https://github.com/citation-style-language/schema/raw/master/csl-citation.json"}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(Rahman et al., 2022)</w:t>
      </w:r>
      <w:r w:rsidRPr="006C41D8">
        <w:rPr>
          <w:rFonts w:ascii="Arial" w:hAnsi="Arial" w:cs="Arial"/>
        </w:rPr>
        <w:fldChar w:fldCharType="end"/>
      </w:r>
      <w:r w:rsidRPr="006C41D8">
        <w:rPr>
          <w:rFonts w:ascii="Arial" w:hAnsi="Arial" w:cs="Arial"/>
        </w:rPr>
        <w:t xml:space="preserve">, and enzymes </w:t>
      </w:r>
      <w:r w:rsidRPr="006C41D8">
        <w:rPr>
          <w:rFonts w:ascii="Arial" w:hAnsi="Arial" w:cs="Arial"/>
        </w:rPr>
        <w:fldChar w:fldCharType="begin" w:fldLock="1"/>
      </w:r>
      <w:r w:rsidR="00D0560D" w:rsidRPr="006C41D8">
        <w:rPr>
          <w:rFonts w:ascii="Arial" w:hAnsi="Arial" w:cs="Arial"/>
        </w:rPr>
        <w:instrText>ADDIN CSL_CITATION {"citationItems":[{"id":"ITEM-1","itemData":{"DOI":"10.1007/978-3-030-04624-8_23","ISBN":"9783030046248","abstract":"Animal feed additives are used all over the world for various livestock including poultry for more reasons than one like to provide essential nutrients, increase palatability of the feed, improve their growth performance, as well as optimize the utilization of the...","author":[{"dropping-particle":"","family":"Pandey","given":"Amit Kumar","non-dropping-particle":"","parse-names":false,"suffix":""},{"dropping-particle":"","family":"Kumar","given":"Prafulla","non-dropping-particle":"","parse-names":false,"suffix":""},{"dropping-particle":"","family":"Saxena","given":"M. J.","non-dropping-particle":"","parse-names":false,"suffix":""}],"container-title":"Nutraceuticals in Veterinary Medicine","id":"ITEM-1","issued":{"date-parts":[["2019"]]},"page":"345-362","publisher":"Springer Nature Switzerland","title":"Feed additives in animal health","type":"chapter"},"uris":["http://www.mendeley.com/documents/?uuid=9612f641-471f-4732-835b-35179620f4f3"]}],"mendeley":{"formattedCitation":"(Pandey et al., 2019)","plainTextFormattedCitation":"(Pandey et al., 2019)","previouslyFormattedCitation":"(Pandey et al.,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(Pandey et al., 2019)</w:t>
      </w:r>
      <w:r w:rsidRPr="006C41D8">
        <w:rPr>
          <w:rFonts w:ascii="Arial" w:hAnsi="Arial" w:cs="Arial"/>
        </w:rPr>
        <w:fldChar w:fldCharType="end"/>
      </w:r>
      <w:r w:rsidRPr="006C41D8">
        <w:rPr>
          <w:rFonts w:ascii="Arial" w:hAnsi="Arial" w:cs="Arial"/>
        </w:rPr>
        <w:t xml:space="preserve"> to improve poultry health and feed efficiency </w:t>
      </w:r>
      <w:r w:rsidRPr="006C41D8">
        <w:rPr>
          <w:rFonts w:ascii="Arial" w:hAnsi="Arial" w:cs="Arial"/>
        </w:rPr>
        <w:fldChar w:fldCharType="begin" w:fldLock="1"/>
      </w:r>
      <w:r w:rsidR="00D0560D" w:rsidRPr="006C41D8">
        <w:rPr>
          <w:rFonts w:ascii="Arial" w:hAnsi="Arial" w:cs="Arial"/>
        </w:rPr>
        <w:instrText>ADDIN CSL_CITATION {"citationItems":[{"id":"ITEM-1","itemData":{"DOI":"10.1079/cabireviews20033051981","abstract":"Feed additives are used world-wide for many different reasons. Some help to cover the needs for essential nutrients and others to increase animal performance, feed intake and thereby optimize feed utilization. They can positively affect technological properties and quality of feed as well as animal products. In many countries the use of feed additives is more and more questioned by the consumers: substances such as antibiotics, hormones and ß-agonists with perceived high risks are banned in animal diets. The trend in consumer demand is for safer and more organic food. Environmental aspects and animal management conditions become essential in intensive animal production systems. Therefore, the feed industry is eagerly looking for effective alternatives which are acceptable to the consumer and environmentally sound. Organic acids, enzymes, probiotics, prebiotics and highly available minerals as well as herbs or botanicals can be seen as potential alternatives to metabolic modifiers and antibiotics. The best results can be achieved by the use of these feed additives under good environmental conditions.","author":[{"dropping-particle":"","family":"Wenk","given":"C.","non-dropping-particle":"","parse-names":false,"suffix":""}],"container-title":"CABI Reviews","id":"ITEM-1","issue":"1","issued":{"date-parts":[["2003"]]},"page":"11-16","title":"Growth promoter alternatives after the ban on antibiotics.","type":"article-journal","volume":"2003"},"uris":["http://www.mendeley.com/documents/?uuid=37ee62fd-a8d0-4adb-bbd7-9ef1c9eb1b04"]},{"id":"ITEM-2","itemData":{"DOI":"10.5455/javar.2019.f361","ISSN":"23117710","abstract":"Objectives: Drug residues in poultry products could lead to the development of antibiotic-resistant bacteria as in any living animal and human alike. Extensive use of antibiotics in animals to promote growth rate, increase feed efficiency, and for prevention of intestinal infections has led to the development of resistant bacteria in the gastrointestinal tract. The present study was conducted to evaluate the effects of biological supplementation of probiotic, phytobiotic, and their combination over antibiotic on growth performance, microbial load, and hematological parameters in Broiler. Materials and methods: Sixty-five broiler chicken were divided into five groups (12 birds in each group), namely, group A (basal diet), group B (antibiotic, Renamycin 100®), group C (phytobiotic, Galibiotic®), group D (probiotic, Bio-Top®), and group E (combination, Galibiotic®+Galibiotic®) and five were sacrificed for baseline data on day 0. Results: Average final live weight gain was highest in group D (probiotic) than other groups. The feed conversion ratio was highest in group A and lowest in the probiotic group (group C). Blood samples were collected on 14th and 28th day for hematological studies. The mean hematology values regarding the total erythrocyte count, hemoglobin concentration, packed cell volume, and erythrocyte sedimentation rate differed significantly (p &lt; 0.05) among groups. The pH of all the treatment groups was significantly decreased compared to the control group (p &lt; 0.05) where group C was significantly (p &lt; 0.05) lower than all other groups. Highest total viable cell count was observed in control (group A) and total coliform count in phytobiotic (group C) was significantly lower than in other treatment groups (p &lt; 0.05). Conclusion: It may conclude that biological supplements have a significant positive impact on growth performance, hematological parameters, and gut microbial load in broiler chicken of which the probiotic showing the best effects. Supplementation of probiotic in feed could be one of the best candidates as an alternative to antibiotics as growth promoter for safe broiler production.","author":[{"dropping-particle":"","family":"Ferdous","given":"Md Faisal","non-dropping-particle":"","parse-names":false,"suffix":""},{"dropping-particle":"","family":"Arefin","given":"Md Shafiul","non-dropping-particle":"","parse-names":false,"suffix":""},{"dropping-particle":"","family":"Rahman","given":"Md Moshiur","non-dropping-particle":"","parse-names":false,"suffix":""},{"dropping-particle":"","family":"Ripon","given":"Md Mustafijur Rahman","non-dropping-particle":"","parse-names":false,"suffix":""},{"dropping-particle":"","family":"Rashid","given":"Md Harunur","non-dropping-particle":"","parse-names":false,"suffix":""},{"dropping-particle":"","family":"Sultana","given":"Mst Rokeya","non-dropping-particle":"","parse-names":false,"suffix":""},{"dropping-particle":"","family":"Hossain","given":"Muhammad Tofazzal","non-dropping-particle":"","parse-names":false,"suffix":""},{"dropping-particle":"","family":"Ahammad","given":"Muslah Uddin","non-dropping-particle":"","parse-names":false,"suffix":""},{"dropping-particle":"","family":"Rafiq","given":"Kazi","non-dropping-particle":"","parse-names":false,"suffix":""}],"container-title":"Journal of Advanced Veterinary and Animal Research","id":"ITEM-2","issue":"3","issued":{"date-parts":[["2019"]]},"page":"409-415","title":"Beneficial effects of probiotic and phytobiotic as growth promoter alternative to antibiotic for safe broiler production","type":"article-journal","volume":"6"},"uris":["http://www.mendeley.com/documents/?uuid=1a8e29d5-4064-48a4-b1af-8c6d895a7867"]},{"id":"ITEM-3","itemData":{"DOI":"10.3390/antibiotics11060766","ISSN":"20796382","abstract":"The overuse and misuse of antibiotics has contributed to the rise and spread of multidrugresistant bacteria. To address this global public health threat, many countries have restricted the use of antibiotics as growth promoters and promoted the development of alternatives to antibiotics in human and veterinary medicine and animal farming. In food-animal production, acidifiers, bacteriophages, enzymes, phytochemicals, probiotics, prebiotics, and antimicrobial peptides have shown hallmarks as alternatives to antibiotics. This review reports the current state of these alternatives as growth-promoting factors for poultry and swine production and describes their mode of action. Recent findings on their usefulness and the factors that presently hinder their broader use in animal food production are identified by SWOT (strength, weakness, opportunity, and threat) analysis. The potential for resistance development as well as co- and cross-resistance with currently used antibiotics is also discussed. Using predetermined keywords, we searched specialized databases including Scopus, Web of Science, and Google Scholar. Antibiotic resistance cannot be stopped, but its spreading can certainly be hindered or delayed with the development of more alternatives with innovative modes of action and a wise and careful use of antimicrobials in a One Health approach.","author":[{"dropping-particle":"","family":"Rahman","given":"Md Ramim Tanver","non-dropping-particle":"","parse-names":false,"suffix":""},{"dropping-particle":"","family":"Fliss","given":"Ismail","non-dropping-particle":"","parse-names":false,"suffix":""},{"dropping-particle":"","family":"Biron","given":"Eric","non-dropping-particle":"","parse-names":false,"suffix":""}],"container-title":"Antibiotics","id":"ITEM-3","issue":"6","issued":{"date-parts":[["2022"]]},"page":"1-29","title":"Insights in the development and uses of alternatives to antibiotic growth promoters in poultry and swine production","type":"article-journal","volume":"11"},"uris":["http://www.mendeley.com/documents/?uuid=f75539c9-b8f3-4ff7-bfb3-f3ce5058c869"]}],"mendeley":{"formattedCitation":"(Ferdous et al., 2019; Rahman et al., 2022; Wenk, 2003)","manualFormatting":"(Ferdous et al., 2019; Rahman et al., 2022)","plainTextFormattedCitation":"(Ferdous et al., 2019; Rahman et al., 2022; Wenk, 2003)","previouslyFormattedCitation":"(Ferdous et al., 2019; Rahman et al., 2022; Wenk, 2003)"},"properties":{"noteIndex":0},"schema":"https://github.com/citation-style-language/schema/raw/master/csl-citation.json"}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(Ferdous et al., 2019; Rahman et al., 2022)</w:t>
      </w:r>
      <w:r w:rsidRPr="006C41D8">
        <w:rPr>
          <w:rFonts w:ascii="Arial" w:hAnsi="Arial" w:cs="Arial"/>
        </w:rPr>
        <w:fldChar w:fldCharType="end"/>
      </w:r>
      <w:r w:rsidRPr="006C41D8">
        <w:rPr>
          <w:rFonts w:ascii="Arial" w:hAnsi="Arial" w:cs="Arial"/>
        </w:rPr>
        <w:t>.</w:t>
      </w:r>
    </w:p>
    <w:p w14:paraId="42F9D4DF" w14:textId="77777777" w:rsidR="00510A69" w:rsidRPr="006C41D8" w:rsidRDefault="00510A69" w:rsidP="00510A69">
      <w:pPr>
        <w:pStyle w:val="Body"/>
        <w:rPr>
          <w:rFonts w:ascii="Arial" w:hAnsi="Arial" w:cs="Arial"/>
        </w:rPr>
      </w:pPr>
      <w:r w:rsidRPr="006C41D8">
        <w:rPr>
          <w:rFonts w:ascii="Arial" w:hAnsi="Arial" w:cs="Arial"/>
        </w:rPr>
        <w:t xml:space="preserve">Probiotics, often referred to as directly fed microbes (DFM), are defined by the </w:t>
      </w:r>
      <w:r w:rsidRPr="006C41D8">
        <w:rPr>
          <w:rFonts w:ascii="Arial" w:hAnsi="Arial" w:cs="Arial"/>
        </w:rPr>
        <w:fldChar w:fldCharType="begin" w:fldLock="1"/>
      </w:r>
      <w:r w:rsidR="00260409" w:rsidRPr="006C41D8">
        <w:rPr>
          <w:rFonts w:ascii="Arial" w:hAnsi="Arial" w:cs="Arial"/>
        </w:rPr>
        <w:instrText>ADDIN CSL_CITATION {"citationItems":[{"id":"ITEM-1","itemData":{"ISBN":"2-9524354-0-5","ISSN":"0321-1525","abstract":"This paper provides an overview of the current state of the market probiotic products used as feed additives in animal husbandry.","author":[{"dropping-particle":"","family":"FAO","given":"","non-dropping-particle":"","parse-names":false,"suffix":""}],"container-title":"Probiotics in animal nutrition – Production, impact and regulation by Yadav S. Bajagai, Athol V. Klieve, Peter J. Dart and Wayne L. Bryden. Editor Harinder P.S. Makkar. FAO Animal Production and Health Paper No. 179. Rome. Authors","id":"ITEM-1","issued":{"date-parts":[["2016"]]},"title":"Probiotics in animal nutrition","type":"book"},"uris":["http://www.mendeley.com/documents/?uuid=3c4deef2-812f-463c-965e-2aaa01e36ade"]}],"mendeley":{"formattedCitation":"(FAO, 2016)","manualFormatting":"FAO (2016)","plainTextFormattedCitation":"(FAO, 2016)","previouslyFormattedCitation":"(FAO, 2016)"},"properties":{"noteIndex":0},"schema":"https://github.com/citation-style-language/schema/raw/master/csl-citation.json"}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FAO (2016)</w:t>
      </w:r>
      <w:r w:rsidRPr="006C41D8">
        <w:rPr>
          <w:rFonts w:ascii="Arial" w:hAnsi="Arial" w:cs="Arial"/>
        </w:rPr>
        <w:fldChar w:fldCharType="end"/>
      </w:r>
      <w:r w:rsidRPr="006C41D8">
        <w:rPr>
          <w:rFonts w:ascii="Arial" w:hAnsi="Arial" w:cs="Arial"/>
        </w:rPr>
        <w:t xml:space="preserve"> as live microorganisms that provide health advantages to the host when given in sufficient quantities. For a probiotic to be deemed effective, it must endure the conditions of the gastrointestinal tract, demonstrating resilience against the stomach's low pH and the </w:t>
      </w:r>
      <w:r w:rsidRPr="006C41D8">
        <w:rPr>
          <w:rFonts w:ascii="Arial" w:hAnsi="Arial" w:cs="Arial"/>
        </w:rPr>
        <w:lastRenderedPageBreak/>
        <w:t xml:space="preserve">presence of bile salts </w:t>
      </w:r>
      <w:r w:rsidRPr="006C41D8">
        <w:rPr>
          <w:rFonts w:ascii="Arial" w:hAnsi="Arial" w:cs="Arial"/>
        </w:rPr>
        <w:fldChar w:fldCharType="begin" w:fldLock="1"/>
      </w:r>
      <w:r w:rsidR="00D0560D" w:rsidRPr="006C41D8">
        <w:rPr>
          <w:rFonts w:ascii="Arial" w:hAnsi="Arial" w:cs="Arial"/>
        </w:rPr>
        <w:instrText>ADDIN CSL_CITATION {"citationItems":[{"id":"ITEM-1","itemData":{"DOI":"10.18178/ijpmbs.9.3.117-121","author":[{"dropping-particle":"","family":"Azhar","given":"Mohd Akmal","non-dropping-particle":"","parse-names":false,"suffix":""},{"dropping-particle":"","family":"Munaim","given":"Mimi Sakinah Abdul","non-dropping-particle":"","parse-names":false,"suffix":""},{"dropping-particle":"","family":"Hasan","given":"Muzamir","non-dropping-particle":"","parse-names":false,"suffix":""},{"dropping-particle":"","family":"Wahid","given":"Zularisam Ab","non-dropping-particle":"","parse-names":false,"suffix":""}],"container-title":"International Journal of Pharma Medicine and Biological Sciences","id":"ITEM-1","issue":"3","issued":{"date-parts":[["2020"]]},"page":"117-121","title":"Viability and gastrointestinal tolerance of commercial probiotic products","type":"article-journal","volume":"9"},"uris":["http://www.mendeley.com/documents/?uuid=1136a8d4-75c5-4e07-b9fb-6042ce428a68"]}],"mendeley":{"formattedCitation":"(Azhar et al., 2020)","plainTextFormattedCitation":"(Azhar et al., 2020)","previouslyFormattedCitation":"(Azhar et al., 2020)"},"properties":{"noteIndex":0},"schema":"https://github.com/citation-style-language/schema/raw/master/csl-citation.json"}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(Azhar et al., 2020)</w:t>
      </w:r>
      <w:r w:rsidRPr="006C41D8">
        <w:rPr>
          <w:rFonts w:ascii="Arial" w:hAnsi="Arial" w:cs="Arial"/>
        </w:rPr>
        <w:fldChar w:fldCharType="end"/>
      </w:r>
      <w:r w:rsidRPr="006C41D8">
        <w:rPr>
          <w:rFonts w:ascii="Arial" w:hAnsi="Arial" w:cs="Arial"/>
        </w:rPr>
        <w:t xml:space="preserve">, lack antibiotic resistance genes, and benefit the host </w:t>
      </w:r>
      <w:r w:rsidRPr="006C41D8">
        <w:rPr>
          <w:rFonts w:ascii="Arial" w:hAnsi="Arial" w:cs="Arial"/>
        </w:rPr>
        <w:fldChar w:fldCharType="begin" w:fldLock="1"/>
      </w:r>
      <w:r w:rsidRPr="006C41D8">
        <w:rPr>
          <w:rFonts w:ascii="Arial" w:hAnsi="Arial" w:cs="Arial"/>
        </w:rPr>
        <w:instrText>ADDIN CSL_CITATION {"citationItems":[{"id":"ITEM-1","itemData":{"DOI":"10.3389/fmicb.2016.01983","ISSN":"1664302X","PMID":"28018315","abstract":"Antibiotic resistance is a global public health problem that requires our attention. Indiscriminate antibiotic use is a major contributor in the introduction of selective pressures in our natural environments that have significantly contributed in the rapid emergence of antibiotic-resistant microbial strains. The use of probiotics in lieu of antibiotic therapy to address certain health conditions in both animals and humans may alleviate these antibiotic-mediated selective pressures. Probiotic use is defined as the actual application of live beneficial microbes to obtain a desired outcome by preventing diseased state or improving general health. Multiple studies have confirmed the beneficial effects of probiotic use in the health of both livestock and humans. As such, probiotics consumption is gaining popularity worldwide. However, concerns have been raised in the use of some probiotics strains that carry antibiotic resistance genes themselves, as they have the potential to pass the antibiotic resistance genes to pathogenic bacteria through horizontal gene transfer. Therefore, with the current public health concern on antibiotic resistance globally, in this review, we underscore the need to screen probiotic strains that are used in both livestock and human applications to assure their safety and mitigate their potential in significantly contributing to the spread of antibiotic resistance genes in our natural environments.","author":[{"dropping-particle":"","family":"Imperial","given":"Ivan C.V.J.","non-dropping-particle":"","parse-names":false,"suffix":""},{"dropping-particle":"","family":"Ibana","given":"Joyce A.","non-dropping-particle":"","parse-names":false,"suffix":""}],"container-title":"Frontiers in Microbiology","id":"ITEM-1","issue":"DEC","issued":{"date-parts":[["2016"]]},"page":"1-10","title":"Addressing the antibiotic resistance problem with probiotics: Reducing the risk of its double-edged sword effect","type":"article-journal","volume":"7"},"uris":["http://www.mendeley.com/documents/?uuid=bf967f2f-36bb-4dfa-806d-250892b84a89"]}],"mendeley":{"formattedCitation":"(Imperial &amp; Ibana, 2016)","plainTextFormattedCitation":"(Imperial &amp; Ibana, 2016)","previouslyFormattedCitation":"(Imperial &amp; Ibana, 2016)"},"properties":{"noteIndex":0},"schema":"https://github.com/citation-style-language/schema/raw/master/csl-citation.json"}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(Imperial &amp; Ibana, 2016)</w:t>
      </w:r>
      <w:r w:rsidRPr="006C41D8">
        <w:rPr>
          <w:rFonts w:ascii="Arial" w:hAnsi="Arial" w:cs="Arial"/>
        </w:rPr>
        <w:fldChar w:fldCharType="end"/>
      </w:r>
      <w:r w:rsidRPr="006C41D8">
        <w:rPr>
          <w:rFonts w:ascii="Arial" w:hAnsi="Arial" w:cs="Arial"/>
        </w:rPr>
        <w:t xml:space="preserve">. Broiler probiotics include </w:t>
      </w:r>
      <w:r w:rsidRPr="006C41D8">
        <w:rPr>
          <w:rFonts w:ascii="Arial" w:hAnsi="Arial" w:cs="Arial"/>
          <w:i/>
        </w:rPr>
        <w:t>Bacillus</w:t>
      </w:r>
      <w:r w:rsidRPr="006C41D8">
        <w:rPr>
          <w:rFonts w:ascii="Arial" w:hAnsi="Arial" w:cs="Arial"/>
        </w:rPr>
        <w:t>,</w:t>
      </w:r>
      <w:r w:rsidRPr="006C41D8">
        <w:rPr>
          <w:rFonts w:ascii="Arial" w:hAnsi="Arial" w:cs="Arial"/>
          <w:i/>
        </w:rPr>
        <w:t xml:space="preserve"> Bifidobacterium</w:t>
      </w:r>
      <w:r w:rsidRPr="006C41D8">
        <w:rPr>
          <w:rFonts w:ascii="Arial" w:hAnsi="Arial" w:cs="Arial"/>
        </w:rPr>
        <w:t>,</w:t>
      </w:r>
      <w:r w:rsidRPr="006C41D8">
        <w:rPr>
          <w:rFonts w:ascii="Arial" w:hAnsi="Arial" w:cs="Arial"/>
          <w:i/>
        </w:rPr>
        <w:t xml:space="preserve"> Enterococcus</w:t>
      </w:r>
      <w:r w:rsidRPr="006C41D8">
        <w:rPr>
          <w:rFonts w:ascii="Arial" w:hAnsi="Arial" w:cs="Arial"/>
        </w:rPr>
        <w:t>,</w:t>
      </w:r>
      <w:r w:rsidRPr="006C41D8">
        <w:rPr>
          <w:rFonts w:ascii="Arial" w:hAnsi="Arial" w:cs="Arial"/>
          <w:i/>
        </w:rPr>
        <w:t xml:space="preserve"> Aspergillus</w:t>
      </w:r>
      <w:r w:rsidRPr="006C41D8">
        <w:rPr>
          <w:rFonts w:ascii="Arial" w:hAnsi="Arial" w:cs="Arial"/>
        </w:rPr>
        <w:t>,</w:t>
      </w:r>
      <w:r w:rsidRPr="006C41D8">
        <w:rPr>
          <w:rFonts w:ascii="Arial" w:hAnsi="Arial" w:cs="Arial"/>
          <w:i/>
        </w:rPr>
        <w:t xml:space="preserve"> Candida</w:t>
      </w:r>
      <w:r w:rsidRPr="006C41D8">
        <w:rPr>
          <w:rFonts w:ascii="Arial" w:hAnsi="Arial" w:cs="Arial"/>
        </w:rPr>
        <w:t>,</w:t>
      </w:r>
      <w:r w:rsidRPr="006C41D8">
        <w:rPr>
          <w:rFonts w:ascii="Arial" w:hAnsi="Arial" w:cs="Arial"/>
          <w:i/>
        </w:rPr>
        <w:t xml:space="preserve"> and Saccharomyces </w:t>
      </w:r>
      <w:r w:rsidRPr="006C41D8">
        <w:rPr>
          <w:rFonts w:ascii="Arial" w:hAnsi="Arial" w:cs="Arial"/>
        </w:rPr>
        <w:t xml:space="preserve"> </w:t>
      </w:r>
      <w:r w:rsidRPr="006C41D8">
        <w:rPr>
          <w:rFonts w:ascii="Arial" w:hAnsi="Arial" w:cs="Arial"/>
        </w:rPr>
        <w:fldChar w:fldCharType="begin" w:fldLock="1"/>
      </w:r>
      <w:r w:rsidR="00D0560D" w:rsidRPr="006C41D8">
        <w:rPr>
          <w:rFonts w:ascii="Arial" w:hAnsi="Arial" w:cs="Arial"/>
        </w:rPr>
        <w:instrText>ADDIN CSL_CITATION {"citationItems":[{"id":"ITEM-1","itemData":{"DOI":"10.3390/ani10101863","ISSN":"20762615","PMID":"33066185","abstract":"Probiotics are live microorganisms which, when administered in adequate amounts, confer health benefits to the host. The use of probiotics in poultry has increased steadily over the years due to higher demand for antibiotic</w:instrText>
      </w:r>
      <w:r w:rsidR="00D0560D" w:rsidRPr="006C41D8">
        <w:rPr>
          <w:rFonts w:ascii="Cambria Math" w:hAnsi="Cambria Math" w:cs="Cambria Math"/>
        </w:rPr>
        <w:instrText>‐</w:instrText>
      </w:r>
      <w:r w:rsidR="00D0560D" w:rsidRPr="006C41D8">
        <w:rPr>
          <w:rFonts w:ascii="Arial" w:hAnsi="Arial" w:cs="Arial"/>
        </w:rPr>
        <w:instrText>free poultry. The objective of this systematic review is to present and evaluate the effects of probiotics on the nutrient utilization, growth and laying performance, gut histomorphology, immunity, and gut microbiota of poultry. An electronic search was conducted using relevant keywords to include papers pertinent to the topic. Seventeen commonly used probiotic species were critically assessed for their roles in the performance and gut health of poultry under existing commercial production conditions. The results showed that probiotic supplementation could have the following effects: (1) modification of the intestinal microbiota, (2) stimulation of the immune system, (3) reduction in inflammatory reactions, (4) prevention of pathogen colonization, (5) enhancement of growth performance, (6) alteration of the ileal digestibility and total tract apparent digestibility coefficient, and (7) decrease in ammonia and urea excretion. Thus, probiotics can serve as a potential alternative to antibiotic growth promoters in poultry production. However, factors such as the intestinal health condition of birds, the probiotic inclusion level; and the incubation conditions, feedstuff, and water quality offered to birds may affect the outcome. This systematic review provides a summary of the use of probiotics in poultry production, as well as the potential role of probiotics in the nutrient utilization, growth and laying performance, and gut health of poultry.","author":[{"dropping-particle":"","family":"Jha","given":"Rajesh","non-dropping-particle":"","parse-names":false,"suffix":""},{"dropping-particle":"","family":"Das","given":"Razib","non-dropping-particle":"","parse-names":false,"suffix":""},{"dropping-particle":"","family":"Oak","given":"Sophia","non-dropping-particle":"","parse-names":false,"suffix":""},{"dropping-particle":"","family":"Mishra","given":"Pravin","non-dropping-particle":"","parse-names":false,"suffix":""}],"container-title":"Animals","id":"ITEM-1","issue":"10","issued":{"date-parts":[["2020"]]},"page":"1-19","title":"Probiotics (direct</w:instrText>
      </w:r>
      <w:r w:rsidR="00D0560D" w:rsidRPr="006C41D8">
        <w:rPr>
          <w:rFonts w:ascii="Cambria Math" w:hAnsi="Cambria Math" w:cs="Cambria Math"/>
        </w:rPr>
        <w:instrText>‐</w:instrText>
      </w:r>
      <w:r w:rsidR="00D0560D" w:rsidRPr="006C41D8">
        <w:rPr>
          <w:rFonts w:ascii="Arial" w:hAnsi="Arial" w:cs="Arial"/>
        </w:rPr>
        <w:instrText>fed microbials) in poultry nutrition and their effects on nutrient utilization, growth and laying performance, and gut health: A systematic review","type":"article-journal","volume":"10"},"uris":["http://www.mendeley.com/documents/?uuid=cb061239-18c4-462d-ac88-a243cd8681dd"]}],"mendeley":{"formattedCitation":"(Jha et al., 2020)","plainTextFormattedCitation":"(Jha et al., 2020)","previouslyFormattedCitation":"(Jha et al., 2020)"},"properties":{"noteIndex":0},"schema":"https://github.com/citation-style-language/schema/raw/master/csl-citation.json"}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(Jha et al., 2020)</w:t>
      </w:r>
      <w:r w:rsidRPr="006C41D8">
        <w:rPr>
          <w:rFonts w:ascii="Arial" w:hAnsi="Arial" w:cs="Arial"/>
        </w:rPr>
        <w:fldChar w:fldCharType="end"/>
      </w:r>
      <w:r w:rsidRPr="006C41D8">
        <w:rPr>
          <w:rFonts w:ascii="Arial" w:hAnsi="Arial" w:cs="Arial"/>
        </w:rPr>
        <w:t xml:space="preserve">. Probiotics can reduce the number of pathogens in the digestive tract of poultry, thereby reducing the risk of infection </w:t>
      </w:r>
      <w:r w:rsidRPr="006C41D8">
        <w:rPr>
          <w:rFonts w:ascii="Arial" w:hAnsi="Arial" w:cs="Arial"/>
        </w:rPr>
        <w:fldChar w:fldCharType="begin" w:fldLock="1"/>
      </w:r>
      <w:r w:rsidR="00BC2524" w:rsidRPr="006C41D8">
        <w:rPr>
          <w:rFonts w:ascii="Arial" w:hAnsi="Arial" w:cs="Arial"/>
        </w:rPr>
        <w:instrText>ADDIN CSL_CITATION {"citationItems":[{"id":"ITEM-1","itemData":{"DOI":"10.1016/j.febslet.2014.03.035","ISSN":"1873-3468","PMID":"24681100","abstract":"The human gut microbiota comprises approximately 100 trillion microbial cells and has a significant effect on many aspects of human physiology including metabolism, nutrient absorption and immune function. Disruption of this population has been implicated in many conditions and diseases, including examples such as obesity, inflammatory bowel disease and colorectal cancer that are highlighted in this review. A logical extension of these observations suggests that the manipulation of the gut microbiota can be employed to prevent or treat these conditions. Thus, here we highlight a variety of options, including the use of changes in diet (including the use of prebiotics), antimicrobial-based intervention, probiotics and faecal microbiota transplantation, and discuss their relative merits with respect to modulating the intestinal community in a beneficial way.","author":[{"dropping-particle":"","family":"Walsh","given":"Calum J","non-dropping-particle":"","parse-names":false,"suffix":""},{"dropping-particle":"","family":"Guinane","given":"Caitriona M","non-dropping-particle":"","parse-names":false,"suffix":""},{"dropping-particle":"","family":"O'Toole","given":"Paul W","non-dropping-particle":"","parse-names":false,"suffix":""},{"dropping-particle":"","family":"Cotter","given":"Paul D","non-dropping-particle":"","parse-names":false,"suffix":""}],"container-title":"FEBS letters","id":"ITEM-1","issue":"22","issued":{"date-parts":[["2014","3","26"]]},"page":"4120-4130","publisher":"Federation of European Biochemical Societies","title":"Beneficial modulation of the gut microbiota.","type":"article-journal","volume":"588"},"uris":["http://www.mendeley.com/documents/?uuid=bb59c908-ca09-43f0-a322-9b662586a316"]}],"mendeley":{"formattedCitation":"(Walsh et al., 2014)","manualFormatting":"(Igbafe et al., 2020;","plainTextFormattedCitation":"(Walsh et al., 2014)","previouslyFormattedCitation":"(Walsh et al., 2014)"},"properties":{"noteIndex":0},"schema":"https://github.com/citation-style-language/schema/raw/master/csl-citation.json"}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w:t>
      </w:r>
      <w:r w:rsidR="00BC2524" w:rsidRPr="006C41D8">
        <w:t>Igbafe et al., 2020</w:t>
      </w:r>
      <w:r w:rsidRPr="006C41D8">
        <w:rPr>
          <w:rFonts w:ascii="Arial" w:hAnsi="Arial" w:cs="Arial"/>
          <w:noProof/>
        </w:rPr>
        <w:t>;</w:t>
      </w:r>
      <w:r w:rsidRPr="006C41D8">
        <w:rPr>
          <w:rFonts w:ascii="Arial" w:hAnsi="Arial" w:cs="Arial"/>
        </w:rPr>
        <w:fldChar w:fldCharType="end"/>
      </w:r>
      <w:r w:rsidRPr="006C41D8">
        <w:rPr>
          <w:rFonts w:ascii="Arial" w:hAnsi="Arial" w:cs="Arial"/>
        </w:rPr>
        <w:t xml:space="preserve"> </w:t>
      </w:r>
      <w:r w:rsidRPr="006C41D8">
        <w:rPr>
          <w:rFonts w:ascii="Arial" w:hAnsi="Arial" w:cs="Arial"/>
        </w:rPr>
        <w:fldChar w:fldCharType="begin" w:fldLock="1"/>
      </w:r>
      <w:r w:rsidRPr="006C41D8">
        <w:rPr>
          <w:rFonts w:ascii="Arial" w:hAnsi="Arial" w:cs="Arial"/>
        </w:rPr>
        <w:instrText>ADDIN CSL_CITATION {"citationItems":[{"id":"ITEM-1","itemData":{"DOI":"10.1186/s13071-023-05855-5","ISSN":"17563305","PMID":"37501177","abstract":"Background: Coccidiosis, a prominent intestinal protozoan disease, carries significant economic implications for the poultry industry. The aim of this study was to evaluate the effects of Fengqiang Shengtai (BLES), a probiotics product, and coccidiosis vaccine in modulating the intestinal microbiome and providing insight into mitigating the occurrence and management of avian coccidiosis. Methods: Broilers included in the study were divided into four pre-treatment groups: the Pre-Con group (commercial diet), Pre-BLES group (BLES supplement), Pre-Vac group (coccidiosis vaccination) and Pre-Vac-BLES group (combined vaccination and BLES). Body weight gain, feed consumption and feed conversion ratio were monitored from age 25 to 55 days. Cecum contents were collected at 8 and 15 days of age for comparative analysis of intestinal microbiomes. In the Pre-BLES and Pre-Vac-BLES groups, probiotics were administered at a dose of 0.01 g per chicken between ages 3 to 6 days and 10–13 days. At 3 days of age, chickens in the Pre-Vac and Pre-Vac-BLES groups were vaccinated with 1700 sporulated oocysts of the live coccidiosis vaccine per chicken. At the age of 25 days, Eimeria spp. challenge experiments were performed based on the aforementioned immunization strategy, and the oocysts per gram (OPG) in the feces, intestinal lesion score and intestinal pathological characteristics were evaluated. Specifically, 30 chickens were randomly selected from each group and orally administered 34,000 sporulated oocysts of Eimeria spp. per chicken, re-defined as Eimeria group, BLES-Eimeria group, Vac-Eimeria group and Vac-BLES-Eimeria group, respectively. Additionally, 30 chickens were randomly selected from the Pre-Con group and included as negative control without Eimeria spp. challenge. Intestinal microbiota was sequenced and analyzed when the broilers were 32 days old. Results: A significant improvement was observed in body weight gain of the broilers in the Pre-BLES and Pre-Vac-BLES group at 45 days of age. Analysis of the intestinal microbiota revealed a positive correlation between the experimental groups receiving BLES and coccidiosis vaccines at 8 and 15 days of age with the Enterococcus genus and Lachnospiraceae NK4A136 group, respectively. In addition to the reduced lesion score and OPG values, the combination of coccidiosis vaccine and BLES also reduced the intestinal epithelial abscission induced by coccidiosis vaccines. The results of intestinal microbial function pred…","author":[{"dropping-particle":"","family":"Cai","given":"Haiming","non-dropping-particle":"","parse-names":false,"suffix":""},{"dropping-particle":"","family":"Luo","given":"Shengjun","non-dropping-particle":"","parse-names":false,"suffix":""},{"dropping-particle":"","family":"Liu","given":"Qihong","non-dropping-particle":"","parse-names":false,"suffix":""},{"dropping-particle":"","family":"Zhou","given":"Qingfeng","non-dropping-particle":"","parse-names":false,"suffix":""},{"dropping-particle":"","family":"Yan","given":"Zhuanqiang","non-dropping-particle":"","parse-names":false,"suffix":""},{"dropping-particle":"","family":"Kang","given":"Zhen","non-dropping-particle":"","parse-names":false,"suffix":""},{"dropping-particle":"","family":"Liao","given":"Shenquan","non-dropping-particle":"","parse-names":false,"suffix":""},{"dropping-particle":"","family":"Li","given":"Juan","non-dropping-particle":"","parse-names":false,"suffix":""},{"dropping-particle":"","family":"Lv","given":"Minna","non-dropping-particle":"","parse-names":false,"suffix":""},{"dropping-particle":"","family":"Lin","given":"Xuhui","non-dropping-particle":"","parse-names":false,"suffix":""},{"dropping-particle":"","family":"Hu","given":"Junjing","non-dropping-particle":"","parse-names":false,"suffix":""},{"dropping-particle":"","family":"Yu","given":"Shuilan","non-dropping-particle":"","parse-names":false,"suffix":""},{"dropping-particle":"","family":"Zhang","given":"Jianfei","non-dropping-particle":"","parse-names":false,"suffix":""},{"dropping-particle":"","family":"Qi","given":"Nanshan","non-dropping-particle":"","parse-names":false,"suffix":""},{"dropping-particle":"","family":"Sun","given":"Mingfei","non-dropping-particle":"","parse-names":false,"suffix":""}],"container-title":"Parasites and Vectors","id":"ITEM-1","issue":"1","issued":{"date-parts":[["2023"]]},"page":"1-17","publisher":"BioMed Central","title":"Effects of a complex probiotic preparation, Fengqiang Shengtai and coccidiosis vaccine on the performance and intestinal microbiota of broilers challenged with Eimeria spp.","type":"article-journal","volume":"16"},"uris":["http://www.mendeley.com/documents/?uuid=672c14c5-4514-42dc-af5c-b9928b099daa"]}],"mendeley":{"formattedCitation":"(Cai et al., 2023)","manualFormatting":"Cai et al. 2023","plainTextFormattedCitation":"(Cai et al., 2023)","previouslyFormattedCitation":"(Cai et al., 2023)"},"properties":{"noteIndex":0},"schema":"https://github.com/citation-style-language/schema/raw/master/csl-citation.json"}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Cai et al. 2023</w:t>
      </w:r>
      <w:r w:rsidRPr="006C41D8">
        <w:rPr>
          <w:rFonts w:ascii="Arial" w:hAnsi="Arial" w:cs="Arial"/>
        </w:rPr>
        <w:fldChar w:fldCharType="end"/>
      </w:r>
      <w:r w:rsidRPr="006C41D8">
        <w:rPr>
          <w:rFonts w:ascii="Arial" w:hAnsi="Arial" w:cs="Arial"/>
        </w:rPr>
        <w:t xml:space="preserve">). Thus, the use of probiotics is not only focused on increasing growth but also on improving overall health  </w:t>
      </w:r>
      <w:r w:rsidRPr="006C41D8">
        <w:rPr>
          <w:rFonts w:ascii="Arial" w:hAnsi="Arial" w:cs="Arial"/>
        </w:rPr>
        <w:fldChar w:fldCharType="begin" w:fldLock="1"/>
      </w:r>
      <w:r w:rsidR="00D0560D" w:rsidRPr="006C41D8">
        <w:rPr>
          <w:rFonts w:ascii="Arial" w:hAnsi="Arial" w:cs="Arial"/>
        </w:rPr>
        <w:instrText>ADDIN CSL_CITATION {"citationItems":[{"id":"ITEM-1","itemData":{"ISSN":"10288880","abstract":"Both the somatosensory cerebral cortex and anterior pretectal nucleus (APT) have been shown to produce descending modulation of trigeminal (V) and spinal somatosensory neurone and reflex activities. Since the APT receives a direct projection from the somatosensory cortex, experiments were performed to compare the effects of APT and somatosensory cortex stimulation on the jaw-opening reflex (JOR) and to examine the possible involvement of APT in corticofugal modulation. Conditioning stimulation of the ipsilateral or contralateral somatosensory cortex in chloralose-urethane anaesthetized rats induced inhibition of the JOR elicited by test stimulation of the maxillary skin or tooth pulp, at conditioning-test intervals between 30 and 200 ms. A similar time course of inhibition of the JOR was noted with APT conditioning stimulation. Local unilateral injection of 2% lidocaine (0.3-0.6 microliter) into APT could partially and reversibly reduce the ipsilateral cortically evoked inhibition of the JOR. Ibotenic acid (5 micrograms, 0.5 microliter)-induced unilateral lesions of APT and its adjoining structures also greatly reduced the ipsilateral cortically induced inhibition of the JOR. Histological reconstruction of APT lesion sites and data analysis indicated that this reduction in the corticofugal inhibition was proportionally and significantly related to the extent of damage to APT, but not to its adjoining structures. These findings collectively suggest that the cortically-induced inhibition of the JOR is at least partly mediated by a relay in the APT","author":[{"dropping-particle":"","family":"Kusmiyati","given":"Nur","non-dropping-particle":"","parse-names":false,"suffix":""},{"dropping-particle":"","family":"Sari","given":"Cici Rafita","non-dropping-particle":"","parse-names":false,"suffix":""},{"dropping-particle":"","family":"Utami","given":"Ulfah","non-dropping-particle":"","parse-names":false,"suffix":""}],"container-title":"Al-Kauniyah","id":"ITEM-1","issue":"2","issued":{"date-parts":[["2025"]]},"page":"227-235","title":"Amylase, lipase and protease activity in Lactobacillus casei group indigenous probiotics","type":"article-journal","volume":"18"},"uris":["http://www.mendeley.com/documents/?uuid=39a6bde7-514b-4ea3-92d0-c0192fd4a0b9"]},{"id":"ITEM-2","itemData":{"ISBN":"2-9524354-0-5 / EAN 9782952435406","author":[{"dropping-particle":"","family":"Fefana","given":"","non-dropping-particle":"","parse-names":false,"suffix":""}],"editor":[{"dropping-particle":"","family":"JANS","given":"Didier","non-dropping-particle":"","parse-names":false,"suffix":""}],"id":"ITEM-2","issued":{"date-parts":[["2005"]]},"publisher":"Fefana","publisher-place":"Goussainville, France","title":"Probiotics in Animal Nutrition. EU feed additives and Premixtures Association.","type":"article"},"uris":["http://www.mendeley.com/documents/?uuid=69fe56eb-705e-47f2-bb5f-7b7528148be4"]},{"id":"ITEM-3","itemData":{"DOI":"10.2478/aoas-2023-0001","ISSN":"23008733","abstract":"Probiotics are live microorganisms that can improve the host's health when given in sufficient doses. Due to growing consumer demand for poultry raised without antibiotics supplementation, the usage of probiotics has been rising gradually over time in poultry. This review aimed to summarize the impacts of probiotics on poultry's nutrient utilization, growth and carcass parameters, gut morphology, laying performance, biochemical parameters, immunity, and gut microbiota. The results revealed that probiotics enhanced the growth performance via improving digestion of protein, lipids, and carbohydrates, improving feed conversion ratio (FCR), increasing carcass and organs weights, improved liver and kidney function parameters, antioxidant effects, decreased serum lipids and cholesterol, improved poultry immunity via improving gut health and synthesis of antimicrobial peptides and prevention of microbial colonization, improved laying performance, fertility, hatchability and eggshell thickness. Therefore, probiotics have various benefits in poultry production compared to banned antibiotics. However, they are not always guaranteed to be growth promoters due to poorly understood modes of action, including their interaction with the host. So, further studies concerning their impacts on meat quality and histopathological changes are still required.","author":[{"dropping-particle":"","family":"Al-Otaibi","given":"Aljohara M.","non-dropping-particle":"","parse-names":false,"suffix":""},{"dropping-particle":"","family":"Abd El-Hack","given":"Mohamed E.","non-dropping-particle":"","parse-names":false,"suffix":""},{"dropping-particle":"","family":"Dmour","given":"Saif M.","non-dropping-particle":"","parse-names":false,"suffix":""},{"dropping-particle":"","family":"Alsowayeh","given":"Noorah","non-dropping-particle":"","parse-names":false,"suffix":""},{"dropping-particle":"","family":"Khafaga","given":"Asmaa F.","non-dropping-particle":"","parse-names":false,"suffix":""},{"dropping-particle":"","family":"Ashour","given":"Elwy A.","non-dropping-particle":"","parse-names":false,"suffix":""},{"dropping-particle":"","family":"Nour-Eldeen","given":"Mohamed A.","non-dropping-particle":"","parse-names":false,"suffix":""},{"dropping-particle":"","family":"Świątkiewicz","given":"Sylwester","non-dropping-particle":"","parse-names":false,"suffix":""}],"container-title":"Annals of Animal Science","id":"ITEM-3","issue":"2","issued":{"date-parts":[["2023"]]},"page":"405-418","title":"A narrative review on the beneficial impacts of probiotics on poultry: an updated knowledge","type":"article-journal","volume":"23"},"uris":["http://www.mendeley.com/documents/?uuid=85f96c26-34c9-40ba-aa82-1432edd0752e"]},{"id":"ITEM-4","itemData":{"DOI":"10.3390/fermentation8120672","ISSN":"23115637","abstract":"Antibiotics have been used to maintain the overall health of poultry by increasing production efficiency, promoting growth, and improving intestinal function for more than 50 years. However, they have a number of side effects, such as antibiotic resistance, gut dysbiosis, destruction of beneficial bacteria, and the potential to spread diseases to humans. In order to address the aforementioned issues, a lot of effort is put into the development of antibiotic alternatives. One of them is the use of probiotics that can be added to the feed in order to increase poultry performance and avoid the aforementioned problems. Probiotics are live microorganisms consumed as feed additives or supplements. They function in the poultry gastrointestinal tract to benefit the host. Probiotics improve growth performance, bone health, meat and eggshell quality. The addition of probiotics to the diet also positively affects the immune response, intestinal microflora, and disease resistance. Careful selection of probiotic strains is of utmost importance. This review focuses on the significance of probiotics as a potential antibiotic-free alternative and the way in which they can be used as supplements in poultry feed for boosting production and safeguarding health.","author":[{"dropping-particle":"","family":"Ahmad","given":"Rafiq","non-dropping-particle":"","parse-names":false,"suffix":""},{"dropping-particle":"","family":"Yu","given":"Yu Hsiang","non-dropping-particle":"","parse-names":false,"suffix":""},{"dropping-particle":"","family":"Hsiao","given":"Felix Shih Hsiang","non-dropping-particle":"","parse-names":false,"suffix":""},{"dropping-particle":"","family":"Dybus","given":"Andrzej","non-dropping-particle":"","parse-names":false,"suffix":""},{"dropping-particle":"","family":"Ali","given":"Ilyas","non-dropping-particle":"","parse-names":false,"suffix":""},{"dropping-particle":"","family":"Hsu","given":"Hui Chen","non-dropping-particle":"","parse-names":false,"suffix":""},{"dropping-particle":"","family":"Cheng","given":"Yeong Hsiang","non-dropping-particle":"","parse-names":false,"suffix":""}],"container-title":"Fermentation","id":"ITEM-4","issue":"12","issued":{"date-parts":[["2022"]]},"title":"Probiotics as a friendly antibiotic alternative: assessment of their effects on the health and productive performance of poultry","type":"article-journal","volume":"8"},"uris":["http://www.mendeley.com/documents/?uuid=e0000dea-3068-46bf-873c-de744a6634b7"]}],"mendeley":{"formattedCitation":"(Ahmad et al., 2022; Al-Otaibi et al., 2023; Fefana, 2005; Kusmiyati et al., 2025)","manualFormatting":"(Ahmad et al., 2022; Al-Otaibi et al., 2023; Kusmiyati et al., 2025)","plainTextFormattedCitation":"(Ahmad et al., 2022; Al-Otaibi et al., 2023; Fefana, 2005; Kusmiyati et al., 2025)","previouslyFormattedCitation":"(Ahmad et al., 2022; Al-Otaibi et al., 2023; Fefana, 2005; Kusmiyati et al., 2025)"},"properties":{"noteIndex":0},"schema":"https://github.com/citation-style-language/schema/raw/master/csl-citation.json"}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(Ahmad et al., 2022; Al-Otaibi et al., 2023; Kusmiyati et al., 2025)</w:t>
      </w:r>
      <w:r w:rsidRPr="006C41D8">
        <w:rPr>
          <w:rFonts w:ascii="Arial" w:hAnsi="Arial" w:cs="Arial"/>
        </w:rPr>
        <w:fldChar w:fldCharType="end"/>
      </w:r>
      <w:r w:rsidRPr="006C41D8">
        <w:rPr>
          <w:rFonts w:ascii="Arial" w:hAnsi="Arial" w:cs="Arial"/>
        </w:rPr>
        <w:t xml:space="preserve">. </w:t>
      </w:r>
    </w:p>
    <w:p w14:paraId="0568475B" w14:textId="77777777" w:rsidR="00B01FCD" w:rsidRPr="006C41D8" w:rsidRDefault="00510A69" w:rsidP="00510A69">
      <w:pPr>
        <w:pStyle w:val="Body"/>
        <w:spacing w:after="0"/>
        <w:rPr>
          <w:rFonts w:ascii="Arial" w:hAnsi="Arial" w:cs="Arial"/>
        </w:rPr>
      </w:pPr>
      <w:r w:rsidRPr="006C41D8">
        <w:rPr>
          <w:rFonts w:ascii="Arial" w:hAnsi="Arial" w:cs="Arial"/>
        </w:rPr>
        <w:t>This article aims to identify and analyze the specific benefits of probiotics in poultry, with a focus on their mechanism of action, impact on digestive tract health, enhancement of the immune system, and productivity improvement.</w:t>
      </w:r>
    </w:p>
    <w:p w14:paraId="0C862775" w14:textId="77777777" w:rsidR="00790ADA" w:rsidRPr="006C41D8" w:rsidRDefault="00790ADA" w:rsidP="00441B6F">
      <w:pPr>
        <w:pStyle w:val="Body"/>
        <w:spacing w:after="0"/>
        <w:rPr>
          <w:rFonts w:ascii="Arial" w:hAnsi="Arial" w:cs="Arial"/>
        </w:rPr>
      </w:pPr>
    </w:p>
    <w:p w14:paraId="11A46C3A" w14:textId="77777777" w:rsidR="007F7B32" w:rsidRPr="006C41D8" w:rsidRDefault="00902823" w:rsidP="00441B6F">
      <w:pPr>
        <w:pStyle w:val="AbstHead"/>
        <w:spacing w:after="0"/>
        <w:jc w:val="both"/>
        <w:rPr>
          <w:rFonts w:ascii="Arial" w:hAnsi="Arial" w:cs="Arial"/>
        </w:rPr>
      </w:pPr>
      <w:r w:rsidRPr="006C41D8">
        <w:rPr>
          <w:rFonts w:ascii="Arial" w:hAnsi="Arial" w:cs="Arial"/>
        </w:rPr>
        <w:t xml:space="preserve">2. </w:t>
      </w:r>
      <w:r w:rsidR="00510A69" w:rsidRPr="006C41D8">
        <w:rPr>
          <w:rFonts w:ascii="Arial" w:hAnsi="Arial" w:cs="Arial"/>
        </w:rPr>
        <w:t>Research methods</w:t>
      </w:r>
    </w:p>
    <w:p w14:paraId="6BD8B3CD" w14:textId="77777777" w:rsidR="00790ADA" w:rsidRPr="006C41D8" w:rsidRDefault="00790ADA" w:rsidP="00441B6F">
      <w:pPr>
        <w:pStyle w:val="AbstHead"/>
        <w:spacing w:after="0"/>
        <w:jc w:val="both"/>
        <w:rPr>
          <w:rFonts w:ascii="Arial" w:hAnsi="Arial" w:cs="Arial"/>
        </w:rPr>
      </w:pPr>
    </w:p>
    <w:p w14:paraId="7376AB4B" w14:textId="77777777" w:rsidR="00790ADA" w:rsidRPr="006C41D8" w:rsidRDefault="00510A69" w:rsidP="00510A69">
      <w:pPr>
        <w:pStyle w:val="Body"/>
        <w:spacing w:after="0"/>
        <w:rPr>
          <w:rFonts w:ascii="Arial" w:hAnsi="Arial" w:cs="Arial"/>
        </w:rPr>
      </w:pPr>
      <w:r w:rsidRPr="006C41D8">
        <w:rPr>
          <w:rFonts w:ascii="Arial" w:hAnsi="Arial" w:cs="Arial"/>
        </w:rPr>
        <w:t>The research method used was a literature review, which summarizes the research data and reviews and analyzes data from several previous studies. The data used to support the conclusion were relevant journals published within the last 15 years, as listed in the Google database. Results were obtained using the words probiotics, probiotic modes, and poultry.</w:t>
      </w:r>
    </w:p>
    <w:p w14:paraId="2A9644C6" w14:textId="77777777" w:rsidR="00510A69" w:rsidRPr="006C41D8" w:rsidRDefault="00510A69" w:rsidP="00510A69">
      <w:pPr>
        <w:pStyle w:val="Body"/>
        <w:spacing w:after="0"/>
        <w:rPr>
          <w:rFonts w:ascii="Arial" w:hAnsi="Arial" w:cs="Arial"/>
        </w:rPr>
      </w:pPr>
    </w:p>
    <w:p w14:paraId="61D92264" w14:textId="77777777" w:rsidR="00902823" w:rsidRPr="006C41D8" w:rsidRDefault="00000F8F" w:rsidP="00441B6F">
      <w:pPr>
        <w:pStyle w:val="Head1"/>
        <w:spacing w:after="0"/>
        <w:jc w:val="both"/>
        <w:rPr>
          <w:rFonts w:ascii="Arial" w:hAnsi="Arial" w:cs="Arial"/>
        </w:rPr>
      </w:pPr>
      <w:r w:rsidRPr="006C41D8">
        <w:rPr>
          <w:rFonts w:ascii="Arial" w:hAnsi="Arial" w:cs="Arial"/>
        </w:rPr>
        <w:t>3</w:t>
      </w:r>
      <w:r w:rsidR="00902823" w:rsidRPr="006C41D8">
        <w:rPr>
          <w:rFonts w:ascii="Arial" w:hAnsi="Arial" w:cs="Arial"/>
        </w:rPr>
        <w:t xml:space="preserve">. </w:t>
      </w:r>
      <w:r w:rsidRPr="006C41D8">
        <w:rPr>
          <w:rFonts w:ascii="Arial" w:hAnsi="Arial" w:cs="Arial"/>
        </w:rPr>
        <w:t>results and discussion</w:t>
      </w:r>
    </w:p>
    <w:p w14:paraId="62093496" w14:textId="77777777" w:rsidR="00790ADA" w:rsidRPr="006C41D8" w:rsidRDefault="00790ADA" w:rsidP="00441B6F">
      <w:pPr>
        <w:pStyle w:val="Head1"/>
        <w:spacing w:after="0"/>
        <w:jc w:val="both"/>
        <w:rPr>
          <w:rFonts w:ascii="Arial" w:hAnsi="Arial" w:cs="Arial"/>
        </w:rPr>
      </w:pPr>
    </w:p>
    <w:p w14:paraId="16334BAA" w14:textId="77777777" w:rsidR="00510A69" w:rsidRPr="006C41D8" w:rsidRDefault="00510A69" w:rsidP="00510A69">
      <w:pPr>
        <w:pStyle w:val="Body"/>
        <w:rPr>
          <w:rFonts w:ascii="Arial" w:hAnsi="Arial" w:cs="Arial"/>
        </w:rPr>
      </w:pPr>
      <w:r w:rsidRPr="006C41D8">
        <w:rPr>
          <w:rFonts w:ascii="Arial" w:hAnsi="Arial" w:cs="Arial"/>
        </w:rPr>
        <w:t>The mechanisms through which probiotics exert their effects in avian species include: (i) preservation of homeostatic intestinal microflora through mechanisms of competitive exclusion and antagonistic interactions; (ii) modification of metabolic processes by enhancing the activity of digestive enzymes while concurrently reducing the activity of bacterial enzymes; (iii) augmentation of feed consumption and digestive efficiency; and (iv) activation of the immune system. The results of this study on the use of several probiotics are shown in Table 1.</w:t>
      </w:r>
    </w:p>
    <w:p w14:paraId="48EA852F" w14:textId="77777777" w:rsidR="00510A69" w:rsidRPr="006C41D8" w:rsidRDefault="00510A69" w:rsidP="00510A69">
      <w:pPr>
        <w:pStyle w:val="Body"/>
        <w:rPr>
          <w:rFonts w:ascii="Arial" w:hAnsi="Arial" w:cs="Arial"/>
        </w:rPr>
      </w:pPr>
      <w:r w:rsidRPr="006C41D8">
        <w:rPr>
          <w:rFonts w:ascii="Arial" w:hAnsi="Arial" w:cs="Arial"/>
        </w:rPr>
        <w:t xml:space="preserve">Table 1. </w:t>
      </w:r>
      <w:commentRangeStart w:id="0"/>
      <w:r w:rsidRPr="006C41D8">
        <w:rPr>
          <w:rFonts w:ascii="Arial" w:hAnsi="Arial" w:cs="Arial"/>
        </w:rPr>
        <w:t xml:space="preserve">Comparison of the effects </w:t>
      </w:r>
      <w:commentRangeEnd w:id="0"/>
      <w:r w:rsidR="00A5693D">
        <w:rPr>
          <w:rStyle w:val="CommentReference"/>
          <w:rFonts w:ascii="Times New Roman" w:hAnsi="Times New Roman"/>
          <w:lang w:val="nb-NO" w:eastAsia="nb-NO"/>
        </w:rPr>
        <w:commentReference w:id="0"/>
      </w:r>
      <w:r w:rsidRPr="006C41D8">
        <w:rPr>
          <w:rFonts w:ascii="Arial" w:hAnsi="Arial" w:cs="Arial"/>
        </w:rPr>
        <w:t>of various probiotics on poultry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2010"/>
        <w:gridCol w:w="2551"/>
        <w:gridCol w:w="1993"/>
      </w:tblGrid>
      <w:tr w:rsidR="00510A69" w:rsidRPr="006C41D8" w14:paraId="7FAB4065" w14:textId="77777777" w:rsidTr="001D14FB">
        <w:tc>
          <w:tcPr>
            <w:tcW w:w="1784" w:type="dxa"/>
            <w:tcBorders>
              <w:top w:val="single" w:sz="4" w:space="0" w:color="auto"/>
              <w:bottom w:val="single" w:sz="4" w:space="0" w:color="auto"/>
            </w:tcBorders>
          </w:tcPr>
          <w:p w14:paraId="68044067" w14:textId="77777777" w:rsidR="00510A69" w:rsidRPr="006C41D8" w:rsidRDefault="00510A69" w:rsidP="00510A69">
            <w:pPr>
              <w:pStyle w:val="Body"/>
              <w:spacing w:after="0" w:line="360" w:lineRule="auto"/>
              <w:rPr>
                <w:rFonts w:ascii="Arial" w:hAnsi="Arial" w:cs="Arial"/>
                <w:b/>
                <w:sz w:val="18"/>
                <w:szCs w:val="18"/>
              </w:rPr>
            </w:pPr>
            <w:r w:rsidRPr="006C41D8">
              <w:rPr>
                <w:rFonts w:ascii="Arial" w:hAnsi="Arial" w:cs="Arial"/>
                <w:b/>
                <w:sz w:val="18"/>
                <w:szCs w:val="18"/>
              </w:rPr>
              <w:t xml:space="preserve">Research Aspect </w:t>
            </w:r>
          </w:p>
        </w:tc>
        <w:tc>
          <w:tcPr>
            <w:tcW w:w="2010" w:type="dxa"/>
            <w:tcBorders>
              <w:top w:val="single" w:sz="4" w:space="0" w:color="auto"/>
              <w:bottom w:val="single" w:sz="4" w:space="0" w:color="auto"/>
            </w:tcBorders>
          </w:tcPr>
          <w:p w14:paraId="06279194" w14:textId="77777777" w:rsidR="00510A69" w:rsidRPr="006C41D8" w:rsidRDefault="00510A69" w:rsidP="00510A69">
            <w:pPr>
              <w:pStyle w:val="Body"/>
              <w:spacing w:after="0" w:line="360" w:lineRule="auto"/>
              <w:rPr>
                <w:rFonts w:ascii="Arial" w:hAnsi="Arial" w:cs="Arial"/>
                <w:b/>
                <w:sz w:val="18"/>
                <w:szCs w:val="18"/>
              </w:rPr>
            </w:pPr>
            <w:r w:rsidRPr="006C41D8">
              <w:rPr>
                <w:rFonts w:ascii="Arial" w:hAnsi="Arial" w:cs="Arial"/>
                <w:b/>
                <w:sz w:val="18"/>
                <w:szCs w:val="18"/>
              </w:rPr>
              <w:t>Probiotic</w:t>
            </w:r>
          </w:p>
        </w:tc>
        <w:tc>
          <w:tcPr>
            <w:tcW w:w="2551" w:type="dxa"/>
            <w:tcBorders>
              <w:top w:val="single" w:sz="4" w:space="0" w:color="auto"/>
              <w:bottom w:val="single" w:sz="4" w:space="0" w:color="auto"/>
            </w:tcBorders>
          </w:tcPr>
          <w:p w14:paraId="37088C4B" w14:textId="77777777" w:rsidR="00510A69" w:rsidRPr="006C41D8" w:rsidRDefault="00510A69" w:rsidP="00510A69">
            <w:pPr>
              <w:pStyle w:val="Body"/>
              <w:spacing w:after="0" w:line="360" w:lineRule="auto"/>
              <w:rPr>
                <w:rFonts w:ascii="Arial" w:hAnsi="Arial" w:cs="Arial"/>
                <w:b/>
                <w:sz w:val="18"/>
                <w:szCs w:val="18"/>
              </w:rPr>
            </w:pPr>
            <w:commentRangeStart w:id="1"/>
            <w:r w:rsidRPr="006C41D8">
              <w:rPr>
                <w:rFonts w:ascii="Arial" w:hAnsi="Arial" w:cs="Arial"/>
                <w:b/>
                <w:sz w:val="18"/>
                <w:szCs w:val="18"/>
              </w:rPr>
              <w:t xml:space="preserve">Research Findings </w:t>
            </w:r>
            <w:commentRangeEnd w:id="1"/>
            <w:r w:rsidR="00E465F3">
              <w:rPr>
                <w:rStyle w:val="CommentReference"/>
                <w:rFonts w:ascii="Times New Roman" w:eastAsia="Times New Roman" w:hAnsi="Times New Roman"/>
                <w:lang w:val="nb-NO" w:eastAsia="nb-NO"/>
              </w:rPr>
              <w:commentReference w:id="1"/>
            </w:r>
          </w:p>
        </w:tc>
        <w:tc>
          <w:tcPr>
            <w:tcW w:w="1993" w:type="dxa"/>
            <w:tcBorders>
              <w:top w:val="single" w:sz="4" w:space="0" w:color="auto"/>
              <w:bottom w:val="single" w:sz="4" w:space="0" w:color="auto"/>
            </w:tcBorders>
          </w:tcPr>
          <w:p w14:paraId="5DFAF58E" w14:textId="77777777" w:rsidR="00510A69" w:rsidRPr="006C41D8" w:rsidRDefault="00510A69" w:rsidP="00510A69">
            <w:pPr>
              <w:pStyle w:val="Body"/>
              <w:spacing w:after="0" w:line="360" w:lineRule="auto"/>
              <w:rPr>
                <w:rFonts w:ascii="Arial" w:hAnsi="Arial" w:cs="Arial"/>
                <w:b/>
                <w:sz w:val="18"/>
                <w:szCs w:val="18"/>
              </w:rPr>
            </w:pPr>
            <w:r w:rsidRPr="006C41D8">
              <w:rPr>
                <w:rFonts w:ascii="Arial" w:hAnsi="Arial" w:cs="Arial"/>
                <w:b/>
                <w:sz w:val="18"/>
                <w:szCs w:val="18"/>
              </w:rPr>
              <w:t>References</w:t>
            </w:r>
          </w:p>
        </w:tc>
      </w:tr>
      <w:tr w:rsidR="00510A69" w:rsidRPr="006C41D8" w14:paraId="4BD0E169" w14:textId="77777777" w:rsidTr="001D14FB">
        <w:trPr>
          <w:trHeight w:val="1046"/>
        </w:trPr>
        <w:tc>
          <w:tcPr>
            <w:tcW w:w="1784" w:type="dxa"/>
            <w:vMerge w:val="restart"/>
            <w:tcBorders>
              <w:top w:val="single" w:sz="4" w:space="0" w:color="auto"/>
              <w:left w:val="nil"/>
              <w:bottom w:val="nil"/>
              <w:right w:val="nil"/>
            </w:tcBorders>
          </w:tcPr>
          <w:p w14:paraId="67D24D89"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Body Weight and Performance</w:t>
            </w:r>
          </w:p>
        </w:tc>
        <w:tc>
          <w:tcPr>
            <w:tcW w:w="2010" w:type="dxa"/>
            <w:tcBorders>
              <w:top w:val="single" w:sz="4" w:space="0" w:color="auto"/>
              <w:left w:val="nil"/>
              <w:bottom w:val="nil"/>
              <w:right w:val="nil"/>
            </w:tcBorders>
          </w:tcPr>
          <w:p w14:paraId="09F581E0"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Saccharomyces cerevisiae</w:t>
            </w:r>
          </w:p>
        </w:tc>
        <w:tc>
          <w:tcPr>
            <w:tcW w:w="2551" w:type="dxa"/>
            <w:tcBorders>
              <w:top w:val="single" w:sz="4" w:space="0" w:color="auto"/>
              <w:left w:val="nil"/>
              <w:bottom w:val="nil"/>
              <w:right w:val="nil"/>
            </w:tcBorders>
          </w:tcPr>
          <w:p w14:paraId="2A842094"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Increase live weight by 5% at 28 days of age, 12% at 35 days of age, and 14% at 42 days of age, thereby reducing total FCR by 5%</w:t>
            </w:r>
          </w:p>
          <w:p w14:paraId="29E29C11" w14:textId="77777777" w:rsidR="001D14FB" w:rsidRPr="006C41D8" w:rsidRDefault="001D14FB" w:rsidP="00510A69">
            <w:pPr>
              <w:pStyle w:val="Body"/>
              <w:spacing w:after="0"/>
              <w:jc w:val="left"/>
              <w:rPr>
                <w:rFonts w:ascii="Arial" w:hAnsi="Arial" w:cs="Arial"/>
                <w:sz w:val="18"/>
                <w:szCs w:val="18"/>
              </w:rPr>
            </w:pPr>
          </w:p>
        </w:tc>
        <w:tc>
          <w:tcPr>
            <w:tcW w:w="1993" w:type="dxa"/>
            <w:tcBorders>
              <w:top w:val="single" w:sz="4" w:space="0" w:color="auto"/>
              <w:left w:val="nil"/>
              <w:bottom w:val="nil"/>
              <w:right w:val="nil"/>
            </w:tcBorders>
          </w:tcPr>
          <w:p w14:paraId="758A0AE5"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{"citationItems":[{"id":"ITEM-1","itemData":{"DOI":"10.15421/10.15421/022352","ISSN":"25202588","abstract":"Currently, high productivity parameters in poultry farming are achievable only by maximum fulfillment of the poultry’s biological needs, because only healthy and highly productive birds can be the basis of the sphere’s profitability. All this is closely associated with the usage of feed additives of natural origin and effective methods of poultry farming, which provide high productivity and natural resistance of a bird’s body. In the experiment, we examined the effects of a probiotic feed additive on the productivity and slaughter parameters of the broiler chickens. Intake of the feed supplement by the experimental-group broiler chickens increased their live weight by 5% at the age of 28 days, 12% at the age of 35 days, and by 14% at the age of 42 days, compared with the control group. Using the tested probiotic feed supplement in the diet increased the mean daily (by 15.9%) and absolute increments (by 14.4% compared with the control group). Intake of the probiotic feed supplement by broiler chickens of the experimental group increased their pre-slaughter live weight by 14.2%, weight of non-processed carcasses by 15.5%, semi-processed carcass by 15.7% and processed carcass by 15.3%, compared with the parameters of the control group. In broilers of the experimental group, there were increases in the general weight of muscles (10.3%), namely the breast muscles (11.8%), muscles of thighs and lower legs (9.8%), and weight of the gizzard (by 6.5%), compared with the control group. Intake of the probiotic supplement by the experimental-group broiler chickens resulted in increases in width of the proventriculus (28.5%), length of the gizzard (16.3%) and width of the gizzard (29.7%), compared with the control group of animals. The probiotic feed supplement increased the length of the duodenum (by 7.6%) and the jejunum (by 4.5%) in the experimental-group broiler chickens, against the control. Therefore, feed supplements based on cheap culture Saccharomyces cerevisiae are promising, because they are able to enhance the effectiveness of poultry farming at relatively small costs.","author":[{"dropping-particle":"","family":"Poberezhets","given":"J. M.","non-dropping-particle":"","parse-names":false,"suffix":""},{"dropping-particle":"","family":"Yaropud","given":"V. M.","non-dropping-particle":"","parse-names":false,"suffix":""},{"dropping-particle":"","family":"Kupchuk","given":"I. M.","non-dropping-particle":"","parse-names":false,"suffix":""},{"dropping-particle":"V.","family":"Kolechko","given":"A.","non-dropping-particle":"","parse-names":false,"suffix":""},{"dropping-particle":"","family":"Rutkevych","given":"V. S.","non-dropping-particle":"","parse-names":false,"suffix":""},{"dropping-particle":"","family":"Hraniak","given":"V. F.","non-dropping-particle":"","parse-names":false,"suffix":""},{"dropping-particle":"","family":"Burlaka","given":"S. A.","non-dropping-particle":"","parse-names":false,"suffix":""},{"dropping-particle":"V.","family":"Voitsitskyi","given":"O.","non-dropping-particle":"","parse-names":false,"suffix":""}],"container-title":"Regulatory Mechanisms in Biosystems","id":"ITEM-1","issue":"3","issued":{"date-parts":[["2023"]]},"page":"354-357","title":"Efficiency of a food supplement containing Saccharomyces cerevisiae culture in the diet of broiler chickens","type":"article-journal","volume":"14"},"uris":["http://www.mendeley.com/documents/?uuid=4e862cee-6190-49de-a48a-ab186198d64e"]}],"mendeley":{"formattedCitation":"(Poberezhets et al., 2023)","manualFormatting":"Poberezhets et al. (2023","plainTextFormattedCitation":"(Poberezhets et al., 2023)","previouslyFormattedCitation":"(Poberezhets et al., 2023)"},"properties":{"noteIndex":0},"schema":"https://github.com/citation-style-language/schema/raw/master/csl-citation.json"}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Poberezhets et al. </w:t>
            </w:r>
            <w:r w:rsidR="00421D6D" w:rsidRPr="006C41D8">
              <w:rPr>
                <w:rFonts w:ascii="Arial" w:hAnsi="Arial" w:cs="Arial"/>
                <w:noProof/>
                <w:sz w:val="18"/>
                <w:szCs w:val="18"/>
              </w:rPr>
              <w:t>(</w:t>
            </w:r>
            <w:r w:rsidRPr="006C41D8">
              <w:rPr>
                <w:rFonts w:ascii="Arial" w:hAnsi="Arial" w:cs="Arial"/>
                <w:noProof/>
                <w:sz w:val="18"/>
                <w:szCs w:val="18"/>
              </w:rPr>
              <w:t>2023</w:t>
            </w:r>
            <w:r w:rsidRPr="006C41D8">
              <w:rPr>
                <w:rFonts w:ascii="Arial" w:hAnsi="Arial" w:cs="Arial"/>
                <w:sz w:val="18"/>
                <w:szCs w:val="18"/>
              </w:rPr>
              <w:fldChar w:fldCharType="end"/>
            </w:r>
            <w:r w:rsidR="00421D6D" w:rsidRPr="006C41D8">
              <w:rPr>
                <w:rFonts w:ascii="Arial" w:hAnsi="Arial" w:cs="Arial"/>
                <w:sz w:val="18"/>
                <w:szCs w:val="18"/>
              </w:rPr>
              <w:t>)</w:t>
            </w:r>
            <w:r w:rsidRPr="006C41D8">
              <w:rPr>
                <w:rFonts w:ascii="Arial" w:hAnsi="Arial" w:cs="Arial"/>
                <w:sz w:val="18"/>
                <w:szCs w:val="18"/>
              </w:rPr>
              <w:t xml:space="preserve"> </w:t>
            </w:r>
          </w:p>
        </w:tc>
      </w:tr>
      <w:tr w:rsidR="00510A69" w:rsidRPr="006C41D8" w14:paraId="2D67FB06" w14:textId="77777777" w:rsidTr="001D14FB">
        <w:tc>
          <w:tcPr>
            <w:tcW w:w="1784" w:type="dxa"/>
            <w:vMerge/>
            <w:tcBorders>
              <w:top w:val="nil"/>
              <w:left w:val="nil"/>
              <w:bottom w:val="nil"/>
              <w:right w:val="nil"/>
            </w:tcBorders>
          </w:tcPr>
          <w:p w14:paraId="27645A7A" w14:textId="77777777" w:rsidR="00510A69" w:rsidRPr="006C41D8" w:rsidRDefault="00510A69" w:rsidP="00510A69">
            <w:pPr>
              <w:pStyle w:val="Body"/>
              <w:spacing w:after="0"/>
              <w:jc w:val="left"/>
              <w:rPr>
                <w:rFonts w:ascii="Arial" w:hAnsi="Arial" w:cs="Arial"/>
                <w:sz w:val="18"/>
                <w:szCs w:val="18"/>
              </w:rPr>
            </w:pPr>
          </w:p>
        </w:tc>
        <w:tc>
          <w:tcPr>
            <w:tcW w:w="2010" w:type="dxa"/>
            <w:tcBorders>
              <w:top w:val="nil"/>
              <w:left w:val="nil"/>
              <w:bottom w:val="nil"/>
              <w:right w:val="nil"/>
            </w:tcBorders>
          </w:tcPr>
          <w:p w14:paraId="4FEFD249"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Bacillus subtilis</w:t>
            </w:r>
          </w:p>
        </w:tc>
        <w:tc>
          <w:tcPr>
            <w:tcW w:w="2551" w:type="dxa"/>
            <w:tcBorders>
              <w:top w:val="nil"/>
              <w:left w:val="nil"/>
              <w:bottom w:val="nil"/>
              <w:right w:val="nil"/>
            </w:tcBorders>
          </w:tcPr>
          <w:p w14:paraId="3E631DCD"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increases live weight gain by 4.16% to 10.76%</w:t>
            </w:r>
          </w:p>
          <w:p w14:paraId="7B7B0ECC" w14:textId="77777777" w:rsidR="00510A69" w:rsidRPr="006C41D8" w:rsidRDefault="00510A69" w:rsidP="00510A69">
            <w:pPr>
              <w:pStyle w:val="Body"/>
              <w:spacing w:after="0"/>
              <w:jc w:val="left"/>
              <w:rPr>
                <w:rFonts w:ascii="Arial" w:hAnsi="Arial" w:cs="Arial"/>
                <w:sz w:val="18"/>
                <w:szCs w:val="18"/>
              </w:rPr>
            </w:pPr>
          </w:p>
        </w:tc>
        <w:tc>
          <w:tcPr>
            <w:tcW w:w="1993" w:type="dxa"/>
            <w:tcBorders>
              <w:top w:val="nil"/>
              <w:left w:val="nil"/>
              <w:bottom w:val="nil"/>
              <w:right w:val="nil"/>
            </w:tcBorders>
          </w:tcPr>
          <w:p w14:paraId="3AF39355"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D0560D" w:rsidRPr="006C41D8">
              <w:rPr>
                <w:rFonts w:ascii="Arial" w:hAnsi="Arial" w:cs="Arial"/>
                <w:sz w:val="18"/>
                <w:szCs w:val="18"/>
              </w:rPr>
              <w:instrText>ADDIN CSL_CITATION {"citationItems":[{"id":"ITEM-1","itemData":{"DOI":"10.1051/e3sconf/202022202054","ISSN":"22671242","abstract":"In this paper, the probiotic properties of Bacillus subtilis GM2 and GM5 strains were studied. It is shown that the use of probiotic additives based on the spores of these bacteria leads to an increase in the live weight gain of broiler chickens by 4.16% and 10.76% relative to the control. Metagenomic analysis showed that representatives of the phylum Firmicutes (54.55%) and Bacteroidetes (30.45%), mainly represented by the families Ruminococcacea and Bacteroidaceae, predominate in the caecal microbiota of broiler chickens on day 42. It was found that a probiotic based on the B. subtilis GM5 strain leads to an increase in the proportion of Firmicutes in caecum by 27% and a decrease in Bacteroidetes by 19%. There was also a significant decrease in the number of representatives of opportunistic pathogenic bacteria of the Enterobacteriaceae family relative to the control group.","author":[{"dropping-particle":"","family":"Mardanova","given":"Ayslu","non-dropping-particle":"","parse-names":false,"suffix":""},{"dropping-particle":"","family":"Nikolaeva","given":"Anastasia","non-dropping-particle":"","parse-names":false,"suffix":""},{"dropping-particle":"","family":"Lutfullina","given":"Guzel","non-dropping-particle":"","parse-names":false,"suffix":""},{"dropping-particle":"","family":"Ganeeva","given":"Aygul","non-dropping-particle":"","parse-names":false,"suffix":""},{"dropping-particle":"","family":"Sharipova","given":"Margarita","non-dropping-particle":"","parse-names":false,"suffix":""}],"container-title":"E3S Web of Conferences","id":"ITEM-1","issued":{"date-parts":[["2020"]]},"title":"Effect of probiotic strains of Bacillus subtilis on the growth parameters of broiler chickens and caecal microbiota","type":"article-journal","volume":"222"},"uris":["http://www.mendeley.com/documents/?uuid=e4a49951-2e29-4e27-ad69-9bcd6fb9d830"]}],"mendeley":{"formattedCitation":"(Mardanova et al., 2020)","manualFormatting":"Mardanova et al., 2020","plainTextFormattedCitation":"(Mardanova et al., 2020)","previouslyFormattedCitation":"(Mardanova et al., 2020)"},"properties":{"noteIndex":0},"schema":"https://github.com/citation-style-language/schema/raw/master/csl-citation.json"}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Mardanova et al. </w:t>
            </w:r>
            <w:r w:rsidR="00421D6D" w:rsidRPr="006C41D8">
              <w:rPr>
                <w:rFonts w:ascii="Arial" w:hAnsi="Arial" w:cs="Arial"/>
                <w:noProof/>
                <w:sz w:val="18"/>
                <w:szCs w:val="18"/>
              </w:rPr>
              <w:t>(</w:t>
            </w:r>
            <w:r w:rsidRPr="006C41D8">
              <w:rPr>
                <w:rFonts w:ascii="Arial" w:hAnsi="Arial" w:cs="Arial"/>
                <w:noProof/>
                <w:sz w:val="18"/>
                <w:szCs w:val="18"/>
              </w:rPr>
              <w:t>2020</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26F91834" w14:textId="77777777" w:rsidTr="001D14FB">
        <w:tc>
          <w:tcPr>
            <w:tcW w:w="1784" w:type="dxa"/>
            <w:vMerge/>
            <w:tcBorders>
              <w:top w:val="nil"/>
              <w:left w:val="nil"/>
              <w:bottom w:val="nil"/>
              <w:right w:val="nil"/>
            </w:tcBorders>
          </w:tcPr>
          <w:p w14:paraId="0915D22D" w14:textId="77777777" w:rsidR="00510A69" w:rsidRPr="006C41D8" w:rsidRDefault="00510A69" w:rsidP="00510A69">
            <w:pPr>
              <w:pStyle w:val="Body"/>
              <w:spacing w:after="0"/>
              <w:jc w:val="left"/>
              <w:rPr>
                <w:rFonts w:ascii="Arial" w:hAnsi="Arial" w:cs="Arial"/>
                <w:sz w:val="18"/>
                <w:szCs w:val="18"/>
              </w:rPr>
            </w:pPr>
          </w:p>
        </w:tc>
        <w:tc>
          <w:tcPr>
            <w:tcW w:w="2010" w:type="dxa"/>
            <w:tcBorders>
              <w:top w:val="nil"/>
              <w:left w:val="nil"/>
              <w:bottom w:val="nil"/>
              <w:right w:val="nil"/>
            </w:tcBorders>
          </w:tcPr>
          <w:p w14:paraId="252CB648" w14:textId="77777777" w:rsidR="001D14FB"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 xml:space="preserve">Lactobacillus </w:t>
            </w:r>
            <w:proofErr w:type="spellStart"/>
            <w:r w:rsidRPr="006C41D8">
              <w:rPr>
                <w:rFonts w:ascii="Arial" w:hAnsi="Arial" w:cs="Arial"/>
                <w:i/>
                <w:sz w:val="18"/>
                <w:szCs w:val="18"/>
              </w:rPr>
              <w:t>sp</w:t>
            </w:r>
            <w:proofErr w:type="spellEnd"/>
            <w:r w:rsidRPr="006C41D8">
              <w:rPr>
                <w:rFonts w:ascii="Arial" w:hAnsi="Arial" w:cs="Arial"/>
                <w:i/>
                <w:sz w:val="18"/>
                <w:szCs w:val="18"/>
              </w:rPr>
              <w:t xml:space="preserve"> </w:t>
            </w:r>
          </w:p>
          <w:p w14:paraId="3F59A8E5"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w:t>
            </w:r>
            <w:r w:rsidRPr="006C41D8">
              <w:rPr>
                <w:rFonts w:ascii="Arial" w:hAnsi="Arial" w:cs="Arial"/>
                <w:i/>
                <w:sz w:val="18"/>
                <w:szCs w:val="18"/>
              </w:rPr>
              <w:t>L</w:t>
            </w:r>
            <w:r w:rsidR="001D14FB" w:rsidRPr="006C41D8">
              <w:rPr>
                <w:rFonts w:ascii="Arial" w:hAnsi="Arial" w:cs="Arial"/>
                <w:i/>
                <w:sz w:val="18"/>
                <w:szCs w:val="18"/>
              </w:rPr>
              <w:t>.</w:t>
            </w:r>
            <w:r w:rsidRPr="006C41D8">
              <w:rPr>
                <w:rFonts w:ascii="Arial" w:hAnsi="Arial" w:cs="Arial"/>
                <w:i/>
                <w:sz w:val="18"/>
                <w:szCs w:val="18"/>
              </w:rPr>
              <w:t xml:space="preserve"> acidophilus, L</w:t>
            </w:r>
            <w:r w:rsidR="001D14FB" w:rsidRPr="006C41D8">
              <w:rPr>
                <w:rFonts w:ascii="Arial" w:hAnsi="Arial" w:cs="Arial"/>
                <w:i/>
                <w:sz w:val="18"/>
                <w:szCs w:val="18"/>
              </w:rPr>
              <w:t>.</w:t>
            </w:r>
            <w:r w:rsidRPr="006C41D8">
              <w:rPr>
                <w:rFonts w:ascii="Arial" w:hAnsi="Arial" w:cs="Arial"/>
                <w:i/>
                <w:sz w:val="18"/>
                <w:szCs w:val="18"/>
              </w:rPr>
              <w:t xml:space="preserve"> casei, and L</w:t>
            </w:r>
            <w:r w:rsidR="001D14FB" w:rsidRPr="006C41D8">
              <w:rPr>
                <w:rFonts w:ascii="Arial" w:hAnsi="Arial" w:cs="Arial"/>
                <w:i/>
                <w:sz w:val="18"/>
                <w:szCs w:val="18"/>
              </w:rPr>
              <w:t>.</w:t>
            </w:r>
            <w:r w:rsidRPr="006C41D8">
              <w:rPr>
                <w:rFonts w:ascii="Arial" w:hAnsi="Arial" w:cs="Arial"/>
                <w:i/>
                <w:sz w:val="18"/>
                <w:szCs w:val="18"/>
              </w:rPr>
              <w:t xml:space="preserve"> </w:t>
            </w:r>
            <w:proofErr w:type="spellStart"/>
            <w:r w:rsidRPr="006C41D8">
              <w:rPr>
                <w:rFonts w:ascii="Arial" w:hAnsi="Arial" w:cs="Arial"/>
                <w:i/>
                <w:sz w:val="18"/>
                <w:szCs w:val="18"/>
              </w:rPr>
              <w:t>reuterii</w:t>
            </w:r>
            <w:proofErr w:type="spellEnd"/>
            <w:r w:rsidRPr="006C41D8">
              <w:rPr>
                <w:rFonts w:ascii="Arial" w:hAnsi="Arial" w:cs="Arial"/>
                <w:sz w:val="18"/>
                <w:szCs w:val="18"/>
              </w:rPr>
              <w:t>)</w:t>
            </w:r>
          </w:p>
          <w:p w14:paraId="6DB130A1" w14:textId="77777777" w:rsidR="00510A69" w:rsidRPr="006C41D8" w:rsidRDefault="00510A69" w:rsidP="00510A69">
            <w:pPr>
              <w:pStyle w:val="Body"/>
              <w:spacing w:after="0"/>
              <w:jc w:val="left"/>
              <w:rPr>
                <w:rFonts w:ascii="Arial" w:hAnsi="Arial" w:cs="Arial"/>
                <w:sz w:val="18"/>
                <w:szCs w:val="18"/>
              </w:rPr>
            </w:pPr>
          </w:p>
        </w:tc>
        <w:tc>
          <w:tcPr>
            <w:tcW w:w="2551" w:type="dxa"/>
            <w:tcBorders>
              <w:top w:val="nil"/>
              <w:left w:val="nil"/>
              <w:bottom w:val="nil"/>
              <w:right w:val="nil"/>
            </w:tcBorders>
          </w:tcPr>
          <w:p w14:paraId="41A38FB7"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Increases in 6.0% final body weight, 6.15 % weight gain, enhanced in 8.8% feed conversion</w:t>
            </w:r>
          </w:p>
          <w:p w14:paraId="3ACD49CE" w14:textId="77777777" w:rsidR="00510A69" w:rsidRPr="006C41D8" w:rsidRDefault="00510A69" w:rsidP="00510A69">
            <w:pPr>
              <w:pStyle w:val="Body"/>
              <w:spacing w:after="0"/>
              <w:jc w:val="left"/>
              <w:rPr>
                <w:rFonts w:ascii="Arial" w:hAnsi="Arial" w:cs="Arial"/>
                <w:sz w:val="18"/>
                <w:szCs w:val="18"/>
              </w:rPr>
            </w:pPr>
          </w:p>
        </w:tc>
        <w:tc>
          <w:tcPr>
            <w:tcW w:w="1993" w:type="dxa"/>
            <w:tcBorders>
              <w:top w:val="nil"/>
              <w:left w:val="nil"/>
              <w:bottom w:val="nil"/>
              <w:right w:val="nil"/>
            </w:tcBorders>
          </w:tcPr>
          <w:p w14:paraId="70953402"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{"citationItems":[{"id":"ITEM-1","itemData":{"author":[{"dropping-particle":"","family":"Bharathidhasan","given":"A","non-dropping-particle":"","parse-names":false,"suffix":""}],"container-title":"International Journal For Research In Agricultural And Food Science","id":"ITEM-1","issue":"2","issued":{"date-parts":[["2018"]]},"page":"12-23","title":"Influence of probiotics supplementation on performance of broilers","type":"article-journal","volume":"4"},"uris":["http://www.mendeley.com/documents/?uuid=bfc2a92c-415a-42c8-a28e-b8aa140486b2"]}],"mendeley":{"formattedCitation":"(Bharathidhasan, 2018)","manualFormatting":"Bharathidhasan (2018","plainTextFormattedCitation":"(Bharathidhasan, 2018)","previouslyFormattedCitation":"(Bharathidhasan, 2018)"},"properties":{"noteIndex":0},"schema":"https://github.com/citation-style-language/schema/raw/master/csl-citation.json"}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Bharathidhasan </w:t>
            </w:r>
            <w:r w:rsidR="00421D6D" w:rsidRPr="006C41D8">
              <w:rPr>
                <w:rFonts w:ascii="Arial" w:hAnsi="Arial" w:cs="Arial"/>
                <w:noProof/>
                <w:sz w:val="18"/>
                <w:szCs w:val="18"/>
              </w:rPr>
              <w:t>(</w:t>
            </w:r>
            <w:r w:rsidRPr="006C41D8">
              <w:rPr>
                <w:rFonts w:ascii="Arial" w:hAnsi="Arial" w:cs="Arial"/>
                <w:noProof/>
                <w:sz w:val="18"/>
                <w:szCs w:val="18"/>
              </w:rPr>
              <w:t>2018</w:t>
            </w:r>
            <w:r w:rsidRPr="006C41D8">
              <w:rPr>
                <w:rFonts w:ascii="Arial" w:hAnsi="Arial" w:cs="Arial"/>
                <w:sz w:val="18"/>
                <w:szCs w:val="18"/>
              </w:rPr>
              <w:fldChar w:fldCharType="end"/>
            </w:r>
            <w:r w:rsidR="00421D6D" w:rsidRPr="006C41D8">
              <w:rPr>
                <w:rFonts w:ascii="Arial" w:hAnsi="Arial" w:cs="Arial"/>
                <w:sz w:val="18"/>
                <w:szCs w:val="18"/>
              </w:rPr>
              <w:t>)</w:t>
            </w:r>
            <w:r w:rsidRPr="006C41D8">
              <w:rPr>
                <w:rFonts w:ascii="Arial" w:hAnsi="Arial" w:cs="Arial"/>
                <w:sz w:val="18"/>
                <w:szCs w:val="18"/>
              </w:rPr>
              <w:t xml:space="preserve"> </w:t>
            </w:r>
          </w:p>
        </w:tc>
      </w:tr>
      <w:tr w:rsidR="00510A69" w:rsidRPr="006C41D8" w14:paraId="1CE74E3E" w14:textId="77777777" w:rsidTr="001D14FB">
        <w:tc>
          <w:tcPr>
            <w:tcW w:w="1784" w:type="dxa"/>
            <w:vMerge/>
            <w:tcBorders>
              <w:top w:val="nil"/>
              <w:bottom w:val="nil"/>
            </w:tcBorders>
          </w:tcPr>
          <w:p w14:paraId="3D2256E3" w14:textId="77777777" w:rsidR="00510A69" w:rsidRPr="006C41D8" w:rsidRDefault="00510A69" w:rsidP="00510A69">
            <w:pPr>
              <w:pStyle w:val="Body"/>
              <w:spacing w:after="0"/>
              <w:jc w:val="left"/>
              <w:rPr>
                <w:rFonts w:ascii="Arial" w:hAnsi="Arial" w:cs="Arial"/>
                <w:sz w:val="18"/>
                <w:szCs w:val="18"/>
              </w:rPr>
            </w:pPr>
          </w:p>
        </w:tc>
        <w:tc>
          <w:tcPr>
            <w:tcW w:w="2010" w:type="dxa"/>
            <w:tcBorders>
              <w:top w:val="nil"/>
              <w:bottom w:val="nil"/>
            </w:tcBorders>
          </w:tcPr>
          <w:p w14:paraId="696C0DB1"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 xml:space="preserve">Clostridium </w:t>
            </w:r>
            <w:proofErr w:type="spellStart"/>
            <w:r w:rsidR="001D14FB" w:rsidRPr="006C41D8">
              <w:rPr>
                <w:rFonts w:ascii="Arial" w:hAnsi="Arial" w:cs="Arial"/>
                <w:i/>
                <w:sz w:val="18"/>
                <w:szCs w:val="18"/>
              </w:rPr>
              <w:t>b</w:t>
            </w:r>
            <w:r w:rsidRPr="006C41D8">
              <w:rPr>
                <w:rFonts w:ascii="Arial" w:hAnsi="Arial" w:cs="Arial"/>
                <w:i/>
                <w:sz w:val="18"/>
                <w:szCs w:val="18"/>
              </w:rPr>
              <w:t>utyricum</w:t>
            </w:r>
            <w:proofErr w:type="spellEnd"/>
          </w:p>
          <w:p w14:paraId="71562739" w14:textId="77777777" w:rsidR="00510A69" w:rsidRPr="006C41D8" w:rsidRDefault="00510A69" w:rsidP="00510A69">
            <w:pPr>
              <w:pStyle w:val="Body"/>
              <w:spacing w:after="0"/>
              <w:jc w:val="left"/>
              <w:rPr>
                <w:rFonts w:ascii="Arial" w:hAnsi="Arial" w:cs="Arial"/>
                <w:i/>
                <w:sz w:val="18"/>
                <w:szCs w:val="18"/>
              </w:rPr>
            </w:pPr>
          </w:p>
        </w:tc>
        <w:tc>
          <w:tcPr>
            <w:tcW w:w="2551" w:type="dxa"/>
            <w:tcBorders>
              <w:top w:val="nil"/>
              <w:bottom w:val="nil"/>
            </w:tcBorders>
          </w:tcPr>
          <w:p w14:paraId="112BB371"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Enhances live weight gain</w:t>
            </w:r>
          </w:p>
        </w:tc>
        <w:tc>
          <w:tcPr>
            <w:tcW w:w="1993" w:type="dxa"/>
            <w:tcBorders>
              <w:top w:val="nil"/>
              <w:bottom w:val="nil"/>
            </w:tcBorders>
          </w:tcPr>
          <w:p w14:paraId="548FA1BC"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{"citationItems":[{"id":"ITEM-1","itemData":{"DOI":"10.3382/ps/pev038","ISSN":"15253171","PMID":"25717087","abstract":"To investigate the effects of Clostridium butyricum on growth performance, antioxidation, and immune function of broilers, 320 one-day-old Arbor Acres commercial male chicks were assigned to one of 5 treatments with 8 replicates in a completely randomized design for 42 d. The 5 treatments were basal diet (control), basal diet supplemented with 2.5 × 108 cfu C. butyricum/kg (CB1), basal diet supplemented with 5 × 108 cfu C. butyricum/kg (CB2), basal diet supplemented with 1 × 109 cfu C. butyricum/kg (CB3), and basal diet supplemented with 150 mg aureomycin/kg (antibiotic). The results showed that all C. butyricum-supplemented groups during d 1 to 21 and the CB2 group during d 22 to 42 had higher ADG compared with the control (P &lt; 0.05). Chicks fed the CB3 diet had higher glutathione S-transferase (GST) activity (P &lt; 0.05), and chicks fed the CB2 diet had a higher glutathione (GSH) concentration in duodenal and ileal mucosa at 21 d of age than those in the control group (P &lt; 0.05). Chicks fed the CB3 diet had a lower malondialdehyde (MDA) concentration in duodenal mucosa than those in the control and CB1 groups (P &lt; 0.05). Chicks fed the CB2, CB3, and antibiotic diets had a lower MDA concentration in ileal mucosa than those in the control and CB1 groups (P &lt; 0.05). Broilers fed the CB3 diet had greater superoxide dismutase (SOD) activity in the ileal mucosa on d 21 and in jejunal mucosa on d 42 than those in the other groups (P &lt; 0.05). Chicks fed the CB2, CB3, and antibiotic diets had a higher GSH concentration in duodenal and jejunal mucosa on d 42 than those in the control group (P &lt; 0.05). Broilers fed the CB2 and CB3 diets had a lower MDA concentration in the jejunal mucosa on d 42 than those in the control and CB1 groups. Chicks fed diets supplemented with C. butyricum had a higher IgM concentration than those in the control group at 21 and 42 d of age (P &lt; 0.05). The results indicate that C. butyricum improves broilers' growth performance, antioxidation, and immune function.","author":[{"dropping-particle":"","family":"Liao","given":"X. D.","non-dropping-particle":"","parse-names":false,"suffix":""},{"dropping-particle":"","family":"Ma","given":"G.","non-dropping-particle":"","parse-names":false,"suffix":""},{"dropping-particle":"","family":"Cai","given":"J.","non-dropping-particle":"","parse-names":false,"suffix":""},{"dropping-particle":"","family":"Fu","given":"Y.","non-dropping-particle":"","parse-names":false,"suffix":""},{"dropping-particle":"","family":"Yan","given":"X. Y.","non-dropping-particle":"","parse-names":false,"suffix":""},{"dropping-particle":"","family":"Wei","given":"X. B.","non-dropping-particle":"","parse-names":false,"suffix":""},{"dropping-particle":"","family":"Zhang","given":"R. J.","non-dropping-particle":"","parse-names":false,"suffix":""}],"container-title":"Poultry Science","id":"ITEM-1","issue":"4","issued":{"date-parts":[["2014"]]},"page":"662-667","title":"Effects of Clostridium butyricum on growth performance, antioxidation, and immune function of broilers","type":"article-journal","volume":"94"},"uris":["http://www.mendeley.com/documents/?uuid=3d3d4cf0-bf6a-4e0e-aa64-606bd2cfb847"]}],"mendeley":{"formattedCitation":"(Liao et al., 2014)","manualFormatting":"Liao et al. (2014","plainTextFormattedCitation":"(Liao et al., 2014)","previouslyFormattedCitation":"(Liao et al., 2014)"},"properties":{"noteIndex":0},"schema":"https://github.com/citation-style-language/schema/raw/master/csl-citation.json"}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Liao et al. </w:t>
            </w:r>
            <w:r w:rsidR="00421D6D" w:rsidRPr="006C41D8">
              <w:rPr>
                <w:rFonts w:ascii="Arial" w:hAnsi="Arial" w:cs="Arial"/>
                <w:noProof/>
                <w:sz w:val="18"/>
                <w:szCs w:val="18"/>
              </w:rPr>
              <w:t>(</w:t>
            </w:r>
            <w:r w:rsidRPr="006C41D8">
              <w:rPr>
                <w:rFonts w:ascii="Arial" w:hAnsi="Arial" w:cs="Arial"/>
                <w:noProof/>
                <w:sz w:val="18"/>
                <w:szCs w:val="18"/>
              </w:rPr>
              <w:t>2014</w:t>
            </w:r>
            <w:r w:rsidRPr="006C41D8">
              <w:rPr>
                <w:rFonts w:ascii="Arial" w:hAnsi="Arial" w:cs="Arial"/>
                <w:sz w:val="18"/>
                <w:szCs w:val="18"/>
              </w:rPr>
              <w:fldChar w:fldCharType="end"/>
            </w:r>
            <w:r w:rsidR="00421D6D" w:rsidRPr="006C41D8">
              <w:rPr>
                <w:rFonts w:ascii="Arial" w:hAnsi="Arial" w:cs="Arial"/>
                <w:sz w:val="18"/>
                <w:szCs w:val="18"/>
              </w:rPr>
              <w:t>)</w:t>
            </w:r>
          </w:p>
          <w:p w14:paraId="253C7F2B" w14:textId="77777777" w:rsidR="00510A69" w:rsidRPr="006C41D8" w:rsidRDefault="00510A69" w:rsidP="00510A69">
            <w:pPr>
              <w:pStyle w:val="Body"/>
              <w:spacing w:after="0"/>
              <w:jc w:val="left"/>
              <w:rPr>
                <w:rFonts w:ascii="Arial" w:hAnsi="Arial" w:cs="Arial"/>
                <w:sz w:val="18"/>
                <w:szCs w:val="18"/>
              </w:rPr>
            </w:pPr>
          </w:p>
        </w:tc>
      </w:tr>
      <w:tr w:rsidR="00510A69" w:rsidRPr="006C41D8" w14:paraId="39EC3F8E" w14:textId="77777777" w:rsidTr="00510A69">
        <w:tc>
          <w:tcPr>
            <w:tcW w:w="1784" w:type="dxa"/>
            <w:vMerge/>
            <w:tcBorders>
              <w:top w:val="nil"/>
            </w:tcBorders>
          </w:tcPr>
          <w:p w14:paraId="70B16E26" w14:textId="77777777" w:rsidR="00510A69" w:rsidRPr="006C41D8" w:rsidRDefault="00510A69" w:rsidP="00510A69">
            <w:pPr>
              <w:pStyle w:val="Body"/>
              <w:spacing w:after="0"/>
              <w:jc w:val="left"/>
              <w:rPr>
                <w:rFonts w:ascii="Arial" w:hAnsi="Arial" w:cs="Arial"/>
                <w:sz w:val="18"/>
                <w:szCs w:val="18"/>
              </w:rPr>
            </w:pPr>
          </w:p>
        </w:tc>
        <w:tc>
          <w:tcPr>
            <w:tcW w:w="2010" w:type="dxa"/>
            <w:tcBorders>
              <w:top w:val="nil"/>
            </w:tcBorders>
          </w:tcPr>
          <w:p w14:paraId="61DB8889"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i/>
                <w:sz w:val="18"/>
                <w:szCs w:val="18"/>
              </w:rPr>
              <w:t>Bacillus subtilis</w:t>
            </w:r>
            <w:r w:rsidRPr="006C41D8">
              <w:rPr>
                <w:rFonts w:ascii="Arial" w:hAnsi="Arial" w:cs="Arial"/>
                <w:sz w:val="18"/>
                <w:szCs w:val="18"/>
              </w:rPr>
              <w:t xml:space="preserve"> </w:t>
            </w:r>
            <w:proofErr w:type="spellStart"/>
            <w:r w:rsidRPr="006C41D8">
              <w:rPr>
                <w:rFonts w:ascii="Arial" w:hAnsi="Arial" w:cs="Arial"/>
                <w:sz w:val="18"/>
                <w:szCs w:val="18"/>
              </w:rPr>
              <w:t>fmbJ</w:t>
            </w:r>
            <w:proofErr w:type="spellEnd"/>
          </w:p>
        </w:tc>
        <w:tc>
          <w:tcPr>
            <w:tcW w:w="2551" w:type="dxa"/>
            <w:tcBorders>
              <w:top w:val="nil"/>
            </w:tcBorders>
          </w:tcPr>
          <w:p w14:paraId="3E11DCCA"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 xml:space="preserve">improved average daily gain, average daily feed intake, and feed conversion ratio  </w:t>
            </w:r>
          </w:p>
          <w:p w14:paraId="4E50163C" w14:textId="77777777" w:rsidR="00510A69" w:rsidRPr="006C41D8" w:rsidRDefault="00510A69" w:rsidP="00510A69">
            <w:pPr>
              <w:pStyle w:val="Body"/>
              <w:spacing w:after="0"/>
              <w:jc w:val="left"/>
              <w:rPr>
                <w:rFonts w:ascii="Arial" w:hAnsi="Arial" w:cs="Arial"/>
                <w:sz w:val="18"/>
                <w:szCs w:val="18"/>
              </w:rPr>
            </w:pPr>
          </w:p>
        </w:tc>
        <w:tc>
          <w:tcPr>
            <w:tcW w:w="1993" w:type="dxa"/>
            <w:tcBorders>
              <w:top w:val="nil"/>
            </w:tcBorders>
          </w:tcPr>
          <w:p w14:paraId="7171E85E"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{"citationItems":[{"id":"ITEM-1","itemData":{"DOI":"10.3382/ps/pew246","ISSN":"15253171","PMID":"27486257","abstract":"This study aimed to investigate the supplemental effects of probiotic Bacillus subtilis fmbJ (BS fmbJ) on growth performance, antioxidant capacity, and meat quality of broiler chickens. A total of 240 day-old male Arbor Acres (AA) broiler chickens were randomly allotted to 4 treatments and raised for 6 wk. Each treatment had 6 replicate pens with ten birds per replicate. Birds in the control group (CON) were fed diets without BS fmbJ and antibiotics. The BS groups were fed the basal diets with BS fmbJ at 2 × 1010 cfu/kg (BS-1 group), BS fmbJ at 3 × 1010 cfu/kg (BS-2 group), BS fmbJ at 4 × 1010 cfu/kg (BS-3 group) without antibiotics for 42 d. In the study, dietary supplementation with BS fmbJ significantly improved (P &lt; 0.05) the average daily gain (ADG), average daily feed intake (ADFI), and feed conversion ratio (FCR) of broilers from 21 to 42 d and 1 to 42 d. At 42 d, the final body weight was increased (P &lt; 0.05) in BS-2 group compared with that in CON. Dietary BS fmbJ significantly increased (P &lt; 0.05) serum IgA and IgG concentrations of broilers after 42 days raising. The glutathione (GSH), glutathione reductase (GR), glutathione peroxidase (GSH-Px), and superoxide dismutase (SOD) activity of serum and liver were increased (P &lt; 0.05), and methane dicarboxylic aldehyde (MDA) contents in serum and liver were decreased (P &lt; 0.05) by BS fmbJ added into the broiler diets. Dietary supplementation with BS fmbJ significantly decreased (P &lt; 0.05) reactive oxygen species (ROS) contents in liver mitochondria of broilers. Additionally, the expression of antioxidant enzyme gene including nuclear factor erythroid 2-related factor 2 (Nrf2), heme oxygenase 1 (HO-1), superoxide dismutase (SOD), and glutathione peroxidase (GPx) were improved (P &lt; 0.05) by BS fmbJ added into the broiler diets. Among measuring items of chicken breast meat quality, the drip loss, cooking loss, shear force, Lz.ast;24 h, az.ast;24 h, bz.ast;45 min, and bz.ast;24 h values were influenced (P &lt; 0.05) by BS fmbJ provided in the diet. Based on these results, Bacillus subtilis fmbJ could be acted as a beneficial feed additive with antioxidant capacity in broiler diets.","author":[{"dropping-particle":"","family":"Bai","given":"Kaiwen","non-dropping-particle":"","parse-names":false,"suffix":""},{"dropping-particle":"","family":"Huang","given":"Qiang","non-dropping-particle":"","parse-names":false,"suffix":""},{"dropping-particle":"","family":"Zhang","given":"Jingfei","non-dropping-particle":"","parse-names":false,"suffix":""},{"dropping-particle":"","family":"He","given":"Jintian","non-dropping-particle":"","parse-names":false,"suffix":""},{"dropping-particle":"","family":"Zhang","given":"Lili","non-dropping-particle":"","parse-names":false,"suffix":""},{"dropping-particle":"","family":"Wang","given":"Tian","non-dropping-particle":"","parse-names":false,"suffix":""}],"container-title":"Poultry Science","id":"ITEM-1","issue":"1","issued":{"date-parts":[["2017"]]},"page":"74-82","publisher":"Poultry Science Association Inc.","title":"Supplemental effects of probiotic Bacillus subtilis fmbJ on growth performance, antioxidant capacity, and meat quality of broiler chickens","type":"article-journal","volume":"96"},"uris":["http://www.mendeley.com/documents/?uuid=019d14de-9678-4d13-aa6f-48aa1459b1e3"]}],"mendeley":{"formattedCitation":"(Bai et al., 2017)","manualFormatting":"Bai et al. (2017","plainTextFormattedCitation":"(Bai et al., 2017)","previouslyFormattedCitation":"(Bai et al., 2017)"},"properties":{"noteIndex":0},"schema":"https://github.com/citation-style-language/schema/raw/master/csl-citation.json"}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Bai et al. </w:t>
            </w:r>
            <w:r w:rsidR="00421D6D" w:rsidRPr="006C41D8">
              <w:rPr>
                <w:rFonts w:ascii="Arial" w:hAnsi="Arial" w:cs="Arial"/>
                <w:noProof/>
                <w:sz w:val="18"/>
                <w:szCs w:val="18"/>
              </w:rPr>
              <w:t>(</w:t>
            </w:r>
            <w:r w:rsidRPr="006C41D8">
              <w:rPr>
                <w:rFonts w:ascii="Arial" w:hAnsi="Arial" w:cs="Arial"/>
                <w:noProof/>
                <w:sz w:val="18"/>
                <w:szCs w:val="18"/>
              </w:rPr>
              <w:t>2017</w:t>
            </w:r>
            <w:r w:rsidRPr="006C41D8">
              <w:rPr>
                <w:rFonts w:ascii="Arial" w:hAnsi="Arial" w:cs="Arial"/>
                <w:sz w:val="18"/>
                <w:szCs w:val="18"/>
              </w:rPr>
              <w:fldChar w:fldCharType="end"/>
            </w:r>
            <w:r w:rsidR="00421D6D" w:rsidRPr="006C41D8">
              <w:rPr>
                <w:rFonts w:ascii="Arial" w:hAnsi="Arial" w:cs="Arial"/>
                <w:sz w:val="18"/>
                <w:szCs w:val="18"/>
              </w:rPr>
              <w:t>)</w:t>
            </w:r>
            <w:r w:rsidRPr="006C41D8">
              <w:rPr>
                <w:rFonts w:ascii="Arial" w:hAnsi="Arial" w:cs="Arial"/>
                <w:sz w:val="18"/>
                <w:szCs w:val="18"/>
              </w:rPr>
              <w:t xml:space="preserve"> </w:t>
            </w:r>
          </w:p>
        </w:tc>
      </w:tr>
      <w:tr w:rsidR="00510A69" w:rsidRPr="006C41D8" w14:paraId="23936199" w14:textId="77777777" w:rsidTr="00510A69">
        <w:tc>
          <w:tcPr>
            <w:tcW w:w="1784" w:type="dxa"/>
            <w:vMerge w:val="restart"/>
          </w:tcPr>
          <w:p w14:paraId="374F0985"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 xml:space="preserve">Liver Function </w:t>
            </w:r>
          </w:p>
          <w:p w14:paraId="6E2D1279" w14:textId="77777777" w:rsidR="00510A69" w:rsidRPr="006C41D8" w:rsidRDefault="00510A69" w:rsidP="00510A69">
            <w:pPr>
              <w:pStyle w:val="Body"/>
              <w:spacing w:after="0"/>
              <w:jc w:val="left"/>
              <w:rPr>
                <w:rFonts w:ascii="Arial" w:hAnsi="Arial" w:cs="Arial"/>
                <w:sz w:val="18"/>
                <w:szCs w:val="18"/>
              </w:rPr>
            </w:pPr>
          </w:p>
        </w:tc>
        <w:tc>
          <w:tcPr>
            <w:tcW w:w="2010" w:type="dxa"/>
          </w:tcPr>
          <w:p w14:paraId="522AA005"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Enterococcus faecium</w:t>
            </w:r>
          </w:p>
        </w:tc>
        <w:tc>
          <w:tcPr>
            <w:tcW w:w="2551" w:type="dxa"/>
          </w:tcPr>
          <w:p w14:paraId="4849C798"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 xml:space="preserve">Enhancing nutrient metabolism, cellular hormone metabolism, </w:t>
            </w:r>
            <w:r w:rsidRPr="006C41D8">
              <w:rPr>
                <w:rFonts w:ascii="Arial" w:hAnsi="Arial" w:cs="Arial"/>
                <w:sz w:val="18"/>
                <w:szCs w:val="18"/>
              </w:rPr>
              <w:lastRenderedPageBreak/>
              <w:t>facilitating better nutrient partitioning, and reducing inflammatory responses</w:t>
            </w:r>
          </w:p>
          <w:p w14:paraId="517ADBA6" w14:textId="77777777" w:rsidR="00510A69" w:rsidRPr="006C41D8" w:rsidRDefault="00510A69" w:rsidP="00510A69">
            <w:pPr>
              <w:pStyle w:val="Body"/>
              <w:spacing w:after="0"/>
              <w:jc w:val="left"/>
              <w:rPr>
                <w:rFonts w:ascii="Arial" w:hAnsi="Arial" w:cs="Arial"/>
                <w:sz w:val="18"/>
                <w:szCs w:val="18"/>
              </w:rPr>
            </w:pPr>
          </w:p>
        </w:tc>
        <w:tc>
          <w:tcPr>
            <w:tcW w:w="1993" w:type="dxa"/>
          </w:tcPr>
          <w:p w14:paraId="71494971"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lastRenderedPageBreak/>
              <w:fldChar w:fldCharType="begin" w:fldLock="1"/>
            </w:r>
            <w:r w:rsidR="00421D6D" w:rsidRPr="006C41D8">
              <w:rPr>
                <w:rFonts w:ascii="Arial" w:hAnsi="Arial" w:cs="Arial"/>
                <w:sz w:val="18"/>
                <w:szCs w:val="18"/>
              </w:rPr>
              <w:instrText>ADDIN CSL_CITATION {"citationItems":[{"id":"ITEM-1","itemData":{"DOI":"10.1186/s12864-016-2371-5","ISBN":"1286401623","ISSN":"14712164","PMID":"26830196","abstract":"Background: The liver plays important roles in nutrient metabolism, detoxification and immunity. Enterococcus faecium (E. faecium) is a probiotic that has been shown to have positive effects on broiler production. However, its molecular effects on liver metabolism have not been characterized. This study aims to further identify the biological roles of E. faecium by characterizing the hepatic proteomic changes of broilers (Gallus gallus) fed E. faecium using two-dimensional fluorescence difference gel electrophoresis (2-D DIGE) and mass spectrometry (MS). Results: Thirty-three proteins (50 protein spots) involved in nutrient metabolism, immunity and the antioxidant system were shown to be differentially expressed in the liver of broilers fed E. faecium than from birds not fed the probiotic. The biological processes of sulphur amino acids, vitamin and cellular hormone metabolism, sulphur compound biosynthesis and protein tetramerization were enhanced in the liver of broilers fed E. faecium. However, proteins involved in calcium ion flux, cell redox homeostasis and platelet activation related to hepatic immune responses were down-regulated in broilers fed E. faecium. These results indicate that the supplementation of poultry feed with E. faecium may alter the partitioning of nutrients and promote optimal nutrient utilization. Conclusions: This study assists in unraveling the molecular effects of the dietary probiotic, E. faecium, in the liver of broiler chickens. It shows that the probiotic improves the metabolism of nutrients and decreases inflammatory responses. Our findings extend previous knowledge of the mechanism of dietary probiotic action and provide new findings for research and future probiotic development.","author":[{"dropping-particle":"","family":"Zheng","given":"Aijuan","non-dropping-particle":"","parse-names":false,"suffix":""},{"dropping-particle":"","family":"Luo","given":"Jianjie","non-dropping-particle":"","parse-names":false,"suffix":""},{"dropping-particle":"","family":"Meng","given":"Kun","non-dropping-particle":"","parse-names":false,"suffix":""},{"dropping-particle":"","family":"Li","given":"Jianke","non-dropping-particle":"","parse-names":false,"suffix":""},{"dropping-particle":"","family":"Bryden","given":"Wayne L.","non-dropping-particle":"","parse-names":false,"suffix":""},{"dropping-particle":"","family":"Chang","given":"Wenhuan","non-dropping-particle":"","parse-names":false,"suffix":""},{"dropping-particle":"","family":"Zhang","given":"Shu","non-dropping-particle":"","parse-names":false,"suffix":""},{"dropping-particle":"","family":"Wang","given":"L. X.N.","non-dropping-particle":"","parse-names":false,"suffix":""},{"dropping-particle":"","family":"Liu","given":"Guohua","non-dropping-particle":"","parse-names":false,"suffix":""},{"dropping-particle":"","family":"Yao","given":"Bin","non-dropping-particle":"","parse-names":false,"suffix":""}],"container-title":"BMC Genomics","id":"ITEM-1","issue":"1","issued":{"date-parts":[["2016"]]},"page":"1-12","publisher":"BMC Genomics","title":"Probiotic (Enterococcus faecium) induced responses of the hepatic proteome improves metabolic efficiency of broiler chickens (Gallus gallus)","type":"article-journal","volume":"17"},"uris":["http://www.mendeley.com/documents/?uuid=c72594cc-f64e-40ea-ba1d-85c1a4f38232"]}],"mendeley":{"formattedCitation":"(Zheng et al., 2016)","manualFormatting":"Zheng et al. (2016","plainTextFormattedCitation":"(Zheng et al., 2016)","previouslyFormattedCitation":"(Zheng et al., 2016)"},"properties":{"noteIndex":0},"schema":"https://github.com/citation-style-language/schema/raw/master/csl-citation.json"}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Zheng et al. </w:t>
            </w:r>
            <w:r w:rsidR="00421D6D" w:rsidRPr="006C41D8">
              <w:rPr>
                <w:rFonts w:ascii="Arial" w:hAnsi="Arial" w:cs="Arial"/>
                <w:noProof/>
                <w:sz w:val="18"/>
                <w:szCs w:val="18"/>
              </w:rPr>
              <w:t>(</w:t>
            </w:r>
            <w:r w:rsidRPr="006C41D8">
              <w:rPr>
                <w:rFonts w:ascii="Arial" w:hAnsi="Arial" w:cs="Arial"/>
                <w:noProof/>
                <w:sz w:val="18"/>
                <w:szCs w:val="18"/>
              </w:rPr>
              <w:t>2016</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43531432" w14:textId="77777777" w:rsidTr="00510A69">
        <w:tc>
          <w:tcPr>
            <w:tcW w:w="1784" w:type="dxa"/>
            <w:vMerge/>
          </w:tcPr>
          <w:p w14:paraId="6813F3A3" w14:textId="77777777" w:rsidR="00510A69" w:rsidRPr="006C41D8" w:rsidRDefault="00510A69" w:rsidP="00510A69">
            <w:pPr>
              <w:pStyle w:val="Body"/>
              <w:spacing w:after="0"/>
              <w:jc w:val="left"/>
              <w:rPr>
                <w:rFonts w:ascii="Arial" w:hAnsi="Arial" w:cs="Arial"/>
                <w:sz w:val="18"/>
                <w:szCs w:val="18"/>
              </w:rPr>
            </w:pPr>
          </w:p>
        </w:tc>
        <w:tc>
          <w:tcPr>
            <w:tcW w:w="2010" w:type="dxa"/>
          </w:tcPr>
          <w:p w14:paraId="607691E0"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Lactobacillus plantarum</w:t>
            </w:r>
          </w:p>
        </w:tc>
        <w:tc>
          <w:tcPr>
            <w:tcW w:w="2551" w:type="dxa"/>
          </w:tcPr>
          <w:p w14:paraId="3FC71A2A"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The enhancement of antioxidant status and reduction in oxidative stress</w:t>
            </w:r>
          </w:p>
          <w:p w14:paraId="5443844A" w14:textId="77777777" w:rsidR="00510A69" w:rsidRPr="006C41D8" w:rsidRDefault="00510A69" w:rsidP="00510A69">
            <w:pPr>
              <w:pStyle w:val="Body"/>
              <w:spacing w:after="0"/>
              <w:jc w:val="left"/>
              <w:rPr>
                <w:rFonts w:ascii="Arial" w:hAnsi="Arial" w:cs="Arial"/>
                <w:sz w:val="18"/>
                <w:szCs w:val="18"/>
              </w:rPr>
            </w:pPr>
          </w:p>
        </w:tc>
        <w:tc>
          <w:tcPr>
            <w:tcW w:w="1993" w:type="dxa"/>
          </w:tcPr>
          <w:p w14:paraId="3D36EC37"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{"citationItems":[{"id":"ITEM-1","itemData":{"DOI":"10.3389/fvets.2022.964738","ISSN":"22971769","abstract":"Avian pathogenic Escherichia coli is one of the principal causes of heavy economic losses to the poultry industry. Little is known about the underlying mechanisms, particularly the potential role of immunoglobulin A and the DNA damage, involving the beneficial effects of dietary supplementation of probiotics and prebiotics in avian colibacillosis. The current study investigated the potential effects of probiotic and prebiotic dietary supplementation on E. coli-infected broiler chicks. A total of 120 1-day-old unsexed Hubbard chicks were divided into six groups: Group 1 was considered as a negative control; Group 2 was supplemented with 1 g/kg feed of Lactobacillus plantarum; Group 3 was supplemented with amylase enzyme; Group 4 served as a positive control infected orally by E. coli O78; Group 5 was supplemented with L. plantarum from 1-day-old chicken and then infected orally with E. coli O78; and Group 6 was supplemented with amylase enzyme from 1-day old chicken and then infected orally with E. coli O78. For all examined groups, the experimental period lasted for 42 days. The E. coli-infected group revealed a decrease in body performance parameters with a significant increase in the liver enzymes and renal function tests. The same group recorded a significant decrease in serum total proteins, albumins, and globulins, and the alteration of immunological parameters, antioxidant enzymes, oxidative stress parameters, and comet assay revealed highly damaged DNA in the liver and the intestine. By histopathological examination, a series of histopathological changes in the liver, the kidney, and the intestine were observed. The infected chick pretreated with probiotics or prebiotics demonstrated an improvement in body performance parameters besides a significant decrease in the hepatic enzymes and renal function tests. We noticed that, in treated groups, there was a significant increase in serum total proteins in the serum albumin and globulin levels, immunological parameters, and antioxidant enzymes. Furthermore, DNA damage and histopathological changes within hepatic, renal, and intestinal tissues were markedly diminished in the treated groups compared with the infected group. We concluded that the adverse effects of E. coli could be modulated through the chemopreventive administration of probiotics and prebiotics.","author":[{"dropping-particle":"","family":"Hashem","given":"Mohamed A.","non-dropping-particle":"","parse-names":false,"suffix":""},{"dropping-particle":"","family":"Hassan","given":"Azza E.A.","non-dropping-particle":"","parse-names":false,"suffix":""},{"dropping-particle":"","family":"Abou-Elnaga","given":"Hala M.M.","non-dropping-particle":"","parse-names":false,"suffix":""},{"dropping-particle":"","family":"Abdo","given":"Walied","non-dropping-particle":"","parse-names":false,"suffix":""},{"dropping-particle":"","family":"Dahran","given":"Naief","non-dropping-particle":"","parse-names":false,"suffix":""},{"dropping-particle":"","family":"Alghamdi","given":"Ali H.","non-dropping-particle":"","parse-names":false,"suffix":""},{"dropping-particle":"","family":"Elmahallawy","given":"Ehab Kotb","non-dropping-particle":"","parse-names":false,"suffix":""}],"container-title":"Frontiers in Veterinary Science","id":"ITEM-1","issued":{"date-parts":[["2022"]]},"title":"Modulatory effect of dietary probiotic and prebiotic supplementation on growth, immuno-biochemical alterations, DNA damage, and pathological changes in E. coli-infected broiler chicks","type":"article-journal","volume":"9"},"uris":["http://www.mendeley.com/documents/?uuid=aca7b521-92e9-42cd-a903-87621dcd5970"]}],"mendeley":{"formattedCitation":"(Hashem et al., 2022)","manualFormatting":"Hashem et al. (2022","plainTextFormattedCitation":"(Hashem et al., 2022)","previouslyFormattedCitation":"(Hashem et al., 2022)"},"properties":{"noteIndex":0},"schema":"https://github.com/citation-style-language/schema/raw/master/csl-citation.json"}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Hashem et al. </w:t>
            </w:r>
            <w:r w:rsidR="00421D6D" w:rsidRPr="006C41D8">
              <w:rPr>
                <w:rFonts w:ascii="Arial" w:hAnsi="Arial" w:cs="Arial"/>
                <w:noProof/>
                <w:sz w:val="18"/>
                <w:szCs w:val="18"/>
              </w:rPr>
              <w:t>(</w:t>
            </w:r>
            <w:r w:rsidRPr="006C41D8">
              <w:rPr>
                <w:rFonts w:ascii="Arial" w:hAnsi="Arial" w:cs="Arial"/>
                <w:noProof/>
                <w:sz w:val="18"/>
                <w:szCs w:val="18"/>
              </w:rPr>
              <w:t>2022</w:t>
            </w:r>
            <w:r w:rsidRPr="006C41D8">
              <w:rPr>
                <w:rFonts w:ascii="Arial" w:hAnsi="Arial" w:cs="Arial"/>
                <w:sz w:val="18"/>
                <w:szCs w:val="18"/>
              </w:rPr>
              <w:fldChar w:fldCharType="end"/>
            </w:r>
            <w:r w:rsidR="00421D6D" w:rsidRPr="006C41D8">
              <w:rPr>
                <w:rFonts w:ascii="Arial" w:hAnsi="Arial" w:cs="Arial"/>
                <w:sz w:val="18"/>
                <w:szCs w:val="18"/>
              </w:rPr>
              <w:t>)</w:t>
            </w:r>
          </w:p>
          <w:p w14:paraId="7F10D1F1" w14:textId="77777777" w:rsidR="00510A69" w:rsidRPr="006C41D8" w:rsidRDefault="00510A69" w:rsidP="00510A69">
            <w:pPr>
              <w:pStyle w:val="Body"/>
              <w:spacing w:after="0"/>
              <w:jc w:val="left"/>
              <w:rPr>
                <w:rFonts w:ascii="Arial" w:hAnsi="Arial" w:cs="Arial"/>
                <w:sz w:val="18"/>
                <w:szCs w:val="18"/>
              </w:rPr>
            </w:pPr>
          </w:p>
        </w:tc>
      </w:tr>
      <w:tr w:rsidR="00510A69" w:rsidRPr="006C41D8" w14:paraId="76937B33" w14:textId="77777777" w:rsidTr="00510A69">
        <w:tc>
          <w:tcPr>
            <w:tcW w:w="1784" w:type="dxa"/>
            <w:vMerge/>
          </w:tcPr>
          <w:p w14:paraId="653A8F90" w14:textId="77777777" w:rsidR="00510A69" w:rsidRPr="006C41D8" w:rsidRDefault="00510A69" w:rsidP="00510A69">
            <w:pPr>
              <w:pStyle w:val="Body"/>
              <w:spacing w:after="0"/>
              <w:jc w:val="left"/>
              <w:rPr>
                <w:rFonts w:ascii="Arial" w:hAnsi="Arial" w:cs="Arial"/>
                <w:sz w:val="18"/>
                <w:szCs w:val="18"/>
              </w:rPr>
            </w:pPr>
          </w:p>
        </w:tc>
        <w:tc>
          <w:tcPr>
            <w:tcW w:w="2010" w:type="dxa"/>
          </w:tcPr>
          <w:p w14:paraId="12A27982"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i/>
                <w:sz w:val="18"/>
                <w:szCs w:val="18"/>
              </w:rPr>
              <w:t>Saccharomyces cerevisiae</w:t>
            </w:r>
          </w:p>
        </w:tc>
        <w:tc>
          <w:tcPr>
            <w:tcW w:w="2551" w:type="dxa"/>
          </w:tcPr>
          <w:p w14:paraId="7E1C1CCE"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Reduce the aspartate aminotransferase (AST), alanine aminotransferase (ALT), and alkaline phosphatase (ALP)</w:t>
            </w:r>
          </w:p>
          <w:p w14:paraId="178A0DF7" w14:textId="77777777" w:rsidR="00510A69" w:rsidRPr="006C41D8" w:rsidRDefault="00510A69" w:rsidP="00510A69">
            <w:pPr>
              <w:pStyle w:val="Body"/>
              <w:spacing w:after="0"/>
              <w:jc w:val="left"/>
              <w:rPr>
                <w:rFonts w:ascii="Arial" w:hAnsi="Arial" w:cs="Arial"/>
                <w:sz w:val="18"/>
                <w:szCs w:val="18"/>
              </w:rPr>
            </w:pPr>
          </w:p>
        </w:tc>
        <w:tc>
          <w:tcPr>
            <w:tcW w:w="1993" w:type="dxa"/>
          </w:tcPr>
          <w:p w14:paraId="26466B6A"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{"citationItems":[{"id":"ITEM-1","itemData":{"DOI":"10.51791/njap.v47i6.2917","abstract":"As the use of antibiotics as growth promoters have been banned in different countries, researchers have been working hard to find alternatives to antibiotics, and also come up with other substances that can promote growth, health and productivity in broiler chickens. The study was conducted to evaluate the serum biochemistry of broiler chickens served dietary inclusion of probiotics (Saccharomyces cereviasae) and enzyme. One hundred and twenty, one day-old broiler chicks Ross strain were used for the study. The birds were randomly allotted to four dietary treatments. Each treatment contained 30 birds replicated three times to contain 10 birds per replicate in a completely randomized design experiment. The four dietary treatments were T1 Control (no probiotics and no enzyme), T2 (both probiotics and enzyme), T3 (Probiotics only) and T4 (Enzyme only). The probiotics and enzyme was included at 0.8% and 0.02%, respectively. The birds were given feed and water ad-libitum. The experiment lasted for eight weeks. At the end of the experimental period, three birds were randomly chosen from each replicate for serum biochemistry profiling and liver function test. The results showed that inclusion of probiotics and enzyme had significant effect (p&lt;0.05) on the serum biochemistry profile and liver function indices. Low density lipoprotein was reduced from 3.83±0.60g/l in the control group to 2.18±0.12g/l in T2 (Probiotic and Enzyme) group. Lymphocytes values ranged from 26.00% to 38.00% in the treated groups, while the control had 45.67%. The dietary inclusion of probiotics and enzyme reduced total cholesterol from 5.07g/l to 4.22g/l and low density lipoprotein from 3.83g/l to 2.18g/l in the (probiotics and enzyme) treated group and also improved liver function indices of the broiler chickens. Aspartate aminotransferase, Alanine aminotransferase, Alkaline phosphatase and total bilirubin had range values of 114.67 to 150.67 µl, (21.00 to 28.67 µl, 10.33 to 17.00 µl and 1.30 to 1.47mg/dl, respectively. It was therefore, concluded that combination of probiotics and enzyme should be included in broiler diets for immunity improvement, good liver function and reduction in cholesterol levels. Depuis l'interdit de l'utilisation d'antibiotiques comme stimulateur de croissance dans différents pays, les chercheurs ont travaillé dur pour trouver des alternatives aux antibiotiques, ainsi que d'autres substances susceptibles de favoriser la croissance, la santé et la productivité…","author":[{"dropping-particle":"","family":"Udeh","given":"F. U.","non-dropping-particle":"","parse-names":false,"suffix":""},{"dropping-particle":"","family":"Udeh","given":"V. C.","non-dropping-particle":"","parse-names":false,"suffix":""},{"dropping-particle":"","family":"Chukwudi","given":"P.","non-dropping-particle":"","parse-names":false,"suffix":""}],"container-title":"Nigerian Journal of Animal Production","id":"ITEM-1","issue":"6","issued":{"date-parts":[["2021"]]},"page":"120-128","title":"Serum biochemistry profile and liver function indices of broiler chickens served dietary inclusion of probiotics (Saccharomyces cerevisiae) and enzyme","type":"article-journal","volume":"47"},"uris":["http://www.mendeley.com/documents/?uuid=18087b0d-b73e-4cfa-8558-0b98ab2c34b4"]}],"mendeley":{"formattedCitation":"(Udeh et al., 2021)","manualFormatting":"Udeh et al. (2021","plainTextFormattedCitation":"(Udeh et al., 2021)","previouslyFormattedCitation":"(Udeh et al., 2021)"},"properties":{"noteIndex":0},"schema":"https://github.com/citation-style-language/schema/raw/master/csl-citation.json"}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Udeh et al. </w:t>
            </w:r>
            <w:r w:rsidR="00421D6D" w:rsidRPr="006C41D8">
              <w:rPr>
                <w:rFonts w:ascii="Arial" w:hAnsi="Arial" w:cs="Arial"/>
                <w:noProof/>
                <w:sz w:val="18"/>
                <w:szCs w:val="18"/>
              </w:rPr>
              <w:t>(</w:t>
            </w:r>
            <w:r w:rsidRPr="006C41D8">
              <w:rPr>
                <w:rFonts w:ascii="Arial" w:hAnsi="Arial" w:cs="Arial"/>
                <w:noProof/>
                <w:sz w:val="18"/>
                <w:szCs w:val="18"/>
              </w:rPr>
              <w:t>2021</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148D590C" w14:textId="77777777" w:rsidTr="00510A69">
        <w:tc>
          <w:tcPr>
            <w:tcW w:w="1784" w:type="dxa"/>
            <w:vMerge/>
          </w:tcPr>
          <w:p w14:paraId="12EA4E7D" w14:textId="77777777" w:rsidR="00510A69" w:rsidRPr="006C41D8" w:rsidRDefault="00510A69" w:rsidP="00510A69">
            <w:pPr>
              <w:pStyle w:val="Body"/>
              <w:spacing w:after="0"/>
              <w:jc w:val="left"/>
              <w:rPr>
                <w:rFonts w:ascii="Arial" w:hAnsi="Arial" w:cs="Arial"/>
                <w:sz w:val="18"/>
                <w:szCs w:val="18"/>
              </w:rPr>
            </w:pPr>
          </w:p>
        </w:tc>
        <w:tc>
          <w:tcPr>
            <w:tcW w:w="2010" w:type="dxa"/>
          </w:tcPr>
          <w:p w14:paraId="41D1C7BC"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i/>
                <w:sz w:val="18"/>
                <w:szCs w:val="18"/>
              </w:rPr>
              <w:t>Bacillus subtilis</w:t>
            </w:r>
          </w:p>
        </w:tc>
        <w:tc>
          <w:tcPr>
            <w:tcW w:w="2551" w:type="dxa"/>
          </w:tcPr>
          <w:p w14:paraId="27E84539"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 xml:space="preserve">significantly increased the digestibility of dry matter, crude protein, and ether extract </w:t>
            </w:r>
          </w:p>
          <w:p w14:paraId="14B471F4" w14:textId="77777777" w:rsidR="00510A69" w:rsidRPr="006C41D8" w:rsidRDefault="00510A69" w:rsidP="00510A69">
            <w:pPr>
              <w:pStyle w:val="Body"/>
              <w:spacing w:after="0"/>
              <w:jc w:val="left"/>
              <w:rPr>
                <w:rFonts w:ascii="Arial" w:hAnsi="Arial" w:cs="Arial"/>
                <w:sz w:val="18"/>
                <w:szCs w:val="18"/>
              </w:rPr>
            </w:pPr>
          </w:p>
        </w:tc>
        <w:tc>
          <w:tcPr>
            <w:tcW w:w="1993" w:type="dxa"/>
          </w:tcPr>
          <w:p w14:paraId="698453BD"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{"citationItems":[{"id":"ITEM-1","itemData":{"DOI":"10.21608/ejnf.2017.75331","abstract":"ne hundred and twenty unsexed one-day-old Cobb broiler chicks were randomly distributed into four groups (5 replicates per group) to study the effect of multienzymes and/or probiotics supplementation on productive performance and nutrients digestibility of broiler chickens. The first group was used as control and fed the basal diet without supplementation, while, chicks in the 2nd ,3rd and 4th groups were fed the basal diet supplemented with multienzymes (Avizyme at 0.20 g/kg diet), probiotics (Biacton at 0.50 g/kg diet) and multienzymes plus probiotics (0.20 g Avizyme /kg diet + 0.50g/kg Biacton), respectively. Body weight (BW), body weight gain (BWG), and feed intake (FI) were recorded. Feed conversion rate (FCR), production index and economical efficiency were calculated. At the end of the experiment a digestibility trial was carried out. Results showed that the chickens fed diet supplemented with multienzymes and probiotics during days 22-35 and 0-35 of age had significantly higher BWG and FI and better FCR followed by those fed diet supplemented with either multienzymes or probiotics compared to those fed control diet. The multienzymes and/or probiotics supplementation had significantly improved the digestibility of dry matter (DM), crude protein (CP) and ether extract (EE) compared to the control. In addition, dietary supplementation with multienzymes plus probiotics or multienzymes alone had significantly improved the digestibility of crude fiber (CF) compared to the control. Chicks fed diet supplemented with multienzymes plus probiotics had significantly better production index and economical efficiency followed by those fed diet supplemented with multienzymes or probiotics alone compared to those fed the control diet. In conclusion: multienzyme and /or probiotics are good growth stimulators to the broiler chicks and can be added together to the diet to improve productive performance and feed utilization.","author":[{"dropping-particle":"","family":"El-Kelawy","given":"M.","non-dropping-particle":"","parse-names":false,"suffix":""},{"dropping-particle":"","family":"El-Shafey","given":"A.","non-dropping-particle":"","parse-names":false,"suffix":""},{"dropping-particle":"","family":"Ali","given":"Reham","non-dropping-particle":"","parse-names":false,"suffix":""}],"container-title":"Egyptian Journal of Nutrition and Feeds","id":"ITEM-1","issue":"3","issued":{"date-parts":[["2017"]]},"page":"535-543","title":"Impact of dietary supplementation with multi-enzyme and/or probiotics on productive performance and nutrients digestibility of broiler chickens.","type":"article-journal","volume":"20"},"uris":["http://www.mendeley.com/documents/?uuid=ca6b51fb-dd72-494b-836e-3da739a97326"]}],"mendeley":{"formattedCitation":"(El-Kelawy et al., 2017)","manualFormatting":"El-Kelawy et al. (2017","plainTextFormattedCitation":"(El-Kelawy et al., 2017)","previouslyFormattedCitation":"(El-Kelawy et al., 2017)"},"properties":{"noteIndex":0},"schema":"https://github.com/citation-style-language/schema/raw/master/csl-citation.json"}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El-Kelawy et al. </w:t>
            </w:r>
            <w:r w:rsidR="00421D6D" w:rsidRPr="006C41D8">
              <w:rPr>
                <w:rFonts w:ascii="Arial" w:hAnsi="Arial" w:cs="Arial"/>
                <w:noProof/>
                <w:sz w:val="18"/>
                <w:szCs w:val="18"/>
              </w:rPr>
              <w:t>(</w:t>
            </w:r>
            <w:r w:rsidRPr="006C41D8">
              <w:rPr>
                <w:rFonts w:ascii="Arial" w:hAnsi="Arial" w:cs="Arial"/>
                <w:noProof/>
                <w:sz w:val="18"/>
                <w:szCs w:val="18"/>
              </w:rPr>
              <w:t>2017</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53876ED4" w14:textId="77777777" w:rsidTr="00510A69">
        <w:tc>
          <w:tcPr>
            <w:tcW w:w="1784" w:type="dxa"/>
            <w:vMerge/>
          </w:tcPr>
          <w:p w14:paraId="0D9DDD9B" w14:textId="77777777" w:rsidR="00510A69" w:rsidRPr="006C41D8" w:rsidRDefault="00510A69" w:rsidP="00510A69">
            <w:pPr>
              <w:pStyle w:val="Body"/>
              <w:spacing w:after="0"/>
              <w:jc w:val="left"/>
              <w:rPr>
                <w:rFonts w:ascii="Arial" w:hAnsi="Arial" w:cs="Arial"/>
                <w:sz w:val="18"/>
                <w:szCs w:val="18"/>
              </w:rPr>
            </w:pPr>
          </w:p>
        </w:tc>
        <w:tc>
          <w:tcPr>
            <w:tcW w:w="2010" w:type="dxa"/>
          </w:tcPr>
          <w:p w14:paraId="7C4B3848" w14:textId="49C3E3FA"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 xml:space="preserve">Clostridium. </w:t>
            </w:r>
            <w:proofErr w:type="spellStart"/>
            <w:r w:rsidR="006166D1" w:rsidRPr="006C41D8">
              <w:rPr>
                <w:rFonts w:ascii="Arial" w:hAnsi="Arial" w:cs="Arial"/>
                <w:i/>
                <w:sz w:val="18"/>
                <w:szCs w:val="18"/>
              </w:rPr>
              <w:t>B</w:t>
            </w:r>
            <w:r w:rsidRPr="006C41D8">
              <w:rPr>
                <w:rFonts w:ascii="Arial" w:hAnsi="Arial" w:cs="Arial"/>
                <w:i/>
                <w:sz w:val="18"/>
                <w:szCs w:val="18"/>
              </w:rPr>
              <w:t>utyricum</w:t>
            </w:r>
            <w:proofErr w:type="spellEnd"/>
          </w:p>
        </w:tc>
        <w:tc>
          <w:tcPr>
            <w:tcW w:w="2551" w:type="dxa"/>
          </w:tcPr>
          <w:p w14:paraId="6CBB0C1A"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Improves antioxidation in intestinal mucosa and promotes immune function in broilers</w:t>
            </w:r>
          </w:p>
          <w:p w14:paraId="5ECC3BA7" w14:textId="77777777" w:rsidR="00510A69" w:rsidRPr="006C41D8" w:rsidRDefault="00510A69" w:rsidP="00510A69">
            <w:pPr>
              <w:pStyle w:val="Body"/>
              <w:spacing w:after="0"/>
              <w:jc w:val="left"/>
              <w:rPr>
                <w:rFonts w:ascii="Arial" w:hAnsi="Arial" w:cs="Arial"/>
                <w:sz w:val="18"/>
                <w:szCs w:val="18"/>
              </w:rPr>
            </w:pPr>
          </w:p>
        </w:tc>
        <w:tc>
          <w:tcPr>
            <w:tcW w:w="1993" w:type="dxa"/>
          </w:tcPr>
          <w:p w14:paraId="5C195965"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{"citationItems":[{"id":"ITEM-1","itemData":{"DOI":"10.3382/ps/pev038","ISSN":"15253171","PMID":"25717087","abstract":"To investigate the effects of Clostridium butyricum on growth performance, antioxidation, and immune function of broilers, 320 one-day-old Arbor Acres commercial male chicks were assigned to one of 5 treatments with 8 replicates in a completely randomized design for 42 d. The 5 treatments were basal diet (control), basal diet supplemented with 2.5 × 108 cfu C. butyricum/kg (CB1), basal diet supplemented with 5 × 108 cfu C. butyricum/kg (CB2), basal diet supplemented with 1 × 109 cfu C. butyricum/kg (CB3), and basal diet supplemented with 150 mg aureomycin/kg (antibiotic). The results showed that all C. butyricum-supplemented groups during d 1 to 21 and the CB2 group during d 22 to 42 had higher ADG compared with the control (P &lt; 0.05). Chicks fed the CB3 diet had higher glutathione S-transferase (GST) activity (P &lt; 0.05), and chicks fed the CB2 diet had a higher glutathione (GSH) concentration in duodenal and ileal mucosa at 21 d of age than those in the control group (P &lt; 0.05). Chicks fed the CB3 diet had a lower malondialdehyde (MDA) concentration in duodenal mucosa than those in the control and CB1 groups (P &lt; 0.05). Chicks fed the CB2, CB3, and antibiotic diets had a lower MDA concentration in ileal mucosa than those in the control and CB1 groups (P &lt; 0.05). Broilers fed the CB3 diet had greater superoxide dismutase (SOD) activity in the ileal mucosa on d 21 and in jejunal mucosa on d 42 than those in the other groups (P &lt; 0.05). Chicks fed the CB2, CB3, and antibiotic diets had a higher GSH concentration in duodenal and jejunal mucosa on d 42 than those in the control group (P &lt; 0.05). Broilers fed the CB2 and CB3 diets had a lower MDA concentration in the jejunal mucosa on d 42 than those in the control and CB1 groups. Chicks fed diets supplemented with C. butyricum had a higher IgM concentration than those in the control group at 21 and 42 d of age (P &lt; 0.05). The results indicate that C. butyricum improves broilers' growth performance, antioxidation, and immune function.","author":[{"dropping-particle":"","family":"Liao","given":"X. D.","non-dropping-particle":"","parse-names":false,"suffix":""},{"dropping-particle":"","family":"Ma","given":"G.","non-dropping-particle":"","parse-names":false,"suffix":""},{"dropping-particle":"","family":"Cai","given":"J.","non-dropping-particle":"","parse-names":false,"suffix":""},{"dropping-particle":"","family":"Fu","given":"Y.","non-dropping-particle":"","parse-names":false,"suffix":""},{"dropping-particle":"","family":"Yan","given":"X. Y.","non-dropping-particle":"","parse-names":false,"suffix":""},{"dropping-particle":"","family":"Wei","given":"X. B.","non-dropping-particle":"","parse-names":false,"suffix":""},{"dropping-particle":"","family":"Zhang","given":"R. J.","non-dropping-particle":"","parse-names":false,"suffix":""}],"container-title":"Poultry Science","id":"ITEM-1","issue":"4","issued":{"date-parts":[["2014"]]},"page":"662-667","title":"Effects of Clostridium butyricum on growth performance, antioxidation, and immune function of broilers","type":"article-journal","volume":"94"},"uris":["http://www.mendeley.com/documents/?uuid=3d3d4cf0-bf6a-4e0e-aa64-606bd2cfb847"]}],"mendeley":{"formattedCitation":"(Liao et al., 2014)","manualFormatting":"Liao et al. (2014","plainTextFormattedCitation":"(Liao et al., 2014)","previouslyFormattedCitation":"(Liao et al., 2014)"},"properties":{"noteIndex":0},"schema":"https://github.com/citation-style-language/schema/raw/master/csl-citation.json"}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Liao et al. </w:t>
            </w:r>
            <w:r w:rsidR="00421D6D" w:rsidRPr="006C41D8">
              <w:rPr>
                <w:rFonts w:ascii="Arial" w:hAnsi="Arial" w:cs="Arial"/>
                <w:noProof/>
                <w:sz w:val="18"/>
                <w:szCs w:val="18"/>
              </w:rPr>
              <w:t>(</w:t>
            </w:r>
            <w:r w:rsidRPr="006C41D8">
              <w:rPr>
                <w:rFonts w:ascii="Arial" w:hAnsi="Arial" w:cs="Arial"/>
                <w:noProof/>
                <w:sz w:val="18"/>
                <w:szCs w:val="18"/>
              </w:rPr>
              <w:t>2014</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7EA1FAEB" w14:textId="77777777" w:rsidTr="00510A69">
        <w:tc>
          <w:tcPr>
            <w:tcW w:w="1784" w:type="dxa"/>
          </w:tcPr>
          <w:p w14:paraId="0DB38D84"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Reduction of Pathogenic Bacteria</w:t>
            </w:r>
          </w:p>
        </w:tc>
        <w:tc>
          <w:tcPr>
            <w:tcW w:w="2010" w:type="dxa"/>
          </w:tcPr>
          <w:p w14:paraId="3C48B3E8"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i/>
                <w:sz w:val="18"/>
                <w:szCs w:val="18"/>
              </w:rPr>
              <w:t>Lactobacillus</w:t>
            </w:r>
            <w:r w:rsidRPr="006C41D8">
              <w:rPr>
                <w:rFonts w:ascii="Arial" w:hAnsi="Arial" w:cs="Arial"/>
                <w:sz w:val="18"/>
                <w:szCs w:val="18"/>
              </w:rPr>
              <w:t xml:space="preserve"> strains from Noi chickens</w:t>
            </w:r>
          </w:p>
        </w:tc>
        <w:tc>
          <w:tcPr>
            <w:tcW w:w="2551" w:type="dxa"/>
          </w:tcPr>
          <w:p w14:paraId="4C2A928A"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sz w:val="18"/>
                <w:szCs w:val="18"/>
              </w:rPr>
              <w:t xml:space="preserve">Exhibited antimicrobial activity against </w:t>
            </w:r>
            <w:r w:rsidRPr="006C41D8">
              <w:rPr>
                <w:rFonts w:ascii="Arial" w:hAnsi="Arial" w:cs="Arial"/>
                <w:i/>
                <w:sz w:val="18"/>
                <w:szCs w:val="18"/>
              </w:rPr>
              <w:t>S. aureus, Salmonella sp., and E. coli</w:t>
            </w:r>
          </w:p>
          <w:p w14:paraId="18448802" w14:textId="77777777" w:rsidR="00510A69" w:rsidRPr="006C41D8" w:rsidRDefault="00510A69" w:rsidP="00510A69">
            <w:pPr>
              <w:pStyle w:val="Body"/>
              <w:spacing w:after="0"/>
              <w:jc w:val="left"/>
              <w:rPr>
                <w:rFonts w:ascii="Arial" w:hAnsi="Arial" w:cs="Arial"/>
                <w:sz w:val="18"/>
                <w:szCs w:val="18"/>
              </w:rPr>
            </w:pPr>
          </w:p>
        </w:tc>
        <w:tc>
          <w:tcPr>
            <w:tcW w:w="1993" w:type="dxa"/>
          </w:tcPr>
          <w:p w14:paraId="18228055"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{"citationItems":[{"id":"ITEM-1","itemData":{"DOI":"10.13057/biodiv/d251054","ISBN":"8429438556","ISSN":"20854722","abstract":"This research investigated the potential of Lactobacillus strains isolated from Noi chickens as probiotics for poultry health. We focused on their ability to combat major poultry pathogens: Escherichia coli, Staphylococcus aureus, and Salmonella sp. Thirty-two distinct Lactobacillus strains were successfully cultured from the digestive tracts of Noi chickens. Colony and cell morphology were diverse, confirming the presence of various Lactobacillus species. Biochemical tests further validated their identification. Antibacterial activity screening revealed two strains, LN11 and LN19, capable of inhibiting all three target pathogens. Thirteen isolates, LN5, LN7, LN8, LN9, LN10, LN11, LN12, LN13, LN14, LN16, LN17, LN18, LN19, LN21, LN26 displayed resistance to all four tested antibiotics: chloramphenicol, erythromycin, ampicillin, and ciprofloxacin. Key probiotic traits were assessed. Nine strains showed excellent acid tolerance, crucial for surviving the stomach's harsh environment. Ten strains demonstrated high tolerance to bile salts, essential for thriving in the intestine. LN19 exhibited particularly strong activity, highlighting its potential for probiotic development. Molecular identification using 16S rRNA gene sequencing confirmed the promising isolate LN19 as Lactobacillus farciminis LN19. This study provides valuable insights into the probiotic potential of Lactobacillus strains from Noi chickens. The identification of L. farciminis LN19 with strong antibacterial activity and robust probiotic characteristics suggests its promise for enhancing poultry health and combating infectious diseases.","author":[{"dropping-particle":"","family":"Thuy","given":"Nguyen Phuong","non-dropping-particle":"","parse-names":false,"suffix":""},{"dropping-particle":"","family":"Trai","given":"Nguyen Ngoc","non-dropping-particle":"","parse-names":false,"suffix":""}],"container-title":"Biodiversitas","id":"ITEM-1","issue":"10","issued":{"date-parts":[["2024"]]},"page":"3943-3952","title":"Screening of Lactobacillus from Noi chicken gut as potential probiotics against poultry pathogens","type":"article-journal","volume":"25"},"uris":["http://www.mendeley.com/documents/?uuid=2875cf0e-2897-4c6f-b773-6a999f31a2d9"]}],"mendeley":{"formattedCitation":"(Thuy &amp; Trai, 2024)","manualFormatting":"Thuy &amp; Trai (2024","plainTextFormattedCitation":"(Thuy &amp; Trai, 2024)","previouslyFormattedCitation":"(Thuy &amp; Trai, 2024)"},"properties":{"noteIndex":0},"schema":"https://github.com/citation-style-language/schema/raw/master/csl-citation.json"}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Thuy &amp; Trai </w:t>
            </w:r>
            <w:r w:rsidR="00421D6D" w:rsidRPr="006C41D8">
              <w:rPr>
                <w:rFonts w:ascii="Arial" w:hAnsi="Arial" w:cs="Arial"/>
                <w:noProof/>
                <w:sz w:val="18"/>
                <w:szCs w:val="18"/>
              </w:rPr>
              <w:t>(</w:t>
            </w:r>
            <w:r w:rsidRPr="006C41D8">
              <w:rPr>
                <w:rFonts w:ascii="Arial" w:hAnsi="Arial" w:cs="Arial"/>
                <w:noProof/>
                <w:sz w:val="18"/>
                <w:szCs w:val="18"/>
              </w:rPr>
              <w:t>2024</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62437743" w14:textId="77777777" w:rsidTr="00510A69">
        <w:tc>
          <w:tcPr>
            <w:tcW w:w="1784" w:type="dxa"/>
          </w:tcPr>
          <w:p w14:paraId="2723F27F"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Immune Response</w:t>
            </w:r>
          </w:p>
        </w:tc>
        <w:tc>
          <w:tcPr>
            <w:tcW w:w="2010" w:type="dxa"/>
          </w:tcPr>
          <w:p w14:paraId="291AC5FC"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i/>
                <w:sz w:val="18"/>
                <w:szCs w:val="18"/>
              </w:rPr>
              <w:t>Bacillus subtilis</w:t>
            </w:r>
            <w:r w:rsidRPr="006C41D8">
              <w:rPr>
                <w:rFonts w:ascii="Arial" w:hAnsi="Arial" w:cs="Arial"/>
                <w:sz w:val="18"/>
                <w:szCs w:val="18"/>
              </w:rPr>
              <w:t xml:space="preserve"> </w:t>
            </w:r>
            <w:proofErr w:type="spellStart"/>
            <w:r w:rsidRPr="006C41D8">
              <w:rPr>
                <w:rFonts w:ascii="Arial" w:hAnsi="Arial" w:cs="Arial"/>
                <w:sz w:val="18"/>
                <w:szCs w:val="18"/>
              </w:rPr>
              <w:t>fmbJ</w:t>
            </w:r>
            <w:proofErr w:type="spellEnd"/>
          </w:p>
        </w:tc>
        <w:tc>
          <w:tcPr>
            <w:tcW w:w="2551" w:type="dxa"/>
          </w:tcPr>
          <w:p w14:paraId="032A11D8"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increased serum immunoglobulin concentrations (IgA and IgG), improving antioxidant capacity</w:t>
            </w:r>
          </w:p>
        </w:tc>
        <w:tc>
          <w:tcPr>
            <w:tcW w:w="1993" w:type="dxa"/>
          </w:tcPr>
          <w:p w14:paraId="7FFB2EE8"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{"citationItems":[{"id":"ITEM-1","itemData":{"DOI":"10.3382/ps/pew246","ISSN":"15253171","PMID":"27486257","abstract":"This study aimed to investigate the supplemental effects of probiotic Bacillus subtilis fmbJ (BS fmbJ) on growth performance, antioxidant capacity, and meat quality of broiler chickens. A total of 240 day-old male Arbor Acres (AA) broiler chickens were randomly allotted to 4 treatments and raised for 6 wk. Each treatment had 6 replicate pens with ten birds per replicate. Birds in the control group (CON) were fed diets without BS fmbJ and antibiotics. The BS groups were fed the basal diets with BS fmbJ at 2 × 1010 cfu/kg (BS-1 group), BS fmbJ at 3 × 1010 cfu/kg (BS-2 group), BS fmbJ at 4 × 1010 cfu/kg (BS-3 group) without antibiotics for 42 d. In the study, dietary supplementation with BS fmbJ significantly improved (P &lt; 0.05) the average daily gain (ADG), average daily feed intake (ADFI), and feed conversion ratio (FCR) of broilers from 21 to 42 d and 1 to 42 d. At 42 d, the final body weight was increased (P &lt; 0.05) in BS-2 group compared with that in CON. Dietary BS fmbJ significantly increased (P &lt; 0.05) serum IgA and IgG concentrations of broilers after 42 days raising. The glutathione (GSH), glutathione reductase (GR), glutathione peroxidase (GSH-Px), and superoxide dismutase (SOD) activity of serum and liver were increased (P &lt; 0.05), and methane dicarboxylic aldehyde (MDA) contents in serum and liver were decreased (P &lt; 0.05) by BS fmbJ added into the broiler diets. Dietary supplementation with BS fmbJ significantly decreased (P &lt; 0.05) reactive oxygen species (ROS) contents in liver mitochondria of broilers. Additionally, the expression of antioxidant enzyme gene including nuclear factor erythroid 2-related factor 2 (Nrf2), heme oxygenase 1 (HO-1), superoxide dismutase (SOD), and glutathione peroxidase (GPx) were improved (P &lt; 0.05) by BS fmbJ added into the broiler diets. Among measuring items of chicken breast meat quality, the drip loss, cooking loss, shear force, Lz.ast;24 h, az.ast;24 h, bz.ast;45 min, and bz.ast;24 h values were influenced (P &lt; 0.05) by BS fmbJ provided in the diet. Based on these results, Bacillus subtilis fmbJ could be acted as a beneficial feed additive with antioxidant capacity in broiler diets.","author":[{"dropping-particle":"","family":"Bai","given":"Kaiwen","non-dropping-particle":"","parse-names":false,"suffix":""},{"dropping-particle":"","family":"Huang","given":"Qiang","non-dropping-particle":"","parse-names":false,"suffix":""},{"dropping-particle":"","family":"Zhang","given":"Jingfei","non-dropping-particle":"","parse-names":false,"suffix":""},{"dropping-particle":"","family":"He","given":"Jintian","non-dropping-particle":"","parse-names":false,"suffix":""},{"dropping-particle":"","family":"Zhang","given":"Lili","non-dropping-particle":"","parse-names":false,"suffix":""},{"dropping-particle":"","family":"Wang","given":"Tian","non-dropping-particle":"","parse-names":false,"suffix":""}],"container-title":"Poultry Science","id":"ITEM-1","issue":"1","issued":{"date-parts":[["2017"]]},"page":"74-82","publisher":"Poultry Science Association Inc.","title":"Supplemental effects of probiotic Bacillus subtilis fmbJ on growth performance, antioxidant capacity, and meat quality of broiler chickens","type":"article-journal","volume":"96"},"uris":["http://www.mendeley.com/documents/?uuid=019d14de-9678-4d13-aa6f-48aa1459b1e3"]}],"mendeley":{"formattedCitation":"(Bai et al., 2017)","manualFormatting":"Bai et al. (2017","plainTextFormattedCitation":"(Bai et al., 2017)","previouslyFormattedCitation":"(Bai et al., 2017)"},"properties":{"noteIndex":0},"schema":"https://github.com/citation-style-language/schema/raw/master/csl-citation.json"}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Bai et al. </w:t>
            </w:r>
            <w:r w:rsidR="00421D6D" w:rsidRPr="006C41D8">
              <w:rPr>
                <w:rFonts w:ascii="Arial" w:hAnsi="Arial" w:cs="Arial"/>
                <w:noProof/>
                <w:sz w:val="18"/>
                <w:szCs w:val="18"/>
              </w:rPr>
              <w:t>(</w:t>
            </w:r>
            <w:r w:rsidRPr="006C41D8">
              <w:rPr>
                <w:rFonts w:ascii="Arial" w:hAnsi="Arial" w:cs="Arial"/>
                <w:noProof/>
                <w:sz w:val="18"/>
                <w:szCs w:val="18"/>
              </w:rPr>
              <w:t>2017</w:t>
            </w:r>
            <w:r w:rsidRPr="006C41D8">
              <w:rPr>
                <w:rFonts w:ascii="Arial" w:hAnsi="Arial" w:cs="Arial"/>
                <w:sz w:val="18"/>
                <w:szCs w:val="18"/>
              </w:rPr>
              <w:fldChar w:fldCharType="end"/>
            </w:r>
            <w:r w:rsidR="00421D6D" w:rsidRPr="006C41D8">
              <w:rPr>
                <w:rFonts w:ascii="Arial" w:hAnsi="Arial" w:cs="Arial"/>
                <w:sz w:val="18"/>
                <w:szCs w:val="18"/>
              </w:rPr>
              <w:t>)</w:t>
            </w:r>
          </w:p>
        </w:tc>
      </w:tr>
    </w:tbl>
    <w:p w14:paraId="5143355B" w14:textId="77777777" w:rsidR="00510A69" w:rsidRPr="006C41D8" w:rsidRDefault="00510A69" w:rsidP="00510A69">
      <w:pPr>
        <w:pStyle w:val="Body"/>
        <w:rPr>
          <w:rFonts w:ascii="Arial" w:hAnsi="Arial" w:cs="Arial"/>
        </w:rPr>
      </w:pPr>
    </w:p>
    <w:p w14:paraId="1A62D31B" w14:textId="77777777" w:rsidR="00510A69" w:rsidRPr="006C41D8" w:rsidRDefault="00510A69" w:rsidP="00510A69">
      <w:pPr>
        <w:pStyle w:val="Body"/>
        <w:rPr>
          <w:rFonts w:ascii="Arial" w:hAnsi="Arial" w:cs="Arial"/>
          <w:b/>
          <w:bCs/>
        </w:rPr>
      </w:pPr>
      <w:r w:rsidRPr="006C41D8">
        <w:rPr>
          <w:rFonts w:ascii="Arial" w:hAnsi="Arial" w:cs="Arial"/>
          <w:b/>
          <w:bCs/>
        </w:rPr>
        <w:t xml:space="preserve">3.1. Competitive Exclusion and </w:t>
      </w:r>
      <w:proofErr w:type="spellStart"/>
      <w:r w:rsidRPr="006C41D8">
        <w:rPr>
          <w:rFonts w:ascii="Arial" w:hAnsi="Arial" w:cs="Arial"/>
          <w:b/>
          <w:bCs/>
        </w:rPr>
        <w:t>Antagonisme</w:t>
      </w:r>
      <w:proofErr w:type="spellEnd"/>
    </w:p>
    <w:p w14:paraId="5C496DA0" w14:textId="77777777" w:rsidR="00510A69" w:rsidRPr="006C41D8" w:rsidRDefault="00510A69" w:rsidP="00510A69">
      <w:pPr>
        <w:pStyle w:val="Body"/>
        <w:rPr>
          <w:rFonts w:ascii="Arial" w:hAnsi="Arial" w:cs="Arial"/>
        </w:rPr>
      </w:pPr>
      <w:r w:rsidRPr="006C41D8">
        <w:rPr>
          <w:rFonts w:ascii="Arial" w:hAnsi="Arial" w:cs="Arial"/>
        </w:rPr>
        <w:t xml:space="preserve">Competitive exclusion is a fundamental mechanism by which probiotics inhibit pathogen colonization, primarily by attaching to the intestinal epithelial surface and competing for vital nutrients </w:t>
      </w:r>
      <w:r w:rsidRPr="006C41D8">
        <w:rPr>
          <w:rFonts w:ascii="Arial" w:hAnsi="Arial" w:cs="Arial"/>
        </w:rPr>
        <w:fldChar w:fldCharType="begin" w:fldLock="1"/>
      </w:r>
      <w:r w:rsidR="00D0560D" w:rsidRPr="006C41D8">
        <w:rPr>
          <w:rFonts w:ascii="Arial" w:hAnsi="Arial" w:cs="Arial"/>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(Vinayamohan et al., 2024)</w:t>
      </w:r>
      <w:r w:rsidRPr="006C41D8">
        <w:rPr>
          <w:rFonts w:ascii="Arial" w:hAnsi="Arial" w:cs="Arial"/>
        </w:rPr>
        <w:fldChar w:fldCharType="end"/>
      </w:r>
      <w:r w:rsidRPr="006C41D8">
        <w:rPr>
          <w:rFonts w:ascii="Arial" w:hAnsi="Arial" w:cs="Arial"/>
        </w:rPr>
        <w:t xml:space="preserve">. This phenomenon results in ecological conditions that hinder the proliferation of pathogenic bacteria through various mechanisms. </w:t>
      </w:r>
    </w:p>
    <w:p w14:paraId="07FF8385" w14:textId="77777777" w:rsidR="00421D6D" w:rsidRPr="006C41D8" w:rsidRDefault="00421D6D" w:rsidP="00510A69">
      <w:pPr>
        <w:pStyle w:val="Body"/>
        <w:rPr>
          <w:rFonts w:ascii="Arial" w:hAnsi="Arial" w:cs="Arial"/>
          <w:b/>
        </w:rPr>
      </w:pPr>
      <w:r w:rsidRPr="006C41D8">
        <w:rPr>
          <w:rFonts w:ascii="Arial" w:hAnsi="Arial" w:cs="Arial"/>
          <w:b/>
        </w:rPr>
        <w:t xml:space="preserve">3.1.1. </w:t>
      </w:r>
      <w:r w:rsidR="00510A69" w:rsidRPr="006C41D8">
        <w:rPr>
          <w:rFonts w:ascii="Arial" w:hAnsi="Arial" w:cs="Arial"/>
          <w:b/>
        </w:rPr>
        <w:t xml:space="preserve">Reduction of intestinal lumen pH </w:t>
      </w:r>
    </w:p>
    <w:p w14:paraId="70654A79" w14:textId="77777777" w:rsidR="00510A69" w:rsidRPr="006C41D8" w:rsidRDefault="00510A69" w:rsidP="00510A69">
      <w:pPr>
        <w:pStyle w:val="Body"/>
        <w:rPr>
          <w:rFonts w:ascii="Arial" w:hAnsi="Arial" w:cs="Arial"/>
        </w:rPr>
      </w:pPr>
      <w:r w:rsidRPr="006C41D8">
        <w:rPr>
          <w:rFonts w:ascii="Arial" w:hAnsi="Arial" w:cs="Arial"/>
        </w:rPr>
        <w:t xml:space="preserve">Probiotics, particularly those belonging to the </w:t>
      </w:r>
      <w:r w:rsidRPr="006C41D8">
        <w:rPr>
          <w:rFonts w:ascii="Arial" w:hAnsi="Arial" w:cs="Arial"/>
          <w:i/>
        </w:rPr>
        <w:t xml:space="preserve">Lactobacillus </w:t>
      </w:r>
      <w:r w:rsidRPr="006C41D8">
        <w:rPr>
          <w:rFonts w:ascii="Arial" w:hAnsi="Arial" w:cs="Arial"/>
        </w:rPr>
        <w:t xml:space="preserve">genus, synthesize lactic acid and short-chain fatty acids (SCFAs), which can modify the intestinal milieu by diminishing pH and fostering a more acidic environment. These probiotics bolster gastrointestinal immunity through the synthesis of bacteriocins, lactic acid, and SCFAs, such as acetate and propionate, which lower the gut pH, thereby rendering the environment less favorable for the survival of pathogenic bacteria </w:t>
      </w:r>
      <w:r w:rsidRPr="006C41D8">
        <w:rPr>
          <w:rFonts w:ascii="Arial" w:hAnsi="Arial" w:cs="Arial"/>
        </w:rPr>
        <w:fldChar w:fldCharType="begin" w:fldLock="1"/>
      </w:r>
      <w:r w:rsidR="00D0560D" w:rsidRPr="006C41D8">
        <w:rPr>
          <w:rFonts w:ascii="Arial" w:hAnsi="Arial" w:cs="Arial"/>
        </w:rPr>
        <w:instrText>ADDIN CSL_CITATION {"citationItems":[{"id":"ITEM-1","itemData":{"DOI":"10.3389/fimmu.2021.616713","ISSN":"16643224","PMID":"33897683","abstract":"In order to inhibit pathogenic complications and to enhance animal and poultry growth, antibiotics have been extensively used for many years. Antibiotics applications not only affect target pathogens but also intestinal beneficially microbes, inducing long-lasting changes in intestinal microbiota associated with diseases. The application of antibiotics also has many other side effects like, intestinal barrier dysfunction, antibiotics residues in foodstuffs, nephropathy, allergy, bone marrow toxicity, mutagenicity, reproductive disorders, hepatotoxicity carcinogenicity, and antibiotic-resistant bacteria, which greatly compromise the efficacy of antibiotics. Thus, the development of new antibiotics is necessary, while the search for antibiotic alternatives continues. Probiotics are considered the ideal antibiotic substitute; in recent years, probiotic research concerning their application during pathogenic infections in humans, aquaculture, poultry, and livestock industry, with emphasis on modulating the immune system of the host, has been attracting considerable interest. Hence, the adverse effects of antibiotics and remedial effects of probiotics during infectious diseases have become central points of focus among researchers. Probiotics are live microorganisms, and when given in adequate quantities, confer good health effects to the host through different mechanisms. Among them, the regulation of host immune response during pathogenic infections is one of the most important mechanisms. A number of studies have investigated different aspects of probiotics. In this review, we mainly summarize recent discoveries and discuss two important aspects: (1) the application of probiotics during pathogenic infections; and (2) their modulatory effects on the immune response of the host during infectious and non-infectious diseases.","author":[{"dropping-particle":"","family":"Raheem","given":"Abdul","non-dropping-particle":"","parse-names":false,"suffix":""},{"dropping-particle":"","family":"Liang","given":"Lin","non-dropping-particle":"","parse-names":false,"suffix":""},{"dropping-particle":"","family":"Zhang","given":"Guangzhi","non-dropping-particle":"","parse-names":false,"suffix":""},{"dropping-particle":"","family":"Cui","given":"Shangjin","non-dropping-particle":"","parse-names":false,"suffix":""}],"container-title":"Frontiers in Immunology","id":"ITEM-1","issue":"April","issued":{"date-parts":[["2021"]]},"page":"1-32","title":"Modulatory effects of probiotics during pathogenic infections with emphasis on immune regulation","type":"article-journal","volume":"12"},"uris":["http://www.mendeley.com/documents/?uuid=b02dcaa5-6c52-454c-9f39-a2c21a8c0ca3"]},{"id":"ITEM-2","itemData":{"DOI":"10.3389/fimmu.2022.840245","ISSN":"16643224","PMID":"35464397","abstract":"In recent decades, probiotic bacteria have become increasingly popular as a result of mounting scientific evidence to indicate their beneficial role in modulating human health. Although there is strong evidence associating various Lactobacillus probiotics to various health benefits, further research is needed, in particular to determine the various mechanisms by which probiotics may exert these effects and indeed to gauge inter-individual value one can expect from consuming these products. One must take into consideration the differences in individual and combination strains, and conditions which create difficulty in making direct comparisons. The aim of this paper is to review the current understanding of the means by which Lactobacillus species stand to benefit our gastrointestinal health.","author":[{"dropping-particle":"","family":"Dempsey","given":"Elaine","non-dropping-particle":"","parse-names":false,"suffix":""},{"dropping-particle":"","family":"Corr","given":"Sinéad C.","non-dropping-particle":"","parse-names":false,"suffix":""}],"container-title":"Frontiers in Immunology","id":"ITEM-2","issue":"April","issued":{"date-parts":[["2022"]]},"page":"1-15","title":"Lactobacillus spp. for gastrointestinal health: current and future perspectives","type":"article-journal","volume":"13"},"uris":["http://www.mendeley.com/documents/?uuid=ff051a17-0ef3-4f22-9964-592d1eb15b1c"]},{"id":"ITEM-3","itemData":{"DOI":"10.1017/S1466252316000207","ISBN":"1466252316","ISSN":"14752654","PMID":"28485263","abstract":"With the increase in regulations regarding the use of antibiotic growth promoters and the rise in consumer demand for poultry products from 'Raised Without Antibiotics' or 'No Antibiotics Ever' flocks, the quest for alternative products or approaches has intensified in recent years. A great deal of research has focused on the development of antibiotic alternatives to maintain or improve poultry health and performance. This review describes the potential for the various alternatives available to increase animal productivity and help poultry perform to their genetic potential under existing commercial conditions. The classes of alternatives described include probiotics, prebiotics, synbiotics, organic acids, enzymes, phytogenics, antimicrobial peptides, hyperimmune egg antibodies, bacteriophages, clay, and metals. A brief description of the mechanism of action, efficacy, and advantages and disadvantages of their uses are also presented. Though the beneficial effects of many of the alternatives developed have been well demonstrated, the general consensus is that these products lack consistency and the results vary greatly from farm to farm. Furthermore, their mode of action needs to be better defined. Optimal combinations of various alternatives coupled with good management and husbandry practices will be the key to maximize performance and maintain animal productivity, while we move forward with the ultimate goal of reducing antibiotic use in the animal industry.","author":[{"dropping-particle":"","family":"Gadde","given":"U.","non-dropping-particle":"","parse-names":false,"suffix":""},{"dropping-particle":"","family":"Kim","given":"W. H.","non-dropping-particle":"","parse-names":false,"suffix":""},{"dropping-particle":"","family":"Oh","given":"S. T.","non-dropping-particle":"","parse-names":false,"suffix":""},{"dropping-particle":"","family":"Lillehoj","given":"Hyun S.","non-dropping-particle":"","parse-names":false,"suffix":""}],"container-title":"Animal Health Research Reviews","id":"ITEM-3","issue":"1","issued":{"date-parts":[["2017"]]},"page":"26-45","title":"Alternatives to antibiotics for maximizing growth performance and feed efficiency in poultry: A review","type":"article-journal","volume":"18"},"uris":["http://www.mendeley.com/documents/?uuid=f51e2588-419a-4796-9b0f-3ccde74056eb"]}],"mendeley":{"formattedCitation":"(Dempsey &amp; Corr, 2022; Gadde et al., 2017; Raheem et al., 2021)","manualFormatting":"(Gadde et al., 2017; Raheem et al., 2021)","plainTextFormattedCitation":"(Dempsey &amp; Corr, 2022; Gadde et al., 2017; Raheem et al., 2021)","previouslyFormattedCitation":"(Dempsey &amp; Corr, 2022; Gadde et al., 2017; Raheem et al., 2021)"},"properties":{"noteIndex":0},"schema":"https://github.com/citation-style-language/schema/raw/master/csl-citation.json"}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(Gadde et al., 2017; Raheem et al., 2021)</w:t>
      </w:r>
      <w:r w:rsidRPr="006C41D8">
        <w:rPr>
          <w:rFonts w:ascii="Arial" w:hAnsi="Arial" w:cs="Arial"/>
        </w:rPr>
        <w:fldChar w:fldCharType="end"/>
      </w:r>
      <w:r w:rsidRPr="006C41D8">
        <w:rPr>
          <w:rFonts w:ascii="Arial" w:hAnsi="Arial" w:cs="Arial"/>
        </w:rPr>
        <w:t xml:space="preserve">. </w:t>
      </w:r>
    </w:p>
    <w:p w14:paraId="78E6F6E5" w14:textId="77777777" w:rsidR="00421D6D" w:rsidRPr="006C41D8" w:rsidRDefault="00421D6D" w:rsidP="00510A69">
      <w:pPr>
        <w:pStyle w:val="Body"/>
        <w:rPr>
          <w:rFonts w:ascii="Arial" w:hAnsi="Arial" w:cs="Arial"/>
        </w:rPr>
      </w:pPr>
      <w:r w:rsidRPr="006C41D8">
        <w:rPr>
          <w:rFonts w:ascii="Arial" w:hAnsi="Arial" w:cs="Arial"/>
          <w:b/>
        </w:rPr>
        <w:t xml:space="preserve">3.1.2. </w:t>
      </w:r>
      <w:r w:rsidR="00510A69" w:rsidRPr="006C41D8">
        <w:rPr>
          <w:rFonts w:ascii="Arial" w:hAnsi="Arial" w:cs="Arial"/>
          <w:b/>
        </w:rPr>
        <w:t>Synthesis of antimicrobial substances</w:t>
      </w:r>
      <w:r w:rsidR="00510A69" w:rsidRPr="006C41D8">
        <w:rPr>
          <w:rFonts w:ascii="Arial" w:hAnsi="Arial" w:cs="Arial"/>
        </w:rPr>
        <w:t xml:space="preserve"> </w:t>
      </w:r>
    </w:p>
    <w:p w14:paraId="4F9AA19B" w14:textId="77777777" w:rsidR="00510A69" w:rsidRPr="006C41D8" w:rsidRDefault="00510A69" w:rsidP="00510A69">
      <w:pPr>
        <w:pStyle w:val="Body"/>
        <w:rPr>
          <w:rFonts w:ascii="Arial" w:hAnsi="Arial" w:cs="Arial"/>
        </w:rPr>
      </w:pPr>
      <w:r w:rsidRPr="006C41D8">
        <w:rPr>
          <w:rFonts w:ascii="Arial" w:hAnsi="Arial" w:cs="Arial"/>
        </w:rPr>
        <w:t xml:space="preserve">Probiotics generate compounds, including bacteriocins, that function as antibacterial agents targeting specific pathogenic bacteria while preserving the integrity of the normal gut microflora </w:t>
      </w:r>
      <w:r w:rsidRPr="006C41D8">
        <w:rPr>
          <w:rFonts w:ascii="Arial" w:hAnsi="Arial" w:cs="Arial"/>
        </w:rPr>
        <w:fldChar w:fldCharType="begin" w:fldLock="1"/>
      </w:r>
      <w:r w:rsidR="00221B45" w:rsidRPr="006C41D8">
        <w:rPr>
          <w:rFonts w:ascii="Arial" w:hAnsi="Arial" w:cs="Arial"/>
        </w:rPr>
        <w:instrText>ADDIN CSL_CITATION {"citationItems":[{"id":"ITEM-1","itemData":{"DOI":"10.3389/fmicb.2014.00241","ISSN":"1664302X","abstract":"Bacteriocins are a kind of ribosomal synthesized antimicrobial peptides produced by bacteria, which can kill or inhibit bacterial strains closely-related or non-related to produced bacteria, but will not harm the bacteria themselves by specific immunity proteins. Bacteriocins become one of the weapons against microorganisms due to the specific characteristics of large diversity of structure and function, natural resource, and being stable to heat. Many recent studies have purified and identified bacteriocins for application in food technology, which aims to extend food preservation time, treat pathogen disease and cancer therapy, and maintain human health. Therefore, bacteriocins may become a potential drug candidate for replacing antibiotics in order to treat multiple drugs resistance pathogens in the future. This review article summarizes different types of bacteriocins from bacteria. The latter half of this review focuses on the potential applications in food science and pharmaceutical industry. © 2014 Yang, Lin, Sung and Fang.","author":[{"dropping-particle":"","family":"Yang","given":"Shih-Chun","non-dropping-particle":"","parse-names":false,"suffix":""},{"dropping-particle":"","family":"Lin","given":"Chih-Hung","non-dropping-particle":"","parse-names":false,"suffix":""},{"dropping-particle":"","family":"Sung","given":"Calvin T.","non-dropping-particle":"","parse-names":false,"suffix":""},{"dropping-particle":"","family":"Fang","given":"Jia-You","non-dropping-particle":"","parse-names":false,"suffix":""}],"container-title":"Frontiers in Microbiology","id":"ITEM-1","issue":"MAY","issued":{"date-parts":[["2014"]]},"page":"1-10","title":"Antibacterial activities of bacteriocins: Application in foods and pharmaceuticals","type":"article-journal","volume":"5"},"uris":["http://www.mendeley.com/documents/?uuid=f6f1a7be-5c97-4e7c-9b99-dacef686bff9"]}],"mendeley":{"formattedCitation":"(S.-C. Yang et al., 2014)","manualFormatting":"(Yang et al., 2014; ","plainTextFormattedCitation":"(S.-C. Yang et al., 2014)","previouslyFormattedCitation":"(S.-C. Yang et al., 2014)"},"properties":{"noteIndex":0},"schema":"https://github.com/citation-style-language/schema/raw/master/csl-citation.json"}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(Yang et al., 2014</w:t>
      </w:r>
      <w:r w:rsidR="00221B45" w:rsidRPr="006C41D8">
        <w:rPr>
          <w:rFonts w:ascii="Arial" w:hAnsi="Arial" w:cs="Arial"/>
          <w:noProof/>
        </w:rPr>
        <w:t xml:space="preserve">; </w:t>
      </w:r>
      <w:r w:rsidRPr="006C41D8">
        <w:rPr>
          <w:rFonts w:ascii="Arial" w:hAnsi="Arial" w:cs="Arial"/>
        </w:rPr>
        <w:fldChar w:fldCharType="end"/>
      </w:r>
      <w:r w:rsidR="00221B45" w:rsidRPr="006C41D8">
        <w:t>Desiderato et al., 2021)</w:t>
      </w:r>
      <w:r w:rsidRPr="006C41D8">
        <w:rPr>
          <w:rFonts w:ascii="Arial" w:hAnsi="Arial" w:cs="Arial"/>
        </w:rPr>
        <w:t>.</w:t>
      </w:r>
      <w:r w:rsidR="00925A9D" w:rsidRPr="006C41D8">
        <w:rPr>
          <w:rFonts w:ascii="Arial" w:hAnsi="Arial" w:cs="Arial"/>
        </w:rPr>
        <w:t xml:space="preserve"> Research by Lone et al. (2020) </w:t>
      </w:r>
      <w:r w:rsidR="00925A9D" w:rsidRPr="006C41D8">
        <w:rPr>
          <w:rFonts w:ascii="Arial" w:hAnsi="Arial" w:cs="Arial"/>
        </w:rPr>
        <w:lastRenderedPageBreak/>
        <w:t xml:space="preserve">proved that </w:t>
      </w:r>
      <w:r w:rsidR="00925A9D" w:rsidRPr="006C41D8">
        <w:rPr>
          <w:rFonts w:ascii="Arial" w:hAnsi="Arial" w:cs="Arial"/>
          <w:i/>
        </w:rPr>
        <w:t>Lactobacilli</w:t>
      </w:r>
      <w:r w:rsidR="00925A9D" w:rsidRPr="006C41D8">
        <w:rPr>
          <w:rFonts w:ascii="Arial" w:hAnsi="Arial" w:cs="Arial"/>
        </w:rPr>
        <w:t xml:space="preserve"> strains isolated from chicken cecum mucosa produce bacteriocins and inhibitory substances against </w:t>
      </w:r>
      <w:r w:rsidR="00925A9D" w:rsidRPr="006C41D8">
        <w:rPr>
          <w:rFonts w:ascii="Arial" w:hAnsi="Arial" w:cs="Arial"/>
          <w:i/>
        </w:rPr>
        <w:t>Salmonella enterica</w:t>
      </w:r>
      <w:r w:rsidR="00925A9D" w:rsidRPr="006C41D8">
        <w:rPr>
          <w:rFonts w:ascii="Arial" w:hAnsi="Arial" w:cs="Arial"/>
        </w:rPr>
        <w:t xml:space="preserve"> and </w:t>
      </w:r>
      <w:r w:rsidR="00925A9D" w:rsidRPr="006C41D8">
        <w:rPr>
          <w:rFonts w:ascii="Arial" w:hAnsi="Arial" w:cs="Arial"/>
          <w:i/>
        </w:rPr>
        <w:t>Clostridium perfringens</w:t>
      </w:r>
      <w:r w:rsidR="00925A9D" w:rsidRPr="006C41D8">
        <w:rPr>
          <w:rFonts w:ascii="Arial" w:hAnsi="Arial" w:cs="Arial"/>
        </w:rPr>
        <w:t xml:space="preserve">. </w:t>
      </w:r>
    </w:p>
    <w:p w14:paraId="7A369F3B" w14:textId="77777777" w:rsidR="00421D6D" w:rsidRPr="006C41D8" w:rsidRDefault="00421D6D" w:rsidP="00510A69">
      <w:pPr>
        <w:pStyle w:val="Body"/>
        <w:rPr>
          <w:rFonts w:ascii="Arial" w:hAnsi="Arial" w:cs="Arial"/>
        </w:rPr>
      </w:pPr>
      <w:r w:rsidRPr="006C41D8">
        <w:rPr>
          <w:rFonts w:ascii="Arial" w:hAnsi="Arial" w:cs="Arial"/>
          <w:b/>
        </w:rPr>
        <w:t>3.1.3.</w:t>
      </w:r>
      <w:r w:rsidR="00510A69" w:rsidRPr="006C41D8">
        <w:rPr>
          <w:rFonts w:ascii="Arial" w:hAnsi="Arial" w:cs="Arial"/>
        </w:rPr>
        <w:t xml:space="preserve"> </w:t>
      </w:r>
      <w:r w:rsidR="00510A69" w:rsidRPr="006C41D8">
        <w:rPr>
          <w:rFonts w:ascii="Arial" w:hAnsi="Arial" w:cs="Arial"/>
          <w:b/>
        </w:rPr>
        <w:t>Prevention of pathogen adhesion</w:t>
      </w:r>
    </w:p>
    <w:p w14:paraId="1C87982A" w14:textId="0DEC070F" w:rsidR="00510A69" w:rsidRPr="006C41D8" w:rsidRDefault="00510A69" w:rsidP="00510A69">
      <w:pPr>
        <w:pStyle w:val="Body"/>
        <w:rPr>
          <w:rFonts w:ascii="Arial" w:hAnsi="Arial" w:cs="Arial"/>
        </w:rPr>
      </w:pPr>
      <w:r w:rsidRPr="006C41D8">
        <w:rPr>
          <w:rFonts w:ascii="Arial" w:hAnsi="Arial" w:cs="Arial"/>
        </w:rPr>
        <w:t xml:space="preserve">By occupying potential attachment sites on the intestinal epithelium, probiotics inhibit pathogens by establishing attachment and initiating infections </w:t>
      </w:r>
      <w:r w:rsidRPr="006C41D8">
        <w:rPr>
          <w:rFonts w:ascii="Arial" w:hAnsi="Arial" w:cs="Arial"/>
        </w:rPr>
        <w:fldChar w:fldCharType="begin" w:fldLock="1"/>
      </w:r>
      <w:r w:rsidR="00D0560D" w:rsidRPr="006C41D8">
        <w:rPr>
          <w:rFonts w:ascii="Arial" w:hAnsi="Arial" w:cs="Arial"/>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(Vinayamohan et al., 2024)</w:t>
      </w:r>
      <w:r w:rsidRPr="006C41D8">
        <w:rPr>
          <w:rFonts w:ascii="Arial" w:hAnsi="Arial" w:cs="Arial"/>
        </w:rPr>
        <w:fldChar w:fldCharType="end"/>
      </w:r>
      <w:r w:rsidRPr="006C41D8">
        <w:rPr>
          <w:rFonts w:ascii="Arial" w:hAnsi="Arial" w:cs="Arial"/>
        </w:rPr>
        <w:t xml:space="preserve">. For instance, research investigating the influence of probiotics on poultry has shown that incorporating </w:t>
      </w:r>
      <w:commentRangeStart w:id="2"/>
      <w:r w:rsidRPr="006C41D8">
        <w:rPr>
          <w:rFonts w:ascii="Arial" w:hAnsi="Arial" w:cs="Arial"/>
        </w:rPr>
        <w:t>probiotics</w:t>
      </w:r>
      <w:commentRangeEnd w:id="2"/>
      <w:r w:rsidR="00FA2BD9">
        <w:rPr>
          <w:rStyle w:val="CommentReference"/>
          <w:rFonts w:ascii="Times New Roman" w:hAnsi="Times New Roman"/>
          <w:lang w:val="nb-NO" w:eastAsia="nb-NO"/>
        </w:rPr>
        <w:commentReference w:id="2"/>
      </w:r>
      <w:r w:rsidRPr="006C41D8">
        <w:rPr>
          <w:rFonts w:ascii="Arial" w:hAnsi="Arial" w:cs="Arial"/>
        </w:rPr>
        <w:t xml:space="preserve"> can significantly reduce the colonization of </w:t>
      </w:r>
      <w:r w:rsidRPr="006C41D8">
        <w:rPr>
          <w:rFonts w:ascii="Arial" w:hAnsi="Arial" w:cs="Arial"/>
          <w:i/>
        </w:rPr>
        <w:t>Salmonella</w:t>
      </w:r>
      <w:r w:rsidRPr="006C41D8">
        <w:rPr>
          <w:rFonts w:ascii="Arial" w:hAnsi="Arial" w:cs="Arial"/>
        </w:rPr>
        <w:t xml:space="preserve"> and </w:t>
      </w:r>
      <w:r w:rsidRPr="006C41D8">
        <w:rPr>
          <w:rFonts w:ascii="Arial" w:hAnsi="Arial" w:cs="Arial"/>
          <w:i/>
        </w:rPr>
        <w:t>Escherichia coli</w:t>
      </w:r>
      <w:r w:rsidRPr="006C41D8">
        <w:rPr>
          <w:rFonts w:ascii="Arial" w:hAnsi="Arial" w:cs="Arial"/>
        </w:rPr>
        <w:t xml:space="preserve"> through competitive exclusion </w:t>
      </w:r>
      <w:r w:rsidRPr="006C41D8">
        <w:rPr>
          <w:rFonts w:ascii="Arial" w:hAnsi="Arial" w:cs="Arial"/>
        </w:rPr>
        <w:fldChar w:fldCharType="begin" w:fldLock="1"/>
      </w:r>
      <w:r w:rsidR="00D0560D" w:rsidRPr="006C41D8">
        <w:rPr>
          <w:rFonts w:ascii="Arial" w:hAnsi="Arial" w:cs="Arial"/>
        </w:rPr>
        <w:instrText>ADDIN CSL_CITATION {"citationItems":[{"id":"ITEM-1","itemData":{"DOI":"10.3389/fimmu.2021.616713","ISSN":"16643224","PMID":"33897683","abstract":"In order to inhibit pathogenic complications and to enhance animal and poultry growth, antibiotics have been extensively used for many years. Antibiotics applications not only affect target pathogens but also intestinal beneficially microbes, inducing long-lasting changes in intestinal microbiota associated with diseases. The application of antibiotics also has many other side effects like, intestinal barrier dysfunction, antibiotics residues in foodstuffs, nephropathy, allergy, bone marrow toxicity, mutagenicity, reproductive disorders, hepatotoxicity carcinogenicity, and antibiotic-resistant bacteria, which greatly compromise the efficacy of antibiotics. Thus, the development of new antibiotics is necessary, while the search for antibiotic alternatives continues. Probiotics are considered the ideal antibiotic substitute; in recent years, probiotic research concerning their application during pathogenic infections in humans, aquaculture, poultry, and livestock industry, with emphasis on modulating the immune system of the host, has been attracting considerable interest. Hence, the adverse effects of antibiotics and remedial effects of probiotics during infectious diseases have become central points of focus among researchers. Probiotics are live microorganisms, and when given in adequate quantities, confer good health effects to the host through different mechanisms. Among them, the regulation of host immune response during pathogenic infections is one of the most important mechanisms. A number of studies have investigated different aspects of probiotics. In this review, we mainly summarize recent discoveries and discuss two important aspects: (1) the application of probiotics during pathogenic infections; and (2) their modulatory effects on the immune response of the host during infectious and non-infectious diseases.","author":[{"dropping-particle":"","family":"Raheem","given":"Abdul","non-dropping-particle":"","parse-names":false,"suffix":""},{"dropping-particle":"","family":"Liang","given":"Lin","non-dropping-particle":"","parse-names":false,"suffix":""},{"dropping-particle":"","family":"Zhang","given":"Guangzhi","non-dropping-particle":"","parse-names":false,"suffix":""},{"dropping-particle":"","family":"Cui","given":"Shangjin","non-dropping-particle":"","parse-names":false,"suffix":""}],"container-title":"Frontiers in Immunology","id":"ITEM-1","issue":"April","issued":{"date-parts":[["2021"]]},"page":"1-32","title":"Modulatory effects of probiotics during pathogenic infections with emphasis on immune regulation","type":"article-journal","volume":"12"},"uris":["http://www.mendeley.com/documents/?uuid=b02dcaa5-6c52-454c-9f39-a2c21a8c0ca3"]}],"mendeley":{"formattedCitation":"(Raheem et al., 2021)","manualFormatting":"(Raheem et al., 2021;","plainTextFormattedCitation":"(Raheem et al., 2021)","previouslyFormattedCitation":"(Raheem et al., 2021)"},"properties":{"noteIndex":0},"schema":"https://github.com/citation-style-language/schema/raw/master/csl-citation.json"}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(Raheem et al., 2021;</w:t>
      </w:r>
      <w:r w:rsidRPr="006C41D8">
        <w:rPr>
          <w:rFonts w:ascii="Arial" w:hAnsi="Arial" w:cs="Arial"/>
        </w:rPr>
        <w:fldChar w:fldCharType="end"/>
      </w:r>
      <w:r w:rsidRPr="006C41D8">
        <w:rPr>
          <w:rFonts w:ascii="Arial" w:hAnsi="Arial" w:cs="Arial"/>
        </w:rPr>
        <w:t xml:space="preserve"> </w:t>
      </w:r>
      <w:r w:rsidRPr="006C41D8">
        <w:rPr>
          <w:rFonts w:ascii="Arial" w:hAnsi="Arial" w:cs="Arial"/>
        </w:rPr>
        <w:fldChar w:fldCharType="begin" w:fldLock="1"/>
      </w:r>
      <w:r w:rsidR="00D0560D" w:rsidRPr="006C41D8">
        <w:rPr>
          <w:rFonts w:ascii="Arial" w:hAnsi="Arial" w:cs="Arial"/>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2024)","manualFormatting":"Vinayamohan et al., 2024)","plainTextFormattedCitation":"(Vinayamohan et al., 2024)","previouslyFormattedCitation":"(Vinayamohan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Vinayamohan et al., 2024)</w:t>
      </w:r>
      <w:r w:rsidRPr="006C41D8">
        <w:rPr>
          <w:rFonts w:ascii="Arial" w:hAnsi="Arial" w:cs="Arial"/>
        </w:rPr>
        <w:fldChar w:fldCharType="end"/>
      </w:r>
      <w:r w:rsidRPr="006C41D8">
        <w:rPr>
          <w:rFonts w:ascii="Arial" w:hAnsi="Arial" w:cs="Arial"/>
        </w:rPr>
        <w:t xml:space="preserve">. This mechanism not only curtails the population of pathogens within the gastrointestinal tract but also helps maintain a healthy balance of gut microflora, promoting the digestive well-being of poultry </w:t>
      </w:r>
      <w:r w:rsidRPr="006C41D8">
        <w:rPr>
          <w:rFonts w:ascii="Arial" w:hAnsi="Arial" w:cs="Arial"/>
        </w:rPr>
        <w:fldChar w:fldCharType="begin" w:fldLock="1"/>
      </w:r>
      <w:r w:rsidRPr="006C41D8">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poultry","type":"article-journal","volume":"10"},"uris":["http://www.mendeley.com/documents/?uuid=9ba3f14b-fc9a-4942-bc1b-b27473a10044"]}],"mendeley":{"formattedCitation":"(Yadav &amp; Jha, 2019)","plainTextFormattedCitation":"(Yadav &amp; Jha, 2019)","previouslyFormattedCitation":"(Yadav &amp; Jha,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(Yadav &amp; Jha, 2019)</w:t>
      </w:r>
      <w:r w:rsidRPr="006C41D8">
        <w:rPr>
          <w:rFonts w:ascii="Arial" w:hAnsi="Arial" w:cs="Arial"/>
        </w:rPr>
        <w:fldChar w:fldCharType="end"/>
      </w:r>
      <w:r w:rsidRPr="006C41D8">
        <w:rPr>
          <w:rFonts w:ascii="Arial" w:hAnsi="Arial" w:cs="Arial"/>
        </w:rPr>
        <w:t xml:space="preserve">. Research by </w:t>
      </w:r>
      <w:r w:rsidRPr="006C41D8">
        <w:rPr>
          <w:rFonts w:ascii="Arial" w:hAnsi="Arial" w:cs="Arial"/>
        </w:rPr>
        <w:fldChar w:fldCharType="begin" w:fldLock="1"/>
      </w:r>
      <w:r w:rsidRPr="006C41D8">
        <w:rPr>
          <w:rFonts w:ascii="Arial" w:hAnsi="Arial" w:cs="Arial"/>
        </w:rPr>
        <w:instrText>ADDIN CSL_CITATION {"citationItems":[{"id":"ITEM-1","itemData":{"author":[{"dropping-particle":"","family":"Khabirov","given":"A.","non-dropping-particle":"","parse-names":false,"suffix":""},{"dropping-particle":"","family":"Avzalov","given":"R.","non-dropping-particle":"","parse-names":false,"suffix":""},{"dropping-particle":"","family":"Tsapalova","given":"G.","non-dropping-particle":"","parse-names":false,"suffix":""},{"dropping-particle":"","family":"Andreeva","given":"A.","non-dropping-particle":"","parse-names":false,"suffix":""},{"dropping-particle":"","family":"Basharov","given":"A.","non-dropping-particle":"","parse-names":false,"suffix":""}],"container-title":"Veterinary World","id":"ITEM-1","issue":"25","issued":{"date-parts":[["2022"]]},"page":"998-1005","title":"Effect of a probiotic containing lactobacilli and bifidobacteria on the metabolic processes , litter microbiocenosis , and production indicators of broiler Pekin ducklings","type":"article-journal","volume":"15"},"uris":["http://www.mendeley.com/documents/?uuid=2ab8f26f-6fa5-46db-8f2b-7c796cccc79c"]}],"mendeley":{"formattedCitation":"(Khabirov et al., 2022)","manualFormatting":"Khabirov et al. (2022)","plainTextFormattedCitation":"(Khabirov et al., 2022)","previouslyFormattedCitation":"(Khabirov et al., 2022)"},"properties":{"noteIndex":0},"schema":"https://github.com/citation-style-language/schema/raw/master/csl-citation.json"}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Khabirov et al. (2022)</w:t>
      </w:r>
      <w:r w:rsidRPr="006C41D8">
        <w:rPr>
          <w:rFonts w:ascii="Arial" w:hAnsi="Arial" w:cs="Arial"/>
        </w:rPr>
        <w:fldChar w:fldCharType="end"/>
      </w:r>
      <w:r w:rsidRPr="006C41D8">
        <w:rPr>
          <w:rFonts w:ascii="Arial" w:hAnsi="Arial" w:cs="Arial"/>
        </w:rPr>
        <w:t xml:space="preserve">, which added a mixture of </w:t>
      </w:r>
      <w:r w:rsidRPr="006C41D8">
        <w:rPr>
          <w:rFonts w:ascii="Arial" w:hAnsi="Arial" w:cs="Arial"/>
          <w:i/>
        </w:rPr>
        <w:t xml:space="preserve">Bifidobacterium </w:t>
      </w:r>
      <w:proofErr w:type="spellStart"/>
      <w:r w:rsidRPr="006C41D8">
        <w:rPr>
          <w:rFonts w:ascii="Arial" w:hAnsi="Arial" w:cs="Arial"/>
          <w:i/>
        </w:rPr>
        <w:t>adolescentis</w:t>
      </w:r>
      <w:proofErr w:type="spellEnd"/>
      <w:r w:rsidRPr="006C41D8">
        <w:rPr>
          <w:rFonts w:ascii="Arial" w:hAnsi="Arial" w:cs="Arial"/>
        </w:rPr>
        <w:t xml:space="preserve"> (at least 80 million/g) and </w:t>
      </w:r>
      <w:r w:rsidRPr="006C41D8">
        <w:rPr>
          <w:rFonts w:ascii="Arial" w:hAnsi="Arial" w:cs="Arial"/>
          <w:i/>
        </w:rPr>
        <w:t>Lactobacillus acidophilus</w:t>
      </w:r>
      <w:r w:rsidR="00E465F3">
        <w:rPr>
          <w:rFonts w:ascii="Arial" w:hAnsi="Arial" w:cs="Arial"/>
          <w:i/>
        </w:rPr>
        <w:t xml:space="preserve"> </w:t>
      </w:r>
      <w:commentRangeStart w:id="3"/>
      <w:r w:rsidR="00E465F3">
        <w:rPr>
          <w:rFonts w:ascii="Arial" w:hAnsi="Arial" w:cs="Arial"/>
          <w:i/>
        </w:rPr>
        <w:t>**</w:t>
      </w:r>
      <w:r w:rsidRPr="006C41D8">
        <w:rPr>
          <w:rFonts w:ascii="Arial" w:hAnsi="Arial" w:cs="Arial"/>
        </w:rPr>
        <w:t xml:space="preserve"> </w:t>
      </w:r>
      <w:commentRangeEnd w:id="3"/>
      <w:r w:rsidR="00E465F3">
        <w:rPr>
          <w:rStyle w:val="CommentReference"/>
          <w:rFonts w:ascii="Times New Roman" w:hAnsi="Times New Roman"/>
          <w:lang w:val="nb-NO" w:eastAsia="nb-NO"/>
        </w:rPr>
        <w:commentReference w:id="3"/>
      </w:r>
      <w:r w:rsidRPr="006C41D8">
        <w:rPr>
          <w:rFonts w:ascii="Arial" w:hAnsi="Arial" w:cs="Arial"/>
        </w:rPr>
        <w:t xml:space="preserve">in the ration, increased </w:t>
      </w:r>
      <w:r w:rsidRPr="006C41D8">
        <w:rPr>
          <w:rFonts w:ascii="Arial" w:hAnsi="Arial" w:cs="Arial"/>
          <w:i/>
        </w:rPr>
        <w:t>Lactobacilli</w:t>
      </w:r>
      <w:r w:rsidRPr="006C41D8">
        <w:rPr>
          <w:rFonts w:ascii="Arial" w:hAnsi="Arial" w:cs="Arial"/>
        </w:rPr>
        <w:t xml:space="preserve"> and </w:t>
      </w:r>
      <w:r w:rsidRPr="006C41D8">
        <w:rPr>
          <w:rFonts w:ascii="Arial" w:hAnsi="Arial" w:cs="Arial"/>
          <w:i/>
        </w:rPr>
        <w:t>Bifidobacteria</w:t>
      </w:r>
      <w:r w:rsidRPr="006C41D8">
        <w:rPr>
          <w:rFonts w:ascii="Arial" w:hAnsi="Arial" w:cs="Arial"/>
        </w:rPr>
        <w:t xml:space="preserve"> in the feces of experimental ducks by 1.9 times and 1.57 times, respectively, and reduced </w:t>
      </w:r>
      <w:r w:rsidRPr="006C41D8">
        <w:rPr>
          <w:rFonts w:ascii="Arial" w:hAnsi="Arial" w:cs="Arial"/>
          <w:i/>
        </w:rPr>
        <w:t>E. coli</w:t>
      </w:r>
      <w:r w:rsidRPr="006C41D8">
        <w:rPr>
          <w:rFonts w:ascii="Arial" w:hAnsi="Arial" w:cs="Arial"/>
        </w:rPr>
        <w:t xml:space="preserve"> by 2.15 times. Table 2. shows a comparative analysis of the probiotic strains based on their metabolite compounds, competitive exclusion mechanisms, and clinical implications for poultry health.</w:t>
      </w:r>
    </w:p>
    <w:p w14:paraId="18E5554F" w14:textId="77777777" w:rsidR="00510A69" w:rsidRPr="006C41D8" w:rsidRDefault="00510A69" w:rsidP="00510A69">
      <w:pPr>
        <w:pStyle w:val="Body"/>
        <w:rPr>
          <w:rFonts w:ascii="Arial" w:hAnsi="Arial" w:cs="Arial"/>
        </w:rPr>
      </w:pPr>
      <w:r w:rsidRPr="006C41D8">
        <w:rPr>
          <w:rFonts w:ascii="Arial" w:hAnsi="Arial" w:cs="Arial"/>
        </w:rPr>
        <w:t xml:space="preserve">Table 2. Comparative Analysis of Competitive Exclusion Mechanisms Across Diverse Probiotic </w:t>
      </w:r>
    </w:p>
    <w:tbl>
      <w:tblPr>
        <w:tblStyle w:val="TableGrid"/>
        <w:tblW w:w="84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275"/>
        <w:gridCol w:w="1985"/>
        <w:gridCol w:w="1843"/>
        <w:gridCol w:w="1701"/>
      </w:tblGrid>
      <w:tr w:rsidR="00510A69" w:rsidRPr="006C41D8" w14:paraId="3F6C5FA0" w14:textId="77777777" w:rsidTr="00510A69">
        <w:tc>
          <w:tcPr>
            <w:tcW w:w="1668" w:type="dxa"/>
            <w:tcBorders>
              <w:top w:val="single" w:sz="4" w:space="0" w:color="auto"/>
              <w:bottom w:val="single" w:sz="4" w:space="0" w:color="auto"/>
            </w:tcBorders>
          </w:tcPr>
          <w:p w14:paraId="31066734" w14:textId="77777777" w:rsidR="00510A69" w:rsidRPr="006C41D8" w:rsidRDefault="00510A69" w:rsidP="00510A69">
            <w:pPr>
              <w:pStyle w:val="Body"/>
              <w:rPr>
                <w:rFonts w:ascii="Arial" w:hAnsi="Arial" w:cs="Arial"/>
                <w:b/>
                <w:sz w:val="18"/>
                <w:szCs w:val="18"/>
              </w:rPr>
            </w:pPr>
            <w:r w:rsidRPr="006C41D8">
              <w:rPr>
                <w:rFonts w:ascii="Arial" w:hAnsi="Arial" w:cs="Arial"/>
                <w:b/>
                <w:sz w:val="18"/>
                <w:szCs w:val="18"/>
              </w:rPr>
              <w:t>Probiotic Strains</w:t>
            </w:r>
          </w:p>
        </w:tc>
        <w:tc>
          <w:tcPr>
            <w:tcW w:w="1275" w:type="dxa"/>
            <w:tcBorders>
              <w:top w:val="single" w:sz="4" w:space="0" w:color="auto"/>
              <w:bottom w:val="single" w:sz="4" w:space="0" w:color="auto"/>
            </w:tcBorders>
          </w:tcPr>
          <w:p w14:paraId="5DB215DF" w14:textId="77777777" w:rsidR="00510A69" w:rsidRPr="006C41D8" w:rsidRDefault="00510A69" w:rsidP="00510A69">
            <w:pPr>
              <w:pStyle w:val="Body"/>
              <w:rPr>
                <w:rFonts w:ascii="Arial" w:hAnsi="Arial" w:cs="Arial"/>
                <w:b/>
                <w:sz w:val="18"/>
                <w:szCs w:val="18"/>
              </w:rPr>
            </w:pPr>
            <w:r w:rsidRPr="006C41D8">
              <w:rPr>
                <w:rFonts w:ascii="Arial" w:hAnsi="Arial" w:cs="Arial"/>
                <w:b/>
                <w:sz w:val="18"/>
                <w:szCs w:val="18"/>
              </w:rPr>
              <w:t xml:space="preserve">Product Compounds </w:t>
            </w:r>
          </w:p>
        </w:tc>
        <w:tc>
          <w:tcPr>
            <w:tcW w:w="1985" w:type="dxa"/>
            <w:tcBorders>
              <w:top w:val="single" w:sz="4" w:space="0" w:color="auto"/>
              <w:bottom w:val="single" w:sz="4" w:space="0" w:color="auto"/>
            </w:tcBorders>
          </w:tcPr>
          <w:p w14:paraId="13FE0001" w14:textId="77777777" w:rsidR="00510A69" w:rsidRPr="006C41D8" w:rsidRDefault="00510A69" w:rsidP="00510A69">
            <w:pPr>
              <w:pStyle w:val="Body"/>
              <w:rPr>
                <w:rFonts w:ascii="Arial" w:hAnsi="Arial" w:cs="Arial"/>
                <w:b/>
                <w:sz w:val="18"/>
                <w:szCs w:val="18"/>
              </w:rPr>
            </w:pPr>
            <w:r w:rsidRPr="006C41D8">
              <w:rPr>
                <w:rFonts w:ascii="Arial" w:hAnsi="Arial" w:cs="Arial"/>
                <w:b/>
                <w:sz w:val="18"/>
                <w:szCs w:val="18"/>
              </w:rPr>
              <w:t xml:space="preserve">Main Mechanism </w:t>
            </w:r>
          </w:p>
        </w:tc>
        <w:tc>
          <w:tcPr>
            <w:tcW w:w="1843" w:type="dxa"/>
            <w:tcBorders>
              <w:top w:val="single" w:sz="4" w:space="0" w:color="auto"/>
              <w:bottom w:val="single" w:sz="4" w:space="0" w:color="auto"/>
            </w:tcBorders>
          </w:tcPr>
          <w:p w14:paraId="1252E0BC" w14:textId="77777777" w:rsidR="00510A69" w:rsidRPr="006C41D8" w:rsidRDefault="00510A69" w:rsidP="00510A69">
            <w:pPr>
              <w:pStyle w:val="Body"/>
              <w:rPr>
                <w:rFonts w:ascii="Arial" w:hAnsi="Arial" w:cs="Arial"/>
                <w:b/>
                <w:sz w:val="18"/>
                <w:szCs w:val="18"/>
              </w:rPr>
            </w:pPr>
            <w:r w:rsidRPr="006C41D8">
              <w:rPr>
                <w:rFonts w:ascii="Arial" w:hAnsi="Arial" w:cs="Arial"/>
                <w:b/>
                <w:sz w:val="18"/>
                <w:szCs w:val="18"/>
              </w:rPr>
              <w:t>Clinical Effects</w:t>
            </w:r>
          </w:p>
        </w:tc>
        <w:tc>
          <w:tcPr>
            <w:tcW w:w="1701" w:type="dxa"/>
            <w:tcBorders>
              <w:top w:val="single" w:sz="4" w:space="0" w:color="auto"/>
              <w:bottom w:val="single" w:sz="4" w:space="0" w:color="auto"/>
            </w:tcBorders>
          </w:tcPr>
          <w:p w14:paraId="108452E2" w14:textId="77777777" w:rsidR="00510A69" w:rsidRPr="006C41D8" w:rsidRDefault="00510A69" w:rsidP="00510A69">
            <w:pPr>
              <w:pStyle w:val="Body"/>
              <w:rPr>
                <w:rFonts w:ascii="Arial" w:hAnsi="Arial" w:cs="Arial"/>
                <w:b/>
                <w:sz w:val="18"/>
                <w:szCs w:val="18"/>
              </w:rPr>
            </w:pPr>
            <w:r w:rsidRPr="006C41D8">
              <w:rPr>
                <w:rFonts w:ascii="Arial" w:hAnsi="Arial" w:cs="Arial"/>
                <w:b/>
                <w:sz w:val="18"/>
                <w:szCs w:val="18"/>
              </w:rPr>
              <w:t>Reference</w:t>
            </w:r>
          </w:p>
        </w:tc>
      </w:tr>
      <w:tr w:rsidR="00510A69" w:rsidRPr="006C41D8" w14:paraId="6214C20A" w14:textId="77777777" w:rsidTr="00510A69">
        <w:tc>
          <w:tcPr>
            <w:tcW w:w="1668" w:type="dxa"/>
            <w:tcBorders>
              <w:top w:val="single" w:sz="4" w:space="0" w:color="auto"/>
            </w:tcBorders>
          </w:tcPr>
          <w:p w14:paraId="3B9D4774" w14:textId="77777777" w:rsidR="00510A69" w:rsidRPr="006C41D8" w:rsidRDefault="00510A69" w:rsidP="00510A69">
            <w:pPr>
              <w:pStyle w:val="Body"/>
              <w:rPr>
                <w:rFonts w:ascii="Arial" w:hAnsi="Arial" w:cs="Arial"/>
                <w:sz w:val="18"/>
                <w:szCs w:val="18"/>
              </w:rPr>
            </w:pPr>
            <w:r w:rsidRPr="006C41D8">
              <w:rPr>
                <w:rFonts w:ascii="Arial" w:hAnsi="Arial" w:cs="Arial"/>
                <w:i/>
                <w:sz w:val="18"/>
                <w:szCs w:val="18"/>
              </w:rPr>
              <w:t xml:space="preserve">Lactobacillus </w:t>
            </w:r>
            <w:r w:rsidRPr="006C41D8">
              <w:rPr>
                <w:rFonts w:ascii="Arial" w:hAnsi="Arial" w:cs="Arial"/>
                <w:sz w:val="18"/>
                <w:szCs w:val="18"/>
              </w:rPr>
              <w:t xml:space="preserve">spp. </w:t>
            </w:r>
          </w:p>
        </w:tc>
        <w:tc>
          <w:tcPr>
            <w:tcW w:w="1275" w:type="dxa"/>
            <w:tcBorders>
              <w:top w:val="single" w:sz="4" w:space="0" w:color="auto"/>
            </w:tcBorders>
          </w:tcPr>
          <w:p w14:paraId="1BCB0E2D" w14:textId="77777777" w:rsidR="00510A69" w:rsidRPr="006C41D8" w:rsidRDefault="00510A69" w:rsidP="00CB09EF">
            <w:pPr>
              <w:pStyle w:val="Body"/>
              <w:rPr>
                <w:rFonts w:ascii="Arial" w:hAnsi="Arial" w:cs="Arial"/>
                <w:sz w:val="18"/>
                <w:szCs w:val="18"/>
              </w:rPr>
            </w:pPr>
            <w:r w:rsidRPr="006C41D8">
              <w:rPr>
                <w:rFonts w:ascii="Arial" w:hAnsi="Arial" w:cs="Arial"/>
                <w:sz w:val="18"/>
                <w:szCs w:val="18"/>
              </w:rPr>
              <w:t>Lactic acid, SCFAs</w:t>
            </w:r>
          </w:p>
        </w:tc>
        <w:tc>
          <w:tcPr>
            <w:tcW w:w="1985" w:type="dxa"/>
            <w:tcBorders>
              <w:top w:val="single" w:sz="4" w:space="0" w:color="auto"/>
            </w:tcBorders>
          </w:tcPr>
          <w:p w14:paraId="57EB9070"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Reduction of intestinal pH, competitive interactions</w:t>
            </w:r>
          </w:p>
        </w:tc>
        <w:tc>
          <w:tcPr>
            <w:tcW w:w="1843" w:type="dxa"/>
            <w:tcBorders>
              <w:top w:val="single" w:sz="4" w:space="0" w:color="auto"/>
            </w:tcBorders>
          </w:tcPr>
          <w:p w14:paraId="03110C75"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Decreased colonization by pathogenic organisms</w:t>
            </w:r>
          </w:p>
        </w:tc>
        <w:tc>
          <w:tcPr>
            <w:tcW w:w="1701" w:type="dxa"/>
            <w:tcBorders>
              <w:top w:val="single" w:sz="4" w:space="0" w:color="auto"/>
            </w:tcBorders>
          </w:tcPr>
          <w:p w14:paraId="401789F8"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fldChar w:fldCharType="begin" w:fldLock="1"/>
            </w:r>
            <w:r w:rsidR="00D0560D" w:rsidRPr="006C41D8">
              <w:rPr>
                <w:rFonts w:ascii="Arial" w:hAnsi="Arial" w:cs="Arial"/>
                <w:sz w:val="18"/>
                <w:szCs w:val="18"/>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(Vinayamohan et al., 2024)</w:t>
            </w:r>
            <w:r w:rsidRPr="006C41D8">
              <w:rPr>
                <w:rFonts w:ascii="Arial" w:hAnsi="Arial" w:cs="Arial"/>
                <w:sz w:val="18"/>
                <w:szCs w:val="18"/>
              </w:rPr>
              <w:fldChar w:fldCharType="end"/>
            </w:r>
          </w:p>
        </w:tc>
      </w:tr>
      <w:tr w:rsidR="00510A69" w:rsidRPr="006C41D8" w14:paraId="2E66B481" w14:textId="77777777" w:rsidTr="00510A69">
        <w:tc>
          <w:tcPr>
            <w:tcW w:w="1668" w:type="dxa"/>
          </w:tcPr>
          <w:p w14:paraId="5164ED65" w14:textId="77777777" w:rsidR="00510A69" w:rsidRPr="006C41D8" w:rsidRDefault="00510A69" w:rsidP="00510A69">
            <w:pPr>
              <w:pStyle w:val="Body"/>
              <w:rPr>
                <w:rFonts w:ascii="Arial" w:hAnsi="Arial" w:cs="Arial"/>
                <w:i/>
                <w:sz w:val="18"/>
                <w:szCs w:val="18"/>
              </w:rPr>
            </w:pPr>
            <w:r w:rsidRPr="006C41D8">
              <w:rPr>
                <w:rFonts w:ascii="Arial" w:hAnsi="Arial" w:cs="Arial"/>
                <w:i/>
                <w:sz w:val="18"/>
                <w:szCs w:val="18"/>
              </w:rPr>
              <w:t>B. subtilis and</w:t>
            </w:r>
          </w:p>
          <w:p w14:paraId="27F42DE2" w14:textId="77777777" w:rsidR="00510A69" w:rsidRPr="006C41D8" w:rsidRDefault="00510A69" w:rsidP="00510A69">
            <w:pPr>
              <w:pStyle w:val="Body"/>
              <w:rPr>
                <w:rFonts w:ascii="Arial" w:hAnsi="Arial" w:cs="Arial"/>
                <w:i/>
                <w:sz w:val="18"/>
                <w:szCs w:val="18"/>
              </w:rPr>
            </w:pPr>
            <w:r w:rsidRPr="006C41D8">
              <w:rPr>
                <w:rFonts w:ascii="Arial" w:hAnsi="Arial" w:cs="Arial"/>
                <w:i/>
                <w:sz w:val="18"/>
                <w:szCs w:val="18"/>
              </w:rPr>
              <w:t>B. licheniformis</w:t>
            </w:r>
          </w:p>
        </w:tc>
        <w:tc>
          <w:tcPr>
            <w:tcW w:w="1275" w:type="dxa"/>
          </w:tcPr>
          <w:p w14:paraId="5D910A0C"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 xml:space="preserve">acetic and propionic acid, </w:t>
            </w:r>
          </w:p>
        </w:tc>
        <w:tc>
          <w:tcPr>
            <w:tcW w:w="1985" w:type="dxa"/>
          </w:tcPr>
          <w:p w14:paraId="203B4B1F"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 xml:space="preserve">Enhancing immune functions, modulating gut microbiota. </w:t>
            </w:r>
          </w:p>
        </w:tc>
        <w:tc>
          <w:tcPr>
            <w:tcW w:w="1843" w:type="dxa"/>
          </w:tcPr>
          <w:p w14:paraId="1DBDB928"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Reducing the number of pathogens.</w:t>
            </w:r>
          </w:p>
        </w:tc>
        <w:tc>
          <w:tcPr>
            <w:tcW w:w="1701" w:type="dxa"/>
          </w:tcPr>
          <w:p w14:paraId="127505A8"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fldChar w:fldCharType="begin" w:fldLock="1"/>
            </w:r>
            <w:r w:rsidRPr="006C41D8">
              <w:rPr>
                <w:rFonts w:ascii="Arial" w:hAnsi="Arial" w:cs="Arial"/>
                <w:sz w:val="18"/>
                <w:szCs w:val="18"/>
              </w:rPr>
              <w:instrText>ADDIN CSL_CITATION {"citationItems":[{"id":"ITEM-1","itemData":{"DOI":"10.1016/j.psj.2021.101358","ISSN":"15253171","PMID":"34358955","abstract":"This study investigated the effects of dietary supplementation with Bacillus subtilis (B. subtilis) or Bacillus licheniformis (B. licheniformis) on growth performance, immunity, antioxidant capacity, short chain fatty acid (SCFA) production, and the cecal microflora in broiler chickens. In total, 360 male, 1-day-old Cobb 500 birds were randomly divided into 3 groups: the control group was fed a basal diet; the B. subtilis group was fed a basal diet supplemented with 1.5 × 109 CFU/kg B. subtilis; the B. licheniformis group was fed a basal diet supplemented with 1.5 × 109 CFU/kg B. licheniformis. Results showed that chickens supplemented with either B. subtilis or B. licheniformis had comparatively higher (P &lt; 0.05) body weight and average daily gain, whereas no difference (P &gt; 0.05) was observed in feed efficiency. Concentrations of serum IgA, IgY, and IgM, as well as anti-inflammatory IL-10 were significantly increased (P &lt; 0.05), and proinflammatory IL-1β and IL-6 were significantly decreased (P &lt; 0.05) by B. subtilis or B. licheniformis supplementation. Moreover, chickens fed with diets supplemented by either B. subtilis or B. licheniformis had greater antioxidant capacity, indicated by the notable increases (P &lt; 0.05) in glutathione peroxidase, superoxide dismutase, and catalase, along with decrease (P &lt; 0.05) in malondialdehyde. Compared to the control group, levels of SCFA, excluding acetic and propionic acid, in cecal content had improved (P &lt; 0.05) by adding B. licheniformis, and significant increase (P &lt; 0.05) in acetic and butyric acid was observed with B. subtilis supplementation. Microbial analysis showed that both B. subtilis or B. licheniformis supplementation could increase butyrate-producing bacteria such as Alistipes and Butyricicoccus, and decrease pathogenic bacteria such as the Synergistetes and Gammaproteobacteria. In summary, dietary supplemented with B. subtilis or B. licheniformis improved growth performance, immune status, and antioxidant capacity, increased SCFA production, and modulated cecal microbiota in chickens. Moreover, B. licheniformis was more effective than B. subtilis with the same supplemental amount.","author":[{"dropping-particle":"","family":"Xu","given":"Yinglei","non-dropping-particle":"","parse-names":false,"suffix":""},{"dropping-particle":"","family":"Yu","given":"Yang","non-dropping-particle":"","parse-names":false,"suffix":""},{"dropping-particle":"","family":"Shen","given":"Yuanyuan","non-dropping-particle":"","parse-names":false,"suffix":""},{"dropping-particle":"","family":"Li","given":"Qing","non-dropping-particle":"","parse-names":false,"suffix":""},{"dropping-particle":"","family":"Lan","given":"Junhong","non-dropping-particle":"","parse-names":false,"suffix":""},{"dropping-particle":"","family":"Wu","given":"Yanping","non-dropping-particle":"","parse-names":false,"suffix":""},{"dropping-particle":"","family":"Zhang","given":"Ruiqiang","non-dropping-particle":"","parse-names":false,"suffix":""},{"dropping-particle":"","family":"Cao","given":"Guantian","non-dropping-particle":"","parse-names":false,"suffix":""},{"dropping-particle":"","family":"Yang","given":"Caimei","non-dropping-particle":"","parse-names":false,"suffix":""}],"container-title":"Poultry Science","id":"ITEM-1","issue":"9","issued":{"date-parts":[["2021"]]},"page":"101358","publisher":"Elsevier Inc.","title":"Effects of Bacillus subtilis and Bacillus licheniformis on growth performance, immunity, short chain fatty acid production, antioxidant capacity, and cecal microflora in broilers","type":"article-journal","volume":"100"},"uris":["http://www.mendeley.com/documents/?uuid=0109a356-10c3-429c-b14a-4bd16bffd1c4"]}],"mendeley":{"formattedCitation":"(Xu et al., 2021)","plainTextFormattedCitation":"(Xu et al., 2021)","previouslyFormattedCitation":"(Xu et al., 2021)"},"properties":{"noteIndex":0},"schema":"https://github.com/citation-style-language/schema/raw/master/csl-citation.json"}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(Xu et al., 2021)</w:t>
            </w:r>
            <w:r w:rsidRPr="006C41D8">
              <w:rPr>
                <w:rFonts w:ascii="Arial" w:hAnsi="Arial" w:cs="Arial"/>
                <w:sz w:val="18"/>
                <w:szCs w:val="18"/>
              </w:rPr>
              <w:fldChar w:fldCharType="end"/>
            </w:r>
          </w:p>
        </w:tc>
      </w:tr>
      <w:tr w:rsidR="00510A69" w:rsidRPr="006C41D8" w14:paraId="2FDC0445" w14:textId="77777777" w:rsidTr="00510A69">
        <w:tc>
          <w:tcPr>
            <w:tcW w:w="1668" w:type="dxa"/>
          </w:tcPr>
          <w:p w14:paraId="352794BA" w14:textId="77777777" w:rsidR="00510A69" w:rsidRPr="006C41D8" w:rsidRDefault="00510A69" w:rsidP="00510A69">
            <w:pPr>
              <w:pStyle w:val="Body"/>
              <w:rPr>
                <w:rFonts w:ascii="Arial" w:hAnsi="Arial" w:cs="Arial"/>
                <w:sz w:val="18"/>
                <w:szCs w:val="18"/>
              </w:rPr>
            </w:pPr>
            <w:r w:rsidRPr="006C41D8">
              <w:rPr>
                <w:rFonts w:ascii="Arial" w:hAnsi="Arial" w:cs="Arial"/>
                <w:i/>
                <w:sz w:val="18"/>
                <w:szCs w:val="18"/>
              </w:rPr>
              <w:t xml:space="preserve">Bacillus </w:t>
            </w:r>
            <w:r w:rsidRPr="006C41D8">
              <w:rPr>
                <w:rFonts w:ascii="Arial" w:hAnsi="Arial" w:cs="Arial"/>
                <w:sz w:val="18"/>
                <w:szCs w:val="18"/>
              </w:rPr>
              <w:t xml:space="preserve">spp. </w:t>
            </w:r>
          </w:p>
        </w:tc>
        <w:tc>
          <w:tcPr>
            <w:tcW w:w="1275" w:type="dxa"/>
          </w:tcPr>
          <w:p w14:paraId="4A817192"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Bacteriocins</w:t>
            </w:r>
          </w:p>
        </w:tc>
        <w:tc>
          <w:tcPr>
            <w:tcW w:w="1985" w:type="dxa"/>
          </w:tcPr>
          <w:p w14:paraId="62EECB40"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Generation of antibacterial agents</w:t>
            </w:r>
          </w:p>
        </w:tc>
        <w:tc>
          <w:tcPr>
            <w:tcW w:w="1843" w:type="dxa"/>
          </w:tcPr>
          <w:p w14:paraId="7DF82E96"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Inhibition of the proliferation of pathogenic bacteria</w:t>
            </w:r>
          </w:p>
        </w:tc>
        <w:tc>
          <w:tcPr>
            <w:tcW w:w="1701" w:type="dxa"/>
          </w:tcPr>
          <w:p w14:paraId="3520369D"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fldChar w:fldCharType="begin" w:fldLock="1"/>
            </w:r>
            <w:r w:rsidRPr="006C41D8">
              <w:rPr>
                <w:rFonts w:ascii="Arial" w:hAnsi="Arial" w:cs="Arial"/>
                <w:sz w:val="18"/>
                <w:szCs w:val="18"/>
              </w:rPr>
              <w:instrText>ADDIN CSL_CITATION {"citationItems":[{"id":"ITEM-1","itemData":{"DOI":"10.1017/S1466252316000207","ISBN":"1466252316","ISSN":"14752654","PMID":"28485263","abstract":"With the increase in regulations regarding the use of antibiotic growth promoters and the rise in consumer demand for poultry products from 'Raised Without Antibiotics' or 'No Antibiotics Ever' flocks, the quest for alternative products or approaches has intensified in recent years. A great deal of research has focused on the development of antibiotic alternatives to maintain or improve poultry health and performance. This review describes the potential for the various alternatives available to increase animal productivity and help poultry perform to their genetic potential under existing commercial conditions. The classes of alternatives described include probiotics, prebiotics, synbiotics, organic acids, enzymes, phytogenics, antimicrobial peptides, hyperimmune egg antibodies, bacteriophages, clay, and metals. A brief description of the mechanism of action, efficacy, and advantages and disadvantages of their uses are also presented. Though the beneficial effects of many of the alternatives developed have been well demonstrated, the general consensus is that these products lack consistency and the results vary greatly from farm to farm. Furthermore, their mode of action needs to be better defined. Optimal combinations of various alternatives coupled with good management and husbandry practices will be the key to maximize performance and maintain animal productivity, while we move forward with the ultimate goal of reducing antibiotic use in the animal industry.","author":[{"dropping-particle":"","family":"Gadde","given":"U.","non-dropping-particle":"","parse-names":false,"suffix":""},{"dropping-particle":"","family":"Kim","given":"W. H.","non-dropping-particle":"","parse-names":false,"suffix":""},{"dropping-particle":"","family":"Oh","given":"S. T.","non-dropping-particle":"","parse-names":false,"suffix":""},{"dropping-particle":"","family":"Lillehoj","given":"Hyun S.","non-dropping-particle":"","parse-names":false,"suffix":""}],"container-title":"Animal Health Research Reviews","id":"ITEM-1","issue":"1","issued":{"date-parts":[["2017"]]},"page":"26-45","title":"Alternatives to antibiotics for maximizing growth performance and feed efficiency in poultry: A review","type":"article-journal","volume":"18"},"uris":["http://www.mendeley.com/documents/?uuid=f51e2588-419a-4796-9b0f-3ccde74056eb"]}],"mendeley":{"formattedCitation":"(Gadde et al., 2017)","plainTextFormattedCitation":"(Gadde et al., 2017)","previouslyFormattedCitation":"(Gadde et al., 2017)"},"properties":{"noteIndex":0},"schema":"https://github.com/citation-style-language/schema/raw/master/csl-citation.json"}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(Gadde et al., 2017)</w:t>
            </w:r>
            <w:r w:rsidRPr="006C41D8">
              <w:rPr>
                <w:rFonts w:ascii="Arial" w:hAnsi="Arial" w:cs="Arial"/>
                <w:sz w:val="18"/>
                <w:szCs w:val="18"/>
              </w:rPr>
              <w:fldChar w:fldCharType="end"/>
            </w:r>
          </w:p>
        </w:tc>
      </w:tr>
      <w:tr w:rsidR="00510A69" w:rsidRPr="006C41D8" w14:paraId="1F9AF73E" w14:textId="77777777" w:rsidTr="00510A69">
        <w:tc>
          <w:tcPr>
            <w:tcW w:w="1668" w:type="dxa"/>
          </w:tcPr>
          <w:p w14:paraId="269C9FBD" w14:textId="77777777" w:rsidR="00510A69" w:rsidRPr="006C41D8" w:rsidRDefault="00510A69" w:rsidP="00510A69">
            <w:pPr>
              <w:pStyle w:val="Body"/>
              <w:rPr>
                <w:rFonts w:ascii="Arial" w:hAnsi="Arial" w:cs="Arial"/>
                <w:i/>
                <w:sz w:val="18"/>
                <w:szCs w:val="18"/>
              </w:rPr>
            </w:pPr>
            <w:r w:rsidRPr="006C41D8">
              <w:rPr>
                <w:rFonts w:ascii="Arial" w:hAnsi="Arial" w:cs="Arial"/>
                <w:i/>
                <w:sz w:val="18"/>
                <w:szCs w:val="18"/>
              </w:rPr>
              <w:t xml:space="preserve">Enterococcus faecium </w:t>
            </w:r>
          </w:p>
        </w:tc>
        <w:tc>
          <w:tcPr>
            <w:tcW w:w="1275" w:type="dxa"/>
          </w:tcPr>
          <w:p w14:paraId="61A8D2E0"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 xml:space="preserve">Effector proteins </w:t>
            </w:r>
          </w:p>
        </w:tc>
        <w:tc>
          <w:tcPr>
            <w:tcW w:w="1985" w:type="dxa"/>
          </w:tcPr>
          <w:p w14:paraId="24AEC494"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 xml:space="preserve">Competition for mucosal adherence </w:t>
            </w:r>
          </w:p>
        </w:tc>
        <w:tc>
          <w:tcPr>
            <w:tcW w:w="1843" w:type="dxa"/>
          </w:tcPr>
          <w:p w14:paraId="5FB81624"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Enhancement of microflora equilibrium</w:t>
            </w:r>
          </w:p>
        </w:tc>
        <w:tc>
          <w:tcPr>
            <w:tcW w:w="1701" w:type="dxa"/>
          </w:tcPr>
          <w:p w14:paraId="34363BA5"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fldChar w:fldCharType="begin" w:fldLock="1"/>
            </w:r>
            <w:r w:rsidR="00D0560D" w:rsidRPr="006C41D8">
              <w:rPr>
                <w:rFonts w:ascii="Arial" w:hAnsi="Arial" w:cs="Arial"/>
                <w:sz w:val="18"/>
                <w:szCs w:val="18"/>
              </w:rPr>
              <w:instrText>ADDIN CSL_CITATION {"citationItems":[{"id":"ITEM-1","itemData":{"DOI":"10.1186/s12864-016-2371-5","ISBN":"1286401623","ISSN":"14712164","PMID":"26830196","abstract":"Background: The liver plays important roles in nutrient metabolism, detoxification and immunity. Enterococcus faecium (E. faecium) is a probiotic that has been shown to have positive effects on broiler production. However, its molecular effects on liver metabolism have not been characterized. This study aims to further identify the biological roles of E. faecium by characterizing the hepatic proteomic changes of broilers (Gallus gallus) fed E. faecium using two-dimensional fluorescence difference gel electrophoresis (2-D DIGE) and mass spectrometry (MS). Results: Thirty-three proteins (50 protein spots) involved in nutrient metabolism, immunity and the antioxidant system were shown to be differentially expressed in the liver of broilers fed E. faecium than from birds not fed the probiotic. The biological processes of sulphur amino acids, vitamin and cellular hormone metabolism, sulphur compound biosynthesis and protein tetramerization were enhanced in the liver of broilers fed E. faecium. However, proteins involved in calcium ion flux, cell redox homeostasis and platelet activation related to hepatic immune responses were down-regulated in broilers fed E. faecium. These results indicate that the supplementation of poultry feed with E. faecium may alter the partitioning of nutrients and promote optimal nutrient utilization. Conclusions: This study assists in unraveling the molecular effects of the dietary probiotic, E. faecium, in the liver of broiler chickens. It shows that the probiotic improves the metabolism of nutrients and decreases inflammatory responses. Our findings extend previous knowledge of the mechanism of dietary probiotic action and provide new findings for research and future probiotic development.","author":[{"dropping-particle":"","family":"Zheng","given":"Aijuan","non-dropping-particle":"","parse-names":false,"suffix":""},{"dropping-particle":"","family":"Luo","given":"Jianjie","non-dropping-particle":"","parse-names":false,"suffix":""},{"dropping-particle":"","family":"Meng","given":"Kun","non-dropping-particle":"","parse-names":false,"suffix":""},{"dropping-particle":"","family":"Li","given":"Jianke","non-dropping-particle":"","parse-names":false,"suffix":""},{"dropping-particle":"","family":"Bryden","given":"Wayne L.","non-dropping-particle":"","parse-names":false,"suffix":""},{"dropping-particle":"","family":"Chang","given":"Wenhuan","non-dropping-particle":"","parse-names":false,"suffix":""},{"dropping-particle":"","family":"Zhang","given":"Shu","non-dropping-particle":"","parse-names":false,"suffix":""},{"dropping-particle":"","family":"Wang","given":"L. X.N.","non-dropping-particle":"","parse-names":false,"suffix":""},{"dropping-particle":"","family":"Liu","given":"Guohua","non-dropping-particle":"","parse-names":false,"suffix":""},{"dropping-particle":"","family":"Yao","given":"Bin","non-dropping-particle":"","parse-names":false,"suffix":""}],"container-title":"BMC Genomics","id":"ITEM-1","issue":"1","issued":{"date-parts":[["2016"]]},"page":"1-12","publisher":"BMC Genomics","title":"Probiotic (Enterococcus faecium) induced responses of the hepatic proteome improves metabolic efficiency of broiler chickens (Gallus gallus)","type":"article-journal","volume":"17"},"uris":["http://www.mendeley.com/documents/?uuid=c72594cc-f64e-40ea-ba1d-85c1a4f38232"]}],"mendeley":{"formattedCitation":"(Zheng et al., 2016)","plainTextFormattedCitation":"(Zheng et al., 2016)","previouslyFormattedCitation":"(Zheng et al., 2016)"},"properties":{"noteIndex":0},"schema":"https://github.com/citation-style-language/schema/raw/master/csl-citation.json"}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(Zheng et al., 2016)</w:t>
            </w:r>
            <w:r w:rsidRPr="006C41D8">
              <w:rPr>
                <w:rFonts w:ascii="Arial" w:hAnsi="Arial" w:cs="Arial"/>
                <w:sz w:val="18"/>
                <w:szCs w:val="18"/>
              </w:rPr>
              <w:fldChar w:fldCharType="end"/>
            </w:r>
          </w:p>
        </w:tc>
      </w:tr>
    </w:tbl>
    <w:p w14:paraId="170BD83F" w14:textId="77777777" w:rsidR="00510A69" w:rsidRPr="006C41D8" w:rsidRDefault="00510A69" w:rsidP="00510A69">
      <w:pPr>
        <w:pStyle w:val="Body"/>
        <w:rPr>
          <w:rFonts w:ascii="Arial" w:hAnsi="Arial" w:cs="Arial"/>
        </w:rPr>
      </w:pPr>
    </w:p>
    <w:p w14:paraId="3C73B0BE" w14:textId="77777777" w:rsidR="00A41B73" w:rsidRPr="006C41D8" w:rsidRDefault="00A41B73" w:rsidP="00510A69">
      <w:pPr>
        <w:pStyle w:val="Body"/>
        <w:rPr>
          <w:rFonts w:ascii="Arial" w:hAnsi="Arial" w:cs="Arial"/>
        </w:rPr>
      </w:pPr>
    </w:p>
    <w:p w14:paraId="3D504A48" w14:textId="77777777" w:rsidR="00510A69" w:rsidRPr="006C41D8" w:rsidRDefault="00510A69" w:rsidP="00510A69">
      <w:pPr>
        <w:pStyle w:val="Body"/>
        <w:rPr>
          <w:rFonts w:ascii="Arial" w:hAnsi="Arial" w:cs="Arial"/>
          <w:b/>
          <w:bCs/>
        </w:rPr>
      </w:pPr>
      <w:r w:rsidRPr="006C41D8">
        <w:rPr>
          <w:rFonts w:ascii="Arial" w:hAnsi="Arial" w:cs="Arial"/>
          <w:b/>
          <w:bCs/>
        </w:rPr>
        <w:t>3.2. Enhancement Digestive Enzyme Activity</w:t>
      </w:r>
    </w:p>
    <w:p w14:paraId="4C3E7D27" w14:textId="307F1ED2" w:rsidR="00510A69" w:rsidRPr="006C41D8" w:rsidRDefault="00510A69" w:rsidP="00510A69">
      <w:pPr>
        <w:pStyle w:val="Body"/>
        <w:rPr>
          <w:rFonts w:ascii="Arial" w:hAnsi="Arial" w:cs="Arial"/>
        </w:rPr>
      </w:pPr>
      <w:r w:rsidRPr="006C41D8">
        <w:rPr>
          <w:rFonts w:ascii="Arial" w:hAnsi="Arial" w:cs="Arial"/>
        </w:rPr>
        <w:t xml:space="preserve">Another crucial mechanism is an increase in digestive enzyme activity. Probiotics are recognized for their capacity to enhance the synthesis of digestive enzymes such as lipase, amylase, and protease,  which are integral to food digestion and facilitate optimal nutrient absorption </w:t>
      </w:r>
      <w:r w:rsidRPr="006C41D8">
        <w:rPr>
          <w:rFonts w:ascii="Arial" w:hAnsi="Arial" w:cs="Arial"/>
        </w:rPr>
        <w:fldChar w:fldCharType="begin" w:fldLock="1"/>
      </w:r>
      <w:r w:rsidRPr="006C41D8">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poultry","type":"article-journal","volume":"10"},"uris":["http://www.mendeley.com/documents/?uuid=9ba3f14b-fc9a-4942-bc1b-b27473a10044"]}],"mendeley":{"formattedCitation":"(Yadav &amp; Jha, 2019)","plainTextFormattedCitation":"(Yadav &amp; Jha, 2019)","previouslyFormattedCitation":"(Yadav &amp; Jha,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(Yadav &amp; Jha, 2019)</w:t>
      </w:r>
      <w:r w:rsidRPr="006C41D8">
        <w:rPr>
          <w:rFonts w:ascii="Arial" w:hAnsi="Arial" w:cs="Arial"/>
        </w:rPr>
        <w:fldChar w:fldCharType="end"/>
      </w:r>
      <w:r w:rsidRPr="006C41D8">
        <w:rPr>
          <w:rFonts w:ascii="Arial" w:hAnsi="Arial" w:cs="Arial"/>
        </w:rPr>
        <w:t xml:space="preserve">. Numerous investigations involving broilers have demonstrated that the administration of probiotics not only augments digestive enzyme </w:t>
      </w:r>
      <w:r w:rsidRPr="006C41D8">
        <w:rPr>
          <w:rFonts w:ascii="Arial" w:hAnsi="Arial" w:cs="Arial"/>
        </w:rPr>
        <w:lastRenderedPageBreak/>
        <w:t xml:space="preserve">activity but also ameliorates intestinal morphology by elevating villus height and reducing crypt depth, which collectively enhances nutrient assimilation </w:t>
      </w:r>
      <w:r w:rsidRPr="006C41D8">
        <w:rPr>
          <w:rFonts w:ascii="Arial" w:hAnsi="Arial" w:cs="Arial"/>
        </w:rPr>
        <w:fldChar w:fldCharType="begin" w:fldLock="1"/>
      </w:r>
      <w:r w:rsidRPr="006C41D8">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poultry","type":"article-journal","volume":"10"},"uris":["http://www.mendeley.com/documents/?uuid=9ba3f14b-fc9a-4942-bc1b-b27473a10044"]},{"id":"ITEM-2","itemData":{"DOI":"10.3390/antibiotics12030433","ISSN":"20796382","abstract":"The current study aimed to investigate the effects of Clostridium butyiricum on growth performance, intestinal morphology, serum biochemical response, and immunity in broiler chickens. A total of 330 commercial one-day-old, mixed-sex Ross 308 broilers were randomly divided into five treatment groups with six replicates per group. The broilers were fed the basal diet (CON), the basal diet with 150 mg/kg of aureomycin (AM), the basal diet with C. butyricum at 2 × 108 CFU/kg (CBL), the basal diet with C. butyricum at 4 × 108 CFU/kg (CBM), and the basal diet with C. butyricum at 8 × 108 CFU/kg (CBH). Results showed that the final body weight (BW) (p &lt; 0.01; p &lt; 0.05), ADG from day 22 to 39 (p &lt; 0.05), and ADG from day 1 to 39 (p &lt; 0.01; p &lt; 0.05) were improved in a linear and quadratic response with the inclusion of C. butyricum. There were no differences in feed conversion rate (FCR) among all groups (p &gt; 0.05). Supplementation with C. butyricum quadratically reduced the crypt depth at day 21 (p &lt; 0.01), linearly improved the villus height in the jejunum at day 39 (p &lt; 0.001), and linearly and quadratically increased the villus height to crypt depth (V/C) ratio in the jejunum at day 21 (p &lt; 0.01) and day 39 (p &lt; 0.01; p &lt; 0.001). Dietary C. butyricum affected the thymus index at day 21 and day 39 (linear, p &lt; 0.01), and the bursa of Fabricius index at day 39 (quadratic, p &lt; 0.05). Compared to the AM group, the serum urea contents were decreased (p &lt; 0.05) but the IgG contents were increased in the CBL and CBH groups at day 21 (p &lt; 0.01); in addition, serum albumin (ALB) concentrations in all the C. butyricum-supplemented groups (p &lt; 0.01) and IgG concentrations in the CBM group were augmented at day 39 (p &lt; 0.05). In conclusion, dietary C. butyricum could enhance growth performance by improving jejunal morphology and stimulating immunity organ development in broilers, and could be an alternative to antibiotics in poultry feeds.","author":[{"dropping-particle":"","family":"Yang","given":"Tiantian","non-dropping-particle":"","parse-names":false,"suffix":""},{"dropping-particle":"","family":"Du","given":"Mengsi","non-dropping-particle":"","parse-names":false,"suffix":""},{"dropping-particle":"","family":"Zhang","given":"Jing","non-dropping-particle":"","parse-names":false,"suffix":""},{"dropping-particle":"","family":"Ahmad","given":"Baseer","non-dropping-particle":"","parse-names":false,"suffix":""},{"dropping-particle":"","family":"Cheng","given":"Qiang","non-dropping-particle":"","parse-names":false,"suffix":""},{"dropping-particle":"","family":"Wang","given":"Xiaobing","non-dropping-particle":"","parse-names":false,"suffix":""},{"dropping-particle":"","family":"Abbas","given":"Zaheer","non-dropping-particle":"","parse-names":false,"suffix":""},{"dropping-particle":"","family":"Tong","given":"Yucui","non-dropping-particle":"","parse-names":false,"suffix":""},{"dropping-particle":"","family":"Li","given":"Jinzhuan","non-dropping-particle":"","parse-names":false,"suffix":""},{"dropping-particle":"","family":"Zhou","given":"Yichen","non-dropping-particle":"","parse-names":false,"suffix":""},{"dropping-particle":"","family":"Zhang","given":"Rijun","non-dropping-particle":"","parse-names":false,"suffix":""},{"dropping-particle":"","family":"Si","given":"Dayong","non-dropping-particle":"","parse-names":false,"suffix":""}],"container-title":"Antibiotics","id":"ITEM-2","issue":"3","issued":{"date-parts":[["2023"]]},"title":"Effects of Clostridium butyricum as an Antibiotic Alternative on Growth Performance, Intestinal Morphology, Serum Biochemical Response, and Immunity of Broilers","type":"article-journal","volume":"12"},"uris":["http://www.mendeley.com/documents/?uuid=644cee8b-17d2-4ceb-a98b-fa1fd05c1f6b"]}],"mendeley":{"formattedCitation":"(Yadav &amp; Jha, 2019; T. Yang et al., 2023)","manualFormatting":"(Yadav &amp; Jha, 2019; Yang et al., 2023)","plainTextFormattedCitation":"(Yadav &amp; Jha, 2019; T. Yang et al., 2023)","previouslyFormattedCitation":"(Yadav &amp; Jha, 2019; T. Yang et al., 2023)"},"properties":{"noteIndex":0},"schema":"https://github.com/citation-style-language/schema/raw/master/csl-citation.json"}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(Yadav &amp; Jha, 2019; Yang et al., 2023)</w:t>
      </w:r>
      <w:r w:rsidRPr="006C41D8">
        <w:rPr>
          <w:rFonts w:ascii="Arial" w:hAnsi="Arial" w:cs="Arial"/>
        </w:rPr>
        <w:fldChar w:fldCharType="end"/>
      </w:r>
      <w:r w:rsidRPr="006C41D8">
        <w:rPr>
          <w:rFonts w:ascii="Arial" w:hAnsi="Arial" w:cs="Arial"/>
        </w:rPr>
        <w:t xml:space="preserve">. This enhancement in digestive enzymes exerts a substantial influence on the growth performance of poultry. For example, research conducted </w:t>
      </w:r>
      <w:commentRangeStart w:id="4"/>
      <w:r w:rsidRPr="006C41D8">
        <w:rPr>
          <w:rFonts w:ascii="Arial" w:hAnsi="Arial" w:cs="Arial"/>
        </w:rPr>
        <w:t>on broilers administered</w:t>
      </w:r>
      <w:commentRangeEnd w:id="4"/>
      <w:r w:rsidR="00901014">
        <w:rPr>
          <w:rStyle w:val="CommentReference"/>
          <w:rFonts w:ascii="Times New Roman" w:hAnsi="Times New Roman"/>
          <w:lang w:val="nb-NO" w:eastAsia="nb-NO"/>
        </w:rPr>
        <w:commentReference w:id="4"/>
      </w:r>
      <w:r w:rsidRPr="006C41D8">
        <w:rPr>
          <w:rFonts w:ascii="Arial" w:hAnsi="Arial" w:cs="Arial"/>
        </w:rPr>
        <w:t xml:space="preserve"> </w:t>
      </w:r>
      <w:commentRangeStart w:id="5"/>
      <w:r w:rsidRPr="006C41D8">
        <w:rPr>
          <w:rFonts w:ascii="Arial" w:hAnsi="Arial" w:cs="Arial"/>
          <w:i/>
        </w:rPr>
        <w:t xml:space="preserve">Clostridium </w:t>
      </w:r>
      <w:proofErr w:type="spellStart"/>
      <w:r w:rsidRPr="006C41D8">
        <w:rPr>
          <w:rFonts w:ascii="Arial" w:hAnsi="Arial" w:cs="Arial"/>
          <w:i/>
        </w:rPr>
        <w:t>butyricum</w:t>
      </w:r>
      <w:proofErr w:type="spellEnd"/>
      <w:r w:rsidRPr="006C41D8">
        <w:rPr>
          <w:rFonts w:ascii="Arial" w:hAnsi="Arial" w:cs="Arial"/>
        </w:rPr>
        <w:t xml:space="preserve"> </w:t>
      </w:r>
      <w:commentRangeEnd w:id="5"/>
      <w:r w:rsidR="00901014">
        <w:rPr>
          <w:rStyle w:val="CommentReference"/>
          <w:rFonts w:ascii="Times New Roman" w:hAnsi="Times New Roman"/>
          <w:lang w:val="nb-NO" w:eastAsia="nb-NO"/>
        </w:rPr>
        <w:commentReference w:id="5"/>
      </w:r>
      <w:r w:rsidRPr="006C41D8">
        <w:rPr>
          <w:rFonts w:ascii="Arial" w:hAnsi="Arial" w:cs="Arial"/>
        </w:rPr>
        <w:t xml:space="preserve">revealed a significant increase in average daily weight gain and feed conversion efficiency, which were positively correlated with increased digestive enzyme </w:t>
      </w:r>
      <w:r w:rsidRPr="006C41D8">
        <w:rPr>
          <w:rFonts w:ascii="Arial" w:hAnsi="Arial" w:cs="Arial"/>
        </w:rPr>
        <w:fldChar w:fldCharType="begin" w:fldLock="1"/>
      </w:r>
      <w:r w:rsidRPr="006C41D8">
        <w:rPr>
          <w:rFonts w:ascii="Arial" w:hAnsi="Arial" w:cs="Arial"/>
        </w:rPr>
        <w:instrText>ADDIN CSL_CITATION {"citationItems":[{"id":"ITEM-1","itemData":{"DOI":"10.1186/s40104-016-0061-4","ISSN":"20491891","abstract":"Background: Colibacillosis caused by enterotoxigenic Escherichia coli (E. coli) results in economic losses in the poultry industry. Antibiotics are usually used to control colibacillosis, however, E. coli has varying degrees of resistance to different antibiotics. Therefore the use of probiotics is becoming accepted as an alternative to antibiotics. In this study, we evaluated the effects of Clostridium butyricum (C. butyricum) on growth performance, immune response, intestinal barrier function, and digestive enzyme activity in broiler chickens challenged with Escherichia coli (E. coli) K88. Methods: The chickens were randomly divided into four treatment groups for 28 days. Negative control treatment (NC) consisted of birds fed a basal diet without E. coli K88 challenge and positive control treatment (PC) consisted of birds fed a basal diet and challenged with E. coli K88. C. butyricum probiotic treatment (CB) consisted of birds fed a diet containing 2 × 107 cfu C. butyricum/kg of diet and challenged with E. coli K88. Colistin sulfate antibiotic treatment (CS) consisted of birds fed a diet containing 20 mg colistin sulfate/kg of diet and challenged with E. coli K88. Results: The body weight (BW) and average day gain (ADG) in the broilers of CB group were higher (P &lt; 0.05) than the broilers in the PC group overall except the ADG in the 14-21 d post-challenge. The birds in CB treatment had higher (P &lt; 0.05) concentration of tumor necrosis factor-aα (TNF-aα) at 3 and 7 d post-challenge, and higher (P &lt; 0.05) concentration of interleukin-4 (IL-4) at 14 d post-challenge than those in the PC treatment group. The concentration of serum endotoxin in CB birds was lower (P &lt; 0.05) at 21 d post-challenge, and the concentrations of serum diamine oxidase in CB birds were lower (P &lt; 0.05) at 14 and 21 d post-challenge than in PC birds. Birds in CB treatment group had higher (P &lt; 0.05) jejunum villi height than those in PC, NC, or CS treatment at 7, 14, and 21 d post-challenge. In comparison to PC birds, the CB birds had lower (P &lt; 0.05) jejunum crypt depth during the whole experiment. The birds in CB or CS treatment group had higher (P &lt; 0.05) activities of amylase and protease at 3, 7, and 14 d post-challenge, and higher (P &lt; 0.05) activity of lipase at 3, 7 d post-challenge than PC birds. Conclusions: In all, these results indicate that dietary supplementation with C. butyricum promotes immune response, improves intestinal barrier function, and digestive enzyme act…","author":[{"dropping-particle":"","family":"Zhang","given":"Ling","non-dropping-particle":"","parse-names":false,"suffix":""},{"dropping-particle":"","family":"Zhang","given":"Lingling","non-dropping-particle":"","parse-names":false,"suffix":""},{"dropping-particle":"","family":"Zhan","given":"Xiu'an","non-dropping-particle":"","parse-names":false,"suffix":""},{"dropping-particle":"","family":"Zeng","given":"Xinfu","non-dropping-particle":"","parse-names":false,"suffix":""},{"dropping-particle":"","family":"Zhou","given":"Lin","non-dropping-particle":"","parse-names":false,"suffix":""},{"dropping-particle":"","family":"Cao","given":"Guangtian","non-dropping-particle":"","parse-names":false,"suffix":""},{"dropping-particle":"","family":"Chen","given":"An'guo","non-dropping-particle":"","parse-names":false,"suffix":""},{"dropping-particle":"","family":"Yang","given":"Caimei","non-dropping-particle":"","parse-names":false,"suffix":""}],"container-title":"Journal of Animal Science and Biotechnology","id":"ITEM-1","issue":"1","issued":{"date-parts":[["2016"]]},"page":"1-9","title":"Effects of dietary supplementation of probiotic, Clostridium butyricum, on growth performance, immune response, intestinal barrier function, and digestive enzyme activity in broiler chickens challenged with Escherichia coli K88","type":"article-journal","volume":"7"},"uris":["http://www.mendeley.com/documents/?uuid=d92533e2-937c-488b-bb43-7c036accc9e2"]},{"id":"ITEM-2","itemData":{"DOI":"10.3390/antibiotics12030433","ISSN":"20796382","abstract":"The current study aimed to investigate the effects of Clostridium butyiricum on growth performance, intestinal morphology, serum biochemical response, and immunity in broiler chickens. A total of 330 commercial one-day-old, mixed-sex Ross 308 broilers were randomly divided into five treatment groups with six replicates per group. The broilers were fed the basal diet (CON), the basal diet with 150 mg/kg of aureomycin (AM), the basal diet with C. butyricum at 2 × 108 CFU/kg (CBL), the basal diet with C. butyricum at 4 × 108 CFU/kg (CBM), and the basal diet with C. butyricum at 8 × 108 CFU/kg (CBH). Results showed that the final body weight (BW) (p &lt; 0.01; p &lt; 0.05), ADG from day 22 to 39 (p &lt; 0.05), and ADG from day 1 to 39 (p &lt; 0.01; p &lt; 0.05) were improved in a linear and quadratic response with the inclusion of C. butyricum. There were no differences in feed conversion rate (FCR) among all groups (p &gt; 0.05). Supplementation with C. butyricum quadratically reduced the crypt depth at day 21 (p &lt; 0.01), linearly improved the villus height in the jejunum at day 39 (p &lt; 0.001), and linearly and quadratically increased the villus height to crypt depth (V/C) ratio in the jejunum at day 21 (p &lt; 0.01) and day 39 (p &lt; 0.01; p &lt; 0.001). Dietary C. butyricum affected the thymus index at day 21 and day 39 (linear, p &lt; 0.01), and the bursa of Fabricius index at day 39 (quadratic, p &lt; 0.05). Compared to the AM group, the serum urea contents were decreased (p &lt; 0.05) but the IgG contents were increased in the CBL and CBH groups at day 21 (p &lt; 0.01); in addition, serum albumin (ALB) concentrations in all the C. butyricum-supplemented groups (p &lt; 0.01) and IgG concentrations in the CBM group were augmented at day 39 (p &lt; 0.05). In conclusion, dietary C. butyricum could enhance growth performance by improving jejunal morphology and stimulating immunity organ development in broilers, and could be an alternative to antibiotics in poultry feeds.","author":[{"dropping-particle":"","family":"Yang","given":"Tiantian","non-dropping-particle":"","parse-names":false,"suffix":""},{"dropping-particle":"","family":"Du","given":"Mengsi","non-dropping-particle":"","parse-names":false,"suffix":""},{"dropping-particle":"","family":"Zhang","given":"Jing","non-dropping-particle":"","parse-names":false,"suffix":""},{"dropping-particle":"","family":"Ahmad","given":"Baseer","non-dropping-particle":"","parse-names":false,"suffix":""},{"dropping-particle":"","family":"Cheng","given":"Qiang","non-dropping-particle":"","parse-names":false,"suffix":""},{"dropping-particle":"","family":"Wang","given":"Xiaobing","non-dropping-particle":"","parse-names":false,"suffix":""},{"dropping-particle":"","family":"Abbas","given":"Zaheer","non-dropping-particle":"","parse-names":false,"suffix":""},{"dropping-particle":"","family":"Tong","given":"Yucui","non-dropping-particle":"","parse-names":false,"suffix":""},{"dropping-particle":"","family":"Li","given":"Jinzhuan","non-dropping-particle":"","parse-names":false,"suffix":""},{"dropping-particle":"","family":"Zhou","given":"Yichen","non-dropping-particle":"","parse-names":false,"suffix":""},{"dropping-particle":"","family":"Zhang","given":"Rijun","non-dropping-particle":"","parse-names":false,"suffix":""},{"dropping-particle":"","family":"Si","given":"Dayong","non-dropping-particle":"","parse-names":false,"suffix":""}],"container-title":"Antibiotics","id":"ITEM-2","issue":"3","issued":{"date-parts":[["2023"]]},"title":"Effects of Clostridium butyricum as an Antibiotic Alternative on Growth Performance, Intestinal Morphology, Serum Biochemical Response, and Immunity of Broilers","type":"article-journal","volume":"12"},"uris":["http://www.mendeley.com/documents/?uuid=644cee8b-17d2-4ceb-a98b-fa1fd05c1f6b"]},{"id":"ITEM-3","itemData":{"DOI":"10.3382/ps/pev038","ISSN":"15253171","PMID":"25717087","abstract":"To investigate the effects of Clostridium butyricum on growth performance, antioxidation, and immune function of broilers, 320 one-day-old Arbor Acres commercial male chicks were assigned to one of 5 treatments with 8 replicates in a completely randomized design for 42 d. The 5 treatments were basal diet (control), basal diet supplemented with 2.5 × 108 cfu C. butyricum/kg (CB1), basal diet supplemented with 5 × 108 cfu C. butyricum/kg (CB2), basal diet supplemented with 1 × 109 cfu C. butyricum/kg (CB3), and basal diet supplemented with 150 mg aureomycin/kg (antibiotic). The results showed that all C. butyricum-supplemented groups during d 1 to 21 and the CB2 group during d 22 to 42 had higher ADG compared with the control (P &lt; 0.05). Chicks fed the CB3 diet had higher glutathione S-transferase (GST) activity (P &lt; 0.05), and chicks fed the CB2 diet had a higher glutathione (GSH) concentration in duodenal and ileal mucosa at 21 d of age than those in the control group (P &lt; 0.05). Chicks fed the CB3 diet had a lower malondialdehyde (MDA) concentration in duodenal mucosa than those in the control and CB1 groups (P &lt; 0.05). Chicks fed the CB2, CB3, and antibiotic diets had a lower MDA concentration in ileal mucosa than those in the control and CB1 groups (P &lt; 0.05). Broilers fed the CB3 diet had greater superoxide dismutase (SOD) activity in the ileal mucosa on d 21 and in jejunal mucosa on d 42 than those in the other groups (P &lt; 0.05). Chicks fed the CB2, CB3, and antibiotic diets had a higher GSH concentration in duodenal and jejunal mucosa on d 42 than those in the control group (P &lt; 0.05). Broilers fed the CB2 and CB3 diets had a lower MDA concentration in the jejunal mucosa on d 42 than those in the control and CB1 groups. Chicks fed diets supplemented with C. butyricum had a higher IgM concentration than those in the control group at 21 and 42 d of age (P &lt; 0.05). The results indicate that C. butyricum improves broilers' growth performance, antioxidation, and immune function.","author":[{"dropping-particle":"","family":"Liao","given":"X. D.","non-dropping-particle":"","parse-names":false,"suffix":""},{"dropping-particle":"","family":"Ma","given":"G.","non-dropping-particle":"","parse-names":false,"suffix":""},{"dropping-particle":"","family":"Cai","given":"J.","non-dropping-particle":"","parse-names":false,"suffix":""},{"dropping-particle":"","family":"Fu","given":"Y.","non-dropping-particle":"","parse-names":false,"suffix":""},{"dropping-particle":"","family":"Yan","given":"X. Y.","non-dropping-particle":"","parse-names":false,"suffix":""},{"dropping-particle":"","family":"Wei","given":"X. B.","non-dropping-particle":"","parse-names":false,"suffix":""},{"dropping-particle":"","family":"Zhang","given":"R. J.","non-dropping-particle":"","parse-names":false,"suffix":""}],"container-title":"Poultry Science","id":"ITEM-3","issue":"4","issued":{"date-parts":[["2014"]]},"page":"662-667","title":"Effects of Clostridium butyricum on growth performance, antioxidation, and immune function of broilers","type":"article-journal","volume":"94"},"uris":["http://www.mendeley.com/documents/?uuid=3d3d4cf0-bf6a-4e0e-aa64-606bd2cfb847"]}],"mendeley":{"formattedCitation":"(Liao et al., 2014; T. Yang et al., 2023; Zhang et al., 2016)","manualFormatting":"(Liao et al., 2014; Yang et al., 2023; Zhang et al., 2016)","plainTextFormattedCitation":"(Liao et al., 2014; T. Yang et al., 2023; Zhang et al., 2016)","previouslyFormattedCitation":"(Liao et al., 2014; T. Yang et al., 2023; Zhang et al., 2016)"},"properties":{"noteIndex":0},"schema":"https://github.com/citation-style-language/schema/raw/master/csl-citation.json"}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(Liao et al., 2014; Yang et al., 2023; Zhang et al., 2016)</w:t>
      </w:r>
      <w:r w:rsidRPr="006C41D8">
        <w:rPr>
          <w:rFonts w:ascii="Arial" w:hAnsi="Arial" w:cs="Arial"/>
        </w:rPr>
        <w:fldChar w:fldCharType="end"/>
      </w:r>
      <w:r w:rsidRPr="006C41D8">
        <w:rPr>
          <w:rFonts w:ascii="Arial" w:hAnsi="Arial" w:cs="Arial"/>
        </w:rPr>
        <w:t>. These improvements facilitate the optimization of digestion and minimize feed waste, thereby promoting faster and more efficient poultry growth, as depicted in Figure 1.</w:t>
      </w:r>
    </w:p>
    <w:p w14:paraId="14542892" w14:textId="77777777" w:rsidR="00510A69" w:rsidRPr="006C41D8" w:rsidRDefault="00510A69" w:rsidP="00510A69">
      <w:pPr>
        <w:pStyle w:val="Body"/>
        <w:rPr>
          <w:rFonts w:ascii="Arial" w:hAnsi="Arial" w:cs="Arial"/>
        </w:rPr>
      </w:pPr>
    </w:p>
    <w:p w14:paraId="7BA535FD" w14:textId="77777777" w:rsidR="00510A69" w:rsidRPr="006C41D8" w:rsidRDefault="00510A69" w:rsidP="00510A69">
      <w:pPr>
        <w:pStyle w:val="Body"/>
        <w:rPr>
          <w:rFonts w:ascii="Arial" w:hAnsi="Arial" w:cs="Arial"/>
        </w:rPr>
      </w:pPr>
      <w:r w:rsidRPr="006C41D8">
        <w:rPr>
          <w:rFonts w:ascii="Arial" w:hAnsi="Arial" w:cs="Arial"/>
          <w:noProof/>
        </w:rPr>
        <w:drawing>
          <wp:inline distT="0" distB="0" distL="0" distR="0" wp14:anchorId="189D58B6" wp14:editId="67610FC9">
            <wp:extent cx="4029937" cy="2825261"/>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ffect of probiotics on growth performanc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29673" cy="2825076"/>
                    </a:xfrm>
                    <a:prstGeom prst="rect">
                      <a:avLst/>
                    </a:prstGeom>
                  </pic:spPr>
                </pic:pic>
              </a:graphicData>
            </a:graphic>
          </wp:inline>
        </w:drawing>
      </w:r>
    </w:p>
    <w:p w14:paraId="0C1519A8" w14:textId="77777777" w:rsidR="00510A69" w:rsidRPr="006C41D8" w:rsidRDefault="00510A69" w:rsidP="00510A69">
      <w:pPr>
        <w:pStyle w:val="Body"/>
        <w:rPr>
          <w:rFonts w:ascii="Arial" w:hAnsi="Arial" w:cs="Arial"/>
        </w:rPr>
      </w:pPr>
    </w:p>
    <w:p w14:paraId="2086077E" w14:textId="77777777" w:rsidR="00510A69" w:rsidRPr="006C41D8" w:rsidRDefault="00510A69" w:rsidP="00510A69">
      <w:pPr>
        <w:pStyle w:val="Body"/>
        <w:rPr>
          <w:rFonts w:ascii="Arial" w:hAnsi="Arial" w:cs="Arial"/>
        </w:rPr>
      </w:pPr>
      <w:r w:rsidRPr="006C41D8">
        <w:rPr>
          <w:rFonts w:ascii="Arial" w:hAnsi="Arial" w:cs="Arial"/>
        </w:rPr>
        <w:t xml:space="preserve">Figure 1. Enhancement Digestive Enzyme Activity (Image source from: </w:t>
      </w:r>
      <w:r w:rsidRPr="006C41D8">
        <w:rPr>
          <w:rFonts w:ascii="Arial" w:hAnsi="Arial" w:cs="Arial"/>
        </w:rPr>
        <w:fldChar w:fldCharType="begin" w:fldLock="1"/>
      </w:r>
      <w:r w:rsidRPr="006C41D8">
        <w:rPr>
          <w:rFonts w:ascii="Arial" w:hAnsi="Arial" w:cs="Arial"/>
        </w:rPr>
        <w:instrText>ADDIN CSL_CITATION {"citationItems":[{"id":"ITEM-1","itemData":{"DOI":"10.2478/aoas-2023-0001","ISSN":"23008733","abstract":"Probiotics are live microorganisms that can improve the host's health when given in sufficient doses. Due to growing consumer demand for poultry raised without antibiotics supplementation, the usage of probiotics has been rising gradually over time in poultry. This review aimed to summarize the impacts of probiotics on poultry's nutrient utilization, growth and carcass parameters, gut morphology, laying performance, biochemical parameters, immunity, and gut microbiota. The results revealed that probiotics enhanced the growth performance via improving digestion of protein, lipids, and carbohydrates, improving feed conversion ratio (FCR), increasing carcass and organs weights, improved liver and kidney function parameters, antioxidant effects, decreased serum lipids and cholesterol, improved poultry immunity via improving gut health and synthesis of antimicrobial peptides and prevention of microbial colonization, improved laying performance, fertility, hatchability and eggshell thickness. Therefore, probiotics have various benefits in poultry production compared to banned antibiotics. However, they are not always guaranteed to be growth promoters due to poorly understood modes of action, including their interaction with the host. So, further studies concerning their impacts on meat quality and histopathological changes are still required.","author":[{"dropping-particle":"","family":"Al-Otaibi","given":"Aljohara M.","non-dropping-particle":"","parse-names":false,"suffix":""},{"dropping-particle":"","family":"Abd El-Hack","given":"Mohamed E.","non-dropping-particle":"","parse-names":false,"suffix":""},{"dropping-particle":"","family":"Dmour","given":"Saif M.","non-dropping-particle":"","parse-names":false,"suffix":""},{"dropping-particle":"","family":"Alsowayeh","given":"Noorah","non-dropping-particle":"","parse-names":false,"suffix":""},{"dropping-particle":"","family":"Khafaga","given":"Asmaa F.","non-dropping-particle":"","parse-names":false,"suffix":""},{"dropping-particle":"","family":"Ashour","given":"Elwy A.","non-dropping-particle":"","parse-names":false,"suffix":""},{"dropping-particle":"","family":"Nour-Eldeen","given":"Mohamed A.","non-dropping-particle":"","parse-names":false,"suffix":""},{"dropping-particle":"","family":"Świątkiewicz","given":"Sylwester","non-dropping-particle":"","parse-names":false,"suffix":""}],"container-title":"Annals of Animal Science","id":"ITEM-1","issue":"2","issued":{"date-parts":[["2023"]]},"page":"405-418","title":"A narrative review on the beneficial impacts of probiotics on poultry: an updated knowledge","type":"article-journal","volume":"23"},"uris":["http://www.mendeley.com/documents/?uuid=85f96c26-34c9-40ba-aa82-1432edd0752e"]}],"mendeley":{"formattedCitation":"(Al-Otaibi et al., 2023)","manualFormatting":"Al-Otaibi et al., 2023)","plainTextFormattedCitation":"(Al-Otaibi et al., 2023)","previouslyFormattedCitation":"(Al-Otaibi et al., 2023)"},"properties":{"noteIndex":0},"schema":"https://github.com/citation-style-language/schema/raw/master/csl-citation.json"}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Al-Otaibi et al., 2023)</w:t>
      </w:r>
      <w:r w:rsidRPr="006C41D8">
        <w:rPr>
          <w:rFonts w:ascii="Arial" w:hAnsi="Arial" w:cs="Arial"/>
        </w:rPr>
        <w:fldChar w:fldCharType="end"/>
      </w:r>
    </w:p>
    <w:p w14:paraId="50DA2EDC" w14:textId="77777777" w:rsidR="00510A69" w:rsidRPr="006C41D8" w:rsidRDefault="00510A69" w:rsidP="00510A69">
      <w:pPr>
        <w:pStyle w:val="Body"/>
        <w:rPr>
          <w:rFonts w:ascii="Arial" w:hAnsi="Arial" w:cs="Arial"/>
        </w:rPr>
      </w:pPr>
      <w:r w:rsidRPr="006C41D8">
        <w:rPr>
          <w:rFonts w:ascii="Arial" w:hAnsi="Arial" w:cs="Arial"/>
          <w:b/>
          <w:bCs/>
        </w:rPr>
        <w:t xml:space="preserve">3.3. </w:t>
      </w:r>
      <w:r w:rsidRPr="006C41D8">
        <w:rPr>
          <w:rFonts w:ascii="Arial" w:hAnsi="Arial" w:cs="Arial"/>
        </w:rPr>
        <w:t>Immune Response Modulation and Protection against Toxins </w:t>
      </w:r>
    </w:p>
    <w:p w14:paraId="5D448FB4" w14:textId="77777777" w:rsidR="00510A69" w:rsidRPr="006C41D8" w:rsidRDefault="00510A69" w:rsidP="00510A69">
      <w:pPr>
        <w:pStyle w:val="Body"/>
        <w:rPr>
          <w:rFonts w:ascii="Arial" w:hAnsi="Arial" w:cs="Arial"/>
        </w:rPr>
      </w:pPr>
      <w:r w:rsidRPr="006C41D8">
        <w:rPr>
          <w:rFonts w:ascii="Arial" w:hAnsi="Arial" w:cs="Arial"/>
        </w:rPr>
        <w:t xml:space="preserve">Probiotics play a pivotal role in modulating immune responses in avian species. By stimulating cytokine synthesis and regulating immune cell activity, probiotics can diminish the likelihood of infection and inflammatory responses in the gastrointestinal tract. For instance, certain probiotics can elevate the concentrations of tumor necrosis factor-α (TNF-α) and interleukin-4 (IL-4), thereby enhancing the host's immunological reaction to infections while concurrently modulating inflammatory processes </w:t>
      </w:r>
      <w:r w:rsidRPr="006C41D8">
        <w:rPr>
          <w:rFonts w:ascii="Arial" w:hAnsi="Arial" w:cs="Arial"/>
        </w:rPr>
        <w:fldChar w:fldCharType="begin" w:fldLock="1"/>
      </w:r>
      <w:r w:rsidR="00D0560D" w:rsidRPr="006C41D8">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poultry","type":"article-journal","volume":"10"},"uris":["http://www.mendeley.com/documents/?uuid=9ba3f14b-fc9a-4942-bc1b-b27473a10044"]},{"id":"ITEM-2","itemData":{"DOI":"10.3389/fimmu.2021.616713","ISSN":"16643224","PMID":"33897683","abstract":"In order to inhibit pathogenic complications and to enhance animal and poultry growth, antibiotics have been extensively used for many years. Antibiotics applications not only affect target pathogens but also intestinal beneficially microbes, inducing long-lasting changes in intestinal microbiota associated with diseases. The application of antibiotics also has many other side effects like, intestinal barrier dysfunction, antibiotics residues in foodstuffs, nephropathy, allergy, bone marrow toxicity, mutagenicity, reproductive disorders, hepatotoxicity carcinogenicity, and antibiotic-resistant bacteria, which greatly compromise the efficacy of antibiotics. Thus, the development of new antibiotics is necessary, while the search for antibiotic alternatives continues. Probiotics are considered the ideal antibiotic substitute; in recent years, probiotic research concerning their application during pathogenic infections in humans, aquaculture, poultry, and livestock industry, with emphasis on modulating the immune system of the host, has been attracting considerable interest. Hence, the adverse effects of antibiotics and remedial effects of probiotics during infectious diseases have become central points of focus among researchers. Probiotics are live microorganisms, and when given in adequate quantities, confer good health effects to the host through different mechanisms. Among them, the regulation of host immune response during pathogenic infections is one of the most important mechanisms. A number of studies have investigated different aspects of probiotics. In this review, we mainly summarize recent discoveries and discuss two important aspects: (1) the application of probiotics during pathogenic infections; and (2) their modulatory effects on the immune response of the host during infectious and non-infectious diseases.","author":[{"dropping-particle":"","family":"Raheem","given":"Abdul","non-dropping-particle":"","parse-names":false,"suffix":""},{"dropping-particle":"","family":"Liang","given":"Lin","non-dropping-particle":"","parse-names":false,"suffix":""},{"dropping-particle":"","family":"Zhang","given":"Guangzhi","non-dropping-particle":"","parse-names":false,"suffix":""},{"dropping-particle":"","family":"Cui","given":"Shangjin","non-dropping-particle":"","parse-names":false,"suffix":""}],"container-title":"Frontiers in Immunology","id":"ITEM-2","issue":"April","issued":{"date-parts":[["2021"]]},"page":"1-32","title":"Modulatory effects of probiotics during pathogenic infections with emphasis on immune regulation","type":"article-journal","volume":"12"},"uris":["http://www.mendeley.com/documents/?uuid=b02dcaa5-6c52-454c-9f39-a2c21a8c0ca3"]}],"mendeley":{"formattedCitation":"(Raheem et al., 2021; Yadav &amp; Jha, 2019)","plainTextFormattedCitation":"(Raheem et al., 2021; Yadav &amp; Jha, 2019)","previouslyFormattedCitation":"(Raheem et al., 2021; Yadav &amp; Jha,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(Raheem et al., 2021; Yadav &amp; Jha, 2019)</w:t>
      </w:r>
      <w:r w:rsidRPr="006C41D8">
        <w:rPr>
          <w:rFonts w:ascii="Arial" w:hAnsi="Arial" w:cs="Arial"/>
        </w:rPr>
        <w:fldChar w:fldCharType="end"/>
      </w:r>
      <w:r w:rsidRPr="006C41D8">
        <w:rPr>
          <w:rFonts w:ascii="Arial" w:hAnsi="Arial" w:cs="Arial"/>
        </w:rPr>
        <w:t xml:space="preserve">. Moreover, probiotics can effectively neutralize enterotoxins produced by specific pathogenic bacteria, consequently mitigating the damage inflicted on the intestinal epithelium and safeguarding the integrity of the intestinal barrier </w:t>
      </w:r>
      <w:r w:rsidRPr="006C41D8">
        <w:rPr>
          <w:rFonts w:ascii="Arial" w:hAnsi="Arial" w:cs="Arial"/>
        </w:rPr>
        <w:fldChar w:fldCharType="begin" w:fldLock="1"/>
      </w:r>
      <w:r w:rsidR="00D0560D" w:rsidRPr="006C41D8">
        <w:rPr>
          <w:rFonts w:ascii="Arial" w:hAnsi="Arial" w:cs="Arial"/>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(Vinayamohan et al., 2024)</w:t>
      </w:r>
      <w:r w:rsidRPr="006C41D8">
        <w:rPr>
          <w:rFonts w:ascii="Arial" w:hAnsi="Arial" w:cs="Arial"/>
        </w:rPr>
        <w:fldChar w:fldCharType="end"/>
      </w:r>
      <w:r w:rsidRPr="006C41D8">
        <w:rPr>
          <w:rFonts w:ascii="Arial" w:hAnsi="Arial" w:cs="Arial"/>
        </w:rPr>
        <w:t xml:space="preserve">. The efficacy of this mechanism is further corroborated by a study demonstrating that probiotics successfully diminish serum endotoxin concentrations and diamine oxidase (DAO) enzyme activity in poultry subjected to the pathogenic influence of </w:t>
      </w:r>
      <w:r w:rsidRPr="006C41D8">
        <w:rPr>
          <w:rFonts w:ascii="Arial" w:hAnsi="Arial" w:cs="Arial"/>
          <w:i/>
        </w:rPr>
        <w:t>E. coli</w:t>
      </w:r>
      <w:r w:rsidRPr="006C41D8">
        <w:rPr>
          <w:rFonts w:ascii="Arial" w:hAnsi="Arial" w:cs="Arial"/>
        </w:rPr>
        <w:t xml:space="preserve"> K88, suggesting an enhancement in intestinal barrier integrity and immune responsiveness (Yadav &amp; Jha, 2019). Thus, probiotics confer protective benefits to both localized and systemic defense </w:t>
      </w:r>
      <w:r w:rsidRPr="006C41D8">
        <w:rPr>
          <w:rFonts w:ascii="Arial" w:hAnsi="Arial" w:cs="Arial"/>
        </w:rPr>
        <w:lastRenderedPageBreak/>
        <w:t xml:space="preserve">mechanisms, thereby establishing an additional layer of safeguarding against infections and tissue injury </w:t>
      </w:r>
      <w:r w:rsidRPr="006C41D8">
        <w:rPr>
          <w:rFonts w:ascii="Arial" w:hAnsi="Arial" w:cs="Arial"/>
        </w:rPr>
        <w:fldChar w:fldCharType="begin" w:fldLock="1"/>
      </w:r>
      <w:r w:rsidRPr="006C41D8">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poultry","type":"article-journal","volume":"10"},"uris":["http://www.mendeley.com/documents/?uuid=9ba3f14b-fc9a-4942-bc1b-b27473a10044"]}],"mendeley":{"formattedCitation":"(Yadav &amp; Jha, 2019)","plainTextFormattedCitation":"(Yadav &amp; Jha, 2019)","previouslyFormattedCitation":"(Yadav &amp; Jha,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(Yadav &amp; Jha, 2019)</w:t>
      </w:r>
      <w:r w:rsidRPr="006C41D8">
        <w:rPr>
          <w:rFonts w:ascii="Arial" w:hAnsi="Arial" w:cs="Arial"/>
        </w:rPr>
        <w:fldChar w:fldCharType="end"/>
      </w:r>
      <w:r w:rsidRPr="006C41D8">
        <w:rPr>
          <w:rFonts w:ascii="Arial" w:hAnsi="Arial" w:cs="Arial"/>
        </w:rPr>
        <w:t>.</w:t>
      </w:r>
    </w:p>
    <w:p w14:paraId="2A49C7CE" w14:textId="77777777" w:rsidR="00510A69" w:rsidRPr="006C41D8" w:rsidRDefault="00510A69" w:rsidP="00510A69">
      <w:pPr>
        <w:pStyle w:val="Body"/>
        <w:rPr>
          <w:rFonts w:ascii="Arial" w:hAnsi="Arial" w:cs="Arial"/>
          <w:b/>
          <w:bCs/>
        </w:rPr>
      </w:pPr>
      <w:r w:rsidRPr="006C41D8">
        <w:rPr>
          <w:rFonts w:ascii="Arial" w:hAnsi="Arial" w:cs="Arial"/>
          <w:b/>
          <w:bCs/>
        </w:rPr>
        <w:t>3.4. Enhancement of Metabolism and Hepatic Function </w:t>
      </w:r>
    </w:p>
    <w:p w14:paraId="6B82F463" w14:textId="77777777" w:rsidR="00510A69" w:rsidRPr="006C41D8" w:rsidRDefault="00510A69" w:rsidP="00510A69">
      <w:pPr>
        <w:pStyle w:val="Body"/>
        <w:rPr>
          <w:rFonts w:ascii="Arial" w:hAnsi="Arial" w:cs="Arial"/>
          <w:bCs/>
        </w:rPr>
      </w:pPr>
      <w:r w:rsidRPr="006C41D8">
        <w:rPr>
          <w:rFonts w:ascii="Arial" w:hAnsi="Arial" w:cs="Arial"/>
          <w:bCs/>
        </w:rPr>
        <w:t xml:space="preserve">In addition to their direct influence on the gastrointestinal system, probiotics significantly affect the host metabolism by modulating hepatic function </w:t>
      </w:r>
      <w:r w:rsidRPr="006C41D8">
        <w:rPr>
          <w:rFonts w:ascii="Arial" w:hAnsi="Arial" w:cs="Arial"/>
        </w:rPr>
        <w:fldChar w:fldCharType="begin" w:fldLock="1"/>
      </w:r>
      <w:r w:rsidR="00D0560D" w:rsidRPr="006C41D8">
        <w:rPr>
          <w:rFonts w:ascii="Arial" w:hAnsi="Arial" w:cs="Arial"/>
        </w:rPr>
        <w:instrText>ADDIN CSL_CITATION {"citationItems":[{"id":"ITEM-1","itemData":{"DOI":"10.1186/s41936-024-00379-5","ISBN":"4193602400","ISSN":"2090-990X","author":[{"dropping-particle":"","family":"Halder","given":"Neha","non-dropping-particle":"","parse-names":false,"suffix":""},{"dropping-particle":"","family":"Sunder","given":"Jai","non-dropping-particle":"","parse-names":false,"suffix":""},{"dropping-particle":"","family":"De","given":"Arun Kumar","non-dropping-particle":"","parse-names":false,"suffix":""},{"dropping-particle":"","family":"Bhattacharya","given":"Debasis","non-dropping-particle":"","parse-names":false,"suffix":""},{"dropping-particle":"","family":"Joardar","given":"Siddhartha Narayan","non-dropping-particle":"","parse-names":false,"suffix":""}],"container-title":"The Journal of Basic and Applied Zoology","id":"ITEM-1","issue":"1","issued":{"date-parts":[["2024"]]},"publisher":"Springer Berlin Heidelberg","title":"Probiotics in poultry: a comprehensive review","type":"article-journal","volume":"85"},"uris":["http://www.mendeley.com/documents/?uuid=df8980c6-3eaa-4c8f-806d-7cab3958cd4e"]}],"mendeley":{"formattedCitation":"(Halder et al., 2024)","plainTextFormattedCitation":"(Halder et al., 2024)","previouslyFormattedCitation":"(Halder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(Halder et al., 2024)</w:t>
      </w:r>
      <w:r w:rsidRPr="006C41D8">
        <w:rPr>
          <w:rFonts w:ascii="Arial" w:hAnsi="Arial" w:cs="Arial"/>
        </w:rPr>
        <w:fldChar w:fldCharType="end"/>
      </w:r>
      <w:r w:rsidRPr="006C41D8">
        <w:rPr>
          <w:rFonts w:ascii="Arial" w:hAnsi="Arial" w:cs="Arial"/>
          <w:bCs/>
        </w:rPr>
        <w:t xml:space="preserve">. The liver is the primary organ responsible for metabolic processes, including protein synthesis, lipid metabolism, and detoxification. Investigations by Zheng et al. (2016) examining the impact of </w:t>
      </w:r>
      <w:r w:rsidRPr="006C41D8">
        <w:rPr>
          <w:rFonts w:ascii="Arial" w:hAnsi="Arial" w:cs="Arial"/>
          <w:i/>
        </w:rPr>
        <w:t>Enterococcus faecium</w:t>
      </w:r>
      <w:r w:rsidRPr="006C41D8">
        <w:rPr>
          <w:rFonts w:ascii="Arial" w:hAnsi="Arial" w:cs="Arial"/>
        </w:rPr>
        <w:t xml:space="preserve"> (viable count ≥1×10</w:t>
      </w:r>
      <w:r w:rsidRPr="006C41D8">
        <w:rPr>
          <w:rFonts w:ascii="Arial" w:hAnsi="Arial" w:cs="Arial"/>
          <w:vertAlign w:val="superscript"/>
        </w:rPr>
        <w:t>10</w:t>
      </w:r>
      <w:r w:rsidRPr="006C41D8">
        <w:rPr>
          <w:rFonts w:ascii="Arial" w:hAnsi="Arial" w:cs="Arial"/>
        </w:rPr>
        <w:t>) CFU/g</w:t>
      </w:r>
      <w:r w:rsidRPr="006C41D8">
        <w:rPr>
          <w:rFonts w:ascii="Arial" w:hAnsi="Arial" w:cs="Arial"/>
          <w:bCs/>
        </w:rPr>
        <w:t>), the proteome of broiler livers indicate that probiotic supplementation can alter the expression of proteins associated with nutrient metabolism, consequently enhancing the efficiency of nutrient utilization and mitigating inflammatory responses</w:t>
      </w:r>
      <w:r w:rsidR="00CB09EF" w:rsidRPr="006C41D8">
        <w:rPr>
          <w:rFonts w:ascii="Arial" w:hAnsi="Arial" w:cs="Arial"/>
          <w:bCs/>
        </w:rPr>
        <w:t xml:space="preserve"> </w:t>
      </w:r>
      <w:r w:rsidRPr="006C41D8">
        <w:rPr>
          <w:rFonts w:ascii="Arial" w:hAnsi="Arial" w:cs="Arial"/>
        </w:rPr>
        <w:fldChar w:fldCharType="begin" w:fldLock="1"/>
      </w:r>
      <w:r w:rsidR="00D0560D" w:rsidRPr="006C41D8">
        <w:rPr>
          <w:rFonts w:ascii="Arial" w:hAnsi="Arial" w:cs="Arial"/>
        </w:rPr>
        <w:instrText>ADDIN CSL_CITATION {"citationItems":[{"id":"ITEM-1","itemData":{"DOI":"10.1186/s12864-016-2371-5","ISBN":"1286401623","ISSN":"14712164","PMID":"26830196","abstract":"Background: The liver plays important roles in nutrient metabolism, detoxification and immunity. Enterococcus faecium (E. faecium) is a probiotic that has been shown to have positive effects on broiler production. However, its molecular effects on liver metabolism have not been characterized. This study aims to further identify the biological roles of E. faecium by characterizing the hepatic proteomic changes of broilers (Gallus gallus) fed E. faecium using two-dimensional fluorescence difference gel electrophoresis (2-D DIGE) and mass spectrometry (MS). Results: Thirty-three proteins (50 protein spots) involved in nutrient metabolism, immunity and the antioxidant system were shown to be differentially expressed in the liver of broilers fed E. faecium than from birds not fed the probiotic. The biological processes of sulphur amino acids, vitamin and cellular hormone metabolism, sulphur compound biosynthesis and protein tetramerization were enhanced in the liver of broilers fed E. faecium. However, proteins involved in calcium ion flux, cell redox homeostasis and platelet activation related to hepatic immune responses were down-regulated in broilers fed E. faecium. These results indicate that the supplementation of poultry feed with E. faecium may alter the partitioning of nutrients and promote optimal nutrient utilization. Conclusions: This study assists in unraveling the molecular effects of the dietary probiotic, E. faecium, in the liver of broiler chickens. It shows that the probiotic improves the metabolism of nutrients and decreases inflammatory responses. Our findings extend previous knowledge of the mechanism of dietary probiotic action and provide new findings for research and future probiotic development.","author":[{"dropping-particle":"","family":"Zheng","given":"Aijuan","non-dropping-particle":"","parse-names":false,"suffix":""},{"dropping-particle":"","family":"Luo","given":"Jianjie","non-dropping-particle":"","parse-names":false,"suffix":""},{"dropping-particle":"","family":"Meng","given":"Kun","non-dropping-particle":"","parse-names":false,"suffix":""},{"dropping-particle":"","family":"Li","given":"Jianke","non-dropping-particle":"","parse-names":false,"suffix":""},{"dropping-particle":"","family":"Bryden","given":"Wayne L.","non-dropping-particle":"","parse-names":false,"suffix":""},{"dropping-particle":"","family":"Chang","given":"Wenhuan","non-dropping-particle":"","parse-names":false,"suffix":""},{"dropping-particle":"","family":"Zhang","given":"Shu","non-dropping-particle":"","parse-names":false,"suffix":""},{"dropping-particle":"","family":"Wang","given":"L. X.N.","non-dropping-particle":"","parse-names":false,"suffix":""},{"dropping-particle":"","family":"Liu","given":"Guohua","non-dropping-particle":"","parse-names":false,"suffix":""},{"dropping-particle":"","family":"Yao","given":"Bin","non-dropping-particle":"","parse-names":false,"suffix":""}],"container-title":"BMC Genomics","id":"ITEM-1","issue":"1","issued":{"date-parts":[["2016"]]},"page":"1-12","publisher":"BMC Genomics","title":"Probiotic (Enterococcus faecium) induced responses of the hepatic proteome improves metabolic efficiency of broiler chickens (Gallus gallus)","type":"article-journal","volume":"17"},"uris":["http://www.mendeley.com/documents/?uuid=c72594cc-f64e-40ea-ba1d-85c1a4f38232"]}],"mendeley":{"formattedCitation":"(Zheng et al., 2016)","plainTextFormattedCitation":"(Zheng et al., 2016)","previouslyFormattedCitation":"(Zheng et al., 2016)"},"properties":{"noteIndex":0},"schema":"https://github.com/citation-style-language/schema/raw/master/csl-citation.json"}</w:instrText>
      </w:r>
      <w:r w:rsidRPr="006C41D8">
        <w:rPr>
          <w:rFonts w:ascii="Arial" w:hAnsi="Arial" w:cs="Arial"/>
        </w:rPr>
        <w:fldChar w:fldCharType="end"/>
      </w:r>
      <w:r w:rsidR="0015602D" w:rsidRPr="006C41D8">
        <w:rPr>
          <w:rFonts w:ascii="Arial" w:hAnsi="Arial" w:cs="Arial"/>
        </w:rPr>
        <w:t>(Zheng et al., 2016)</w:t>
      </w:r>
      <w:r w:rsidRPr="006C41D8">
        <w:rPr>
          <w:rFonts w:ascii="Arial" w:hAnsi="Arial" w:cs="Arial"/>
          <w:bCs/>
        </w:rPr>
        <w:t>. This metabolic enhancement is characterized by the augmented metabolism of amino acids, vitamins, and cellular hormones, along with a reduction in the activity of proteins implicated in the inflammatory response</w:t>
      </w:r>
      <w:r w:rsidR="00BE019D" w:rsidRPr="006C41D8">
        <w:rPr>
          <w:rFonts w:ascii="Arial" w:hAnsi="Arial" w:cs="Arial"/>
          <w:bCs/>
        </w:rPr>
        <w:t xml:space="preserve"> </w:t>
      </w:r>
      <w:r w:rsidR="00BE019D" w:rsidRPr="006C41D8">
        <w:t>(Zheng et al., 2023; )</w:t>
      </w:r>
      <w:r w:rsidRPr="006C41D8">
        <w:rPr>
          <w:rFonts w:ascii="Arial" w:hAnsi="Arial" w:cs="Arial"/>
          <w:bCs/>
        </w:rPr>
        <w:t xml:space="preserve">. </w:t>
      </w:r>
      <w:r w:rsidR="0076208A" w:rsidRPr="006C41D8">
        <w:rPr>
          <w:rFonts w:ascii="Arial" w:hAnsi="Arial" w:cs="Arial"/>
          <w:bCs/>
        </w:rPr>
        <w:t>T</w:t>
      </w:r>
      <w:r w:rsidRPr="006C41D8">
        <w:rPr>
          <w:rFonts w:ascii="Arial" w:hAnsi="Arial" w:cs="Arial"/>
          <w:bCs/>
        </w:rPr>
        <w:t>he diminished expression of proteins that regulate calcium homeostasis and redox balance within the liver contributes to reduced inflammation levels, thereby promoting the overall health of poultry</w:t>
      </w:r>
      <w:r w:rsidR="0076208A" w:rsidRPr="006C41D8">
        <w:rPr>
          <w:rFonts w:ascii="Arial" w:hAnsi="Arial" w:cs="Arial"/>
          <w:bCs/>
        </w:rPr>
        <w:t xml:space="preserve"> </w:t>
      </w:r>
      <w:r w:rsidR="0076208A" w:rsidRPr="006C41D8">
        <w:t>(Li et al., 2024)</w:t>
      </w:r>
      <w:r w:rsidRPr="006C41D8">
        <w:rPr>
          <w:rFonts w:ascii="Arial" w:hAnsi="Arial" w:cs="Arial"/>
          <w:bCs/>
        </w:rPr>
        <w:t>. These findings substantiate the notion that probiotics operate not only at the intestinal level but also exert systemic effects through intricate metabolic pathways</w:t>
      </w:r>
      <w:r w:rsidR="0076208A" w:rsidRPr="006C41D8">
        <w:rPr>
          <w:rFonts w:ascii="Arial" w:hAnsi="Arial" w:cs="Arial"/>
          <w:bCs/>
        </w:rPr>
        <w:t xml:space="preserve"> </w:t>
      </w:r>
      <w:r w:rsidR="0076208A" w:rsidRPr="006C41D8">
        <w:rPr>
          <w:rFonts w:ascii="Arial" w:hAnsi="Arial" w:cs="Arial"/>
        </w:rPr>
        <w:fldChar w:fldCharType="begin" w:fldLock="1"/>
      </w:r>
      <w:r w:rsidR="0076208A" w:rsidRPr="006C41D8">
        <w:rPr>
          <w:rFonts w:ascii="Arial" w:hAnsi="Arial" w:cs="Arial"/>
        </w:rPr>
        <w:instrText>ADDIN CSL_CITATION {"citationItems":[{"id":"ITEM-1","itemData":{"DOI":"10.1186/s12864-016-2371-5","ISBN":"1286401623","ISSN":"14712164","PMID":"26830196","abstract":"Background: The liver plays important roles in nutrient metabolism, detoxification and immunity. Enterococcus faecium (E. faecium) is a probiotic that has been shown to have positive effects on broiler production. However, its molecular effects on liver metabolism have not been characterized. This study aims to further identify the biological roles of E. faecium by characterizing the hepatic proteomic changes of broilers (Gallus gallus) fed E. faecium using two-dimensional fluorescence difference gel electrophoresis (2-D DIGE) and mass spectrometry (MS). Results: Thirty-three proteins (50 protein spots) involved in nutrient metabolism, immunity and the antioxidant system were shown to be differentially expressed in the liver of broilers fed E. faecium than from birds not fed the probiotic. The biological processes of sulphur amino acids, vitamin and cellular hormone metabolism, sulphur compound biosynthesis and protein tetramerization were enhanced in the liver of broilers fed E. faecium. However, proteins involved in calcium ion flux, cell redox homeostasis and platelet activation related to hepatic immune responses were down-regulated in broilers fed E. faecium. These results indicate that the supplementation of poultry feed with E. faecium may alter the partitioning of nutrients and promote optimal nutrient utilization. Conclusions: This study assists in unraveling the molecular effects of the dietary probiotic, E. faecium, in the liver of broiler chickens. It shows that the probiotic improves the metabolism of nutrients and decreases inflammatory responses. Our findings extend previous knowledge of the mechanism of dietary probiotic action and provide new findings for research and future probiotic development.","author":[{"dropping-particle":"","family":"Zheng","given":"Aijuan","non-dropping-particle":"","parse-names":false,"suffix":""},{"dropping-particle":"","family":"Luo","given":"Jianjie","non-dropping-particle":"","parse-names":false,"suffix":""},{"dropping-particle":"","family":"Meng","given":"Kun","non-dropping-particle":"","parse-names":false,"suffix":""},{"dropping-particle":"","family":"Li","given":"Jianke","non-dropping-particle":"","parse-names":false,"suffix":""},{"dropping-particle":"","family":"Bryden","given":"Wayne L.","non-dropping-particle":"","parse-names":false,"suffix":""},{"dropping-particle":"","family":"Chang","given":"Wenhuan","non-dropping-particle":"","parse-names":false,"suffix":""},{"dropping-particle":"","family":"Zhang","given":"Shu","non-dropping-particle":"","parse-names":false,"suffix":""},{"dropping-particle":"","family":"Wang","given":"L. X.N.","non-dropping-particle":"","parse-names":false,"suffix":""},{"dropping-particle":"","family":"Liu","given":"Guohua","non-dropping-particle":"","parse-names":false,"suffix":""},{"dropping-particle":"","family":"Yao","given":"Bin","non-dropping-particle":"","parse-names":false,"suffix":""}],"container-title":"BMC Genomics","id":"ITEM-1","issue":"1","issued":{"date-parts":[["2016"]]},"page":"1-12","publisher":"BMC Genomics","title":"Probiotic (Enterococcus faecium) induced responses of the hepatic proteome improves metabolic efficiency of broiler chickens (Gallus gallus)","type":"article-journal","volume":"17"},"uris":["http://www.mendeley.com/documents/?uuid=c72594cc-f64e-40ea-ba1d-85c1a4f38232"]}],"mendeley":{"formattedCitation":"(Zheng et al., 2016)","plainTextFormattedCitation":"(Zheng et al., 2016)","previouslyFormattedCitation":"(Zheng et al., 2016)"},"properties":{"noteIndex":0},"schema":"https://github.com/citation-style-language/schema/raw/master/csl-citation.json"}</w:instrText>
      </w:r>
      <w:r w:rsidR="0076208A" w:rsidRPr="006C41D8">
        <w:rPr>
          <w:rFonts w:ascii="Arial" w:hAnsi="Arial" w:cs="Arial"/>
        </w:rPr>
        <w:fldChar w:fldCharType="separate"/>
      </w:r>
      <w:r w:rsidR="0076208A" w:rsidRPr="006C41D8">
        <w:rPr>
          <w:rFonts w:ascii="Arial" w:hAnsi="Arial" w:cs="Arial"/>
          <w:noProof/>
        </w:rPr>
        <w:t>(Zheng et al., 2016)</w:t>
      </w:r>
      <w:r w:rsidR="0076208A" w:rsidRPr="006C41D8">
        <w:rPr>
          <w:rFonts w:ascii="Arial" w:hAnsi="Arial" w:cs="Arial"/>
        </w:rPr>
        <w:fldChar w:fldCharType="end"/>
      </w:r>
      <w:r w:rsidRPr="006C41D8">
        <w:rPr>
          <w:rFonts w:ascii="Arial" w:hAnsi="Arial" w:cs="Arial"/>
          <w:bCs/>
        </w:rPr>
        <w:t>.</w:t>
      </w:r>
    </w:p>
    <w:p w14:paraId="19E66FE8" w14:textId="77777777" w:rsidR="00510A69" w:rsidRPr="006C41D8" w:rsidRDefault="00510A69" w:rsidP="00510A69">
      <w:pPr>
        <w:pStyle w:val="Body"/>
        <w:rPr>
          <w:rFonts w:ascii="Arial" w:hAnsi="Arial" w:cs="Arial"/>
          <w:b/>
          <w:bCs/>
        </w:rPr>
      </w:pPr>
      <w:r w:rsidRPr="006C41D8">
        <w:rPr>
          <w:rFonts w:ascii="Arial" w:hAnsi="Arial" w:cs="Arial"/>
          <w:b/>
          <w:bCs/>
        </w:rPr>
        <w:t>4. Case Studies and Experimental Data</w:t>
      </w:r>
    </w:p>
    <w:p w14:paraId="385FC729" w14:textId="77777777" w:rsidR="00510A69" w:rsidRPr="006C41D8" w:rsidRDefault="00510A69" w:rsidP="00510A69">
      <w:pPr>
        <w:pStyle w:val="Body"/>
        <w:rPr>
          <w:rFonts w:ascii="Arial" w:hAnsi="Arial" w:cs="Arial"/>
        </w:rPr>
      </w:pPr>
      <w:r w:rsidRPr="006C41D8">
        <w:rPr>
          <w:rFonts w:ascii="Arial" w:hAnsi="Arial" w:cs="Arial"/>
        </w:rPr>
        <w:t>Experimental data from related studies have provided a clear picture of the mechanisms of action of probiotics in poultry. The following are the results of research related to the use of various types of probiotics in poultry: nutrient digestibility, feed conversion, final body weight, immune response, reduction in pathogenic bacteria, increased metabolism, and liver function.</w:t>
      </w:r>
    </w:p>
    <w:p w14:paraId="4D684C5B" w14:textId="77777777" w:rsidR="00510A69" w:rsidRPr="006C41D8" w:rsidRDefault="00510A69" w:rsidP="00510A69">
      <w:pPr>
        <w:pStyle w:val="Body"/>
        <w:rPr>
          <w:rFonts w:ascii="Arial" w:hAnsi="Arial" w:cs="Arial"/>
        </w:rPr>
      </w:pPr>
      <w:r w:rsidRPr="006C41D8">
        <w:rPr>
          <w:rFonts w:ascii="Arial" w:hAnsi="Arial" w:cs="Arial"/>
          <w:b/>
          <w:bCs/>
          <w:i/>
        </w:rPr>
        <w:t>Saccharomyces cerevisiae</w:t>
      </w:r>
      <w:r w:rsidRPr="006C41D8">
        <w:rPr>
          <w:rFonts w:ascii="Arial" w:hAnsi="Arial" w:cs="Arial"/>
        </w:rPr>
        <w:t xml:space="preserve">: The inclusion of </w:t>
      </w:r>
      <w:r w:rsidRPr="006C41D8">
        <w:rPr>
          <w:rFonts w:ascii="Arial" w:hAnsi="Arial" w:cs="Arial"/>
          <w:i/>
        </w:rPr>
        <w:t>Saccharomyces cerevisiae</w:t>
      </w:r>
      <w:r w:rsidR="000811D2" w:rsidRPr="006C41D8">
        <w:rPr>
          <w:rFonts w:ascii="Arial" w:hAnsi="Arial" w:cs="Arial"/>
        </w:rPr>
        <w:t xml:space="preserve"> at 1.3</w:t>
      </w:r>
      <w:r w:rsidRPr="006C41D8">
        <w:rPr>
          <w:rFonts w:ascii="Arial" w:hAnsi="Arial" w:cs="Arial"/>
        </w:rPr>
        <w:t>×10</w:t>
      </w:r>
      <w:r w:rsidRPr="006C41D8">
        <w:rPr>
          <w:rFonts w:ascii="Arial" w:hAnsi="Arial" w:cs="Arial"/>
          <w:vertAlign w:val="superscript"/>
        </w:rPr>
        <w:t>10</w:t>
      </w:r>
      <w:r w:rsidRPr="006C41D8">
        <w:rPr>
          <w:rFonts w:ascii="Arial" w:hAnsi="Arial" w:cs="Arial"/>
        </w:rPr>
        <w:t xml:space="preserve"> CFU/g in broiler diets has been shown to increase live weight by 5% at 28 days of age, 12% at 35 days of age and 14% at 42 days of age, thereby reducing the total feed conversion ratio (FCR) by 5%. It indicates a sustained effect on the growth performance (</w:t>
      </w:r>
      <w:proofErr w:type="spellStart"/>
      <w:r w:rsidRPr="006C41D8">
        <w:rPr>
          <w:rFonts w:ascii="Arial" w:hAnsi="Arial" w:cs="Arial"/>
        </w:rPr>
        <w:t>Poberezhets</w:t>
      </w:r>
      <w:proofErr w:type="spellEnd"/>
      <w:r w:rsidRPr="006C41D8">
        <w:rPr>
          <w:rFonts w:ascii="Arial" w:hAnsi="Arial" w:cs="Arial"/>
        </w:rPr>
        <w:t xml:space="preserve"> et al., 2023). Udeh et al. (2021) showed that the addition of </w:t>
      </w:r>
      <w:r w:rsidRPr="006C41D8">
        <w:rPr>
          <w:rFonts w:ascii="Arial" w:hAnsi="Arial" w:cs="Arial"/>
          <w:i/>
        </w:rPr>
        <w:t>Saccharomyces cerevisiae</w:t>
      </w:r>
      <w:r w:rsidRPr="006C41D8">
        <w:rPr>
          <w:rFonts w:ascii="Arial" w:hAnsi="Arial" w:cs="Arial"/>
        </w:rPr>
        <w:t xml:space="preserve"> </w:t>
      </w:r>
      <w:commentRangeStart w:id="6"/>
      <w:r w:rsidRPr="006C41D8">
        <w:rPr>
          <w:rFonts w:ascii="Arial" w:hAnsi="Arial" w:cs="Arial"/>
        </w:rPr>
        <w:t xml:space="preserve">0.08% </w:t>
      </w:r>
      <w:commentRangeEnd w:id="6"/>
      <w:r w:rsidR="00306F88">
        <w:rPr>
          <w:rStyle w:val="CommentReference"/>
          <w:rFonts w:ascii="Times New Roman" w:hAnsi="Times New Roman"/>
          <w:lang w:val="nb-NO" w:eastAsia="nb-NO"/>
        </w:rPr>
        <w:commentReference w:id="6"/>
      </w:r>
      <w:r w:rsidRPr="006C41D8">
        <w:rPr>
          <w:rFonts w:ascii="Arial" w:hAnsi="Arial" w:cs="Arial"/>
        </w:rPr>
        <w:t xml:space="preserve">to the ration reduced triglycerides, total </w:t>
      </w:r>
      <w:commentRangeStart w:id="7"/>
      <w:r w:rsidRPr="006C41D8">
        <w:rPr>
          <w:rFonts w:ascii="Arial" w:hAnsi="Arial" w:cs="Arial"/>
        </w:rPr>
        <w:t>cholesterol, and blood low-density lipoprotein but increased blood high-density lipoprotein</w:t>
      </w:r>
      <w:commentRangeEnd w:id="7"/>
      <w:r w:rsidR="00306F88">
        <w:rPr>
          <w:rStyle w:val="CommentReference"/>
          <w:rFonts w:ascii="Times New Roman" w:hAnsi="Times New Roman"/>
          <w:lang w:val="nb-NO" w:eastAsia="nb-NO"/>
        </w:rPr>
        <w:commentReference w:id="7"/>
      </w:r>
      <w:r w:rsidRPr="006C41D8">
        <w:rPr>
          <w:rFonts w:ascii="Arial" w:hAnsi="Arial" w:cs="Arial"/>
        </w:rPr>
        <w:t xml:space="preserve">. Furthermore, it decreased aspartate aminotransferase (AST) and total bilirubin levels. Research </w:t>
      </w:r>
      <w:r w:rsidRPr="006C41D8">
        <w:rPr>
          <w:rFonts w:ascii="Arial" w:hAnsi="Arial" w:cs="Arial"/>
        </w:rPr>
        <w:fldChar w:fldCharType="begin" w:fldLock="1"/>
      </w:r>
      <w:r w:rsidR="00D0560D" w:rsidRPr="006C41D8">
        <w:rPr>
          <w:rFonts w:ascii="Arial" w:hAnsi="Arial" w:cs="Arial"/>
        </w:rPr>
        <w:instrText>ADDIN CSL_CITATION {"citationItems":[{"id":"ITEM-1","itemData":{"author":[{"dropping-particle":"","family":"Candrawati","given":"Desak Putu Mas Ari","non-dropping-particle":"","parse-names":false,"suffix":""},{"dropping-particle":"","family":"Warmadewi","given":"D. A.","non-dropping-particle":"","parse-names":false,"suffix":""},{"dropping-particle":"","family":"Bidura","given":"I.G.N.G.","non-dropping-particle":"","parse-names":false,"suffix":""}],"container-title":"International Journal of Research Studies in Biosciences","id":"ITEM-1","issue":"8","issued":{"date-parts":[["2014"]]},"page":"6-16","title":"Implementation of Saccharomyces Spp.S-7 isolate (isolated from manure of Bali cattle) as a probiotics agent in diets on performance, blood serum cholesterol, and ammonia-N concentration of broiler excreta","type":"article-journal","volume":"2"},"uris":["http://www.mendeley.com/documents/?uuid=930c1e28-1e38-4bd6-b097-c0fbe86bfaae"]}],"mendeley":{"formattedCitation":"(Candrawati et al., 2014)","plainTextFormattedCitation":"(Candrawati et al., 2014)","previouslyFormattedCitation":"(Candrawati et al., 2014)"},"properties":{"noteIndex":0},"schema":"https://github.com/citation-style-language/schema/raw/master/csl-citation.json"}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(Candrawati et al., 2014)</w:t>
      </w:r>
      <w:r w:rsidRPr="006C41D8">
        <w:rPr>
          <w:rFonts w:ascii="Arial" w:hAnsi="Arial" w:cs="Arial"/>
        </w:rPr>
        <w:fldChar w:fldCharType="end"/>
      </w:r>
      <w:r w:rsidRPr="006C41D8">
        <w:rPr>
          <w:rFonts w:ascii="Arial" w:hAnsi="Arial" w:cs="Arial"/>
        </w:rPr>
        <w:t xml:space="preserve"> showed that supplementing diets with 0.2% </w:t>
      </w:r>
      <w:r w:rsidRPr="006C41D8">
        <w:rPr>
          <w:rFonts w:ascii="Arial" w:hAnsi="Arial" w:cs="Arial"/>
          <w:i/>
        </w:rPr>
        <w:t xml:space="preserve">Saccharomyces </w:t>
      </w:r>
      <w:r w:rsidRPr="006C41D8">
        <w:rPr>
          <w:rFonts w:ascii="Arial" w:hAnsi="Arial" w:cs="Arial"/>
        </w:rPr>
        <w:t>spp.S-7  isolate in rations increased broiler dry matter, organic matter, protein, and crude fiber digestibility.</w:t>
      </w:r>
    </w:p>
    <w:p w14:paraId="35461E71" w14:textId="77777777" w:rsidR="00510A69" w:rsidRPr="006C41D8" w:rsidRDefault="00510A69" w:rsidP="00510A69">
      <w:pPr>
        <w:pStyle w:val="Body"/>
        <w:rPr>
          <w:rFonts w:ascii="Arial" w:hAnsi="Arial" w:cs="Arial"/>
        </w:rPr>
      </w:pPr>
      <w:r w:rsidRPr="006C41D8">
        <w:rPr>
          <w:rFonts w:ascii="Arial" w:hAnsi="Arial" w:cs="Arial"/>
          <w:b/>
          <w:bCs/>
          <w:i/>
        </w:rPr>
        <w:t>Bacillus subtilis</w:t>
      </w:r>
      <w:r w:rsidRPr="006C41D8">
        <w:rPr>
          <w:rFonts w:ascii="Arial" w:hAnsi="Arial" w:cs="Arial"/>
        </w:rPr>
        <w:t xml:space="preserve">: Probiotics belonging to the </w:t>
      </w:r>
      <w:r w:rsidRPr="006C41D8">
        <w:rPr>
          <w:rFonts w:ascii="Arial" w:hAnsi="Arial" w:cs="Arial"/>
          <w:i/>
        </w:rPr>
        <w:t>Bacillus</w:t>
      </w:r>
      <w:r w:rsidRPr="006C41D8">
        <w:rPr>
          <w:rFonts w:ascii="Arial" w:hAnsi="Arial" w:cs="Arial"/>
        </w:rPr>
        <w:t xml:space="preserve"> genus are recognized for their enhanced resilience to elevated temperatures and acidic pH conditions. The benefits of employing these microorganisms lie in their superior quality and extensive application as probiotics, which renders them highly adaptable across various </w:t>
      </w:r>
      <w:commentRangeStart w:id="8"/>
      <w:r w:rsidRPr="006C41D8">
        <w:rPr>
          <w:rFonts w:ascii="Arial" w:hAnsi="Arial" w:cs="Arial"/>
        </w:rPr>
        <w:t>uses</w:t>
      </w:r>
      <w:commentRangeEnd w:id="8"/>
      <w:r w:rsidR="00452639">
        <w:rPr>
          <w:rStyle w:val="CommentReference"/>
          <w:rFonts w:ascii="Times New Roman" w:hAnsi="Times New Roman"/>
          <w:lang w:val="nb-NO" w:eastAsia="nb-NO"/>
        </w:rPr>
        <w:commentReference w:id="8"/>
      </w:r>
      <w:r w:rsidRPr="006C41D8">
        <w:rPr>
          <w:rFonts w:ascii="Arial" w:hAnsi="Arial" w:cs="Arial"/>
        </w:rPr>
        <w:t xml:space="preserve">. Research has indicated that probiotics frequently arrive in the intestines intact, owing to the low pH levels in the stomach or the elevated body temperature. </w:t>
      </w:r>
      <w:r w:rsidRPr="006C41D8">
        <w:rPr>
          <w:rFonts w:ascii="Arial" w:hAnsi="Arial" w:cs="Arial"/>
        </w:rPr>
        <w:fldChar w:fldCharType="begin" w:fldLock="1"/>
      </w:r>
      <w:r w:rsidR="00D0560D" w:rsidRPr="006C41D8">
        <w:rPr>
          <w:rFonts w:ascii="Arial" w:hAnsi="Arial" w:cs="Arial"/>
        </w:rPr>
        <w:instrText>ADDIN CSL_CITATION {"citationItems":[{"id":"ITEM-1","itemData":{"DOI":"10.5772/intechopen.88817","abstract":"Abstract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Hernandez-Patlan","given":"Daniel","non-dropping-particle":"","parse-names":false,"suffix":""},{"dropping-particle":"","family":"Solis-Cruz","given":"Bruno","non-dropping-particle":"","parse-names":false,"suffix":""},{"dropping-particle":"","family":"M. Hargis","given":"Billy","non-dropping-particle":"","parse-names":false,"suffix":""},{"dropping-particle":"","family":"Tellez","given":"Guillermo","non-dropping-particle":"","parse-names":false,"suffix":""}],"container-title":"Prebiotics and Probiotics - Potential Benefits in Nutrition and Health","id":"ITEM-1","issue":"September","issued":{"date-parts":[["2020"]]},"publisher":"IntechOpen","title":"The use of probiotics in poultry production for the control of bacterial infections and aflatoxins","type":"chapter"},"uris":["http://www.mendeley.com/documents/?uuid=8e19a9e3-6f10-47f4-856b-af0d2ea4a319"]}],"mendeley":{"formattedCitation":"(Hernandez-Patlan et al., 2020)","plainTextFormattedCitation":"(Hernandez-Patlan et al., 2020)","previouslyFormattedCitation":"(Hernandez-Patlan et al., 2020)"},"properties":{"noteIndex":0},"schema":"https://github.com/citation-style-language/schema/raw/master/csl-citation.json"}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(Hernandez-Patlan et al., 2020)</w:t>
      </w:r>
      <w:r w:rsidRPr="006C41D8">
        <w:rPr>
          <w:rFonts w:ascii="Arial" w:hAnsi="Arial" w:cs="Arial"/>
        </w:rPr>
        <w:fldChar w:fldCharType="end"/>
      </w:r>
      <w:r w:rsidRPr="006C41D8">
        <w:rPr>
          <w:rFonts w:ascii="Arial" w:hAnsi="Arial" w:cs="Arial"/>
        </w:rPr>
        <w:t xml:space="preserve">. Probiotic strains of </w:t>
      </w:r>
      <w:r w:rsidRPr="006C41D8">
        <w:rPr>
          <w:rFonts w:ascii="Arial" w:hAnsi="Arial" w:cs="Arial"/>
          <w:i/>
        </w:rPr>
        <w:t xml:space="preserve">Bacillus subtilis </w:t>
      </w:r>
      <w:r w:rsidRPr="006C41D8">
        <w:rPr>
          <w:rFonts w:ascii="Arial" w:hAnsi="Arial" w:cs="Arial"/>
        </w:rPr>
        <w:t xml:space="preserve">have been reported to increase live weight gain by 4.16% to 10.76%, depending on the specific strain used, highlighting the variability in efficacy among different strains  </w:t>
      </w:r>
      <w:r w:rsidRPr="006C41D8">
        <w:rPr>
          <w:rFonts w:ascii="Arial" w:hAnsi="Arial" w:cs="Arial"/>
        </w:rPr>
        <w:fldChar w:fldCharType="begin" w:fldLock="1"/>
      </w:r>
      <w:r w:rsidRPr="006C41D8">
        <w:rPr>
          <w:rFonts w:ascii="Arial" w:hAnsi="Arial" w:cs="Arial"/>
        </w:rPr>
        <w:instrText>ADDIN CSL_CITATION {"citationItems":[{"id":"ITEM-1","itemData":{"DOI":"10.1051/e3sconf/202022202054","ISSN":"22671242","abstract":"In this paper, the probiotic properties of Bacillus subtilis GM2 and GM5 strains were studied. It is shown that the use of probiotic additives based on the spores of these bacteria leads to an increase in the live weight gain of broiler chickens by 4.16% and 10.76% relative to the control. Metagenomic analysis showed that representatives of the phylum Firmicutes (54.55%) and Bacteroidetes (30.45%), mainly represented by the families Ruminococcacea and Bacteroidaceae, predominate in the caecal microbiota of broiler chickens on day 42. It was found that a probiotic based on the B. subtilis GM5 strain leads to an increase in the proportion of Firmicutes in caecum by 27% and a decrease in Bacteroidetes by 19%. There was also a significant decrease in the number of representatives of opportunistic pathogenic bacteria of the Enterobacteriaceae family relative to the control group.","author":[{"dropping-particle":"","family":"Mardanova","given":"Ayslu","non-dropping-particle":"","parse-names":false,"suffix":""},{"dropping-particle":"","family":"Nikolaeva","given":"Anastasia","non-dropping-particle":"","parse-names":false,"suffix":""},{"dropping-particle":"","family":"Lutfullina","given":"Guzel","non-dropping-particle":"","parse-names":false,"suffix":""},{"dropping-particle":"","family":"Ganeeva","given":"Aygul","non-dropping-particle":"","parse-names":false,"suffix":""},{"dropping-particle":"","family":"Sharipova","given":"Margarita","non-dropping-particle":"","parse-names":false,"suffix":""}],"container-title":"E3S Web of Conferences","id":"ITEM-1","issued":{"date-parts":[["2020"]]},"title":"Effect of probiotic strains of Bacillus subtilis on the growth parameters of broiler chickens and caecal microbiota","type":"article-journal","volume":"222"},"uris":["http://www.mendeley.com/documents/?uuid=e4a49951-2e29-4e27-ad69-9bcd6fb9d830"]}],"mendeley":{"formattedCitation":"(Mardanova et al., 2020)","plainTextFormattedCitation":"(Mardanova et al., 2020)","previouslyFormattedCitation":"(Mardanova et al., 2020)"},"properties":{"noteIndex":0},"schema":"https://github.com/citation-style-language/schema/raw/master/csl-citation.json"}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(Mardanova et al., 2020)</w:t>
      </w:r>
      <w:r w:rsidRPr="006C41D8">
        <w:rPr>
          <w:rFonts w:ascii="Arial" w:hAnsi="Arial" w:cs="Arial"/>
        </w:rPr>
        <w:fldChar w:fldCharType="end"/>
      </w:r>
      <w:r w:rsidRPr="006C41D8">
        <w:rPr>
          <w:rFonts w:ascii="Arial" w:hAnsi="Arial" w:cs="Arial"/>
        </w:rPr>
        <w:t xml:space="preserve">. Research by </w:t>
      </w:r>
      <w:r w:rsidRPr="006C41D8">
        <w:rPr>
          <w:rFonts w:ascii="Arial" w:hAnsi="Arial" w:cs="Arial"/>
        </w:rPr>
        <w:fldChar w:fldCharType="begin" w:fldLock="1"/>
      </w:r>
      <w:r w:rsidRPr="006C41D8">
        <w:rPr>
          <w:rFonts w:ascii="Arial" w:hAnsi="Arial" w:cs="Arial"/>
        </w:rPr>
        <w:instrText>ADDIN CSL_CITATION {"citationItems":[{"id":"ITEM-1","itemData":{"DOI":"10.3382/ps/pew246","ISSN":"15253171","PMID":"27486257","abstract":"This study aimed to investigate the supplemental effects of probiotic Bacillus subtilis fmbJ (BS fmbJ) on growth performance, antioxidant capacity, and meat quality of broiler chickens. A total of 240 day-old male Arbor Acres (AA) broiler chickens were randomly allotted to 4 treatments and raised for 6 wk. Each treatment had 6 replicate pens with ten birds per replicate. Birds in the control group (CON) were fed diets without BS fmbJ and antibiotics. The BS groups were fed the basal diets with BS fmbJ at 2 × 1010 cfu/kg (BS-1 group), BS fmbJ at 3 × 1010 cfu/kg (BS-2 group), BS fmbJ at 4 × 1010 cfu/kg (BS-3 group) without antibiotics for 42 d. In the study, dietary supplementation with BS fmbJ significantly improved (P &lt; 0.05) the average daily gain (ADG), average daily feed intake (ADFI), and feed conversion ratio (FCR) of broilers from 21 to 42 d and 1 to 42 d. At 42 d, the final body weight was increased (P &lt; 0.05) in BS-2 group compared with that in CON. Dietary BS fmbJ significantly increased (P &lt; 0.05) serum IgA and IgG concentrations of broilers after 42 days raising. The glutathione (GSH), glutathione reductase (GR), glutathione peroxidase (GSH-Px), and superoxide dismutase (SOD) activity of serum and liver were increased (P &lt; 0.05), and methane dicarboxylic aldehyde (MDA) contents in serum and liver were decreased (P &lt; 0.05) by BS fmbJ added into the broiler diets. Dietary supplementation with BS fmbJ significantly decreased (P &lt; 0.05) reactive oxygen species (ROS) contents in liver mitochondria of broilers. Additionally, the expression of antioxidant enzyme gene including nuclear factor erythroid 2-related factor 2 (Nrf2), heme oxygenase 1 (HO-1), superoxide dismutase (SOD), and glutathione peroxidase (GPx) were improved (P &lt; 0.05) by BS fmbJ added into the broiler diets. Among measuring items of chicken breast meat quality, the drip loss, cooking loss, shear force, Lz.ast;24 h, az.ast;24 h, bz.ast;45 min, and bz.ast;24 h values were influenced (P &lt; 0.05) by BS fmbJ provided in the diet. Based on these results, Bacillus subtilis fmbJ could be acted as a beneficial feed additive with antioxidant capacity in broiler diets.","author":[{"dropping-particle":"","family":"Bai","given":"Kaiwen","non-dropping-particle":"","parse-names":false,"suffix":""},{"dropping-particle":"","family":"Huang","given":"Qiang","non-dropping-particle":"","parse-names":false,"suffix":""},{"dropping-particle":"","family":"Zhang","given":"Jingfei","non-dropping-particle":"","parse-names":false,"suffix":""},{"dropping-particle":"","family":"He","given":"Jintian","non-dropping-particle":"","parse-names":false,"suffix":""},{"dropping-particle":"","family":"Zhang","given":"Lili","non-dropping-particle":"","parse-names":false,"suffix":""},{"dropping-particle":"","family":"Wang","given":"Tian","non-dropping-particle":"","parse-names":false,"suffix":""}],"container-title":"Poultry Science","id":"ITEM-1","issue":"1","issued":{"date-parts":[["2017"]]},"page":"74-82","publisher":"Poultry Science Association Inc.","title":"Supplemental effects of probiotic Bacillus subtilis fmbJ on growth performance, antioxidant capacity, and meat quality of broiler chickens","type":"article-journal","volume":"96"},"uris":["http://www.mendeley.com/documents/?uuid=019d14de-9678-4d13-aa6f-48aa1459b1e3"]}],"mendeley":{"formattedCitation":"(Bai et al., 2017)","manualFormatting":"Bai et al. (2017)","plainTextFormattedCitation":"(Bai et al., 2017)","previouslyFormattedCitation":"(Bai et al., 2017)"},"properties":{"noteIndex":0},"schema":"https://github.com/citation-style-language/schema/raw/master/csl-citation.json"}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Bai et al. (2017)</w:t>
      </w:r>
      <w:r w:rsidRPr="006C41D8">
        <w:rPr>
          <w:rFonts w:ascii="Arial" w:hAnsi="Arial" w:cs="Arial"/>
        </w:rPr>
        <w:fldChar w:fldCharType="end"/>
      </w:r>
      <w:r w:rsidRPr="006C41D8">
        <w:rPr>
          <w:rFonts w:ascii="Arial" w:hAnsi="Arial" w:cs="Arial"/>
        </w:rPr>
        <w:t xml:space="preserve"> on supplementing broilers with the probiotic </w:t>
      </w:r>
      <w:r w:rsidRPr="006C41D8">
        <w:rPr>
          <w:rFonts w:ascii="Arial" w:hAnsi="Arial" w:cs="Arial"/>
          <w:i/>
        </w:rPr>
        <w:t>Bacillus subtilis</w:t>
      </w:r>
      <w:r w:rsidRPr="006C41D8">
        <w:rPr>
          <w:rFonts w:ascii="Arial" w:hAnsi="Arial" w:cs="Arial"/>
        </w:rPr>
        <w:t xml:space="preserve"> </w:t>
      </w:r>
      <w:proofErr w:type="spellStart"/>
      <w:r w:rsidRPr="006C41D8">
        <w:rPr>
          <w:rFonts w:ascii="Arial" w:hAnsi="Arial" w:cs="Arial"/>
        </w:rPr>
        <w:t>fmbJ</w:t>
      </w:r>
      <w:proofErr w:type="spellEnd"/>
      <w:r w:rsidRPr="006C41D8">
        <w:rPr>
          <w:rFonts w:ascii="Arial" w:hAnsi="Arial" w:cs="Arial"/>
        </w:rPr>
        <w:t xml:space="preserve"> through rations showed that it can increase the average daily feed consumption, feed conversion ratio (FCR), body weight, and levels of serum immunoglobulin A (IgA) and immunoglobulin G (IgG) were assessed. In addition, the activities of several enzymes, including glutathione (GSH), glutathione reductase (GR), </w:t>
      </w:r>
      <w:r w:rsidRPr="006C41D8">
        <w:rPr>
          <w:rFonts w:ascii="Arial" w:hAnsi="Arial" w:cs="Arial"/>
        </w:rPr>
        <w:lastRenderedPageBreak/>
        <w:t>glutathione peroxidase (GSH-Px), and superoxide dismutase (SOD), showed an increase in both serum and liver tissues. Furthermore, the concentration of malondialdehyde (MDA) in the serum and liver was found to be reduced, which correspondingly lowered the levels of reactive oxygen species (ROS) within the mitochondria of broiler liver cells. Moreover, there was an upregulation in the expression of genes associated with antioxidant enzymes, such as nuclear factor erythroid 2-related factor 2 (Nrf2), heme oxygenase 1 (HO-1), superoxide dismutase (SOD), and glutathione peroxidase (</w:t>
      </w:r>
      <w:proofErr w:type="spellStart"/>
      <w:r w:rsidRPr="006C41D8">
        <w:rPr>
          <w:rFonts w:ascii="Arial" w:hAnsi="Arial" w:cs="Arial"/>
        </w:rPr>
        <w:t>GPx</w:t>
      </w:r>
      <w:proofErr w:type="spellEnd"/>
      <w:r w:rsidRPr="006C41D8">
        <w:rPr>
          <w:rFonts w:ascii="Arial" w:hAnsi="Arial" w:cs="Arial"/>
        </w:rPr>
        <w:t>) increased.</w:t>
      </w:r>
    </w:p>
    <w:p w14:paraId="5E0AB7A8" w14:textId="77777777" w:rsidR="00510A69" w:rsidRPr="006C41D8" w:rsidRDefault="00510A69" w:rsidP="00510A69">
      <w:pPr>
        <w:pStyle w:val="Body"/>
        <w:rPr>
          <w:rFonts w:ascii="Arial" w:hAnsi="Arial" w:cs="Arial"/>
        </w:rPr>
      </w:pPr>
      <w:r w:rsidRPr="006C41D8">
        <w:rPr>
          <w:rFonts w:ascii="Arial" w:hAnsi="Arial" w:cs="Arial"/>
          <w:b/>
          <w:bCs/>
          <w:i/>
        </w:rPr>
        <w:t xml:space="preserve">Lactobacillus </w:t>
      </w:r>
      <w:r w:rsidRPr="006C41D8">
        <w:rPr>
          <w:rFonts w:ascii="Arial" w:hAnsi="Arial" w:cs="Arial"/>
          <w:b/>
          <w:bCs/>
        </w:rPr>
        <w:t>species</w:t>
      </w:r>
      <w:r w:rsidRPr="006C41D8">
        <w:rPr>
          <w:rFonts w:ascii="Arial" w:hAnsi="Arial" w:cs="Arial"/>
        </w:rPr>
        <w:t xml:space="preserve">: Supplementation with </w:t>
      </w:r>
      <w:r w:rsidRPr="006C41D8">
        <w:rPr>
          <w:rFonts w:ascii="Arial" w:hAnsi="Arial" w:cs="Arial"/>
          <w:i/>
        </w:rPr>
        <w:t xml:space="preserve">Lactobacillus </w:t>
      </w:r>
      <w:r w:rsidRPr="006C41D8">
        <w:rPr>
          <w:rFonts w:ascii="Arial" w:hAnsi="Arial" w:cs="Arial"/>
        </w:rPr>
        <w:t>sp. (</w:t>
      </w:r>
      <w:r w:rsidRPr="006C41D8">
        <w:rPr>
          <w:rFonts w:ascii="Arial" w:hAnsi="Arial" w:cs="Arial"/>
          <w:i/>
        </w:rPr>
        <w:t xml:space="preserve">Lactobacillus acidophilus, Lactobacillus casei, and Lactobacillus </w:t>
      </w:r>
      <w:proofErr w:type="spellStart"/>
      <w:r w:rsidRPr="006C41D8">
        <w:rPr>
          <w:rFonts w:ascii="Arial" w:hAnsi="Arial" w:cs="Arial"/>
          <w:i/>
        </w:rPr>
        <w:t>reuterii</w:t>
      </w:r>
      <w:proofErr w:type="spellEnd"/>
      <w:r w:rsidRPr="006C41D8">
        <w:rPr>
          <w:rFonts w:ascii="Arial" w:hAnsi="Arial" w:cs="Arial"/>
        </w:rPr>
        <w:t xml:space="preserve"> (2×10</w:t>
      </w:r>
      <w:r w:rsidRPr="006C41D8">
        <w:rPr>
          <w:rFonts w:ascii="Arial" w:hAnsi="Arial" w:cs="Arial"/>
          <w:vertAlign w:val="superscript"/>
        </w:rPr>
        <w:t>9</w:t>
      </w:r>
      <w:r w:rsidRPr="006C41D8">
        <w:rPr>
          <w:rFonts w:ascii="Arial" w:hAnsi="Arial" w:cs="Arial"/>
        </w:rPr>
        <w:t xml:space="preserve"> CFU/g) added at a level of </w:t>
      </w:r>
      <w:r w:rsidRPr="00452639">
        <w:rPr>
          <w:rFonts w:ascii="Arial" w:hAnsi="Arial" w:cs="Arial"/>
          <w:highlight w:val="yellow"/>
        </w:rPr>
        <w:t>0.01%</w:t>
      </w:r>
      <w:r w:rsidRPr="006C41D8">
        <w:rPr>
          <w:rFonts w:ascii="Arial" w:hAnsi="Arial" w:cs="Arial"/>
        </w:rPr>
        <w:t xml:space="preserve"> to the feed resulted in the same feed intake. However, it increased the final body weight by 6.0%, the body weight gain by 6.15%, and the </w:t>
      </w:r>
      <w:commentRangeStart w:id="9"/>
      <w:r w:rsidRPr="006C41D8">
        <w:rPr>
          <w:rFonts w:ascii="Arial" w:hAnsi="Arial" w:cs="Arial"/>
        </w:rPr>
        <w:t>conversion</w:t>
      </w:r>
      <w:commentRangeEnd w:id="9"/>
      <w:r w:rsidR="00452639">
        <w:rPr>
          <w:rStyle w:val="CommentReference"/>
          <w:rFonts w:ascii="Times New Roman" w:hAnsi="Times New Roman"/>
          <w:lang w:val="nb-NO" w:eastAsia="nb-NO"/>
        </w:rPr>
        <w:commentReference w:id="9"/>
      </w:r>
      <w:r w:rsidRPr="006C41D8">
        <w:rPr>
          <w:rFonts w:ascii="Arial" w:hAnsi="Arial" w:cs="Arial"/>
        </w:rPr>
        <w:t xml:space="preserve"> by 8.8%. It indicates the effectiveness of this probiotic in improving growth performance (</w:t>
      </w:r>
      <w:proofErr w:type="spellStart"/>
      <w:r w:rsidRPr="006C41D8">
        <w:rPr>
          <w:rFonts w:ascii="Arial" w:hAnsi="Arial" w:cs="Arial"/>
        </w:rPr>
        <w:t>Bharathidhasan</w:t>
      </w:r>
      <w:proofErr w:type="spellEnd"/>
      <w:r w:rsidRPr="006C41D8">
        <w:rPr>
          <w:rFonts w:ascii="Arial" w:hAnsi="Arial" w:cs="Arial"/>
        </w:rPr>
        <w:t xml:space="preserve">, 2018). </w:t>
      </w:r>
      <w:r w:rsidR="000811D2" w:rsidRPr="006C41D8">
        <w:rPr>
          <w:rFonts w:ascii="Arial" w:hAnsi="Arial" w:cs="Arial"/>
        </w:rPr>
        <w:t xml:space="preserve">A study by </w:t>
      </w:r>
      <w:r w:rsidRPr="006C41D8">
        <w:rPr>
          <w:rFonts w:ascii="Arial" w:hAnsi="Arial" w:cs="Arial"/>
        </w:rPr>
        <w:t>El-</w:t>
      </w:r>
      <w:proofErr w:type="spellStart"/>
      <w:r w:rsidRPr="006C41D8">
        <w:rPr>
          <w:rFonts w:ascii="Arial" w:hAnsi="Arial" w:cs="Arial"/>
        </w:rPr>
        <w:t>Kelawy</w:t>
      </w:r>
      <w:proofErr w:type="spellEnd"/>
      <w:r w:rsidRPr="006C41D8">
        <w:rPr>
          <w:rFonts w:ascii="Arial" w:hAnsi="Arial" w:cs="Arial"/>
        </w:rPr>
        <w:t xml:space="preserve"> et al. </w:t>
      </w:r>
      <w:r w:rsidR="000811D2" w:rsidRPr="006C41D8">
        <w:rPr>
          <w:rFonts w:ascii="Arial" w:hAnsi="Arial" w:cs="Arial"/>
        </w:rPr>
        <w:t>(</w:t>
      </w:r>
      <w:r w:rsidRPr="006C41D8">
        <w:rPr>
          <w:rFonts w:ascii="Arial" w:hAnsi="Arial" w:cs="Arial"/>
        </w:rPr>
        <w:t xml:space="preserve">2017) noted that supplementation with a 0.50 g/kg </w:t>
      </w:r>
      <w:proofErr w:type="spellStart"/>
      <w:r w:rsidRPr="006C41D8">
        <w:rPr>
          <w:rFonts w:ascii="Arial" w:hAnsi="Arial" w:cs="Arial"/>
        </w:rPr>
        <w:t>Biacton</w:t>
      </w:r>
      <w:proofErr w:type="spellEnd"/>
      <w:r w:rsidRPr="006C41D8">
        <w:rPr>
          <w:rFonts w:ascii="Arial" w:hAnsi="Arial" w:cs="Arial"/>
        </w:rPr>
        <w:t xml:space="preserve"> probiotic containing </w:t>
      </w:r>
      <w:r w:rsidRPr="006C41D8">
        <w:rPr>
          <w:rFonts w:ascii="Arial" w:hAnsi="Arial" w:cs="Arial"/>
          <w:i/>
        </w:rPr>
        <w:t xml:space="preserve">Lactobacillus </w:t>
      </w:r>
      <w:proofErr w:type="spellStart"/>
      <w:r w:rsidRPr="006C41D8">
        <w:rPr>
          <w:rFonts w:ascii="Arial" w:hAnsi="Arial" w:cs="Arial"/>
        </w:rPr>
        <w:t>farciminis</w:t>
      </w:r>
      <w:proofErr w:type="spellEnd"/>
      <w:r w:rsidRPr="006C41D8">
        <w:rPr>
          <w:rFonts w:ascii="Arial" w:hAnsi="Arial" w:cs="Arial"/>
        </w:rPr>
        <w:t xml:space="preserve"> CNCM MA67/4R at a concentration of 1 × 10</w:t>
      </w:r>
      <w:r w:rsidRPr="006C41D8">
        <w:rPr>
          <w:rFonts w:ascii="Arial" w:hAnsi="Arial" w:cs="Arial"/>
          <w:vertAlign w:val="superscript"/>
        </w:rPr>
        <w:t>9</w:t>
      </w:r>
      <w:r w:rsidRPr="006C41D8">
        <w:rPr>
          <w:rFonts w:ascii="Arial" w:hAnsi="Arial" w:cs="Arial"/>
        </w:rPr>
        <w:t xml:space="preserve"> CFU/g significantly increased the digestibility of dry matter, crude protein, and ether extract  compared to the control. </w:t>
      </w:r>
    </w:p>
    <w:p w14:paraId="5C34835E" w14:textId="77777777" w:rsidR="00510A69" w:rsidRPr="006C41D8" w:rsidRDefault="00510A69" w:rsidP="00510A69">
      <w:pPr>
        <w:pStyle w:val="Body"/>
        <w:rPr>
          <w:rFonts w:ascii="Arial" w:hAnsi="Arial" w:cs="Arial"/>
          <w:bCs/>
        </w:rPr>
      </w:pPr>
      <w:r w:rsidRPr="006C41D8">
        <w:rPr>
          <w:rFonts w:ascii="Arial" w:hAnsi="Arial" w:cs="Arial"/>
          <w:b/>
          <w:bCs/>
          <w:i/>
        </w:rPr>
        <w:t xml:space="preserve">Clostridium </w:t>
      </w:r>
      <w:proofErr w:type="spellStart"/>
      <w:r w:rsidRPr="006C41D8">
        <w:rPr>
          <w:rFonts w:ascii="Arial" w:hAnsi="Arial" w:cs="Arial"/>
          <w:b/>
          <w:bCs/>
          <w:i/>
        </w:rPr>
        <w:t>butyricum</w:t>
      </w:r>
      <w:proofErr w:type="spellEnd"/>
      <w:r w:rsidRPr="006C41D8">
        <w:rPr>
          <w:rFonts w:ascii="Arial" w:hAnsi="Arial" w:cs="Arial"/>
          <w:b/>
          <w:bCs/>
        </w:rPr>
        <w:t xml:space="preserve">: </w:t>
      </w:r>
      <w:r w:rsidRPr="006C41D8">
        <w:rPr>
          <w:rFonts w:ascii="Arial" w:hAnsi="Arial" w:cs="Arial"/>
          <w:bCs/>
        </w:rPr>
        <w:t xml:space="preserve">Supplementation with </w:t>
      </w:r>
      <w:r w:rsidRPr="006C41D8">
        <w:rPr>
          <w:rFonts w:ascii="Arial" w:hAnsi="Arial" w:cs="Arial"/>
          <w:bCs/>
          <w:i/>
        </w:rPr>
        <w:t xml:space="preserve">C. </w:t>
      </w:r>
      <w:proofErr w:type="spellStart"/>
      <w:r w:rsidRPr="006C41D8">
        <w:rPr>
          <w:rFonts w:ascii="Arial" w:hAnsi="Arial" w:cs="Arial"/>
          <w:bCs/>
          <w:i/>
        </w:rPr>
        <w:t>butyricum</w:t>
      </w:r>
      <w:proofErr w:type="spellEnd"/>
      <w:r w:rsidRPr="006C41D8">
        <w:rPr>
          <w:rFonts w:ascii="Arial" w:hAnsi="Arial" w:cs="Arial"/>
          <w:bCs/>
        </w:rPr>
        <w:t xml:space="preserve"> resulted in ADG, glutathione S-transferase (GST) activity, glutathione (GSH) concentration, superoxide dismutase (SOD) activity, and IgM concentration compared to the control group, but the malondialdehyde (MDA) concentration was lower than that of the control. The results showed that </w:t>
      </w:r>
      <w:r w:rsidRPr="006C41D8">
        <w:rPr>
          <w:rFonts w:ascii="Arial" w:hAnsi="Arial" w:cs="Arial"/>
          <w:bCs/>
          <w:i/>
        </w:rPr>
        <w:t xml:space="preserve">C. </w:t>
      </w:r>
      <w:proofErr w:type="spellStart"/>
      <w:r w:rsidRPr="006C41D8">
        <w:rPr>
          <w:rFonts w:ascii="Arial" w:hAnsi="Arial" w:cs="Arial"/>
          <w:bCs/>
          <w:i/>
        </w:rPr>
        <w:t>butyricum</w:t>
      </w:r>
      <w:proofErr w:type="spellEnd"/>
      <w:r w:rsidRPr="006C41D8">
        <w:rPr>
          <w:rFonts w:ascii="Arial" w:hAnsi="Arial" w:cs="Arial"/>
          <w:bCs/>
        </w:rPr>
        <w:t xml:space="preserve"> improved the growth performance, antioxidant activity, and immune function of broiler chickens </w:t>
      </w:r>
      <w:r w:rsidRPr="006C41D8">
        <w:rPr>
          <w:rFonts w:ascii="Arial" w:hAnsi="Arial" w:cs="Arial"/>
          <w:bCs/>
        </w:rPr>
        <w:fldChar w:fldCharType="begin" w:fldLock="1"/>
      </w:r>
      <w:r w:rsidRPr="006C41D8">
        <w:rPr>
          <w:rFonts w:ascii="Arial" w:hAnsi="Arial" w:cs="Arial"/>
          <w:bCs/>
        </w:rPr>
        <w:instrText>ADDIN CSL_CITATION {"citationItems":[{"id":"ITEM-1","itemData":{"DOI":"10.3382/ps/pev038","ISSN":"15253171","PMID":"25717087","abstract":"To investigate the effects of Clostridium butyricum on growth performance, antioxidation, and immune function of broilers, 320 one-day-old Arbor Acres commercial male chicks were assigned to one of 5 treatments with 8 replicates in a completely randomized design for 42 d. The 5 treatments were basal diet (control), basal diet supplemented with 2.5 × 108 cfu C. butyricum/kg (CB1), basal diet supplemented with 5 × 108 cfu C. butyricum/kg (CB2), basal diet supplemented with 1 × 109 cfu C. butyricum/kg (CB3), and basal diet supplemented with 150 mg aureomycin/kg (antibiotic). The results showed that all C. butyricum-supplemented groups during d 1 to 21 and the CB2 group during d 22 to 42 had higher ADG compared with the control (P &lt; 0.05). Chicks fed the CB3 diet had higher glutathione S-transferase (GST) activity (P &lt; 0.05), and chicks fed the CB2 diet had a higher glutathione (GSH) concentration in duodenal and ileal mucosa at 21 d of age than those in the control group (P &lt; 0.05). Chicks fed the CB3 diet had a lower malondialdehyde (MDA) concentration in duodenal mucosa than those in the control and CB1 groups (P &lt; 0.05). Chicks fed the CB2, CB3, and antibiotic diets had a lower MDA concentration in ileal mucosa than those in the control and CB1 groups (P &lt; 0.05). Broilers fed the CB3 diet had greater superoxide dismutase (SOD) activity in the ileal mucosa on d 21 and in jejunal mucosa on d 42 than those in the other groups (P &lt; 0.05). Chicks fed the CB2, CB3, and antibiotic diets had a higher GSH concentration in duodenal and jejunal mucosa on d 42 than those in the control group (P &lt; 0.05). Broilers fed the CB2 and CB3 diets had a lower MDA concentration in the jejunal mucosa on d 42 than those in the control and CB1 groups. Chicks fed diets supplemented with C. butyricum had a higher IgM concentration than those in the control group at 21 and 42 d of age (P &lt; 0.05). The results indicate that C. butyricum improves broilers' growth performance, antioxidation, and immune function.","author":[{"dropping-particle":"","family":"Liao","given":"X. D.","non-dropping-particle":"","parse-names":false,"suffix":""},{"dropping-particle":"","family":"Ma","given":"G.","non-dropping-particle":"","parse-names":false,"suffix":""},{"dropping-particle":"","family":"Cai","given":"J.","non-dropping-particle":"","parse-names":false,"suffix":""},{"dropping-particle":"","family":"Fu","given":"Y.","non-dropping-particle":"","parse-names":false,"suffix":""},{"dropping-particle":"","family":"Yan","given":"X. Y.","non-dropping-particle":"","parse-names":false,"suffix":""},{"dropping-particle":"","family":"Wei","given":"X. B.","non-dropping-particle":"","parse-names":false,"suffix":""},{"dropping-particle":"","family":"Zhang","given":"R. J.","non-dropping-particle":"","parse-names":false,"suffix":""}],"container-title":"Poultry Science","id":"ITEM-1","issue":"4","issued":{"date-parts":[["2014"]]},"page":"662-667","title":"Effects of Clostridium butyricum on growth performance, antioxidation, and immune function of broilers","type":"article-journal","volume":"94"},"uris":["http://www.mendeley.com/documents/?uuid=3d3d4cf0-bf6a-4e0e-aa64-606bd2cfb847"]}],"mendeley":{"formattedCitation":"(Liao et al., 2014)","plainTextFormattedCitation":"(Liao et al., 2014)","previouslyFormattedCitation":"(Liao et al., 2014)"},"properties":{"noteIndex":0},"schema":"https://github.com/citation-style-language/schema/raw/master/csl-citation.json"}</w:instrText>
      </w:r>
      <w:r w:rsidRPr="006C41D8">
        <w:rPr>
          <w:rFonts w:ascii="Arial" w:hAnsi="Arial" w:cs="Arial"/>
          <w:bCs/>
        </w:rPr>
        <w:fldChar w:fldCharType="separate"/>
      </w:r>
      <w:r w:rsidRPr="006C41D8">
        <w:rPr>
          <w:rFonts w:ascii="Arial" w:hAnsi="Arial" w:cs="Arial"/>
          <w:bCs/>
          <w:noProof/>
        </w:rPr>
        <w:t>(Liao et al., 2014)</w:t>
      </w:r>
      <w:r w:rsidRPr="006C41D8">
        <w:rPr>
          <w:rFonts w:ascii="Arial" w:hAnsi="Arial" w:cs="Arial"/>
        </w:rPr>
        <w:fldChar w:fldCharType="end"/>
      </w:r>
      <w:r w:rsidRPr="006C41D8">
        <w:rPr>
          <w:rFonts w:ascii="Arial" w:hAnsi="Arial" w:cs="Arial"/>
        </w:rPr>
        <w:t xml:space="preserve">. </w:t>
      </w:r>
      <w:r w:rsidRPr="006C41D8">
        <w:rPr>
          <w:rFonts w:ascii="Arial" w:hAnsi="Arial" w:cs="Arial"/>
        </w:rPr>
        <w:fldChar w:fldCharType="begin" w:fldLock="1"/>
      </w:r>
      <w:r w:rsidRPr="006C41D8">
        <w:rPr>
          <w:rFonts w:ascii="Arial" w:hAnsi="Arial" w:cs="Arial"/>
        </w:rPr>
        <w:instrText>ADDIN CSL_CITATION {"citationItems":[{"id":"ITEM-1","itemData":{"DOI":"10.1186/s40104-016-0061-4","ISSN":"20491891","abstract":"Background: Colibacillosis caused by enterotoxigenic Escherichia coli (E. coli) results in economic losses in the poultry industry. Antibiotics are usually used to control colibacillosis, however, E. coli has varying degrees of resistance to different antibiotics. Therefore the use of probiotics is becoming accepted as an alternative to antibiotics. In this study, we evaluated the effects of Clostridium butyricum (C. butyricum) on growth performance, immune response, intestinal barrier function, and digestive enzyme activity in broiler chickens challenged with Escherichia coli (E. coli) K88. Methods: The chickens were randomly divided into four treatment groups for 28 days. Negative control treatment (NC) consisted of birds fed a basal diet without E. coli K88 challenge and positive control treatment (PC) consisted of birds fed a basal diet and challenged with E. coli K88. C. butyricum probiotic treatment (CB) consisted of birds fed a diet containing 2 × 107 cfu C. butyricum/kg of diet and challenged with E. coli K88. Colistin sulfate antibiotic treatment (CS) consisted of birds fed a diet containing 20 mg colistin sulfate/kg of diet and challenged with E. coli K88. Results: The body weight (BW) and average day gain (ADG) in the broilers of CB group were higher (P &lt; 0.05) than the broilers in the PC group overall except the ADG in the 14-21 d post-challenge. The birds in CB treatment had higher (P &lt; 0.05) concentration of tumor necrosis factor-aα (TNF-aα) at 3 and 7 d post-challenge, and higher (P &lt; 0.05) concentration of interleukin-4 (IL-4) at 14 d post-challenge than those in the PC treatment group. The concentration of serum endotoxin in CB birds was lower (P &lt; 0.05) at 21 d post-challenge, and the concentrations of serum diamine oxidase in CB birds were lower (P &lt; 0.05) at 14 and 21 d post-challenge than in PC birds. Birds in CB treatment group had higher (P &lt; 0.05) jejunum villi height than those in PC, NC, or CS treatment at 7, 14, and 21 d post-challenge. In comparison to PC birds, the CB birds had lower (P &lt; 0.05) jejunum crypt depth during the whole experiment. The birds in CB or CS treatment group had higher (P &lt; 0.05) activities of amylase and protease at 3, 7, and 14 d post-challenge, and higher (P &lt; 0.05) activity of lipase at 3, 7 d post-challenge than PC birds. Conclusions: In all, these results indicate that dietary supplementation with C. butyricum promotes immune response, improves intestinal barrier function, and digestive enzyme act…","author":[{"dropping-particle":"","family":"Zhang","given":"Ling","non-dropping-particle":"","parse-names":false,"suffix":""},{"dropping-particle":"","family":"Zhang","given":"Lingling","non-dropping-particle":"","parse-names":false,"suffix":""},{"dropping-particle":"","family":"Zhan","given":"Xiu'an","non-dropping-particle":"","parse-names":false,"suffix":""},{"dropping-particle":"","family":"Zeng","given":"Xinfu","non-dropping-particle":"","parse-names":false,"suffix":""},{"dropping-particle":"","family":"Zhou","given":"Lin","non-dropping-particle":"","parse-names":false,"suffix":""},{"dropping-particle":"","family":"Cao","given":"Guangtian","non-dropping-particle":"","parse-names":false,"suffix":""},{"dropping-particle":"","family":"Chen","given":"An'guo","non-dropping-particle":"","parse-names":false,"suffix":""},{"dropping-particle":"","family":"Yang","given":"Caimei","non-dropping-particle":"","parse-names":false,"suffix":""}],"container-title":"Journal of Animal Science and Biotechnology","id":"ITEM-1","issue":"1","issued":{"date-parts":[["2016"]]},"page":"1-9","title":"Effects of dietary supplementation of probiotic, Clostridium butyricum, on growth performance, immune response, intestinal barrier function, and digestive enzyme activity in broiler chickens challenged with Escherichia coli K88","type":"article-journal","volume":"7"},"uris":["http://www.mendeley.com/documents/?uuid=d92533e2-937c-488b-bb43-7c036accc9e2"]}],"mendeley":{"formattedCitation":"(Zhang et al., 2016)","manualFormatting":"Zhang et al. (2016)","plainTextFormattedCitation":"(Zhang et al., 2016)","previouslyFormattedCitation":"(Zhang et al., 2016)"},"properties":{"noteIndex":0},"schema":"https://github.com/citation-style-language/schema/raw/master/csl-citation.json"}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Zhang et al. (2016)</w:t>
      </w:r>
      <w:r w:rsidRPr="006C41D8">
        <w:rPr>
          <w:rFonts w:ascii="Arial" w:hAnsi="Arial" w:cs="Arial"/>
        </w:rPr>
        <w:fldChar w:fldCharType="end"/>
      </w:r>
      <w:r w:rsidRPr="006C41D8">
        <w:rPr>
          <w:rFonts w:ascii="Arial" w:hAnsi="Arial" w:cs="Arial"/>
          <w:bCs/>
        </w:rPr>
        <w:t xml:space="preserve"> investigated the application of </w:t>
      </w:r>
      <w:r w:rsidRPr="006C41D8">
        <w:rPr>
          <w:rFonts w:ascii="Arial" w:hAnsi="Arial" w:cs="Arial"/>
          <w:bCs/>
          <w:i/>
        </w:rPr>
        <w:t xml:space="preserve">Clostridium </w:t>
      </w:r>
      <w:proofErr w:type="spellStart"/>
      <w:r w:rsidRPr="006C41D8">
        <w:rPr>
          <w:rFonts w:ascii="Arial" w:hAnsi="Arial" w:cs="Arial"/>
          <w:bCs/>
          <w:i/>
        </w:rPr>
        <w:t>butyricum</w:t>
      </w:r>
      <w:proofErr w:type="spellEnd"/>
      <w:r w:rsidRPr="006C41D8">
        <w:rPr>
          <w:rFonts w:ascii="Arial" w:hAnsi="Arial" w:cs="Arial"/>
          <w:bCs/>
        </w:rPr>
        <w:t xml:space="preserve"> (2×10</w:t>
      </w:r>
      <w:r w:rsidRPr="006C41D8">
        <w:rPr>
          <w:rFonts w:ascii="Arial" w:hAnsi="Arial" w:cs="Arial"/>
          <w:bCs/>
          <w:vertAlign w:val="superscript"/>
        </w:rPr>
        <w:t>7</w:t>
      </w:r>
      <w:r w:rsidRPr="006C41D8">
        <w:rPr>
          <w:rFonts w:ascii="Arial" w:hAnsi="Arial" w:cs="Arial"/>
          <w:bCs/>
        </w:rPr>
        <w:t xml:space="preserve"> CFU/g) in broilers challenged with </w:t>
      </w:r>
      <w:r w:rsidRPr="006C41D8">
        <w:rPr>
          <w:rFonts w:ascii="Arial" w:hAnsi="Arial" w:cs="Arial"/>
          <w:bCs/>
          <w:i/>
        </w:rPr>
        <w:t>E. coli</w:t>
      </w:r>
      <w:r w:rsidRPr="006C41D8">
        <w:rPr>
          <w:rFonts w:ascii="Arial" w:hAnsi="Arial" w:cs="Arial"/>
          <w:bCs/>
        </w:rPr>
        <w:t xml:space="preserve"> K88, which yielded noteworthy findings. The study indicated that a cohort of poultry administered </w:t>
      </w:r>
      <w:r w:rsidRPr="006C41D8">
        <w:rPr>
          <w:rFonts w:ascii="Arial" w:hAnsi="Arial" w:cs="Arial"/>
          <w:bCs/>
          <w:i/>
        </w:rPr>
        <w:t xml:space="preserve">Clostridium </w:t>
      </w:r>
      <w:proofErr w:type="spellStart"/>
      <w:r w:rsidRPr="006C41D8">
        <w:rPr>
          <w:rFonts w:ascii="Arial" w:hAnsi="Arial" w:cs="Arial"/>
          <w:bCs/>
          <w:i/>
        </w:rPr>
        <w:t>butyricum</w:t>
      </w:r>
      <w:proofErr w:type="spellEnd"/>
      <w:r w:rsidRPr="006C41D8">
        <w:rPr>
          <w:rFonts w:ascii="Arial" w:hAnsi="Arial" w:cs="Arial"/>
          <w:bCs/>
        </w:rPr>
        <w:t xml:space="preserve"> (CB) probiotics exhibited enhanced body weight and superior average daily weight gain compared to the positive control group (PC). Moreover, the activities of digestive enzymes, specifically amylase and protease, were elevated in the CB group, thereby underscoring the role of probiotics in enhancing digestive efficiency. Additionally, the augmented levels of cytokines, including TNF-α and IL-4, during the initial post-challenge phase suggest a favorable modulation of the immune response, wherein probiotics assist to strengthening the immune defense against pathogens. The high concentration of n-butyl acid found in the cecal digesta of the CB group further indicates beneficial metabolic changes to maintain the stability of the intestinal microbiota</w:t>
      </w:r>
      <w:r w:rsidR="000811D2" w:rsidRPr="006C41D8">
        <w:rPr>
          <w:rFonts w:ascii="Arial" w:hAnsi="Arial" w:cs="Arial"/>
          <w:bCs/>
        </w:rPr>
        <w:t xml:space="preserve"> (Zhang et al., 2016)</w:t>
      </w:r>
      <w:r w:rsidRPr="006C41D8">
        <w:rPr>
          <w:rFonts w:ascii="Arial" w:hAnsi="Arial" w:cs="Arial"/>
          <w:bCs/>
        </w:rPr>
        <w:t xml:space="preserve">. </w:t>
      </w:r>
    </w:p>
    <w:p w14:paraId="65A09718" w14:textId="77777777" w:rsidR="00E053D0" w:rsidRPr="006C41D8" w:rsidRDefault="00E053D0" w:rsidP="00441B6F">
      <w:pPr>
        <w:pStyle w:val="Body"/>
        <w:spacing w:after="0"/>
        <w:rPr>
          <w:rFonts w:ascii="Arial" w:hAnsi="Arial" w:cs="Arial"/>
        </w:rPr>
      </w:pPr>
    </w:p>
    <w:p w14:paraId="5CD16DC7" w14:textId="77777777" w:rsidR="00B01FCD" w:rsidRPr="006C41D8" w:rsidRDefault="00000F8F" w:rsidP="00441B6F">
      <w:pPr>
        <w:pStyle w:val="ConcHead"/>
        <w:spacing w:after="0"/>
        <w:jc w:val="both"/>
        <w:rPr>
          <w:rFonts w:ascii="Arial" w:hAnsi="Arial" w:cs="Arial"/>
        </w:rPr>
      </w:pPr>
      <w:r w:rsidRPr="006C41D8">
        <w:rPr>
          <w:rFonts w:ascii="Arial" w:hAnsi="Arial" w:cs="Arial"/>
        </w:rPr>
        <w:t xml:space="preserve">4. </w:t>
      </w:r>
      <w:r w:rsidR="00B01FCD" w:rsidRPr="006C41D8">
        <w:rPr>
          <w:rFonts w:ascii="Arial" w:hAnsi="Arial" w:cs="Arial"/>
        </w:rPr>
        <w:t>Conclusion</w:t>
      </w:r>
    </w:p>
    <w:p w14:paraId="696D4102" w14:textId="77777777" w:rsidR="00790ADA" w:rsidRPr="006C41D8" w:rsidRDefault="00790ADA" w:rsidP="00441B6F">
      <w:pPr>
        <w:pStyle w:val="ConcHead"/>
        <w:spacing w:after="0"/>
        <w:jc w:val="both"/>
        <w:rPr>
          <w:rFonts w:ascii="Arial" w:hAnsi="Arial" w:cs="Arial"/>
        </w:rPr>
      </w:pPr>
    </w:p>
    <w:p w14:paraId="1F63E223" w14:textId="77777777" w:rsidR="00790ADA" w:rsidRPr="006C41D8" w:rsidRDefault="00510A69" w:rsidP="00441B6F">
      <w:pPr>
        <w:pStyle w:val="Body"/>
        <w:spacing w:after="0"/>
        <w:rPr>
          <w:rFonts w:ascii="Arial" w:hAnsi="Arial" w:cs="Arial"/>
        </w:rPr>
      </w:pPr>
      <w:r w:rsidRPr="006C41D8">
        <w:rPr>
          <w:rFonts w:ascii="Arial" w:hAnsi="Arial" w:cs="Arial"/>
        </w:rPr>
        <w:t>The mechanisms of probiotics in the digestive system of poultry has shown that probiotic applications provide multiple integrated benefits. Through competitive exclusion, increased enzyme activity, modulation of immune responses, and enhancement of liver metabolism, probiotics improve gut health while providing systemic support increased metabolic efficiency and reduced inflammation. It serves as a safe alternative to antibiotics, offering a multifaceted approach to enhance poultry productivity and welfare.</w:t>
      </w:r>
    </w:p>
    <w:p w14:paraId="55E72E95" w14:textId="77777777" w:rsidR="00510A69" w:rsidRPr="006C41D8" w:rsidRDefault="00510A69" w:rsidP="00441B6F">
      <w:pPr>
        <w:pStyle w:val="Body"/>
        <w:spacing w:after="0"/>
        <w:rPr>
          <w:rFonts w:ascii="Arial" w:hAnsi="Arial" w:cs="Arial"/>
        </w:rPr>
      </w:pPr>
    </w:p>
    <w:p w14:paraId="762263C0" w14:textId="77777777" w:rsidR="00371FB6" w:rsidRPr="006C41D8" w:rsidRDefault="00371FB6" w:rsidP="00441B6F">
      <w:pPr>
        <w:pStyle w:val="ReferHead"/>
        <w:spacing w:after="0"/>
        <w:jc w:val="both"/>
        <w:rPr>
          <w:rFonts w:ascii="Arial" w:hAnsi="Arial" w:cs="Arial"/>
          <w:b w:val="0"/>
          <w:caps w:val="0"/>
          <w:sz w:val="20"/>
        </w:rPr>
      </w:pPr>
    </w:p>
    <w:p w14:paraId="2059B610" w14:textId="77777777" w:rsidR="00860000" w:rsidRPr="006C41D8" w:rsidRDefault="00860000" w:rsidP="00441B6F">
      <w:pPr>
        <w:pStyle w:val="ReferHead"/>
        <w:spacing w:after="0"/>
        <w:jc w:val="both"/>
        <w:rPr>
          <w:rFonts w:ascii="Arial" w:hAnsi="Arial" w:cs="Arial"/>
        </w:rPr>
      </w:pPr>
    </w:p>
    <w:p w14:paraId="2CAA3A49" w14:textId="77777777" w:rsidR="00B01FCD" w:rsidRPr="006C41D8" w:rsidRDefault="00B01FCD" w:rsidP="00441B6F">
      <w:pPr>
        <w:pStyle w:val="ReferHead"/>
        <w:spacing w:after="0"/>
        <w:jc w:val="both"/>
        <w:rPr>
          <w:rFonts w:ascii="Arial" w:hAnsi="Arial" w:cs="Arial"/>
        </w:rPr>
      </w:pPr>
      <w:r w:rsidRPr="006C41D8">
        <w:rPr>
          <w:rFonts w:ascii="Arial" w:hAnsi="Arial" w:cs="Arial"/>
        </w:rPr>
        <w:t>References</w:t>
      </w:r>
    </w:p>
    <w:p w14:paraId="198ADE62" w14:textId="77777777" w:rsidR="00790ADA" w:rsidRPr="006C41D8" w:rsidRDefault="00790ADA" w:rsidP="00441B6F">
      <w:pPr>
        <w:pStyle w:val="ReferHead"/>
        <w:spacing w:after="0"/>
        <w:jc w:val="both"/>
        <w:rPr>
          <w:rFonts w:ascii="Arial" w:hAnsi="Arial" w:cs="Arial"/>
        </w:rPr>
      </w:pPr>
    </w:p>
    <w:p w14:paraId="7F822399"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Ahmad, R., Yu, Y. H., Hsiao, F. S. H., Dybus, A., Ali, I., Hsu, H. C., &amp; Cheng, Y. H. (2022). Probiotics as a friendly antibiotic alternative: assessment of their effects on the health </w:t>
      </w:r>
      <w:r w:rsidRPr="006C41D8">
        <w:rPr>
          <w:rFonts w:ascii="Arial" w:hAnsi="Arial" w:cs="Arial"/>
        </w:rPr>
        <w:lastRenderedPageBreak/>
        <w:t>and productive performance of poultry. Fermentation, 8(12). https://doi.org/10.3390/fermentation8120672</w:t>
      </w:r>
    </w:p>
    <w:p w14:paraId="3E9CA828"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Al_ward</w:t>
      </w:r>
      <w:proofErr w:type="spellEnd"/>
      <w:r w:rsidRPr="006C41D8">
        <w:rPr>
          <w:rFonts w:ascii="Arial" w:hAnsi="Arial" w:cs="Arial"/>
        </w:rPr>
        <w:t>, M. A., Al-Akaidi, M. A. H., Hassan, W. A., Jawad, A. A., Hamid, D. M., Shaher, R. F., Jaafar, M. R., &amp; Safir, N. H. (2024). Antibiotics used in food animals: A review. Al-Salam Journal for Medical Science, 3(2), 9–15. https://doi.org/10.55145/ajbms.2024.03.02.02</w:t>
      </w:r>
    </w:p>
    <w:p w14:paraId="1AEBDEE0"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Al-Otaibi, A. M., Abd El-Hack, M. E., </w:t>
      </w:r>
      <w:proofErr w:type="spellStart"/>
      <w:r w:rsidRPr="006C41D8">
        <w:rPr>
          <w:rFonts w:ascii="Arial" w:hAnsi="Arial" w:cs="Arial"/>
        </w:rPr>
        <w:t>Dmour</w:t>
      </w:r>
      <w:proofErr w:type="spellEnd"/>
      <w:r w:rsidRPr="006C41D8">
        <w:rPr>
          <w:rFonts w:ascii="Arial" w:hAnsi="Arial" w:cs="Arial"/>
        </w:rPr>
        <w:t xml:space="preserve">, S. M., </w:t>
      </w:r>
      <w:proofErr w:type="spellStart"/>
      <w:r w:rsidRPr="006C41D8">
        <w:rPr>
          <w:rFonts w:ascii="Arial" w:hAnsi="Arial" w:cs="Arial"/>
        </w:rPr>
        <w:t>Alsowayeh</w:t>
      </w:r>
      <w:proofErr w:type="spellEnd"/>
      <w:r w:rsidRPr="006C41D8">
        <w:rPr>
          <w:rFonts w:ascii="Arial" w:hAnsi="Arial" w:cs="Arial"/>
        </w:rPr>
        <w:t xml:space="preserve">, N., </w:t>
      </w:r>
      <w:proofErr w:type="spellStart"/>
      <w:r w:rsidRPr="006C41D8">
        <w:rPr>
          <w:rFonts w:ascii="Arial" w:hAnsi="Arial" w:cs="Arial"/>
        </w:rPr>
        <w:t>Khafaga</w:t>
      </w:r>
      <w:proofErr w:type="spellEnd"/>
      <w:r w:rsidRPr="006C41D8">
        <w:rPr>
          <w:rFonts w:ascii="Arial" w:hAnsi="Arial" w:cs="Arial"/>
        </w:rPr>
        <w:t xml:space="preserve">, A. F., Ashour, E. A., Nour-Eldeen, M. A., &amp; </w:t>
      </w:r>
      <w:proofErr w:type="spellStart"/>
      <w:r w:rsidRPr="006C41D8">
        <w:rPr>
          <w:rFonts w:ascii="Arial" w:hAnsi="Arial" w:cs="Arial"/>
        </w:rPr>
        <w:t>Świątkiewicz</w:t>
      </w:r>
      <w:proofErr w:type="spellEnd"/>
      <w:r w:rsidRPr="006C41D8">
        <w:rPr>
          <w:rFonts w:ascii="Arial" w:hAnsi="Arial" w:cs="Arial"/>
        </w:rPr>
        <w:t>, S. (2023). A narrative review on the beneficial impacts of probiotics on poultry: an updated knowledge. Annals of Animal Science, 23(2), 405–418. https://doi.org/10.2478/aoas-2023-0001</w:t>
      </w:r>
    </w:p>
    <w:p w14:paraId="65D1F0C5"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Azhar, M. A., </w:t>
      </w:r>
      <w:proofErr w:type="spellStart"/>
      <w:r w:rsidRPr="006C41D8">
        <w:rPr>
          <w:rFonts w:ascii="Arial" w:hAnsi="Arial" w:cs="Arial"/>
        </w:rPr>
        <w:t>Munaim</w:t>
      </w:r>
      <w:proofErr w:type="spellEnd"/>
      <w:r w:rsidRPr="006C41D8">
        <w:rPr>
          <w:rFonts w:ascii="Arial" w:hAnsi="Arial" w:cs="Arial"/>
        </w:rPr>
        <w:t>, M. S. A., Hasan, M., &amp; Wahid, Z. A. (2020). Viability and gastrointestinal tolerance of commercial probiotic products. International Journal of Pharma Medicine and Biological Sciences, 9(3), 117–121. https://doi.org/10.18178/ijpmbs.9.3.117-121</w:t>
      </w:r>
    </w:p>
    <w:p w14:paraId="420E94A7"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Bai, K., Huang, Q., Zhang, J., He, J., Zhang, L., &amp; Wang, T. (2017). Supplemental effects of probiotic </w:t>
      </w:r>
      <w:r w:rsidRPr="006C41D8">
        <w:rPr>
          <w:rFonts w:ascii="Arial" w:hAnsi="Arial" w:cs="Arial"/>
          <w:i/>
        </w:rPr>
        <w:t>Bacillus subtilis</w:t>
      </w:r>
      <w:r w:rsidRPr="006C41D8">
        <w:rPr>
          <w:rFonts w:ascii="Arial" w:hAnsi="Arial" w:cs="Arial"/>
        </w:rPr>
        <w:t xml:space="preserve"> </w:t>
      </w:r>
      <w:proofErr w:type="spellStart"/>
      <w:r w:rsidRPr="006C41D8">
        <w:rPr>
          <w:rFonts w:ascii="Arial" w:hAnsi="Arial" w:cs="Arial"/>
        </w:rPr>
        <w:t>fmbJ</w:t>
      </w:r>
      <w:proofErr w:type="spellEnd"/>
      <w:r w:rsidRPr="006C41D8">
        <w:rPr>
          <w:rFonts w:ascii="Arial" w:hAnsi="Arial" w:cs="Arial"/>
        </w:rPr>
        <w:t xml:space="preserve"> on growth performance, antioxidant capacity, and meat quality of broiler chickens. Poultry Science, 96(1), 74–82. https://doi.org/10.3382/ps/pew246</w:t>
      </w:r>
    </w:p>
    <w:p w14:paraId="44699166"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Bharathidhasan</w:t>
      </w:r>
      <w:proofErr w:type="spellEnd"/>
      <w:r w:rsidRPr="006C41D8">
        <w:rPr>
          <w:rFonts w:ascii="Arial" w:hAnsi="Arial" w:cs="Arial"/>
        </w:rPr>
        <w:t>, A. (2018). Influence of probiotics supplementation on performance of broilers. International Journal For Research In Agricultural And Food Science, 4(2), 12–23. https://gnpublication.org/index.php/afs/article/view/327</w:t>
      </w:r>
    </w:p>
    <w:p w14:paraId="20FBE1E1"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Cai, H., Luo, S., Liu, Q., Zhou, Q., Yan, Z., Kang, Z., Liao, S., Li, J., </w:t>
      </w:r>
      <w:proofErr w:type="spellStart"/>
      <w:r w:rsidRPr="006C41D8">
        <w:rPr>
          <w:rFonts w:ascii="Arial" w:hAnsi="Arial" w:cs="Arial"/>
        </w:rPr>
        <w:t>Lv</w:t>
      </w:r>
      <w:proofErr w:type="spellEnd"/>
      <w:r w:rsidRPr="006C41D8">
        <w:rPr>
          <w:rFonts w:ascii="Arial" w:hAnsi="Arial" w:cs="Arial"/>
        </w:rPr>
        <w:t xml:space="preserve">, M., Lin, X., Hu, J., Yu, S., Zhang, J., Qi, N., &amp; Sun, M. (2023). Effects of a complex probiotic preparation, </w:t>
      </w:r>
      <w:proofErr w:type="spellStart"/>
      <w:r w:rsidRPr="006C41D8">
        <w:rPr>
          <w:rFonts w:ascii="Arial" w:hAnsi="Arial" w:cs="Arial"/>
        </w:rPr>
        <w:t>Fengqiang</w:t>
      </w:r>
      <w:proofErr w:type="spellEnd"/>
      <w:r w:rsidRPr="006C41D8">
        <w:rPr>
          <w:rFonts w:ascii="Arial" w:hAnsi="Arial" w:cs="Arial"/>
        </w:rPr>
        <w:t xml:space="preserve"> </w:t>
      </w:r>
      <w:proofErr w:type="spellStart"/>
      <w:r w:rsidRPr="006C41D8">
        <w:rPr>
          <w:rFonts w:ascii="Arial" w:hAnsi="Arial" w:cs="Arial"/>
        </w:rPr>
        <w:t>Shengtai</w:t>
      </w:r>
      <w:proofErr w:type="spellEnd"/>
      <w:r w:rsidRPr="006C41D8">
        <w:rPr>
          <w:rFonts w:ascii="Arial" w:hAnsi="Arial" w:cs="Arial"/>
        </w:rPr>
        <w:t xml:space="preserve"> and coccidiosis vaccine on the performance and intestinal microbiota of broilers challenged with </w:t>
      </w:r>
      <w:r w:rsidRPr="006C41D8">
        <w:rPr>
          <w:rFonts w:ascii="Arial" w:hAnsi="Arial" w:cs="Arial"/>
          <w:i/>
        </w:rPr>
        <w:t>Eimeria</w:t>
      </w:r>
      <w:r w:rsidRPr="006C41D8">
        <w:rPr>
          <w:rFonts w:ascii="Arial" w:hAnsi="Arial" w:cs="Arial"/>
        </w:rPr>
        <w:t xml:space="preserve"> spp. Parasites and Vectors, 16(1), 1–17. https://doi.org/10.1186/s13071-023-05855-5</w:t>
      </w:r>
    </w:p>
    <w:p w14:paraId="7A1536D2"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Candrawati, D. P. M. A., </w:t>
      </w:r>
      <w:proofErr w:type="spellStart"/>
      <w:r w:rsidRPr="006C41D8">
        <w:rPr>
          <w:rFonts w:ascii="Arial" w:hAnsi="Arial" w:cs="Arial"/>
        </w:rPr>
        <w:t>Warmadewi</w:t>
      </w:r>
      <w:proofErr w:type="spellEnd"/>
      <w:r w:rsidRPr="006C41D8">
        <w:rPr>
          <w:rFonts w:ascii="Arial" w:hAnsi="Arial" w:cs="Arial"/>
        </w:rPr>
        <w:t xml:space="preserve">, D. A., &amp; </w:t>
      </w:r>
      <w:proofErr w:type="spellStart"/>
      <w:r w:rsidRPr="006C41D8">
        <w:rPr>
          <w:rFonts w:ascii="Arial" w:hAnsi="Arial" w:cs="Arial"/>
        </w:rPr>
        <w:t>Bidura</w:t>
      </w:r>
      <w:proofErr w:type="spellEnd"/>
      <w:r w:rsidRPr="006C41D8">
        <w:rPr>
          <w:rFonts w:ascii="Arial" w:hAnsi="Arial" w:cs="Arial"/>
        </w:rPr>
        <w:t xml:space="preserve">, I. G. N. G. (2014). Implementation of </w:t>
      </w:r>
      <w:r w:rsidRPr="006C41D8">
        <w:rPr>
          <w:rFonts w:ascii="Arial" w:hAnsi="Arial" w:cs="Arial"/>
          <w:i/>
        </w:rPr>
        <w:t>Saccharomyces</w:t>
      </w:r>
      <w:r w:rsidRPr="006C41D8">
        <w:rPr>
          <w:rFonts w:ascii="Arial" w:hAnsi="Arial" w:cs="Arial"/>
        </w:rPr>
        <w:t xml:space="preserve"> </w:t>
      </w:r>
      <w:r w:rsidR="00F544DC" w:rsidRPr="006C41D8">
        <w:rPr>
          <w:rFonts w:ascii="Arial" w:hAnsi="Arial" w:cs="Arial"/>
        </w:rPr>
        <w:t>s</w:t>
      </w:r>
      <w:r w:rsidRPr="006C41D8">
        <w:rPr>
          <w:rFonts w:ascii="Arial" w:hAnsi="Arial" w:cs="Arial"/>
        </w:rPr>
        <w:t xml:space="preserve">pp.S-7 isolate (isolated from manure of Bali cattle) as a </w:t>
      </w:r>
      <w:proofErr w:type="gramStart"/>
      <w:r w:rsidRPr="006C41D8">
        <w:rPr>
          <w:rFonts w:ascii="Arial" w:hAnsi="Arial" w:cs="Arial"/>
        </w:rPr>
        <w:t>probiotics</w:t>
      </w:r>
      <w:proofErr w:type="gramEnd"/>
      <w:r w:rsidRPr="006C41D8">
        <w:rPr>
          <w:rFonts w:ascii="Arial" w:hAnsi="Arial" w:cs="Arial"/>
        </w:rPr>
        <w:t xml:space="preserve"> agent in diets on performance, blood serum cholesterol, and ammonia-N concentration of broiler excreta. International Journal of Research Studies in Biosciences, 2(8), 6–16. https://www.arcjournals.org/pdfs/ijrsb/v2-i8/2.pdf</w:t>
      </w:r>
    </w:p>
    <w:p w14:paraId="1AE51E70" w14:textId="77777777" w:rsidR="00221B45" w:rsidRPr="006C41D8" w:rsidRDefault="00221B45" w:rsidP="00221B45">
      <w:pPr>
        <w:spacing w:after="120"/>
        <w:ind w:left="567" w:hanging="567"/>
        <w:rPr>
          <w:rFonts w:ascii="Arial" w:hAnsi="Arial" w:cs="Arial"/>
        </w:rPr>
      </w:pPr>
      <w:r w:rsidRPr="006C41D8">
        <w:rPr>
          <w:rFonts w:ascii="Arial" w:hAnsi="Arial" w:cs="Arial"/>
        </w:rPr>
        <w:t xml:space="preserve">Desiderato, C. K., </w:t>
      </w:r>
      <w:proofErr w:type="spellStart"/>
      <w:r w:rsidRPr="006C41D8">
        <w:rPr>
          <w:rFonts w:ascii="Arial" w:hAnsi="Arial" w:cs="Arial"/>
        </w:rPr>
        <w:t>Sachsenmaier</w:t>
      </w:r>
      <w:proofErr w:type="spellEnd"/>
      <w:r w:rsidRPr="006C41D8">
        <w:rPr>
          <w:rFonts w:ascii="Arial" w:hAnsi="Arial" w:cs="Arial"/>
        </w:rPr>
        <w:t xml:space="preserve">, S., Ovchinnikov, K. V., Stohr, J., Jacksch, S., </w:t>
      </w:r>
      <w:proofErr w:type="spellStart"/>
      <w:r w:rsidRPr="006C41D8">
        <w:rPr>
          <w:rFonts w:ascii="Arial" w:hAnsi="Arial" w:cs="Arial"/>
        </w:rPr>
        <w:t>Desef</w:t>
      </w:r>
      <w:proofErr w:type="spellEnd"/>
      <w:r w:rsidRPr="006C41D8">
        <w:rPr>
          <w:rFonts w:ascii="Arial" w:hAnsi="Arial" w:cs="Arial"/>
        </w:rPr>
        <w:t xml:space="preserve">, D. N., Crauwels, P., Egert, M., Diep, D. B., Goldbeck, O., &amp; Riedel, C. U. (2021). Identification of potential probiotics producing bacteriocins active against </w:t>
      </w:r>
      <w:r w:rsidRPr="006C41D8">
        <w:rPr>
          <w:rFonts w:ascii="Arial" w:hAnsi="Arial" w:cs="Arial"/>
          <w:i/>
        </w:rPr>
        <w:t>Listeria</w:t>
      </w:r>
      <w:r w:rsidRPr="006C41D8">
        <w:rPr>
          <w:rFonts w:ascii="Arial" w:hAnsi="Arial" w:cs="Arial"/>
        </w:rPr>
        <w:t xml:space="preserve"> monocytogenes by a combination of screening tools. </w:t>
      </w:r>
      <w:r w:rsidRPr="006C41D8">
        <w:rPr>
          <w:rFonts w:ascii="Arial" w:hAnsi="Arial" w:cs="Arial"/>
          <w:i/>
          <w:iCs/>
        </w:rPr>
        <w:t>International Journal of Molecular Sciences</w:t>
      </w:r>
      <w:r w:rsidRPr="006C41D8">
        <w:rPr>
          <w:rFonts w:ascii="Arial" w:hAnsi="Arial" w:cs="Arial"/>
        </w:rPr>
        <w:t xml:space="preserve">, </w:t>
      </w:r>
      <w:r w:rsidRPr="006C41D8">
        <w:rPr>
          <w:rFonts w:ascii="Arial" w:hAnsi="Arial" w:cs="Arial"/>
          <w:i/>
          <w:iCs/>
        </w:rPr>
        <w:t>22</w:t>
      </w:r>
      <w:r w:rsidRPr="006C41D8">
        <w:rPr>
          <w:rFonts w:ascii="Arial" w:hAnsi="Arial" w:cs="Arial"/>
        </w:rPr>
        <w:t>(16), 8615. https://doi.org/10.3390/IJMS22168615</w:t>
      </w:r>
    </w:p>
    <w:p w14:paraId="62CD63CF" w14:textId="77777777" w:rsidR="00D0560D" w:rsidRPr="006C41D8" w:rsidRDefault="00D0560D" w:rsidP="00D0560D">
      <w:pPr>
        <w:spacing w:after="120"/>
        <w:ind w:left="567" w:hanging="567"/>
        <w:rPr>
          <w:rFonts w:ascii="Arial" w:hAnsi="Arial" w:cs="Arial"/>
        </w:rPr>
      </w:pPr>
      <w:r w:rsidRPr="006C41D8">
        <w:rPr>
          <w:rFonts w:ascii="Arial" w:hAnsi="Arial" w:cs="Arial"/>
        </w:rPr>
        <w:t>El-</w:t>
      </w:r>
      <w:proofErr w:type="spellStart"/>
      <w:r w:rsidRPr="006C41D8">
        <w:rPr>
          <w:rFonts w:ascii="Arial" w:hAnsi="Arial" w:cs="Arial"/>
        </w:rPr>
        <w:t>Kelawy</w:t>
      </w:r>
      <w:proofErr w:type="spellEnd"/>
      <w:r w:rsidRPr="006C41D8">
        <w:rPr>
          <w:rFonts w:ascii="Arial" w:hAnsi="Arial" w:cs="Arial"/>
        </w:rPr>
        <w:t>, M., El-</w:t>
      </w:r>
      <w:proofErr w:type="spellStart"/>
      <w:r w:rsidRPr="006C41D8">
        <w:rPr>
          <w:rFonts w:ascii="Arial" w:hAnsi="Arial" w:cs="Arial"/>
        </w:rPr>
        <w:t>Shafey</w:t>
      </w:r>
      <w:proofErr w:type="spellEnd"/>
      <w:r w:rsidRPr="006C41D8">
        <w:rPr>
          <w:rFonts w:ascii="Arial" w:hAnsi="Arial" w:cs="Arial"/>
        </w:rPr>
        <w:t>, A., &amp; Ali, R. (2017). Impact of dietary supplementation with multi-enzyme and/or probiotics on productive performance and nutrients digestibility of broiler chickens. Egyptian Journal of Nutrition and Feeds, 20(3), 535–543. https://doi.org/10.21608/ejnf.2017.75331</w:t>
      </w:r>
    </w:p>
    <w:p w14:paraId="7C7AF415"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FAO. (2016). Probiotics in animal nutrition. In Probiotics in animal nutrition – Production, impact and regulation by Yadav S. </w:t>
      </w:r>
      <w:proofErr w:type="spellStart"/>
      <w:r w:rsidRPr="006C41D8">
        <w:rPr>
          <w:rFonts w:ascii="Arial" w:hAnsi="Arial" w:cs="Arial"/>
        </w:rPr>
        <w:t>Bajagai</w:t>
      </w:r>
      <w:proofErr w:type="spellEnd"/>
      <w:r w:rsidRPr="006C41D8">
        <w:rPr>
          <w:rFonts w:ascii="Arial" w:hAnsi="Arial" w:cs="Arial"/>
        </w:rPr>
        <w:t xml:space="preserve">, Athol V. </w:t>
      </w:r>
      <w:proofErr w:type="spellStart"/>
      <w:r w:rsidRPr="006C41D8">
        <w:rPr>
          <w:rFonts w:ascii="Arial" w:hAnsi="Arial" w:cs="Arial"/>
        </w:rPr>
        <w:t>Klieve</w:t>
      </w:r>
      <w:proofErr w:type="spellEnd"/>
      <w:r w:rsidRPr="006C41D8">
        <w:rPr>
          <w:rFonts w:ascii="Arial" w:hAnsi="Arial" w:cs="Arial"/>
        </w:rPr>
        <w:t>, Peter J. Dart and Wayne L. Bryden. Editor Harinder P.S. Makkar. FAO Animal Production and Health Paper No. 179. Rome. Authors. http://archive.nbuv.gov.ua/portal/Chem_Biol/TvUkr/2012_5/12oirpif.pdf</w:t>
      </w:r>
    </w:p>
    <w:p w14:paraId="13F2BB73"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Ferdous, M. F., Arefin, M. S., Rahman, M. M., Ripon, M. M. R., Rashid, M. H., Sultana, M. R., Hossain, M. T., Ahammad, M. U., &amp; Rafiq, K. (2019). Beneficial effects of probiotic and </w:t>
      </w:r>
      <w:proofErr w:type="spellStart"/>
      <w:r w:rsidRPr="006C41D8">
        <w:rPr>
          <w:rFonts w:ascii="Arial" w:hAnsi="Arial" w:cs="Arial"/>
        </w:rPr>
        <w:t>phytobiotic</w:t>
      </w:r>
      <w:proofErr w:type="spellEnd"/>
      <w:r w:rsidRPr="006C41D8">
        <w:rPr>
          <w:rFonts w:ascii="Arial" w:hAnsi="Arial" w:cs="Arial"/>
        </w:rPr>
        <w:t xml:space="preserve"> as growth promoter alternative to antibiotic for safe broiler production. </w:t>
      </w:r>
      <w:r w:rsidRPr="006C41D8">
        <w:rPr>
          <w:rFonts w:ascii="Arial" w:hAnsi="Arial" w:cs="Arial"/>
        </w:rPr>
        <w:lastRenderedPageBreak/>
        <w:t>Journal of Advanced Veterinary and Animal Research, 6(3), 409–415. https://doi.org/10.5455/javar.2019.f361</w:t>
      </w:r>
    </w:p>
    <w:p w14:paraId="620DDAF4"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Gadde, U., Kim, W. H., Oh, S. T., &amp; </w:t>
      </w:r>
      <w:proofErr w:type="spellStart"/>
      <w:r w:rsidRPr="006C41D8">
        <w:rPr>
          <w:rFonts w:ascii="Arial" w:hAnsi="Arial" w:cs="Arial"/>
        </w:rPr>
        <w:t>Lillehoj</w:t>
      </w:r>
      <w:proofErr w:type="spellEnd"/>
      <w:r w:rsidRPr="006C41D8">
        <w:rPr>
          <w:rFonts w:ascii="Arial" w:hAnsi="Arial" w:cs="Arial"/>
        </w:rPr>
        <w:t>, H. S. (2017). Alternatives to antibiotics for maximizing growth performance and feed efficiency in poultry: A review. Animal Health Research Reviews, 18(1), 26–45. https://doi.org/10.1017/S1466252316000207</w:t>
      </w:r>
    </w:p>
    <w:p w14:paraId="4895BAFA" w14:textId="77777777" w:rsidR="00D0560D" w:rsidRPr="006C41D8" w:rsidRDefault="00D0560D" w:rsidP="00D0560D">
      <w:pPr>
        <w:spacing w:after="120"/>
        <w:ind w:left="567" w:hanging="567"/>
        <w:rPr>
          <w:rFonts w:ascii="Arial" w:hAnsi="Arial" w:cs="Arial"/>
        </w:rPr>
      </w:pPr>
      <w:r w:rsidRPr="006C41D8">
        <w:rPr>
          <w:rFonts w:ascii="Arial" w:hAnsi="Arial" w:cs="Arial"/>
        </w:rPr>
        <w:t>Halder, N., Sunder, J., De, A. K., Bhattacharya, D., &amp; Joardar, S. N. (2024). Probiotics in poultry: a comprehensive review. The Journal of Basic and Applied Zoology, 85(1). https://doi.org/10.1186/s41936-024-00379-5</w:t>
      </w:r>
    </w:p>
    <w:p w14:paraId="3332D7B9" w14:textId="77777777" w:rsidR="00D0560D" w:rsidRPr="006C41D8" w:rsidRDefault="00D0560D" w:rsidP="00D0560D">
      <w:pPr>
        <w:spacing w:after="120"/>
        <w:ind w:left="567" w:hanging="567"/>
        <w:rPr>
          <w:rFonts w:ascii="Arial" w:hAnsi="Arial" w:cs="Arial"/>
        </w:rPr>
      </w:pPr>
      <w:r w:rsidRPr="006C41D8">
        <w:rPr>
          <w:rFonts w:ascii="Arial" w:hAnsi="Arial" w:cs="Arial"/>
        </w:rPr>
        <w:t>Hashem, M. A., Hassan, A. E. A., Abou-</w:t>
      </w:r>
      <w:proofErr w:type="spellStart"/>
      <w:r w:rsidRPr="006C41D8">
        <w:rPr>
          <w:rFonts w:ascii="Arial" w:hAnsi="Arial" w:cs="Arial"/>
        </w:rPr>
        <w:t>Elnaga</w:t>
      </w:r>
      <w:proofErr w:type="spellEnd"/>
      <w:r w:rsidRPr="006C41D8">
        <w:rPr>
          <w:rFonts w:ascii="Arial" w:hAnsi="Arial" w:cs="Arial"/>
        </w:rPr>
        <w:t xml:space="preserve">, H. M. M., Abdo, W., </w:t>
      </w:r>
      <w:proofErr w:type="spellStart"/>
      <w:r w:rsidRPr="006C41D8">
        <w:rPr>
          <w:rFonts w:ascii="Arial" w:hAnsi="Arial" w:cs="Arial"/>
        </w:rPr>
        <w:t>Dahran</w:t>
      </w:r>
      <w:proofErr w:type="spellEnd"/>
      <w:r w:rsidRPr="006C41D8">
        <w:rPr>
          <w:rFonts w:ascii="Arial" w:hAnsi="Arial" w:cs="Arial"/>
        </w:rPr>
        <w:t xml:space="preserve">, N., Alghamdi, A. H., &amp; </w:t>
      </w:r>
      <w:proofErr w:type="spellStart"/>
      <w:r w:rsidRPr="006C41D8">
        <w:rPr>
          <w:rFonts w:ascii="Arial" w:hAnsi="Arial" w:cs="Arial"/>
        </w:rPr>
        <w:t>Elmahallawy</w:t>
      </w:r>
      <w:proofErr w:type="spellEnd"/>
      <w:r w:rsidRPr="006C41D8">
        <w:rPr>
          <w:rFonts w:ascii="Arial" w:hAnsi="Arial" w:cs="Arial"/>
        </w:rPr>
        <w:t xml:space="preserve">, E. K. (2022). Modulatory effect of dietary probiotic and prebiotic supplementation on growth, immuno-biochemical alterations, DNA damage, and pathological changes in </w:t>
      </w:r>
      <w:r w:rsidRPr="006C41D8">
        <w:rPr>
          <w:rFonts w:ascii="Arial" w:hAnsi="Arial" w:cs="Arial"/>
          <w:i/>
        </w:rPr>
        <w:t>E. coli</w:t>
      </w:r>
      <w:r w:rsidRPr="006C41D8">
        <w:rPr>
          <w:rFonts w:ascii="Arial" w:hAnsi="Arial" w:cs="Arial"/>
        </w:rPr>
        <w:t>-infected broiler chicks. Frontiers in Veterinary Science, 9. https://doi.org/10.3389/fvets.2022.964738</w:t>
      </w:r>
    </w:p>
    <w:p w14:paraId="408A91F3"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Hernandez-Patlan, D., Solis-Cruz, B., M. Hargis, B., &amp; Tellez, G. (2020). The use of probiotics in poultry production for the control of bacterial infections and aflatoxins. In Prebiotics and Probiotics - Potential Benefits in Nutrition and Health (Issue September). </w:t>
      </w:r>
      <w:proofErr w:type="spellStart"/>
      <w:r w:rsidRPr="006C41D8">
        <w:rPr>
          <w:rFonts w:ascii="Arial" w:hAnsi="Arial" w:cs="Arial"/>
        </w:rPr>
        <w:t>IntechOpen</w:t>
      </w:r>
      <w:proofErr w:type="spellEnd"/>
      <w:r w:rsidRPr="006C41D8">
        <w:rPr>
          <w:rFonts w:ascii="Arial" w:hAnsi="Arial" w:cs="Arial"/>
        </w:rPr>
        <w:t>. https://doi.org/10.5772/intechopen.88817</w:t>
      </w:r>
    </w:p>
    <w:p w14:paraId="1F0DE488" w14:textId="77777777" w:rsidR="00BC2524" w:rsidRPr="006C41D8" w:rsidRDefault="00BC2524" w:rsidP="00BC2524">
      <w:pPr>
        <w:spacing w:after="120"/>
        <w:ind w:left="567" w:hanging="567"/>
        <w:rPr>
          <w:rFonts w:ascii="Arial" w:hAnsi="Arial" w:cs="Arial"/>
        </w:rPr>
      </w:pPr>
      <w:proofErr w:type="spellStart"/>
      <w:r w:rsidRPr="006C41D8">
        <w:rPr>
          <w:rFonts w:ascii="Arial" w:hAnsi="Arial" w:cs="Arial"/>
        </w:rPr>
        <w:t>Igbafe</w:t>
      </w:r>
      <w:proofErr w:type="spellEnd"/>
      <w:r w:rsidRPr="006C41D8">
        <w:rPr>
          <w:rFonts w:ascii="Arial" w:hAnsi="Arial" w:cs="Arial"/>
        </w:rPr>
        <w:t>, J., Kilonzo-</w:t>
      </w:r>
      <w:proofErr w:type="spellStart"/>
      <w:r w:rsidRPr="006C41D8">
        <w:rPr>
          <w:rFonts w:ascii="Arial" w:hAnsi="Arial" w:cs="Arial"/>
        </w:rPr>
        <w:t>Nthenge</w:t>
      </w:r>
      <w:proofErr w:type="spellEnd"/>
      <w:r w:rsidRPr="006C41D8">
        <w:rPr>
          <w:rFonts w:ascii="Arial" w:hAnsi="Arial" w:cs="Arial"/>
        </w:rPr>
        <w:t xml:space="preserve">, A., </w:t>
      </w:r>
      <w:proofErr w:type="spellStart"/>
      <w:r w:rsidRPr="006C41D8">
        <w:rPr>
          <w:rFonts w:ascii="Arial" w:hAnsi="Arial" w:cs="Arial"/>
        </w:rPr>
        <w:t>Nahashon</w:t>
      </w:r>
      <w:proofErr w:type="spellEnd"/>
      <w:r w:rsidRPr="006C41D8">
        <w:rPr>
          <w:rFonts w:ascii="Arial" w:hAnsi="Arial" w:cs="Arial"/>
        </w:rPr>
        <w:t xml:space="preserve">, S. N., Ibn </w:t>
      </w:r>
      <w:proofErr w:type="spellStart"/>
      <w:r w:rsidRPr="006C41D8">
        <w:rPr>
          <w:rFonts w:ascii="Arial" w:hAnsi="Arial" w:cs="Arial"/>
        </w:rPr>
        <w:t>Mafiz</w:t>
      </w:r>
      <w:proofErr w:type="spellEnd"/>
      <w:r w:rsidRPr="006C41D8">
        <w:rPr>
          <w:rFonts w:ascii="Arial" w:hAnsi="Arial" w:cs="Arial"/>
        </w:rPr>
        <w:t xml:space="preserve">, A., &amp; Nzomo, M. (2020). Probiotics and Antimicrobial Effect of Lactiplantibacillus plantarum, Saccharomyces cerevisiae, and Bifidobacterium longum against Common Foodborne Pathogens in Poultry. </w:t>
      </w:r>
      <w:r w:rsidRPr="006C41D8">
        <w:rPr>
          <w:rFonts w:ascii="Arial" w:hAnsi="Arial" w:cs="Arial"/>
          <w:i/>
          <w:iCs/>
        </w:rPr>
        <w:t>Agriculture</w:t>
      </w:r>
      <w:r w:rsidRPr="006C41D8">
        <w:rPr>
          <w:rFonts w:ascii="Arial" w:hAnsi="Arial" w:cs="Arial"/>
        </w:rPr>
        <w:t xml:space="preserve">, </w:t>
      </w:r>
      <w:r w:rsidRPr="006C41D8">
        <w:rPr>
          <w:rFonts w:ascii="Arial" w:hAnsi="Arial" w:cs="Arial"/>
          <w:i/>
          <w:iCs/>
        </w:rPr>
        <w:t>10</w:t>
      </w:r>
      <w:r w:rsidRPr="006C41D8">
        <w:rPr>
          <w:rFonts w:ascii="Arial" w:hAnsi="Arial" w:cs="Arial"/>
        </w:rPr>
        <w:t>(9), 368. https://doi.org/10.3390/AGRICULTURE10090368</w:t>
      </w:r>
    </w:p>
    <w:p w14:paraId="7304F34B" w14:textId="77777777" w:rsidR="00D0560D" w:rsidRPr="006C41D8" w:rsidRDefault="00D0560D" w:rsidP="00D0560D">
      <w:pPr>
        <w:spacing w:after="120"/>
        <w:ind w:left="567" w:hanging="567"/>
        <w:rPr>
          <w:rFonts w:ascii="Arial" w:hAnsi="Arial" w:cs="Arial"/>
        </w:rPr>
      </w:pPr>
      <w:r w:rsidRPr="006C41D8">
        <w:rPr>
          <w:rFonts w:ascii="Arial" w:hAnsi="Arial" w:cs="Arial"/>
        </w:rPr>
        <w:t>Imperial, I. C. V. J., &amp; Ibana, J. A. (2016). Addressing the antibiotic resistance problem with probiotics: Reducing the risk of its double-edged sword effect. Frontiers in Microbiology, 7(DEC), 1–10. https://doi.org/10.3389/fmicb.2016.01983</w:t>
      </w:r>
    </w:p>
    <w:p w14:paraId="1FF685CD" w14:textId="77777777" w:rsidR="00D0560D" w:rsidRPr="006C41D8" w:rsidRDefault="00D0560D" w:rsidP="00D0560D">
      <w:pPr>
        <w:spacing w:after="120"/>
        <w:ind w:left="567" w:hanging="567"/>
        <w:rPr>
          <w:rFonts w:ascii="Arial" w:hAnsi="Arial" w:cs="Arial"/>
        </w:rPr>
      </w:pPr>
      <w:r w:rsidRPr="006C41D8">
        <w:rPr>
          <w:rFonts w:ascii="Arial" w:hAnsi="Arial" w:cs="Arial"/>
        </w:rPr>
        <w:t>Jha, R., Das, R., Oak, S., &amp; Mishra, P. (2020). Probiotics (direct</w:t>
      </w:r>
      <w:r w:rsidRPr="006C41D8">
        <w:rPr>
          <w:rFonts w:ascii="Cambria Math" w:hAnsi="Cambria Math" w:cs="Cambria Math"/>
        </w:rPr>
        <w:t>‐</w:t>
      </w:r>
      <w:r w:rsidRPr="006C41D8">
        <w:rPr>
          <w:rFonts w:ascii="Arial" w:hAnsi="Arial" w:cs="Arial"/>
        </w:rPr>
        <w:t>fed microbials) in poultry nutrition and their effects on nutrient utilization, growth and laying performance, and gut health: A systematic review. Animals, 10(10), 1–19. https://doi.org/10.3390/ani10101863</w:t>
      </w:r>
    </w:p>
    <w:p w14:paraId="4F77BF32"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Khabirov, A., </w:t>
      </w:r>
      <w:proofErr w:type="spellStart"/>
      <w:r w:rsidRPr="006C41D8">
        <w:rPr>
          <w:rFonts w:ascii="Arial" w:hAnsi="Arial" w:cs="Arial"/>
        </w:rPr>
        <w:t>Avzalov</w:t>
      </w:r>
      <w:proofErr w:type="spellEnd"/>
      <w:r w:rsidRPr="006C41D8">
        <w:rPr>
          <w:rFonts w:ascii="Arial" w:hAnsi="Arial" w:cs="Arial"/>
        </w:rPr>
        <w:t xml:space="preserve">, R., </w:t>
      </w:r>
      <w:proofErr w:type="spellStart"/>
      <w:r w:rsidRPr="006C41D8">
        <w:rPr>
          <w:rFonts w:ascii="Arial" w:hAnsi="Arial" w:cs="Arial"/>
        </w:rPr>
        <w:t>Tsapalova</w:t>
      </w:r>
      <w:proofErr w:type="spellEnd"/>
      <w:r w:rsidRPr="006C41D8">
        <w:rPr>
          <w:rFonts w:ascii="Arial" w:hAnsi="Arial" w:cs="Arial"/>
        </w:rPr>
        <w:t xml:space="preserve">, G., Andreeva, A., &amp; Basharov, A. (2022). Effect of a probiotic containing </w:t>
      </w:r>
      <w:r w:rsidR="00F544DC" w:rsidRPr="006C41D8">
        <w:rPr>
          <w:rFonts w:ascii="Arial" w:hAnsi="Arial" w:cs="Arial"/>
          <w:i/>
        </w:rPr>
        <w:t>L</w:t>
      </w:r>
      <w:r w:rsidRPr="006C41D8">
        <w:rPr>
          <w:rFonts w:ascii="Arial" w:hAnsi="Arial" w:cs="Arial"/>
          <w:i/>
        </w:rPr>
        <w:t>actobacilli</w:t>
      </w:r>
      <w:r w:rsidRPr="006C41D8">
        <w:rPr>
          <w:rFonts w:ascii="Arial" w:hAnsi="Arial" w:cs="Arial"/>
        </w:rPr>
        <w:t xml:space="preserve"> and </w:t>
      </w:r>
      <w:r w:rsidR="00F544DC" w:rsidRPr="006C41D8">
        <w:rPr>
          <w:rFonts w:ascii="Arial" w:hAnsi="Arial" w:cs="Arial"/>
          <w:i/>
        </w:rPr>
        <w:t>B</w:t>
      </w:r>
      <w:r w:rsidRPr="006C41D8">
        <w:rPr>
          <w:rFonts w:ascii="Arial" w:hAnsi="Arial" w:cs="Arial"/>
          <w:i/>
        </w:rPr>
        <w:t>ifidobacteria</w:t>
      </w:r>
      <w:r w:rsidRPr="006C41D8">
        <w:rPr>
          <w:rFonts w:ascii="Arial" w:hAnsi="Arial" w:cs="Arial"/>
        </w:rPr>
        <w:t xml:space="preserve"> on the metabolic processes , litter </w:t>
      </w:r>
      <w:proofErr w:type="spellStart"/>
      <w:r w:rsidRPr="006C41D8">
        <w:rPr>
          <w:rFonts w:ascii="Arial" w:hAnsi="Arial" w:cs="Arial"/>
        </w:rPr>
        <w:t>microbiocenosis</w:t>
      </w:r>
      <w:proofErr w:type="spellEnd"/>
      <w:r w:rsidRPr="006C41D8">
        <w:rPr>
          <w:rFonts w:ascii="Arial" w:hAnsi="Arial" w:cs="Arial"/>
        </w:rPr>
        <w:t xml:space="preserve"> , and production indicators of broiler Pekin ducklings. Veterinary World, 15(25), 998–1005.</w:t>
      </w:r>
    </w:p>
    <w:p w14:paraId="3FEEC412"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Kusmiyati</w:t>
      </w:r>
      <w:proofErr w:type="spellEnd"/>
      <w:r w:rsidRPr="006C41D8">
        <w:rPr>
          <w:rFonts w:ascii="Arial" w:hAnsi="Arial" w:cs="Arial"/>
        </w:rPr>
        <w:t xml:space="preserve">, N., Sari, C. R., &amp; Utami, U. (2025). Amylase, lipase and protease activity in </w:t>
      </w:r>
      <w:r w:rsidRPr="006C41D8">
        <w:rPr>
          <w:rFonts w:ascii="Arial" w:hAnsi="Arial" w:cs="Arial"/>
          <w:i/>
        </w:rPr>
        <w:t>Lactobacillus casei</w:t>
      </w:r>
      <w:r w:rsidRPr="006C41D8">
        <w:rPr>
          <w:rFonts w:ascii="Arial" w:hAnsi="Arial" w:cs="Arial"/>
        </w:rPr>
        <w:t xml:space="preserve"> group indigenous probiotics. Al-</w:t>
      </w:r>
      <w:proofErr w:type="spellStart"/>
      <w:r w:rsidRPr="006C41D8">
        <w:rPr>
          <w:rFonts w:ascii="Arial" w:hAnsi="Arial" w:cs="Arial"/>
        </w:rPr>
        <w:t>Kauniyah</w:t>
      </w:r>
      <w:proofErr w:type="spellEnd"/>
      <w:r w:rsidRPr="006C41D8">
        <w:rPr>
          <w:rFonts w:ascii="Arial" w:hAnsi="Arial" w:cs="Arial"/>
        </w:rPr>
        <w:t>, 18(2), 227–235. https://journal.uinjkt.ac.id/index.php/kauniyah/article/view/25724</w:t>
      </w:r>
    </w:p>
    <w:p w14:paraId="45E4B763" w14:textId="77777777" w:rsidR="0076208A" w:rsidRPr="006C41D8" w:rsidRDefault="0076208A" w:rsidP="0076208A">
      <w:pPr>
        <w:spacing w:after="120"/>
        <w:ind w:left="567" w:hanging="567"/>
        <w:rPr>
          <w:rFonts w:ascii="Arial" w:hAnsi="Arial" w:cs="Arial"/>
        </w:rPr>
      </w:pPr>
      <w:r w:rsidRPr="006C41D8">
        <w:rPr>
          <w:rFonts w:ascii="Arial" w:hAnsi="Arial" w:cs="Arial"/>
        </w:rPr>
        <w:t xml:space="preserve">Li, X., Li, Y., Hao, Q., Jin, J., &amp; Wang, L. (2024). Metabolic mechanisms orchestrated by Sirtuin family to modulate inflammatory responses. </w:t>
      </w:r>
      <w:r w:rsidRPr="006C41D8">
        <w:rPr>
          <w:rFonts w:ascii="Arial" w:hAnsi="Arial" w:cs="Arial"/>
          <w:i/>
          <w:iCs/>
        </w:rPr>
        <w:t>Frontiers in Immunology</w:t>
      </w:r>
      <w:r w:rsidRPr="006C41D8">
        <w:rPr>
          <w:rFonts w:ascii="Arial" w:hAnsi="Arial" w:cs="Arial"/>
        </w:rPr>
        <w:t xml:space="preserve">, </w:t>
      </w:r>
      <w:r w:rsidRPr="006C41D8">
        <w:rPr>
          <w:rFonts w:ascii="Arial" w:hAnsi="Arial" w:cs="Arial"/>
          <w:i/>
          <w:iCs/>
        </w:rPr>
        <w:t>15</w:t>
      </w:r>
      <w:r w:rsidRPr="006C41D8">
        <w:rPr>
          <w:rFonts w:ascii="Arial" w:hAnsi="Arial" w:cs="Arial"/>
        </w:rPr>
        <w:t>. https://doi.org/10.3389/fimmu.2024.1448535</w:t>
      </w:r>
    </w:p>
    <w:p w14:paraId="725C2A6D"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Liao, X. D., Ma, G., Cai, J., Fu, Y., Yan, X. Y., Wei, X. B., &amp; Zhang, R. J. (2014). Effects of </w:t>
      </w:r>
      <w:r w:rsidRPr="006C41D8">
        <w:rPr>
          <w:rFonts w:ascii="Arial" w:hAnsi="Arial" w:cs="Arial"/>
          <w:i/>
        </w:rPr>
        <w:t xml:space="preserve">Clostridium </w:t>
      </w:r>
      <w:proofErr w:type="spellStart"/>
      <w:r w:rsidRPr="006C41D8">
        <w:rPr>
          <w:rFonts w:ascii="Arial" w:hAnsi="Arial" w:cs="Arial"/>
          <w:i/>
        </w:rPr>
        <w:t>butyricum</w:t>
      </w:r>
      <w:proofErr w:type="spellEnd"/>
      <w:r w:rsidRPr="006C41D8">
        <w:rPr>
          <w:rFonts w:ascii="Arial" w:hAnsi="Arial" w:cs="Arial"/>
        </w:rPr>
        <w:t xml:space="preserve"> on growth performance, antioxidation, and immune function of broilers. Poultry Science, 94(4), 662–667. </w:t>
      </w:r>
      <w:hyperlink r:id="rId19" w:history="1">
        <w:r w:rsidR="00925A9D" w:rsidRPr="006C41D8">
          <w:rPr>
            <w:rStyle w:val="Hyperlink"/>
            <w:rFonts w:ascii="Arial" w:hAnsi="Arial" w:cs="Arial"/>
          </w:rPr>
          <w:t>https://doi.org/10.3382/ps/pev038</w:t>
        </w:r>
      </w:hyperlink>
    </w:p>
    <w:p w14:paraId="54D49327" w14:textId="77777777" w:rsidR="00925A9D" w:rsidRPr="006C41D8" w:rsidRDefault="00925A9D" w:rsidP="00D0560D">
      <w:pPr>
        <w:spacing w:after="120"/>
        <w:ind w:left="567" w:hanging="567"/>
        <w:rPr>
          <w:rFonts w:ascii="Arial" w:hAnsi="Arial" w:cs="Arial"/>
        </w:rPr>
      </w:pPr>
      <w:r w:rsidRPr="006C41D8">
        <w:t xml:space="preserve">Lone, A.; </w:t>
      </w:r>
      <w:proofErr w:type="spellStart"/>
      <w:r w:rsidRPr="006C41D8">
        <w:t>Mottawea</w:t>
      </w:r>
      <w:proofErr w:type="spellEnd"/>
      <w:r w:rsidRPr="006C41D8">
        <w:t xml:space="preserve">, W.; </w:t>
      </w:r>
      <w:proofErr w:type="spellStart"/>
      <w:r w:rsidRPr="006C41D8">
        <w:t>Ait</w:t>
      </w:r>
      <w:proofErr w:type="spellEnd"/>
      <w:r w:rsidRPr="006C41D8">
        <w:t xml:space="preserve"> Chait, Y.; Hammami, R. (2020). Dual inhibition of </w:t>
      </w:r>
      <w:r w:rsidRPr="006C41D8">
        <w:rPr>
          <w:i/>
        </w:rPr>
        <w:t>Salmonella enterica</w:t>
      </w:r>
      <w:r w:rsidRPr="006C41D8">
        <w:t xml:space="preserve"> and </w:t>
      </w:r>
      <w:r w:rsidRPr="006C41D8">
        <w:rPr>
          <w:i/>
        </w:rPr>
        <w:t>Clostridium perfringens</w:t>
      </w:r>
      <w:r w:rsidRPr="006C41D8">
        <w:t xml:space="preserve"> by new probiotic candidates isolated from chicken intestinal mucosa. Microorganisms 2021, 9, 166. https://doi.org/doi:10.3390/ microorganisms9010166</w:t>
      </w:r>
    </w:p>
    <w:p w14:paraId="7A1E2D3C"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Mardanova, A., Nikolaeva, A., </w:t>
      </w:r>
      <w:proofErr w:type="spellStart"/>
      <w:r w:rsidRPr="006C41D8">
        <w:rPr>
          <w:rFonts w:ascii="Arial" w:hAnsi="Arial" w:cs="Arial"/>
        </w:rPr>
        <w:t>Lutfullina</w:t>
      </w:r>
      <w:proofErr w:type="spellEnd"/>
      <w:r w:rsidRPr="006C41D8">
        <w:rPr>
          <w:rFonts w:ascii="Arial" w:hAnsi="Arial" w:cs="Arial"/>
        </w:rPr>
        <w:t xml:space="preserve">, G., </w:t>
      </w:r>
      <w:proofErr w:type="spellStart"/>
      <w:r w:rsidRPr="006C41D8">
        <w:rPr>
          <w:rFonts w:ascii="Arial" w:hAnsi="Arial" w:cs="Arial"/>
        </w:rPr>
        <w:t>Ganeeva</w:t>
      </w:r>
      <w:proofErr w:type="spellEnd"/>
      <w:r w:rsidRPr="006C41D8">
        <w:rPr>
          <w:rFonts w:ascii="Arial" w:hAnsi="Arial" w:cs="Arial"/>
        </w:rPr>
        <w:t xml:space="preserve">, A., &amp; Sharipova, M. (2020). Effect of probiotic strains of </w:t>
      </w:r>
      <w:r w:rsidRPr="006C41D8">
        <w:rPr>
          <w:rFonts w:ascii="Arial" w:hAnsi="Arial" w:cs="Arial"/>
          <w:i/>
        </w:rPr>
        <w:t>Bacillus subtilis</w:t>
      </w:r>
      <w:r w:rsidRPr="006C41D8">
        <w:rPr>
          <w:rFonts w:ascii="Arial" w:hAnsi="Arial" w:cs="Arial"/>
        </w:rPr>
        <w:t xml:space="preserve"> on the growth parameters of broiler chickens and </w:t>
      </w:r>
      <w:proofErr w:type="spellStart"/>
      <w:r w:rsidRPr="006C41D8">
        <w:rPr>
          <w:rFonts w:ascii="Arial" w:hAnsi="Arial" w:cs="Arial"/>
        </w:rPr>
        <w:lastRenderedPageBreak/>
        <w:t>caecal</w:t>
      </w:r>
      <w:proofErr w:type="spellEnd"/>
      <w:r w:rsidRPr="006C41D8">
        <w:rPr>
          <w:rFonts w:ascii="Arial" w:hAnsi="Arial" w:cs="Arial"/>
        </w:rPr>
        <w:t xml:space="preserve"> microbiota. E3S Web of Conferences, 222. https://doi.org/10.1051/e3sconf/202022202054</w:t>
      </w:r>
    </w:p>
    <w:p w14:paraId="72BA507A"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Michalak, M., Wojnarowski, K., Cholewińska, P., </w:t>
      </w:r>
      <w:proofErr w:type="spellStart"/>
      <w:r w:rsidRPr="006C41D8">
        <w:rPr>
          <w:rFonts w:ascii="Arial" w:hAnsi="Arial" w:cs="Arial"/>
        </w:rPr>
        <w:t>Szeligowska</w:t>
      </w:r>
      <w:proofErr w:type="spellEnd"/>
      <w:r w:rsidRPr="006C41D8">
        <w:rPr>
          <w:rFonts w:ascii="Arial" w:hAnsi="Arial" w:cs="Arial"/>
        </w:rPr>
        <w:t xml:space="preserve">, N., </w:t>
      </w:r>
      <w:proofErr w:type="spellStart"/>
      <w:r w:rsidRPr="006C41D8">
        <w:rPr>
          <w:rFonts w:ascii="Arial" w:hAnsi="Arial" w:cs="Arial"/>
        </w:rPr>
        <w:t>Bawej</w:t>
      </w:r>
      <w:proofErr w:type="spellEnd"/>
      <w:r w:rsidRPr="006C41D8">
        <w:rPr>
          <w:rFonts w:ascii="Arial" w:hAnsi="Arial" w:cs="Arial"/>
        </w:rPr>
        <w:t xml:space="preserve">, M., &amp; </w:t>
      </w:r>
      <w:proofErr w:type="spellStart"/>
      <w:r w:rsidRPr="006C41D8">
        <w:rPr>
          <w:rFonts w:ascii="Arial" w:hAnsi="Arial" w:cs="Arial"/>
        </w:rPr>
        <w:t>Pacoń</w:t>
      </w:r>
      <w:proofErr w:type="spellEnd"/>
      <w:r w:rsidRPr="006C41D8">
        <w:rPr>
          <w:rFonts w:ascii="Arial" w:hAnsi="Arial" w:cs="Arial"/>
        </w:rPr>
        <w:t xml:space="preserve">, J. (2021). Selected alternative feed additives used to manipulate the rumen microbiome. Animals, 11(6). </w:t>
      </w:r>
      <w:hyperlink r:id="rId20" w:history="1">
        <w:r w:rsidR="00E86352" w:rsidRPr="006C41D8">
          <w:rPr>
            <w:rStyle w:val="Hyperlink"/>
            <w:rFonts w:ascii="Arial" w:hAnsi="Arial" w:cs="Arial"/>
          </w:rPr>
          <w:t>https://doi.org/10.3390/ani11061542</w:t>
        </w:r>
      </w:hyperlink>
    </w:p>
    <w:p w14:paraId="70AE57EC" w14:textId="77777777" w:rsidR="00E86352" w:rsidRPr="006C41D8" w:rsidRDefault="00E86352" w:rsidP="00E86352">
      <w:pPr>
        <w:spacing w:after="120"/>
        <w:ind w:left="567" w:hanging="567"/>
        <w:rPr>
          <w:rFonts w:ascii="Arial" w:hAnsi="Arial" w:cs="Arial"/>
        </w:rPr>
      </w:pPr>
      <w:r w:rsidRPr="006C41D8">
        <w:rPr>
          <w:rFonts w:ascii="Arial" w:hAnsi="Arial" w:cs="Arial"/>
        </w:rPr>
        <w:t xml:space="preserve">Mohsin, M., Zhang, Z., &amp; Yin, G. (2022). Effect of probiotics on the performance and intestinal health of broiler chickens infected with </w:t>
      </w:r>
      <w:r w:rsidRPr="006C41D8">
        <w:rPr>
          <w:rFonts w:ascii="Arial" w:hAnsi="Arial" w:cs="Arial"/>
          <w:i/>
        </w:rPr>
        <w:t xml:space="preserve">Eimeria </w:t>
      </w:r>
      <w:proofErr w:type="spellStart"/>
      <w:r w:rsidRPr="006C41D8">
        <w:rPr>
          <w:rFonts w:ascii="Arial" w:hAnsi="Arial" w:cs="Arial"/>
          <w:i/>
        </w:rPr>
        <w:t>tenella</w:t>
      </w:r>
      <w:proofErr w:type="spellEnd"/>
      <w:r w:rsidRPr="006C41D8">
        <w:rPr>
          <w:rFonts w:ascii="Arial" w:hAnsi="Arial" w:cs="Arial"/>
        </w:rPr>
        <w:t>. Vaccines, 10(1), 1–14. https://doi.org/10.3390/vaccines10010097</w:t>
      </w:r>
    </w:p>
    <w:p w14:paraId="6B6FDF75" w14:textId="77777777" w:rsidR="00D0560D" w:rsidRPr="006C41D8" w:rsidRDefault="00D0560D" w:rsidP="00D0560D">
      <w:pPr>
        <w:spacing w:after="120"/>
        <w:ind w:left="567" w:hanging="567"/>
        <w:rPr>
          <w:rFonts w:ascii="Arial" w:hAnsi="Arial" w:cs="Arial"/>
        </w:rPr>
      </w:pPr>
      <w:r w:rsidRPr="006C41D8">
        <w:rPr>
          <w:rFonts w:ascii="Arial" w:hAnsi="Arial" w:cs="Arial"/>
        </w:rPr>
        <w:t>Pandey, A. K., Kumar, P., &amp; Saxena, M. J. (2019). Feed additives in animal health. In Nutraceuticals in Veterinary Medicine (pp. 345–362). Springer Nature Switzerland. https://doi.org/10.1007/978-3-030-04624-8_23</w:t>
      </w:r>
    </w:p>
    <w:p w14:paraId="3DDC8CE8"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Paris, M. T., </w:t>
      </w:r>
      <w:proofErr w:type="spellStart"/>
      <w:r w:rsidRPr="006C41D8">
        <w:rPr>
          <w:rFonts w:ascii="Arial" w:hAnsi="Arial" w:cs="Arial"/>
        </w:rPr>
        <w:t>Goitsemang</w:t>
      </w:r>
      <w:proofErr w:type="spellEnd"/>
      <w:r w:rsidRPr="006C41D8">
        <w:rPr>
          <w:rFonts w:ascii="Arial" w:hAnsi="Arial" w:cs="Arial"/>
        </w:rPr>
        <w:t xml:space="preserve">, M., Yvonne, M. K., &amp; Nyaradzai, K. C. (2024). Probiotics as feed additives for improved animal health and nutrition : The current perspectives. In A. Vilela &amp; A. Inês (Eds.), Probiotics, Prebiotics, and Postbiotics in Human Health and Sustainable Food Systems. </w:t>
      </w:r>
      <w:proofErr w:type="spellStart"/>
      <w:r w:rsidRPr="006C41D8">
        <w:rPr>
          <w:rFonts w:ascii="Arial" w:hAnsi="Arial" w:cs="Arial"/>
        </w:rPr>
        <w:t>IntechOpen</w:t>
      </w:r>
      <w:proofErr w:type="spellEnd"/>
      <w:r w:rsidRPr="006C41D8">
        <w:rPr>
          <w:rFonts w:ascii="Arial" w:hAnsi="Arial" w:cs="Arial"/>
        </w:rPr>
        <w:t>. https://doi.org/10.5772/intechopen.1007406</w:t>
      </w:r>
    </w:p>
    <w:p w14:paraId="51166E6E"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Poberezhets</w:t>
      </w:r>
      <w:proofErr w:type="spellEnd"/>
      <w:r w:rsidRPr="006C41D8">
        <w:rPr>
          <w:rFonts w:ascii="Arial" w:hAnsi="Arial" w:cs="Arial"/>
        </w:rPr>
        <w:t xml:space="preserve">, J. M., </w:t>
      </w:r>
      <w:proofErr w:type="spellStart"/>
      <w:r w:rsidRPr="006C41D8">
        <w:rPr>
          <w:rFonts w:ascii="Arial" w:hAnsi="Arial" w:cs="Arial"/>
        </w:rPr>
        <w:t>Yaropud</w:t>
      </w:r>
      <w:proofErr w:type="spellEnd"/>
      <w:r w:rsidRPr="006C41D8">
        <w:rPr>
          <w:rFonts w:ascii="Arial" w:hAnsi="Arial" w:cs="Arial"/>
        </w:rPr>
        <w:t xml:space="preserve">, V. M., </w:t>
      </w:r>
      <w:proofErr w:type="spellStart"/>
      <w:r w:rsidRPr="006C41D8">
        <w:rPr>
          <w:rFonts w:ascii="Arial" w:hAnsi="Arial" w:cs="Arial"/>
        </w:rPr>
        <w:t>Kupchuk</w:t>
      </w:r>
      <w:proofErr w:type="spellEnd"/>
      <w:r w:rsidRPr="006C41D8">
        <w:rPr>
          <w:rFonts w:ascii="Arial" w:hAnsi="Arial" w:cs="Arial"/>
        </w:rPr>
        <w:t xml:space="preserve">, I. M., </w:t>
      </w:r>
      <w:proofErr w:type="spellStart"/>
      <w:r w:rsidRPr="006C41D8">
        <w:rPr>
          <w:rFonts w:ascii="Arial" w:hAnsi="Arial" w:cs="Arial"/>
        </w:rPr>
        <w:t>Kolechko</w:t>
      </w:r>
      <w:proofErr w:type="spellEnd"/>
      <w:r w:rsidRPr="006C41D8">
        <w:rPr>
          <w:rFonts w:ascii="Arial" w:hAnsi="Arial" w:cs="Arial"/>
        </w:rPr>
        <w:t xml:space="preserve">, A. V., </w:t>
      </w:r>
      <w:proofErr w:type="spellStart"/>
      <w:r w:rsidRPr="006C41D8">
        <w:rPr>
          <w:rFonts w:ascii="Arial" w:hAnsi="Arial" w:cs="Arial"/>
        </w:rPr>
        <w:t>Rutkevych</w:t>
      </w:r>
      <w:proofErr w:type="spellEnd"/>
      <w:r w:rsidRPr="006C41D8">
        <w:rPr>
          <w:rFonts w:ascii="Arial" w:hAnsi="Arial" w:cs="Arial"/>
        </w:rPr>
        <w:t xml:space="preserve">, V. S., </w:t>
      </w:r>
      <w:proofErr w:type="spellStart"/>
      <w:r w:rsidRPr="006C41D8">
        <w:rPr>
          <w:rFonts w:ascii="Arial" w:hAnsi="Arial" w:cs="Arial"/>
        </w:rPr>
        <w:t>Hraniak</w:t>
      </w:r>
      <w:proofErr w:type="spellEnd"/>
      <w:r w:rsidRPr="006C41D8">
        <w:rPr>
          <w:rFonts w:ascii="Arial" w:hAnsi="Arial" w:cs="Arial"/>
        </w:rPr>
        <w:t xml:space="preserve">, V. F., </w:t>
      </w:r>
      <w:proofErr w:type="spellStart"/>
      <w:r w:rsidRPr="006C41D8">
        <w:rPr>
          <w:rFonts w:ascii="Arial" w:hAnsi="Arial" w:cs="Arial"/>
        </w:rPr>
        <w:t>Burlaka</w:t>
      </w:r>
      <w:proofErr w:type="spellEnd"/>
      <w:r w:rsidRPr="006C41D8">
        <w:rPr>
          <w:rFonts w:ascii="Arial" w:hAnsi="Arial" w:cs="Arial"/>
        </w:rPr>
        <w:t xml:space="preserve">, S. A., &amp; </w:t>
      </w:r>
      <w:proofErr w:type="spellStart"/>
      <w:r w:rsidRPr="006C41D8">
        <w:rPr>
          <w:rFonts w:ascii="Arial" w:hAnsi="Arial" w:cs="Arial"/>
        </w:rPr>
        <w:t>Voitsitskyi</w:t>
      </w:r>
      <w:proofErr w:type="spellEnd"/>
      <w:r w:rsidRPr="006C41D8">
        <w:rPr>
          <w:rFonts w:ascii="Arial" w:hAnsi="Arial" w:cs="Arial"/>
        </w:rPr>
        <w:t xml:space="preserve">, O. V. (2023). Efficiency of a food supplement containing </w:t>
      </w:r>
      <w:r w:rsidRPr="006C41D8">
        <w:rPr>
          <w:rFonts w:ascii="Arial" w:hAnsi="Arial" w:cs="Arial"/>
          <w:i/>
        </w:rPr>
        <w:t>Saccharomyces cerevisiae</w:t>
      </w:r>
      <w:r w:rsidRPr="006C41D8">
        <w:rPr>
          <w:rFonts w:ascii="Arial" w:hAnsi="Arial" w:cs="Arial"/>
        </w:rPr>
        <w:t xml:space="preserve"> culture in the diet of broiler chickens. Regulatory Mechanisms in Biosystems, 14(3), 354–357. https://doi.org/10.15421/10.15421/022352</w:t>
      </w:r>
    </w:p>
    <w:p w14:paraId="64975D1B" w14:textId="77777777" w:rsidR="00D0560D" w:rsidRPr="006C41D8" w:rsidRDefault="00D0560D" w:rsidP="00D0560D">
      <w:pPr>
        <w:spacing w:after="120"/>
        <w:ind w:left="567" w:hanging="567"/>
        <w:rPr>
          <w:rFonts w:ascii="Arial" w:hAnsi="Arial" w:cs="Arial"/>
        </w:rPr>
      </w:pPr>
      <w:r w:rsidRPr="006C41D8">
        <w:rPr>
          <w:rFonts w:ascii="Arial" w:hAnsi="Arial" w:cs="Arial"/>
        </w:rPr>
        <w:t>Raheem, A., Liang, L., Zhang, G., &amp; Cui, S. (2021). Modulatory effects of probiotics during pathogenic infections with emphasis on immune regulation. Frontiers in Immunology, 12(April), 1–32. https://doi.org/10.3389/fimmu.2021.616713</w:t>
      </w:r>
    </w:p>
    <w:p w14:paraId="1DDBCB46" w14:textId="77777777" w:rsidR="00D0560D" w:rsidRPr="006C41D8" w:rsidRDefault="00D0560D" w:rsidP="00D0560D">
      <w:pPr>
        <w:spacing w:after="120"/>
        <w:ind w:left="567" w:hanging="567"/>
        <w:rPr>
          <w:rFonts w:ascii="Arial" w:hAnsi="Arial" w:cs="Arial"/>
        </w:rPr>
      </w:pPr>
      <w:r w:rsidRPr="006C41D8">
        <w:rPr>
          <w:rFonts w:ascii="Arial" w:hAnsi="Arial" w:cs="Arial"/>
        </w:rPr>
        <w:t>Rahman, M. R. T., Fliss, I., &amp; Biron, E. (2022). Insights in the development and uses of alternatives to antibiotic growth promoters in poultry and swine production. Antibiotics, 11(6), 1–29. https://doi.org/10.3390/antibiotics11060766</w:t>
      </w:r>
    </w:p>
    <w:p w14:paraId="1411F694" w14:textId="77777777" w:rsidR="00D0560D" w:rsidRPr="006C41D8" w:rsidRDefault="00D0560D" w:rsidP="00D0560D">
      <w:pPr>
        <w:spacing w:after="120"/>
        <w:ind w:left="567" w:hanging="567"/>
        <w:rPr>
          <w:rFonts w:ascii="Arial" w:hAnsi="Arial" w:cs="Arial"/>
        </w:rPr>
      </w:pPr>
      <w:r w:rsidRPr="006C41D8">
        <w:rPr>
          <w:rFonts w:ascii="Arial" w:hAnsi="Arial" w:cs="Arial"/>
        </w:rPr>
        <w:t>Samad, A. (2022). Antibiotics resistance in poultry and its solution. Devotion : Journal of Research and Community Service, 3(10), 999–1020. https://doi.org/10.36418/dev.v3i10.206</w:t>
      </w:r>
    </w:p>
    <w:p w14:paraId="102D3D72"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Thuy, N. P., &amp; Trai, N. N. (2024). Screening of </w:t>
      </w:r>
      <w:r w:rsidRPr="006C41D8">
        <w:rPr>
          <w:rFonts w:ascii="Arial" w:hAnsi="Arial" w:cs="Arial"/>
          <w:i/>
        </w:rPr>
        <w:t>Lactobacillus</w:t>
      </w:r>
      <w:r w:rsidRPr="006C41D8">
        <w:rPr>
          <w:rFonts w:ascii="Arial" w:hAnsi="Arial" w:cs="Arial"/>
        </w:rPr>
        <w:t xml:space="preserve"> from Noi chicken gut as potential probiotics against poultry pathogens. </w:t>
      </w:r>
      <w:proofErr w:type="spellStart"/>
      <w:r w:rsidRPr="006C41D8">
        <w:rPr>
          <w:rFonts w:ascii="Arial" w:hAnsi="Arial" w:cs="Arial"/>
        </w:rPr>
        <w:t>Biodiversitas</w:t>
      </w:r>
      <w:proofErr w:type="spellEnd"/>
      <w:r w:rsidRPr="006C41D8">
        <w:rPr>
          <w:rFonts w:ascii="Arial" w:hAnsi="Arial" w:cs="Arial"/>
        </w:rPr>
        <w:t>, 25(10), 3943–3952. https://doi.org/10.13057/biodiv/d251054</w:t>
      </w:r>
    </w:p>
    <w:p w14:paraId="329B024D" w14:textId="77777777" w:rsidR="00D0560D" w:rsidRPr="006C41D8" w:rsidRDefault="00D0560D" w:rsidP="00D0560D">
      <w:pPr>
        <w:spacing w:after="120"/>
        <w:ind w:left="567" w:hanging="567"/>
        <w:rPr>
          <w:rFonts w:ascii="Arial" w:hAnsi="Arial" w:cs="Arial"/>
        </w:rPr>
      </w:pPr>
      <w:r w:rsidRPr="006C41D8">
        <w:rPr>
          <w:rFonts w:ascii="Arial" w:hAnsi="Arial" w:cs="Arial"/>
        </w:rPr>
        <w:t>Udeh, F. U., Udeh, V. C., &amp; Chukwudi, P. (2021). Serum biochemistry profile and liver function indices of broiler chickens served dietary inclusion of probiotics (</w:t>
      </w:r>
      <w:r w:rsidRPr="006C41D8">
        <w:rPr>
          <w:rFonts w:ascii="Arial" w:hAnsi="Arial" w:cs="Arial"/>
          <w:i/>
        </w:rPr>
        <w:t>Saccharomyces cerevisiae</w:t>
      </w:r>
      <w:r w:rsidRPr="006C41D8">
        <w:rPr>
          <w:rFonts w:ascii="Arial" w:hAnsi="Arial" w:cs="Arial"/>
        </w:rPr>
        <w:t>) and enzyme. Nigerian Journal of Animal Production, 47(6), 120–128. https://doi.org/10.51791/njap.v47i6.2917</w:t>
      </w:r>
    </w:p>
    <w:p w14:paraId="7FB40D2D"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Vinayamohan</w:t>
      </w:r>
      <w:proofErr w:type="spellEnd"/>
      <w:r w:rsidRPr="006C41D8">
        <w:rPr>
          <w:rFonts w:ascii="Arial" w:hAnsi="Arial" w:cs="Arial"/>
        </w:rPr>
        <w:t xml:space="preserve">, P., Joseph, D., Viju, L. S., Baskaran, S. A., &amp; </w:t>
      </w:r>
      <w:proofErr w:type="spellStart"/>
      <w:r w:rsidRPr="006C41D8">
        <w:rPr>
          <w:rFonts w:ascii="Arial" w:hAnsi="Arial" w:cs="Arial"/>
        </w:rPr>
        <w:t>Venkitanarayanan</w:t>
      </w:r>
      <w:proofErr w:type="spellEnd"/>
      <w:r w:rsidRPr="006C41D8">
        <w:rPr>
          <w:rFonts w:ascii="Arial" w:hAnsi="Arial" w:cs="Arial"/>
        </w:rPr>
        <w:t>, K. (2024). Efficacy of probiotics in reducing pathogenic potential of infectious agents. Fermentation, 10(12), 1–25. https://doi.org/10.3390/fermentation10120599</w:t>
      </w:r>
    </w:p>
    <w:p w14:paraId="396A62F2"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Xu, Y., Yu, Y., Shen, Y., Li, Q., Lan, J., Wu, Y., Zhang, R., Cao, G., &amp; Yang, C. (2021). Effects of </w:t>
      </w:r>
      <w:r w:rsidRPr="006C41D8">
        <w:rPr>
          <w:rFonts w:ascii="Arial" w:hAnsi="Arial" w:cs="Arial"/>
          <w:i/>
        </w:rPr>
        <w:t>Bacillus subtilis</w:t>
      </w:r>
      <w:r w:rsidRPr="006C41D8">
        <w:rPr>
          <w:rFonts w:ascii="Arial" w:hAnsi="Arial" w:cs="Arial"/>
        </w:rPr>
        <w:t xml:space="preserve"> and </w:t>
      </w:r>
      <w:r w:rsidRPr="006C41D8">
        <w:rPr>
          <w:rFonts w:ascii="Arial" w:hAnsi="Arial" w:cs="Arial"/>
          <w:i/>
        </w:rPr>
        <w:t>Bacillus licheniformis</w:t>
      </w:r>
      <w:r w:rsidRPr="006C41D8">
        <w:rPr>
          <w:rFonts w:ascii="Arial" w:hAnsi="Arial" w:cs="Arial"/>
        </w:rPr>
        <w:t xml:space="preserve"> on growth performance, immunity, short chain fatty acid production, antioxidant capacity, and cecal microflora in broilers. Poultry Science, 100(9), 101358. https://doi.org/10.1016/j.psj.2021.101358</w:t>
      </w:r>
    </w:p>
    <w:p w14:paraId="4162B176" w14:textId="77777777" w:rsidR="00D0560D" w:rsidRPr="006C41D8" w:rsidRDefault="00D0560D" w:rsidP="00D0560D">
      <w:pPr>
        <w:spacing w:after="120"/>
        <w:ind w:left="567" w:hanging="567"/>
        <w:rPr>
          <w:rFonts w:ascii="Arial" w:hAnsi="Arial" w:cs="Arial"/>
        </w:rPr>
      </w:pPr>
      <w:r w:rsidRPr="006C41D8">
        <w:rPr>
          <w:rFonts w:ascii="Arial" w:hAnsi="Arial" w:cs="Arial"/>
        </w:rPr>
        <w:t>Yadav, S., &amp; Jha, R. (2019). Strategies to modulate the intestinal microbiota and their effects on nutrient utilization, performance, and health of poultry. Journal of Animal Science and Biotechnology, 10(1), 1–11. https://doi.org/10.1186/s40104-018-0310-9</w:t>
      </w:r>
    </w:p>
    <w:p w14:paraId="023EC3A7" w14:textId="77777777" w:rsidR="00D0560D" w:rsidRPr="006C41D8" w:rsidRDefault="00D0560D" w:rsidP="00D0560D">
      <w:pPr>
        <w:spacing w:after="120"/>
        <w:ind w:left="567" w:hanging="567"/>
        <w:rPr>
          <w:rFonts w:ascii="Arial" w:hAnsi="Arial" w:cs="Arial"/>
        </w:rPr>
      </w:pPr>
      <w:r w:rsidRPr="006C41D8">
        <w:rPr>
          <w:rFonts w:ascii="Arial" w:hAnsi="Arial" w:cs="Arial"/>
        </w:rPr>
        <w:lastRenderedPageBreak/>
        <w:t>Yang, S.-C., Lin, C.-H., Sung, C. T., &amp; Fang, J.-Y. (2014). Antibacterial activities of bacteriocins: Application in foods and pharmaceuticals. Frontiers in Microbiology, 5(MAY), 1–10. https://doi.org/10.3389/fmicb.2014.00241</w:t>
      </w:r>
    </w:p>
    <w:p w14:paraId="3CE49198"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Yang, T., Du, M., Zhang, J., Ahmad, B., Cheng, Q., Wang, X., Abbas, Z., Tong, Y., Li, J., Zhou, Y., Zhang, R., &amp; Si, D. (2023). Effects of </w:t>
      </w:r>
      <w:r w:rsidRPr="006C41D8">
        <w:rPr>
          <w:rFonts w:ascii="Arial" w:hAnsi="Arial" w:cs="Arial"/>
          <w:i/>
        </w:rPr>
        <w:t xml:space="preserve">Clostridium </w:t>
      </w:r>
      <w:proofErr w:type="spellStart"/>
      <w:r w:rsidRPr="006C41D8">
        <w:rPr>
          <w:rFonts w:ascii="Arial" w:hAnsi="Arial" w:cs="Arial"/>
          <w:i/>
        </w:rPr>
        <w:t>butyricum</w:t>
      </w:r>
      <w:proofErr w:type="spellEnd"/>
      <w:r w:rsidRPr="006C41D8">
        <w:rPr>
          <w:rFonts w:ascii="Arial" w:hAnsi="Arial" w:cs="Arial"/>
        </w:rPr>
        <w:t xml:space="preserve"> as an </w:t>
      </w:r>
      <w:r w:rsidR="00F35585" w:rsidRPr="006C41D8">
        <w:rPr>
          <w:rFonts w:ascii="Arial" w:hAnsi="Arial" w:cs="Arial"/>
        </w:rPr>
        <w:t>a</w:t>
      </w:r>
      <w:r w:rsidRPr="006C41D8">
        <w:rPr>
          <w:rFonts w:ascii="Arial" w:hAnsi="Arial" w:cs="Arial"/>
        </w:rPr>
        <w:t xml:space="preserve">ntibiotic </w:t>
      </w:r>
      <w:r w:rsidR="00F35585" w:rsidRPr="006C41D8">
        <w:rPr>
          <w:rFonts w:ascii="Arial" w:hAnsi="Arial" w:cs="Arial"/>
        </w:rPr>
        <w:t>a</w:t>
      </w:r>
      <w:r w:rsidRPr="006C41D8">
        <w:rPr>
          <w:rFonts w:ascii="Arial" w:hAnsi="Arial" w:cs="Arial"/>
        </w:rPr>
        <w:t xml:space="preserve">lternative on </w:t>
      </w:r>
      <w:r w:rsidR="00F35585" w:rsidRPr="006C41D8">
        <w:rPr>
          <w:rFonts w:ascii="Arial" w:hAnsi="Arial" w:cs="Arial"/>
        </w:rPr>
        <w:t>g</w:t>
      </w:r>
      <w:r w:rsidRPr="006C41D8">
        <w:rPr>
          <w:rFonts w:ascii="Arial" w:hAnsi="Arial" w:cs="Arial"/>
        </w:rPr>
        <w:t xml:space="preserve">rowth </w:t>
      </w:r>
      <w:r w:rsidR="00F35585" w:rsidRPr="006C41D8">
        <w:rPr>
          <w:rFonts w:ascii="Arial" w:hAnsi="Arial" w:cs="Arial"/>
        </w:rPr>
        <w:t>p</w:t>
      </w:r>
      <w:r w:rsidRPr="006C41D8">
        <w:rPr>
          <w:rFonts w:ascii="Arial" w:hAnsi="Arial" w:cs="Arial"/>
        </w:rPr>
        <w:t xml:space="preserve">erformance, </w:t>
      </w:r>
      <w:r w:rsidR="00F35585" w:rsidRPr="006C41D8">
        <w:rPr>
          <w:rFonts w:ascii="Arial" w:hAnsi="Arial" w:cs="Arial"/>
        </w:rPr>
        <w:t>i</w:t>
      </w:r>
      <w:r w:rsidRPr="006C41D8">
        <w:rPr>
          <w:rFonts w:ascii="Arial" w:hAnsi="Arial" w:cs="Arial"/>
        </w:rPr>
        <w:t xml:space="preserve">ntestinal </w:t>
      </w:r>
      <w:r w:rsidR="00F35585" w:rsidRPr="006C41D8">
        <w:rPr>
          <w:rFonts w:ascii="Arial" w:hAnsi="Arial" w:cs="Arial"/>
        </w:rPr>
        <w:t>m</w:t>
      </w:r>
      <w:r w:rsidRPr="006C41D8">
        <w:rPr>
          <w:rFonts w:ascii="Arial" w:hAnsi="Arial" w:cs="Arial"/>
        </w:rPr>
        <w:t xml:space="preserve">orphology, </w:t>
      </w:r>
      <w:r w:rsidR="00F35585" w:rsidRPr="006C41D8">
        <w:rPr>
          <w:rFonts w:ascii="Arial" w:hAnsi="Arial" w:cs="Arial"/>
        </w:rPr>
        <w:t>s</w:t>
      </w:r>
      <w:r w:rsidRPr="006C41D8">
        <w:rPr>
          <w:rFonts w:ascii="Arial" w:hAnsi="Arial" w:cs="Arial"/>
        </w:rPr>
        <w:t xml:space="preserve">erum </w:t>
      </w:r>
      <w:r w:rsidR="00F35585" w:rsidRPr="006C41D8">
        <w:rPr>
          <w:rFonts w:ascii="Arial" w:hAnsi="Arial" w:cs="Arial"/>
        </w:rPr>
        <w:t>b</w:t>
      </w:r>
      <w:r w:rsidRPr="006C41D8">
        <w:rPr>
          <w:rFonts w:ascii="Arial" w:hAnsi="Arial" w:cs="Arial"/>
        </w:rPr>
        <w:t xml:space="preserve">iochemical </w:t>
      </w:r>
      <w:r w:rsidR="00F35585" w:rsidRPr="006C41D8">
        <w:rPr>
          <w:rFonts w:ascii="Arial" w:hAnsi="Arial" w:cs="Arial"/>
        </w:rPr>
        <w:t>r</w:t>
      </w:r>
      <w:r w:rsidRPr="006C41D8">
        <w:rPr>
          <w:rFonts w:ascii="Arial" w:hAnsi="Arial" w:cs="Arial"/>
        </w:rPr>
        <w:t xml:space="preserve">esponse, and </w:t>
      </w:r>
      <w:r w:rsidR="00F35585" w:rsidRPr="006C41D8">
        <w:rPr>
          <w:rFonts w:ascii="Arial" w:hAnsi="Arial" w:cs="Arial"/>
        </w:rPr>
        <w:t>i</w:t>
      </w:r>
      <w:r w:rsidRPr="006C41D8">
        <w:rPr>
          <w:rFonts w:ascii="Arial" w:hAnsi="Arial" w:cs="Arial"/>
        </w:rPr>
        <w:t xml:space="preserve">mmunity of </w:t>
      </w:r>
      <w:r w:rsidR="00F35585" w:rsidRPr="006C41D8">
        <w:rPr>
          <w:rFonts w:ascii="Arial" w:hAnsi="Arial" w:cs="Arial"/>
        </w:rPr>
        <w:t>b</w:t>
      </w:r>
      <w:r w:rsidRPr="006C41D8">
        <w:rPr>
          <w:rFonts w:ascii="Arial" w:hAnsi="Arial" w:cs="Arial"/>
        </w:rPr>
        <w:t>roilers. Antibiotics, 12(3). https://doi.org/10.3390/antibiotics12030433</w:t>
      </w:r>
    </w:p>
    <w:p w14:paraId="27B24957"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Zhang, L., Zhang, L., Zhan, X., Zeng, X., Zhou, L., Cao, G., Chen, A., &amp; Yang, C. (2016). Effects of dietary supplementation of probiotic, </w:t>
      </w:r>
      <w:r w:rsidRPr="006C41D8">
        <w:rPr>
          <w:rFonts w:ascii="Arial" w:hAnsi="Arial" w:cs="Arial"/>
          <w:i/>
        </w:rPr>
        <w:t xml:space="preserve">Clostridium </w:t>
      </w:r>
      <w:proofErr w:type="spellStart"/>
      <w:r w:rsidRPr="006C41D8">
        <w:rPr>
          <w:rFonts w:ascii="Arial" w:hAnsi="Arial" w:cs="Arial"/>
          <w:i/>
        </w:rPr>
        <w:t>butyricum</w:t>
      </w:r>
      <w:proofErr w:type="spellEnd"/>
      <w:r w:rsidRPr="006C41D8">
        <w:rPr>
          <w:rFonts w:ascii="Arial" w:hAnsi="Arial" w:cs="Arial"/>
        </w:rPr>
        <w:t xml:space="preserve">, on growth performance, immune response, intestinal barrier function, and digestive enzyme activity in broiler chickens challenged with </w:t>
      </w:r>
      <w:r w:rsidRPr="006C41D8">
        <w:rPr>
          <w:rFonts w:ascii="Arial" w:hAnsi="Arial" w:cs="Arial"/>
          <w:i/>
        </w:rPr>
        <w:t>Escherichia coli</w:t>
      </w:r>
      <w:r w:rsidRPr="006C41D8">
        <w:rPr>
          <w:rFonts w:ascii="Arial" w:hAnsi="Arial" w:cs="Arial"/>
        </w:rPr>
        <w:t xml:space="preserve"> K88. Journal of Animal Science and Biotechnology, 7(1), 1–9. https://doi.org/10.1186/s40104-016-0061-4</w:t>
      </w:r>
    </w:p>
    <w:p w14:paraId="7DB46645" w14:textId="77777777" w:rsidR="00D0560D" w:rsidRPr="006C41D8" w:rsidRDefault="00D0560D" w:rsidP="00D0560D">
      <w:pPr>
        <w:spacing w:after="120"/>
        <w:ind w:left="567" w:hanging="567"/>
        <w:rPr>
          <w:rFonts w:asciiTheme="minorHAnsi" w:hAnsiTheme="minorHAnsi" w:cstheme="minorHAnsi"/>
        </w:rPr>
      </w:pPr>
      <w:r w:rsidRPr="006C41D8">
        <w:rPr>
          <w:rFonts w:ascii="Arial" w:hAnsi="Arial" w:cs="Arial"/>
        </w:rPr>
        <w:t>Zheng, A., Luo, J., Meng, K., Li, J., Bryden, W. L., Chang, W., Zhang, S., Wang, L. X. N., Liu, G., &amp; Yao, B. (2016). Probiotic (</w:t>
      </w:r>
      <w:r w:rsidRPr="006C41D8">
        <w:rPr>
          <w:rFonts w:ascii="Arial" w:hAnsi="Arial" w:cs="Arial"/>
          <w:i/>
        </w:rPr>
        <w:t>Enterococcus faecium</w:t>
      </w:r>
      <w:r w:rsidRPr="006C41D8">
        <w:rPr>
          <w:rFonts w:ascii="Arial" w:hAnsi="Arial" w:cs="Arial"/>
        </w:rPr>
        <w:t>) induced responses of the hepatic proteome improves metabolic efficiency of broiler chickens (</w:t>
      </w:r>
      <w:r w:rsidRPr="006C41D8">
        <w:rPr>
          <w:rFonts w:ascii="Arial" w:hAnsi="Arial" w:cs="Arial"/>
          <w:i/>
        </w:rPr>
        <w:t>Gallus gallus</w:t>
      </w:r>
      <w:r w:rsidRPr="006C41D8">
        <w:rPr>
          <w:rFonts w:ascii="Arial" w:hAnsi="Arial" w:cs="Arial"/>
        </w:rPr>
        <w:t>). BMC Genomics, 17(1), 1–12. https://doi.org/10.1186/s12864-016-2371-5</w:t>
      </w:r>
    </w:p>
    <w:p w14:paraId="0CC452D7" w14:textId="77777777" w:rsidR="00BE019D" w:rsidRPr="00BE019D" w:rsidRDefault="00BE019D" w:rsidP="00BE019D">
      <w:pPr>
        <w:widowControl w:val="0"/>
        <w:autoSpaceDE w:val="0"/>
        <w:autoSpaceDN w:val="0"/>
        <w:adjustRightInd w:val="0"/>
        <w:spacing w:after="240"/>
        <w:ind w:left="480" w:hanging="480"/>
        <w:rPr>
          <w:rFonts w:ascii="Arial" w:hAnsi="Arial" w:cs="Arial"/>
        </w:rPr>
      </w:pPr>
      <w:r w:rsidRPr="006C41D8">
        <w:rPr>
          <w:rFonts w:ascii="Arial" w:hAnsi="Arial" w:cs="Arial"/>
        </w:rPr>
        <w:t xml:space="preserve">Zheng, X., Zhu, Y., Zhao, Z., Chu, Y., &amp; Yang, W. (2023). The role of amino acid metabolism in inflammatory bowel disease and other inflammatory diseases. </w:t>
      </w:r>
      <w:r w:rsidRPr="006C41D8">
        <w:rPr>
          <w:rFonts w:ascii="Arial" w:hAnsi="Arial" w:cs="Arial"/>
          <w:i/>
          <w:iCs/>
        </w:rPr>
        <w:t>Frontiers in Immunology</w:t>
      </w:r>
      <w:r w:rsidRPr="006C41D8">
        <w:rPr>
          <w:rFonts w:ascii="Arial" w:hAnsi="Arial" w:cs="Arial"/>
        </w:rPr>
        <w:t>. https://doi.org/10.3389/fimmu.2023.1284133</w:t>
      </w:r>
    </w:p>
    <w:p w14:paraId="62AAB9A0" w14:textId="77777777" w:rsidR="004D4277" w:rsidRDefault="004D4277" w:rsidP="00D0560D">
      <w:pPr>
        <w:widowControl w:val="0"/>
        <w:autoSpaceDE w:val="0"/>
        <w:autoSpaceDN w:val="0"/>
        <w:adjustRightInd w:val="0"/>
        <w:spacing w:after="240"/>
        <w:ind w:left="480" w:hanging="480"/>
        <w:rPr>
          <w:rFonts w:ascii="Arial" w:hAnsi="Arial" w:cs="Arial"/>
          <w:b/>
        </w:rPr>
      </w:pPr>
    </w:p>
    <w:p w14:paraId="4AA01FD1" w14:textId="77777777" w:rsidR="00BE019D" w:rsidRPr="00BE019D" w:rsidRDefault="00BE019D" w:rsidP="00D0560D">
      <w:pPr>
        <w:widowControl w:val="0"/>
        <w:autoSpaceDE w:val="0"/>
        <w:autoSpaceDN w:val="0"/>
        <w:adjustRightInd w:val="0"/>
        <w:spacing w:after="240"/>
        <w:ind w:left="480" w:hanging="480"/>
        <w:rPr>
          <w:rFonts w:ascii="Arial" w:hAnsi="Arial" w:cs="Arial"/>
        </w:rPr>
        <w:sectPr w:rsidR="00BE019D" w:rsidRPr="00BE019D" w:rsidSect="005E3998">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7BF175F4" w14:textId="77777777" w:rsidR="00B01FCD" w:rsidRPr="00FB3A86" w:rsidRDefault="00B01FCD" w:rsidP="00441B6F">
      <w:pPr>
        <w:pStyle w:val="Appendix"/>
        <w:spacing w:after="0"/>
        <w:jc w:val="both"/>
        <w:rPr>
          <w:rFonts w:ascii="Arial" w:hAnsi="Arial" w:cs="Arial"/>
          <w:b w:val="0"/>
        </w:rPr>
      </w:pPr>
    </w:p>
    <w:sectPr w:rsidR="00B01FCD" w:rsidRPr="00FB3A86" w:rsidSect="005E399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eola Idowu" w:date="2025-06-04T13:11:00Z" w:initials="AI">
    <w:p w14:paraId="15E3D434" w14:textId="77777777" w:rsidR="00A5693D" w:rsidRDefault="00A5693D" w:rsidP="00A5693D">
      <w:pPr>
        <w:pStyle w:val="CommentText"/>
      </w:pPr>
      <w:r>
        <w:rPr>
          <w:rStyle w:val="CommentReference"/>
        </w:rPr>
        <w:annotationRef/>
      </w:r>
      <w:r>
        <w:t>Also review articles where they have no effects or negative effects to avoid bias</w:t>
      </w:r>
    </w:p>
  </w:comment>
  <w:comment w:id="1" w:author="Adeola Idowu" w:date="2025-06-04T12:26:00Z" w:initials="AI">
    <w:p w14:paraId="72BEAAF7" w14:textId="48C9E2E3" w:rsidR="00E465F3" w:rsidRDefault="00E465F3" w:rsidP="00E465F3">
      <w:pPr>
        <w:pStyle w:val="CommentText"/>
      </w:pPr>
      <w:r>
        <w:rPr>
          <w:rStyle w:val="CommentReference"/>
        </w:rPr>
        <w:annotationRef/>
      </w:r>
      <w:r>
        <w:t>Give details about the dosage and mode of inoculation of the probiotics in another column</w:t>
      </w:r>
    </w:p>
  </w:comment>
  <w:comment w:id="2" w:author="Adeola Idowu" w:date="2025-06-04T12:20:00Z" w:initials="AI">
    <w:p w14:paraId="3B465239" w14:textId="20FE6617" w:rsidR="00FA2BD9" w:rsidRDefault="00FA2BD9" w:rsidP="00FA2BD9">
      <w:pPr>
        <w:pStyle w:val="CommentText"/>
      </w:pPr>
      <w:r>
        <w:rPr>
          <w:rStyle w:val="CommentReference"/>
        </w:rPr>
        <w:annotationRef/>
      </w:r>
      <w:r>
        <w:t>What type of probiotics. Whats the dosage and mode of application</w:t>
      </w:r>
    </w:p>
  </w:comment>
  <w:comment w:id="3" w:author="Adeola Idowu" w:date="2025-06-04T12:27:00Z" w:initials="AI">
    <w:p w14:paraId="32D78665" w14:textId="77777777" w:rsidR="00E465F3" w:rsidRDefault="00E465F3" w:rsidP="00E465F3">
      <w:pPr>
        <w:pStyle w:val="CommentText"/>
      </w:pPr>
      <w:r>
        <w:rPr>
          <w:rStyle w:val="CommentReference"/>
        </w:rPr>
        <w:annotationRef/>
      </w:r>
      <w:r>
        <w:t>Inclusion level like you did for B. adolescentis</w:t>
      </w:r>
    </w:p>
  </w:comment>
  <w:comment w:id="4" w:author="Adeola Idowu" w:date="2025-06-04T12:35:00Z" w:initials="AI">
    <w:p w14:paraId="751BE385" w14:textId="77777777" w:rsidR="00901014" w:rsidRDefault="00901014" w:rsidP="00901014">
      <w:pPr>
        <w:pStyle w:val="CommentText"/>
      </w:pPr>
      <w:r>
        <w:rPr>
          <w:rStyle w:val="CommentReference"/>
        </w:rPr>
        <w:annotationRef/>
      </w:r>
      <w:r>
        <w:t>Age of broiler when they started and when the increase was noted</w:t>
      </w:r>
    </w:p>
  </w:comment>
  <w:comment w:id="5" w:author="Adeola Idowu" w:date="2025-06-04T12:36:00Z" w:initials="AI">
    <w:p w14:paraId="53EFF16C" w14:textId="77777777" w:rsidR="00901014" w:rsidRDefault="00901014" w:rsidP="00901014">
      <w:pPr>
        <w:pStyle w:val="CommentText"/>
      </w:pPr>
      <w:r>
        <w:rPr>
          <w:rStyle w:val="CommentReference"/>
        </w:rPr>
        <w:annotationRef/>
      </w:r>
      <w:r>
        <w:t>dosage</w:t>
      </w:r>
    </w:p>
  </w:comment>
  <w:comment w:id="6" w:author="Adeola Idowu" w:date="2025-06-04T12:42:00Z" w:initials="AI">
    <w:p w14:paraId="3A4BE922" w14:textId="77777777" w:rsidR="00306F88" w:rsidRDefault="00306F88" w:rsidP="00306F88">
      <w:pPr>
        <w:pStyle w:val="CommentText"/>
      </w:pPr>
      <w:r>
        <w:rPr>
          <w:rStyle w:val="CommentReference"/>
        </w:rPr>
        <w:annotationRef/>
      </w:r>
      <w:r>
        <w:t>Per kg feed? Please indicate</w:t>
      </w:r>
    </w:p>
  </w:comment>
  <w:comment w:id="7" w:author="Adeola Idowu" w:date="2025-06-04T12:44:00Z" w:initials="AI">
    <w:p w14:paraId="46E12625" w14:textId="77777777" w:rsidR="00306F88" w:rsidRDefault="00306F88" w:rsidP="00306F88">
      <w:pPr>
        <w:pStyle w:val="CommentText"/>
      </w:pPr>
      <w:r>
        <w:rPr>
          <w:rStyle w:val="CommentReference"/>
        </w:rPr>
        <w:annotationRef/>
      </w:r>
      <w:r>
        <w:t>What does this mean for poultry? Explain how enhancing this parameters are beneficial or not..</w:t>
      </w:r>
    </w:p>
  </w:comment>
  <w:comment w:id="8" w:author="Adeola Idowu" w:date="2025-06-04T12:45:00Z" w:initials="AI">
    <w:p w14:paraId="10765DB1" w14:textId="77777777" w:rsidR="00452639" w:rsidRDefault="00452639" w:rsidP="00452639">
      <w:pPr>
        <w:pStyle w:val="CommentText"/>
      </w:pPr>
      <w:r>
        <w:rPr>
          <w:rStyle w:val="CommentReference"/>
        </w:rPr>
        <w:annotationRef/>
      </w:r>
      <w:r>
        <w:t>reference</w:t>
      </w:r>
    </w:p>
  </w:comment>
  <w:comment w:id="9" w:author="Adeola Idowu" w:date="2025-06-04T12:48:00Z" w:initials="AI">
    <w:p w14:paraId="058C7201" w14:textId="77777777" w:rsidR="00452639" w:rsidRDefault="00452639" w:rsidP="00452639">
      <w:pPr>
        <w:pStyle w:val="CommentText"/>
      </w:pPr>
      <w:r>
        <w:rPr>
          <w:rStyle w:val="CommentReference"/>
        </w:rPr>
        <w:annotationRef/>
      </w:r>
      <w:r>
        <w:t>Feed conversion?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E3D434" w15:done="0"/>
  <w15:commentEx w15:paraId="72BEAAF7" w15:done="0"/>
  <w15:commentEx w15:paraId="3B465239" w15:done="0"/>
  <w15:commentEx w15:paraId="32D78665" w15:done="0"/>
  <w15:commentEx w15:paraId="751BE385" w15:done="0"/>
  <w15:commentEx w15:paraId="53EFF16C" w15:done="0"/>
  <w15:commentEx w15:paraId="3A4BE922" w15:done="0"/>
  <w15:commentEx w15:paraId="46E12625" w15:done="0"/>
  <w15:commentEx w15:paraId="10765DB1" w15:done="0"/>
  <w15:commentEx w15:paraId="058C72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CBFC21" w16cex:dateUtc="2025-06-04T11:11:00Z"/>
  <w16cex:commentExtensible w16cex:durableId="6FD3B912" w16cex:dateUtc="2025-06-04T10:26:00Z"/>
  <w16cex:commentExtensible w16cex:durableId="3CC27BEE" w16cex:dateUtc="2025-06-04T10:20:00Z"/>
  <w16cex:commentExtensible w16cex:durableId="7442D0B8" w16cex:dateUtc="2025-06-04T10:27:00Z"/>
  <w16cex:commentExtensible w16cex:durableId="2EDE180D" w16cex:dateUtc="2025-06-04T10:35:00Z"/>
  <w16cex:commentExtensible w16cex:durableId="07ED35AB" w16cex:dateUtc="2025-06-04T10:36:00Z"/>
  <w16cex:commentExtensible w16cex:durableId="0F0D9F5B" w16cex:dateUtc="2025-06-04T10:42:00Z"/>
  <w16cex:commentExtensible w16cex:durableId="74A4AED8" w16cex:dateUtc="2025-06-04T10:44:00Z"/>
  <w16cex:commentExtensible w16cex:durableId="4F729560" w16cex:dateUtc="2025-06-04T10:45:00Z"/>
  <w16cex:commentExtensible w16cex:durableId="696ED90A" w16cex:dateUtc="2025-06-04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E3D434" w16cid:durableId="3CCBFC21"/>
  <w16cid:commentId w16cid:paraId="72BEAAF7" w16cid:durableId="6FD3B912"/>
  <w16cid:commentId w16cid:paraId="3B465239" w16cid:durableId="3CC27BEE"/>
  <w16cid:commentId w16cid:paraId="32D78665" w16cid:durableId="7442D0B8"/>
  <w16cid:commentId w16cid:paraId="751BE385" w16cid:durableId="2EDE180D"/>
  <w16cid:commentId w16cid:paraId="53EFF16C" w16cid:durableId="07ED35AB"/>
  <w16cid:commentId w16cid:paraId="3A4BE922" w16cid:durableId="0F0D9F5B"/>
  <w16cid:commentId w16cid:paraId="46E12625" w16cid:durableId="74A4AED8"/>
  <w16cid:commentId w16cid:paraId="10765DB1" w16cid:durableId="4F729560"/>
  <w16cid:commentId w16cid:paraId="058C7201" w16cid:durableId="696ED9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3E39" w14:textId="77777777" w:rsidR="00E66FAC" w:rsidRDefault="00E66FAC" w:rsidP="00C37E61">
      <w:r>
        <w:separator/>
      </w:r>
    </w:p>
  </w:endnote>
  <w:endnote w:type="continuationSeparator" w:id="0">
    <w:p w14:paraId="16D69EE3" w14:textId="77777777" w:rsidR="00E66FAC" w:rsidRDefault="00E66FA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485C" w14:textId="77777777" w:rsidR="005E3998" w:rsidRDefault="005E3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591F" w14:textId="3292AFE5" w:rsidR="0076208A" w:rsidRPr="00B97467" w:rsidRDefault="0076208A" w:rsidP="00B97467">
    <w:pPr>
      <w:pStyle w:val="Footer"/>
    </w:pPr>
    <w:r w:rsidRPr="00B974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1134" w14:textId="77777777" w:rsidR="0076208A" w:rsidRDefault="0076208A">
    <w:pPr>
      <w:pStyle w:val="Footer"/>
      <w:rPr>
        <w:rFonts w:ascii="Arial" w:hAnsi="Arial" w:cs="Arial"/>
        <w:sz w:val="16"/>
      </w:rPr>
    </w:pPr>
  </w:p>
  <w:p w14:paraId="0EBCFACB" w14:textId="77777777" w:rsidR="0076208A" w:rsidRDefault="007620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2EDFDD0" w14:textId="77777777" w:rsidR="0076208A" w:rsidRDefault="0076208A">
    <w:pPr>
      <w:pStyle w:val="Footer"/>
      <w:rPr>
        <w:rFonts w:ascii="Arial" w:hAnsi="Arial" w:cs="Arial"/>
        <w:sz w:val="16"/>
      </w:rPr>
    </w:pPr>
  </w:p>
  <w:p w14:paraId="7F2ED3A6" w14:textId="77777777" w:rsidR="0076208A" w:rsidRPr="009E048A" w:rsidRDefault="0076208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32C7" w14:textId="77777777" w:rsidR="0076208A" w:rsidRPr="00C37E61" w:rsidRDefault="0076208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493D" w14:textId="77777777" w:rsidR="00E66FAC" w:rsidRDefault="00E66FAC" w:rsidP="00C37E61">
      <w:r>
        <w:separator/>
      </w:r>
    </w:p>
  </w:footnote>
  <w:footnote w:type="continuationSeparator" w:id="0">
    <w:p w14:paraId="5438628A" w14:textId="77777777" w:rsidR="00E66FAC" w:rsidRDefault="00E66FA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987B" w14:textId="53F24185" w:rsidR="005E3998" w:rsidRDefault="00000000">
    <w:pPr>
      <w:pStyle w:val="Header"/>
    </w:pPr>
    <w:r>
      <w:rPr>
        <w:noProof/>
      </w:rPr>
      <w:pict w14:anchorId="714A8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A8A0" w14:textId="2F8591BC" w:rsidR="005E3998" w:rsidRDefault="00000000">
    <w:pPr>
      <w:pStyle w:val="Header"/>
    </w:pPr>
    <w:r>
      <w:rPr>
        <w:noProof/>
      </w:rPr>
      <w:pict w14:anchorId="00895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5FF6" w14:textId="05755832" w:rsidR="0076208A" w:rsidRPr="00296529" w:rsidRDefault="00000000" w:rsidP="00296529">
    <w:pPr>
      <w:ind w:left="2160"/>
      <w:jc w:val="center"/>
      <w:rPr>
        <w:rFonts w:ascii="Times New Roman" w:eastAsia="Calibri" w:hAnsi="Times New Roman"/>
        <w:i/>
        <w:sz w:val="18"/>
        <w:szCs w:val="22"/>
      </w:rPr>
    </w:pPr>
    <w:r>
      <w:rPr>
        <w:noProof/>
      </w:rPr>
      <w:pict w14:anchorId="789EF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BA2455" w14:textId="77777777" w:rsidR="0076208A" w:rsidRPr="00296529" w:rsidRDefault="0076208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107AB1" w14:textId="77777777" w:rsidR="0076208A" w:rsidRPr="00296529" w:rsidRDefault="0076208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3F996A" w14:textId="77777777" w:rsidR="0076208A" w:rsidRPr="00296529" w:rsidRDefault="0076208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ED4B6D" w14:textId="77777777" w:rsidR="0076208A" w:rsidRDefault="0076208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737F39" w14:textId="77777777" w:rsidR="0076208A" w:rsidRDefault="0076208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5E47364" w14:textId="77777777" w:rsidR="0076208A" w:rsidRDefault="0076208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2793" w14:textId="6B5D3D6D" w:rsidR="005E3998" w:rsidRDefault="00000000">
    <w:pPr>
      <w:pStyle w:val="Header"/>
    </w:pPr>
    <w:r>
      <w:rPr>
        <w:noProof/>
      </w:rPr>
      <w:pict w14:anchorId="4CF4E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3A5C" w14:textId="44CD8D46" w:rsidR="005E3998" w:rsidRDefault="00000000">
    <w:pPr>
      <w:pStyle w:val="Header"/>
    </w:pPr>
    <w:r>
      <w:rPr>
        <w:noProof/>
      </w:rPr>
      <w:pict w14:anchorId="50576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1036" w14:textId="023D89B5" w:rsidR="005E3998" w:rsidRDefault="00000000">
    <w:pPr>
      <w:pStyle w:val="Header"/>
    </w:pPr>
    <w:r>
      <w:rPr>
        <w:noProof/>
      </w:rPr>
      <w:pict w14:anchorId="7105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564473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7241027">
    <w:abstractNumId w:val="15"/>
  </w:num>
  <w:num w:numId="3" w16cid:durableId="1871533172">
    <w:abstractNumId w:val="23"/>
  </w:num>
  <w:num w:numId="4" w16cid:durableId="7520469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98608979">
    <w:abstractNumId w:val="7"/>
  </w:num>
  <w:num w:numId="6" w16cid:durableId="850527113">
    <w:abstractNumId w:val="6"/>
  </w:num>
  <w:num w:numId="7" w16cid:durableId="188105744">
    <w:abstractNumId w:val="1"/>
  </w:num>
  <w:num w:numId="8" w16cid:durableId="1597834378">
    <w:abstractNumId w:val="12"/>
  </w:num>
  <w:num w:numId="9" w16cid:durableId="358312842">
    <w:abstractNumId w:val="25"/>
  </w:num>
  <w:num w:numId="10" w16cid:durableId="1451901985">
    <w:abstractNumId w:val="2"/>
  </w:num>
  <w:num w:numId="11" w16cid:durableId="297808960">
    <w:abstractNumId w:val="18"/>
  </w:num>
  <w:num w:numId="12" w16cid:durableId="659890430">
    <w:abstractNumId w:val="3"/>
  </w:num>
  <w:num w:numId="13" w16cid:durableId="691146595">
    <w:abstractNumId w:val="17"/>
  </w:num>
  <w:num w:numId="14" w16cid:durableId="233661025">
    <w:abstractNumId w:val="8"/>
  </w:num>
  <w:num w:numId="15" w16cid:durableId="699356247">
    <w:abstractNumId w:val="21"/>
  </w:num>
  <w:num w:numId="16" w16cid:durableId="1392843872">
    <w:abstractNumId w:val="5"/>
  </w:num>
  <w:num w:numId="17" w16cid:durableId="1249122827">
    <w:abstractNumId w:val="22"/>
  </w:num>
  <w:num w:numId="18" w16cid:durableId="577256245">
    <w:abstractNumId w:val="14"/>
  </w:num>
  <w:num w:numId="19" w16cid:durableId="1458059740">
    <w:abstractNumId w:val="28"/>
  </w:num>
  <w:num w:numId="20" w16cid:durableId="928778825">
    <w:abstractNumId w:val="11"/>
  </w:num>
  <w:num w:numId="21" w16cid:durableId="2067603014">
    <w:abstractNumId w:val="9"/>
  </w:num>
  <w:num w:numId="22" w16cid:durableId="1046491853">
    <w:abstractNumId w:val="13"/>
  </w:num>
  <w:num w:numId="23" w16cid:durableId="290552881">
    <w:abstractNumId w:val="19"/>
  </w:num>
  <w:num w:numId="24" w16cid:durableId="2107538436">
    <w:abstractNumId w:val="26"/>
  </w:num>
  <w:num w:numId="25" w16cid:durableId="524563968">
    <w:abstractNumId w:val="4"/>
  </w:num>
  <w:num w:numId="26" w16cid:durableId="1258445614">
    <w:abstractNumId w:val="16"/>
  </w:num>
  <w:num w:numId="27" w16cid:durableId="1025639071">
    <w:abstractNumId w:val="20"/>
  </w:num>
  <w:num w:numId="28" w16cid:durableId="538472153">
    <w:abstractNumId w:val="27"/>
  </w:num>
  <w:num w:numId="29" w16cid:durableId="1554996995">
    <w:abstractNumId w:val="24"/>
  </w:num>
  <w:num w:numId="30" w16cid:durableId="205222407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ola Idowu">
    <w15:presenceInfo w15:providerId="AD" w15:userId="S::33118752@mynwu.ac.za::dc1bd2a0-0580-4576-be60-7825a7d67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33758"/>
    <w:rsid w:val="0004579C"/>
    <w:rsid w:val="000811D2"/>
    <w:rsid w:val="000A47FA"/>
    <w:rsid w:val="000A65D3"/>
    <w:rsid w:val="000B1E33"/>
    <w:rsid w:val="000D689F"/>
    <w:rsid w:val="000E7B7B"/>
    <w:rsid w:val="000E7D62"/>
    <w:rsid w:val="00103357"/>
    <w:rsid w:val="00123C9F"/>
    <w:rsid w:val="00126190"/>
    <w:rsid w:val="00130F17"/>
    <w:rsid w:val="001320BF"/>
    <w:rsid w:val="0015602D"/>
    <w:rsid w:val="00157074"/>
    <w:rsid w:val="00163BC4"/>
    <w:rsid w:val="00191062"/>
    <w:rsid w:val="00192B72"/>
    <w:rsid w:val="001A29D8"/>
    <w:rsid w:val="001A5CAA"/>
    <w:rsid w:val="001B0427"/>
    <w:rsid w:val="001D14FB"/>
    <w:rsid w:val="001D3A51"/>
    <w:rsid w:val="001E10D2"/>
    <w:rsid w:val="001E25B4"/>
    <w:rsid w:val="001E44FE"/>
    <w:rsid w:val="00200595"/>
    <w:rsid w:val="00204835"/>
    <w:rsid w:val="00221B45"/>
    <w:rsid w:val="00231920"/>
    <w:rsid w:val="0023195C"/>
    <w:rsid w:val="0024282C"/>
    <w:rsid w:val="002460DC"/>
    <w:rsid w:val="00250985"/>
    <w:rsid w:val="002556F6"/>
    <w:rsid w:val="00260409"/>
    <w:rsid w:val="00261BC8"/>
    <w:rsid w:val="00283105"/>
    <w:rsid w:val="00284C4C"/>
    <w:rsid w:val="00287E68"/>
    <w:rsid w:val="00296529"/>
    <w:rsid w:val="002B27FB"/>
    <w:rsid w:val="002B685A"/>
    <w:rsid w:val="002C57D2"/>
    <w:rsid w:val="002E0D56"/>
    <w:rsid w:val="00306F88"/>
    <w:rsid w:val="00315186"/>
    <w:rsid w:val="0033343E"/>
    <w:rsid w:val="003512C2"/>
    <w:rsid w:val="00371FB6"/>
    <w:rsid w:val="003763C1"/>
    <w:rsid w:val="00376BBE"/>
    <w:rsid w:val="0039224F"/>
    <w:rsid w:val="003A43A4"/>
    <w:rsid w:val="003A7E18"/>
    <w:rsid w:val="003C4C86"/>
    <w:rsid w:val="003C6258"/>
    <w:rsid w:val="003E2904"/>
    <w:rsid w:val="003E2E75"/>
    <w:rsid w:val="00401927"/>
    <w:rsid w:val="0041027F"/>
    <w:rsid w:val="00412475"/>
    <w:rsid w:val="00421D6D"/>
    <w:rsid w:val="00423789"/>
    <w:rsid w:val="00440F43"/>
    <w:rsid w:val="00441B6F"/>
    <w:rsid w:val="00446221"/>
    <w:rsid w:val="00450E62"/>
    <w:rsid w:val="00452639"/>
    <w:rsid w:val="004539DB"/>
    <w:rsid w:val="00471A80"/>
    <w:rsid w:val="0047382A"/>
    <w:rsid w:val="004D305E"/>
    <w:rsid w:val="004D4277"/>
    <w:rsid w:val="00502516"/>
    <w:rsid w:val="00505F06"/>
    <w:rsid w:val="00506828"/>
    <w:rsid w:val="00510A69"/>
    <w:rsid w:val="0053056E"/>
    <w:rsid w:val="00554FDA"/>
    <w:rsid w:val="005C784C"/>
    <w:rsid w:val="005D17F6"/>
    <w:rsid w:val="005E3998"/>
    <w:rsid w:val="005E5539"/>
    <w:rsid w:val="00602BF5"/>
    <w:rsid w:val="006166D1"/>
    <w:rsid w:val="00617FDD"/>
    <w:rsid w:val="006273F0"/>
    <w:rsid w:val="00633614"/>
    <w:rsid w:val="00633F68"/>
    <w:rsid w:val="00636EB2"/>
    <w:rsid w:val="006375B8"/>
    <w:rsid w:val="0066510A"/>
    <w:rsid w:val="00673F9F"/>
    <w:rsid w:val="00686953"/>
    <w:rsid w:val="00687DEA"/>
    <w:rsid w:val="00687E67"/>
    <w:rsid w:val="006967F7"/>
    <w:rsid w:val="006A250C"/>
    <w:rsid w:val="006B21D3"/>
    <w:rsid w:val="006B57D0"/>
    <w:rsid w:val="006C41D8"/>
    <w:rsid w:val="006D30FF"/>
    <w:rsid w:val="006D6940"/>
    <w:rsid w:val="006F11EC"/>
    <w:rsid w:val="0070082C"/>
    <w:rsid w:val="007369E6"/>
    <w:rsid w:val="00746E59"/>
    <w:rsid w:val="00754C9A"/>
    <w:rsid w:val="0075599A"/>
    <w:rsid w:val="00761D52"/>
    <w:rsid w:val="0076208A"/>
    <w:rsid w:val="0077749E"/>
    <w:rsid w:val="00790ADA"/>
    <w:rsid w:val="00796299"/>
    <w:rsid w:val="007D2288"/>
    <w:rsid w:val="007D2F14"/>
    <w:rsid w:val="007E088F"/>
    <w:rsid w:val="007E35E8"/>
    <w:rsid w:val="007F7B32"/>
    <w:rsid w:val="00804BC2"/>
    <w:rsid w:val="0081431A"/>
    <w:rsid w:val="0083216F"/>
    <w:rsid w:val="00860000"/>
    <w:rsid w:val="00863BD3"/>
    <w:rsid w:val="008641ED"/>
    <w:rsid w:val="00866D66"/>
    <w:rsid w:val="008671C6"/>
    <w:rsid w:val="00875803"/>
    <w:rsid w:val="008B459E"/>
    <w:rsid w:val="008D2F9E"/>
    <w:rsid w:val="008E13AE"/>
    <w:rsid w:val="008E1506"/>
    <w:rsid w:val="008E710C"/>
    <w:rsid w:val="008F69D6"/>
    <w:rsid w:val="00901014"/>
    <w:rsid w:val="00902823"/>
    <w:rsid w:val="00915CA6"/>
    <w:rsid w:val="00925A9D"/>
    <w:rsid w:val="00927834"/>
    <w:rsid w:val="009500A6"/>
    <w:rsid w:val="00957C18"/>
    <w:rsid w:val="009659BA"/>
    <w:rsid w:val="00983040"/>
    <w:rsid w:val="009A7EAE"/>
    <w:rsid w:val="009B3FB9"/>
    <w:rsid w:val="009C2465"/>
    <w:rsid w:val="009D35A0"/>
    <w:rsid w:val="009D7EB7"/>
    <w:rsid w:val="009E048A"/>
    <w:rsid w:val="009E08E9"/>
    <w:rsid w:val="009E3DB9"/>
    <w:rsid w:val="009E6E35"/>
    <w:rsid w:val="009F0EDA"/>
    <w:rsid w:val="00A01D04"/>
    <w:rsid w:val="00A03B96"/>
    <w:rsid w:val="00A05B19"/>
    <w:rsid w:val="00A1134E"/>
    <w:rsid w:val="00A24E7E"/>
    <w:rsid w:val="00A258C3"/>
    <w:rsid w:val="00A25F5F"/>
    <w:rsid w:val="00A347C0"/>
    <w:rsid w:val="00A41B73"/>
    <w:rsid w:val="00A51431"/>
    <w:rsid w:val="00A539AD"/>
    <w:rsid w:val="00A5693D"/>
    <w:rsid w:val="00A94063"/>
    <w:rsid w:val="00AA6219"/>
    <w:rsid w:val="00AA74E0"/>
    <w:rsid w:val="00AB703F"/>
    <w:rsid w:val="00AC6BB8"/>
    <w:rsid w:val="00AE008F"/>
    <w:rsid w:val="00B01FCD"/>
    <w:rsid w:val="00B03EF0"/>
    <w:rsid w:val="00B1776C"/>
    <w:rsid w:val="00B52583"/>
    <w:rsid w:val="00B52896"/>
    <w:rsid w:val="00B52BF8"/>
    <w:rsid w:val="00B71FFE"/>
    <w:rsid w:val="00B95236"/>
    <w:rsid w:val="00B96BD9"/>
    <w:rsid w:val="00B97467"/>
    <w:rsid w:val="00BA1B01"/>
    <w:rsid w:val="00BA2641"/>
    <w:rsid w:val="00BB37AA"/>
    <w:rsid w:val="00BC2524"/>
    <w:rsid w:val="00BC53A0"/>
    <w:rsid w:val="00BE019D"/>
    <w:rsid w:val="00BE3B86"/>
    <w:rsid w:val="00BE62AD"/>
    <w:rsid w:val="00BF121F"/>
    <w:rsid w:val="00BF1F80"/>
    <w:rsid w:val="00C166EF"/>
    <w:rsid w:val="00C17EB0"/>
    <w:rsid w:val="00C27F5F"/>
    <w:rsid w:val="00C30A0F"/>
    <w:rsid w:val="00C37E61"/>
    <w:rsid w:val="00C70F1B"/>
    <w:rsid w:val="00C71A47"/>
    <w:rsid w:val="00C7464C"/>
    <w:rsid w:val="00C85588"/>
    <w:rsid w:val="00CB09EF"/>
    <w:rsid w:val="00CB5F5F"/>
    <w:rsid w:val="00CD6755"/>
    <w:rsid w:val="00CD6856"/>
    <w:rsid w:val="00CE0089"/>
    <w:rsid w:val="00CE793C"/>
    <w:rsid w:val="00CF193C"/>
    <w:rsid w:val="00D017A1"/>
    <w:rsid w:val="00D0560D"/>
    <w:rsid w:val="00D173F1"/>
    <w:rsid w:val="00D74CB0"/>
    <w:rsid w:val="00D8295D"/>
    <w:rsid w:val="00DC2A65"/>
    <w:rsid w:val="00DE15F0"/>
    <w:rsid w:val="00DE5663"/>
    <w:rsid w:val="00DE78AA"/>
    <w:rsid w:val="00DF2E26"/>
    <w:rsid w:val="00E053D0"/>
    <w:rsid w:val="00E15994"/>
    <w:rsid w:val="00E3114E"/>
    <w:rsid w:val="00E31A70"/>
    <w:rsid w:val="00E35B02"/>
    <w:rsid w:val="00E36478"/>
    <w:rsid w:val="00E465F3"/>
    <w:rsid w:val="00E66496"/>
    <w:rsid w:val="00E66B35"/>
    <w:rsid w:val="00E66E10"/>
    <w:rsid w:val="00E66FAC"/>
    <w:rsid w:val="00E769F6"/>
    <w:rsid w:val="00E8407C"/>
    <w:rsid w:val="00E84F3C"/>
    <w:rsid w:val="00E86352"/>
    <w:rsid w:val="00EA012C"/>
    <w:rsid w:val="00EC247E"/>
    <w:rsid w:val="00EC441C"/>
    <w:rsid w:val="00EC6A55"/>
    <w:rsid w:val="00ED0288"/>
    <w:rsid w:val="00EE52CB"/>
    <w:rsid w:val="00EF581D"/>
    <w:rsid w:val="00EF7FD8"/>
    <w:rsid w:val="00F06F59"/>
    <w:rsid w:val="00F17988"/>
    <w:rsid w:val="00F20BD6"/>
    <w:rsid w:val="00F35585"/>
    <w:rsid w:val="00F46047"/>
    <w:rsid w:val="00F469F0"/>
    <w:rsid w:val="00F53273"/>
    <w:rsid w:val="00F544DC"/>
    <w:rsid w:val="00F755E4"/>
    <w:rsid w:val="00F77D02"/>
    <w:rsid w:val="00F82270"/>
    <w:rsid w:val="00FA2BD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E233A"/>
  <w15:docId w15:val="{4EE92D2D-32E1-4F1A-B93C-F8BC78D7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10A69"/>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B52BF8"/>
    <w:rPr>
      <w:rFonts w:ascii="Helvetica" w:hAnsi="Helvetica"/>
      <w:b/>
      <w:bCs/>
      <w:lang w:val="en-US" w:eastAsia="en-US"/>
    </w:rPr>
  </w:style>
  <w:style w:type="character" w:customStyle="1" w:styleId="CommentSubjectChar">
    <w:name w:val="Comment Subject Char"/>
    <w:basedOn w:val="CommentTextChar"/>
    <w:link w:val="CommentSubject"/>
    <w:semiHidden/>
    <w:rsid w:val="00B52BF8"/>
    <w:rPr>
      <w:rFonts w:ascii="Helvetica" w:hAnsi="Helvetica"/>
      <w:b/>
      <w:bCs/>
      <w:lang w:val="nb-NO" w:eastAsia="nb-NO"/>
    </w:rPr>
  </w:style>
  <w:style w:type="character" w:styleId="UnresolvedMention">
    <w:name w:val="Unresolved Mention"/>
    <w:basedOn w:val="DefaultParagraphFont"/>
    <w:uiPriority w:val="99"/>
    <w:semiHidden/>
    <w:unhideWhenUsed/>
    <w:rsid w:val="00B97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2367930">
      <w:bodyDiv w:val="1"/>
      <w:marLeft w:val="0"/>
      <w:marRight w:val="0"/>
      <w:marTop w:val="0"/>
      <w:marBottom w:val="0"/>
      <w:divBdr>
        <w:top w:val="none" w:sz="0" w:space="0" w:color="auto"/>
        <w:left w:val="none" w:sz="0" w:space="0" w:color="auto"/>
        <w:bottom w:val="none" w:sz="0" w:space="0" w:color="auto"/>
        <w:right w:val="none" w:sz="0" w:space="0" w:color="auto"/>
      </w:divBdr>
      <w:divsChild>
        <w:div w:id="279193253">
          <w:marLeft w:val="0"/>
          <w:marRight w:val="0"/>
          <w:marTop w:val="0"/>
          <w:marBottom w:val="0"/>
          <w:divBdr>
            <w:top w:val="none" w:sz="0" w:space="0" w:color="auto"/>
            <w:left w:val="none" w:sz="0" w:space="0" w:color="auto"/>
            <w:bottom w:val="none" w:sz="0" w:space="0" w:color="auto"/>
            <w:right w:val="none" w:sz="0" w:space="0" w:color="auto"/>
          </w:divBdr>
        </w:div>
      </w:divsChild>
    </w:div>
    <w:div w:id="377583495">
      <w:bodyDiv w:val="1"/>
      <w:marLeft w:val="0"/>
      <w:marRight w:val="0"/>
      <w:marTop w:val="0"/>
      <w:marBottom w:val="0"/>
      <w:divBdr>
        <w:top w:val="none" w:sz="0" w:space="0" w:color="auto"/>
        <w:left w:val="none" w:sz="0" w:space="0" w:color="auto"/>
        <w:bottom w:val="none" w:sz="0" w:space="0" w:color="auto"/>
        <w:right w:val="none" w:sz="0" w:space="0" w:color="auto"/>
      </w:divBdr>
      <w:divsChild>
        <w:div w:id="1667245149">
          <w:marLeft w:val="0"/>
          <w:marRight w:val="0"/>
          <w:marTop w:val="0"/>
          <w:marBottom w:val="0"/>
          <w:divBdr>
            <w:top w:val="none" w:sz="0" w:space="0" w:color="auto"/>
            <w:left w:val="none" w:sz="0" w:space="0" w:color="auto"/>
            <w:bottom w:val="none" w:sz="0" w:space="0" w:color="auto"/>
            <w:right w:val="none" w:sz="0" w:space="0" w:color="auto"/>
          </w:divBdr>
        </w:div>
      </w:divsChild>
    </w:div>
    <w:div w:id="493565752">
      <w:bodyDiv w:val="1"/>
      <w:marLeft w:val="0"/>
      <w:marRight w:val="0"/>
      <w:marTop w:val="0"/>
      <w:marBottom w:val="0"/>
      <w:divBdr>
        <w:top w:val="none" w:sz="0" w:space="0" w:color="auto"/>
        <w:left w:val="none" w:sz="0" w:space="0" w:color="auto"/>
        <w:bottom w:val="none" w:sz="0" w:space="0" w:color="auto"/>
        <w:right w:val="none" w:sz="0" w:space="0" w:color="auto"/>
      </w:divBdr>
      <w:divsChild>
        <w:div w:id="64493463">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5611818">
      <w:bodyDiv w:val="1"/>
      <w:marLeft w:val="0"/>
      <w:marRight w:val="0"/>
      <w:marTop w:val="0"/>
      <w:marBottom w:val="0"/>
      <w:divBdr>
        <w:top w:val="none" w:sz="0" w:space="0" w:color="auto"/>
        <w:left w:val="none" w:sz="0" w:space="0" w:color="auto"/>
        <w:bottom w:val="none" w:sz="0" w:space="0" w:color="auto"/>
        <w:right w:val="none" w:sz="0" w:space="0" w:color="auto"/>
      </w:divBdr>
      <w:divsChild>
        <w:div w:id="1573268851">
          <w:marLeft w:val="0"/>
          <w:marRight w:val="0"/>
          <w:marTop w:val="0"/>
          <w:marBottom w:val="0"/>
          <w:divBdr>
            <w:top w:val="none" w:sz="0" w:space="0" w:color="auto"/>
            <w:left w:val="none" w:sz="0" w:space="0" w:color="auto"/>
            <w:bottom w:val="none" w:sz="0" w:space="0" w:color="auto"/>
            <w:right w:val="none" w:sz="0" w:space="0" w:color="auto"/>
          </w:divBdr>
        </w:div>
      </w:divsChild>
    </w:div>
    <w:div w:id="901060412">
      <w:bodyDiv w:val="1"/>
      <w:marLeft w:val="0"/>
      <w:marRight w:val="0"/>
      <w:marTop w:val="0"/>
      <w:marBottom w:val="0"/>
      <w:divBdr>
        <w:top w:val="none" w:sz="0" w:space="0" w:color="auto"/>
        <w:left w:val="none" w:sz="0" w:space="0" w:color="auto"/>
        <w:bottom w:val="none" w:sz="0" w:space="0" w:color="auto"/>
        <w:right w:val="none" w:sz="0" w:space="0" w:color="auto"/>
      </w:divBdr>
      <w:divsChild>
        <w:div w:id="1974479376">
          <w:marLeft w:val="0"/>
          <w:marRight w:val="0"/>
          <w:marTop w:val="0"/>
          <w:marBottom w:val="0"/>
          <w:divBdr>
            <w:top w:val="none" w:sz="0" w:space="0" w:color="auto"/>
            <w:left w:val="none" w:sz="0" w:space="0" w:color="auto"/>
            <w:bottom w:val="none" w:sz="0" w:space="0" w:color="auto"/>
            <w:right w:val="none" w:sz="0" w:space="0" w:color="auto"/>
          </w:divBdr>
        </w:div>
      </w:divsChild>
    </w:div>
    <w:div w:id="90912033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4874719">
      <w:bodyDiv w:val="1"/>
      <w:marLeft w:val="0"/>
      <w:marRight w:val="0"/>
      <w:marTop w:val="0"/>
      <w:marBottom w:val="0"/>
      <w:divBdr>
        <w:top w:val="none" w:sz="0" w:space="0" w:color="auto"/>
        <w:left w:val="none" w:sz="0" w:space="0" w:color="auto"/>
        <w:bottom w:val="none" w:sz="0" w:space="0" w:color="auto"/>
        <w:right w:val="none" w:sz="0" w:space="0" w:color="auto"/>
      </w:divBdr>
      <w:divsChild>
        <w:div w:id="263222539">
          <w:marLeft w:val="0"/>
          <w:marRight w:val="0"/>
          <w:marTop w:val="0"/>
          <w:marBottom w:val="0"/>
          <w:divBdr>
            <w:top w:val="none" w:sz="0" w:space="0" w:color="auto"/>
            <w:left w:val="none" w:sz="0" w:space="0" w:color="auto"/>
            <w:bottom w:val="none" w:sz="0" w:space="0" w:color="auto"/>
            <w:right w:val="none" w:sz="0" w:space="0" w:color="auto"/>
          </w:divBdr>
        </w:div>
      </w:divsChild>
    </w:div>
    <w:div w:id="1682590009">
      <w:bodyDiv w:val="1"/>
      <w:marLeft w:val="0"/>
      <w:marRight w:val="0"/>
      <w:marTop w:val="0"/>
      <w:marBottom w:val="0"/>
      <w:divBdr>
        <w:top w:val="none" w:sz="0" w:space="0" w:color="auto"/>
        <w:left w:val="none" w:sz="0" w:space="0" w:color="auto"/>
        <w:bottom w:val="none" w:sz="0" w:space="0" w:color="auto"/>
        <w:right w:val="none" w:sz="0" w:space="0" w:color="auto"/>
      </w:divBdr>
      <w:divsChild>
        <w:div w:id="1035080074">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5237578">
      <w:bodyDiv w:val="1"/>
      <w:marLeft w:val="0"/>
      <w:marRight w:val="0"/>
      <w:marTop w:val="0"/>
      <w:marBottom w:val="0"/>
      <w:divBdr>
        <w:top w:val="none" w:sz="0" w:space="0" w:color="auto"/>
        <w:left w:val="none" w:sz="0" w:space="0" w:color="auto"/>
        <w:bottom w:val="none" w:sz="0" w:space="0" w:color="auto"/>
        <w:right w:val="none" w:sz="0" w:space="0" w:color="auto"/>
      </w:divBdr>
      <w:divsChild>
        <w:div w:id="1903322148">
          <w:marLeft w:val="0"/>
          <w:marRight w:val="0"/>
          <w:marTop w:val="0"/>
          <w:marBottom w:val="0"/>
          <w:divBdr>
            <w:top w:val="none" w:sz="0" w:space="0" w:color="auto"/>
            <w:left w:val="none" w:sz="0" w:space="0" w:color="auto"/>
            <w:bottom w:val="none" w:sz="0" w:space="0" w:color="auto"/>
            <w:right w:val="none" w:sz="0" w:space="0" w:color="auto"/>
          </w:divBdr>
        </w:div>
      </w:divsChild>
    </w:div>
    <w:div w:id="1934780986">
      <w:bodyDiv w:val="1"/>
      <w:marLeft w:val="0"/>
      <w:marRight w:val="0"/>
      <w:marTop w:val="0"/>
      <w:marBottom w:val="0"/>
      <w:divBdr>
        <w:top w:val="none" w:sz="0" w:space="0" w:color="auto"/>
        <w:left w:val="none" w:sz="0" w:space="0" w:color="auto"/>
        <w:bottom w:val="none" w:sz="0" w:space="0" w:color="auto"/>
        <w:right w:val="none" w:sz="0" w:space="0" w:color="auto"/>
      </w:divBdr>
      <w:divsChild>
        <w:div w:id="2038461097">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637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3390/ani110615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382/ps/pev0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C544E-8E56-449E-A1F4-89F84CDEA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TotalTime>
  <Pages>11</Pages>
  <Words>33654</Words>
  <Characters>191833</Characters>
  <Application>Microsoft Office Word</Application>
  <DocSecurity>0</DocSecurity>
  <Lines>1598</Lines>
  <Paragraphs>450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225037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Adeola Idowu</cp:lastModifiedBy>
  <cp:revision>8</cp:revision>
  <cp:lastPrinted>1999-07-06T11:00:00Z</cp:lastPrinted>
  <dcterms:created xsi:type="dcterms:W3CDTF">2025-06-02T18:10:00Z</dcterms:created>
  <dcterms:modified xsi:type="dcterms:W3CDTF">2025-06-04T11:13:00Z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1ff8f853-81b3-361d-8393-55bec2bd1834</vt:lpwstr>
  </property>
  <property fmtid="{D5CDD505-2E9C-101B-9397-08002B2CF9AE}" pid="24" name="Mendeley Citation Style_1">
    <vt:lpwstr>http://www.zotero.org/styles/apa</vt:lpwstr>
  </property>
</Properties>
</file>