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E0F238" w14:textId="77777777" w:rsidR="00BC7376" w:rsidRPr="00BC7376" w:rsidRDefault="00BC7376" w:rsidP="00BC7376">
      <w:pPr>
        <w:ind w:left="284" w:right="237"/>
        <w:jc w:val="right"/>
        <w:rPr>
          <w:rFonts w:ascii="Arial" w:hAnsi="Arial" w:cs="Arial"/>
          <w:b/>
          <w:bCs/>
          <w:i/>
          <w:iCs/>
          <w:sz w:val="36"/>
          <w:szCs w:val="36"/>
          <w:u w:val="single"/>
          <w:lang w:val="en-US"/>
        </w:rPr>
      </w:pPr>
      <w:r w:rsidRPr="00BC7376">
        <w:rPr>
          <w:rFonts w:ascii="Arial" w:hAnsi="Arial" w:cs="Arial"/>
          <w:b/>
          <w:bCs/>
          <w:i/>
          <w:iCs/>
          <w:sz w:val="36"/>
          <w:szCs w:val="36"/>
          <w:u w:val="single"/>
          <w:lang w:val="en-US"/>
        </w:rPr>
        <w:t>Review Article</w:t>
      </w:r>
    </w:p>
    <w:p w14:paraId="254405E9" w14:textId="77777777" w:rsidR="00BC7376" w:rsidRDefault="00BC7376" w:rsidP="00D223C5">
      <w:pPr>
        <w:ind w:left="284" w:right="237"/>
        <w:jc w:val="right"/>
        <w:rPr>
          <w:rFonts w:ascii="Arial" w:hAnsi="Arial" w:cs="Arial"/>
          <w:b/>
          <w:bCs/>
          <w:sz w:val="36"/>
          <w:szCs w:val="36"/>
        </w:rPr>
      </w:pPr>
    </w:p>
    <w:p w14:paraId="3C97119A" w14:textId="4FA26D32" w:rsidR="0043720E" w:rsidRDefault="00714559" w:rsidP="00D223C5">
      <w:pPr>
        <w:ind w:left="284" w:right="237"/>
        <w:jc w:val="right"/>
        <w:rPr>
          <w:rFonts w:ascii="Arial" w:hAnsi="Arial" w:cs="Arial"/>
          <w:b/>
          <w:bCs/>
          <w:sz w:val="36"/>
          <w:szCs w:val="36"/>
        </w:rPr>
      </w:pPr>
      <w:bookmarkStart w:id="0" w:name="_GoBack"/>
      <w:r w:rsidRPr="00177187">
        <w:rPr>
          <w:rFonts w:ascii="Arial" w:hAnsi="Arial" w:cs="Arial"/>
          <w:b/>
          <w:bCs/>
          <w:sz w:val="36"/>
          <w:szCs w:val="36"/>
        </w:rPr>
        <w:t xml:space="preserve">Rapid Pebrine Detection </w:t>
      </w:r>
      <w:bookmarkEnd w:id="0"/>
      <w:r w:rsidRPr="00177187">
        <w:rPr>
          <w:rFonts w:ascii="Arial" w:hAnsi="Arial" w:cs="Arial"/>
          <w:b/>
          <w:bCs/>
          <w:sz w:val="36"/>
          <w:szCs w:val="36"/>
        </w:rPr>
        <w:t xml:space="preserve">in Sericulture: Unveiling the Potential of </w:t>
      </w:r>
      <w:bookmarkStart w:id="1" w:name="_Hlk161432292"/>
      <w:r w:rsidR="00C12174" w:rsidRPr="00177187">
        <w:rPr>
          <w:rFonts w:ascii="Arial" w:hAnsi="Arial" w:cs="Arial"/>
          <w:b/>
          <w:bCs/>
          <w:sz w:val="36"/>
          <w:szCs w:val="36"/>
        </w:rPr>
        <w:t xml:space="preserve">Nucleic acid </w:t>
      </w:r>
      <w:r w:rsidRPr="00177187">
        <w:rPr>
          <w:rFonts w:ascii="Arial" w:hAnsi="Arial" w:cs="Arial"/>
          <w:b/>
          <w:bCs/>
          <w:sz w:val="36"/>
          <w:szCs w:val="36"/>
        </w:rPr>
        <w:t xml:space="preserve">Lateral Flow Assay </w:t>
      </w:r>
      <w:r w:rsidR="00C12174" w:rsidRPr="00177187">
        <w:rPr>
          <w:rFonts w:ascii="Arial" w:hAnsi="Arial" w:cs="Arial"/>
          <w:b/>
          <w:bCs/>
          <w:sz w:val="36"/>
          <w:szCs w:val="36"/>
        </w:rPr>
        <w:t>Strips</w:t>
      </w:r>
    </w:p>
    <w:p w14:paraId="50EF8846" w14:textId="77777777" w:rsidR="00177187" w:rsidRPr="00177187" w:rsidRDefault="00177187" w:rsidP="002C0E55">
      <w:pPr>
        <w:ind w:right="237"/>
        <w:rPr>
          <w:rFonts w:ascii="Arial" w:hAnsi="Arial" w:cs="Arial"/>
          <w:b/>
          <w:bCs/>
          <w:sz w:val="24"/>
          <w:szCs w:val="24"/>
        </w:rPr>
      </w:pPr>
    </w:p>
    <w:p w14:paraId="104BCFFB" w14:textId="77777777" w:rsidR="00667184" w:rsidRDefault="00347FBC" w:rsidP="00D223C5">
      <w:pPr>
        <w:ind w:left="284" w:right="237"/>
        <w:rPr>
          <w:rFonts w:ascii="Arial" w:hAnsi="Arial" w:cs="Arial"/>
          <w:b/>
          <w:bCs/>
        </w:rPr>
      </w:pPr>
      <w:r w:rsidRPr="00347FBC">
        <w:rPr>
          <w:rFonts w:ascii="Arial" w:hAnsi="Arial" w:cs="Arial"/>
          <w:b/>
          <w:bCs/>
        </w:rPr>
        <w:t>ABSTRACT</w:t>
      </w:r>
    </w:p>
    <w:p w14:paraId="47768EE6" w14:textId="6B0C8A85" w:rsidR="00347FBC" w:rsidRDefault="00FB6C8E" w:rsidP="00D223C5">
      <w:pPr>
        <w:ind w:left="284" w:right="237"/>
        <w:jc w:val="both"/>
        <w:rPr>
          <w:rFonts w:ascii="Arial" w:hAnsi="Arial" w:cs="Arial"/>
          <w:b/>
          <w:bCs/>
        </w:rPr>
      </w:pPr>
      <w:r>
        <w:rPr>
          <w:rFonts w:ascii="Arial" w:hAnsi="Arial" w:cs="Arial"/>
          <w:b/>
          <w:bCs/>
          <w:noProof/>
          <w:lang w:val="en-US"/>
        </w:rPr>
        <mc:AlternateContent>
          <mc:Choice Requires="wps">
            <w:drawing>
              <wp:anchor distT="0" distB="0" distL="114300" distR="114300" simplePos="0" relativeHeight="251662336" behindDoc="0" locked="0" layoutInCell="1" allowOverlap="1" wp14:anchorId="00024757" wp14:editId="5EF7FF5D">
                <wp:simplePos x="0" y="0"/>
                <wp:positionH relativeFrom="column">
                  <wp:posOffset>57150</wp:posOffset>
                </wp:positionH>
                <wp:positionV relativeFrom="paragraph">
                  <wp:posOffset>55245</wp:posOffset>
                </wp:positionV>
                <wp:extent cx="5666740" cy="2839085"/>
                <wp:effectExtent l="9525" t="6985" r="10160" b="1143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40" cy="2839085"/>
                        </a:xfrm>
                        <a:prstGeom prst="rect">
                          <a:avLst/>
                        </a:prstGeom>
                        <a:solidFill>
                          <a:srgbClr val="FFFFFF"/>
                        </a:solidFill>
                        <a:ln w="9525">
                          <a:solidFill>
                            <a:srgbClr val="000000"/>
                          </a:solidFill>
                          <a:miter lim="800000"/>
                          <a:headEnd/>
                          <a:tailEnd/>
                        </a:ln>
                      </wps:spPr>
                      <wps:txbx>
                        <w:txbxContent>
                          <w:p w14:paraId="652E2402" w14:textId="77777777" w:rsidR="00347FBC" w:rsidRPr="00347FBC" w:rsidRDefault="00347FBC" w:rsidP="00347FBC">
                            <w:pPr>
                              <w:spacing w:before="100" w:beforeAutospacing="1" w:after="100" w:afterAutospacing="1" w:line="240" w:lineRule="auto"/>
                              <w:jc w:val="both"/>
                              <w:rPr>
                                <w:rFonts w:ascii="Arial" w:eastAsia="Times New Roman" w:hAnsi="Arial" w:cs="Arial"/>
                                <w:sz w:val="20"/>
                                <w:szCs w:val="20"/>
                                <w:lang w:val="en-US"/>
                              </w:rPr>
                            </w:pPr>
                            <w:r w:rsidRPr="00347FBC">
                              <w:rPr>
                                <w:rFonts w:ascii="Arial" w:eastAsia="Times New Roman" w:hAnsi="Arial" w:cs="Arial"/>
                                <w:sz w:val="20"/>
                                <w:szCs w:val="20"/>
                                <w:lang w:val="en-US"/>
                              </w:rPr>
                              <w:t xml:space="preserve">Pebrine, a destructive disease in silkworms caused by the microsporidian </w:t>
                            </w:r>
                            <w:r w:rsidRPr="00347FBC">
                              <w:rPr>
                                <w:rFonts w:ascii="Arial" w:eastAsia="Times New Roman" w:hAnsi="Arial" w:cs="Arial"/>
                                <w:i/>
                                <w:iCs/>
                                <w:sz w:val="20"/>
                                <w:szCs w:val="20"/>
                                <w:lang w:val="en-US"/>
                              </w:rPr>
                              <w:t>Nosema bombycis</w:t>
                            </w:r>
                            <w:r w:rsidRPr="00347FBC">
                              <w:rPr>
                                <w:rFonts w:ascii="Arial" w:eastAsia="Times New Roman" w:hAnsi="Arial" w:cs="Arial"/>
                                <w:sz w:val="20"/>
                                <w:szCs w:val="20"/>
                                <w:lang w:val="en-US"/>
                              </w:rPr>
                              <w:t xml:space="preserve">, continues to pose a significant threat to global sericulture. Traditional detection methods, such as female moth microscopy (FMM), are often time-consuming, labor-intensive, and prone to inaccuracies, particularly in detecting low-level infections. To address these limitations, nucleic acid-based lateral flow assays (NALFAs) have emerged as a promising alternative, offering rapid, accurate, and field-deployable diagnostic capabilities. This review explores the development and application of NALFA strips for pebrine detection, detailing their underlying principles, technical configuration, and diagnostic performance. NALFAs combine PCR amplification with lateral flow immunoassay principles, enabling the sensitive and specific detection of </w:t>
                            </w:r>
                            <w:r w:rsidRPr="00347FBC">
                              <w:rPr>
                                <w:rFonts w:ascii="Arial" w:eastAsia="Times New Roman" w:hAnsi="Arial" w:cs="Arial"/>
                                <w:i/>
                                <w:iCs/>
                                <w:sz w:val="20"/>
                                <w:szCs w:val="20"/>
                                <w:lang w:val="en-US"/>
                              </w:rPr>
                              <w:t>N. bombycis</w:t>
                            </w:r>
                            <w:r w:rsidRPr="00347FBC">
                              <w:rPr>
                                <w:rFonts w:ascii="Arial" w:eastAsia="Times New Roman" w:hAnsi="Arial" w:cs="Arial"/>
                                <w:sz w:val="20"/>
                                <w:szCs w:val="20"/>
                                <w:lang w:val="en-US"/>
                              </w:rPr>
                              <w:t xml:space="preserve"> DNA, with detection limit as low as 10² spores per 50 eggs. These assays offer significant advantages, including high accuracy, portability, speed, and cost-effectiveness. Nonetheless, challenges remain, such as limited multiplexing capacity, reliance on modified DNA, and the absence of integrated signal amplification. Future improvements may involve the incorporation of automated micro fluidic systems to streamline sample preparation, amplification, and detection. Additionally, developing multiplex diagnostics for simultaneous detection of multiple silkworm pathogens could enhance disease management. Overall, NALFAs represent a significant </w:t>
                            </w:r>
                            <w:r w:rsidRPr="00347FBC">
                              <w:rPr>
                                <w:rFonts w:ascii="Arial" w:hAnsi="Arial" w:cs="Arial"/>
                                <w:sz w:val="20"/>
                                <w:szCs w:val="20"/>
                              </w:rPr>
                              <w:t>breakthrough in sericulture disease diagnostics</w:t>
                            </w:r>
                            <w:r w:rsidRPr="00347FBC">
                              <w:rPr>
                                <w:rFonts w:ascii="Arial" w:eastAsia="Times New Roman" w:hAnsi="Arial" w:cs="Arial"/>
                                <w:sz w:val="20"/>
                                <w:szCs w:val="20"/>
                                <w:lang w:val="en-US"/>
                              </w:rPr>
                              <w:t>, offering an efficient tool for early pebrine detection and contributing to a more resilient and sustainable silk industry.</w:t>
                            </w:r>
                          </w:p>
                          <w:p w14:paraId="36284BE0" w14:textId="77777777" w:rsidR="00347FBC" w:rsidRDefault="00347F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24757" id="_x0000_t202" coordsize="21600,21600" o:spt="202" path="m,l,21600r21600,l21600,xe">
                <v:stroke joinstyle="miter"/>
                <v:path gradientshapeok="t" o:connecttype="rect"/>
              </v:shapetype>
              <v:shape id="Text Box 4" o:spid="_x0000_s1026" type="#_x0000_t202" style="position:absolute;left:0;text-align:left;margin-left:4.5pt;margin-top:4.35pt;width:446.2pt;height:22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C3KwIAAFEEAAAOAAAAZHJzL2Uyb0RvYy54bWysVNuO0zAQfUfiHyy/06Sl7bZR09XSpQhp&#10;uUi7fIDjOImF4zG226R8/Y6dbImAJ0QeLI9nfHzmzEx2t32ryFlYJ0HndD5LKRGaQyl1ndNvT8c3&#10;G0qcZ7pkCrTI6UU4ert//WrXmUwsoAFVCksQRLusMzltvDdZkjjeiJa5GRih0VmBbZlH09ZJaVmH&#10;6K1KFmm6TjqwpbHAhXN4ej846T7iV5Xg/ktVOeGJyily83G1cS3Cmux3LKstM43kIw32DyxaJjU+&#10;eoW6Z56Rk5V/QLWSW3BQ+RmHNoGqklzEHDCbefpbNo8NMyLmguI4c5XJ/T9Y/vn81RJZYu0o0azF&#10;Ej2J3pN30JNlUKczLsOgR4NhvsfjEBkydeYB+HdHNBwapmtxZy10jWAlspuHm8nk6oDjAkjRfYIS&#10;n2EnDxGor2wbAFEMguhYpcu1MoEKx8PVer2+WaKLo2+xebtNN6v4Bsterhvr/AcBLQmbnFosfYRn&#10;5wfnAx2WvYRE+qBkeZRKRcPWxUFZcmbYJsf4jehuGqY06XK6XS1WgwJTn5tCpPH7G0QrPfa7km1O&#10;N9cglgXd3usydqNnUg17pKz0KGTQblDR90U/FqaA8oKSWhj6GucQNw3Yn5R02NM5dT9OzApK1EeN&#10;ZdnOl0FDH43l6maBhp16iqmHaY5QOfWUDNuDHwbnZKysG3xpaAQNd1jKSkaRQ80HViNv7Nuo/Thj&#10;YTCmdoz69SfYPwMAAP//AwBQSwMEFAAGAAgAAAAhANtfEoTeAAAABwEAAA8AAABkcnMvZG93bnJl&#10;di54bWxMj8FOwzAQRO9I/IO1SFwQdQppm4Q4FUICwQ3aCq5uvE0i7HWI3TT8PcsJjqsZvXlbridn&#10;xYhD6DwpmM8SEEi1Nx01Cnbbx+sMRIiajLaeUME3BlhX52elLow/0RuOm9gIhlAotII2xr6QMtQt&#10;Oh1mvkfi7OAHpyOfQyPNoE8Md1beJMlSOt0RL7S6x4cW68/N0SnI0ufxI7zcvr7Xy4PN49VqfPoa&#10;lLq8mO7vQESc4l8ZfvVZHSp22vsjmSCsgpw/iYxageA0T+YpiL2CdLHIQFal/O9f/QAAAP//AwBQ&#10;SwECLQAUAAYACAAAACEAtoM4kv4AAADhAQAAEwAAAAAAAAAAAAAAAAAAAAAAW0NvbnRlbnRfVHlw&#10;ZXNdLnhtbFBLAQItABQABgAIAAAAIQA4/SH/1gAAAJQBAAALAAAAAAAAAAAAAAAAAC8BAABfcmVs&#10;cy8ucmVsc1BLAQItABQABgAIAAAAIQBAjYC3KwIAAFEEAAAOAAAAAAAAAAAAAAAAAC4CAABkcnMv&#10;ZTJvRG9jLnhtbFBLAQItABQABgAIAAAAIQDbXxKE3gAAAAcBAAAPAAAAAAAAAAAAAAAAAIUEAABk&#10;cnMvZG93bnJldi54bWxQSwUGAAAAAAQABADzAAAAkAUAAAAA&#10;">
                <v:textbox>
                  <w:txbxContent>
                    <w:p w14:paraId="652E2402" w14:textId="77777777" w:rsidR="00347FBC" w:rsidRPr="00347FBC" w:rsidRDefault="00347FBC" w:rsidP="00347FBC">
                      <w:pPr>
                        <w:spacing w:before="100" w:beforeAutospacing="1" w:after="100" w:afterAutospacing="1" w:line="240" w:lineRule="auto"/>
                        <w:jc w:val="both"/>
                        <w:rPr>
                          <w:rFonts w:ascii="Arial" w:eastAsia="Times New Roman" w:hAnsi="Arial" w:cs="Arial"/>
                          <w:sz w:val="20"/>
                          <w:szCs w:val="20"/>
                          <w:lang w:val="en-US"/>
                        </w:rPr>
                      </w:pPr>
                      <w:r w:rsidRPr="00347FBC">
                        <w:rPr>
                          <w:rFonts w:ascii="Arial" w:eastAsia="Times New Roman" w:hAnsi="Arial" w:cs="Arial"/>
                          <w:sz w:val="20"/>
                          <w:szCs w:val="20"/>
                          <w:lang w:val="en-US"/>
                        </w:rPr>
                        <w:t xml:space="preserve">Pebrine, a destructive disease in silkworms caused by the microsporidian </w:t>
                      </w:r>
                      <w:r w:rsidRPr="00347FBC">
                        <w:rPr>
                          <w:rFonts w:ascii="Arial" w:eastAsia="Times New Roman" w:hAnsi="Arial" w:cs="Arial"/>
                          <w:i/>
                          <w:iCs/>
                          <w:sz w:val="20"/>
                          <w:szCs w:val="20"/>
                          <w:lang w:val="en-US"/>
                        </w:rPr>
                        <w:t>Nosema bombycis</w:t>
                      </w:r>
                      <w:r w:rsidRPr="00347FBC">
                        <w:rPr>
                          <w:rFonts w:ascii="Arial" w:eastAsia="Times New Roman" w:hAnsi="Arial" w:cs="Arial"/>
                          <w:sz w:val="20"/>
                          <w:szCs w:val="20"/>
                          <w:lang w:val="en-US"/>
                        </w:rPr>
                        <w:t xml:space="preserve">, continues to pose a significant threat to global sericulture. Traditional detection methods, such as female moth microscopy (FMM), are often time-consuming, labor-intensive, and prone to inaccuracies, particularly in detecting low-level infections. To address these limitations, nucleic acid-based lateral flow assays (NALFAs) have emerged as a promising alternative, offering rapid, accurate, and field-deployable diagnostic capabilities. This review explores the development and application of NALFA strips for pebrine detection, detailing their underlying principles, technical configuration, and diagnostic performance. NALFAs combine PCR amplification with lateral flow immunoassay principles, enabling the sensitive and specific detection of </w:t>
                      </w:r>
                      <w:r w:rsidRPr="00347FBC">
                        <w:rPr>
                          <w:rFonts w:ascii="Arial" w:eastAsia="Times New Roman" w:hAnsi="Arial" w:cs="Arial"/>
                          <w:i/>
                          <w:iCs/>
                          <w:sz w:val="20"/>
                          <w:szCs w:val="20"/>
                          <w:lang w:val="en-US"/>
                        </w:rPr>
                        <w:t>N. bombycis</w:t>
                      </w:r>
                      <w:r w:rsidRPr="00347FBC">
                        <w:rPr>
                          <w:rFonts w:ascii="Arial" w:eastAsia="Times New Roman" w:hAnsi="Arial" w:cs="Arial"/>
                          <w:sz w:val="20"/>
                          <w:szCs w:val="20"/>
                          <w:lang w:val="en-US"/>
                        </w:rPr>
                        <w:t xml:space="preserve"> DNA, with detection limit as low as 10² spores per 50 eggs. These assays offer significant advantages, including high accuracy, portability, speed, and cost-effectiveness. Nonetheless, challenges remain, such as limited multiplexing capacity, reliance on modified DNA, and the absence of integrated signal amplification. Future improvements may involve the incorporation of automated micro fluidic systems to streamline sample preparation, amplification, and detection. Additionally, developing multiplex diagnostics for simultaneous detection of multiple silkworm pathogens could enhance disease management. Overall, NALFAs represent a significant </w:t>
                      </w:r>
                      <w:r w:rsidRPr="00347FBC">
                        <w:rPr>
                          <w:rFonts w:ascii="Arial" w:hAnsi="Arial" w:cs="Arial"/>
                          <w:sz w:val="20"/>
                          <w:szCs w:val="20"/>
                        </w:rPr>
                        <w:t>breakthrough in sericulture disease diagnostics</w:t>
                      </w:r>
                      <w:r w:rsidRPr="00347FBC">
                        <w:rPr>
                          <w:rFonts w:ascii="Arial" w:eastAsia="Times New Roman" w:hAnsi="Arial" w:cs="Arial"/>
                          <w:sz w:val="20"/>
                          <w:szCs w:val="20"/>
                          <w:lang w:val="en-US"/>
                        </w:rPr>
                        <w:t>, offering an efficient tool for early pebrine detection and contributing to a more resilient and sustainable silk industry.</w:t>
                      </w:r>
                    </w:p>
                    <w:p w14:paraId="36284BE0" w14:textId="77777777" w:rsidR="00347FBC" w:rsidRDefault="00347FBC"/>
                  </w:txbxContent>
                </v:textbox>
              </v:shape>
            </w:pict>
          </mc:Fallback>
        </mc:AlternateContent>
      </w:r>
    </w:p>
    <w:p w14:paraId="2A54E8AB" w14:textId="77777777" w:rsidR="00347FBC" w:rsidRDefault="00347FBC" w:rsidP="00D223C5">
      <w:pPr>
        <w:ind w:left="284" w:right="237"/>
        <w:jc w:val="both"/>
        <w:rPr>
          <w:rFonts w:ascii="Arial" w:hAnsi="Arial" w:cs="Arial"/>
          <w:b/>
          <w:bCs/>
        </w:rPr>
      </w:pPr>
    </w:p>
    <w:p w14:paraId="166EBD2B" w14:textId="77777777" w:rsidR="00347FBC" w:rsidRDefault="00347FBC" w:rsidP="00D223C5">
      <w:pPr>
        <w:ind w:left="284" w:right="237"/>
        <w:jc w:val="both"/>
        <w:rPr>
          <w:rFonts w:ascii="Arial" w:hAnsi="Arial" w:cs="Arial"/>
          <w:b/>
          <w:bCs/>
        </w:rPr>
      </w:pPr>
    </w:p>
    <w:p w14:paraId="315BD451" w14:textId="77777777" w:rsidR="00347FBC" w:rsidRDefault="00347FBC" w:rsidP="00D223C5">
      <w:pPr>
        <w:ind w:left="284" w:right="237"/>
        <w:jc w:val="both"/>
        <w:rPr>
          <w:rFonts w:ascii="Arial" w:hAnsi="Arial" w:cs="Arial"/>
          <w:b/>
          <w:bCs/>
        </w:rPr>
      </w:pPr>
    </w:p>
    <w:p w14:paraId="2AECFC05" w14:textId="77777777" w:rsidR="00347FBC" w:rsidRDefault="00347FBC" w:rsidP="00D223C5">
      <w:pPr>
        <w:ind w:left="284" w:right="237"/>
        <w:jc w:val="both"/>
        <w:rPr>
          <w:rFonts w:ascii="Arial" w:hAnsi="Arial" w:cs="Arial"/>
          <w:b/>
          <w:bCs/>
        </w:rPr>
      </w:pPr>
    </w:p>
    <w:p w14:paraId="608D286D" w14:textId="77777777" w:rsidR="00347FBC" w:rsidRDefault="00347FBC" w:rsidP="00D223C5">
      <w:pPr>
        <w:ind w:left="284" w:right="237"/>
        <w:jc w:val="both"/>
        <w:rPr>
          <w:rFonts w:ascii="Arial" w:hAnsi="Arial" w:cs="Arial"/>
          <w:b/>
          <w:bCs/>
        </w:rPr>
      </w:pPr>
    </w:p>
    <w:p w14:paraId="2254CAEC" w14:textId="77777777" w:rsidR="00347FBC" w:rsidRDefault="00347FBC" w:rsidP="00D223C5">
      <w:pPr>
        <w:ind w:left="284" w:right="237"/>
        <w:jc w:val="both"/>
        <w:rPr>
          <w:rFonts w:ascii="Arial" w:hAnsi="Arial" w:cs="Arial"/>
          <w:b/>
          <w:bCs/>
        </w:rPr>
      </w:pPr>
    </w:p>
    <w:p w14:paraId="29F973BC" w14:textId="77777777" w:rsidR="00347FBC" w:rsidRDefault="00347FBC" w:rsidP="00D223C5">
      <w:pPr>
        <w:ind w:left="284" w:right="237"/>
        <w:jc w:val="both"/>
        <w:rPr>
          <w:rFonts w:ascii="Arial" w:hAnsi="Arial" w:cs="Arial"/>
          <w:b/>
          <w:bCs/>
        </w:rPr>
      </w:pPr>
    </w:p>
    <w:p w14:paraId="61D9CF62" w14:textId="77777777" w:rsidR="00347FBC" w:rsidRDefault="00347FBC" w:rsidP="00D223C5">
      <w:pPr>
        <w:ind w:left="284" w:right="237"/>
        <w:jc w:val="both"/>
        <w:rPr>
          <w:rFonts w:ascii="Arial" w:hAnsi="Arial" w:cs="Arial"/>
          <w:b/>
          <w:bCs/>
        </w:rPr>
      </w:pPr>
    </w:p>
    <w:p w14:paraId="7BF5C581" w14:textId="77777777" w:rsidR="00347FBC" w:rsidRDefault="00347FBC" w:rsidP="00D223C5">
      <w:pPr>
        <w:ind w:left="284" w:right="237"/>
        <w:jc w:val="both"/>
        <w:rPr>
          <w:rFonts w:ascii="Arial" w:hAnsi="Arial" w:cs="Arial"/>
          <w:b/>
          <w:bCs/>
        </w:rPr>
      </w:pPr>
    </w:p>
    <w:p w14:paraId="1EA6DD14" w14:textId="77777777" w:rsidR="00347FBC" w:rsidRDefault="00347FBC" w:rsidP="00D223C5">
      <w:pPr>
        <w:pStyle w:val="Body"/>
        <w:spacing w:after="0"/>
        <w:ind w:left="284" w:right="237"/>
        <w:rPr>
          <w:rFonts w:ascii="Arial" w:hAnsi="Arial" w:cs="Arial"/>
          <w:i/>
        </w:rPr>
      </w:pPr>
      <w:r>
        <w:rPr>
          <w:rFonts w:ascii="Arial" w:hAnsi="Arial" w:cs="Arial"/>
          <w:i/>
        </w:rPr>
        <w:t xml:space="preserve">Keywords: </w:t>
      </w:r>
      <w:r w:rsidRPr="00347FBC">
        <w:rPr>
          <w:rStyle w:val="Strong"/>
          <w:rFonts w:ascii="Arial" w:hAnsi="Arial" w:cs="Arial"/>
          <w:b w:val="0"/>
          <w:i/>
        </w:rPr>
        <w:t>Pebrine, Nosema bombycis</w:t>
      </w:r>
      <w:r w:rsidRPr="00347FBC">
        <w:rPr>
          <w:rFonts w:ascii="Arial" w:hAnsi="Arial" w:cs="Arial"/>
          <w:b/>
          <w:i/>
        </w:rPr>
        <w:t xml:space="preserve">, </w:t>
      </w:r>
      <w:r w:rsidRPr="00347FBC">
        <w:rPr>
          <w:rStyle w:val="Strong"/>
          <w:rFonts w:ascii="Arial" w:hAnsi="Arial" w:cs="Arial"/>
          <w:b w:val="0"/>
          <w:i/>
        </w:rPr>
        <w:t>Nucleic acid lateral flow assay (NALFA)</w:t>
      </w:r>
      <w:r w:rsidRPr="00347FBC">
        <w:rPr>
          <w:rFonts w:ascii="Arial" w:hAnsi="Arial" w:cs="Arial"/>
          <w:b/>
          <w:i/>
        </w:rPr>
        <w:t xml:space="preserve">, </w:t>
      </w:r>
      <w:r>
        <w:rPr>
          <w:rFonts w:ascii="Arial" w:hAnsi="Arial" w:cs="Arial"/>
          <w:i/>
        </w:rPr>
        <w:t>molecular diagnostics, r</w:t>
      </w:r>
      <w:r w:rsidRPr="00347FBC">
        <w:rPr>
          <w:rFonts w:ascii="Arial" w:hAnsi="Arial" w:cs="Arial"/>
          <w:i/>
        </w:rPr>
        <w:t>apid de</w:t>
      </w:r>
      <w:r>
        <w:rPr>
          <w:rFonts w:ascii="Arial" w:hAnsi="Arial" w:cs="Arial"/>
          <w:i/>
        </w:rPr>
        <w:t>tection, disease surveillance, m</w:t>
      </w:r>
      <w:r w:rsidRPr="00347FBC">
        <w:rPr>
          <w:rFonts w:ascii="Arial" w:hAnsi="Arial" w:cs="Arial"/>
          <w:i/>
        </w:rPr>
        <w:t>ultiplex detection</w:t>
      </w:r>
    </w:p>
    <w:p w14:paraId="027BFB72" w14:textId="77777777" w:rsidR="00347FBC" w:rsidRDefault="00347FBC" w:rsidP="00D223C5">
      <w:pPr>
        <w:ind w:left="284" w:right="237"/>
        <w:jc w:val="both"/>
        <w:rPr>
          <w:rFonts w:ascii="Arial" w:hAnsi="Arial" w:cs="Arial"/>
          <w:b/>
          <w:bCs/>
        </w:rPr>
      </w:pPr>
    </w:p>
    <w:bookmarkEnd w:id="1"/>
    <w:p w14:paraId="6969FA36" w14:textId="77777777" w:rsidR="00714559" w:rsidRPr="00347FBC" w:rsidRDefault="00347FBC" w:rsidP="00D223C5">
      <w:pPr>
        <w:pStyle w:val="ListParagraph"/>
        <w:numPr>
          <w:ilvl w:val="0"/>
          <w:numId w:val="5"/>
        </w:numPr>
        <w:ind w:left="284" w:right="237" w:firstLine="0"/>
        <w:rPr>
          <w:rFonts w:ascii="Arial" w:hAnsi="Arial" w:cs="Arial"/>
          <w:b/>
          <w:bCs/>
          <w:sz w:val="24"/>
          <w:szCs w:val="24"/>
        </w:rPr>
      </w:pPr>
      <w:r w:rsidRPr="00347FBC">
        <w:rPr>
          <w:rFonts w:ascii="Arial" w:hAnsi="Arial" w:cs="Arial"/>
          <w:b/>
          <w:bCs/>
          <w:sz w:val="24"/>
          <w:szCs w:val="24"/>
        </w:rPr>
        <w:t>I</w:t>
      </w:r>
      <w:r w:rsidRPr="00D65F12">
        <w:rPr>
          <w:rFonts w:ascii="Arial" w:hAnsi="Arial" w:cs="Arial"/>
          <w:b/>
          <w:bCs/>
        </w:rPr>
        <w:t>NTRODUCTION</w:t>
      </w:r>
    </w:p>
    <w:p w14:paraId="21B0D37F" w14:textId="77777777" w:rsidR="002D13F6" w:rsidRPr="00EB6007" w:rsidRDefault="00C12174" w:rsidP="00D223C5">
      <w:pPr>
        <w:spacing w:line="240" w:lineRule="auto"/>
        <w:ind w:left="284" w:right="237"/>
        <w:jc w:val="both"/>
        <w:rPr>
          <w:rFonts w:ascii="Arial" w:hAnsi="Arial" w:cs="Arial"/>
          <w:sz w:val="20"/>
          <w:szCs w:val="20"/>
        </w:rPr>
      </w:pPr>
      <w:r w:rsidRPr="00EB6007">
        <w:rPr>
          <w:rFonts w:ascii="Arial" w:hAnsi="Arial" w:cs="Arial"/>
          <w:sz w:val="20"/>
          <w:szCs w:val="20"/>
        </w:rPr>
        <w:t>Silkworms are specialized organisms that go through several developmental stages before becoming adult moths</w:t>
      </w:r>
      <w:r w:rsidR="00347FBC" w:rsidRPr="00EB6007">
        <w:rPr>
          <w:rFonts w:ascii="Arial" w:hAnsi="Arial" w:cs="Arial"/>
          <w:sz w:val="20"/>
          <w:szCs w:val="20"/>
        </w:rPr>
        <w:t xml:space="preserve"> </w:t>
      </w:r>
      <w:r w:rsidR="002D13F6" w:rsidRPr="00EB6007">
        <w:rPr>
          <w:rFonts w:ascii="Arial" w:hAnsi="Arial" w:cs="Arial"/>
          <w:sz w:val="20"/>
          <w:szCs w:val="20"/>
        </w:rPr>
        <w:t xml:space="preserve">(Esvaran </w:t>
      </w:r>
      <w:r w:rsidR="002D13F6" w:rsidRPr="00EB6007">
        <w:rPr>
          <w:rFonts w:ascii="Arial" w:hAnsi="Arial" w:cs="Arial"/>
          <w:i/>
          <w:iCs/>
          <w:sz w:val="20"/>
          <w:szCs w:val="20"/>
        </w:rPr>
        <w:t>et al.,</w:t>
      </w:r>
      <w:r w:rsidR="002D13F6" w:rsidRPr="00EB6007">
        <w:rPr>
          <w:rFonts w:ascii="Arial" w:hAnsi="Arial" w:cs="Arial"/>
          <w:sz w:val="20"/>
          <w:szCs w:val="20"/>
        </w:rPr>
        <w:t xml:space="preserve"> 2020)</w:t>
      </w:r>
      <w:r w:rsidRPr="00EB6007">
        <w:rPr>
          <w:rFonts w:ascii="Arial" w:hAnsi="Arial" w:cs="Arial"/>
          <w:sz w:val="20"/>
          <w:szCs w:val="20"/>
        </w:rPr>
        <w:t xml:space="preserve">. They, like all organisms, are susceptible to diseases and pests, both of which pose significant threats to sericulture. </w:t>
      </w:r>
      <w:r w:rsidRPr="00EB6007">
        <w:rPr>
          <w:rFonts w:ascii="Arial" w:hAnsi="Arial" w:cs="Arial"/>
          <w:i/>
          <w:iCs/>
          <w:sz w:val="20"/>
          <w:szCs w:val="20"/>
        </w:rPr>
        <w:t>Nosema</w:t>
      </w:r>
      <w:r w:rsidRPr="00EB6007">
        <w:rPr>
          <w:rFonts w:ascii="Arial" w:hAnsi="Arial" w:cs="Arial"/>
          <w:sz w:val="20"/>
          <w:szCs w:val="20"/>
        </w:rPr>
        <w:t xml:space="preserve">, a type of </w:t>
      </w:r>
      <w:r w:rsidR="002D13F6" w:rsidRPr="00EB6007">
        <w:rPr>
          <w:rFonts w:ascii="Arial" w:hAnsi="Arial" w:cs="Arial"/>
          <w:sz w:val="20"/>
          <w:szCs w:val="20"/>
        </w:rPr>
        <w:t>m</w:t>
      </w:r>
      <w:r w:rsidRPr="00EB6007">
        <w:rPr>
          <w:rFonts w:ascii="Arial" w:hAnsi="Arial" w:cs="Arial"/>
          <w:sz w:val="20"/>
          <w:szCs w:val="20"/>
        </w:rPr>
        <w:t>icrosporidia, is a major pathogen responsible for "pebrine" disease (also called as pepper disease) in silkworms, resulting in significant crop losses</w:t>
      </w:r>
      <w:r w:rsidR="00347FBC" w:rsidRPr="00EB6007">
        <w:rPr>
          <w:rFonts w:ascii="Arial" w:hAnsi="Arial" w:cs="Arial"/>
          <w:sz w:val="20"/>
          <w:szCs w:val="20"/>
        </w:rPr>
        <w:t xml:space="preserve"> </w:t>
      </w:r>
      <w:r w:rsidR="002D13F6" w:rsidRPr="00EB6007">
        <w:rPr>
          <w:rFonts w:ascii="Arial" w:hAnsi="Arial" w:cs="Arial"/>
          <w:sz w:val="20"/>
          <w:szCs w:val="20"/>
        </w:rPr>
        <w:t xml:space="preserve">(Esvaran </w:t>
      </w:r>
      <w:r w:rsidR="002D13F6" w:rsidRPr="00EB6007">
        <w:rPr>
          <w:rFonts w:ascii="Arial" w:hAnsi="Arial" w:cs="Arial"/>
          <w:i/>
          <w:iCs/>
          <w:sz w:val="20"/>
          <w:szCs w:val="20"/>
        </w:rPr>
        <w:t>et al.,</w:t>
      </w:r>
      <w:r w:rsidR="002D13F6" w:rsidRPr="00EB6007">
        <w:rPr>
          <w:rFonts w:ascii="Arial" w:hAnsi="Arial" w:cs="Arial"/>
          <w:sz w:val="20"/>
          <w:szCs w:val="20"/>
        </w:rPr>
        <w:t xml:space="preserve"> 2020).</w:t>
      </w:r>
      <w:r w:rsidRPr="00EB6007">
        <w:rPr>
          <w:rFonts w:ascii="Arial" w:hAnsi="Arial" w:cs="Arial"/>
          <w:sz w:val="20"/>
          <w:szCs w:val="20"/>
        </w:rPr>
        <w:t xml:space="preserve">This disease spreads through spores both horizontally and vertically, making it difficult to eradicate from the sericulture industry. </w:t>
      </w:r>
      <w:r w:rsidRPr="00EB6007">
        <w:rPr>
          <w:rFonts w:ascii="Arial" w:hAnsi="Arial" w:cs="Arial"/>
          <w:i/>
          <w:iCs/>
          <w:sz w:val="20"/>
          <w:szCs w:val="20"/>
        </w:rPr>
        <w:t>Nosema bombycis</w:t>
      </w:r>
      <w:r w:rsidRPr="00EB6007">
        <w:rPr>
          <w:rFonts w:ascii="Arial" w:hAnsi="Arial" w:cs="Arial"/>
          <w:sz w:val="20"/>
          <w:szCs w:val="20"/>
        </w:rPr>
        <w:t xml:space="preserve"> was the first known microsporidian pathogen in silkworms, capable of infecting offspring transovarially. </w:t>
      </w:r>
    </w:p>
    <w:p w14:paraId="17AE6C81" w14:textId="77777777" w:rsidR="00EB6007" w:rsidRDefault="00C12174" w:rsidP="00D223C5">
      <w:pPr>
        <w:spacing w:line="240" w:lineRule="auto"/>
        <w:ind w:left="284" w:right="237"/>
        <w:jc w:val="both"/>
        <w:rPr>
          <w:rFonts w:ascii="Arial" w:hAnsi="Arial" w:cs="Arial"/>
          <w:sz w:val="20"/>
          <w:szCs w:val="20"/>
        </w:rPr>
      </w:pPr>
      <w:r w:rsidRPr="00EB6007">
        <w:rPr>
          <w:rFonts w:ascii="Arial" w:hAnsi="Arial" w:cs="Arial"/>
          <w:sz w:val="20"/>
          <w:szCs w:val="20"/>
        </w:rPr>
        <w:t xml:space="preserve">In 1870, Louis Pasteur conducted research on the disease's origins and transmission, and developed the "mother moth examination" as a preventive measure. </w:t>
      </w:r>
      <w:r w:rsidR="00044EDD" w:rsidRPr="00EB6007">
        <w:rPr>
          <w:rFonts w:ascii="Arial" w:hAnsi="Arial" w:cs="Arial"/>
          <w:sz w:val="20"/>
          <w:szCs w:val="20"/>
        </w:rPr>
        <w:t>However,</w:t>
      </w:r>
      <w:r w:rsidR="0062128D" w:rsidRPr="00EB6007">
        <w:rPr>
          <w:rFonts w:ascii="Arial" w:hAnsi="Arial" w:cs="Arial"/>
          <w:sz w:val="20"/>
          <w:szCs w:val="20"/>
        </w:rPr>
        <w:t xml:space="preserve"> this traditional </w:t>
      </w:r>
      <w:r w:rsidR="00044EDD" w:rsidRPr="00EB6007">
        <w:rPr>
          <w:rFonts w:ascii="Arial" w:hAnsi="Arial" w:cs="Arial"/>
          <w:sz w:val="20"/>
          <w:szCs w:val="20"/>
        </w:rPr>
        <w:t xml:space="preserve">method </w:t>
      </w:r>
      <w:r w:rsidR="0062128D" w:rsidRPr="00EB6007">
        <w:rPr>
          <w:rFonts w:ascii="Arial" w:hAnsi="Arial" w:cs="Arial"/>
          <w:sz w:val="20"/>
          <w:szCs w:val="20"/>
        </w:rPr>
        <w:t xml:space="preserve">for detecting </w:t>
      </w:r>
      <w:r w:rsidR="0062128D" w:rsidRPr="00EB6007">
        <w:rPr>
          <w:rFonts w:ascii="Arial" w:hAnsi="Arial" w:cs="Arial"/>
          <w:i/>
          <w:iCs/>
          <w:sz w:val="20"/>
          <w:szCs w:val="20"/>
        </w:rPr>
        <w:t>N. bombycis</w:t>
      </w:r>
      <w:r w:rsidR="0062128D" w:rsidRPr="00EB6007">
        <w:rPr>
          <w:rFonts w:ascii="Arial" w:hAnsi="Arial" w:cs="Arial"/>
          <w:sz w:val="20"/>
          <w:szCs w:val="20"/>
        </w:rPr>
        <w:t xml:space="preserve"> in silkworm eggs, known as female moth microscopy (FMM)</w:t>
      </w:r>
      <w:r w:rsidR="00044EDD" w:rsidRPr="00EB6007">
        <w:rPr>
          <w:rFonts w:ascii="Arial" w:hAnsi="Arial" w:cs="Arial"/>
          <w:sz w:val="20"/>
          <w:szCs w:val="20"/>
        </w:rPr>
        <w:t xml:space="preserve"> is slo</w:t>
      </w:r>
      <w:r w:rsidR="0062128D" w:rsidRPr="00EB6007">
        <w:rPr>
          <w:rFonts w:ascii="Arial" w:hAnsi="Arial" w:cs="Arial"/>
          <w:sz w:val="20"/>
          <w:szCs w:val="20"/>
        </w:rPr>
        <w:t xml:space="preserve">w and </w:t>
      </w:r>
      <w:r w:rsidR="00044EDD" w:rsidRPr="00EB6007">
        <w:rPr>
          <w:rFonts w:ascii="Arial" w:hAnsi="Arial" w:cs="Arial"/>
          <w:sz w:val="20"/>
          <w:szCs w:val="20"/>
        </w:rPr>
        <w:t>prone to error</w:t>
      </w:r>
      <w:r w:rsidR="0083658E" w:rsidRPr="00EB6007">
        <w:rPr>
          <w:rFonts w:ascii="Arial" w:hAnsi="Arial" w:cs="Arial"/>
          <w:sz w:val="20"/>
          <w:szCs w:val="20"/>
        </w:rPr>
        <w:t xml:space="preserve"> (Sokolova</w:t>
      </w:r>
      <w:r w:rsidR="0083658E" w:rsidRPr="00EB6007">
        <w:rPr>
          <w:rFonts w:ascii="Arial" w:hAnsi="Arial" w:cs="Arial"/>
          <w:i/>
          <w:iCs/>
          <w:sz w:val="20"/>
          <w:szCs w:val="20"/>
        </w:rPr>
        <w:t>et al.</w:t>
      </w:r>
      <w:r w:rsidR="0083658E" w:rsidRPr="00EB6007">
        <w:rPr>
          <w:rFonts w:ascii="Arial" w:hAnsi="Arial" w:cs="Arial"/>
          <w:sz w:val="20"/>
          <w:szCs w:val="20"/>
        </w:rPr>
        <w:t>, 2004)</w:t>
      </w:r>
      <w:r w:rsidR="0062128D" w:rsidRPr="00EB6007">
        <w:rPr>
          <w:rFonts w:ascii="Arial" w:hAnsi="Arial" w:cs="Arial"/>
          <w:sz w:val="20"/>
          <w:szCs w:val="20"/>
        </w:rPr>
        <w:t xml:space="preserve">. </w:t>
      </w:r>
      <w:r w:rsidR="0083658E" w:rsidRPr="00EB6007">
        <w:rPr>
          <w:rFonts w:ascii="Arial" w:eastAsia="Times New Roman" w:hAnsi="Arial" w:cs="Arial"/>
          <w:sz w:val="20"/>
          <w:szCs w:val="20"/>
          <w:lang w:eastAsia="en-IN"/>
        </w:rPr>
        <w:t xml:space="preserve">Furthermore, Han and Watanabe's (1988) research shows that not all microsporidia that affect silkworms are transmitted vertically through eggs, as a result, relying solely on female moth infection status to determine egg infection may </w:t>
      </w:r>
      <w:r w:rsidR="0083658E" w:rsidRPr="00EB6007">
        <w:rPr>
          <w:rFonts w:ascii="Arial" w:eastAsia="Times New Roman" w:hAnsi="Arial" w:cs="Arial"/>
          <w:sz w:val="20"/>
          <w:szCs w:val="20"/>
          <w:lang w:eastAsia="en-IN"/>
        </w:rPr>
        <w:lastRenderedPageBreak/>
        <w:t>not always be accurate (Han and Watanabe, 1988).</w:t>
      </w:r>
      <w:r w:rsidRPr="00EB6007">
        <w:rPr>
          <w:rFonts w:ascii="Arial" w:hAnsi="Arial" w:cs="Arial"/>
          <w:sz w:val="20"/>
          <w:szCs w:val="20"/>
        </w:rPr>
        <w:t>To address these challenges, rapid, reliable detection methods with high sensitivity and specificity are required. Recent developments include polymerase chain reaction (PCR), multiplex PCR, nest PCR, quantitative PCR, loop-mediated isothermal amplification (LAMP), and Nucleic Acid Lateral Flow Assay Strips</w:t>
      </w:r>
      <w:r w:rsidR="0083658E" w:rsidRPr="00EB6007">
        <w:rPr>
          <w:rFonts w:ascii="Arial" w:hAnsi="Arial" w:cs="Arial"/>
          <w:sz w:val="20"/>
          <w:szCs w:val="20"/>
        </w:rPr>
        <w:t xml:space="preserve"> (</w:t>
      </w:r>
      <w:r w:rsidR="00215CCB" w:rsidRPr="00EB6007">
        <w:rPr>
          <w:rFonts w:ascii="Arial" w:hAnsi="Arial" w:cs="Arial"/>
          <w:sz w:val="20"/>
          <w:szCs w:val="20"/>
        </w:rPr>
        <w:t xml:space="preserve">Fu </w:t>
      </w:r>
      <w:r w:rsidR="00215CCB" w:rsidRPr="00EB6007">
        <w:rPr>
          <w:rFonts w:ascii="Arial" w:hAnsi="Arial" w:cs="Arial"/>
          <w:i/>
          <w:iCs/>
          <w:sz w:val="20"/>
          <w:szCs w:val="20"/>
        </w:rPr>
        <w:t>et al</w:t>
      </w:r>
      <w:r w:rsidR="00215CCB" w:rsidRPr="00EB6007">
        <w:rPr>
          <w:rFonts w:ascii="Arial" w:hAnsi="Arial" w:cs="Arial"/>
          <w:sz w:val="20"/>
          <w:szCs w:val="20"/>
        </w:rPr>
        <w:t>., 2016</w:t>
      </w:r>
      <w:r w:rsidR="00506802" w:rsidRPr="00EB6007">
        <w:rPr>
          <w:rFonts w:ascii="Arial" w:hAnsi="Arial" w:cs="Arial"/>
          <w:sz w:val="20"/>
          <w:szCs w:val="20"/>
        </w:rPr>
        <w:t>;</w:t>
      </w:r>
      <w:r w:rsidR="00215CCB" w:rsidRPr="00EB6007">
        <w:rPr>
          <w:rFonts w:ascii="Arial" w:hAnsi="Arial" w:cs="Arial"/>
          <w:sz w:val="20"/>
          <w:szCs w:val="20"/>
        </w:rPr>
        <w:t>Hamiduzzaman</w:t>
      </w:r>
      <w:r w:rsidR="00215CCB" w:rsidRPr="00EB6007">
        <w:rPr>
          <w:rFonts w:ascii="Arial" w:hAnsi="Arial" w:cs="Arial"/>
          <w:i/>
          <w:iCs/>
          <w:sz w:val="20"/>
          <w:szCs w:val="20"/>
        </w:rPr>
        <w:t>et al</w:t>
      </w:r>
      <w:r w:rsidR="00215CCB" w:rsidRPr="00EB6007">
        <w:rPr>
          <w:rFonts w:ascii="Arial" w:hAnsi="Arial" w:cs="Arial"/>
          <w:sz w:val="20"/>
          <w:szCs w:val="20"/>
        </w:rPr>
        <w:t>., 2010</w:t>
      </w:r>
      <w:r w:rsidR="00506802" w:rsidRPr="00EB6007">
        <w:rPr>
          <w:rFonts w:ascii="Arial" w:hAnsi="Arial" w:cs="Arial"/>
          <w:sz w:val="20"/>
          <w:szCs w:val="20"/>
        </w:rPr>
        <w:t>;</w:t>
      </w:r>
      <w:r w:rsidR="00215CCB" w:rsidRPr="00EB6007">
        <w:rPr>
          <w:rFonts w:ascii="Arial" w:hAnsi="Arial" w:cs="Arial"/>
          <w:sz w:val="20"/>
          <w:szCs w:val="20"/>
        </w:rPr>
        <w:t xml:space="preserve"> Liu </w:t>
      </w:r>
      <w:r w:rsidR="00215CCB" w:rsidRPr="00EB6007">
        <w:rPr>
          <w:rFonts w:ascii="Arial" w:hAnsi="Arial" w:cs="Arial"/>
          <w:i/>
          <w:iCs/>
          <w:sz w:val="20"/>
          <w:szCs w:val="20"/>
        </w:rPr>
        <w:t>et al</w:t>
      </w:r>
      <w:r w:rsidR="00215CCB" w:rsidRPr="00EB6007">
        <w:rPr>
          <w:rFonts w:ascii="Arial" w:hAnsi="Arial" w:cs="Arial"/>
          <w:sz w:val="20"/>
          <w:szCs w:val="20"/>
        </w:rPr>
        <w:t>., 2004, 2015</w:t>
      </w:r>
      <w:r w:rsidR="00506802" w:rsidRPr="00EB6007">
        <w:rPr>
          <w:rFonts w:ascii="Arial" w:hAnsi="Arial" w:cs="Arial"/>
          <w:sz w:val="20"/>
          <w:szCs w:val="20"/>
        </w:rPr>
        <w:t>;</w:t>
      </w:r>
      <w:r w:rsidR="00215CCB" w:rsidRPr="00EB6007">
        <w:rPr>
          <w:rFonts w:ascii="Arial" w:hAnsi="Arial" w:cs="Arial"/>
          <w:sz w:val="20"/>
          <w:szCs w:val="20"/>
        </w:rPr>
        <w:t>Ptaszynska</w:t>
      </w:r>
      <w:r w:rsidR="00215CCB" w:rsidRPr="00EB6007">
        <w:rPr>
          <w:rFonts w:ascii="Arial" w:hAnsi="Arial" w:cs="Arial"/>
          <w:i/>
          <w:iCs/>
          <w:sz w:val="20"/>
          <w:szCs w:val="20"/>
        </w:rPr>
        <w:t>et al</w:t>
      </w:r>
      <w:r w:rsidR="00215CCB" w:rsidRPr="00EB6007">
        <w:rPr>
          <w:rFonts w:ascii="Arial" w:hAnsi="Arial" w:cs="Arial"/>
          <w:sz w:val="20"/>
          <w:szCs w:val="20"/>
        </w:rPr>
        <w:t>., 2014</w:t>
      </w:r>
      <w:r w:rsidR="00506802" w:rsidRPr="00EB6007">
        <w:rPr>
          <w:rFonts w:ascii="Arial" w:hAnsi="Arial" w:cs="Arial"/>
          <w:sz w:val="20"/>
          <w:szCs w:val="20"/>
        </w:rPr>
        <w:t>;</w:t>
      </w:r>
      <w:r w:rsidR="00215CCB" w:rsidRPr="00EB6007">
        <w:rPr>
          <w:rFonts w:ascii="Arial" w:hAnsi="Arial" w:cs="Arial"/>
          <w:sz w:val="20"/>
          <w:szCs w:val="20"/>
        </w:rPr>
        <w:t xml:space="preserve"> Rubio </w:t>
      </w:r>
      <w:r w:rsidR="00215CCB" w:rsidRPr="00EB6007">
        <w:rPr>
          <w:rFonts w:ascii="Arial" w:hAnsi="Arial" w:cs="Arial"/>
          <w:i/>
          <w:iCs/>
          <w:sz w:val="20"/>
          <w:szCs w:val="20"/>
        </w:rPr>
        <w:t>et al.</w:t>
      </w:r>
      <w:r w:rsidR="00215CCB" w:rsidRPr="00EB6007">
        <w:rPr>
          <w:rFonts w:ascii="Arial" w:hAnsi="Arial" w:cs="Arial"/>
          <w:sz w:val="20"/>
          <w:szCs w:val="20"/>
        </w:rPr>
        <w:t>, 2014</w:t>
      </w:r>
      <w:r w:rsidR="00506802" w:rsidRPr="00EB6007">
        <w:rPr>
          <w:rFonts w:ascii="Arial" w:hAnsi="Arial" w:cs="Arial"/>
          <w:sz w:val="20"/>
          <w:szCs w:val="20"/>
        </w:rPr>
        <w:t>;</w:t>
      </w:r>
      <w:r w:rsidR="00215CCB" w:rsidRPr="00EB6007">
        <w:rPr>
          <w:rFonts w:ascii="Arial" w:hAnsi="Arial" w:cs="Arial"/>
          <w:sz w:val="20"/>
          <w:szCs w:val="20"/>
        </w:rPr>
        <w:t xml:space="preserve"> Yan </w:t>
      </w:r>
      <w:r w:rsidR="00215CCB" w:rsidRPr="00EB6007">
        <w:rPr>
          <w:rFonts w:ascii="Arial" w:hAnsi="Arial" w:cs="Arial"/>
          <w:i/>
          <w:iCs/>
          <w:sz w:val="20"/>
          <w:szCs w:val="20"/>
        </w:rPr>
        <w:t>et al.</w:t>
      </w:r>
      <w:r w:rsidR="00215CCB" w:rsidRPr="00EB6007">
        <w:rPr>
          <w:rFonts w:ascii="Arial" w:hAnsi="Arial" w:cs="Arial"/>
          <w:sz w:val="20"/>
          <w:szCs w:val="20"/>
        </w:rPr>
        <w:t>, 20140</w:t>
      </w:r>
      <w:r w:rsidR="0083658E" w:rsidRPr="00EB6007">
        <w:rPr>
          <w:rFonts w:ascii="Arial" w:hAnsi="Arial" w:cs="Arial"/>
          <w:sz w:val="20"/>
          <w:szCs w:val="20"/>
        </w:rPr>
        <w:t>)</w:t>
      </w:r>
      <w:r w:rsidRPr="00EB6007">
        <w:rPr>
          <w:rFonts w:ascii="Arial" w:hAnsi="Arial" w:cs="Arial"/>
          <w:sz w:val="20"/>
          <w:szCs w:val="20"/>
        </w:rPr>
        <w:t>. NALFS, in particular, combines immunological and molecular techniques, which provide benefits such as accuracy, simplicity, speed, cost-effectiveness, storage stability, and portability</w:t>
      </w:r>
      <w:r w:rsidR="0083658E" w:rsidRPr="00EB6007">
        <w:rPr>
          <w:rFonts w:ascii="Arial" w:hAnsi="Arial" w:cs="Arial"/>
          <w:sz w:val="20"/>
          <w:szCs w:val="20"/>
        </w:rPr>
        <w:t xml:space="preserve"> (</w:t>
      </w:r>
      <w:r w:rsidR="00417C7E" w:rsidRPr="00EB6007">
        <w:rPr>
          <w:rFonts w:ascii="Arial" w:hAnsi="Arial" w:cs="Arial"/>
          <w:sz w:val="20"/>
          <w:szCs w:val="20"/>
        </w:rPr>
        <w:t xml:space="preserve">Choi </w:t>
      </w:r>
      <w:r w:rsidR="00417C7E" w:rsidRPr="00EB6007">
        <w:rPr>
          <w:rFonts w:ascii="Arial" w:hAnsi="Arial" w:cs="Arial"/>
          <w:i/>
          <w:iCs/>
          <w:sz w:val="20"/>
          <w:szCs w:val="20"/>
        </w:rPr>
        <w:t>et al.</w:t>
      </w:r>
      <w:r w:rsidR="00417C7E" w:rsidRPr="00EB6007">
        <w:rPr>
          <w:rFonts w:ascii="Arial" w:hAnsi="Arial" w:cs="Arial"/>
          <w:sz w:val="20"/>
          <w:szCs w:val="20"/>
        </w:rPr>
        <w:t xml:space="preserve">, 2016; Gao </w:t>
      </w:r>
      <w:r w:rsidR="00417C7E" w:rsidRPr="00EB6007">
        <w:rPr>
          <w:rFonts w:ascii="Arial" w:hAnsi="Arial" w:cs="Arial"/>
          <w:i/>
          <w:iCs/>
          <w:sz w:val="20"/>
          <w:szCs w:val="20"/>
        </w:rPr>
        <w:t>et al</w:t>
      </w:r>
      <w:r w:rsidR="00417C7E" w:rsidRPr="00EB6007">
        <w:rPr>
          <w:rFonts w:ascii="Arial" w:hAnsi="Arial" w:cs="Arial"/>
          <w:sz w:val="20"/>
          <w:szCs w:val="20"/>
        </w:rPr>
        <w:t xml:space="preserve">., 2014; Rohrman </w:t>
      </w:r>
      <w:r w:rsidR="00417C7E" w:rsidRPr="00EB6007">
        <w:rPr>
          <w:rFonts w:ascii="Arial" w:hAnsi="Arial" w:cs="Arial"/>
          <w:i/>
          <w:iCs/>
          <w:sz w:val="20"/>
          <w:szCs w:val="20"/>
        </w:rPr>
        <w:t>et al</w:t>
      </w:r>
      <w:r w:rsidR="00417C7E" w:rsidRPr="00EB6007">
        <w:rPr>
          <w:rFonts w:ascii="Arial" w:hAnsi="Arial" w:cs="Arial"/>
          <w:sz w:val="20"/>
          <w:szCs w:val="20"/>
        </w:rPr>
        <w:t>., 2012)</w:t>
      </w:r>
      <w:r w:rsidRPr="00EB6007">
        <w:rPr>
          <w:rFonts w:ascii="Arial" w:hAnsi="Arial" w:cs="Arial"/>
          <w:sz w:val="20"/>
          <w:szCs w:val="20"/>
        </w:rPr>
        <w:t>.</w:t>
      </w:r>
    </w:p>
    <w:p w14:paraId="198561A3" w14:textId="77777777" w:rsidR="00EB6007" w:rsidRPr="005E2F73" w:rsidRDefault="008A354E" w:rsidP="00D223C5">
      <w:pPr>
        <w:spacing w:line="240" w:lineRule="auto"/>
        <w:ind w:left="284" w:right="237"/>
        <w:jc w:val="both"/>
        <w:rPr>
          <w:rFonts w:ascii="Arial" w:hAnsi="Arial" w:cs="Arial"/>
          <w:sz w:val="20"/>
          <w:szCs w:val="20"/>
        </w:rPr>
      </w:pPr>
      <w:r>
        <w:rPr>
          <w:rFonts w:ascii="Arial" w:hAnsi="Arial" w:cs="Arial"/>
          <w:noProof/>
          <w:sz w:val="20"/>
          <w:szCs w:val="20"/>
          <w:lang w:val="en-US"/>
        </w:rPr>
        <w:drawing>
          <wp:inline distT="0" distB="0" distL="0" distR="0" wp14:anchorId="72778A1A" wp14:editId="6EF9FBCF">
            <wp:extent cx="5403555" cy="3582311"/>
            <wp:effectExtent l="19050" t="0" r="66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04390" cy="3582865"/>
                    </a:xfrm>
                    <a:prstGeom prst="rect">
                      <a:avLst/>
                    </a:prstGeom>
                    <a:noFill/>
                    <a:ln w="9525">
                      <a:noFill/>
                      <a:miter lim="800000"/>
                      <a:headEnd/>
                      <a:tailEnd/>
                    </a:ln>
                  </pic:spPr>
                </pic:pic>
              </a:graphicData>
            </a:graphic>
          </wp:inline>
        </w:drawing>
      </w:r>
    </w:p>
    <w:p w14:paraId="2CFF7CB6" w14:textId="77777777" w:rsidR="005E2F73" w:rsidRDefault="00F30ADC" w:rsidP="008A354E">
      <w:pPr>
        <w:ind w:left="284" w:right="237"/>
        <w:jc w:val="both"/>
        <w:rPr>
          <w:rFonts w:ascii="Arial" w:hAnsi="Arial" w:cs="Arial"/>
          <w:b/>
          <w:bCs/>
          <w:sz w:val="20"/>
          <w:szCs w:val="20"/>
        </w:rPr>
      </w:pPr>
      <w:r w:rsidRPr="00EB6007">
        <w:rPr>
          <w:rFonts w:ascii="Arial" w:hAnsi="Arial" w:cs="Arial"/>
          <w:b/>
          <w:bCs/>
          <w:sz w:val="20"/>
          <w:szCs w:val="20"/>
        </w:rPr>
        <w:t>Fig</w:t>
      </w:r>
      <w:r w:rsidR="00EB6007" w:rsidRPr="00EB6007">
        <w:rPr>
          <w:rFonts w:ascii="Arial" w:hAnsi="Arial" w:cs="Arial"/>
          <w:b/>
          <w:bCs/>
          <w:sz w:val="20"/>
          <w:szCs w:val="20"/>
        </w:rPr>
        <w:t xml:space="preserve">. </w:t>
      </w:r>
      <w:r w:rsidR="00FB2B71" w:rsidRPr="00EB6007">
        <w:rPr>
          <w:rFonts w:ascii="Arial" w:hAnsi="Arial" w:cs="Arial"/>
          <w:b/>
          <w:bCs/>
          <w:sz w:val="20"/>
          <w:szCs w:val="20"/>
        </w:rPr>
        <w:t>1</w:t>
      </w:r>
      <w:r w:rsidR="00EB6007" w:rsidRPr="00EB6007">
        <w:rPr>
          <w:rFonts w:ascii="Arial" w:hAnsi="Arial" w:cs="Arial"/>
          <w:b/>
          <w:bCs/>
          <w:sz w:val="20"/>
          <w:szCs w:val="20"/>
        </w:rPr>
        <w:t>.</w:t>
      </w:r>
      <w:r w:rsidRPr="00EB6007">
        <w:rPr>
          <w:rFonts w:ascii="Arial" w:hAnsi="Arial" w:cs="Arial"/>
          <w:b/>
          <w:bCs/>
          <w:sz w:val="20"/>
          <w:szCs w:val="20"/>
        </w:rPr>
        <w:t xml:space="preserve"> </w:t>
      </w:r>
      <w:r w:rsidR="008A354E" w:rsidRPr="008A354E">
        <w:rPr>
          <w:rFonts w:ascii="Arial" w:hAnsi="Arial" w:cs="Arial"/>
          <w:b/>
          <w:sz w:val="20"/>
        </w:rPr>
        <w:t>Keyword Co-Occurrence Network on Silkworm Disease Detection and Diagnosis Research</w:t>
      </w:r>
      <w:r w:rsidR="008A354E">
        <w:rPr>
          <w:rFonts w:ascii="Arial" w:hAnsi="Arial" w:cs="Arial"/>
          <w:b/>
          <w:sz w:val="20"/>
        </w:rPr>
        <w:t xml:space="preserve"> </w:t>
      </w:r>
      <w:r w:rsidR="008A354E" w:rsidRPr="008A354E">
        <w:rPr>
          <w:rFonts w:ascii="Arial" w:hAnsi="Arial" w:cs="Arial"/>
          <w:b/>
          <w:sz w:val="20"/>
        </w:rPr>
        <w:t>(2018–2024)</w:t>
      </w:r>
      <w:r w:rsidR="008A354E" w:rsidRPr="008A354E">
        <w:rPr>
          <w:sz w:val="20"/>
        </w:rPr>
        <w:t xml:space="preserve"> </w:t>
      </w:r>
    </w:p>
    <w:p w14:paraId="60602B6E" w14:textId="77777777" w:rsidR="00EB6007" w:rsidRDefault="00EB6007" w:rsidP="00D223C5">
      <w:pPr>
        <w:pStyle w:val="ListParagraph"/>
        <w:numPr>
          <w:ilvl w:val="0"/>
          <w:numId w:val="5"/>
        </w:numPr>
        <w:spacing w:line="360" w:lineRule="auto"/>
        <w:ind w:left="284" w:right="237" w:firstLine="0"/>
        <w:rPr>
          <w:rFonts w:ascii="Arial" w:hAnsi="Arial" w:cs="Arial"/>
          <w:b/>
          <w:bCs/>
        </w:rPr>
      </w:pPr>
      <w:r w:rsidRPr="00EB6007">
        <w:rPr>
          <w:rFonts w:ascii="Arial" w:hAnsi="Arial" w:cs="Arial"/>
          <w:b/>
          <w:bCs/>
        </w:rPr>
        <w:t>CONVENTIONAL PEBRINE DETECTION METHOD</w:t>
      </w:r>
    </w:p>
    <w:p w14:paraId="646F0894" w14:textId="77777777" w:rsidR="00EB6007" w:rsidRDefault="00EB6007" w:rsidP="00D223C5">
      <w:pPr>
        <w:spacing w:line="240" w:lineRule="auto"/>
        <w:ind w:left="284" w:right="237"/>
        <w:jc w:val="both"/>
        <w:rPr>
          <w:rFonts w:ascii="Arial" w:eastAsia="Times New Roman" w:hAnsi="Arial" w:cs="Arial"/>
          <w:sz w:val="20"/>
          <w:szCs w:val="20"/>
          <w:lang w:eastAsia="en-IN"/>
        </w:rPr>
      </w:pPr>
      <w:r w:rsidRPr="00EB6007">
        <w:rPr>
          <w:rFonts w:ascii="Arial" w:eastAsia="Times New Roman" w:hAnsi="Arial" w:cs="Arial"/>
          <w:sz w:val="20"/>
          <w:szCs w:val="20"/>
          <w:lang w:eastAsia="en-IN"/>
        </w:rPr>
        <w:t xml:space="preserve">The examination of mother moths for the detection of pebrine, which is caused by the microsporidian parasite </w:t>
      </w:r>
      <w:r w:rsidRPr="00EB6007">
        <w:rPr>
          <w:rFonts w:ascii="Arial" w:eastAsia="Times New Roman" w:hAnsi="Arial" w:cs="Arial"/>
          <w:i/>
          <w:iCs/>
          <w:sz w:val="20"/>
          <w:szCs w:val="20"/>
          <w:lang w:eastAsia="en-IN"/>
        </w:rPr>
        <w:t>N. bombycis</w:t>
      </w:r>
      <w:r w:rsidRPr="00EB6007">
        <w:rPr>
          <w:rFonts w:ascii="Arial" w:eastAsia="Times New Roman" w:hAnsi="Arial" w:cs="Arial"/>
          <w:sz w:val="20"/>
          <w:szCs w:val="20"/>
          <w:lang w:eastAsia="en-IN"/>
        </w:rPr>
        <w:t>, is a common practice in the silkworm industry</w:t>
      </w:r>
      <w:r w:rsidR="00D65F12">
        <w:rPr>
          <w:rFonts w:ascii="Arial" w:eastAsia="Times New Roman" w:hAnsi="Arial" w:cs="Arial"/>
          <w:sz w:val="20"/>
          <w:szCs w:val="20"/>
          <w:lang w:eastAsia="en-IN"/>
        </w:rPr>
        <w:t xml:space="preserve"> (Fig. 2)</w:t>
      </w:r>
      <w:r w:rsidRPr="00EB6007">
        <w:rPr>
          <w:rFonts w:ascii="Arial" w:eastAsia="Times New Roman" w:hAnsi="Arial" w:cs="Arial"/>
          <w:sz w:val="20"/>
          <w:szCs w:val="20"/>
          <w:lang w:eastAsia="en-IN"/>
        </w:rPr>
        <w:t>. However, this approach has significant limitations. Firstly, it is labour-intensive and time-consuming, as each female moth must be individually examined under a microscope for the presence of parasite spores. Moreover, there is a risk of error due to mismatches between female moths and their eggs, which could result in false negatives. Additionally, this method may fail to detect light infections, which reduces its accuracy. Furthermore, not all infected moths transmit the parasite to their eggs, making it unsuitable for widespread detection. While mother moth examination has been a longstanding practice, its limitations highlight the need for more efficient and dependable detection methods in the silkworm industry.</w:t>
      </w:r>
    </w:p>
    <w:p w14:paraId="12A90C01" w14:textId="77777777" w:rsidR="005E2F73" w:rsidRPr="00984374" w:rsidRDefault="005E2F73" w:rsidP="00D223C5">
      <w:pPr>
        <w:spacing w:line="240" w:lineRule="auto"/>
        <w:ind w:left="284" w:right="237"/>
        <w:jc w:val="both"/>
        <w:rPr>
          <w:rFonts w:ascii="Arial" w:eastAsia="Times New Roman" w:hAnsi="Arial" w:cs="Arial"/>
          <w:sz w:val="20"/>
          <w:szCs w:val="20"/>
          <w:lang w:eastAsia="en-IN"/>
        </w:rPr>
      </w:pPr>
      <w:r w:rsidRPr="005E2F73">
        <w:rPr>
          <w:rFonts w:ascii="Arial" w:eastAsia="Times New Roman" w:hAnsi="Arial" w:cs="Arial"/>
          <w:noProof/>
          <w:sz w:val="20"/>
          <w:szCs w:val="20"/>
          <w:lang w:val="en-US"/>
        </w:rPr>
        <w:lastRenderedPageBreak/>
        <w:drawing>
          <wp:inline distT="0" distB="0" distL="0" distR="0" wp14:anchorId="073E1F47" wp14:editId="754289A2">
            <wp:extent cx="5456718" cy="3720524"/>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28A0092B-C50C-407E-A947-70E740481C1C}">
                          <a14:useLocalDpi xmlns:a14="http://schemas.microsoft.com/office/drawing/2010/main" val="0"/>
                        </a:ext>
                      </a:extLst>
                    </a:blip>
                    <a:srcRect b="6826"/>
                    <a:stretch/>
                  </pic:blipFill>
                  <pic:spPr bwMode="auto">
                    <a:xfrm>
                      <a:off x="0" y="0"/>
                      <a:ext cx="5457562" cy="3721100"/>
                    </a:xfrm>
                    <a:prstGeom prst="rect">
                      <a:avLst/>
                    </a:prstGeom>
                    <a:ln>
                      <a:noFill/>
                    </a:ln>
                    <a:extLst>
                      <a:ext uri="{53640926-AAD7-44D8-BBD7-CCE9431645EC}">
                        <a14:shadowObscured xmlns:a14="http://schemas.microsoft.com/office/drawing/2010/main"/>
                      </a:ext>
                    </a:extLst>
                  </pic:spPr>
                </pic:pic>
              </a:graphicData>
            </a:graphic>
          </wp:inline>
        </w:drawing>
      </w:r>
    </w:p>
    <w:p w14:paraId="7A3E4DF6" w14:textId="77777777" w:rsidR="006D4DEB" w:rsidRPr="00984374" w:rsidRDefault="00EB6007" w:rsidP="00F21ED9">
      <w:pPr>
        <w:spacing w:line="360" w:lineRule="auto"/>
        <w:ind w:left="284" w:right="237"/>
        <w:rPr>
          <w:rFonts w:ascii="Arial" w:hAnsi="Arial" w:cs="Arial"/>
          <w:b/>
          <w:bCs/>
          <w:sz w:val="20"/>
          <w:szCs w:val="20"/>
        </w:rPr>
      </w:pPr>
      <w:r w:rsidRPr="00984374">
        <w:rPr>
          <w:rFonts w:ascii="Arial" w:eastAsia="Times New Roman" w:hAnsi="Arial" w:cs="Arial"/>
          <w:b/>
          <w:bCs/>
          <w:sz w:val="20"/>
          <w:szCs w:val="20"/>
          <w:lang w:eastAsia="en-IN"/>
        </w:rPr>
        <w:t>Fig. 2.  C</w:t>
      </w:r>
      <w:r w:rsidR="0054128E" w:rsidRPr="00984374">
        <w:rPr>
          <w:rFonts w:ascii="Arial" w:eastAsia="Times New Roman" w:hAnsi="Arial" w:cs="Arial"/>
          <w:b/>
          <w:bCs/>
          <w:sz w:val="20"/>
          <w:szCs w:val="20"/>
          <w:lang w:eastAsia="en-IN"/>
        </w:rPr>
        <w:t>onventional Mother moth examination For Pebrine spore detection</w:t>
      </w:r>
    </w:p>
    <w:p w14:paraId="4341E122" w14:textId="77777777" w:rsidR="0083343C" w:rsidRPr="00EB6007" w:rsidRDefault="0083343C" w:rsidP="00D223C5">
      <w:pPr>
        <w:pStyle w:val="ListParagraph"/>
        <w:numPr>
          <w:ilvl w:val="0"/>
          <w:numId w:val="5"/>
        </w:numPr>
        <w:spacing w:after="240" w:line="360" w:lineRule="auto"/>
        <w:ind w:left="284" w:right="237" w:firstLine="0"/>
        <w:rPr>
          <w:rFonts w:ascii="Arial" w:eastAsia="Times New Roman" w:hAnsi="Arial" w:cs="Arial"/>
          <w:b/>
          <w:bCs/>
          <w:lang w:eastAsia="en-IN"/>
        </w:rPr>
      </w:pPr>
      <w:bookmarkStart w:id="2" w:name="_Hlk161928626"/>
      <w:r w:rsidRPr="00EB6007">
        <w:rPr>
          <w:rFonts w:ascii="Arial" w:eastAsia="Times New Roman" w:hAnsi="Arial" w:cs="Arial"/>
          <w:b/>
          <w:bCs/>
          <w:lang w:eastAsia="en-IN"/>
        </w:rPr>
        <w:t>NUCLEIC ACID LATERAL FLOW ASSAY STRIPS FOR PEBRINE DETECTION</w:t>
      </w:r>
      <w:bookmarkEnd w:id="2"/>
    </w:p>
    <w:p w14:paraId="5166BE7A" w14:textId="77777777" w:rsidR="00954E44" w:rsidRPr="00EB6007" w:rsidRDefault="00954E44" w:rsidP="00D223C5">
      <w:pPr>
        <w:spacing w:line="240" w:lineRule="auto"/>
        <w:ind w:left="284" w:right="237"/>
        <w:jc w:val="both"/>
        <w:rPr>
          <w:rFonts w:ascii="Arial" w:eastAsia="Times New Roman" w:hAnsi="Arial" w:cs="Arial"/>
          <w:sz w:val="20"/>
          <w:szCs w:val="20"/>
          <w:lang w:eastAsia="en-IN"/>
        </w:rPr>
      </w:pPr>
      <w:r w:rsidRPr="00EB6007">
        <w:rPr>
          <w:rFonts w:ascii="Arial" w:eastAsia="Times New Roman" w:hAnsi="Arial" w:cs="Arial"/>
          <w:sz w:val="20"/>
          <w:szCs w:val="20"/>
          <w:lang w:eastAsia="en-IN"/>
        </w:rPr>
        <w:t xml:space="preserve">Nucleic acid detection seeks to identify or quantify specific nucleic acid sequences within a biological sample. Nucleic acids are used as biomarkers for a variety of diseases, pathogens, and food contaminants (Niemz </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w:t>
      </w:r>
      <w:r w:rsidR="00506802" w:rsidRPr="00EB6007">
        <w:rPr>
          <w:rFonts w:ascii="Arial" w:eastAsia="Times New Roman" w:hAnsi="Arial" w:cs="Arial"/>
          <w:sz w:val="20"/>
          <w:szCs w:val="20"/>
          <w:lang w:eastAsia="en-IN"/>
        </w:rPr>
        <w:t>,</w:t>
      </w:r>
      <w:r w:rsidRPr="00EB6007">
        <w:rPr>
          <w:rFonts w:ascii="Arial" w:eastAsia="Times New Roman" w:hAnsi="Arial" w:cs="Arial"/>
          <w:sz w:val="20"/>
          <w:szCs w:val="20"/>
          <w:lang w:eastAsia="en-IN"/>
        </w:rPr>
        <w:t xml:space="preserve"> 2011; Zhang </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w:t>
      </w:r>
      <w:r w:rsidR="00506802" w:rsidRPr="00EB6007">
        <w:rPr>
          <w:rFonts w:ascii="Arial" w:eastAsia="Times New Roman" w:hAnsi="Arial" w:cs="Arial"/>
          <w:sz w:val="20"/>
          <w:szCs w:val="20"/>
          <w:lang w:eastAsia="en-IN"/>
        </w:rPr>
        <w:t>,</w:t>
      </w:r>
      <w:r w:rsidRPr="00EB6007">
        <w:rPr>
          <w:rFonts w:ascii="Arial" w:eastAsia="Times New Roman" w:hAnsi="Arial" w:cs="Arial"/>
          <w:sz w:val="20"/>
          <w:szCs w:val="20"/>
          <w:lang w:eastAsia="en-IN"/>
        </w:rPr>
        <w:t xml:space="preserve"> 2019; Hu </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w:t>
      </w:r>
      <w:r w:rsidR="00506802" w:rsidRPr="00EB6007">
        <w:rPr>
          <w:rFonts w:ascii="Arial" w:eastAsia="Times New Roman" w:hAnsi="Arial" w:cs="Arial"/>
          <w:sz w:val="20"/>
          <w:szCs w:val="20"/>
          <w:lang w:eastAsia="en-IN"/>
        </w:rPr>
        <w:t>,</w:t>
      </w:r>
      <w:r w:rsidRPr="00EB6007">
        <w:rPr>
          <w:rFonts w:ascii="Arial" w:eastAsia="Times New Roman" w:hAnsi="Arial" w:cs="Arial"/>
          <w:sz w:val="20"/>
          <w:szCs w:val="20"/>
          <w:lang w:eastAsia="en-IN"/>
        </w:rPr>
        <w:t xml:space="preserve"> 2020). In contrast to proteins or living cells, nucleic acids are more resistant to integrity loss in harsh environments, and their signals can be significantly amplified using nucleic acid amplification techniques. Thus, nucleic acid detection is more accurate than traditional immunoassays and culturing methods (Zhang </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 2020). Currently, this technique is widely used for rapid coronavirus diagnostic testing, producing highly precise and robust results (Esbin</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 2020).</w:t>
      </w:r>
    </w:p>
    <w:p w14:paraId="6DA62216" w14:textId="77777777" w:rsidR="00954E44" w:rsidRPr="00EB6007" w:rsidRDefault="00954E44" w:rsidP="00D223C5">
      <w:pPr>
        <w:spacing w:line="240" w:lineRule="auto"/>
        <w:ind w:left="284" w:right="237"/>
        <w:jc w:val="both"/>
        <w:rPr>
          <w:rFonts w:ascii="Arial" w:eastAsia="Times New Roman" w:hAnsi="Arial" w:cs="Arial"/>
          <w:sz w:val="20"/>
          <w:szCs w:val="20"/>
          <w:lang w:eastAsia="en-IN"/>
        </w:rPr>
      </w:pPr>
      <w:r w:rsidRPr="00EB6007">
        <w:rPr>
          <w:rFonts w:ascii="Arial" w:eastAsia="Times New Roman" w:hAnsi="Arial" w:cs="Arial"/>
          <w:sz w:val="20"/>
          <w:szCs w:val="20"/>
          <w:lang w:eastAsia="en-IN"/>
        </w:rPr>
        <w:t xml:space="preserve">Traditional nucleic acid detection methods, such as gel electrophoresis (Gardella </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 xml:space="preserve">., 1984), enzyme-linked immunosorbent assay (ELISA) (Stokes </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 xml:space="preserve">., 1982; Zeng </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 xml:space="preserve">., 2017), and real-time polymerase chain reaction (PCR) (Yelin </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 xml:space="preserve">., 2020; Nagakubo </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 2019), necessitate skilled operators and sophisticated equipment, with signal readout and detection often taking several hours. However, with the growing need for diagnostics in resource-limited settings, lateral flow assays (LFAs) for nucleic acid testing have received increased attention because of their affordability and user-friendliness.</w:t>
      </w:r>
    </w:p>
    <w:p w14:paraId="1976A90B" w14:textId="77777777" w:rsidR="00EF3B46" w:rsidRPr="00EB6007" w:rsidRDefault="00EF3B46" w:rsidP="00D223C5">
      <w:pPr>
        <w:spacing w:line="240" w:lineRule="auto"/>
        <w:ind w:left="284" w:right="237"/>
        <w:jc w:val="both"/>
        <w:rPr>
          <w:rFonts w:ascii="Arial" w:eastAsia="Times New Roman" w:hAnsi="Arial" w:cs="Arial"/>
          <w:sz w:val="20"/>
          <w:szCs w:val="20"/>
          <w:lang w:val="en-US"/>
        </w:rPr>
      </w:pPr>
      <w:r w:rsidRPr="00EB6007">
        <w:rPr>
          <w:rFonts w:ascii="Arial" w:eastAsia="Times New Roman" w:hAnsi="Arial" w:cs="Arial"/>
          <w:sz w:val="20"/>
          <w:szCs w:val="20"/>
          <w:lang w:val="en-US"/>
        </w:rPr>
        <w:t xml:space="preserve">Rapid diagnostic testing for the presence of particular nucleic acids, such as DNA or </w:t>
      </w:r>
      <w:r w:rsidR="00B34F19" w:rsidRPr="00EB6007">
        <w:rPr>
          <w:rFonts w:ascii="Arial" w:eastAsia="Times New Roman" w:hAnsi="Arial" w:cs="Arial"/>
          <w:sz w:val="20"/>
          <w:szCs w:val="20"/>
          <w:lang w:val="en-US"/>
        </w:rPr>
        <w:t>1</w:t>
      </w:r>
      <w:r w:rsidRPr="00EB6007">
        <w:rPr>
          <w:rFonts w:ascii="Arial" w:eastAsia="Times New Roman" w:hAnsi="Arial" w:cs="Arial"/>
          <w:sz w:val="20"/>
          <w:szCs w:val="20"/>
          <w:lang w:val="en-US"/>
        </w:rPr>
        <w:t>the principles of nucleic acid amplification methods with lateral flow immunoassay (LFIA) methods. Pregnancy testing and other point-of-care (POC) tests are commonly performed using the LFIA approach.</w:t>
      </w:r>
    </w:p>
    <w:p w14:paraId="783FD8FE" w14:textId="77777777" w:rsidR="00E56B8B" w:rsidRPr="00EB6007" w:rsidRDefault="0085156D" w:rsidP="00D223C5">
      <w:pPr>
        <w:spacing w:line="240" w:lineRule="auto"/>
        <w:ind w:left="284" w:right="237"/>
        <w:jc w:val="both"/>
        <w:rPr>
          <w:rFonts w:ascii="Arial" w:eastAsia="Times New Roman" w:hAnsi="Arial" w:cs="Arial"/>
          <w:sz w:val="20"/>
          <w:szCs w:val="20"/>
          <w:lang w:val="en-US"/>
        </w:rPr>
      </w:pPr>
      <w:r w:rsidRPr="00EB6007">
        <w:rPr>
          <w:rFonts w:ascii="Arial" w:eastAsia="Times New Roman" w:hAnsi="Arial" w:cs="Arial"/>
          <w:sz w:val="20"/>
          <w:szCs w:val="20"/>
          <w:lang w:val="en-US"/>
        </w:rPr>
        <w:t xml:space="preserve">The method of detecting nucleic acids has changed from employing tagged probes on certain targets, such as </w:t>
      </w:r>
      <w:r w:rsidRPr="00EB6007">
        <w:rPr>
          <w:rFonts w:ascii="Arial" w:eastAsia="Times New Roman" w:hAnsi="Arial" w:cs="Arial"/>
          <w:i/>
          <w:iCs/>
          <w:sz w:val="20"/>
          <w:szCs w:val="20"/>
          <w:lang w:val="en-US"/>
        </w:rPr>
        <w:t>N. bombycis</w:t>
      </w:r>
      <w:r w:rsidRPr="00EB6007">
        <w:rPr>
          <w:rFonts w:ascii="Arial" w:eastAsia="Times New Roman" w:hAnsi="Arial" w:cs="Arial"/>
          <w:sz w:val="20"/>
          <w:szCs w:val="20"/>
          <w:lang w:val="en-US"/>
        </w:rPr>
        <w:t xml:space="preserve"> DNA, to PCR, which amplifies target DNA using particular primers and an enzyme</w:t>
      </w:r>
      <w:bookmarkStart w:id="3" w:name="_Hlk161444480"/>
      <w:r w:rsidR="0043720E" w:rsidRPr="00EB6007">
        <w:rPr>
          <w:rFonts w:ascii="Arial" w:eastAsia="Times New Roman" w:hAnsi="Arial" w:cs="Arial"/>
          <w:sz w:val="20"/>
          <w:szCs w:val="20"/>
          <w:lang w:val="en-US"/>
        </w:rPr>
        <w:t xml:space="preserve"> </w:t>
      </w:r>
      <w:r w:rsidR="00EF3B46" w:rsidRPr="00EB6007">
        <w:rPr>
          <w:rFonts w:ascii="Arial" w:eastAsia="Times New Roman" w:hAnsi="Arial" w:cs="Arial"/>
          <w:sz w:val="20"/>
          <w:szCs w:val="20"/>
          <w:lang w:val="en-US"/>
        </w:rPr>
        <w:t xml:space="preserve">(Chandrakanth </w:t>
      </w:r>
      <w:r w:rsidR="00EF3B46" w:rsidRPr="00EB6007">
        <w:rPr>
          <w:rFonts w:ascii="Arial" w:eastAsia="Times New Roman" w:hAnsi="Arial" w:cs="Arial"/>
          <w:i/>
          <w:iCs/>
          <w:sz w:val="20"/>
          <w:szCs w:val="20"/>
          <w:lang w:val="en-US"/>
        </w:rPr>
        <w:t>et al</w:t>
      </w:r>
      <w:r w:rsidR="00EF3B46" w:rsidRPr="00EB6007">
        <w:rPr>
          <w:rFonts w:ascii="Arial" w:eastAsia="Times New Roman" w:hAnsi="Arial" w:cs="Arial"/>
          <w:sz w:val="20"/>
          <w:szCs w:val="20"/>
          <w:lang w:val="en-US"/>
        </w:rPr>
        <w:t>.,2021).</w:t>
      </w:r>
      <w:bookmarkEnd w:id="3"/>
      <w:r w:rsidR="00407861" w:rsidRPr="00EB6007">
        <w:rPr>
          <w:rFonts w:ascii="Arial" w:eastAsia="Times New Roman" w:hAnsi="Arial" w:cs="Arial"/>
          <w:sz w:val="20"/>
          <w:szCs w:val="20"/>
          <w:lang w:val="en-US"/>
        </w:rPr>
        <w:t xml:space="preserve">The most recent method for </w:t>
      </w:r>
      <w:r w:rsidR="00407861" w:rsidRPr="00EB6007">
        <w:rPr>
          <w:rFonts w:ascii="Arial" w:eastAsia="Times New Roman" w:hAnsi="Arial" w:cs="Arial"/>
          <w:i/>
          <w:iCs/>
          <w:sz w:val="20"/>
          <w:szCs w:val="20"/>
          <w:lang w:val="en-US"/>
        </w:rPr>
        <w:t>identifying N. bombycis</w:t>
      </w:r>
      <w:r w:rsidR="00407861" w:rsidRPr="00EB6007">
        <w:rPr>
          <w:rFonts w:ascii="Arial" w:eastAsia="Times New Roman" w:hAnsi="Arial" w:cs="Arial"/>
          <w:sz w:val="20"/>
          <w:szCs w:val="20"/>
          <w:lang w:val="en-US"/>
        </w:rPr>
        <w:t xml:space="preserve"> is the creation of a nucleic-acid-based lateral-flow strip (NALFS) that visualizes the reaction products in the capture zone by combining biotin and carboxyfluorescein labels with PCR amplification of the Large Subunit (LSU) rRNA (He </w:t>
      </w:r>
      <w:r w:rsidR="00407861" w:rsidRPr="00EB6007">
        <w:rPr>
          <w:rFonts w:ascii="Arial" w:eastAsia="Times New Roman" w:hAnsi="Arial" w:cs="Arial"/>
          <w:i/>
          <w:iCs/>
          <w:sz w:val="20"/>
          <w:szCs w:val="20"/>
          <w:lang w:val="en-US"/>
        </w:rPr>
        <w:t>et al</w:t>
      </w:r>
      <w:r w:rsidR="00407861" w:rsidRPr="00EB6007">
        <w:rPr>
          <w:rFonts w:ascii="Arial" w:eastAsia="Times New Roman" w:hAnsi="Arial" w:cs="Arial"/>
          <w:sz w:val="20"/>
          <w:szCs w:val="20"/>
          <w:lang w:val="en-US"/>
        </w:rPr>
        <w:t>., 2019).</w:t>
      </w:r>
    </w:p>
    <w:p w14:paraId="44748BD9" w14:textId="77777777" w:rsidR="00954E44" w:rsidRPr="00984374" w:rsidRDefault="00E56B8B" w:rsidP="00D223C5">
      <w:pPr>
        <w:spacing w:line="240" w:lineRule="auto"/>
        <w:ind w:left="284" w:right="237"/>
        <w:jc w:val="both"/>
        <w:rPr>
          <w:rFonts w:ascii="Times New Roman" w:eastAsia="Times New Roman" w:hAnsi="Times New Roman" w:cs="Times New Roman"/>
          <w:sz w:val="24"/>
          <w:szCs w:val="24"/>
          <w:lang w:val="en-US"/>
        </w:rPr>
      </w:pPr>
      <w:r w:rsidRPr="00EB6007">
        <w:rPr>
          <w:rFonts w:ascii="Arial" w:hAnsi="Arial" w:cs="Arial"/>
          <w:sz w:val="20"/>
          <w:szCs w:val="20"/>
        </w:rPr>
        <w:lastRenderedPageBreak/>
        <w:t>The NALFS system was developed with four main components: a sample pad, a conjugate pad, a nitrocellulose membrane, and an absorbent pad</w:t>
      </w:r>
      <w:r w:rsidR="00ED3BD6">
        <w:rPr>
          <w:rFonts w:ascii="Arial" w:hAnsi="Arial" w:cs="Arial"/>
          <w:sz w:val="20"/>
          <w:szCs w:val="20"/>
        </w:rPr>
        <w:t xml:space="preserve"> (Fig.2)</w:t>
      </w:r>
      <w:r w:rsidRPr="00EB6007">
        <w:rPr>
          <w:rFonts w:ascii="Arial" w:hAnsi="Arial" w:cs="Arial"/>
          <w:sz w:val="20"/>
          <w:szCs w:val="20"/>
        </w:rPr>
        <w:t xml:space="preserve">. </w:t>
      </w:r>
      <w:r w:rsidR="000A4B7F" w:rsidRPr="00EB6007">
        <w:rPr>
          <w:rFonts w:ascii="Arial" w:hAnsi="Arial" w:cs="Arial"/>
          <w:sz w:val="20"/>
          <w:szCs w:val="20"/>
        </w:rPr>
        <w:t>The working process of NALFS involve</w:t>
      </w:r>
      <w:r w:rsidR="00884E2F" w:rsidRPr="00EB6007">
        <w:rPr>
          <w:rFonts w:ascii="Arial" w:hAnsi="Arial" w:cs="Arial"/>
          <w:sz w:val="20"/>
          <w:szCs w:val="20"/>
        </w:rPr>
        <w:t>d</w:t>
      </w:r>
      <w:r w:rsidR="000A4B7F" w:rsidRPr="00EB6007">
        <w:rPr>
          <w:rFonts w:ascii="Arial" w:hAnsi="Arial" w:cs="Arial"/>
          <w:sz w:val="20"/>
          <w:szCs w:val="20"/>
        </w:rPr>
        <w:t xml:space="preserve"> using </w:t>
      </w:r>
      <w:r w:rsidR="001847D9" w:rsidRPr="00EB6007">
        <w:rPr>
          <w:rFonts w:ascii="Arial" w:hAnsi="Arial" w:cs="Arial"/>
          <w:sz w:val="20"/>
          <w:szCs w:val="20"/>
        </w:rPr>
        <w:t xml:space="preserve">Anti-FAM rabbit monoclonal antibody (mAb) coupled with gold </w:t>
      </w:r>
      <w:r w:rsidR="00EB6007" w:rsidRPr="00EB6007">
        <w:rPr>
          <w:rFonts w:ascii="Arial" w:hAnsi="Arial" w:cs="Arial"/>
          <w:sz w:val="20"/>
          <w:szCs w:val="20"/>
        </w:rPr>
        <w:t>nanoparticles which were</w:t>
      </w:r>
      <w:r w:rsidR="00884E2F" w:rsidRPr="00EB6007">
        <w:rPr>
          <w:rFonts w:ascii="Arial" w:hAnsi="Arial" w:cs="Arial"/>
          <w:sz w:val="20"/>
          <w:szCs w:val="20"/>
        </w:rPr>
        <w:t xml:space="preserve"> </w:t>
      </w:r>
      <w:r w:rsidR="001847D9" w:rsidRPr="00EB6007">
        <w:rPr>
          <w:rFonts w:ascii="Arial" w:hAnsi="Arial" w:cs="Arial"/>
          <w:sz w:val="20"/>
          <w:szCs w:val="20"/>
        </w:rPr>
        <w:t>applied to the conjugate. Streptavidin (SA) and goat-anti-rabbit antibody were placed on the nitrocellulose membrane to create a test line (T line) and a control line (C line). A 5-μL sample of PCR amplification product mixed with extension buffer (10 mM Tris, 1% BSA, 137 mM NaCl, 2.7 mM KCl, 10 mM Na</w:t>
      </w:r>
      <w:r w:rsidR="001847D9" w:rsidRPr="00EB6007">
        <w:rPr>
          <w:rFonts w:ascii="Arial" w:hAnsi="Arial" w:cs="Arial"/>
          <w:sz w:val="20"/>
          <w:szCs w:val="20"/>
          <w:vertAlign w:val="subscript"/>
        </w:rPr>
        <w:t>2</w:t>
      </w:r>
      <w:r w:rsidR="001847D9" w:rsidRPr="00EB6007">
        <w:rPr>
          <w:rFonts w:ascii="Arial" w:hAnsi="Arial" w:cs="Arial"/>
          <w:sz w:val="20"/>
          <w:szCs w:val="20"/>
        </w:rPr>
        <w:t>HPO</w:t>
      </w:r>
      <w:r w:rsidR="001847D9" w:rsidRPr="00EB6007">
        <w:rPr>
          <w:rFonts w:ascii="Arial" w:hAnsi="Arial" w:cs="Arial"/>
          <w:sz w:val="20"/>
          <w:szCs w:val="20"/>
          <w:vertAlign w:val="subscript"/>
        </w:rPr>
        <w:t>4</w:t>
      </w:r>
      <w:r w:rsidR="001847D9" w:rsidRPr="00EB6007">
        <w:rPr>
          <w:rFonts w:ascii="Arial" w:hAnsi="Arial" w:cs="Arial"/>
          <w:sz w:val="20"/>
          <w:szCs w:val="20"/>
        </w:rPr>
        <w:t>, and 2 mM KH</w:t>
      </w:r>
      <w:r w:rsidR="001847D9" w:rsidRPr="00EB6007">
        <w:rPr>
          <w:rFonts w:ascii="Arial" w:hAnsi="Arial" w:cs="Arial"/>
          <w:sz w:val="20"/>
          <w:szCs w:val="20"/>
          <w:vertAlign w:val="subscript"/>
        </w:rPr>
        <w:t>2</w:t>
      </w:r>
      <w:r w:rsidR="001847D9" w:rsidRPr="00EB6007">
        <w:rPr>
          <w:rFonts w:ascii="Arial" w:hAnsi="Arial" w:cs="Arial"/>
          <w:sz w:val="20"/>
          <w:szCs w:val="20"/>
        </w:rPr>
        <w:t>PO</w:t>
      </w:r>
      <w:r w:rsidR="001847D9" w:rsidRPr="00EB6007">
        <w:rPr>
          <w:rFonts w:ascii="Arial" w:hAnsi="Arial" w:cs="Arial"/>
          <w:sz w:val="20"/>
          <w:szCs w:val="20"/>
          <w:vertAlign w:val="subscript"/>
        </w:rPr>
        <w:t>4</w:t>
      </w:r>
      <w:r w:rsidR="001847D9" w:rsidRPr="00EB6007">
        <w:rPr>
          <w:rFonts w:ascii="Arial" w:hAnsi="Arial" w:cs="Arial"/>
          <w:sz w:val="20"/>
          <w:szCs w:val="20"/>
        </w:rPr>
        <w:t>) was deposited on the sample pad</w:t>
      </w:r>
      <w:r w:rsidR="0083658E" w:rsidRPr="00EB6007">
        <w:rPr>
          <w:rFonts w:ascii="Arial" w:hAnsi="Arial" w:cs="Arial"/>
          <w:sz w:val="20"/>
          <w:szCs w:val="20"/>
        </w:rPr>
        <w:t xml:space="preserve"> </w:t>
      </w:r>
      <w:r w:rsidR="00884E2F" w:rsidRPr="00EB6007">
        <w:rPr>
          <w:rFonts w:ascii="Arial" w:hAnsi="Arial" w:cs="Arial"/>
          <w:sz w:val="20"/>
          <w:szCs w:val="20"/>
        </w:rPr>
        <w:t xml:space="preserve">(He </w:t>
      </w:r>
      <w:r w:rsidR="00884E2F" w:rsidRPr="00EB6007">
        <w:rPr>
          <w:rFonts w:ascii="Arial" w:hAnsi="Arial" w:cs="Arial"/>
          <w:i/>
          <w:iCs/>
          <w:sz w:val="20"/>
          <w:szCs w:val="20"/>
        </w:rPr>
        <w:t>et al</w:t>
      </w:r>
      <w:r w:rsidR="00884E2F" w:rsidRPr="00EB6007">
        <w:rPr>
          <w:rFonts w:ascii="Arial" w:hAnsi="Arial" w:cs="Arial"/>
          <w:sz w:val="20"/>
          <w:szCs w:val="20"/>
        </w:rPr>
        <w:t>., 2019)</w:t>
      </w:r>
      <w:r w:rsidR="001847D9" w:rsidRPr="00EB6007">
        <w:rPr>
          <w:rFonts w:ascii="Arial" w:hAnsi="Arial" w:cs="Arial"/>
          <w:sz w:val="20"/>
          <w:szCs w:val="20"/>
        </w:rPr>
        <w:t>. When the product contains the intended fragments, SA captures the complex, resulting in a red line in the T line, signifying a positive outcome. Conversely, the absence of a red signal in the T line indicates a negative result. If the C and T lines are not visible, the test is invalid or was executed incorrectly. Results can be observed visually or with a colloidal gold detector TSR3000 using the “Gold Bio strip reader” software to assess the grayscale of the red bands on the T and C lines, with T/C ≥ 0.05 considered positive</w:t>
      </w:r>
      <w:r w:rsidR="0083658E" w:rsidRPr="00EB6007">
        <w:rPr>
          <w:rFonts w:ascii="Arial" w:hAnsi="Arial" w:cs="Arial"/>
          <w:sz w:val="20"/>
          <w:szCs w:val="20"/>
        </w:rPr>
        <w:t xml:space="preserve"> </w:t>
      </w:r>
      <w:r w:rsidR="001847D9" w:rsidRPr="00EB6007">
        <w:rPr>
          <w:rFonts w:ascii="Arial" w:hAnsi="Arial" w:cs="Arial"/>
          <w:sz w:val="20"/>
          <w:szCs w:val="20"/>
        </w:rPr>
        <w:t xml:space="preserve">(He </w:t>
      </w:r>
      <w:r w:rsidR="001847D9" w:rsidRPr="00EB6007">
        <w:rPr>
          <w:rFonts w:ascii="Arial" w:hAnsi="Arial" w:cs="Arial"/>
          <w:i/>
          <w:iCs/>
          <w:sz w:val="20"/>
          <w:szCs w:val="20"/>
        </w:rPr>
        <w:t>et al</w:t>
      </w:r>
      <w:r w:rsidR="001847D9" w:rsidRPr="00EB6007">
        <w:rPr>
          <w:rFonts w:ascii="Arial" w:hAnsi="Arial" w:cs="Arial"/>
          <w:sz w:val="20"/>
          <w:szCs w:val="20"/>
        </w:rPr>
        <w:t>., 2019).</w:t>
      </w:r>
    </w:p>
    <w:p w14:paraId="4625DC2C" w14:textId="77777777" w:rsidR="00491367" w:rsidRDefault="00F21ED9" w:rsidP="00F21ED9">
      <w:pPr>
        <w:spacing w:line="360" w:lineRule="auto"/>
        <w:ind w:right="237"/>
        <w:rPr>
          <w:rFonts w:ascii="Times New Roman" w:hAnsi="Times New Roman" w:cs="Times New Roman"/>
          <w:b/>
          <w:bCs/>
          <w:sz w:val="24"/>
          <w:szCs w:val="24"/>
        </w:rPr>
      </w:pPr>
      <w:r>
        <w:rPr>
          <w:rFonts w:ascii="Times New Roman" w:hAnsi="Times New Roman" w:cs="Times New Roman"/>
          <w:b/>
          <w:bCs/>
          <w:sz w:val="24"/>
          <w:szCs w:val="24"/>
        </w:rPr>
        <w:t xml:space="preserve">   </w:t>
      </w:r>
      <w:r w:rsidR="00253EC3" w:rsidRPr="00253EC3">
        <w:rPr>
          <w:rFonts w:ascii="Times New Roman" w:hAnsi="Times New Roman" w:cs="Times New Roman"/>
          <w:b/>
          <w:bCs/>
          <w:noProof/>
          <w:sz w:val="24"/>
          <w:szCs w:val="24"/>
          <w:lang w:val="en-US"/>
        </w:rPr>
        <w:drawing>
          <wp:inline distT="0" distB="0" distL="0" distR="0" wp14:anchorId="14A6F774" wp14:editId="646FCA52">
            <wp:extent cx="5422604" cy="3103734"/>
            <wp:effectExtent l="19050" t="0" r="6646"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451567" cy="3120311"/>
                    </a:xfrm>
                    <a:prstGeom prst="rect">
                      <a:avLst/>
                    </a:prstGeom>
                    <a:noFill/>
                    <a:ln w="9525">
                      <a:noFill/>
                      <a:miter lim="800000"/>
                      <a:headEnd/>
                      <a:tailEnd/>
                    </a:ln>
                  </pic:spPr>
                </pic:pic>
              </a:graphicData>
            </a:graphic>
          </wp:inline>
        </w:drawing>
      </w:r>
    </w:p>
    <w:p w14:paraId="357C63BE" w14:textId="77777777" w:rsidR="00491367" w:rsidRPr="00984374" w:rsidRDefault="00984374" w:rsidP="00F21ED9">
      <w:pPr>
        <w:spacing w:line="360" w:lineRule="auto"/>
        <w:ind w:left="284" w:right="237"/>
        <w:rPr>
          <w:rFonts w:ascii="Arial" w:eastAsia="Times New Roman" w:hAnsi="Arial" w:cs="Arial"/>
          <w:b/>
          <w:bCs/>
          <w:sz w:val="20"/>
          <w:szCs w:val="20"/>
          <w:lang w:eastAsia="en-IN"/>
        </w:rPr>
      </w:pPr>
      <w:r w:rsidRPr="00984374">
        <w:rPr>
          <w:rFonts w:ascii="Arial" w:hAnsi="Arial" w:cs="Arial"/>
          <w:b/>
          <w:bCs/>
          <w:sz w:val="20"/>
          <w:szCs w:val="20"/>
        </w:rPr>
        <w:t>Fig. 3.</w:t>
      </w:r>
      <w:r w:rsidR="00253EC3" w:rsidRPr="00984374">
        <w:rPr>
          <w:rFonts w:ascii="Arial" w:eastAsia="Times New Roman" w:hAnsi="Arial" w:cs="Arial"/>
          <w:b/>
          <w:bCs/>
          <w:sz w:val="20"/>
          <w:szCs w:val="20"/>
          <w:lang w:eastAsia="en-IN"/>
        </w:rPr>
        <w:t xml:space="preserve"> Nucleic</w:t>
      </w:r>
      <w:r w:rsidR="009F4FB3" w:rsidRPr="00984374">
        <w:rPr>
          <w:rFonts w:ascii="Arial" w:eastAsia="Times New Roman" w:hAnsi="Arial" w:cs="Arial"/>
          <w:b/>
          <w:bCs/>
          <w:sz w:val="20"/>
          <w:szCs w:val="20"/>
          <w:lang w:eastAsia="en-IN"/>
        </w:rPr>
        <w:t xml:space="preserve"> Acid Lateral Flow Assay Strips for Pebrine Detection</w:t>
      </w:r>
    </w:p>
    <w:p w14:paraId="000B4F1D" w14:textId="77777777" w:rsidR="00B34F19" w:rsidRPr="00984374" w:rsidRDefault="0083658E" w:rsidP="00D223C5">
      <w:pPr>
        <w:pStyle w:val="ListParagraph"/>
        <w:numPr>
          <w:ilvl w:val="0"/>
          <w:numId w:val="5"/>
        </w:numPr>
        <w:ind w:left="284" w:right="237" w:firstLine="0"/>
        <w:rPr>
          <w:rFonts w:ascii="Arial" w:hAnsi="Arial" w:cs="Arial"/>
          <w:b/>
          <w:bCs/>
        </w:rPr>
      </w:pPr>
      <w:r w:rsidRPr="00984374">
        <w:rPr>
          <w:rFonts w:ascii="Arial" w:hAnsi="Arial" w:cs="Arial"/>
          <w:b/>
          <w:bCs/>
        </w:rPr>
        <w:t xml:space="preserve">PERFORMANCE </w:t>
      </w:r>
      <w:r w:rsidR="00984374" w:rsidRPr="00984374">
        <w:rPr>
          <w:rFonts w:ascii="Arial" w:hAnsi="Arial" w:cs="Arial"/>
          <w:b/>
          <w:bCs/>
        </w:rPr>
        <w:t>EVALUATION OF NALFA STRIPS</w:t>
      </w:r>
    </w:p>
    <w:p w14:paraId="4CE6ABE7" w14:textId="77777777" w:rsidR="009C43F9" w:rsidRPr="00984374" w:rsidRDefault="009C43F9" w:rsidP="00D223C5">
      <w:pPr>
        <w:spacing w:line="240" w:lineRule="auto"/>
        <w:ind w:left="284" w:right="237"/>
        <w:jc w:val="both"/>
        <w:rPr>
          <w:rFonts w:ascii="Arial" w:hAnsi="Arial" w:cs="Arial"/>
          <w:sz w:val="20"/>
          <w:szCs w:val="20"/>
        </w:rPr>
      </w:pPr>
      <w:r w:rsidRPr="00984374">
        <w:rPr>
          <w:rFonts w:ascii="Arial" w:hAnsi="Arial" w:cs="Arial"/>
          <w:sz w:val="20"/>
          <w:szCs w:val="20"/>
        </w:rPr>
        <w:t>NALF strips provide a rapid and user-friendly alternative for nucleic acid detection, particularly in the context of pebrine detection in sericulture. Their effectiveness, however, hinges on evaluating critical parameters such as sensitivity, specificity, accuracy, and limit of detection (LOD). Notably, studies have demonstrated that NALF strips can detect pebrine spores at concentrations as low as 10</w:t>
      </w:r>
      <w:r w:rsidRPr="00984374">
        <w:rPr>
          <w:rFonts w:ascii="Arial" w:hAnsi="Arial" w:cs="Arial"/>
          <w:sz w:val="20"/>
          <w:szCs w:val="20"/>
          <w:vertAlign w:val="superscript"/>
        </w:rPr>
        <w:t>2</w:t>
      </w:r>
      <w:r w:rsidRPr="00984374">
        <w:rPr>
          <w:rFonts w:ascii="Arial" w:hAnsi="Arial" w:cs="Arial"/>
          <w:sz w:val="20"/>
          <w:szCs w:val="20"/>
        </w:rPr>
        <w:t xml:space="preserve"> to 10</w:t>
      </w:r>
      <w:r w:rsidRPr="00984374">
        <w:rPr>
          <w:rFonts w:ascii="Arial" w:hAnsi="Arial" w:cs="Arial"/>
          <w:sz w:val="20"/>
          <w:szCs w:val="20"/>
          <w:vertAlign w:val="superscript"/>
        </w:rPr>
        <w:t>3</w:t>
      </w:r>
      <w:r w:rsidRPr="00984374">
        <w:rPr>
          <w:rFonts w:ascii="Arial" w:hAnsi="Arial" w:cs="Arial"/>
          <w:sz w:val="20"/>
          <w:szCs w:val="20"/>
        </w:rPr>
        <w:t xml:space="preserve"> spores per 50 silkworm eggs. This underscores the method's remarkable sensitivity in identifying </w:t>
      </w:r>
      <w:r w:rsidRPr="00984374">
        <w:rPr>
          <w:rFonts w:ascii="Arial" w:hAnsi="Arial" w:cs="Arial"/>
          <w:i/>
          <w:iCs/>
          <w:sz w:val="20"/>
          <w:szCs w:val="20"/>
        </w:rPr>
        <w:t>Nosema bombycis</w:t>
      </w:r>
      <w:r w:rsidRPr="00984374">
        <w:rPr>
          <w:rFonts w:ascii="Arial" w:hAnsi="Arial" w:cs="Arial"/>
          <w:sz w:val="20"/>
          <w:szCs w:val="20"/>
        </w:rPr>
        <w:t>, making it a highly efficient tool for detecting even trace amounts of the pathogen within silkworm populations. By carefully assessing these key parameters, researchers and sericulturists can ensure that NALF strips offer a reliable and efficient solution for the rapid diagnosis of pebrine, ultimately supporting healthier and more productive sericulture operations.</w:t>
      </w:r>
    </w:p>
    <w:p w14:paraId="485DA8BE" w14:textId="77777777" w:rsidR="00253EC3" w:rsidRPr="000E0909" w:rsidRDefault="00253EC3" w:rsidP="00D223C5">
      <w:pPr>
        <w:spacing w:line="360" w:lineRule="auto"/>
        <w:ind w:left="284" w:right="237"/>
        <w:rPr>
          <w:rFonts w:ascii="Times New Roman" w:hAnsi="Times New Roman" w:cs="Times New Roman"/>
          <w:sz w:val="20"/>
          <w:szCs w:val="20"/>
        </w:rPr>
      </w:pPr>
      <w:r w:rsidRPr="00253EC3">
        <w:rPr>
          <w:rFonts w:ascii="Times New Roman" w:hAnsi="Times New Roman" w:cs="Times New Roman"/>
          <w:noProof/>
          <w:sz w:val="24"/>
          <w:szCs w:val="24"/>
          <w:lang w:val="en-US"/>
        </w:rPr>
        <w:lastRenderedPageBreak/>
        <w:drawing>
          <wp:anchor distT="0" distB="0" distL="114300" distR="114300" simplePos="0" relativeHeight="251661312" behindDoc="0" locked="0" layoutInCell="1" allowOverlap="1" wp14:anchorId="2FB199EF" wp14:editId="4B6B401D">
            <wp:simplePos x="0" y="0"/>
            <wp:positionH relativeFrom="column">
              <wp:posOffset>127000</wp:posOffset>
            </wp:positionH>
            <wp:positionV relativeFrom="paragraph">
              <wp:posOffset>318770</wp:posOffset>
            </wp:positionV>
            <wp:extent cx="5511800" cy="4879975"/>
            <wp:effectExtent l="0" t="0" r="12700" b="0"/>
            <wp:wrapSquare wrapText="bothSides"/>
            <wp:docPr id="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14:paraId="4C1F50BF" w14:textId="77777777" w:rsidR="000E0909" w:rsidRDefault="000E0909" w:rsidP="00F21ED9">
      <w:pPr>
        <w:spacing w:line="360" w:lineRule="auto"/>
        <w:ind w:left="284" w:right="237"/>
        <w:rPr>
          <w:rFonts w:ascii="Arial" w:hAnsi="Arial" w:cs="Arial"/>
          <w:b/>
          <w:sz w:val="20"/>
          <w:szCs w:val="20"/>
        </w:rPr>
      </w:pPr>
      <w:r w:rsidRPr="000E0909">
        <w:rPr>
          <w:rFonts w:ascii="Arial" w:hAnsi="Arial" w:cs="Arial"/>
          <w:b/>
          <w:sz w:val="20"/>
          <w:szCs w:val="20"/>
        </w:rPr>
        <w:t xml:space="preserve">Fig. 4. </w:t>
      </w:r>
      <w:r w:rsidR="007D1899" w:rsidRPr="000E0909">
        <w:rPr>
          <w:rFonts w:ascii="Arial" w:hAnsi="Arial" w:cs="Arial"/>
          <w:b/>
          <w:sz w:val="20"/>
          <w:szCs w:val="20"/>
        </w:rPr>
        <w:t>Key Performance Parameters of NALF Strip-Based Diagnostic Assays</w:t>
      </w:r>
    </w:p>
    <w:p w14:paraId="6869936A" w14:textId="77777777" w:rsidR="000E0909" w:rsidRPr="000E0909" w:rsidRDefault="000E0909" w:rsidP="00D223C5">
      <w:pPr>
        <w:pStyle w:val="ListParagraph"/>
        <w:numPr>
          <w:ilvl w:val="0"/>
          <w:numId w:val="5"/>
        </w:numPr>
        <w:spacing w:line="360" w:lineRule="auto"/>
        <w:ind w:left="284" w:right="237" w:firstLine="0"/>
        <w:rPr>
          <w:rFonts w:ascii="Arial" w:hAnsi="Arial" w:cs="Arial"/>
          <w:b/>
          <w:bCs/>
        </w:rPr>
      </w:pPr>
      <w:r w:rsidRPr="000E0909">
        <w:rPr>
          <w:rFonts w:ascii="Arial" w:hAnsi="Arial" w:cs="Arial"/>
          <w:b/>
        </w:rPr>
        <w:t xml:space="preserve">DIAGNOSTIC POTENTIAL AND CONSTRAINTS OF NALFA KITS FOR </w:t>
      </w:r>
      <w:r>
        <w:rPr>
          <w:rStyle w:val="Emphasis"/>
          <w:rFonts w:ascii="Arial" w:hAnsi="Arial" w:cs="Arial"/>
          <w:b/>
        </w:rPr>
        <w:t>N</w:t>
      </w:r>
      <w:r w:rsidRPr="000E0909">
        <w:rPr>
          <w:rStyle w:val="Emphasis"/>
          <w:rFonts w:ascii="Arial" w:hAnsi="Arial" w:cs="Arial"/>
          <w:b/>
        </w:rPr>
        <w:t>osema bombycis</w:t>
      </w:r>
      <w:r w:rsidRPr="000E0909">
        <w:rPr>
          <w:rFonts w:ascii="Arial" w:hAnsi="Arial" w:cs="Arial"/>
          <w:b/>
        </w:rPr>
        <w:t xml:space="preserve"> DETECTION</w:t>
      </w:r>
    </w:p>
    <w:p w14:paraId="35493628" w14:textId="77777777" w:rsidR="000E0909" w:rsidRDefault="000E0909" w:rsidP="00D223C5">
      <w:pPr>
        <w:spacing w:line="240" w:lineRule="auto"/>
        <w:ind w:left="284" w:right="237"/>
        <w:jc w:val="both"/>
        <w:rPr>
          <w:rFonts w:ascii="Arial" w:hAnsi="Arial" w:cs="Arial"/>
          <w:sz w:val="20"/>
          <w:szCs w:val="20"/>
        </w:rPr>
      </w:pPr>
      <w:r w:rsidRPr="000E0909">
        <w:rPr>
          <w:rFonts w:ascii="Arial" w:hAnsi="Arial" w:cs="Arial"/>
          <w:sz w:val="20"/>
          <w:szCs w:val="20"/>
        </w:rPr>
        <w:t xml:space="preserve">Nucleic acid lateral flow assay (NALFA) kits have emerged as a promising tool for the rapid and specific detection of </w:t>
      </w:r>
      <w:r w:rsidRPr="000E0909">
        <w:rPr>
          <w:rStyle w:val="Emphasis"/>
          <w:rFonts w:ascii="Arial" w:hAnsi="Arial" w:cs="Arial"/>
          <w:sz w:val="20"/>
          <w:szCs w:val="20"/>
        </w:rPr>
        <w:t>Nosema bombycis</w:t>
      </w:r>
      <w:r w:rsidRPr="000E0909">
        <w:rPr>
          <w:rFonts w:ascii="Arial" w:hAnsi="Arial" w:cs="Arial"/>
          <w:sz w:val="20"/>
          <w:szCs w:val="20"/>
        </w:rPr>
        <w:t>, the causative agent of pebrine disease in silkworms. These assays combine the simplicity of lateral flow formats with the high specificity of nucleic acid recognition, enabling the detection of target sequences without the need for complex instrumentation. NALFAs are particularly advantageous in field settings due to their speed, ease of use, and potential for early diagnosis, even at low pathogen loads. However, despite these benefits, there are notable limitations that constrain their broader application. These include challenges related to sensitivity, limited multiplexing capability, and the need for advanced modification</w:t>
      </w:r>
      <w:r>
        <w:rPr>
          <w:rFonts w:ascii="Arial" w:hAnsi="Arial" w:cs="Arial"/>
          <w:sz w:val="20"/>
          <w:szCs w:val="20"/>
        </w:rPr>
        <w:t>s to enhance signal output. T</w:t>
      </w:r>
      <w:r w:rsidRPr="000E0909">
        <w:rPr>
          <w:rFonts w:ascii="Arial" w:hAnsi="Arial" w:cs="Arial"/>
          <w:sz w:val="20"/>
          <w:szCs w:val="20"/>
        </w:rPr>
        <w:t>able</w:t>
      </w:r>
      <w:r>
        <w:rPr>
          <w:rFonts w:ascii="Arial" w:hAnsi="Arial" w:cs="Arial"/>
          <w:sz w:val="20"/>
          <w:szCs w:val="20"/>
        </w:rPr>
        <w:t xml:space="preserve"> 1</w:t>
      </w:r>
      <w:r w:rsidRPr="000E0909">
        <w:rPr>
          <w:rFonts w:ascii="Arial" w:hAnsi="Arial" w:cs="Arial"/>
          <w:sz w:val="20"/>
          <w:szCs w:val="20"/>
        </w:rPr>
        <w:t xml:space="preserve"> summarizes the key advantages and limitations of NALFA kits for pebrine detection, along with supporting literature references.</w:t>
      </w:r>
    </w:p>
    <w:p w14:paraId="54AF5E8B" w14:textId="77777777" w:rsidR="00F21ED9" w:rsidRDefault="00F21ED9" w:rsidP="00D223C5">
      <w:pPr>
        <w:spacing w:line="360" w:lineRule="auto"/>
        <w:ind w:left="284" w:right="237"/>
        <w:rPr>
          <w:rFonts w:ascii="Arial" w:hAnsi="Arial" w:cs="Arial"/>
          <w:sz w:val="20"/>
          <w:szCs w:val="20"/>
        </w:rPr>
      </w:pPr>
    </w:p>
    <w:p w14:paraId="66CAD54F" w14:textId="77777777" w:rsidR="00763B47" w:rsidRPr="00763B47" w:rsidRDefault="00763B47" w:rsidP="00D223C5">
      <w:pPr>
        <w:spacing w:line="360" w:lineRule="auto"/>
        <w:ind w:left="284" w:right="237"/>
        <w:rPr>
          <w:rFonts w:ascii="Arial" w:hAnsi="Arial" w:cs="Arial"/>
          <w:b/>
          <w:bCs/>
          <w:sz w:val="20"/>
          <w:szCs w:val="20"/>
        </w:rPr>
      </w:pPr>
      <w:r w:rsidRPr="00763B47">
        <w:rPr>
          <w:rFonts w:ascii="Arial" w:hAnsi="Arial" w:cs="Arial"/>
          <w:b/>
          <w:sz w:val="20"/>
          <w:szCs w:val="20"/>
        </w:rPr>
        <w:t xml:space="preserve">Table 1. </w:t>
      </w:r>
      <w:r>
        <w:rPr>
          <w:rFonts w:ascii="Arial" w:hAnsi="Arial" w:cs="Arial"/>
          <w:b/>
          <w:sz w:val="20"/>
          <w:szCs w:val="20"/>
        </w:rPr>
        <w:t xml:space="preserve"> </w:t>
      </w:r>
      <w:r>
        <w:rPr>
          <w:rFonts w:ascii="Arial" w:hAnsi="Arial" w:cs="Arial"/>
          <w:b/>
          <w:bCs/>
          <w:sz w:val="20"/>
          <w:szCs w:val="20"/>
        </w:rPr>
        <w:t>Advantages and limitations of Nucleic Acid Lateral Flow A</w:t>
      </w:r>
      <w:r w:rsidRPr="00763B47">
        <w:rPr>
          <w:rFonts w:ascii="Arial" w:hAnsi="Arial" w:cs="Arial"/>
          <w:b/>
          <w:bCs/>
          <w:sz w:val="20"/>
          <w:szCs w:val="20"/>
        </w:rPr>
        <w:t>ssay kits in pebrine detection</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08"/>
        <w:gridCol w:w="4508"/>
      </w:tblGrid>
      <w:tr w:rsidR="00695562" w:rsidRPr="00695562" w14:paraId="03C8A3EB" w14:textId="77777777" w:rsidTr="000E0909">
        <w:trPr>
          <w:trHeight w:val="420"/>
        </w:trPr>
        <w:tc>
          <w:tcPr>
            <w:tcW w:w="4508" w:type="dxa"/>
            <w:tcBorders>
              <w:top w:val="single" w:sz="4" w:space="0" w:color="auto"/>
              <w:left w:val="nil"/>
              <w:bottom w:val="single" w:sz="4" w:space="0" w:color="auto"/>
            </w:tcBorders>
          </w:tcPr>
          <w:p w14:paraId="0E66173C" w14:textId="77777777" w:rsidR="00695562" w:rsidRPr="00763B47" w:rsidRDefault="00695562" w:rsidP="00D223C5">
            <w:pPr>
              <w:ind w:left="284" w:right="237"/>
              <w:jc w:val="both"/>
              <w:rPr>
                <w:rFonts w:ascii="Arial" w:eastAsia="Calibri" w:hAnsi="Arial" w:cs="Arial"/>
                <w:b/>
                <w:bCs/>
                <w:sz w:val="20"/>
                <w:szCs w:val="20"/>
              </w:rPr>
            </w:pPr>
            <w:r w:rsidRPr="00763B47">
              <w:rPr>
                <w:rFonts w:ascii="Arial" w:eastAsia="Calibri" w:hAnsi="Arial" w:cs="Arial"/>
                <w:b/>
                <w:bCs/>
                <w:sz w:val="20"/>
                <w:szCs w:val="20"/>
              </w:rPr>
              <w:lastRenderedPageBreak/>
              <w:t>Advantages and Limitations</w:t>
            </w:r>
          </w:p>
        </w:tc>
        <w:tc>
          <w:tcPr>
            <w:tcW w:w="4508" w:type="dxa"/>
            <w:tcBorders>
              <w:top w:val="single" w:sz="4" w:space="0" w:color="auto"/>
              <w:bottom w:val="single" w:sz="4" w:space="0" w:color="auto"/>
              <w:right w:val="nil"/>
            </w:tcBorders>
          </w:tcPr>
          <w:p w14:paraId="7D9622F9" w14:textId="77777777" w:rsidR="00695562" w:rsidRPr="00763B47" w:rsidRDefault="00695562" w:rsidP="00D223C5">
            <w:pPr>
              <w:ind w:left="284" w:right="237"/>
              <w:jc w:val="both"/>
              <w:rPr>
                <w:rFonts w:ascii="Arial" w:eastAsia="Calibri" w:hAnsi="Arial" w:cs="Arial"/>
                <w:b/>
                <w:bCs/>
                <w:sz w:val="20"/>
                <w:szCs w:val="20"/>
              </w:rPr>
            </w:pPr>
            <w:r w:rsidRPr="00763B47">
              <w:rPr>
                <w:rFonts w:ascii="Arial" w:eastAsia="Calibri" w:hAnsi="Arial" w:cs="Arial"/>
                <w:b/>
                <w:bCs/>
                <w:sz w:val="20"/>
                <w:szCs w:val="20"/>
              </w:rPr>
              <w:t>References</w:t>
            </w:r>
          </w:p>
        </w:tc>
      </w:tr>
      <w:tr w:rsidR="00695562" w:rsidRPr="00695562" w14:paraId="50B9F647" w14:textId="77777777" w:rsidTr="000E0909">
        <w:trPr>
          <w:trHeight w:val="413"/>
        </w:trPr>
        <w:tc>
          <w:tcPr>
            <w:tcW w:w="9016" w:type="dxa"/>
            <w:gridSpan w:val="2"/>
            <w:tcBorders>
              <w:top w:val="single" w:sz="4" w:space="0" w:color="auto"/>
              <w:left w:val="nil"/>
              <w:bottom w:val="single" w:sz="4" w:space="0" w:color="auto"/>
              <w:right w:val="nil"/>
            </w:tcBorders>
          </w:tcPr>
          <w:p w14:paraId="434532C8" w14:textId="77777777" w:rsidR="00695562" w:rsidRPr="00763B47" w:rsidRDefault="00695562" w:rsidP="00D223C5">
            <w:pPr>
              <w:ind w:left="284" w:right="237"/>
              <w:jc w:val="both"/>
              <w:rPr>
                <w:rFonts w:ascii="Arial" w:eastAsia="Calibri" w:hAnsi="Arial" w:cs="Arial"/>
                <w:b/>
                <w:bCs/>
                <w:sz w:val="20"/>
                <w:szCs w:val="20"/>
              </w:rPr>
            </w:pPr>
            <w:r w:rsidRPr="00763B47">
              <w:rPr>
                <w:rFonts w:ascii="Arial" w:eastAsia="Calibri" w:hAnsi="Arial" w:cs="Arial"/>
                <w:b/>
                <w:bCs/>
                <w:sz w:val="20"/>
                <w:szCs w:val="20"/>
              </w:rPr>
              <w:t>ADVANTAGES</w:t>
            </w:r>
          </w:p>
        </w:tc>
      </w:tr>
      <w:tr w:rsidR="00695562" w:rsidRPr="00695562" w14:paraId="36016140" w14:textId="77777777" w:rsidTr="000E0909">
        <w:trPr>
          <w:trHeight w:val="986"/>
        </w:trPr>
        <w:tc>
          <w:tcPr>
            <w:tcW w:w="4508" w:type="dxa"/>
            <w:tcBorders>
              <w:top w:val="single" w:sz="4" w:space="0" w:color="auto"/>
              <w:left w:val="nil"/>
              <w:bottom w:val="nil"/>
            </w:tcBorders>
          </w:tcPr>
          <w:p w14:paraId="0929D08C" w14:textId="77777777"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S</w:t>
            </w:r>
            <w:r w:rsidRPr="00763B47">
              <w:rPr>
                <w:rFonts w:ascii="Arial" w:eastAsia="Calibri" w:hAnsi="Arial" w:cs="Arial"/>
                <w:sz w:val="20"/>
                <w:szCs w:val="20"/>
              </w:rPr>
              <w:t>peedy and simple detection capabilities</w:t>
            </w:r>
            <w:r w:rsidRPr="00763B47">
              <w:rPr>
                <w:rFonts w:ascii="Arial" w:hAnsi="Arial" w:cs="Arial"/>
                <w:sz w:val="20"/>
                <w:szCs w:val="20"/>
              </w:rPr>
              <w:t xml:space="preserve">, </w:t>
            </w:r>
            <w:r w:rsidRPr="00763B47">
              <w:rPr>
                <w:rFonts w:ascii="Arial" w:eastAsia="Calibri" w:hAnsi="Arial" w:cs="Arial"/>
                <w:sz w:val="20"/>
                <w:szCs w:val="20"/>
              </w:rPr>
              <w:t>one-step assays that don't need complex equipment</w:t>
            </w:r>
          </w:p>
        </w:tc>
        <w:tc>
          <w:tcPr>
            <w:tcW w:w="4508" w:type="dxa"/>
            <w:tcBorders>
              <w:top w:val="nil"/>
              <w:right w:val="nil"/>
            </w:tcBorders>
          </w:tcPr>
          <w:p w14:paraId="24323AAA" w14:textId="77777777" w:rsidR="00695562" w:rsidRPr="00763B47" w:rsidRDefault="00695562" w:rsidP="00D223C5">
            <w:pPr>
              <w:ind w:left="284" w:right="237"/>
              <w:jc w:val="both"/>
              <w:rPr>
                <w:rFonts w:ascii="Arial" w:eastAsia="Calibri" w:hAnsi="Arial" w:cs="Arial"/>
                <w:sz w:val="20"/>
                <w:szCs w:val="20"/>
              </w:rPr>
            </w:pPr>
            <w:r w:rsidRPr="00763B47">
              <w:rPr>
                <w:rFonts w:ascii="Arial" w:eastAsia="Calibri" w:hAnsi="Arial" w:cs="Arial"/>
                <w:sz w:val="20"/>
                <w:szCs w:val="20"/>
              </w:rPr>
              <w:t>-</w:t>
            </w:r>
          </w:p>
        </w:tc>
      </w:tr>
      <w:tr w:rsidR="00695562" w:rsidRPr="00695562" w14:paraId="256493E8" w14:textId="77777777" w:rsidTr="000E0909">
        <w:trPr>
          <w:trHeight w:val="1283"/>
        </w:trPr>
        <w:tc>
          <w:tcPr>
            <w:tcW w:w="4508" w:type="dxa"/>
            <w:tcBorders>
              <w:top w:val="nil"/>
              <w:left w:val="nil"/>
            </w:tcBorders>
          </w:tcPr>
          <w:p w14:paraId="6DFCB7C1" w14:textId="77777777"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It</w:t>
            </w:r>
            <w:r w:rsidRPr="00763B47">
              <w:rPr>
                <w:rFonts w:ascii="Arial" w:eastAsia="Calibri" w:hAnsi="Arial" w:cs="Arial"/>
                <w:sz w:val="20"/>
                <w:szCs w:val="20"/>
              </w:rPr>
              <w:t xml:space="preserve"> bear</w:t>
            </w:r>
            <w:r w:rsidRPr="00763B47">
              <w:rPr>
                <w:rFonts w:ascii="Arial" w:hAnsi="Arial" w:cs="Arial"/>
                <w:sz w:val="20"/>
                <w:szCs w:val="20"/>
              </w:rPr>
              <w:t>s</w:t>
            </w:r>
            <w:r w:rsidRPr="00763B47">
              <w:rPr>
                <w:rFonts w:ascii="Arial" w:eastAsia="Calibri" w:hAnsi="Arial" w:cs="Arial"/>
                <w:sz w:val="20"/>
                <w:szCs w:val="20"/>
              </w:rPr>
              <w:t xml:space="preserve"> resemblance to lateral flow assays (LFAs), which are extensively employed for a range of targets, such as toxins, infections, and health biomarkers</w:t>
            </w:r>
          </w:p>
        </w:tc>
        <w:tc>
          <w:tcPr>
            <w:tcW w:w="4508" w:type="dxa"/>
            <w:tcBorders>
              <w:right w:val="nil"/>
            </w:tcBorders>
          </w:tcPr>
          <w:p w14:paraId="13224959" w14:textId="77777777" w:rsidR="00695562" w:rsidRPr="00763B47" w:rsidRDefault="00695562" w:rsidP="00D223C5">
            <w:pPr>
              <w:ind w:left="284" w:right="237"/>
              <w:jc w:val="both"/>
              <w:rPr>
                <w:rFonts w:ascii="Arial" w:eastAsia="Calibri" w:hAnsi="Arial" w:cs="Arial"/>
                <w:sz w:val="20"/>
                <w:szCs w:val="20"/>
              </w:rPr>
            </w:pPr>
            <w:r w:rsidRPr="00763B47">
              <w:rPr>
                <w:rFonts w:ascii="Arial" w:eastAsia="Calibri" w:hAnsi="Arial" w:cs="Arial"/>
                <w:sz w:val="20"/>
                <w:szCs w:val="20"/>
              </w:rPr>
              <w:t>(Javani</w:t>
            </w:r>
            <w:r w:rsidRPr="00763B47">
              <w:rPr>
                <w:rFonts w:ascii="Arial" w:eastAsia="Calibri" w:hAnsi="Arial" w:cs="Arial"/>
                <w:i/>
                <w:iCs/>
                <w:sz w:val="20"/>
                <w:szCs w:val="20"/>
              </w:rPr>
              <w:t>et al</w:t>
            </w:r>
            <w:r w:rsidRPr="00763B47">
              <w:rPr>
                <w:rFonts w:ascii="Arial" w:eastAsia="Calibri" w:hAnsi="Arial" w:cs="Arial"/>
                <w:sz w:val="20"/>
                <w:szCs w:val="20"/>
              </w:rPr>
              <w:t xml:space="preserve">., 2017) </w:t>
            </w:r>
          </w:p>
        </w:tc>
      </w:tr>
      <w:tr w:rsidR="00695562" w:rsidRPr="00695562" w14:paraId="69980B6E" w14:textId="77777777" w:rsidTr="000E0909">
        <w:trPr>
          <w:trHeight w:val="1812"/>
        </w:trPr>
        <w:tc>
          <w:tcPr>
            <w:tcW w:w="4508" w:type="dxa"/>
            <w:tcBorders>
              <w:left w:val="nil"/>
            </w:tcBorders>
          </w:tcPr>
          <w:p w14:paraId="1E8AE414" w14:textId="77777777" w:rsidR="00695562" w:rsidRPr="00763B47" w:rsidRDefault="00695562" w:rsidP="00D223C5">
            <w:pPr>
              <w:tabs>
                <w:tab w:val="left" w:pos="1591"/>
              </w:tabs>
              <w:ind w:left="284" w:right="237"/>
              <w:jc w:val="both"/>
              <w:rPr>
                <w:rFonts w:ascii="Arial" w:eastAsia="Calibri" w:hAnsi="Arial" w:cs="Arial"/>
                <w:sz w:val="20"/>
                <w:szCs w:val="20"/>
              </w:rPr>
            </w:pPr>
            <w:r w:rsidRPr="00763B47">
              <w:rPr>
                <w:rFonts w:ascii="Arial" w:hAnsi="Arial" w:cs="Arial"/>
                <w:sz w:val="20"/>
                <w:szCs w:val="20"/>
              </w:rPr>
              <w:t>It</w:t>
            </w:r>
            <w:r w:rsidRPr="00763B47">
              <w:rPr>
                <w:rFonts w:ascii="Arial" w:eastAsia="Calibri" w:hAnsi="Arial" w:cs="Arial"/>
                <w:sz w:val="20"/>
                <w:szCs w:val="20"/>
              </w:rPr>
              <w:t xml:space="preserve"> provide</w:t>
            </w:r>
            <w:r w:rsidRPr="00763B47">
              <w:rPr>
                <w:rFonts w:ascii="Arial" w:hAnsi="Arial" w:cs="Arial"/>
                <w:sz w:val="20"/>
                <w:szCs w:val="20"/>
              </w:rPr>
              <w:t>s</w:t>
            </w:r>
            <w:r w:rsidRPr="00763B47">
              <w:rPr>
                <w:rFonts w:ascii="Arial" w:eastAsia="Calibri" w:hAnsi="Arial" w:cs="Arial"/>
                <w:sz w:val="20"/>
                <w:szCs w:val="20"/>
              </w:rPr>
              <w:t xml:space="preserve"> clear benefits over antibody-based LFAs, which have a short shelf life because of irreversible denaturation. Nucleic acids can be detected quickly because they fold back into their functional state when rehydrated</w:t>
            </w:r>
          </w:p>
        </w:tc>
        <w:tc>
          <w:tcPr>
            <w:tcW w:w="4508" w:type="dxa"/>
            <w:tcBorders>
              <w:right w:val="nil"/>
            </w:tcBorders>
          </w:tcPr>
          <w:p w14:paraId="515CA0F7" w14:textId="77777777" w:rsidR="00695562" w:rsidRPr="00763B47" w:rsidRDefault="00695562" w:rsidP="00D223C5">
            <w:pPr>
              <w:ind w:left="284" w:right="237"/>
              <w:jc w:val="both"/>
              <w:rPr>
                <w:rFonts w:ascii="Arial" w:eastAsia="Calibri" w:hAnsi="Arial" w:cs="Arial"/>
                <w:sz w:val="20"/>
                <w:szCs w:val="20"/>
              </w:rPr>
            </w:pPr>
            <w:r w:rsidRPr="00763B47">
              <w:rPr>
                <w:rFonts w:ascii="Arial" w:eastAsia="Calibri" w:hAnsi="Arial" w:cs="Arial"/>
                <w:sz w:val="20"/>
                <w:szCs w:val="20"/>
              </w:rPr>
              <w:t>(Javani</w:t>
            </w:r>
            <w:r w:rsidRPr="00763B47">
              <w:rPr>
                <w:rFonts w:ascii="Arial" w:eastAsia="Calibri" w:hAnsi="Arial" w:cs="Arial"/>
                <w:i/>
                <w:iCs/>
                <w:sz w:val="20"/>
                <w:szCs w:val="20"/>
              </w:rPr>
              <w:t>et al</w:t>
            </w:r>
            <w:r w:rsidRPr="00763B47">
              <w:rPr>
                <w:rFonts w:ascii="Arial" w:eastAsia="Calibri" w:hAnsi="Arial" w:cs="Arial"/>
                <w:sz w:val="20"/>
                <w:szCs w:val="20"/>
              </w:rPr>
              <w:t xml:space="preserve">., 2017) </w:t>
            </w:r>
          </w:p>
        </w:tc>
      </w:tr>
      <w:tr w:rsidR="00695562" w:rsidRPr="00695562" w14:paraId="71EBB428" w14:textId="77777777" w:rsidTr="000E0909">
        <w:trPr>
          <w:trHeight w:val="1285"/>
        </w:trPr>
        <w:tc>
          <w:tcPr>
            <w:tcW w:w="4508" w:type="dxa"/>
            <w:tcBorders>
              <w:left w:val="nil"/>
              <w:bottom w:val="nil"/>
            </w:tcBorders>
          </w:tcPr>
          <w:p w14:paraId="08FB63CA" w14:textId="77777777" w:rsidR="00695562" w:rsidRPr="00763B47" w:rsidRDefault="00695562" w:rsidP="00D223C5">
            <w:pPr>
              <w:ind w:left="284" w:right="237"/>
              <w:jc w:val="both"/>
              <w:rPr>
                <w:rFonts w:ascii="Arial" w:eastAsia="Calibri" w:hAnsi="Arial" w:cs="Arial"/>
                <w:sz w:val="20"/>
                <w:szCs w:val="20"/>
              </w:rPr>
            </w:pPr>
            <w:r w:rsidRPr="00763B47">
              <w:rPr>
                <w:rFonts w:ascii="Arial" w:eastAsia="Calibri" w:hAnsi="Arial" w:cs="Arial"/>
                <w:sz w:val="20"/>
                <w:szCs w:val="20"/>
              </w:rPr>
              <w:t xml:space="preserve">In nucleic acid-based detection method lower infection level could also be determined utilizing specific DNA sequence of </w:t>
            </w:r>
            <w:r w:rsidRPr="00763B47">
              <w:rPr>
                <w:rFonts w:ascii="Arial" w:eastAsia="Calibri" w:hAnsi="Arial" w:cs="Arial"/>
                <w:i/>
                <w:iCs/>
                <w:sz w:val="20"/>
                <w:szCs w:val="20"/>
              </w:rPr>
              <w:t>N. bomby</w:t>
            </w:r>
            <w:r w:rsidRPr="00763B47">
              <w:rPr>
                <w:rFonts w:ascii="Arial" w:hAnsi="Arial" w:cs="Arial"/>
                <w:i/>
                <w:iCs/>
                <w:sz w:val="20"/>
                <w:szCs w:val="20"/>
              </w:rPr>
              <w:t>c</w:t>
            </w:r>
            <w:r w:rsidRPr="00763B47">
              <w:rPr>
                <w:rFonts w:ascii="Arial" w:eastAsia="Calibri" w:hAnsi="Arial" w:cs="Arial"/>
                <w:i/>
                <w:iCs/>
                <w:sz w:val="20"/>
                <w:szCs w:val="20"/>
              </w:rPr>
              <w:t>is</w:t>
            </w:r>
          </w:p>
        </w:tc>
        <w:tc>
          <w:tcPr>
            <w:tcW w:w="4508" w:type="dxa"/>
            <w:tcBorders>
              <w:bottom w:val="nil"/>
              <w:right w:val="nil"/>
            </w:tcBorders>
          </w:tcPr>
          <w:p w14:paraId="2F2FF448" w14:textId="77777777" w:rsidR="00695562" w:rsidRPr="00763B47" w:rsidRDefault="00695562" w:rsidP="00D223C5">
            <w:pPr>
              <w:ind w:left="284" w:right="237"/>
              <w:jc w:val="both"/>
              <w:rPr>
                <w:rFonts w:ascii="Arial" w:eastAsia="Calibri" w:hAnsi="Arial" w:cs="Arial"/>
                <w:sz w:val="20"/>
                <w:szCs w:val="20"/>
              </w:rPr>
            </w:pPr>
            <w:r w:rsidRPr="00763B47">
              <w:rPr>
                <w:rFonts w:ascii="Arial" w:eastAsia="Calibri" w:hAnsi="Arial" w:cs="Arial"/>
                <w:sz w:val="20"/>
                <w:szCs w:val="20"/>
              </w:rPr>
              <w:t xml:space="preserve">(Chandrakanth </w:t>
            </w:r>
            <w:r w:rsidRPr="00763B47">
              <w:rPr>
                <w:rFonts w:ascii="Arial" w:eastAsia="Calibri" w:hAnsi="Arial" w:cs="Arial"/>
                <w:i/>
                <w:iCs/>
                <w:sz w:val="20"/>
                <w:szCs w:val="20"/>
              </w:rPr>
              <w:t>et al</w:t>
            </w:r>
            <w:r w:rsidRPr="00763B47">
              <w:rPr>
                <w:rFonts w:ascii="Arial" w:eastAsia="Calibri" w:hAnsi="Arial" w:cs="Arial"/>
                <w:sz w:val="20"/>
                <w:szCs w:val="20"/>
              </w:rPr>
              <w:t>.,2021).</w:t>
            </w:r>
          </w:p>
          <w:p w14:paraId="5DBB34F6" w14:textId="77777777" w:rsidR="00695562" w:rsidRPr="00763B47" w:rsidRDefault="00695562" w:rsidP="00D223C5">
            <w:pPr>
              <w:ind w:left="284" w:right="237"/>
              <w:jc w:val="both"/>
              <w:rPr>
                <w:rFonts w:ascii="Arial" w:eastAsia="Calibri" w:hAnsi="Arial" w:cs="Arial"/>
                <w:sz w:val="20"/>
                <w:szCs w:val="20"/>
              </w:rPr>
            </w:pPr>
          </w:p>
        </w:tc>
      </w:tr>
      <w:tr w:rsidR="00695562" w:rsidRPr="00695562" w14:paraId="73C1C79A" w14:textId="77777777" w:rsidTr="000E0909">
        <w:trPr>
          <w:trHeight w:val="1247"/>
        </w:trPr>
        <w:tc>
          <w:tcPr>
            <w:tcW w:w="4508" w:type="dxa"/>
            <w:tcBorders>
              <w:top w:val="nil"/>
              <w:left w:val="nil"/>
              <w:bottom w:val="single" w:sz="4" w:space="0" w:color="auto"/>
            </w:tcBorders>
          </w:tcPr>
          <w:p w14:paraId="7A6B46DB" w14:textId="77777777" w:rsidR="00695562" w:rsidRPr="00763B47" w:rsidRDefault="00695562" w:rsidP="00D223C5">
            <w:pPr>
              <w:tabs>
                <w:tab w:val="left" w:pos="2897"/>
              </w:tabs>
              <w:ind w:left="284" w:right="237"/>
              <w:jc w:val="both"/>
              <w:rPr>
                <w:rFonts w:ascii="Arial" w:eastAsia="Calibri" w:hAnsi="Arial" w:cs="Arial"/>
                <w:sz w:val="20"/>
                <w:szCs w:val="20"/>
              </w:rPr>
            </w:pPr>
            <w:r w:rsidRPr="00763B47">
              <w:rPr>
                <w:rFonts w:ascii="Arial" w:eastAsia="Calibri" w:hAnsi="Arial" w:cs="Arial"/>
                <w:sz w:val="20"/>
                <w:szCs w:val="20"/>
              </w:rPr>
              <w:t>NALFS method can detect N. bombycis in various life-cycle stages with a sensitivity of 1 pg genomic DNA (approximately 102 spores) through PCR amplification</w:t>
            </w:r>
          </w:p>
        </w:tc>
        <w:tc>
          <w:tcPr>
            <w:tcW w:w="4508" w:type="dxa"/>
            <w:tcBorders>
              <w:top w:val="nil"/>
              <w:bottom w:val="single" w:sz="4" w:space="0" w:color="auto"/>
              <w:right w:val="nil"/>
            </w:tcBorders>
          </w:tcPr>
          <w:p w14:paraId="008A4828" w14:textId="77777777" w:rsidR="00695562" w:rsidRPr="00763B47" w:rsidRDefault="00695562" w:rsidP="00D223C5">
            <w:pPr>
              <w:ind w:left="284" w:right="237"/>
              <w:jc w:val="both"/>
              <w:rPr>
                <w:rFonts w:ascii="Arial" w:eastAsia="Calibri" w:hAnsi="Arial" w:cs="Arial"/>
                <w:sz w:val="20"/>
                <w:szCs w:val="20"/>
              </w:rPr>
            </w:pPr>
          </w:p>
          <w:p w14:paraId="53FEDF1A" w14:textId="77777777" w:rsidR="00695562" w:rsidRPr="00763B47" w:rsidRDefault="00695562" w:rsidP="00D223C5">
            <w:pPr>
              <w:tabs>
                <w:tab w:val="left" w:pos="1139"/>
              </w:tabs>
              <w:ind w:left="284" w:right="237"/>
              <w:jc w:val="both"/>
              <w:rPr>
                <w:rFonts w:ascii="Arial" w:eastAsia="Calibri" w:hAnsi="Arial" w:cs="Arial"/>
                <w:sz w:val="20"/>
                <w:szCs w:val="20"/>
              </w:rPr>
            </w:pPr>
            <w:r w:rsidRPr="00763B47">
              <w:rPr>
                <w:rFonts w:ascii="Arial" w:eastAsia="Calibri" w:hAnsi="Arial" w:cs="Arial"/>
                <w:sz w:val="20"/>
                <w:szCs w:val="20"/>
              </w:rPr>
              <w:t xml:space="preserve">(He </w:t>
            </w:r>
            <w:r w:rsidRPr="00763B47">
              <w:rPr>
                <w:rFonts w:ascii="Arial" w:eastAsia="Calibri" w:hAnsi="Arial" w:cs="Arial"/>
                <w:i/>
                <w:iCs/>
                <w:sz w:val="20"/>
                <w:szCs w:val="20"/>
              </w:rPr>
              <w:t>et al</w:t>
            </w:r>
            <w:r w:rsidRPr="00763B47">
              <w:rPr>
                <w:rFonts w:ascii="Arial" w:eastAsia="Calibri" w:hAnsi="Arial" w:cs="Arial"/>
                <w:sz w:val="20"/>
                <w:szCs w:val="20"/>
              </w:rPr>
              <w:t>., 2019)</w:t>
            </w:r>
          </w:p>
        </w:tc>
      </w:tr>
      <w:tr w:rsidR="00695562" w:rsidRPr="00695562" w14:paraId="3E1C27CA" w14:textId="77777777" w:rsidTr="000E0909">
        <w:tc>
          <w:tcPr>
            <w:tcW w:w="9016" w:type="dxa"/>
            <w:gridSpan w:val="2"/>
            <w:tcBorders>
              <w:top w:val="single" w:sz="4" w:space="0" w:color="auto"/>
              <w:left w:val="nil"/>
              <w:bottom w:val="single" w:sz="4" w:space="0" w:color="auto"/>
              <w:right w:val="nil"/>
            </w:tcBorders>
          </w:tcPr>
          <w:p w14:paraId="6C135E79" w14:textId="77777777" w:rsidR="00695562" w:rsidRPr="00763B47" w:rsidRDefault="00695562" w:rsidP="00D223C5">
            <w:pPr>
              <w:ind w:left="284" w:right="237"/>
              <w:jc w:val="both"/>
              <w:rPr>
                <w:rFonts w:ascii="Arial" w:eastAsia="Calibri" w:hAnsi="Arial" w:cs="Arial"/>
                <w:b/>
                <w:bCs/>
                <w:sz w:val="20"/>
                <w:szCs w:val="20"/>
              </w:rPr>
            </w:pPr>
            <w:r w:rsidRPr="00763B47">
              <w:rPr>
                <w:rFonts w:ascii="Arial" w:eastAsia="Calibri" w:hAnsi="Arial" w:cs="Arial"/>
                <w:b/>
                <w:bCs/>
                <w:sz w:val="20"/>
                <w:szCs w:val="20"/>
              </w:rPr>
              <w:t>LIMITATIONS</w:t>
            </w:r>
          </w:p>
        </w:tc>
      </w:tr>
      <w:tr w:rsidR="00695562" w:rsidRPr="00695562" w14:paraId="6864BEB2" w14:textId="77777777" w:rsidTr="00763B47">
        <w:trPr>
          <w:trHeight w:val="944"/>
        </w:trPr>
        <w:tc>
          <w:tcPr>
            <w:tcW w:w="4508" w:type="dxa"/>
            <w:tcBorders>
              <w:top w:val="single" w:sz="4" w:space="0" w:color="auto"/>
              <w:left w:val="nil"/>
              <w:bottom w:val="nil"/>
            </w:tcBorders>
          </w:tcPr>
          <w:p w14:paraId="592F5682" w14:textId="77777777"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 xml:space="preserve">It is limited in their sensitivity because they frequently require a large number of particles to agglomerate before they alter or generate color </w:t>
            </w:r>
          </w:p>
        </w:tc>
        <w:tc>
          <w:tcPr>
            <w:tcW w:w="4508" w:type="dxa"/>
            <w:tcBorders>
              <w:right w:val="nil"/>
            </w:tcBorders>
          </w:tcPr>
          <w:p w14:paraId="0816A92C" w14:textId="77777777"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 xml:space="preserve"> (</w:t>
            </w:r>
            <w:bookmarkStart w:id="4" w:name="_Hlk162220528"/>
            <w:r w:rsidRPr="00763B47">
              <w:rPr>
                <w:rFonts w:ascii="Arial" w:hAnsi="Arial" w:cs="Arial"/>
                <w:sz w:val="20"/>
                <w:szCs w:val="20"/>
              </w:rPr>
              <w:t xml:space="preserve">Xu </w:t>
            </w:r>
            <w:r w:rsidRPr="00763B47">
              <w:rPr>
                <w:rFonts w:ascii="Arial" w:hAnsi="Arial" w:cs="Arial"/>
                <w:i/>
                <w:iCs/>
                <w:sz w:val="20"/>
                <w:szCs w:val="20"/>
              </w:rPr>
              <w:t>et al.,</w:t>
            </w:r>
            <w:r w:rsidRPr="00763B47">
              <w:rPr>
                <w:rFonts w:ascii="Arial" w:hAnsi="Arial" w:cs="Arial"/>
                <w:sz w:val="20"/>
                <w:szCs w:val="20"/>
              </w:rPr>
              <w:t xml:space="preserve"> 2014</w:t>
            </w:r>
            <w:bookmarkEnd w:id="4"/>
            <w:r w:rsidRPr="00763B47">
              <w:rPr>
                <w:rFonts w:ascii="Arial" w:hAnsi="Arial" w:cs="Arial"/>
                <w:sz w:val="20"/>
                <w:szCs w:val="20"/>
              </w:rPr>
              <w:t>)</w:t>
            </w:r>
          </w:p>
        </w:tc>
      </w:tr>
      <w:tr w:rsidR="00695562" w:rsidRPr="00695562" w14:paraId="75E66481" w14:textId="77777777" w:rsidTr="000E0909">
        <w:trPr>
          <w:trHeight w:val="709"/>
        </w:trPr>
        <w:tc>
          <w:tcPr>
            <w:tcW w:w="4508" w:type="dxa"/>
            <w:tcBorders>
              <w:top w:val="nil"/>
              <w:left w:val="nil"/>
            </w:tcBorders>
          </w:tcPr>
          <w:p w14:paraId="7BF497F7" w14:textId="77777777" w:rsidR="00695562" w:rsidRPr="00763B47" w:rsidRDefault="00695562" w:rsidP="00D223C5">
            <w:pPr>
              <w:tabs>
                <w:tab w:val="left" w:pos="2880"/>
              </w:tabs>
              <w:ind w:left="284" w:right="237"/>
              <w:jc w:val="both"/>
              <w:rPr>
                <w:rFonts w:ascii="Arial" w:eastAsia="Calibri" w:hAnsi="Arial" w:cs="Arial"/>
                <w:sz w:val="20"/>
                <w:szCs w:val="20"/>
              </w:rPr>
            </w:pPr>
            <w:r w:rsidRPr="00763B47">
              <w:rPr>
                <w:rFonts w:ascii="Arial" w:hAnsi="Arial" w:cs="Arial"/>
                <w:sz w:val="20"/>
                <w:szCs w:val="20"/>
              </w:rPr>
              <w:t>NALFAs typically have a limited capacity for multiplexing</w:t>
            </w:r>
          </w:p>
        </w:tc>
        <w:tc>
          <w:tcPr>
            <w:tcW w:w="4508" w:type="dxa"/>
            <w:tcBorders>
              <w:right w:val="nil"/>
            </w:tcBorders>
          </w:tcPr>
          <w:p w14:paraId="7176CEBF" w14:textId="77777777"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 xml:space="preserve"> (Xu </w:t>
            </w:r>
            <w:r w:rsidRPr="00763B47">
              <w:rPr>
                <w:rFonts w:ascii="Arial" w:hAnsi="Arial" w:cs="Arial"/>
                <w:i/>
                <w:iCs/>
                <w:sz w:val="20"/>
                <w:szCs w:val="20"/>
              </w:rPr>
              <w:t>et al.,</w:t>
            </w:r>
            <w:r w:rsidRPr="00763B47">
              <w:rPr>
                <w:rFonts w:ascii="Arial" w:hAnsi="Arial" w:cs="Arial"/>
                <w:sz w:val="20"/>
                <w:szCs w:val="20"/>
              </w:rPr>
              <w:t xml:space="preserve"> 2014)</w:t>
            </w:r>
          </w:p>
        </w:tc>
      </w:tr>
      <w:tr w:rsidR="00695562" w:rsidRPr="00695562" w14:paraId="2D525B15" w14:textId="77777777" w:rsidTr="000E0909">
        <w:trPr>
          <w:trHeight w:val="974"/>
        </w:trPr>
        <w:tc>
          <w:tcPr>
            <w:tcW w:w="4508" w:type="dxa"/>
            <w:tcBorders>
              <w:left w:val="nil"/>
            </w:tcBorders>
          </w:tcPr>
          <w:p w14:paraId="22AA9117" w14:textId="77777777"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Due to complicated conjugation processes, developing NALFAs with fluorescent probes or other advanced features can be difficult.</w:t>
            </w:r>
          </w:p>
        </w:tc>
        <w:tc>
          <w:tcPr>
            <w:tcW w:w="4508" w:type="dxa"/>
            <w:tcBorders>
              <w:right w:val="nil"/>
            </w:tcBorders>
          </w:tcPr>
          <w:p w14:paraId="048CEC50" w14:textId="77777777"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 xml:space="preserve"> (Xu </w:t>
            </w:r>
            <w:r w:rsidRPr="00763B47">
              <w:rPr>
                <w:rFonts w:ascii="Arial" w:hAnsi="Arial" w:cs="Arial"/>
                <w:i/>
                <w:iCs/>
                <w:sz w:val="20"/>
                <w:szCs w:val="20"/>
              </w:rPr>
              <w:t>et al.,</w:t>
            </w:r>
            <w:r w:rsidRPr="00763B47">
              <w:rPr>
                <w:rFonts w:ascii="Arial" w:hAnsi="Arial" w:cs="Arial"/>
                <w:sz w:val="20"/>
                <w:szCs w:val="20"/>
              </w:rPr>
              <w:t xml:space="preserve"> 2014)</w:t>
            </w:r>
          </w:p>
        </w:tc>
      </w:tr>
      <w:tr w:rsidR="00695562" w:rsidRPr="00695562" w14:paraId="0ADE2B0E" w14:textId="77777777" w:rsidTr="000E0909">
        <w:trPr>
          <w:trHeight w:val="987"/>
        </w:trPr>
        <w:tc>
          <w:tcPr>
            <w:tcW w:w="4508" w:type="dxa"/>
            <w:tcBorders>
              <w:left w:val="nil"/>
            </w:tcBorders>
          </w:tcPr>
          <w:p w14:paraId="4B7CF9F0" w14:textId="77777777" w:rsidR="00695562" w:rsidRPr="00763B47" w:rsidRDefault="00695562" w:rsidP="00D223C5">
            <w:pPr>
              <w:tabs>
                <w:tab w:val="left" w:pos="3366"/>
              </w:tabs>
              <w:ind w:left="284" w:right="237"/>
              <w:jc w:val="both"/>
              <w:rPr>
                <w:rFonts w:ascii="Arial" w:eastAsia="Calibri" w:hAnsi="Arial" w:cs="Arial"/>
                <w:sz w:val="20"/>
                <w:szCs w:val="20"/>
              </w:rPr>
            </w:pPr>
            <w:r w:rsidRPr="00763B47">
              <w:rPr>
                <w:rFonts w:ascii="Arial" w:hAnsi="Arial" w:cs="Arial"/>
                <w:sz w:val="20"/>
                <w:szCs w:val="20"/>
              </w:rPr>
              <w:t xml:space="preserve">Certain NALFAs require altered DNAs, which raises the potential expense of development </w:t>
            </w:r>
          </w:p>
        </w:tc>
        <w:tc>
          <w:tcPr>
            <w:tcW w:w="4508" w:type="dxa"/>
            <w:tcBorders>
              <w:right w:val="nil"/>
            </w:tcBorders>
          </w:tcPr>
          <w:p w14:paraId="148D46B4" w14:textId="77777777"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 xml:space="preserve"> (</w:t>
            </w:r>
            <w:bookmarkStart w:id="5" w:name="_Hlk162220776"/>
            <w:r w:rsidRPr="00763B47">
              <w:rPr>
                <w:rFonts w:ascii="Arial" w:hAnsi="Arial" w:cs="Arial"/>
                <w:sz w:val="20"/>
                <w:szCs w:val="20"/>
              </w:rPr>
              <w:t>Javani</w:t>
            </w:r>
            <w:r w:rsidRPr="00763B47">
              <w:rPr>
                <w:rFonts w:ascii="Arial" w:hAnsi="Arial" w:cs="Arial"/>
                <w:i/>
                <w:iCs/>
                <w:sz w:val="20"/>
                <w:szCs w:val="20"/>
              </w:rPr>
              <w:t>et al.,</w:t>
            </w:r>
            <w:r w:rsidRPr="00763B47">
              <w:rPr>
                <w:rFonts w:ascii="Arial" w:hAnsi="Arial" w:cs="Arial"/>
                <w:sz w:val="20"/>
                <w:szCs w:val="20"/>
              </w:rPr>
              <w:t xml:space="preserve"> 2017</w:t>
            </w:r>
            <w:bookmarkEnd w:id="5"/>
            <w:r w:rsidRPr="00763B47">
              <w:rPr>
                <w:rFonts w:ascii="Arial" w:hAnsi="Arial" w:cs="Arial"/>
                <w:sz w:val="20"/>
                <w:szCs w:val="20"/>
              </w:rPr>
              <w:t>).</w:t>
            </w:r>
          </w:p>
        </w:tc>
      </w:tr>
      <w:tr w:rsidR="00695562" w:rsidRPr="00695562" w14:paraId="66DEDDBB" w14:textId="77777777" w:rsidTr="000E0909">
        <w:trPr>
          <w:trHeight w:val="1824"/>
        </w:trPr>
        <w:tc>
          <w:tcPr>
            <w:tcW w:w="4508" w:type="dxa"/>
            <w:tcBorders>
              <w:left w:val="nil"/>
              <w:bottom w:val="single" w:sz="4" w:space="0" w:color="auto"/>
            </w:tcBorders>
          </w:tcPr>
          <w:p w14:paraId="08266C64" w14:textId="77777777" w:rsidR="00695562" w:rsidRPr="00763B47" w:rsidRDefault="00695562" w:rsidP="00D223C5">
            <w:pPr>
              <w:tabs>
                <w:tab w:val="left" w:pos="2980"/>
              </w:tabs>
              <w:ind w:left="284" w:right="237"/>
              <w:jc w:val="both"/>
              <w:rPr>
                <w:rFonts w:ascii="Arial" w:eastAsia="Calibri" w:hAnsi="Arial" w:cs="Arial"/>
                <w:sz w:val="20"/>
                <w:szCs w:val="20"/>
              </w:rPr>
            </w:pPr>
            <w:r w:rsidRPr="00763B47">
              <w:rPr>
                <w:rFonts w:ascii="Arial" w:hAnsi="Arial" w:cs="Arial"/>
                <w:sz w:val="20"/>
                <w:szCs w:val="20"/>
              </w:rPr>
              <w:t xml:space="preserve">Despite being simple, NALFAs don't have built-in signal amplification techniques. Researchers have looked into a number of methods to increase the strength of the signal, such as modifying gold nanoparticles (GNPs) and enhancing color with enzymes </w:t>
            </w:r>
          </w:p>
        </w:tc>
        <w:tc>
          <w:tcPr>
            <w:tcW w:w="4508" w:type="dxa"/>
            <w:tcBorders>
              <w:bottom w:val="single" w:sz="4" w:space="0" w:color="auto"/>
              <w:right w:val="nil"/>
            </w:tcBorders>
          </w:tcPr>
          <w:p w14:paraId="4518E390" w14:textId="77777777"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 xml:space="preserve"> (</w:t>
            </w:r>
            <w:bookmarkStart w:id="6" w:name="_Hlk162220730"/>
            <w:r w:rsidRPr="00763B47">
              <w:rPr>
                <w:rFonts w:ascii="Arial" w:hAnsi="Arial" w:cs="Arial"/>
                <w:sz w:val="20"/>
                <w:szCs w:val="20"/>
              </w:rPr>
              <w:t xml:space="preserve">Ghosh </w:t>
            </w:r>
            <w:r w:rsidRPr="00763B47">
              <w:rPr>
                <w:rFonts w:ascii="Arial" w:hAnsi="Arial" w:cs="Arial"/>
                <w:i/>
                <w:iCs/>
                <w:sz w:val="20"/>
                <w:szCs w:val="20"/>
              </w:rPr>
              <w:t>et al.,</w:t>
            </w:r>
            <w:r w:rsidRPr="00763B47">
              <w:rPr>
                <w:rFonts w:ascii="Arial" w:hAnsi="Arial" w:cs="Arial"/>
                <w:sz w:val="20"/>
                <w:szCs w:val="20"/>
              </w:rPr>
              <w:t>2023</w:t>
            </w:r>
            <w:bookmarkEnd w:id="6"/>
            <w:r w:rsidRPr="00763B47">
              <w:rPr>
                <w:rFonts w:ascii="Arial" w:hAnsi="Arial" w:cs="Arial"/>
                <w:sz w:val="20"/>
                <w:szCs w:val="20"/>
              </w:rPr>
              <w:t>)</w:t>
            </w:r>
          </w:p>
        </w:tc>
      </w:tr>
    </w:tbl>
    <w:p w14:paraId="0EED47A5" w14:textId="77777777" w:rsidR="0083658E" w:rsidRPr="00763B47" w:rsidRDefault="0083658E" w:rsidP="00D223C5">
      <w:pPr>
        <w:spacing w:before="240" w:line="240" w:lineRule="auto"/>
        <w:ind w:left="284" w:right="237"/>
        <w:jc w:val="both"/>
        <w:rPr>
          <w:rFonts w:ascii="Arial" w:eastAsia="Times New Roman" w:hAnsi="Arial" w:cs="Arial"/>
          <w:sz w:val="20"/>
          <w:szCs w:val="20"/>
          <w:lang w:val="en-US"/>
        </w:rPr>
      </w:pPr>
      <w:r w:rsidRPr="00763B47">
        <w:rPr>
          <w:rFonts w:ascii="Arial" w:eastAsia="Times New Roman" w:hAnsi="Arial" w:cs="Arial"/>
          <w:sz w:val="20"/>
          <w:szCs w:val="20"/>
          <w:lang w:val="en-US"/>
        </w:rPr>
        <w:t xml:space="preserve">Even though NALFAs are easy to use and have a quick detection time, reliable pebrine detection requires resolving their limitations. To get beyond these obstacles and enhance the </w:t>
      </w:r>
      <w:r w:rsidRPr="00763B47">
        <w:rPr>
          <w:rFonts w:ascii="Arial" w:eastAsia="Times New Roman" w:hAnsi="Arial" w:cs="Arial"/>
          <w:sz w:val="20"/>
          <w:szCs w:val="20"/>
          <w:lang w:val="en-US"/>
        </w:rPr>
        <w:lastRenderedPageBreak/>
        <w:t>functionality of NALFAs in diagnostic applications, researchers are still looking into creative solutions</w:t>
      </w:r>
      <w:r w:rsidR="0063777C" w:rsidRPr="00763B47">
        <w:rPr>
          <w:rFonts w:ascii="Arial" w:eastAsia="Times New Roman" w:hAnsi="Arial" w:cs="Arial"/>
          <w:sz w:val="20"/>
          <w:szCs w:val="20"/>
          <w:lang w:val="en-US"/>
        </w:rPr>
        <w:t xml:space="preserve"> </w:t>
      </w:r>
      <w:r w:rsidR="00BC364D" w:rsidRPr="00763B47">
        <w:rPr>
          <w:rFonts w:ascii="Arial" w:eastAsia="Times New Roman" w:hAnsi="Arial" w:cs="Arial"/>
          <w:sz w:val="20"/>
          <w:szCs w:val="20"/>
          <w:lang w:val="en-US"/>
        </w:rPr>
        <w:t>(</w:t>
      </w:r>
      <w:r w:rsidR="00BF43C4" w:rsidRPr="00763B47">
        <w:rPr>
          <w:rFonts w:ascii="Arial" w:eastAsia="Times New Roman" w:hAnsi="Arial" w:cs="Arial"/>
          <w:sz w:val="20"/>
          <w:szCs w:val="20"/>
          <w:lang w:val="en-US"/>
        </w:rPr>
        <w:t>Javani</w:t>
      </w:r>
      <w:r w:rsidR="00BF43C4" w:rsidRPr="00763B47">
        <w:rPr>
          <w:rFonts w:ascii="Arial" w:eastAsia="Times New Roman" w:hAnsi="Arial" w:cs="Arial"/>
          <w:i/>
          <w:iCs/>
          <w:sz w:val="20"/>
          <w:szCs w:val="20"/>
          <w:lang w:val="en-US"/>
        </w:rPr>
        <w:t>et al.,</w:t>
      </w:r>
      <w:r w:rsidR="00BF43C4" w:rsidRPr="00763B47">
        <w:rPr>
          <w:rFonts w:ascii="Arial" w:eastAsia="Times New Roman" w:hAnsi="Arial" w:cs="Arial"/>
          <w:sz w:val="20"/>
          <w:szCs w:val="20"/>
          <w:lang w:val="en-US"/>
        </w:rPr>
        <w:t xml:space="preserve"> 2017, </w:t>
      </w:r>
      <w:r w:rsidRPr="00763B47">
        <w:rPr>
          <w:rFonts w:ascii="Arial" w:eastAsia="Times New Roman" w:hAnsi="Arial" w:cs="Arial"/>
          <w:sz w:val="20"/>
          <w:szCs w:val="20"/>
          <w:lang w:val="en-US"/>
        </w:rPr>
        <w:t xml:space="preserve">Xu </w:t>
      </w:r>
      <w:r w:rsidRPr="00763B47">
        <w:rPr>
          <w:rFonts w:ascii="Arial" w:eastAsia="Times New Roman" w:hAnsi="Arial" w:cs="Arial"/>
          <w:i/>
          <w:iCs/>
          <w:sz w:val="20"/>
          <w:szCs w:val="20"/>
          <w:lang w:val="en-US"/>
        </w:rPr>
        <w:t>et al.,</w:t>
      </w:r>
      <w:r w:rsidRPr="00763B47">
        <w:rPr>
          <w:rFonts w:ascii="Arial" w:eastAsia="Times New Roman" w:hAnsi="Arial" w:cs="Arial"/>
          <w:sz w:val="20"/>
          <w:szCs w:val="20"/>
          <w:lang w:val="en-US"/>
        </w:rPr>
        <w:t xml:space="preserve"> 2014</w:t>
      </w:r>
      <w:r w:rsidR="00BF43C4" w:rsidRPr="00763B47">
        <w:rPr>
          <w:rFonts w:ascii="Arial" w:eastAsia="Times New Roman" w:hAnsi="Arial" w:cs="Arial"/>
          <w:sz w:val="20"/>
          <w:szCs w:val="20"/>
          <w:lang w:val="en-US"/>
        </w:rPr>
        <w:t xml:space="preserve"> and </w:t>
      </w:r>
      <w:r w:rsidRPr="00763B47">
        <w:rPr>
          <w:rFonts w:ascii="Arial" w:eastAsia="Times New Roman" w:hAnsi="Arial" w:cs="Arial"/>
          <w:sz w:val="20"/>
          <w:szCs w:val="20"/>
          <w:lang w:val="en-US"/>
        </w:rPr>
        <w:t xml:space="preserve">Ghosh </w:t>
      </w:r>
      <w:r w:rsidRPr="00763B47">
        <w:rPr>
          <w:rFonts w:ascii="Arial" w:eastAsia="Times New Roman" w:hAnsi="Arial" w:cs="Arial"/>
          <w:i/>
          <w:iCs/>
          <w:sz w:val="20"/>
          <w:szCs w:val="20"/>
          <w:lang w:val="en-US"/>
        </w:rPr>
        <w:t>et al.,</w:t>
      </w:r>
      <w:r w:rsidRPr="00763B47">
        <w:rPr>
          <w:rFonts w:ascii="Arial" w:eastAsia="Times New Roman" w:hAnsi="Arial" w:cs="Arial"/>
          <w:sz w:val="20"/>
          <w:szCs w:val="20"/>
          <w:lang w:val="en-US"/>
        </w:rPr>
        <w:t>202</w:t>
      </w:r>
      <w:r w:rsidR="00BF43C4" w:rsidRPr="00763B47">
        <w:rPr>
          <w:rFonts w:ascii="Arial" w:eastAsia="Times New Roman" w:hAnsi="Arial" w:cs="Arial"/>
          <w:sz w:val="20"/>
          <w:szCs w:val="20"/>
          <w:lang w:val="en-US"/>
        </w:rPr>
        <w:t>3</w:t>
      </w:r>
      <w:r w:rsidRPr="00763B47">
        <w:rPr>
          <w:rFonts w:ascii="Arial" w:eastAsia="Times New Roman" w:hAnsi="Arial" w:cs="Arial"/>
          <w:sz w:val="20"/>
          <w:szCs w:val="20"/>
          <w:lang w:val="en-US"/>
        </w:rPr>
        <w:t>).</w:t>
      </w:r>
    </w:p>
    <w:p w14:paraId="3FE25052" w14:textId="77777777" w:rsidR="009E4391" w:rsidRPr="00763B47" w:rsidRDefault="009E4391" w:rsidP="00D223C5">
      <w:pPr>
        <w:pStyle w:val="ListParagraph"/>
        <w:numPr>
          <w:ilvl w:val="0"/>
          <w:numId w:val="5"/>
        </w:numPr>
        <w:spacing w:line="360" w:lineRule="auto"/>
        <w:ind w:left="284" w:right="237" w:firstLine="0"/>
        <w:jc w:val="both"/>
        <w:rPr>
          <w:rFonts w:ascii="Arial" w:eastAsia="Times New Roman" w:hAnsi="Arial" w:cs="Arial"/>
          <w:b/>
          <w:bCs/>
          <w:lang w:val="en-US"/>
        </w:rPr>
      </w:pPr>
      <w:r w:rsidRPr="00763B47">
        <w:rPr>
          <w:rFonts w:ascii="Arial" w:eastAsia="Times New Roman" w:hAnsi="Arial" w:cs="Arial"/>
          <w:b/>
          <w:bCs/>
          <w:lang w:val="en-US"/>
        </w:rPr>
        <w:t>FU</w:t>
      </w:r>
      <w:r w:rsidR="00763B47" w:rsidRPr="00763B47">
        <w:rPr>
          <w:rFonts w:ascii="Arial" w:eastAsia="Times New Roman" w:hAnsi="Arial" w:cs="Arial"/>
          <w:b/>
          <w:bCs/>
          <w:lang w:val="en-US"/>
        </w:rPr>
        <w:t>TURE DIRECTIONS AND CONCLUSION</w:t>
      </w:r>
    </w:p>
    <w:p w14:paraId="68302949" w14:textId="44F5EA03" w:rsidR="009E4391" w:rsidRPr="00763B47" w:rsidRDefault="009E4391" w:rsidP="00D223C5">
      <w:pPr>
        <w:spacing w:line="240" w:lineRule="auto"/>
        <w:ind w:left="284" w:right="237"/>
        <w:jc w:val="both"/>
        <w:rPr>
          <w:rFonts w:ascii="Arial" w:eastAsia="Times New Roman" w:hAnsi="Arial" w:cs="Arial"/>
          <w:sz w:val="20"/>
          <w:szCs w:val="20"/>
          <w:lang w:eastAsia="en-IN"/>
        </w:rPr>
      </w:pPr>
      <w:r w:rsidRPr="00763B47">
        <w:rPr>
          <w:rFonts w:ascii="Arial" w:eastAsia="Times New Roman" w:hAnsi="Arial" w:cs="Arial"/>
          <w:sz w:val="20"/>
          <w:szCs w:val="20"/>
          <w:lang w:eastAsia="en-IN"/>
        </w:rPr>
        <w:t xml:space="preserve">He </w:t>
      </w:r>
      <w:r w:rsidRPr="00763B47">
        <w:rPr>
          <w:rFonts w:ascii="Arial" w:eastAsia="Times New Roman" w:hAnsi="Arial" w:cs="Arial"/>
          <w:i/>
          <w:iCs/>
          <w:sz w:val="20"/>
          <w:szCs w:val="20"/>
          <w:lang w:eastAsia="en-IN"/>
        </w:rPr>
        <w:t>et al</w:t>
      </w:r>
      <w:r w:rsidRPr="00763B47">
        <w:rPr>
          <w:rFonts w:ascii="Arial" w:eastAsia="Times New Roman" w:hAnsi="Arial" w:cs="Arial"/>
          <w:sz w:val="20"/>
          <w:szCs w:val="20"/>
          <w:lang w:eastAsia="en-IN"/>
        </w:rPr>
        <w:t>. (2019) highlights NALFS's significant advantages in detecting various microorganisms, including its high accuracy, simplicity, speed, cost-effectiveness, long-term stability, and portability</w:t>
      </w:r>
      <w:r w:rsidR="000E0909" w:rsidRPr="00763B47">
        <w:rPr>
          <w:rFonts w:ascii="Arial" w:eastAsia="Times New Roman" w:hAnsi="Arial" w:cs="Arial"/>
          <w:sz w:val="20"/>
          <w:szCs w:val="20"/>
          <w:lang w:eastAsia="en-IN"/>
        </w:rPr>
        <w:t xml:space="preserve">. </w:t>
      </w:r>
      <w:r w:rsidRPr="00763B47">
        <w:rPr>
          <w:rFonts w:ascii="Arial" w:eastAsia="Times New Roman" w:hAnsi="Arial" w:cs="Arial"/>
          <w:sz w:val="20"/>
          <w:szCs w:val="20"/>
          <w:lang w:eastAsia="en-IN"/>
        </w:rPr>
        <w:t xml:space="preserve">Nonetheless, they emphasize the importance of improving sensitivity and cost control, as well as developing sampling procedures and quality evaluation standards for silkworm eggs.Similarly, Zheng </w:t>
      </w:r>
      <w:r w:rsidRPr="00763B47">
        <w:rPr>
          <w:rFonts w:ascii="Arial" w:eastAsia="Times New Roman" w:hAnsi="Arial" w:cs="Arial"/>
          <w:i/>
          <w:iCs/>
          <w:sz w:val="20"/>
          <w:szCs w:val="20"/>
          <w:lang w:eastAsia="en-IN"/>
        </w:rPr>
        <w:t>et al</w:t>
      </w:r>
      <w:r w:rsidRPr="00763B47">
        <w:rPr>
          <w:rFonts w:ascii="Arial" w:eastAsia="Times New Roman" w:hAnsi="Arial" w:cs="Arial"/>
          <w:sz w:val="20"/>
          <w:szCs w:val="20"/>
          <w:lang w:eastAsia="en-IN"/>
        </w:rPr>
        <w:t>. (2021) emphasize the importance of integrating the entire nucleic acid detection process, including sample preparation, extraction, amplification, and LFAs, in order to address future challenges in lateral flow nucleic acid tests. In many studies, these steps are separated into different reaction containers, and pipetting is required during the testing process. As a result, they propose combining these steps into a single microfluidic system that requires no human intervention, a promising avenue for future research.</w:t>
      </w:r>
      <w:r w:rsidR="00CB38C6">
        <w:rPr>
          <w:rFonts w:ascii="Arial" w:eastAsia="Times New Roman" w:hAnsi="Arial" w:cs="Arial"/>
          <w:sz w:val="20"/>
          <w:szCs w:val="20"/>
          <w:lang w:eastAsia="en-IN"/>
        </w:rPr>
        <w:t xml:space="preserve"> </w:t>
      </w:r>
      <w:r w:rsidR="00C46ECE" w:rsidRPr="00763B47">
        <w:rPr>
          <w:rFonts w:ascii="Arial" w:eastAsia="Times New Roman" w:hAnsi="Arial" w:cs="Arial"/>
          <w:sz w:val="20"/>
          <w:szCs w:val="20"/>
          <w:lang w:eastAsia="en-IN"/>
        </w:rPr>
        <w:t>Further research should be conducted to improve NALF strip sensitivity, shelf life, and cost-effectiveness for widespread use by sericulturists in India. Furthermore, investigating the multiplex detection of pebrine and other common silkworm diseases using NALF strips could be an important area of future research.</w:t>
      </w:r>
    </w:p>
    <w:p w14:paraId="1AACCB02" w14:textId="77777777" w:rsidR="00763B47" w:rsidRDefault="00C46ECE" w:rsidP="00D223C5">
      <w:pPr>
        <w:spacing w:line="240" w:lineRule="auto"/>
        <w:ind w:left="284" w:right="237"/>
        <w:jc w:val="both"/>
        <w:rPr>
          <w:rFonts w:ascii="Arial" w:eastAsia="Times New Roman" w:hAnsi="Arial" w:cs="Arial"/>
          <w:sz w:val="20"/>
          <w:szCs w:val="20"/>
          <w:lang w:eastAsia="en-IN"/>
        </w:rPr>
      </w:pPr>
      <w:r w:rsidRPr="00763B47">
        <w:rPr>
          <w:rFonts w:ascii="Arial" w:eastAsia="Times New Roman" w:hAnsi="Arial" w:cs="Arial"/>
          <w:sz w:val="20"/>
          <w:szCs w:val="20"/>
          <w:lang w:eastAsia="en-IN"/>
        </w:rPr>
        <w:t>To summarize, the development of rapid pebrine detection methodologies, particularly nucleic acid lateral flow assay (NALFA) strips, represents a transformative step forward in sericulture management. Pebrine disease is a major threat to silk production, and traditional detection methods have often been time-consuming, labour-intensive, and inaccurate.</w:t>
      </w:r>
      <w:r w:rsidR="00763B47" w:rsidRPr="00763B47">
        <w:rPr>
          <w:rFonts w:ascii="Arial" w:eastAsia="Times New Roman" w:hAnsi="Arial" w:cs="Arial"/>
          <w:sz w:val="20"/>
          <w:szCs w:val="20"/>
          <w:lang w:eastAsia="en-IN"/>
        </w:rPr>
        <w:t xml:space="preserve"> </w:t>
      </w:r>
    </w:p>
    <w:p w14:paraId="71F4DE5F" w14:textId="77777777" w:rsidR="00C46ECE" w:rsidRPr="00763B47" w:rsidRDefault="00763B47" w:rsidP="00D223C5">
      <w:pPr>
        <w:spacing w:line="240" w:lineRule="auto"/>
        <w:ind w:left="284" w:right="237"/>
        <w:jc w:val="both"/>
        <w:rPr>
          <w:rFonts w:ascii="Arial" w:eastAsia="Times New Roman" w:hAnsi="Arial" w:cs="Arial"/>
          <w:sz w:val="20"/>
          <w:szCs w:val="20"/>
          <w:lang w:eastAsia="en-IN"/>
        </w:rPr>
      </w:pPr>
      <w:r>
        <w:rPr>
          <w:rFonts w:ascii="Arial" w:hAnsi="Arial" w:cs="Arial"/>
          <w:sz w:val="20"/>
          <w:szCs w:val="20"/>
        </w:rPr>
        <w:t>However,</w:t>
      </w:r>
      <w:r w:rsidR="00C46ECE" w:rsidRPr="00763B47">
        <w:rPr>
          <w:rFonts w:ascii="Arial" w:hAnsi="Arial" w:cs="Arial"/>
          <w:sz w:val="20"/>
          <w:szCs w:val="20"/>
        </w:rPr>
        <w:t xml:space="preserve"> the introduction of NALFA strips has transformed the landscape of pebrine detection by providing a quick, simpl</w:t>
      </w:r>
      <w:r>
        <w:rPr>
          <w:rFonts w:ascii="Arial" w:hAnsi="Arial" w:cs="Arial"/>
          <w:sz w:val="20"/>
          <w:szCs w:val="20"/>
        </w:rPr>
        <w:t xml:space="preserve">e </w:t>
      </w:r>
      <w:r w:rsidR="00C46ECE" w:rsidRPr="00763B47">
        <w:rPr>
          <w:rFonts w:ascii="Arial" w:hAnsi="Arial" w:cs="Arial"/>
          <w:sz w:val="20"/>
          <w:szCs w:val="20"/>
        </w:rPr>
        <w:t>and hi</w:t>
      </w:r>
      <w:r w:rsidRPr="00763B47">
        <w:rPr>
          <w:rFonts w:ascii="Arial" w:hAnsi="Arial" w:cs="Arial"/>
          <w:sz w:val="20"/>
          <w:szCs w:val="20"/>
        </w:rPr>
        <w:t>ghly sensitive diagnostic tool.</w:t>
      </w:r>
      <w:r>
        <w:rPr>
          <w:rFonts w:ascii="Arial" w:eastAsia="Times New Roman" w:hAnsi="Arial" w:cs="Arial"/>
          <w:sz w:val="20"/>
          <w:szCs w:val="20"/>
          <w:lang w:eastAsia="en-IN"/>
        </w:rPr>
        <w:t xml:space="preserve"> </w:t>
      </w:r>
      <w:r w:rsidR="00C46ECE" w:rsidRPr="00763B47">
        <w:rPr>
          <w:rFonts w:ascii="Arial" w:eastAsia="Times New Roman" w:hAnsi="Arial" w:cs="Arial"/>
          <w:sz w:val="20"/>
          <w:szCs w:val="20"/>
          <w:lang w:eastAsia="en-IN"/>
        </w:rPr>
        <w:t>The reviewed literature demonstrates the remarkable potential of NALFA strips for early and precise detection of Nosema bombycis, the causative agent of pebrine disease. Their simplicity, portability, and cost-effectiveness make them ideal for incorporating into sericulture practices. Furthermore, the ability to obtain results within minutes, as opposed to traditional methods that may take daysor weeks for traditional methods, provides sericulturists with timely information to implement targeted management strategies and reduce the spread of pebrine.</w:t>
      </w:r>
    </w:p>
    <w:p w14:paraId="5A03C9C3" w14:textId="77777777" w:rsidR="00C46ECE" w:rsidRDefault="00C46ECE" w:rsidP="00D223C5">
      <w:pPr>
        <w:spacing w:line="240" w:lineRule="auto"/>
        <w:ind w:left="284" w:right="237"/>
        <w:jc w:val="both"/>
        <w:rPr>
          <w:rFonts w:ascii="Arial" w:eastAsia="Times New Roman" w:hAnsi="Arial" w:cs="Arial"/>
          <w:sz w:val="20"/>
          <w:szCs w:val="20"/>
          <w:lang w:eastAsia="en-IN"/>
        </w:rPr>
      </w:pPr>
      <w:r w:rsidRPr="00763B47">
        <w:rPr>
          <w:rFonts w:ascii="Arial" w:eastAsia="Times New Roman" w:hAnsi="Arial" w:cs="Arial"/>
          <w:sz w:val="20"/>
          <w:szCs w:val="20"/>
          <w:lang w:eastAsia="en-IN"/>
        </w:rPr>
        <w:t>The successful development and implementation of NALF strips can provide sericulturists with a powerful tool for disease surveillance and management, resulting in a more sustainable and profitable Indian sericulture industry.</w:t>
      </w:r>
    </w:p>
    <w:p w14:paraId="2F7BDDC6" w14:textId="77777777" w:rsidR="00D65F12" w:rsidRPr="00763B47" w:rsidRDefault="00D65F12" w:rsidP="00D223C5">
      <w:pPr>
        <w:spacing w:line="240" w:lineRule="auto"/>
        <w:ind w:left="284" w:right="237"/>
        <w:jc w:val="both"/>
        <w:rPr>
          <w:rFonts w:ascii="Arial" w:eastAsia="Times New Roman" w:hAnsi="Arial" w:cs="Arial"/>
          <w:sz w:val="20"/>
          <w:szCs w:val="20"/>
          <w:lang w:eastAsia="en-IN"/>
        </w:rPr>
      </w:pPr>
    </w:p>
    <w:p w14:paraId="3DF7BA77" w14:textId="77777777" w:rsidR="004F570B" w:rsidRPr="00ED3BD6" w:rsidRDefault="00ED3BD6" w:rsidP="00D223C5">
      <w:pPr>
        <w:spacing w:before="240" w:line="360" w:lineRule="auto"/>
        <w:ind w:left="284" w:right="237"/>
        <w:jc w:val="both"/>
        <w:rPr>
          <w:rFonts w:ascii="Arial" w:eastAsia="Times New Roman" w:hAnsi="Arial" w:cs="Arial"/>
          <w:b/>
          <w:bCs/>
          <w:lang w:val="en-US"/>
        </w:rPr>
      </w:pPr>
      <w:r w:rsidRPr="00ED3BD6">
        <w:rPr>
          <w:rFonts w:ascii="Arial" w:eastAsia="Times New Roman" w:hAnsi="Arial" w:cs="Arial"/>
          <w:b/>
          <w:bCs/>
          <w:lang w:val="en-US"/>
        </w:rPr>
        <w:t>REFERENCES</w:t>
      </w:r>
    </w:p>
    <w:p w14:paraId="63B93049" w14:textId="77777777" w:rsidR="0063777C" w:rsidRPr="009778B9" w:rsidRDefault="0063777C" w:rsidP="00D223C5">
      <w:pPr>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Esvaran, V., Jagadish, A., Terenius, O., Suraporn, S., Mishra, R. K., &amp;Ponnuvel, K. M. (2020). Targeting essential genes of Nosema for the diagnosis of pebrine disease in silkworms. </w:t>
      </w:r>
      <w:r w:rsidRPr="009778B9">
        <w:rPr>
          <w:rFonts w:ascii="Arial" w:hAnsi="Arial" w:cs="Arial"/>
          <w:iCs/>
          <w:color w:val="222222"/>
          <w:sz w:val="20"/>
          <w:szCs w:val="20"/>
          <w:shd w:val="clear" w:color="auto" w:fill="FFFFFF"/>
        </w:rPr>
        <w:t>Annals of Parasitology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66</w:t>
      </w:r>
      <w:r w:rsidRPr="009778B9">
        <w:rPr>
          <w:rFonts w:ascii="Arial" w:hAnsi="Arial" w:cs="Arial"/>
          <w:color w:val="222222"/>
          <w:sz w:val="20"/>
          <w:szCs w:val="20"/>
          <w:shd w:val="clear" w:color="auto" w:fill="FFFFFF"/>
        </w:rPr>
        <w:t>(3), 303-310</w:t>
      </w:r>
      <w:r w:rsidR="00BF43C4" w:rsidRPr="009778B9">
        <w:rPr>
          <w:rFonts w:ascii="Arial" w:hAnsi="Arial" w:cs="Arial"/>
          <w:color w:val="222222"/>
          <w:sz w:val="20"/>
          <w:szCs w:val="20"/>
          <w:shd w:val="clear" w:color="auto" w:fill="FFFFFF"/>
        </w:rPr>
        <w:t xml:space="preserve">. </w:t>
      </w:r>
      <w:r w:rsidRPr="009778B9">
        <w:rPr>
          <w:rFonts w:ascii="Arial" w:hAnsi="Arial" w:cs="Arial"/>
          <w:color w:val="222222"/>
          <w:sz w:val="20"/>
          <w:szCs w:val="20"/>
          <w:shd w:val="clear" w:color="auto" w:fill="FFFFFF"/>
        </w:rPr>
        <w:t>doi:</w:t>
      </w:r>
      <w:hyperlink r:id="rId16" w:history="1">
        <w:r w:rsidR="00BF43C4" w:rsidRPr="009778B9">
          <w:rPr>
            <w:rStyle w:val="Hyperlink"/>
            <w:rFonts w:ascii="Arial" w:hAnsi="Arial" w:cs="Arial"/>
            <w:sz w:val="20"/>
            <w:szCs w:val="20"/>
          </w:rPr>
          <w:t>http://dx.doi.org/10.17420/ap6603.268</w:t>
        </w:r>
      </w:hyperlink>
    </w:p>
    <w:p w14:paraId="527E3E2E" w14:textId="77777777" w:rsidR="0063777C" w:rsidRPr="009778B9" w:rsidRDefault="0063777C" w:rsidP="00D223C5">
      <w:pPr>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Sokolova, Y. Y., Sokolov, I. M., &amp;Fuxa, J. R. (2004). Identification of Microsporidia infections in nature: light microscopy or PCR?. </w:t>
      </w:r>
      <w:r w:rsidRPr="009778B9">
        <w:rPr>
          <w:rFonts w:ascii="Arial" w:hAnsi="Arial" w:cs="Arial"/>
          <w:iCs/>
          <w:color w:val="222222"/>
          <w:sz w:val="20"/>
          <w:szCs w:val="20"/>
          <w:shd w:val="clear" w:color="auto" w:fill="FFFFFF"/>
        </w:rPr>
        <w:t>Protistology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3</w:t>
      </w:r>
      <w:r w:rsidRPr="009778B9">
        <w:rPr>
          <w:rFonts w:ascii="Arial" w:hAnsi="Arial" w:cs="Arial"/>
          <w:color w:val="222222"/>
          <w:sz w:val="20"/>
          <w:szCs w:val="20"/>
          <w:shd w:val="clear" w:color="auto" w:fill="FFFFFF"/>
        </w:rPr>
        <w:t>(4), 273-281.</w:t>
      </w:r>
    </w:p>
    <w:p w14:paraId="5024467F" w14:textId="77777777" w:rsidR="0063777C" w:rsidRPr="009778B9" w:rsidRDefault="0063777C" w:rsidP="00D223C5">
      <w:pPr>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Han, M. S., &amp; Watanabe, H. (1988). Transovarial transmission of two microsporidia in the silkworm, Bombyx mori, </w:t>
      </w:r>
      <w:r w:rsidRPr="009778B9">
        <w:rPr>
          <w:rFonts w:ascii="Arial" w:hAnsi="Arial" w:cs="Arial"/>
          <w:i/>
          <w:color w:val="222222"/>
          <w:sz w:val="20"/>
          <w:szCs w:val="20"/>
          <w:shd w:val="clear" w:color="auto" w:fill="FFFFFF"/>
        </w:rPr>
        <w:t>and</w:t>
      </w:r>
      <w:r w:rsidRPr="009778B9">
        <w:rPr>
          <w:rFonts w:ascii="Arial" w:hAnsi="Arial" w:cs="Arial"/>
          <w:color w:val="222222"/>
          <w:sz w:val="20"/>
          <w:szCs w:val="20"/>
          <w:shd w:val="clear" w:color="auto" w:fill="FFFFFF"/>
        </w:rPr>
        <w:t xml:space="preserve"> disease occurrence in the progeny population. </w:t>
      </w:r>
      <w:r w:rsidRPr="009778B9">
        <w:rPr>
          <w:rFonts w:ascii="Arial" w:hAnsi="Arial" w:cs="Arial"/>
          <w:iCs/>
          <w:color w:val="222222"/>
          <w:sz w:val="20"/>
          <w:szCs w:val="20"/>
          <w:shd w:val="clear" w:color="auto" w:fill="FFFFFF"/>
        </w:rPr>
        <w:t>Journal of Invertebrate Pathology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51</w:t>
      </w:r>
      <w:r w:rsidRPr="009778B9">
        <w:rPr>
          <w:rFonts w:ascii="Arial" w:hAnsi="Arial" w:cs="Arial"/>
          <w:color w:val="222222"/>
          <w:sz w:val="20"/>
          <w:szCs w:val="20"/>
          <w:shd w:val="clear" w:color="auto" w:fill="FFFFFF"/>
        </w:rPr>
        <w:t>(1), 41-45</w:t>
      </w:r>
      <w:r w:rsidR="00BF43C4" w:rsidRPr="009778B9">
        <w:rPr>
          <w:rFonts w:ascii="Arial" w:hAnsi="Arial" w:cs="Arial"/>
          <w:color w:val="222222"/>
          <w:sz w:val="20"/>
          <w:szCs w:val="20"/>
          <w:shd w:val="clear" w:color="auto" w:fill="FFFFFF"/>
        </w:rPr>
        <w:t>.</w:t>
      </w:r>
      <w:r w:rsidRPr="009778B9">
        <w:rPr>
          <w:rFonts w:ascii="Arial" w:hAnsi="Arial" w:cs="Arial"/>
          <w:color w:val="222222"/>
          <w:sz w:val="20"/>
          <w:szCs w:val="20"/>
          <w:shd w:val="clear" w:color="auto" w:fill="FFFFFF"/>
        </w:rPr>
        <w:t xml:space="preserve"> doi: </w:t>
      </w:r>
      <w:hyperlink r:id="rId17" w:history="1">
        <w:r w:rsidRPr="009778B9">
          <w:rPr>
            <w:rFonts w:ascii="Arial" w:hAnsi="Arial" w:cs="Arial"/>
            <w:color w:val="0000FF" w:themeColor="hyperlink"/>
            <w:sz w:val="20"/>
            <w:szCs w:val="20"/>
            <w:u w:val="single"/>
          </w:rPr>
          <w:t>https://doi.org/10.1016/0022-2011(88)90086-9</w:t>
        </w:r>
      </w:hyperlink>
      <w:r w:rsidRPr="009778B9">
        <w:rPr>
          <w:rFonts w:ascii="Arial" w:hAnsi="Arial" w:cs="Arial"/>
          <w:sz w:val="20"/>
          <w:szCs w:val="20"/>
        </w:rPr>
        <w:t>.</w:t>
      </w:r>
    </w:p>
    <w:p w14:paraId="1AB16389" w14:textId="77777777" w:rsidR="00F64659" w:rsidRPr="009778B9" w:rsidRDefault="00F64659" w:rsidP="00D223C5">
      <w:pPr>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lastRenderedPageBreak/>
        <w:t xml:space="preserve">Fu, Z., He, X., Cai, S., Liu, H., He, X., Li, M., &amp; Lu, X. (2016). Quantitative PCR for detection of Nosema bombycis in single silkworm eggs and newly hatched larvae. </w:t>
      </w:r>
      <w:r w:rsidRPr="009778B9">
        <w:rPr>
          <w:rFonts w:ascii="Arial" w:hAnsi="Arial" w:cs="Arial"/>
          <w:iCs/>
          <w:color w:val="222222"/>
          <w:sz w:val="20"/>
          <w:szCs w:val="20"/>
          <w:shd w:val="clear" w:color="auto" w:fill="FFFFFF"/>
        </w:rPr>
        <w:t>Journal of microbiological methods</w:t>
      </w:r>
      <w:r w:rsidRPr="009778B9">
        <w:rPr>
          <w:rFonts w:ascii="Arial" w:hAnsi="Arial" w:cs="Arial"/>
          <w:color w:val="222222"/>
          <w:sz w:val="20"/>
          <w:szCs w:val="20"/>
          <w:shd w:val="clear" w:color="auto" w:fill="FFFFFF"/>
        </w:rPr>
        <w:t xml:space="preserve">, </w:t>
      </w:r>
      <w:r w:rsidRPr="009778B9">
        <w:rPr>
          <w:rFonts w:ascii="Arial" w:hAnsi="Arial" w:cs="Arial"/>
          <w:iCs/>
          <w:color w:val="222222"/>
          <w:sz w:val="20"/>
          <w:szCs w:val="20"/>
          <w:shd w:val="clear" w:color="auto" w:fill="FFFFFF"/>
        </w:rPr>
        <w:t>120</w:t>
      </w:r>
      <w:r w:rsidRPr="009778B9">
        <w:rPr>
          <w:rFonts w:ascii="Arial" w:hAnsi="Arial" w:cs="Arial"/>
          <w:color w:val="222222"/>
          <w:sz w:val="20"/>
          <w:szCs w:val="20"/>
          <w:shd w:val="clear" w:color="auto" w:fill="FFFFFF"/>
        </w:rPr>
        <w:t>, 72-78.</w:t>
      </w:r>
      <w:r w:rsidR="00BF43C4" w:rsidRPr="009778B9">
        <w:rPr>
          <w:rFonts w:ascii="Arial" w:hAnsi="Arial" w:cs="Arial"/>
          <w:color w:val="222222"/>
          <w:sz w:val="20"/>
          <w:szCs w:val="20"/>
          <w:shd w:val="clear" w:color="auto" w:fill="FFFFFF"/>
        </w:rPr>
        <w:t xml:space="preserve"> doi: </w:t>
      </w:r>
      <w:hyperlink r:id="rId18" w:history="1">
        <w:r w:rsidR="00BF43C4" w:rsidRPr="009778B9">
          <w:rPr>
            <w:rStyle w:val="Hyperlink"/>
            <w:rFonts w:ascii="Arial" w:hAnsi="Arial" w:cs="Arial"/>
            <w:sz w:val="20"/>
            <w:szCs w:val="20"/>
            <w:shd w:val="clear" w:color="auto" w:fill="FFFFFF"/>
          </w:rPr>
          <w:t>http://dx.doi.org/10.1016/j.mimet.2015.12.003</w:t>
        </w:r>
      </w:hyperlink>
    </w:p>
    <w:p w14:paraId="224439BE" w14:textId="77777777" w:rsidR="00BF43C4" w:rsidRPr="009778B9" w:rsidRDefault="00F64659" w:rsidP="00D223C5">
      <w:pPr>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Hamiduzzaman, M. M., Guzman-Novoa, E., &amp; Goodwin, P. H. (2010). A multiplex PCR assay to diagnose and quantify Nosema infections in honey bees (</w:t>
      </w:r>
      <w:r w:rsidRPr="009778B9">
        <w:rPr>
          <w:rFonts w:ascii="Arial" w:hAnsi="Arial" w:cs="Arial"/>
          <w:i/>
          <w:iCs/>
          <w:color w:val="222222"/>
          <w:sz w:val="20"/>
          <w:szCs w:val="20"/>
          <w:shd w:val="clear" w:color="auto" w:fill="FFFFFF"/>
        </w:rPr>
        <w:t>Apis mellifera</w:t>
      </w:r>
      <w:r w:rsidRPr="009778B9">
        <w:rPr>
          <w:rFonts w:ascii="Arial" w:hAnsi="Arial" w:cs="Arial"/>
          <w:color w:val="222222"/>
          <w:sz w:val="20"/>
          <w:szCs w:val="20"/>
          <w:shd w:val="clear" w:color="auto" w:fill="FFFFFF"/>
        </w:rPr>
        <w:t xml:space="preserve">). </w:t>
      </w:r>
      <w:r w:rsidRPr="009778B9">
        <w:rPr>
          <w:rFonts w:ascii="Arial" w:hAnsi="Arial" w:cs="Arial"/>
          <w:iCs/>
          <w:color w:val="222222"/>
          <w:sz w:val="20"/>
          <w:szCs w:val="20"/>
          <w:shd w:val="clear" w:color="auto" w:fill="FFFFFF"/>
        </w:rPr>
        <w:t>Journal of Invertebrate Pathology</w:t>
      </w:r>
      <w:r w:rsidRPr="009778B9">
        <w:rPr>
          <w:rFonts w:ascii="Arial" w:hAnsi="Arial" w:cs="Arial"/>
          <w:color w:val="222222"/>
          <w:sz w:val="20"/>
          <w:szCs w:val="20"/>
          <w:shd w:val="clear" w:color="auto" w:fill="FFFFFF"/>
        </w:rPr>
        <w:t xml:space="preserve">, </w:t>
      </w:r>
      <w:r w:rsidRPr="009778B9">
        <w:rPr>
          <w:rFonts w:ascii="Arial" w:hAnsi="Arial" w:cs="Arial"/>
          <w:iCs/>
          <w:color w:val="222222"/>
          <w:sz w:val="20"/>
          <w:szCs w:val="20"/>
          <w:shd w:val="clear" w:color="auto" w:fill="FFFFFF"/>
        </w:rPr>
        <w:t>105</w:t>
      </w:r>
      <w:r w:rsidRPr="009778B9">
        <w:rPr>
          <w:rFonts w:ascii="Arial" w:hAnsi="Arial" w:cs="Arial"/>
          <w:color w:val="222222"/>
          <w:sz w:val="20"/>
          <w:szCs w:val="20"/>
          <w:shd w:val="clear" w:color="auto" w:fill="FFFFFF"/>
        </w:rPr>
        <w:t>(2), 151-155.</w:t>
      </w:r>
      <w:r w:rsidR="00BF43C4" w:rsidRPr="009778B9">
        <w:rPr>
          <w:rFonts w:ascii="Arial" w:hAnsi="Arial" w:cs="Arial"/>
          <w:color w:val="222222"/>
          <w:sz w:val="20"/>
          <w:szCs w:val="20"/>
          <w:shd w:val="clear" w:color="auto" w:fill="FFFFFF"/>
        </w:rPr>
        <w:t xml:space="preserve"> doi: </w:t>
      </w:r>
      <w:hyperlink r:id="rId19" w:history="1">
        <w:r w:rsidR="00BF43C4" w:rsidRPr="009778B9">
          <w:rPr>
            <w:rStyle w:val="Hyperlink"/>
            <w:rFonts w:ascii="Arial" w:hAnsi="Arial" w:cs="Arial"/>
            <w:sz w:val="20"/>
            <w:szCs w:val="20"/>
            <w:shd w:val="clear" w:color="auto" w:fill="FFFFFF"/>
          </w:rPr>
          <w:t>http://dx.doi.org/10.1016/j.jip.2010.06.001</w:t>
        </w:r>
      </w:hyperlink>
    </w:p>
    <w:p w14:paraId="2E67DFA1" w14:textId="77777777" w:rsidR="00F64659" w:rsidRPr="009778B9" w:rsidRDefault="00F64659" w:rsidP="00D223C5">
      <w:pPr>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Liu, J. P., Cao, Y., Smith, J. E., &amp; Xu, X. (2004). Studies on the application of PCR molecular diagnosis to silkworms with simulated pebrine disease.</w:t>
      </w:r>
      <w:r w:rsidR="00ED3BD6" w:rsidRPr="009778B9">
        <w:rPr>
          <w:rFonts w:ascii="Arial" w:hAnsi="Arial" w:cs="Arial"/>
          <w:color w:val="222222"/>
          <w:sz w:val="20"/>
          <w:szCs w:val="20"/>
          <w:shd w:val="clear" w:color="auto" w:fill="FFFFFF"/>
        </w:rPr>
        <w:t xml:space="preserve"> Scientia Agricultura Sinica</w:t>
      </w:r>
      <w:r w:rsidRPr="009778B9">
        <w:rPr>
          <w:rFonts w:ascii="Arial" w:hAnsi="Arial" w:cs="Arial"/>
          <w:color w:val="222222"/>
          <w:sz w:val="20"/>
          <w:szCs w:val="20"/>
          <w:shd w:val="clear" w:color="auto" w:fill="FFFFFF"/>
        </w:rPr>
        <w:t xml:space="preserve">, </w:t>
      </w:r>
      <w:r w:rsidRPr="009778B9">
        <w:rPr>
          <w:rFonts w:ascii="Arial" w:hAnsi="Arial" w:cs="Arial"/>
          <w:iCs/>
          <w:color w:val="222222"/>
          <w:sz w:val="20"/>
          <w:szCs w:val="20"/>
          <w:shd w:val="clear" w:color="auto" w:fill="FFFFFF"/>
        </w:rPr>
        <w:t>37</w:t>
      </w:r>
      <w:r w:rsidRPr="009778B9">
        <w:rPr>
          <w:rFonts w:ascii="Arial" w:hAnsi="Arial" w:cs="Arial"/>
          <w:color w:val="222222"/>
          <w:sz w:val="20"/>
          <w:szCs w:val="20"/>
          <w:shd w:val="clear" w:color="auto" w:fill="FFFFFF"/>
        </w:rPr>
        <w:t>(12), 1925-1931.</w:t>
      </w:r>
    </w:p>
    <w:p w14:paraId="61FAE067" w14:textId="77777777" w:rsidR="00F64659" w:rsidRPr="009778B9" w:rsidRDefault="00F64659" w:rsidP="00D223C5">
      <w:pPr>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Liu, J., Cheng, W., Yan, Y., Wei, J., &amp; Yang, J. (2015). Detection of pebrine disease in Bombyx mori eggs with the loop-mediated isothermal amplification (LAMP) method based on EB1 gene. </w:t>
      </w:r>
      <w:r w:rsidRPr="009778B9">
        <w:rPr>
          <w:rFonts w:ascii="Arial" w:hAnsi="Arial" w:cs="Arial"/>
          <w:iCs/>
          <w:color w:val="222222"/>
          <w:sz w:val="20"/>
          <w:szCs w:val="20"/>
          <w:shd w:val="clear" w:color="auto" w:fill="FFFFFF"/>
        </w:rPr>
        <w:t>Acta EntomologicaSinica, 58</w:t>
      </w:r>
      <w:r w:rsidRPr="009778B9">
        <w:rPr>
          <w:rFonts w:ascii="Arial" w:hAnsi="Arial" w:cs="Arial"/>
          <w:color w:val="222222"/>
          <w:sz w:val="20"/>
          <w:szCs w:val="20"/>
          <w:shd w:val="clear" w:color="auto" w:fill="FFFFFF"/>
        </w:rPr>
        <w:t>(8), 846-855.</w:t>
      </w:r>
    </w:p>
    <w:p w14:paraId="707FC31B" w14:textId="77777777" w:rsidR="00F64659" w:rsidRPr="009778B9" w:rsidRDefault="00F64659" w:rsidP="00D223C5">
      <w:pPr>
        <w:spacing w:line="360" w:lineRule="auto"/>
        <w:ind w:left="567" w:right="237" w:hanging="425"/>
        <w:jc w:val="both"/>
        <w:rPr>
          <w:rFonts w:ascii="Arial" w:hAnsi="Arial" w:cs="Arial"/>
          <w:color w:val="222222"/>
          <w:sz w:val="20"/>
          <w:szCs w:val="20"/>
          <w:shd w:val="clear" w:color="auto" w:fill="FFFFFF"/>
        </w:rPr>
      </w:pPr>
      <w:r w:rsidRPr="002528D1">
        <w:rPr>
          <w:rFonts w:ascii="Arial" w:hAnsi="Arial" w:cs="Arial"/>
          <w:color w:val="222222"/>
          <w:sz w:val="20"/>
          <w:szCs w:val="20"/>
          <w:highlight w:val="yellow"/>
          <w:shd w:val="clear" w:color="auto" w:fill="FFFFFF"/>
        </w:rPr>
        <w:t>Ptaszyńska,</w:t>
      </w:r>
      <w:r w:rsidRPr="009778B9">
        <w:rPr>
          <w:rFonts w:ascii="Arial" w:hAnsi="Arial" w:cs="Arial"/>
          <w:color w:val="222222"/>
          <w:sz w:val="20"/>
          <w:szCs w:val="20"/>
          <w:shd w:val="clear" w:color="auto" w:fill="FFFFFF"/>
        </w:rPr>
        <w:t xml:space="preserve"> A. A., Borsuk, G., Woźniakowski, G., Gnat, S., &amp;Małek, W. (2014). Loop-mediated isothermal amplification (LAMP) assays for rapid detection and differentiation of </w:t>
      </w:r>
      <w:r w:rsidRPr="009778B9">
        <w:rPr>
          <w:rFonts w:ascii="Arial" w:hAnsi="Arial" w:cs="Arial"/>
          <w:i/>
          <w:iCs/>
          <w:color w:val="222222"/>
          <w:sz w:val="20"/>
          <w:szCs w:val="20"/>
          <w:shd w:val="clear" w:color="auto" w:fill="FFFFFF"/>
        </w:rPr>
        <w:t>Nosema apis</w:t>
      </w:r>
      <w:r w:rsidRPr="009778B9">
        <w:rPr>
          <w:rFonts w:ascii="Arial" w:hAnsi="Arial" w:cs="Arial"/>
          <w:color w:val="222222"/>
          <w:sz w:val="20"/>
          <w:szCs w:val="20"/>
          <w:shd w:val="clear" w:color="auto" w:fill="FFFFFF"/>
        </w:rPr>
        <w:t xml:space="preserve"> and </w:t>
      </w:r>
      <w:r w:rsidRPr="009778B9">
        <w:rPr>
          <w:rFonts w:ascii="Arial" w:hAnsi="Arial" w:cs="Arial"/>
          <w:i/>
          <w:iCs/>
          <w:color w:val="222222"/>
          <w:sz w:val="20"/>
          <w:szCs w:val="20"/>
          <w:shd w:val="clear" w:color="auto" w:fill="FFFFFF"/>
        </w:rPr>
        <w:t>N. ceranae</w:t>
      </w:r>
      <w:r w:rsidRPr="009778B9">
        <w:rPr>
          <w:rFonts w:ascii="Arial" w:hAnsi="Arial" w:cs="Arial"/>
          <w:color w:val="222222"/>
          <w:sz w:val="20"/>
          <w:szCs w:val="20"/>
          <w:shd w:val="clear" w:color="auto" w:fill="FFFFFF"/>
        </w:rPr>
        <w:t xml:space="preserve"> in honeybees</w:t>
      </w:r>
      <w:r w:rsidRPr="009778B9">
        <w:rPr>
          <w:rFonts w:ascii="Arial" w:hAnsi="Arial" w:cs="Arial"/>
          <w:i/>
          <w:iCs/>
          <w:color w:val="222222"/>
          <w:sz w:val="20"/>
          <w:szCs w:val="20"/>
          <w:shd w:val="clear" w:color="auto" w:fill="FFFFFF"/>
        </w:rPr>
        <w:t xml:space="preserve">. </w:t>
      </w:r>
      <w:r w:rsidRPr="009778B9">
        <w:rPr>
          <w:rFonts w:ascii="Arial" w:hAnsi="Arial" w:cs="Arial"/>
          <w:iCs/>
          <w:color w:val="222222"/>
          <w:sz w:val="20"/>
          <w:szCs w:val="20"/>
          <w:shd w:val="clear" w:color="auto" w:fill="FFFFFF"/>
        </w:rPr>
        <w:t>FEMS microbiology letters</w:t>
      </w:r>
      <w:r w:rsidRPr="009778B9">
        <w:rPr>
          <w:rFonts w:ascii="Arial" w:hAnsi="Arial" w:cs="Arial"/>
          <w:color w:val="222222"/>
          <w:sz w:val="20"/>
          <w:szCs w:val="20"/>
          <w:shd w:val="clear" w:color="auto" w:fill="FFFFFF"/>
        </w:rPr>
        <w:t>,</w:t>
      </w:r>
      <w:r w:rsidRPr="009778B9">
        <w:rPr>
          <w:rFonts w:ascii="Arial" w:hAnsi="Arial" w:cs="Arial"/>
          <w:iCs/>
          <w:color w:val="222222"/>
          <w:sz w:val="20"/>
          <w:szCs w:val="20"/>
          <w:shd w:val="clear" w:color="auto" w:fill="FFFFFF"/>
        </w:rPr>
        <w:t xml:space="preserve"> 357</w:t>
      </w:r>
      <w:r w:rsidRPr="009778B9">
        <w:rPr>
          <w:rFonts w:ascii="Arial" w:hAnsi="Arial" w:cs="Arial"/>
          <w:color w:val="222222"/>
          <w:sz w:val="20"/>
          <w:szCs w:val="20"/>
          <w:shd w:val="clear" w:color="auto" w:fill="FFFFFF"/>
        </w:rPr>
        <w:t>(1), 40-48.</w:t>
      </w:r>
      <w:r w:rsidR="005A00A6" w:rsidRPr="009778B9">
        <w:rPr>
          <w:rFonts w:ascii="Arial" w:hAnsi="Arial" w:cs="Arial"/>
          <w:color w:val="222222"/>
          <w:sz w:val="20"/>
          <w:szCs w:val="20"/>
          <w:shd w:val="clear" w:color="auto" w:fill="FFFFFF"/>
        </w:rPr>
        <w:t xml:space="preserve"> doi: </w:t>
      </w:r>
      <w:hyperlink r:id="rId20" w:history="1">
        <w:r w:rsidR="005A00A6" w:rsidRPr="009778B9">
          <w:rPr>
            <w:rStyle w:val="Hyperlink"/>
            <w:rFonts w:ascii="Arial" w:hAnsi="Arial" w:cs="Arial"/>
            <w:sz w:val="20"/>
            <w:szCs w:val="20"/>
            <w:shd w:val="clear" w:color="auto" w:fill="FFFFFF"/>
          </w:rPr>
          <w:t>http://dx.doi.org/10.1111/1574-6968.12521</w:t>
        </w:r>
      </w:hyperlink>
    </w:p>
    <w:p w14:paraId="706CCE07" w14:textId="77777777" w:rsidR="005A00A6" w:rsidRPr="009778B9" w:rsidRDefault="00F64659" w:rsidP="00D223C5">
      <w:pPr>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Rubio, J. M., Lanza, M., Fuentes, I., &amp; Soliman, R. H. (2014). A novel nested multiplex PCR for the simultaneous detection and differentiation of </w:t>
      </w:r>
      <w:r w:rsidRPr="009778B9">
        <w:rPr>
          <w:rFonts w:ascii="Arial" w:hAnsi="Arial" w:cs="Arial"/>
          <w:i/>
          <w:iCs/>
          <w:color w:val="222222"/>
          <w:sz w:val="20"/>
          <w:szCs w:val="20"/>
          <w:shd w:val="clear" w:color="auto" w:fill="FFFFFF"/>
        </w:rPr>
        <w:t>Cryptosporidium spp</w:t>
      </w:r>
      <w:r w:rsidRPr="009778B9">
        <w:rPr>
          <w:rFonts w:ascii="Arial" w:hAnsi="Arial" w:cs="Arial"/>
          <w:color w:val="222222"/>
          <w:sz w:val="20"/>
          <w:szCs w:val="20"/>
          <w:shd w:val="clear" w:color="auto" w:fill="FFFFFF"/>
        </w:rPr>
        <w:t xml:space="preserve">., </w:t>
      </w:r>
      <w:r w:rsidRPr="009778B9">
        <w:rPr>
          <w:rFonts w:ascii="Arial" w:hAnsi="Arial" w:cs="Arial"/>
          <w:i/>
          <w:iCs/>
          <w:color w:val="222222"/>
          <w:sz w:val="20"/>
          <w:szCs w:val="20"/>
          <w:shd w:val="clear" w:color="auto" w:fill="FFFFFF"/>
        </w:rPr>
        <w:t>Enterocytozoon</w:t>
      </w:r>
      <w:r w:rsidR="00ED3BD6" w:rsidRPr="009778B9">
        <w:rPr>
          <w:rFonts w:ascii="Arial" w:hAnsi="Arial" w:cs="Arial"/>
          <w:i/>
          <w:iCs/>
          <w:color w:val="222222"/>
          <w:sz w:val="20"/>
          <w:szCs w:val="20"/>
          <w:shd w:val="clear" w:color="auto" w:fill="FFFFFF"/>
        </w:rPr>
        <w:t xml:space="preserve"> </w:t>
      </w:r>
      <w:r w:rsidRPr="009778B9">
        <w:rPr>
          <w:rFonts w:ascii="Arial" w:hAnsi="Arial" w:cs="Arial"/>
          <w:i/>
          <w:iCs/>
          <w:color w:val="222222"/>
          <w:sz w:val="20"/>
          <w:szCs w:val="20"/>
          <w:shd w:val="clear" w:color="auto" w:fill="FFFFFF"/>
        </w:rPr>
        <w:t>bieneusi</w:t>
      </w:r>
      <w:r w:rsidR="00ED3BD6" w:rsidRPr="009778B9">
        <w:rPr>
          <w:rFonts w:ascii="Arial" w:hAnsi="Arial" w:cs="Arial"/>
          <w:i/>
          <w:iCs/>
          <w:color w:val="222222"/>
          <w:sz w:val="20"/>
          <w:szCs w:val="20"/>
          <w:shd w:val="clear" w:color="auto" w:fill="FFFFFF"/>
        </w:rPr>
        <w:t xml:space="preserve"> </w:t>
      </w:r>
      <w:r w:rsidRPr="009778B9">
        <w:rPr>
          <w:rFonts w:ascii="Arial" w:hAnsi="Arial" w:cs="Arial"/>
          <w:color w:val="222222"/>
          <w:sz w:val="20"/>
          <w:szCs w:val="20"/>
          <w:shd w:val="clear" w:color="auto" w:fill="FFFFFF"/>
        </w:rPr>
        <w:t xml:space="preserve">and </w:t>
      </w:r>
      <w:r w:rsidRPr="009778B9">
        <w:rPr>
          <w:rFonts w:ascii="Arial" w:hAnsi="Arial" w:cs="Arial"/>
          <w:i/>
          <w:iCs/>
          <w:color w:val="222222"/>
          <w:sz w:val="20"/>
          <w:szCs w:val="20"/>
          <w:shd w:val="clear" w:color="auto" w:fill="FFFFFF"/>
        </w:rPr>
        <w:t>Encephalitozoon intestinalis</w:t>
      </w:r>
      <w:r w:rsidRPr="009778B9">
        <w:rPr>
          <w:rFonts w:ascii="Arial" w:hAnsi="Arial" w:cs="Arial"/>
          <w:color w:val="222222"/>
          <w:sz w:val="20"/>
          <w:szCs w:val="20"/>
          <w:shd w:val="clear" w:color="auto" w:fill="FFFFFF"/>
        </w:rPr>
        <w:t xml:space="preserve">. </w:t>
      </w:r>
      <w:r w:rsidRPr="009778B9">
        <w:rPr>
          <w:rFonts w:ascii="Arial" w:hAnsi="Arial" w:cs="Arial"/>
          <w:iCs/>
          <w:color w:val="222222"/>
          <w:sz w:val="20"/>
          <w:szCs w:val="20"/>
          <w:shd w:val="clear" w:color="auto" w:fill="FFFFFF"/>
        </w:rPr>
        <w:t>Parasitology international</w:t>
      </w:r>
      <w:r w:rsidRPr="009778B9">
        <w:rPr>
          <w:rFonts w:ascii="Arial" w:hAnsi="Arial" w:cs="Arial"/>
          <w:color w:val="222222"/>
          <w:sz w:val="20"/>
          <w:szCs w:val="20"/>
          <w:shd w:val="clear" w:color="auto" w:fill="FFFFFF"/>
        </w:rPr>
        <w:t xml:space="preserve">, </w:t>
      </w:r>
      <w:r w:rsidRPr="009778B9">
        <w:rPr>
          <w:rFonts w:ascii="Arial" w:hAnsi="Arial" w:cs="Arial"/>
          <w:iCs/>
          <w:color w:val="222222"/>
          <w:sz w:val="20"/>
          <w:szCs w:val="20"/>
          <w:shd w:val="clear" w:color="auto" w:fill="FFFFFF"/>
        </w:rPr>
        <w:t>63</w:t>
      </w:r>
      <w:r w:rsidRPr="009778B9">
        <w:rPr>
          <w:rFonts w:ascii="Arial" w:hAnsi="Arial" w:cs="Arial"/>
          <w:color w:val="222222"/>
          <w:sz w:val="20"/>
          <w:szCs w:val="20"/>
          <w:shd w:val="clear" w:color="auto" w:fill="FFFFFF"/>
        </w:rPr>
        <w:t>(5), 664-669.</w:t>
      </w:r>
      <w:r w:rsidR="005A00A6" w:rsidRPr="009778B9">
        <w:rPr>
          <w:rFonts w:ascii="Arial" w:hAnsi="Arial" w:cs="Arial"/>
          <w:color w:val="222222"/>
          <w:sz w:val="20"/>
          <w:szCs w:val="20"/>
          <w:shd w:val="clear" w:color="auto" w:fill="FFFFFF"/>
        </w:rPr>
        <w:t xml:space="preserve"> doi: </w:t>
      </w:r>
      <w:hyperlink r:id="rId21" w:history="1">
        <w:r w:rsidR="005A00A6" w:rsidRPr="009778B9">
          <w:rPr>
            <w:rStyle w:val="Hyperlink"/>
            <w:rFonts w:ascii="Arial" w:hAnsi="Arial" w:cs="Arial"/>
            <w:sz w:val="20"/>
            <w:szCs w:val="20"/>
            <w:shd w:val="clear" w:color="auto" w:fill="FFFFFF"/>
          </w:rPr>
          <w:t>http://dx.doi.org/10.1016/j.parint.2014.05.002</w:t>
        </w:r>
      </w:hyperlink>
    </w:p>
    <w:p w14:paraId="1928E00D" w14:textId="77777777" w:rsidR="00F64659" w:rsidRPr="009778B9" w:rsidRDefault="00F64659" w:rsidP="00D223C5">
      <w:pPr>
        <w:tabs>
          <w:tab w:val="left" w:pos="426"/>
        </w:tabs>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Yan, W., Shen, Z., Tang, X., Xu, L., Li, Q., Yue, Y., </w:t>
      </w:r>
      <w:r w:rsidR="00835669" w:rsidRPr="009778B9">
        <w:rPr>
          <w:rFonts w:ascii="Arial" w:hAnsi="Arial" w:cs="Arial"/>
          <w:color w:val="222222"/>
          <w:sz w:val="20"/>
          <w:szCs w:val="20"/>
          <w:shd w:val="clear" w:color="auto" w:fill="FFFFFF"/>
        </w:rPr>
        <w:t>Xiao, S. and</w:t>
      </w:r>
      <w:r w:rsidRPr="009778B9">
        <w:rPr>
          <w:rFonts w:ascii="Arial" w:hAnsi="Arial" w:cs="Arial"/>
          <w:color w:val="222222"/>
          <w:sz w:val="20"/>
          <w:szCs w:val="20"/>
          <w:shd w:val="clear" w:color="auto" w:fill="FFFFFF"/>
        </w:rPr>
        <w:t xml:space="preserve"> Fu, X. (2014). Detection of </w:t>
      </w:r>
      <w:r w:rsidRPr="009778B9">
        <w:rPr>
          <w:rFonts w:ascii="Arial" w:hAnsi="Arial" w:cs="Arial"/>
          <w:i/>
          <w:iCs/>
          <w:color w:val="222222"/>
          <w:sz w:val="20"/>
          <w:szCs w:val="20"/>
          <w:shd w:val="clear" w:color="auto" w:fill="FFFFFF"/>
        </w:rPr>
        <w:t>Nosema bombycis</w:t>
      </w:r>
      <w:r w:rsidRPr="009778B9">
        <w:rPr>
          <w:rFonts w:ascii="Arial" w:hAnsi="Arial" w:cs="Arial"/>
          <w:color w:val="222222"/>
          <w:sz w:val="20"/>
          <w:szCs w:val="20"/>
          <w:shd w:val="clear" w:color="auto" w:fill="FFFFFF"/>
        </w:rPr>
        <w:t xml:space="preserve"> by FTA cards and loop-mediated isothermal amplification (LAMP). </w:t>
      </w:r>
      <w:r w:rsidRPr="009778B9">
        <w:rPr>
          <w:rFonts w:ascii="Arial" w:hAnsi="Arial" w:cs="Arial"/>
          <w:iCs/>
          <w:color w:val="222222"/>
          <w:sz w:val="20"/>
          <w:szCs w:val="20"/>
          <w:shd w:val="clear" w:color="auto" w:fill="FFFFFF"/>
        </w:rPr>
        <w:t>Current microbiology</w:t>
      </w:r>
      <w:r w:rsidRPr="009778B9">
        <w:rPr>
          <w:rFonts w:ascii="Arial" w:hAnsi="Arial" w:cs="Arial"/>
          <w:color w:val="222222"/>
          <w:sz w:val="20"/>
          <w:szCs w:val="20"/>
          <w:shd w:val="clear" w:color="auto" w:fill="FFFFFF"/>
        </w:rPr>
        <w:t xml:space="preserve">, </w:t>
      </w:r>
      <w:r w:rsidRPr="009778B9">
        <w:rPr>
          <w:rFonts w:ascii="Arial" w:hAnsi="Arial" w:cs="Arial"/>
          <w:iCs/>
          <w:color w:val="222222"/>
          <w:sz w:val="20"/>
          <w:szCs w:val="20"/>
          <w:shd w:val="clear" w:color="auto" w:fill="FFFFFF"/>
        </w:rPr>
        <w:t>69</w:t>
      </w:r>
      <w:r w:rsidRPr="009778B9">
        <w:rPr>
          <w:rFonts w:ascii="Arial" w:hAnsi="Arial" w:cs="Arial"/>
          <w:color w:val="222222"/>
          <w:sz w:val="20"/>
          <w:szCs w:val="20"/>
          <w:shd w:val="clear" w:color="auto" w:fill="FFFFFF"/>
        </w:rPr>
        <w:t>, 532-540.</w:t>
      </w:r>
      <w:r w:rsidR="005A00A6" w:rsidRPr="009778B9">
        <w:rPr>
          <w:rFonts w:ascii="Arial" w:hAnsi="Arial" w:cs="Arial"/>
          <w:color w:val="222222"/>
          <w:sz w:val="20"/>
          <w:szCs w:val="20"/>
          <w:shd w:val="clear" w:color="auto" w:fill="FFFFFF"/>
        </w:rPr>
        <w:t xml:space="preserve"> doi: </w:t>
      </w:r>
      <w:hyperlink r:id="rId22" w:history="1">
        <w:r w:rsidR="005A00A6" w:rsidRPr="009778B9">
          <w:rPr>
            <w:rStyle w:val="Hyperlink"/>
            <w:rFonts w:ascii="Arial" w:hAnsi="Arial" w:cs="Arial"/>
            <w:sz w:val="20"/>
            <w:szCs w:val="20"/>
            <w:shd w:val="clear" w:color="auto" w:fill="FFFFFF"/>
          </w:rPr>
          <w:t>http://dx.doi.org/10.1007/s00284-014-0619-3</w:t>
        </w:r>
      </w:hyperlink>
    </w:p>
    <w:p w14:paraId="50280FCA" w14:textId="77777777" w:rsidR="0063777C" w:rsidRPr="009778B9" w:rsidRDefault="0063777C" w:rsidP="00D223C5">
      <w:pPr>
        <w:tabs>
          <w:tab w:val="left" w:pos="426"/>
        </w:tabs>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Choi, J. R., Hu, J., Feng, S., Abas, W. A. B. W., Pingguan-Murphy, B., </w:t>
      </w:r>
      <w:r w:rsidR="00835669" w:rsidRPr="009778B9">
        <w:rPr>
          <w:rFonts w:ascii="Arial" w:hAnsi="Arial" w:cs="Arial"/>
          <w:color w:val="222222"/>
          <w:sz w:val="20"/>
          <w:szCs w:val="20"/>
          <w:shd w:val="clear" w:color="auto" w:fill="FFFFFF"/>
        </w:rPr>
        <w:t>and</w:t>
      </w:r>
      <w:r w:rsidRPr="009778B9">
        <w:rPr>
          <w:rFonts w:ascii="Arial" w:hAnsi="Arial" w:cs="Arial"/>
          <w:color w:val="222222"/>
          <w:sz w:val="20"/>
          <w:szCs w:val="20"/>
          <w:shd w:val="clear" w:color="auto" w:fill="FFFFFF"/>
        </w:rPr>
        <w:t xml:space="preserve"> Xu, F. (2016). Sensitive biomolecule detection in lateral flow assay with a portable temperature–humidity control device. </w:t>
      </w:r>
      <w:r w:rsidRPr="009778B9">
        <w:rPr>
          <w:rFonts w:ascii="Arial" w:hAnsi="Arial" w:cs="Arial"/>
          <w:iCs/>
          <w:color w:val="222222"/>
          <w:sz w:val="20"/>
          <w:szCs w:val="20"/>
          <w:shd w:val="clear" w:color="auto" w:fill="FFFFFF"/>
        </w:rPr>
        <w:t>Biosensors and Bioelectronics</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79</w:t>
      </w:r>
      <w:r w:rsidRPr="009778B9">
        <w:rPr>
          <w:rFonts w:ascii="Arial" w:hAnsi="Arial" w:cs="Arial"/>
          <w:color w:val="222222"/>
          <w:sz w:val="20"/>
          <w:szCs w:val="20"/>
          <w:shd w:val="clear" w:color="auto" w:fill="FFFFFF"/>
        </w:rPr>
        <w:t xml:space="preserve">, 98-107, doi: </w:t>
      </w:r>
      <w:hyperlink r:id="rId23" w:history="1">
        <w:r w:rsidRPr="009778B9">
          <w:rPr>
            <w:rFonts w:ascii="Arial" w:hAnsi="Arial" w:cs="Arial"/>
            <w:color w:val="0000FF" w:themeColor="hyperlink"/>
            <w:sz w:val="20"/>
            <w:szCs w:val="20"/>
            <w:u w:val="single"/>
          </w:rPr>
          <w:t>https://doi.org/10.1016/j.bios.2015.12.005</w:t>
        </w:r>
      </w:hyperlink>
      <w:r w:rsidRPr="009778B9">
        <w:rPr>
          <w:rFonts w:ascii="Arial" w:hAnsi="Arial" w:cs="Arial"/>
          <w:color w:val="222222"/>
          <w:sz w:val="20"/>
          <w:szCs w:val="20"/>
          <w:shd w:val="clear" w:color="auto" w:fill="FFFFFF"/>
        </w:rPr>
        <w:t>.</w:t>
      </w:r>
    </w:p>
    <w:p w14:paraId="2BF293A6" w14:textId="77777777" w:rsidR="0063777C" w:rsidRPr="009778B9" w:rsidRDefault="0063777C" w:rsidP="00D223C5">
      <w:pPr>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Gao, X., Xu, H., Baloda, M., Gurung, A. S., Xu, L. P., Wang, T., </w:t>
      </w:r>
      <w:r w:rsidR="00506802" w:rsidRPr="009778B9">
        <w:rPr>
          <w:rFonts w:ascii="Arial" w:hAnsi="Arial" w:cs="Arial"/>
          <w:color w:val="222222"/>
          <w:sz w:val="20"/>
          <w:szCs w:val="20"/>
          <w:shd w:val="clear" w:color="auto" w:fill="FFFFFF"/>
        </w:rPr>
        <w:t>Zhang, X., and Liu, G.</w:t>
      </w:r>
      <w:r w:rsidRPr="009778B9">
        <w:rPr>
          <w:rFonts w:ascii="Arial" w:hAnsi="Arial" w:cs="Arial"/>
          <w:color w:val="222222"/>
          <w:sz w:val="20"/>
          <w:szCs w:val="20"/>
          <w:shd w:val="clear" w:color="auto" w:fill="FFFFFF"/>
        </w:rPr>
        <w:t xml:space="preserve"> (2014). Visual detection of microRNA with lateral flow nucleic acid biosensor. </w:t>
      </w:r>
      <w:r w:rsidRPr="009778B9">
        <w:rPr>
          <w:rFonts w:ascii="Arial" w:hAnsi="Arial" w:cs="Arial"/>
          <w:iCs/>
          <w:color w:val="222222"/>
          <w:sz w:val="20"/>
          <w:szCs w:val="20"/>
          <w:shd w:val="clear" w:color="auto" w:fill="FFFFFF"/>
        </w:rPr>
        <w:t>Biosensors and Bioelectronics</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54</w:t>
      </w:r>
      <w:r w:rsidRPr="009778B9">
        <w:rPr>
          <w:rFonts w:ascii="Arial" w:hAnsi="Arial" w:cs="Arial"/>
          <w:color w:val="222222"/>
          <w:sz w:val="20"/>
          <w:szCs w:val="20"/>
          <w:shd w:val="clear" w:color="auto" w:fill="FFFFFF"/>
        </w:rPr>
        <w:t>, 578-584</w:t>
      </w:r>
      <w:r w:rsidR="005A00A6" w:rsidRPr="009778B9">
        <w:rPr>
          <w:rFonts w:ascii="Arial" w:hAnsi="Arial" w:cs="Arial"/>
          <w:color w:val="222222"/>
          <w:sz w:val="20"/>
          <w:szCs w:val="20"/>
          <w:shd w:val="clear" w:color="auto" w:fill="FFFFFF"/>
        </w:rPr>
        <w:t>.</w:t>
      </w:r>
      <w:r w:rsidRPr="009778B9">
        <w:rPr>
          <w:rFonts w:ascii="Arial" w:hAnsi="Arial" w:cs="Arial"/>
          <w:color w:val="222222"/>
          <w:sz w:val="20"/>
          <w:szCs w:val="20"/>
          <w:shd w:val="clear" w:color="auto" w:fill="FFFFFF"/>
        </w:rPr>
        <w:t xml:space="preserve"> doi: </w:t>
      </w:r>
      <w:hyperlink r:id="rId24" w:history="1">
        <w:r w:rsidRPr="009778B9">
          <w:rPr>
            <w:rFonts w:ascii="Arial" w:hAnsi="Arial" w:cs="Arial"/>
            <w:color w:val="0000FF" w:themeColor="hyperlink"/>
            <w:sz w:val="20"/>
            <w:szCs w:val="20"/>
            <w:u w:val="single"/>
          </w:rPr>
          <w:t>https://doi.org/10.1016/j.bios.2013.10.055</w:t>
        </w:r>
      </w:hyperlink>
      <w:r w:rsidRPr="009778B9">
        <w:rPr>
          <w:rFonts w:ascii="Arial" w:hAnsi="Arial" w:cs="Arial"/>
          <w:color w:val="222222"/>
          <w:sz w:val="20"/>
          <w:szCs w:val="20"/>
          <w:shd w:val="clear" w:color="auto" w:fill="FFFFFF"/>
        </w:rPr>
        <w:t>.</w:t>
      </w:r>
    </w:p>
    <w:p w14:paraId="141703ED" w14:textId="77777777" w:rsidR="0063777C" w:rsidRPr="009778B9" w:rsidRDefault="0063777C" w:rsidP="00D223C5">
      <w:pPr>
        <w:shd w:val="clear" w:color="auto" w:fill="FFFFFF"/>
        <w:spacing w:before="100" w:beforeAutospacing="1" w:after="100" w:afterAutospacing="1" w:line="360" w:lineRule="auto"/>
        <w:ind w:left="567" w:right="237" w:hanging="425"/>
        <w:jc w:val="both"/>
        <w:rPr>
          <w:rFonts w:ascii="Arial" w:eastAsia="Times New Roman" w:hAnsi="Arial" w:cs="Arial"/>
          <w:color w:val="0000FF" w:themeColor="hyperlink"/>
          <w:sz w:val="20"/>
          <w:szCs w:val="20"/>
          <w:u w:val="single"/>
          <w:lang w:eastAsia="en-IN"/>
        </w:rPr>
      </w:pPr>
      <w:r w:rsidRPr="009778B9">
        <w:rPr>
          <w:rFonts w:ascii="Arial" w:hAnsi="Arial" w:cs="Arial"/>
          <w:color w:val="222222"/>
          <w:sz w:val="20"/>
          <w:szCs w:val="20"/>
          <w:shd w:val="clear" w:color="auto" w:fill="FFFFFF"/>
        </w:rPr>
        <w:t xml:space="preserve">Rohrman, B. A., Leautaud, V., Molyneux, E., &amp; Richards-Kortum, R. R. (2012). A lateral flow assay for quantitative detection of amplified HIV-1 RNA. </w:t>
      </w:r>
      <w:bookmarkStart w:id="7" w:name="_Hlk162882026"/>
      <w:r w:rsidR="0062512D" w:rsidRPr="009778B9">
        <w:rPr>
          <w:rFonts w:ascii="Arial" w:hAnsi="Arial" w:cs="Arial"/>
          <w:sz w:val="20"/>
          <w:szCs w:val="20"/>
        </w:rPr>
        <w:t xml:space="preserve">PLoS ONE 7(9): e45611. </w:t>
      </w:r>
      <w:r w:rsidRPr="009778B9">
        <w:rPr>
          <w:rFonts w:ascii="Arial" w:hAnsi="Arial" w:cs="Arial"/>
          <w:color w:val="222222"/>
          <w:sz w:val="20"/>
          <w:szCs w:val="20"/>
          <w:shd w:val="clear" w:color="auto" w:fill="FFFFFF"/>
        </w:rPr>
        <w:t>doi:</w:t>
      </w:r>
      <w:hyperlink r:id="rId25" w:history="1">
        <w:r w:rsidRPr="009778B9">
          <w:rPr>
            <w:rFonts w:ascii="Arial" w:eastAsia="Times New Roman" w:hAnsi="Arial" w:cs="Arial"/>
            <w:color w:val="0000FF" w:themeColor="hyperlink"/>
            <w:sz w:val="20"/>
            <w:szCs w:val="20"/>
            <w:u w:val="single"/>
            <w:lang w:eastAsia="en-IN"/>
          </w:rPr>
          <w:t>https://doi.org/10.1371/journal.pone.0045611</w:t>
        </w:r>
      </w:hyperlink>
    </w:p>
    <w:bookmarkEnd w:id="7"/>
    <w:p w14:paraId="51FE4C8D" w14:textId="77777777" w:rsidR="0063777C" w:rsidRPr="009778B9" w:rsidRDefault="0063777C" w:rsidP="00D223C5">
      <w:pPr>
        <w:shd w:val="clear" w:color="auto" w:fill="FFFFFF"/>
        <w:spacing w:before="100" w:beforeAutospacing="1" w:after="100" w:afterAutospacing="1" w:line="360" w:lineRule="auto"/>
        <w:ind w:left="567" w:right="237" w:hanging="425"/>
        <w:jc w:val="both"/>
        <w:rPr>
          <w:rFonts w:ascii="Arial" w:eastAsia="Times New Roman" w:hAnsi="Arial" w:cs="Arial"/>
          <w:color w:val="0000FF" w:themeColor="hyperlink"/>
          <w:sz w:val="20"/>
          <w:szCs w:val="20"/>
          <w:u w:val="single"/>
          <w:lang w:eastAsia="en-IN"/>
        </w:rPr>
      </w:pPr>
      <w:r w:rsidRPr="009778B9">
        <w:rPr>
          <w:rFonts w:ascii="Arial" w:hAnsi="Arial" w:cs="Arial"/>
          <w:color w:val="222222"/>
          <w:sz w:val="20"/>
          <w:szCs w:val="20"/>
          <w:shd w:val="clear" w:color="auto" w:fill="FFFFFF"/>
        </w:rPr>
        <w:lastRenderedPageBreak/>
        <w:t>Niemz, A., Ferguson, T. M., &amp; Boyle, D. S. (2011). Point-of-care nucleic acid testing for infectious diseases. </w:t>
      </w:r>
      <w:r w:rsidRPr="009778B9">
        <w:rPr>
          <w:rFonts w:ascii="Arial" w:hAnsi="Arial" w:cs="Arial"/>
          <w:iCs/>
          <w:color w:val="222222"/>
          <w:sz w:val="20"/>
          <w:szCs w:val="20"/>
          <w:shd w:val="clear" w:color="auto" w:fill="FFFFFF"/>
        </w:rPr>
        <w:t>Trends in biotechnology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29</w:t>
      </w:r>
      <w:r w:rsidRPr="009778B9">
        <w:rPr>
          <w:rFonts w:ascii="Arial" w:hAnsi="Arial" w:cs="Arial"/>
          <w:color w:val="222222"/>
          <w:sz w:val="20"/>
          <w:szCs w:val="20"/>
          <w:shd w:val="clear" w:color="auto" w:fill="FFFFFF"/>
        </w:rPr>
        <w:t>(5), 240-250.</w:t>
      </w:r>
    </w:p>
    <w:p w14:paraId="23CB9291" w14:textId="77777777" w:rsidR="00215CCB" w:rsidRPr="009778B9" w:rsidRDefault="0063777C"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 xml:space="preserve">Zhang, J., Cao, J., Zhu, M., Xu, M., &amp; Shi, F. (2019). Loop-mediated isothermal amplification-lateral-flow dipstick (LAMP-LFD) to detect </w:t>
      </w:r>
      <w:r w:rsidRPr="009778B9">
        <w:rPr>
          <w:rFonts w:ascii="Arial" w:hAnsi="Arial" w:cs="Arial"/>
          <w:i/>
          <w:iCs/>
          <w:color w:val="222222"/>
          <w:sz w:val="20"/>
          <w:szCs w:val="20"/>
          <w:shd w:val="clear" w:color="auto" w:fill="FFFFFF"/>
        </w:rPr>
        <w:t>Mycoplasma ovipneumoniae</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World Journal of Microbiology and Biotechnology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35</w:t>
      </w:r>
      <w:r w:rsidRPr="009778B9">
        <w:rPr>
          <w:rFonts w:ascii="Arial" w:hAnsi="Arial" w:cs="Arial"/>
          <w:color w:val="222222"/>
          <w:sz w:val="20"/>
          <w:szCs w:val="20"/>
          <w:shd w:val="clear" w:color="auto" w:fill="FFFFFF"/>
        </w:rPr>
        <w:t>, 1-10.</w:t>
      </w:r>
      <w:r w:rsidR="005A00A6" w:rsidRPr="009778B9">
        <w:rPr>
          <w:rFonts w:ascii="Arial" w:hAnsi="Arial" w:cs="Arial"/>
          <w:color w:val="222222"/>
          <w:sz w:val="20"/>
          <w:szCs w:val="20"/>
          <w:shd w:val="clear" w:color="auto" w:fill="FFFFFF"/>
        </w:rPr>
        <w:t xml:space="preserve"> doi: </w:t>
      </w:r>
      <w:hyperlink r:id="rId26" w:history="1">
        <w:r w:rsidR="005A00A6" w:rsidRPr="009778B9">
          <w:rPr>
            <w:rStyle w:val="Hyperlink"/>
            <w:rFonts w:ascii="Arial" w:hAnsi="Arial" w:cs="Arial"/>
            <w:sz w:val="20"/>
            <w:szCs w:val="20"/>
            <w:shd w:val="clear" w:color="auto" w:fill="FFFFFF"/>
          </w:rPr>
          <w:t>https://link.springer.com/article/10.1007/s11274-019-2601-5</w:t>
        </w:r>
      </w:hyperlink>
    </w:p>
    <w:p w14:paraId="53C29A3E" w14:textId="77777777" w:rsidR="0063777C" w:rsidRPr="009778B9" w:rsidRDefault="0063777C"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 xml:space="preserve">Hu, J., Wang, Y., Su, H., Ding, H., Sun, X., Gao, H., Geng, Y., and Wang, Z. (2020). Rapid analysis of </w:t>
      </w:r>
      <w:r w:rsidRPr="009778B9">
        <w:rPr>
          <w:rFonts w:ascii="Arial" w:hAnsi="Arial" w:cs="Arial"/>
          <w:i/>
          <w:iCs/>
          <w:color w:val="222222"/>
          <w:sz w:val="20"/>
          <w:szCs w:val="20"/>
          <w:shd w:val="clear" w:color="auto" w:fill="FFFFFF"/>
        </w:rPr>
        <w:t>Escherichia coli</w:t>
      </w:r>
      <w:r w:rsidRPr="009778B9">
        <w:rPr>
          <w:rFonts w:ascii="Arial" w:hAnsi="Arial" w:cs="Arial"/>
          <w:color w:val="222222"/>
          <w:sz w:val="20"/>
          <w:szCs w:val="20"/>
          <w:shd w:val="clear" w:color="auto" w:fill="FFFFFF"/>
        </w:rPr>
        <w:t xml:space="preserve"> O157: H7 using isothermal recombinase polymerase amplification combined with triple-labeled nucleotide probes</w:t>
      </w:r>
      <w:r w:rsidRPr="009778B9">
        <w:rPr>
          <w:rFonts w:ascii="Arial" w:hAnsi="Arial" w:cs="Arial"/>
          <w:i/>
          <w:color w:val="222222"/>
          <w:sz w:val="20"/>
          <w:szCs w:val="20"/>
          <w:shd w:val="clear" w:color="auto" w:fill="FFFFFF"/>
        </w:rPr>
        <w:t>. </w:t>
      </w:r>
      <w:r w:rsidRPr="009778B9">
        <w:rPr>
          <w:rFonts w:ascii="Arial" w:hAnsi="Arial" w:cs="Arial"/>
          <w:i/>
          <w:iCs/>
          <w:color w:val="222222"/>
          <w:sz w:val="20"/>
          <w:szCs w:val="20"/>
          <w:shd w:val="clear" w:color="auto" w:fill="FFFFFF"/>
        </w:rPr>
        <w:t>Molecular and cellular probes</w:t>
      </w:r>
      <w:r w:rsidRPr="009778B9">
        <w:rPr>
          <w:rFonts w:ascii="Arial" w:hAnsi="Arial" w:cs="Arial"/>
          <w:i/>
          <w:color w:val="222222"/>
          <w:sz w:val="20"/>
          <w:szCs w:val="20"/>
          <w:shd w:val="clear" w:color="auto" w:fill="FFFFFF"/>
        </w:rPr>
        <w:t>, </w:t>
      </w:r>
      <w:r w:rsidRPr="009778B9">
        <w:rPr>
          <w:rFonts w:ascii="Arial" w:hAnsi="Arial" w:cs="Arial"/>
          <w:i/>
          <w:iCs/>
          <w:color w:val="222222"/>
          <w:sz w:val="20"/>
          <w:szCs w:val="20"/>
          <w:shd w:val="clear" w:color="auto" w:fill="FFFFFF"/>
        </w:rPr>
        <w:t>50</w:t>
      </w:r>
      <w:r w:rsidRPr="009778B9">
        <w:rPr>
          <w:rFonts w:ascii="Arial" w:hAnsi="Arial" w:cs="Arial"/>
          <w:i/>
          <w:color w:val="222222"/>
          <w:sz w:val="20"/>
          <w:szCs w:val="20"/>
          <w:shd w:val="clear" w:color="auto" w:fill="FFFFFF"/>
        </w:rPr>
        <w:t xml:space="preserve">, </w:t>
      </w:r>
      <w:r w:rsidRPr="009778B9">
        <w:rPr>
          <w:rFonts w:ascii="Arial" w:hAnsi="Arial" w:cs="Arial"/>
          <w:color w:val="222222"/>
          <w:sz w:val="20"/>
          <w:szCs w:val="20"/>
          <w:shd w:val="clear" w:color="auto" w:fill="FFFFFF"/>
        </w:rPr>
        <w:t>101501.</w:t>
      </w:r>
      <w:r w:rsidR="005A00A6" w:rsidRPr="009778B9">
        <w:rPr>
          <w:rFonts w:ascii="Arial" w:hAnsi="Arial" w:cs="Arial"/>
          <w:color w:val="222222"/>
          <w:sz w:val="20"/>
          <w:szCs w:val="20"/>
          <w:shd w:val="clear" w:color="auto" w:fill="FFFFFF"/>
        </w:rPr>
        <w:t xml:space="preserve"> doi: </w:t>
      </w:r>
      <w:hyperlink r:id="rId27" w:history="1">
        <w:r w:rsidR="005A00A6" w:rsidRPr="009778B9">
          <w:rPr>
            <w:rStyle w:val="Hyperlink"/>
            <w:rFonts w:ascii="Arial" w:hAnsi="Arial" w:cs="Arial"/>
            <w:sz w:val="20"/>
            <w:szCs w:val="20"/>
            <w:shd w:val="clear" w:color="auto" w:fill="FFFFFF"/>
          </w:rPr>
          <w:t>https://doi.org/10.1016/j.mcp.2019.101501</w:t>
        </w:r>
      </w:hyperlink>
    </w:p>
    <w:p w14:paraId="6BA426FF" w14:textId="77777777" w:rsidR="0063777C" w:rsidRPr="009778B9" w:rsidRDefault="0063777C"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Zhang, M., Ye, J., He, J. S., Zhang, F., Ping, J., Qian, C., &amp; Wu, J. (2020). Visual detection for nucleic acid-based techniques as potential on-site detection methods. A review. </w:t>
      </w:r>
      <w:r w:rsidRPr="009778B9">
        <w:rPr>
          <w:rFonts w:ascii="Arial" w:hAnsi="Arial" w:cs="Arial"/>
          <w:iCs/>
          <w:color w:val="222222"/>
          <w:sz w:val="20"/>
          <w:szCs w:val="20"/>
          <w:shd w:val="clear" w:color="auto" w:fill="FFFFFF"/>
        </w:rPr>
        <w:t>Analytica Chimica Acta</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1099</w:t>
      </w:r>
      <w:r w:rsidRPr="009778B9">
        <w:rPr>
          <w:rFonts w:ascii="Arial" w:hAnsi="Arial" w:cs="Arial"/>
          <w:color w:val="222222"/>
          <w:sz w:val="20"/>
          <w:szCs w:val="20"/>
          <w:shd w:val="clear" w:color="auto" w:fill="FFFFFF"/>
        </w:rPr>
        <w:t>, 1-15.</w:t>
      </w:r>
      <w:r w:rsidR="005A00A6" w:rsidRPr="009778B9">
        <w:rPr>
          <w:rFonts w:ascii="Arial" w:hAnsi="Arial" w:cs="Arial"/>
          <w:color w:val="222222"/>
          <w:sz w:val="20"/>
          <w:szCs w:val="20"/>
          <w:shd w:val="clear" w:color="auto" w:fill="FFFFFF"/>
        </w:rPr>
        <w:t xml:space="preserve"> doi: </w:t>
      </w:r>
      <w:hyperlink r:id="rId28" w:history="1">
        <w:r w:rsidR="005A00A6" w:rsidRPr="009778B9">
          <w:rPr>
            <w:rStyle w:val="Hyperlink"/>
            <w:rFonts w:ascii="Arial" w:hAnsi="Arial" w:cs="Arial"/>
            <w:sz w:val="20"/>
            <w:szCs w:val="20"/>
            <w:shd w:val="clear" w:color="auto" w:fill="FFFFFF"/>
          </w:rPr>
          <w:t>https://doi.org/10.1016/j.aca.2019.11.056</w:t>
        </w:r>
      </w:hyperlink>
    </w:p>
    <w:p w14:paraId="1378E2C0" w14:textId="77777777" w:rsidR="0063777C" w:rsidRPr="009778B9" w:rsidRDefault="0063777C"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Esbin, M. N., Whitney, O. N., Chong, S., Maurer, A., Darzacq, X., &amp;Tjian, R. (2020). Overcoming the bottleneck to widespread testing: a rapid review of nucleic acid testing approaches for COVID-19 detection. </w:t>
      </w:r>
      <w:r w:rsidRPr="009778B9">
        <w:rPr>
          <w:rFonts w:ascii="Arial" w:hAnsi="Arial" w:cs="Arial"/>
          <w:iCs/>
          <w:color w:val="222222"/>
          <w:sz w:val="20"/>
          <w:szCs w:val="20"/>
          <w:shd w:val="clear" w:color="auto" w:fill="FFFFFF"/>
        </w:rPr>
        <w:t>Rna</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26</w:t>
      </w:r>
      <w:r w:rsidRPr="009778B9">
        <w:rPr>
          <w:rFonts w:ascii="Arial" w:hAnsi="Arial" w:cs="Arial"/>
          <w:color w:val="222222"/>
          <w:sz w:val="20"/>
          <w:szCs w:val="20"/>
          <w:shd w:val="clear" w:color="auto" w:fill="FFFFFF"/>
        </w:rPr>
        <w:t>(7), 771-783.</w:t>
      </w:r>
      <w:r w:rsidR="005A00A6" w:rsidRPr="009778B9">
        <w:rPr>
          <w:rFonts w:ascii="Arial" w:hAnsi="Arial" w:cs="Arial"/>
          <w:color w:val="222222"/>
          <w:sz w:val="20"/>
          <w:szCs w:val="20"/>
          <w:shd w:val="clear" w:color="auto" w:fill="FFFFFF"/>
        </w:rPr>
        <w:t xml:space="preserve"> doi: </w:t>
      </w:r>
      <w:hyperlink r:id="rId29" w:history="1">
        <w:r w:rsidR="005A00A6" w:rsidRPr="009778B9">
          <w:rPr>
            <w:rStyle w:val="Hyperlink"/>
            <w:rFonts w:ascii="Arial" w:hAnsi="Arial" w:cs="Arial"/>
            <w:sz w:val="20"/>
            <w:szCs w:val="20"/>
            <w:shd w:val="clear" w:color="auto" w:fill="FFFFFF"/>
          </w:rPr>
          <w:t>http://dx.doi.org/10.1261/rna.076232.120</w:t>
        </w:r>
      </w:hyperlink>
    </w:p>
    <w:p w14:paraId="1F9F989F" w14:textId="77777777" w:rsidR="0063777C" w:rsidRPr="009778B9" w:rsidRDefault="0063777C"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Gardella, T., Medveczky, P., Sairenji, T., &amp; Mulder, C. (1984). Detection of circular and linear herpesvirus DNA molecules in mammalian cells by gel electrophoresis. </w:t>
      </w:r>
      <w:r w:rsidRPr="009778B9">
        <w:rPr>
          <w:rFonts w:ascii="Arial" w:hAnsi="Arial" w:cs="Arial"/>
          <w:iCs/>
          <w:color w:val="222222"/>
          <w:sz w:val="20"/>
          <w:szCs w:val="20"/>
          <w:shd w:val="clear" w:color="auto" w:fill="FFFFFF"/>
        </w:rPr>
        <w:t>Journal of virology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50</w:t>
      </w:r>
      <w:r w:rsidRPr="009778B9">
        <w:rPr>
          <w:rFonts w:ascii="Arial" w:hAnsi="Arial" w:cs="Arial"/>
          <w:color w:val="222222"/>
          <w:sz w:val="20"/>
          <w:szCs w:val="20"/>
          <w:shd w:val="clear" w:color="auto" w:fill="FFFFFF"/>
        </w:rPr>
        <w:t>(1), 248-254.</w:t>
      </w:r>
      <w:r w:rsidR="005A00A6" w:rsidRPr="009778B9">
        <w:rPr>
          <w:rFonts w:ascii="Arial" w:hAnsi="Arial" w:cs="Arial"/>
          <w:color w:val="222222"/>
          <w:sz w:val="20"/>
          <w:szCs w:val="20"/>
          <w:shd w:val="clear" w:color="auto" w:fill="FFFFFF"/>
        </w:rPr>
        <w:t xml:space="preserve"> doi: </w:t>
      </w:r>
      <w:hyperlink r:id="rId30" w:history="1">
        <w:r w:rsidR="005A00A6" w:rsidRPr="009778B9">
          <w:rPr>
            <w:rStyle w:val="Hyperlink"/>
            <w:rFonts w:ascii="Arial" w:hAnsi="Arial" w:cs="Arial"/>
            <w:sz w:val="20"/>
            <w:szCs w:val="20"/>
            <w:shd w:val="clear" w:color="auto" w:fill="FFFFFF"/>
          </w:rPr>
          <w:t>http://dx.doi.org/10.1128/JVI.50.1.248-254.1984</w:t>
        </w:r>
      </w:hyperlink>
    </w:p>
    <w:p w14:paraId="48AEE06E" w14:textId="77777777" w:rsidR="0063777C" w:rsidRPr="009778B9" w:rsidRDefault="0063777C"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Stokes, R. P., Cordwell, A., &amp; Thompson, R. A. (1982). A simple, rapid ELISA method for the detection of DNA antibodies. </w:t>
      </w:r>
      <w:r w:rsidRPr="009778B9">
        <w:rPr>
          <w:rFonts w:ascii="Arial" w:hAnsi="Arial" w:cs="Arial"/>
          <w:iCs/>
          <w:color w:val="222222"/>
          <w:sz w:val="20"/>
          <w:szCs w:val="20"/>
          <w:shd w:val="clear" w:color="auto" w:fill="FFFFFF"/>
        </w:rPr>
        <w:t>Journal of clinical pathology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35</w:t>
      </w:r>
      <w:r w:rsidRPr="009778B9">
        <w:rPr>
          <w:rFonts w:ascii="Arial" w:hAnsi="Arial" w:cs="Arial"/>
          <w:color w:val="222222"/>
          <w:sz w:val="20"/>
          <w:szCs w:val="20"/>
          <w:shd w:val="clear" w:color="auto" w:fill="FFFFFF"/>
        </w:rPr>
        <w:t>(5), 566-573.</w:t>
      </w:r>
    </w:p>
    <w:p w14:paraId="77E4BF8A" w14:textId="77777777" w:rsidR="0063777C" w:rsidRPr="009778B9" w:rsidRDefault="0063777C"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 xml:space="preserve">Zeng, W., Yao, W., Wang, Y., Li, Y., Bermann, S. M., Ren, Y., Shi, C., Song, X., Huang, Q., Zheng, S., </w:t>
      </w:r>
      <w:r w:rsidR="00AA09DA" w:rsidRPr="009778B9">
        <w:rPr>
          <w:rFonts w:ascii="Arial" w:hAnsi="Arial" w:cs="Arial"/>
          <w:color w:val="222222"/>
          <w:sz w:val="20"/>
          <w:szCs w:val="20"/>
          <w:shd w:val="clear" w:color="auto" w:fill="FFFFFF"/>
        </w:rPr>
        <w:t xml:space="preserve">and </w:t>
      </w:r>
      <w:r w:rsidRPr="009778B9">
        <w:rPr>
          <w:rFonts w:ascii="Arial" w:hAnsi="Arial" w:cs="Arial"/>
          <w:color w:val="222222"/>
          <w:sz w:val="20"/>
          <w:szCs w:val="20"/>
          <w:shd w:val="clear" w:color="auto" w:fill="FFFFFF"/>
        </w:rPr>
        <w:t>Wang, Q. (2017). Molecular detection of genotype II grass carp reovirus based on nucleic acid sequence-based amplification combined with enzyme-linked immunosorbent assay (NASBA-ELISA). </w:t>
      </w:r>
      <w:r w:rsidRPr="009778B9">
        <w:rPr>
          <w:rFonts w:ascii="Arial" w:hAnsi="Arial" w:cs="Arial"/>
          <w:iCs/>
          <w:color w:val="222222"/>
          <w:sz w:val="20"/>
          <w:szCs w:val="20"/>
          <w:shd w:val="clear" w:color="auto" w:fill="FFFFFF"/>
        </w:rPr>
        <w:t>Journal of virological methods</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243</w:t>
      </w:r>
      <w:r w:rsidRPr="009778B9">
        <w:rPr>
          <w:rFonts w:ascii="Arial" w:hAnsi="Arial" w:cs="Arial"/>
          <w:color w:val="222222"/>
          <w:sz w:val="20"/>
          <w:szCs w:val="20"/>
          <w:shd w:val="clear" w:color="auto" w:fill="FFFFFF"/>
        </w:rPr>
        <w:t>, 92-97.</w:t>
      </w:r>
      <w:r w:rsidR="005A00A6" w:rsidRPr="009778B9">
        <w:rPr>
          <w:rFonts w:ascii="Arial" w:hAnsi="Arial" w:cs="Arial"/>
          <w:color w:val="222222"/>
          <w:sz w:val="20"/>
          <w:szCs w:val="20"/>
          <w:shd w:val="clear" w:color="auto" w:fill="FFFFFF"/>
        </w:rPr>
        <w:t xml:space="preserve"> doi: </w:t>
      </w:r>
      <w:hyperlink r:id="rId31" w:history="1">
        <w:r w:rsidR="005A00A6" w:rsidRPr="009778B9">
          <w:rPr>
            <w:rStyle w:val="Hyperlink"/>
            <w:rFonts w:ascii="Arial" w:hAnsi="Arial" w:cs="Arial"/>
            <w:sz w:val="20"/>
            <w:szCs w:val="20"/>
            <w:shd w:val="clear" w:color="auto" w:fill="FFFFFF"/>
          </w:rPr>
          <w:t>http://dx.doi.org/10.1016/j.jviromet.2017.02.001</w:t>
        </w:r>
      </w:hyperlink>
    </w:p>
    <w:p w14:paraId="1D94FA56" w14:textId="77777777" w:rsidR="0063777C" w:rsidRPr="009778B9" w:rsidRDefault="0063777C"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Yelin, I., Aharony, N., Tamar, E. S., Argoetti, A., Messer, E., Berenbaum, D., Shafran, E., Kuzli, A., Gandali, N., Hashimshony, T., Mandel-Gutfreund, Y., Halberthal, M., Geffen, Y., Szwarcwort-Cohen, M., and Kishony, R. (2020). Evaluation of COVID-19 RT-qPCR test in multi sample pools. </w:t>
      </w:r>
      <w:r w:rsidRPr="009778B9">
        <w:rPr>
          <w:rFonts w:ascii="Arial" w:hAnsi="Arial" w:cs="Arial"/>
          <w:iCs/>
          <w:color w:val="222222"/>
          <w:sz w:val="20"/>
          <w:szCs w:val="20"/>
          <w:shd w:val="clear" w:color="auto" w:fill="FFFFFF"/>
        </w:rPr>
        <w:t>Clinical Infectious Diseases</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71</w:t>
      </w:r>
      <w:r w:rsidRPr="009778B9">
        <w:rPr>
          <w:rFonts w:ascii="Arial" w:hAnsi="Arial" w:cs="Arial"/>
          <w:color w:val="222222"/>
          <w:sz w:val="20"/>
          <w:szCs w:val="20"/>
          <w:shd w:val="clear" w:color="auto" w:fill="FFFFFF"/>
        </w:rPr>
        <w:t>(16), 2073-2078.</w:t>
      </w:r>
      <w:r w:rsidR="005A00A6" w:rsidRPr="009778B9">
        <w:rPr>
          <w:rFonts w:ascii="Arial" w:hAnsi="Arial" w:cs="Arial"/>
          <w:color w:val="222222"/>
          <w:sz w:val="20"/>
          <w:szCs w:val="20"/>
          <w:shd w:val="clear" w:color="auto" w:fill="FFFFFF"/>
        </w:rPr>
        <w:t xml:space="preserve"> doi: </w:t>
      </w:r>
      <w:hyperlink r:id="rId32" w:history="1">
        <w:r w:rsidR="005A00A6" w:rsidRPr="009778B9">
          <w:rPr>
            <w:rStyle w:val="Hyperlink"/>
            <w:rFonts w:ascii="Arial" w:hAnsi="Arial" w:cs="Arial"/>
            <w:sz w:val="20"/>
            <w:szCs w:val="20"/>
            <w:shd w:val="clear" w:color="auto" w:fill="FFFFFF"/>
          </w:rPr>
          <w:t>http://dx.doi.org/10.1093/cid/ciaa531</w:t>
        </w:r>
      </w:hyperlink>
    </w:p>
    <w:p w14:paraId="7754699D" w14:textId="2CAB7AE4" w:rsidR="009E4391" w:rsidRPr="009778B9" w:rsidRDefault="0063777C"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 xml:space="preserve">Nagakubo, Y., Hirotsu, Y., Amemiya, K., Oyama, T., Mochizuki, H., </w:t>
      </w:r>
      <w:r w:rsidR="00AA09DA" w:rsidRPr="009778B9">
        <w:rPr>
          <w:rFonts w:ascii="Arial" w:hAnsi="Arial" w:cs="Arial"/>
          <w:color w:val="222222"/>
          <w:sz w:val="20"/>
          <w:szCs w:val="20"/>
          <w:shd w:val="clear" w:color="auto" w:fill="FFFFFF"/>
        </w:rPr>
        <w:t>and</w:t>
      </w:r>
      <w:r w:rsidR="002528D1">
        <w:rPr>
          <w:rFonts w:ascii="Arial" w:hAnsi="Arial" w:cs="Arial"/>
          <w:color w:val="222222"/>
          <w:sz w:val="20"/>
          <w:szCs w:val="20"/>
          <w:shd w:val="clear" w:color="auto" w:fill="FFFFFF"/>
        </w:rPr>
        <w:t xml:space="preserve"> </w:t>
      </w:r>
      <w:r w:rsidRPr="009778B9">
        <w:rPr>
          <w:rFonts w:ascii="Arial" w:hAnsi="Arial" w:cs="Arial"/>
          <w:color w:val="222222"/>
          <w:sz w:val="20"/>
          <w:szCs w:val="20"/>
          <w:shd w:val="clear" w:color="auto" w:fill="FFFFFF"/>
        </w:rPr>
        <w:t>Omata, M. (2019). Accurate detection of KRAS, NRAS and BRAF mutations in metastatic colorectal cancers by bridged nucleic acid-clamp real-time PCR. </w:t>
      </w:r>
      <w:r w:rsidRPr="009778B9">
        <w:rPr>
          <w:rFonts w:ascii="Arial" w:hAnsi="Arial" w:cs="Arial"/>
          <w:iCs/>
          <w:color w:val="222222"/>
          <w:sz w:val="20"/>
          <w:szCs w:val="20"/>
          <w:shd w:val="clear" w:color="auto" w:fill="FFFFFF"/>
        </w:rPr>
        <w:t>BMC Medical Genomics</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12</w:t>
      </w:r>
      <w:r w:rsidRPr="009778B9">
        <w:rPr>
          <w:rFonts w:ascii="Arial" w:hAnsi="Arial" w:cs="Arial"/>
          <w:color w:val="222222"/>
          <w:sz w:val="20"/>
          <w:szCs w:val="20"/>
          <w:shd w:val="clear" w:color="auto" w:fill="FFFFFF"/>
        </w:rPr>
        <w:t>(1), 162.</w:t>
      </w:r>
      <w:r w:rsidR="005A00A6" w:rsidRPr="009778B9">
        <w:rPr>
          <w:rFonts w:ascii="Arial" w:hAnsi="Arial" w:cs="Arial"/>
          <w:color w:val="222222"/>
          <w:sz w:val="20"/>
          <w:szCs w:val="20"/>
          <w:shd w:val="clear" w:color="auto" w:fill="FFFFFF"/>
        </w:rPr>
        <w:t xml:space="preserve"> doi: </w:t>
      </w:r>
      <w:hyperlink r:id="rId33" w:history="1">
        <w:r w:rsidR="0073664F" w:rsidRPr="009778B9">
          <w:rPr>
            <w:rStyle w:val="Hyperlink"/>
            <w:rFonts w:ascii="Arial" w:hAnsi="Arial" w:cs="Arial"/>
            <w:sz w:val="20"/>
            <w:szCs w:val="20"/>
            <w:shd w:val="clear" w:color="auto" w:fill="FFFFFF"/>
          </w:rPr>
          <w:t>https://bmcmedgenomics.biomedcentral.com/articles/10.1186/s12920-019-0610-8</w:t>
        </w:r>
      </w:hyperlink>
    </w:p>
    <w:p w14:paraId="7C64AAF6" w14:textId="77777777" w:rsidR="009E4391" w:rsidRPr="009778B9" w:rsidRDefault="0043720E"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lastRenderedPageBreak/>
        <w:t xml:space="preserve">Chandrakanth, N., Makwana, P., Satish, L., Rabha, M., </w:t>
      </w:r>
      <w:r w:rsidR="00AA09DA" w:rsidRPr="009778B9">
        <w:rPr>
          <w:rFonts w:ascii="Arial" w:hAnsi="Arial" w:cs="Arial"/>
          <w:color w:val="222222"/>
          <w:sz w:val="20"/>
          <w:szCs w:val="20"/>
          <w:shd w:val="clear" w:color="auto" w:fill="FFFFFF"/>
        </w:rPr>
        <w:t>and</w:t>
      </w:r>
      <w:r w:rsidRPr="009778B9">
        <w:rPr>
          <w:rFonts w:ascii="Arial" w:hAnsi="Arial" w:cs="Arial"/>
          <w:color w:val="222222"/>
          <w:sz w:val="20"/>
          <w:szCs w:val="20"/>
          <w:shd w:val="clear" w:color="auto" w:fill="FFFFFF"/>
        </w:rPr>
        <w:t xml:space="preserve"> Sivaprasad, V. (2021). Molecular approaches for detection of pebrine disease in sericulture. In </w:t>
      </w:r>
      <w:r w:rsidRPr="009778B9">
        <w:rPr>
          <w:rFonts w:ascii="Arial" w:hAnsi="Arial" w:cs="Arial"/>
          <w:iCs/>
          <w:color w:val="222222"/>
          <w:sz w:val="20"/>
          <w:szCs w:val="20"/>
          <w:shd w:val="clear" w:color="auto" w:fill="FFFFFF"/>
        </w:rPr>
        <w:t>Methods in microbiology</w:t>
      </w:r>
      <w:r w:rsidR="00AA09DA" w:rsidRPr="009778B9">
        <w:rPr>
          <w:rFonts w:ascii="Arial" w:hAnsi="Arial" w:cs="Arial"/>
          <w:color w:val="222222"/>
          <w:sz w:val="20"/>
          <w:szCs w:val="20"/>
          <w:shd w:val="clear" w:color="auto" w:fill="FFFFFF"/>
        </w:rPr>
        <w:t xml:space="preserve">, </w:t>
      </w:r>
      <w:r w:rsidRPr="009778B9">
        <w:rPr>
          <w:rFonts w:ascii="Arial" w:hAnsi="Arial" w:cs="Arial"/>
          <w:iCs/>
          <w:color w:val="222222"/>
          <w:sz w:val="20"/>
          <w:szCs w:val="20"/>
          <w:shd w:val="clear" w:color="auto" w:fill="FFFFFF"/>
        </w:rPr>
        <w:t>49</w:t>
      </w:r>
      <w:r w:rsidRPr="009778B9">
        <w:rPr>
          <w:rFonts w:ascii="Arial" w:hAnsi="Arial" w:cs="Arial"/>
          <w:color w:val="222222"/>
          <w:sz w:val="20"/>
          <w:szCs w:val="20"/>
          <w:shd w:val="clear" w:color="auto" w:fill="FFFFFF"/>
        </w:rPr>
        <w:t>, 47-77. Academic Press.</w:t>
      </w:r>
    </w:p>
    <w:p w14:paraId="3CFF942E" w14:textId="77777777" w:rsidR="0043720E" w:rsidRPr="009778B9" w:rsidRDefault="0043720E"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He, Z., Ni, Q., Song, Y., Wang, R., Tang, Y., Wu, Y.,</w:t>
      </w:r>
      <w:r w:rsidR="00AA09DA" w:rsidRPr="009778B9">
        <w:rPr>
          <w:rFonts w:ascii="Arial" w:hAnsi="Arial" w:cs="Arial"/>
          <w:color w:val="222222"/>
          <w:sz w:val="20"/>
          <w:szCs w:val="20"/>
          <w:shd w:val="clear" w:color="auto" w:fill="FFFFFF"/>
        </w:rPr>
        <w:t xml:space="preserve"> Liu, L., Bao, J., Chen, J., Long, M., Wei, J., Li, C., Li, T., Zhou, Z.,and</w:t>
      </w:r>
      <w:r w:rsidRPr="009778B9">
        <w:rPr>
          <w:rFonts w:ascii="Arial" w:hAnsi="Arial" w:cs="Arial"/>
          <w:color w:val="222222"/>
          <w:sz w:val="20"/>
          <w:szCs w:val="20"/>
          <w:shd w:val="clear" w:color="auto" w:fill="FFFFFF"/>
        </w:rPr>
        <w:t xml:space="preserve"> Pan, G. (2019). Development of a nucleic acid lateral flow strip for rapid, visual detection of </w:t>
      </w:r>
      <w:r w:rsidRPr="009778B9">
        <w:rPr>
          <w:rFonts w:ascii="Arial" w:hAnsi="Arial" w:cs="Arial"/>
          <w:i/>
          <w:iCs/>
          <w:color w:val="222222"/>
          <w:sz w:val="20"/>
          <w:szCs w:val="20"/>
          <w:shd w:val="clear" w:color="auto" w:fill="FFFFFF"/>
        </w:rPr>
        <w:t>Nosema bombycis</w:t>
      </w:r>
      <w:r w:rsidRPr="009778B9">
        <w:rPr>
          <w:rFonts w:ascii="Arial" w:hAnsi="Arial" w:cs="Arial"/>
          <w:color w:val="222222"/>
          <w:sz w:val="20"/>
          <w:szCs w:val="20"/>
          <w:shd w:val="clear" w:color="auto" w:fill="FFFFFF"/>
        </w:rPr>
        <w:t xml:space="preserve"> in silkworm eggs. </w:t>
      </w:r>
      <w:r w:rsidRPr="009778B9">
        <w:rPr>
          <w:rFonts w:ascii="Arial" w:hAnsi="Arial" w:cs="Arial"/>
          <w:iCs/>
          <w:color w:val="222222"/>
          <w:sz w:val="20"/>
          <w:szCs w:val="20"/>
          <w:shd w:val="clear" w:color="auto" w:fill="FFFFFF"/>
        </w:rPr>
        <w:t>Journal of invertebrate pathology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164</w:t>
      </w:r>
      <w:r w:rsidRPr="009778B9">
        <w:rPr>
          <w:rFonts w:ascii="Arial" w:hAnsi="Arial" w:cs="Arial"/>
          <w:color w:val="222222"/>
          <w:sz w:val="20"/>
          <w:szCs w:val="20"/>
          <w:shd w:val="clear" w:color="auto" w:fill="FFFFFF"/>
        </w:rPr>
        <w:t xml:space="preserve">, 59-65, doi: </w:t>
      </w:r>
      <w:hyperlink r:id="rId34" w:history="1">
        <w:r w:rsidRPr="009778B9">
          <w:rPr>
            <w:rFonts w:ascii="Arial" w:hAnsi="Arial" w:cs="Arial"/>
            <w:color w:val="0000FF" w:themeColor="hyperlink"/>
            <w:sz w:val="20"/>
            <w:szCs w:val="20"/>
            <w:u w:val="single"/>
          </w:rPr>
          <w:t>https://doi.org/10.1016/j.jip.2019.04.004</w:t>
        </w:r>
      </w:hyperlink>
      <w:r w:rsidRPr="009778B9">
        <w:rPr>
          <w:rFonts w:ascii="Arial" w:hAnsi="Arial" w:cs="Arial"/>
          <w:color w:val="222222"/>
          <w:sz w:val="20"/>
          <w:szCs w:val="20"/>
          <w:shd w:val="clear" w:color="auto" w:fill="FFFFFF"/>
        </w:rPr>
        <w:t>.</w:t>
      </w:r>
    </w:p>
    <w:p w14:paraId="33E48972" w14:textId="77777777" w:rsidR="0043720E" w:rsidRPr="009778B9" w:rsidRDefault="0063777C" w:rsidP="00D223C5">
      <w:pPr>
        <w:shd w:val="clear" w:color="auto" w:fill="FFFFFF"/>
        <w:spacing w:before="100" w:beforeAutospacing="1" w:after="100" w:afterAutospacing="1"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Javani, A., Javadi-Zarnaghi, F., &amp;Rasaee, M. J. (2017). Development of a colorimetric nucleic acid-based lateral flow assay with non-biotinylated capture DNA. </w:t>
      </w:r>
      <w:r w:rsidRPr="009778B9">
        <w:rPr>
          <w:rFonts w:ascii="Arial" w:hAnsi="Arial" w:cs="Arial"/>
          <w:iCs/>
          <w:color w:val="222222"/>
          <w:sz w:val="20"/>
          <w:szCs w:val="20"/>
          <w:shd w:val="clear" w:color="auto" w:fill="FFFFFF"/>
        </w:rPr>
        <w:t>Applied biological chemistry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60</w:t>
      </w:r>
      <w:r w:rsidRPr="009778B9">
        <w:rPr>
          <w:rFonts w:ascii="Arial" w:hAnsi="Arial" w:cs="Arial"/>
          <w:color w:val="222222"/>
          <w:sz w:val="20"/>
          <w:szCs w:val="20"/>
          <w:shd w:val="clear" w:color="auto" w:fill="FFFFFF"/>
        </w:rPr>
        <w:t>, 637-645.</w:t>
      </w:r>
      <w:r w:rsidR="00BF43C4" w:rsidRPr="009778B9">
        <w:rPr>
          <w:rFonts w:ascii="Arial" w:hAnsi="Arial" w:cs="Arial"/>
          <w:color w:val="222222"/>
          <w:sz w:val="20"/>
          <w:szCs w:val="20"/>
          <w:shd w:val="clear" w:color="auto" w:fill="FFFFFF"/>
        </w:rPr>
        <w:t xml:space="preserve"> doi: </w:t>
      </w:r>
      <w:hyperlink r:id="rId35" w:history="1">
        <w:r w:rsidR="00BF43C4" w:rsidRPr="009778B9">
          <w:rPr>
            <w:rStyle w:val="Hyperlink"/>
            <w:rFonts w:ascii="Arial" w:hAnsi="Arial" w:cs="Arial"/>
            <w:sz w:val="20"/>
            <w:szCs w:val="20"/>
            <w:shd w:val="clear" w:color="auto" w:fill="FFFFFF"/>
          </w:rPr>
          <w:t>http://dx.doi.org/10.1007/s13765-017-0321-9</w:t>
        </w:r>
      </w:hyperlink>
    </w:p>
    <w:p w14:paraId="6179A0FF" w14:textId="77777777" w:rsidR="0063777C" w:rsidRPr="009778B9" w:rsidRDefault="0063777C" w:rsidP="00D223C5">
      <w:pPr>
        <w:shd w:val="clear" w:color="auto" w:fill="FFFFFF"/>
        <w:spacing w:before="100" w:beforeAutospacing="1" w:after="100" w:afterAutospacing="1"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Xu, Y., Liu, Y., Wu, Y., Xia, X., Liao, Y., &amp; Li, Q. (2014). Fluorescent probe-based lateral flow assay for multiplex nucleic acid detection. </w:t>
      </w:r>
      <w:r w:rsidRPr="009778B9">
        <w:rPr>
          <w:rFonts w:ascii="Arial" w:hAnsi="Arial" w:cs="Arial"/>
          <w:iCs/>
          <w:color w:val="222222"/>
          <w:sz w:val="20"/>
          <w:szCs w:val="20"/>
          <w:shd w:val="clear" w:color="auto" w:fill="FFFFFF"/>
        </w:rPr>
        <w:t>Analytical chemistry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86</w:t>
      </w:r>
      <w:r w:rsidRPr="009778B9">
        <w:rPr>
          <w:rFonts w:ascii="Arial" w:hAnsi="Arial" w:cs="Arial"/>
          <w:color w:val="222222"/>
          <w:sz w:val="20"/>
          <w:szCs w:val="20"/>
          <w:shd w:val="clear" w:color="auto" w:fill="FFFFFF"/>
        </w:rPr>
        <w:t>(12), 5611-5614.</w:t>
      </w:r>
      <w:r w:rsidR="00BF43C4" w:rsidRPr="009778B9">
        <w:rPr>
          <w:rFonts w:ascii="Arial" w:hAnsi="Arial" w:cs="Arial"/>
          <w:color w:val="222222"/>
          <w:sz w:val="20"/>
          <w:szCs w:val="20"/>
          <w:shd w:val="clear" w:color="auto" w:fill="FFFFFF"/>
        </w:rPr>
        <w:t xml:space="preserve"> doi: </w:t>
      </w:r>
      <w:hyperlink r:id="rId36" w:history="1">
        <w:r w:rsidR="00BF43C4" w:rsidRPr="009778B9">
          <w:rPr>
            <w:rStyle w:val="Hyperlink"/>
            <w:rFonts w:ascii="Arial" w:hAnsi="Arial" w:cs="Arial"/>
            <w:sz w:val="20"/>
            <w:szCs w:val="20"/>
            <w:shd w:val="clear" w:color="auto" w:fill="FFFFFF"/>
          </w:rPr>
          <w:t>http://dx.doi.org/10.1021/ac5010458</w:t>
        </w:r>
      </w:hyperlink>
    </w:p>
    <w:p w14:paraId="12223486" w14:textId="77777777" w:rsidR="0063777C" w:rsidRPr="009778B9" w:rsidRDefault="0063777C" w:rsidP="00D223C5">
      <w:pPr>
        <w:shd w:val="clear" w:color="auto" w:fill="FFFFFF"/>
        <w:spacing w:before="100" w:beforeAutospacing="1" w:after="100" w:afterAutospacing="1"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Ghosh, A., Banerjee, A., &amp; Srivastava, R. (2023). Nanomaterial-Based Lateral Flow Assays for Point-of-Care Diagnostic Tests. In </w:t>
      </w:r>
      <w:r w:rsidRPr="009778B9">
        <w:rPr>
          <w:rFonts w:ascii="Arial" w:hAnsi="Arial" w:cs="Arial"/>
          <w:iCs/>
          <w:color w:val="222222"/>
          <w:sz w:val="20"/>
          <w:szCs w:val="20"/>
          <w:shd w:val="clear" w:color="auto" w:fill="FFFFFF"/>
        </w:rPr>
        <w:t>Surface Engineering and Functional</w:t>
      </w:r>
      <w:r w:rsidRPr="009778B9">
        <w:rPr>
          <w:rFonts w:ascii="Arial" w:hAnsi="Arial" w:cs="Arial"/>
          <w:i/>
          <w:iCs/>
          <w:color w:val="222222"/>
          <w:sz w:val="20"/>
          <w:szCs w:val="20"/>
          <w:shd w:val="clear" w:color="auto" w:fill="FFFFFF"/>
        </w:rPr>
        <w:t xml:space="preserve"> </w:t>
      </w:r>
      <w:r w:rsidRPr="009778B9">
        <w:rPr>
          <w:rFonts w:ascii="Arial" w:hAnsi="Arial" w:cs="Arial"/>
          <w:iCs/>
          <w:color w:val="222222"/>
          <w:sz w:val="20"/>
          <w:szCs w:val="20"/>
          <w:shd w:val="clear" w:color="auto" w:fill="FFFFFF"/>
        </w:rPr>
        <w:t>Nanomaterials for Point-of-Care Analytical Devices</w:t>
      </w:r>
      <w:r w:rsidR="00667184" w:rsidRPr="009778B9">
        <w:rPr>
          <w:rFonts w:ascii="Arial" w:hAnsi="Arial" w:cs="Arial"/>
          <w:color w:val="222222"/>
          <w:sz w:val="20"/>
          <w:szCs w:val="20"/>
          <w:shd w:val="clear" w:color="auto" w:fill="FFFFFF"/>
        </w:rPr>
        <w:t>,</w:t>
      </w:r>
      <w:r w:rsidRPr="009778B9">
        <w:rPr>
          <w:rFonts w:ascii="Arial" w:hAnsi="Arial" w:cs="Arial"/>
          <w:color w:val="222222"/>
          <w:sz w:val="20"/>
          <w:szCs w:val="20"/>
          <w:shd w:val="clear" w:color="auto" w:fill="FFFFFF"/>
        </w:rPr>
        <w:t xml:space="preserve"> 323-344. Singapore: Springer Nature Singapore.</w:t>
      </w:r>
      <w:r w:rsidR="00BF43C4" w:rsidRPr="009778B9">
        <w:rPr>
          <w:rFonts w:ascii="Arial" w:hAnsi="Arial" w:cs="Arial"/>
          <w:color w:val="222222"/>
          <w:sz w:val="20"/>
          <w:szCs w:val="20"/>
          <w:shd w:val="clear" w:color="auto" w:fill="FFFFFF"/>
        </w:rPr>
        <w:t xml:space="preserve"> doi: </w:t>
      </w:r>
      <w:hyperlink r:id="rId37" w:history="1">
        <w:r w:rsidR="00BF43C4" w:rsidRPr="009778B9">
          <w:rPr>
            <w:rStyle w:val="Hyperlink"/>
            <w:rFonts w:ascii="Arial" w:hAnsi="Arial" w:cs="Arial"/>
            <w:sz w:val="20"/>
            <w:szCs w:val="20"/>
            <w:shd w:val="clear" w:color="auto" w:fill="FFFFFF"/>
          </w:rPr>
          <w:t>http://dx.doi.org/10.1007/978-981-99-3025-8_14</w:t>
        </w:r>
      </w:hyperlink>
    </w:p>
    <w:p w14:paraId="4545C302" w14:textId="77777777" w:rsidR="009E4391" w:rsidRPr="009778B9" w:rsidRDefault="009E4391" w:rsidP="00D223C5">
      <w:pPr>
        <w:shd w:val="clear" w:color="auto" w:fill="FFFFFF"/>
        <w:spacing w:before="100" w:beforeAutospacing="1" w:after="100" w:afterAutospacing="1"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Zheng, C., Wang, K., Zheng, W., Cheng, Y., Li, T., Cao, B., </w:t>
      </w:r>
      <w:r w:rsidR="00667184" w:rsidRPr="009778B9">
        <w:rPr>
          <w:rFonts w:ascii="Arial" w:hAnsi="Arial" w:cs="Arial"/>
          <w:color w:val="222222"/>
          <w:sz w:val="20"/>
          <w:szCs w:val="20"/>
          <w:shd w:val="clear" w:color="auto" w:fill="FFFFFF"/>
        </w:rPr>
        <w:t>Jin, Q., and</w:t>
      </w:r>
      <w:r w:rsidRPr="009778B9">
        <w:rPr>
          <w:rFonts w:ascii="Arial" w:hAnsi="Arial" w:cs="Arial"/>
          <w:color w:val="222222"/>
          <w:sz w:val="20"/>
          <w:szCs w:val="20"/>
          <w:shd w:val="clear" w:color="auto" w:fill="FFFFFF"/>
        </w:rPr>
        <w:t xml:space="preserve"> Cui, D. (2021). Rapid developments in lateral flow immunoassay for nucleic acid detection. </w:t>
      </w:r>
      <w:r w:rsidRPr="009778B9">
        <w:rPr>
          <w:rFonts w:ascii="Arial" w:hAnsi="Arial" w:cs="Arial"/>
          <w:iCs/>
          <w:color w:val="222222"/>
          <w:sz w:val="20"/>
          <w:szCs w:val="20"/>
          <w:shd w:val="clear" w:color="auto" w:fill="FFFFFF"/>
        </w:rPr>
        <w:t>Analyst</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146</w:t>
      </w:r>
      <w:r w:rsidRPr="009778B9">
        <w:rPr>
          <w:rFonts w:ascii="Arial" w:hAnsi="Arial" w:cs="Arial"/>
          <w:color w:val="222222"/>
          <w:sz w:val="20"/>
          <w:szCs w:val="20"/>
          <w:shd w:val="clear" w:color="auto" w:fill="FFFFFF"/>
        </w:rPr>
        <w:t>(5), 1514-1528.</w:t>
      </w:r>
      <w:r w:rsidR="00BF43C4" w:rsidRPr="009778B9">
        <w:rPr>
          <w:rFonts w:ascii="Arial" w:hAnsi="Arial" w:cs="Arial"/>
          <w:color w:val="222222"/>
          <w:sz w:val="20"/>
          <w:szCs w:val="20"/>
          <w:shd w:val="clear" w:color="auto" w:fill="FFFFFF"/>
        </w:rPr>
        <w:t xml:space="preserve"> doi: </w:t>
      </w:r>
      <w:hyperlink r:id="rId38" w:history="1">
        <w:r w:rsidR="00BF43C4" w:rsidRPr="009778B9">
          <w:rPr>
            <w:rStyle w:val="Hyperlink"/>
            <w:rFonts w:ascii="Arial" w:hAnsi="Arial" w:cs="Arial"/>
            <w:sz w:val="20"/>
            <w:szCs w:val="20"/>
            <w:shd w:val="clear" w:color="auto" w:fill="FFFFFF"/>
          </w:rPr>
          <w:t>http://dx.doi.org/10.1039/D0AN02150D</w:t>
        </w:r>
      </w:hyperlink>
    </w:p>
    <w:p w14:paraId="205704C3" w14:textId="77777777" w:rsidR="009E4391" w:rsidRPr="009778B9" w:rsidRDefault="009E4391" w:rsidP="00D223C5">
      <w:pPr>
        <w:shd w:val="clear" w:color="auto" w:fill="FFFFFF"/>
        <w:spacing w:before="100" w:beforeAutospacing="1" w:after="100" w:afterAutospacing="1" w:line="360" w:lineRule="auto"/>
        <w:ind w:left="567" w:right="237" w:hanging="425"/>
        <w:jc w:val="both"/>
        <w:rPr>
          <w:rFonts w:ascii="Arial" w:hAnsi="Arial" w:cs="Arial"/>
          <w:color w:val="222222"/>
          <w:sz w:val="20"/>
          <w:szCs w:val="20"/>
          <w:shd w:val="clear" w:color="auto" w:fill="FFFFFF"/>
        </w:rPr>
      </w:pPr>
      <w:r w:rsidRPr="002528D1">
        <w:rPr>
          <w:rFonts w:ascii="Arial" w:hAnsi="Arial" w:cs="Arial"/>
          <w:sz w:val="20"/>
          <w:szCs w:val="20"/>
          <w:highlight w:val="yellow"/>
        </w:rPr>
        <w:t>Ivanov,</w:t>
      </w:r>
      <w:r w:rsidRPr="009778B9">
        <w:rPr>
          <w:rFonts w:ascii="Arial" w:hAnsi="Arial" w:cs="Arial"/>
          <w:sz w:val="20"/>
          <w:szCs w:val="20"/>
        </w:rPr>
        <w:t xml:space="preserve"> A. V., Safenkova, I. V., Zherdev, A. V., &amp;Dzantiev, B. B. (2020). Nucleic acid lateral flow assay with recombinase polymerase amplification: Solutions for highly sensitive detection of RNA virus. </w:t>
      </w:r>
      <w:r w:rsidRPr="009778B9">
        <w:rPr>
          <w:rFonts w:ascii="Arial" w:hAnsi="Arial" w:cs="Arial"/>
          <w:iCs/>
          <w:sz w:val="20"/>
          <w:szCs w:val="20"/>
        </w:rPr>
        <w:t>Talanta</w:t>
      </w:r>
      <w:r w:rsidRPr="009778B9">
        <w:rPr>
          <w:rFonts w:ascii="Arial" w:hAnsi="Arial" w:cs="Arial"/>
          <w:sz w:val="20"/>
          <w:szCs w:val="20"/>
        </w:rPr>
        <w:t xml:space="preserve">, </w:t>
      </w:r>
      <w:r w:rsidRPr="009778B9">
        <w:rPr>
          <w:rFonts w:ascii="Arial" w:hAnsi="Arial" w:cs="Arial"/>
          <w:iCs/>
          <w:sz w:val="20"/>
          <w:szCs w:val="20"/>
        </w:rPr>
        <w:t>210</w:t>
      </w:r>
      <w:r w:rsidRPr="009778B9">
        <w:rPr>
          <w:rFonts w:ascii="Arial" w:hAnsi="Arial" w:cs="Arial"/>
          <w:sz w:val="20"/>
          <w:szCs w:val="20"/>
        </w:rPr>
        <w:t>, 120616.</w:t>
      </w:r>
      <w:r w:rsidR="00BF43C4" w:rsidRPr="009778B9">
        <w:rPr>
          <w:rFonts w:ascii="Arial" w:hAnsi="Arial" w:cs="Arial"/>
          <w:sz w:val="20"/>
          <w:szCs w:val="20"/>
        </w:rPr>
        <w:t xml:space="preserve"> doi: </w:t>
      </w:r>
      <w:hyperlink r:id="rId39" w:history="1">
        <w:r w:rsidR="00BF43C4" w:rsidRPr="009778B9">
          <w:rPr>
            <w:rStyle w:val="Hyperlink"/>
            <w:rFonts w:ascii="Arial" w:hAnsi="Arial" w:cs="Arial"/>
            <w:sz w:val="20"/>
            <w:szCs w:val="20"/>
          </w:rPr>
          <w:t>http://dx.doi.org/10.1016/j.talanta.2019.120616</w:t>
        </w:r>
      </w:hyperlink>
    </w:p>
    <w:p w14:paraId="455E68EF" w14:textId="77777777" w:rsidR="00BF43C4" w:rsidRPr="009778B9" w:rsidRDefault="009E4391" w:rsidP="00D223C5">
      <w:pPr>
        <w:shd w:val="clear" w:color="auto" w:fill="FFFFFF"/>
        <w:spacing w:before="100" w:beforeAutospacing="1" w:after="100" w:afterAutospacing="1" w:line="360" w:lineRule="auto"/>
        <w:ind w:left="567" w:right="237" w:hanging="425"/>
        <w:jc w:val="both"/>
        <w:rPr>
          <w:rFonts w:ascii="Arial" w:hAnsi="Arial" w:cs="Arial"/>
          <w:color w:val="222222"/>
          <w:sz w:val="20"/>
          <w:szCs w:val="20"/>
          <w:shd w:val="clear" w:color="auto" w:fill="FFFFFF"/>
        </w:rPr>
      </w:pPr>
      <w:r w:rsidRPr="002528D1">
        <w:rPr>
          <w:rFonts w:ascii="Arial" w:hAnsi="Arial" w:cs="Arial"/>
          <w:color w:val="222222"/>
          <w:sz w:val="20"/>
          <w:szCs w:val="20"/>
          <w:highlight w:val="yellow"/>
          <w:shd w:val="clear" w:color="auto" w:fill="FFFFFF"/>
        </w:rPr>
        <w:t>Wang,</w:t>
      </w:r>
      <w:r w:rsidRPr="009778B9">
        <w:rPr>
          <w:rFonts w:ascii="Arial" w:hAnsi="Arial" w:cs="Arial"/>
          <w:color w:val="222222"/>
          <w:sz w:val="20"/>
          <w:szCs w:val="20"/>
          <w:shd w:val="clear" w:color="auto" w:fill="FFFFFF"/>
        </w:rPr>
        <w:t xml:space="preserve"> X., Wang, X., Shi, C., Ma, C., &amp; Chen, L. (2020). Highly sensitive visual detection of nucleic acid based on a universal strand exchange amplification coupled with lateral flow assay strip. </w:t>
      </w:r>
      <w:r w:rsidRPr="009778B9">
        <w:rPr>
          <w:rFonts w:ascii="Arial" w:hAnsi="Arial" w:cs="Arial"/>
          <w:iCs/>
          <w:color w:val="222222"/>
          <w:sz w:val="20"/>
          <w:szCs w:val="20"/>
          <w:shd w:val="clear" w:color="auto" w:fill="FFFFFF"/>
        </w:rPr>
        <w:t>Talanta</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216</w:t>
      </w:r>
      <w:r w:rsidRPr="009778B9">
        <w:rPr>
          <w:rFonts w:ascii="Arial" w:hAnsi="Arial" w:cs="Arial"/>
          <w:color w:val="222222"/>
          <w:sz w:val="20"/>
          <w:szCs w:val="20"/>
          <w:shd w:val="clear" w:color="auto" w:fill="FFFFFF"/>
        </w:rPr>
        <w:t>, 120978.</w:t>
      </w:r>
      <w:r w:rsidR="00BF43C4" w:rsidRPr="009778B9">
        <w:rPr>
          <w:rFonts w:ascii="Arial" w:hAnsi="Arial" w:cs="Arial"/>
          <w:color w:val="222222"/>
          <w:sz w:val="20"/>
          <w:szCs w:val="20"/>
          <w:shd w:val="clear" w:color="auto" w:fill="FFFFFF"/>
        </w:rPr>
        <w:t xml:space="preserve"> doi: </w:t>
      </w:r>
      <w:hyperlink r:id="rId40" w:history="1">
        <w:r w:rsidR="00BF43C4" w:rsidRPr="009778B9">
          <w:rPr>
            <w:rStyle w:val="Hyperlink"/>
            <w:rFonts w:ascii="Arial" w:hAnsi="Arial" w:cs="Arial"/>
            <w:sz w:val="20"/>
            <w:szCs w:val="20"/>
            <w:shd w:val="clear" w:color="auto" w:fill="FFFFFF"/>
          </w:rPr>
          <w:t>http://dx.doi.org/10.1016/j.talanta.2020.120978</w:t>
        </w:r>
      </w:hyperlink>
    </w:p>
    <w:p w14:paraId="51EC6639" w14:textId="77777777" w:rsidR="005B6AEA" w:rsidRPr="001C0E81" w:rsidRDefault="009E4391" w:rsidP="00D223C5">
      <w:pPr>
        <w:spacing w:line="360" w:lineRule="auto"/>
        <w:ind w:left="567" w:right="237" w:hanging="425"/>
        <w:jc w:val="both"/>
        <w:rPr>
          <w:rFonts w:ascii="Arial" w:hAnsi="Arial" w:cs="Arial"/>
          <w:sz w:val="20"/>
          <w:szCs w:val="20"/>
        </w:rPr>
      </w:pPr>
      <w:r w:rsidRPr="002528D1">
        <w:rPr>
          <w:rFonts w:ascii="Arial" w:hAnsi="Arial" w:cs="Arial"/>
          <w:color w:val="222222"/>
          <w:sz w:val="20"/>
          <w:szCs w:val="20"/>
          <w:highlight w:val="yellow"/>
          <w:shd w:val="clear" w:color="auto" w:fill="FFFFFF"/>
        </w:rPr>
        <w:t>Wang,</w:t>
      </w:r>
      <w:r w:rsidRPr="009778B9">
        <w:rPr>
          <w:rFonts w:ascii="Arial" w:hAnsi="Arial" w:cs="Arial"/>
          <w:color w:val="222222"/>
          <w:sz w:val="20"/>
          <w:szCs w:val="20"/>
          <w:shd w:val="clear" w:color="auto" w:fill="FFFFFF"/>
        </w:rPr>
        <w:t xml:space="preserve"> Z., Li, T., Yu, W., Qiao, L., Yang, S., &amp; Chen, A. (2020). A low-cost novel lateral flow nucleic acid assay (LFNAA) for yak milk authentication. </w:t>
      </w:r>
      <w:r w:rsidRPr="009778B9">
        <w:rPr>
          <w:rFonts w:ascii="Arial" w:hAnsi="Arial" w:cs="Arial"/>
          <w:iCs/>
          <w:color w:val="222222"/>
          <w:sz w:val="20"/>
          <w:szCs w:val="20"/>
          <w:shd w:val="clear" w:color="auto" w:fill="FFFFFF"/>
        </w:rPr>
        <w:t>Lwt</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122</w:t>
      </w:r>
      <w:r w:rsidRPr="009778B9">
        <w:rPr>
          <w:rFonts w:ascii="Arial" w:hAnsi="Arial" w:cs="Arial"/>
          <w:color w:val="222222"/>
          <w:sz w:val="20"/>
          <w:szCs w:val="20"/>
          <w:shd w:val="clear" w:color="auto" w:fill="FFFFFF"/>
        </w:rPr>
        <w:t>, 109038.</w:t>
      </w:r>
      <w:r w:rsidR="00BF43C4" w:rsidRPr="009778B9">
        <w:rPr>
          <w:rFonts w:ascii="Arial" w:hAnsi="Arial" w:cs="Arial"/>
          <w:color w:val="222222"/>
          <w:sz w:val="20"/>
          <w:szCs w:val="20"/>
          <w:shd w:val="clear" w:color="auto" w:fill="FFFFFF"/>
        </w:rPr>
        <w:t xml:space="preserve"> doi: </w:t>
      </w:r>
      <w:hyperlink r:id="rId41" w:history="1">
        <w:r w:rsidR="00BF43C4" w:rsidRPr="009778B9">
          <w:rPr>
            <w:rStyle w:val="Hyperlink"/>
            <w:rFonts w:ascii="Arial" w:hAnsi="Arial" w:cs="Arial"/>
            <w:sz w:val="20"/>
            <w:szCs w:val="20"/>
            <w:shd w:val="clear" w:color="auto" w:fill="FFFFFF"/>
          </w:rPr>
          <w:t>http://dx.doi.org/10.1016/j.lwt.2020.109038</w:t>
        </w:r>
      </w:hyperlink>
    </w:p>
    <w:sectPr w:rsidR="005B6AEA" w:rsidRPr="001C0E81" w:rsidSect="00767EE7">
      <w:headerReference w:type="even" r:id="rId42"/>
      <w:headerReference w:type="default" r:id="rId43"/>
      <w:footerReference w:type="default" r:id="rId44"/>
      <w:headerReference w:type="first" r:id="rId45"/>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6A8CA7" w14:textId="77777777" w:rsidR="00632D4E" w:rsidRDefault="00632D4E" w:rsidP="001C0E81">
      <w:pPr>
        <w:spacing w:after="0" w:line="240" w:lineRule="auto"/>
      </w:pPr>
      <w:r>
        <w:separator/>
      </w:r>
    </w:p>
  </w:endnote>
  <w:endnote w:type="continuationSeparator" w:id="0">
    <w:p w14:paraId="37B0BE34" w14:textId="77777777" w:rsidR="00632D4E" w:rsidRDefault="00632D4E" w:rsidP="001C0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664E7" w14:textId="77777777" w:rsidR="00D223C5" w:rsidRDefault="00D223C5">
    <w:pPr>
      <w:pStyle w:val="Footer"/>
      <w:rPr>
        <w:rFonts w:ascii="Arial" w:hAnsi="Arial" w:cs="Arial"/>
        <w:vertAlign w:val="superscript"/>
      </w:rPr>
    </w:pPr>
  </w:p>
  <w:p w14:paraId="34D18DD6" w14:textId="77777777" w:rsidR="001C0E81" w:rsidRDefault="001C0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0FE89" w14:textId="77777777" w:rsidR="00632D4E" w:rsidRDefault="00632D4E" w:rsidP="001C0E81">
      <w:pPr>
        <w:spacing w:after="0" w:line="240" w:lineRule="auto"/>
      </w:pPr>
      <w:r>
        <w:separator/>
      </w:r>
    </w:p>
  </w:footnote>
  <w:footnote w:type="continuationSeparator" w:id="0">
    <w:p w14:paraId="203C57B6" w14:textId="77777777" w:rsidR="00632D4E" w:rsidRDefault="00632D4E" w:rsidP="001C0E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4975C" w14:textId="0CB978EB" w:rsidR="002C0E55" w:rsidRDefault="00632D4E">
    <w:pPr>
      <w:pStyle w:val="Header"/>
    </w:pPr>
    <w:r>
      <w:rPr>
        <w:noProof/>
      </w:rPr>
      <w:pict w14:anchorId="4144F0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6054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47DB0" w14:textId="6496F033" w:rsidR="002C0E55" w:rsidRDefault="00632D4E">
    <w:pPr>
      <w:pStyle w:val="Header"/>
    </w:pPr>
    <w:r>
      <w:rPr>
        <w:noProof/>
      </w:rPr>
      <w:pict w14:anchorId="778C83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6054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0DECC" w14:textId="72E9E360" w:rsidR="002C0E55" w:rsidRDefault="00632D4E">
    <w:pPr>
      <w:pStyle w:val="Header"/>
    </w:pPr>
    <w:r>
      <w:rPr>
        <w:noProof/>
      </w:rPr>
      <w:pict w14:anchorId="2F9143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6054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A0F44"/>
    <w:multiLevelType w:val="hybridMultilevel"/>
    <w:tmpl w:val="A32E8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2758ED"/>
    <w:multiLevelType w:val="hybridMultilevel"/>
    <w:tmpl w:val="68064D78"/>
    <w:lvl w:ilvl="0" w:tplc="73DAF592">
      <w:start w:val="1"/>
      <w:numFmt w:val="decimal"/>
      <w:lvlText w:val="%1."/>
      <w:lvlJc w:val="left"/>
      <w:pPr>
        <w:ind w:left="720" w:hanging="360"/>
      </w:pPr>
      <w:rPr>
        <w:rFonts w:ascii="Arial" w:hAnsi="Arial" w:cs="Arial" w:hint="default"/>
        <w:color w:val="222222"/>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64030E"/>
    <w:multiLevelType w:val="hybridMultilevel"/>
    <w:tmpl w:val="CE427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0C15E3"/>
    <w:multiLevelType w:val="multilevel"/>
    <w:tmpl w:val="D76E41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47315F6C"/>
    <w:multiLevelType w:val="hybridMultilevel"/>
    <w:tmpl w:val="F1284E8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6423702B"/>
    <w:multiLevelType w:val="multilevel"/>
    <w:tmpl w:val="D76E41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64741278"/>
    <w:multiLevelType w:val="hybridMultilevel"/>
    <w:tmpl w:val="8DD23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1950FA"/>
    <w:multiLevelType w:val="hybridMultilevel"/>
    <w:tmpl w:val="B8C4E718"/>
    <w:lvl w:ilvl="0" w:tplc="461AD7CA">
      <w:start w:val="1"/>
      <w:numFmt w:val="decimal"/>
      <w:lvlText w:val="[%1]"/>
      <w:lvlJc w:val="left"/>
      <w:pPr>
        <w:ind w:left="1080" w:hanging="360"/>
      </w:pPr>
      <w:rPr>
        <w:rFonts w:hint="default"/>
        <w:color w:val="auto"/>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79E22FFA"/>
    <w:multiLevelType w:val="hybridMultilevel"/>
    <w:tmpl w:val="1D025E8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476161"/>
    <w:multiLevelType w:val="hybridMultilevel"/>
    <w:tmpl w:val="793A2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9"/>
  </w:num>
  <w:num w:numId="4">
    <w:abstractNumId w:val="2"/>
  </w:num>
  <w:num w:numId="5">
    <w:abstractNumId w:val="5"/>
  </w:num>
  <w:num w:numId="6">
    <w:abstractNumId w:val="7"/>
  </w:num>
  <w:num w:numId="7">
    <w:abstractNumId w:val="3"/>
  </w:num>
  <w:num w:numId="8">
    <w:abstractNumId w:val="0"/>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559"/>
    <w:rsid w:val="00032587"/>
    <w:rsid w:val="00044EDD"/>
    <w:rsid w:val="00065E35"/>
    <w:rsid w:val="000A4B7F"/>
    <w:rsid w:val="000B07A2"/>
    <w:rsid w:val="000E0909"/>
    <w:rsid w:val="00101170"/>
    <w:rsid w:val="0017697C"/>
    <w:rsid w:val="00177187"/>
    <w:rsid w:val="001847D9"/>
    <w:rsid w:val="001B395D"/>
    <w:rsid w:val="001B58EC"/>
    <w:rsid w:val="001B6349"/>
    <w:rsid w:val="001C0E81"/>
    <w:rsid w:val="00215CCB"/>
    <w:rsid w:val="002528D1"/>
    <w:rsid w:val="00253EC3"/>
    <w:rsid w:val="002C0E55"/>
    <w:rsid w:val="002C7299"/>
    <w:rsid w:val="002D13F6"/>
    <w:rsid w:val="00301037"/>
    <w:rsid w:val="00340D95"/>
    <w:rsid w:val="00347FBC"/>
    <w:rsid w:val="00371774"/>
    <w:rsid w:val="003837F3"/>
    <w:rsid w:val="003B7CDB"/>
    <w:rsid w:val="004011C7"/>
    <w:rsid w:val="00407861"/>
    <w:rsid w:val="00417C7E"/>
    <w:rsid w:val="00424172"/>
    <w:rsid w:val="00424ED6"/>
    <w:rsid w:val="0043720E"/>
    <w:rsid w:val="004450BD"/>
    <w:rsid w:val="004479D9"/>
    <w:rsid w:val="00491367"/>
    <w:rsid w:val="004C4BAB"/>
    <w:rsid w:val="004F570B"/>
    <w:rsid w:val="00506802"/>
    <w:rsid w:val="005345B1"/>
    <w:rsid w:val="0054128E"/>
    <w:rsid w:val="00566958"/>
    <w:rsid w:val="005A00A6"/>
    <w:rsid w:val="005B19CF"/>
    <w:rsid w:val="005B6AEA"/>
    <w:rsid w:val="005E2F73"/>
    <w:rsid w:val="005E6F0C"/>
    <w:rsid w:val="005F7737"/>
    <w:rsid w:val="00607EF7"/>
    <w:rsid w:val="0062128D"/>
    <w:rsid w:val="0062512D"/>
    <w:rsid w:val="00632D4E"/>
    <w:rsid w:val="0063777C"/>
    <w:rsid w:val="00667184"/>
    <w:rsid w:val="00695562"/>
    <w:rsid w:val="006A2966"/>
    <w:rsid w:val="006A67F6"/>
    <w:rsid w:val="006B6D57"/>
    <w:rsid w:val="006D4DEB"/>
    <w:rsid w:val="00714559"/>
    <w:rsid w:val="0073664F"/>
    <w:rsid w:val="00763B47"/>
    <w:rsid w:val="00767EE7"/>
    <w:rsid w:val="007D1899"/>
    <w:rsid w:val="007E0A9C"/>
    <w:rsid w:val="0083343C"/>
    <w:rsid w:val="00834713"/>
    <w:rsid w:val="00835669"/>
    <w:rsid w:val="0083658E"/>
    <w:rsid w:val="0085156D"/>
    <w:rsid w:val="00884E2F"/>
    <w:rsid w:val="008A354E"/>
    <w:rsid w:val="008A4E52"/>
    <w:rsid w:val="008D1895"/>
    <w:rsid w:val="00925723"/>
    <w:rsid w:val="00954E44"/>
    <w:rsid w:val="009778B9"/>
    <w:rsid w:val="00984374"/>
    <w:rsid w:val="009C43F9"/>
    <w:rsid w:val="009E4391"/>
    <w:rsid w:val="009F4FB3"/>
    <w:rsid w:val="00A104EA"/>
    <w:rsid w:val="00AA0555"/>
    <w:rsid w:val="00AA09DA"/>
    <w:rsid w:val="00B1005E"/>
    <w:rsid w:val="00B13B8B"/>
    <w:rsid w:val="00B34F19"/>
    <w:rsid w:val="00B6643A"/>
    <w:rsid w:val="00BB12DE"/>
    <w:rsid w:val="00BC364D"/>
    <w:rsid w:val="00BC7376"/>
    <w:rsid w:val="00BF43C4"/>
    <w:rsid w:val="00C12174"/>
    <w:rsid w:val="00C46ECE"/>
    <w:rsid w:val="00C90D6C"/>
    <w:rsid w:val="00CB2C61"/>
    <w:rsid w:val="00CB38C6"/>
    <w:rsid w:val="00D223C5"/>
    <w:rsid w:val="00D65F12"/>
    <w:rsid w:val="00DB6388"/>
    <w:rsid w:val="00DF78F0"/>
    <w:rsid w:val="00E56B8B"/>
    <w:rsid w:val="00E82AB7"/>
    <w:rsid w:val="00EB6007"/>
    <w:rsid w:val="00EC2EA9"/>
    <w:rsid w:val="00ED14BD"/>
    <w:rsid w:val="00ED3BD6"/>
    <w:rsid w:val="00EF20A0"/>
    <w:rsid w:val="00EF3B46"/>
    <w:rsid w:val="00F21ED9"/>
    <w:rsid w:val="00F30ADC"/>
    <w:rsid w:val="00F60E30"/>
    <w:rsid w:val="00F64659"/>
    <w:rsid w:val="00FB2B71"/>
    <w:rsid w:val="00FB6C8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8CE90A"/>
  <w15:docId w15:val="{2D6A98B8-F8D6-4E4A-8350-3AB09C2E3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E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47D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B6388"/>
    <w:rPr>
      <w:i/>
      <w:iCs/>
    </w:rPr>
  </w:style>
  <w:style w:type="character" w:styleId="Hyperlink">
    <w:name w:val="Hyperlink"/>
    <w:basedOn w:val="DefaultParagraphFont"/>
    <w:uiPriority w:val="99"/>
    <w:unhideWhenUsed/>
    <w:rsid w:val="00DB6388"/>
    <w:rPr>
      <w:color w:val="0000FF"/>
      <w:u w:val="single"/>
    </w:rPr>
  </w:style>
  <w:style w:type="paragraph" w:styleId="ListParagraph">
    <w:name w:val="List Paragraph"/>
    <w:basedOn w:val="Normal"/>
    <w:uiPriority w:val="34"/>
    <w:qFormat/>
    <w:rsid w:val="00954E44"/>
    <w:pPr>
      <w:ind w:left="720"/>
      <w:contextualSpacing/>
    </w:pPr>
  </w:style>
  <w:style w:type="character" w:styleId="CommentReference">
    <w:name w:val="annotation reference"/>
    <w:basedOn w:val="DefaultParagraphFont"/>
    <w:uiPriority w:val="99"/>
    <w:semiHidden/>
    <w:unhideWhenUsed/>
    <w:rsid w:val="00C46ECE"/>
    <w:rPr>
      <w:sz w:val="16"/>
      <w:szCs w:val="16"/>
    </w:rPr>
  </w:style>
  <w:style w:type="paragraph" w:styleId="CommentText">
    <w:name w:val="annotation text"/>
    <w:basedOn w:val="Normal"/>
    <w:link w:val="CommentTextChar"/>
    <w:uiPriority w:val="99"/>
    <w:semiHidden/>
    <w:unhideWhenUsed/>
    <w:rsid w:val="00C46ECE"/>
    <w:pPr>
      <w:spacing w:line="240" w:lineRule="auto"/>
    </w:pPr>
    <w:rPr>
      <w:sz w:val="20"/>
      <w:szCs w:val="20"/>
    </w:rPr>
  </w:style>
  <w:style w:type="character" w:customStyle="1" w:styleId="CommentTextChar">
    <w:name w:val="Comment Text Char"/>
    <w:basedOn w:val="DefaultParagraphFont"/>
    <w:link w:val="CommentText"/>
    <w:uiPriority w:val="99"/>
    <w:semiHidden/>
    <w:rsid w:val="00C46ECE"/>
    <w:rPr>
      <w:sz w:val="20"/>
      <w:szCs w:val="20"/>
    </w:rPr>
  </w:style>
  <w:style w:type="paragraph" w:styleId="CommentSubject">
    <w:name w:val="annotation subject"/>
    <w:basedOn w:val="CommentText"/>
    <w:next w:val="CommentText"/>
    <w:link w:val="CommentSubjectChar"/>
    <w:uiPriority w:val="99"/>
    <w:semiHidden/>
    <w:unhideWhenUsed/>
    <w:rsid w:val="00C46ECE"/>
    <w:rPr>
      <w:b/>
      <w:bCs/>
    </w:rPr>
  </w:style>
  <w:style w:type="character" w:customStyle="1" w:styleId="CommentSubjectChar">
    <w:name w:val="Comment Subject Char"/>
    <w:basedOn w:val="CommentTextChar"/>
    <w:link w:val="CommentSubject"/>
    <w:uiPriority w:val="99"/>
    <w:semiHidden/>
    <w:rsid w:val="00C46ECE"/>
    <w:rPr>
      <w:b/>
      <w:bCs/>
      <w:sz w:val="20"/>
      <w:szCs w:val="20"/>
    </w:rPr>
  </w:style>
  <w:style w:type="table" w:styleId="TableGrid">
    <w:name w:val="Table Grid"/>
    <w:basedOn w:val="TableNormal"/>
    <w:uiPriority w:val="39"/>
    <w:rsid w:val="00695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F43C4"/>
    <w:rPr>
      <w:color w:val="605E5C"/>
      <w:shd w:val="clear" w:color="auto" w:fill="E1DFDD"/>
    </w:rPr>
  </w:style>
  <w:style w:type="paragraph" w:styleId="BalloonText">
    <w:name w:val="Balloon Text"/>
    <w:basedOn w:val="Normal"/>
    <w:link w:val="BalloonTextChar"/>
    <w:uiPriority w:val="99"/>
    <w:semiHidden/>
    <w:unhideWhenUsed/>
    <w:rsid w:val="004913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367"/>
    <w:rPr>
      <w:rFonts w:ascii="Tahoma" w:hAnsi="Tahoma" w:cs="Tahoma"/>
      <w:sz w:val="16"/>
      <w:szCs w:val="16"/>
    </w:rPr>
  </w:style>
  <w:style w:type="character" w:styleId="Strong">
    <w:name w:val="Strong"/>
    <w:basedOn w:val="DefaultParagraphFont"/>
    <w:uiPriority w:val="22"/>
    <w:qFormat/>
    <w:rsid w:val="00E56B8B"/>
    <w:rPr>
      <w:b/>
      <w:bCs/>
    </w:rPr>
  </w:style>
  <w:style w:type="paragraph" w:customStyle="1" w:styleId="Affiliation">
    <w:name w:val="Affiliation"/>
    <w:basedOn w:val="Normal"/>
    <w:rsid w:val="00177187"/>
    <w:pPr>
      <w:suppressAutoHyphens/>
      <w:spacing w:before="240" w:after="0" w:line="360" w:lineRule="auto"/>
    </w:pPr>
    <w:rPr>
      <w:rFonts w:ascii="Times New Roman" w:eastAsia="Times New Roman" w:hAnsi="Times New Roman" w:cs="Times New Roman"/>
      <w:i/>
      <w:sz w:val="24"/>
      <w:szCs w:val="24"/>
      <w:lang w:val="en-GB" w:eastAsia="zh-CN"/>
    </w:rPr>
  </w:style>
  <w:style w:type="paragraph" w:customStyle="1" w:styleId="Body">
    <w:name w:val="Body"/>
    <w:basedOn w:val="Normal"/>
    <w:rsid w:val="00347FBC"/>
    <w:pPr>
      <w:spacing w:after="240" w:line="240" w:lineRule="auto"/>
      <w:jc w:val="both"/>
    </w:pPr>
    <w:rPr>
      <w:rFonts w:ascii="Helvetica" w:eastAsia="Times New Roman" w:hAnsi="Helvetica" w:cs="Times New Roman"/>
      <w:sz w:val="20"/>
      <w:szCs w:val="20"/>
      <w:lang w:val="en-US"/>
    </w:rPr>
  </w:style>
  <w:style w:type="character" w:styleId="LineNumber">
    <w:name w:val="line number"/>
    <w:basedOn w:val="DefaultParagraphFont"/>
    <w:uiPriority w:val="99"/>
    <w:semiHidden/>
    <w:unhideWhenUsed/>
    <w:rsid w:val="00763B47"/>
  </w:style>
  <w:style w:type="paragraph" w:customStyle="1" w:styleId="ReferHead">
    <w:name w:val="Refer Head"/>
    <w:basedOn w:val="Normal"/>
    <w:rsid w:val="00D65F12"/>
    <w:pPr>
      <w:keepNext/>
      <w:spacing w:after="240" w:line="240" w:lineRule="auto"/>
    </w:pPr>
    <w:rPr>
      <w:rFonts w:ascii="Helvetica" w:eastAsia="Times New Roman" w:hAnsi="Helvetica" w:cs="Times New Roman"/>
      <w:b/>
      <w:caps/>
      <w:szCs w:val="20"/>
      <w:lang w:val="en-US"/>
    </w:rPr>
  </w:style>
  <w:style w:type="paragraph" w:customStyle="1" w:styleId="AcknHead">
    <w:name w:val="Ackn Head"/>
    <w:basedOn w:val="Normal"/>
    <w:rsid w:val="00ED3BD6"/>
    <w:pPr>
      <w:keepNext/>
      <w:spacing w:after="240" w:line="240" w:lineRule="auto"/>
    </w:pPr>
    <w:rPr>
      <w:rFonts w:ascii="Helvetica" w:eastAsia="Times New Roman" w:hAnsi="Helvetica" w:cs="Times New Roman"/>
      <w:b/>
      <w:caps/>
      <w:szCs w:val="20"/>
      <w:lang w:val="en-US"/>
    </w:rPr>
  </w:style>
  <w:style w:type="paragraph" w:styleId="Header">
    <w:name w:val="header"/>
    <w:basedOn w:val="Normal"/>
    <w:link w:val="HeaderChar"/>
    <w:uiPriority w:val="99"/>
    <w:unhideWhenUsed/>
    <w:rsid w:val="001C0E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0E81"/>
  </w:style>
  <w:style w:type="paragraph" w:styleId="Footer">
    <w:name w:val="footer"/>
    <w:basedOn w:val="Normal"/>
    <w:link w:val="FooterChar"/>
    <w:uiPriority w:val="99"/>
    <w:unhideWhenUsed/>
    <w:rsid w:val="001C0E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0E81"/>
  </w:style>
  <w:style w:type="character" w:customStyle="1" w:styleId="UnresolvedMention">
    <w:name w:val="Unresolved Mention"/>
    <w:basedOn w:val="DefaultParagraphFont"/>
    <w:uiPriority w:val="99"/>
    <w:semiHidden/>
    <w:unhideWhenUsed/>
    <w:rsid w:val="00BC73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7396">
      <w:bodyDiv w:val="1"/>
      <w:marLeft w:val="0"/>
      <w:marRight w:val="0"/>
      <w:marTop w:val="0"/>
      <w:marBottom w:val="0"/>
      <w:divBdr>
        <w:top w:val="none" w:sz="0" w:space="0" w:color="auto"/>
        <w:left w:val="none" w:sz="0" w:space="0" w:color="auto"/>
        <w:bottom w:val="none" w:sz="0" w:space="0" w:color="auto"/>
        <w:right w:val="none" w:sz="0" w:space="0" w:color="auto"/>
      </w:divBdr>
    </w:div>
    <w:div w:id="109321411">
      <w:bodyDiv w:val="1"/>
      <w:marLeft w:val="0"/>
      <w:marRight w:val="0"/>
      <w:marTop w:val="0"/>
      <w:marBottom w:val="0"/>
      <w:divBdr>
        <w:top w:val="none" w:sz="0" w:space="0" w:color="auto"/>
        <w:left w:val="none" w:sz="0" w:space="0" w:color="auto"/>
        <w:bottom w:val="none" w:sz="0" w:space="0" w:color="auto"/>
        <w:right w:val="none" w:sz="0" w:space="0" w:color="auto"/>
      </w:divBdr>
    </w:div>
    <w:div w:id="118380102">
      <w:bodyDiv w:val="1"/>
      <w:marLeft w:val="0"/>
      <w:marRight w:val="0"/>
      <w:marTop w:val="0"/>
      <w:marBottom w:val="0"/>
      <w:divBdr>
        <w:top w:val="none" w:sz="0" w:space="0" w:color="auto"/>
        <w:left w:val="none" w:sz="0" w:space="0" w:color="auto"/>
        <w:bottom w:val="none" w:sz="0" w:space="0" w:color="auto"/>
        <w:right w:val="none" w:sz="0" w:space="0" w:color="auto"/>
      </w:divBdr>
    </w:div>
    <w:div w:id="145899233">
      <w:bodyDiv w:val="1"/>
      <w:marLeft w:val="0"/>
      <w:marRight w:val="0"/>
      <w:marTop w:val="0"/>
      <w:marBottom w:val="0"/>
      <w:divBdr>
        <w:top w:val="none" w:sz="0" w:space="0" w:color="auto"/>
        <w:left w:val="none" w:sz="0" w:space="0" w:color="auto"/>
        <w:bottom w:val="none" w:sz="0" w:space="0" w:color="auto"/>
        <w:right w:val="none" w:sz="0" w:space="0" w:color="auto"/>
      </w:divBdr>
    </w:div>
    <w:div w:id="213393002">
      <w:bodyDiv w:val="1"/>
      <w:marLeft w:val="0"/>
      <w:marRight w:val="0"/>
      <w:marTop w:val="0"/>
      <w:marBottom w:val="0"/>
      <w:divBdr>
        <w:top w:val="none" w:sz="0" w:space="0" w:color="auto"/>
        <w:left w:val="none" w:sz="0" w:space="0" w:color="auto"/>
        <w:bottom w:val="none" w:sz="0" w:space="0" w:color="auto"/>
        <w:right w:val="none" w:sz="0" w:space="0" w:color="auto"/>
      </w:divBdr>
    </w:div>
    <w:div w:id="363942184">
      <w:bodyDiv w:val="1"/>
      <w:marLeft w:val="0"/>
      <w:marRight w:val="0"/>
      <w:marTop w:val="0"/>
      <w:marBottom w:val="0"/>
      <w:divBdr>
        <w:top w:val="none" w:sz="0" w:space="0" w:color="auto"/>
        <w:left w:val="none" w:sz="0" w:space="0" w:color="auto"/>
        <w:bottom w:val="none" w:sz="0" w:space="0" w:color="auto"/>
        <w:right w:val="none" w:sz="0" w:space="0" w:color="auto"/>
      </w:divBdr>
    </w:div>
    <w:div w:id="428239123">
      <w:bodyDiv w:val="1"/>
      <w:marLeft w:val="0"/>
      <w:marRight w:val="0"/>
      <w:marTop w:val="0"/>
      <w:marBottom w:val="0"/>
      <w:divBdr>
        <w:top w:val="none" w:sz="0" w:space="0" w:color="auto"/>
        <w:left w:val="none" w:sz="0" w:space="0" w:color="auto"/>
        <w:bottom w:val="none" w:sz="0" w:space="0" w:color="auto"/>
        <w:right w:val="none" w:sz="0" w:space="0" w:color="auto"/>
      </w:divBdr>
    </w:div>
    <w:div w:id="444540082">
      <w:bodyDiv w:val="1"/>
      <w:marLeft w:val="0"/>
      <w:marRight w:val="0"/>
      <w:marTop w:val="0"/>
      <w:marBottom w:val="0"/>
      <w:divBdr>
        <w:top w:val="none" w:sz="0" w:space="0" w:color="auto"/>
        <w:left w:val="none" w:sz="0" w:space="0" w:color="auto"/>
        <w:bottom w:val="none" w:sz="0" w:space="0" w:color="auto"/>
        <w:right w:val="none" w:sz="0" w:space="0" w:color="auto"/>
      </w:divBdr>
    </w:div>
    <w:div w:id="644091331">
      <w:bodyDiv w:val="1"/>
      <w:marLeft w:val="0"/>
      <w:marRight w:val="0"/>
      <w:marTop w:val="0"/>
      <w:marBottom w:val="0"/>
      <w:divBdr>
        <w:top w:val="none" w:sz="0" w:space="0" w:color="auto"/>
        <w:left w:val="none" w:sz="0" w:space="0" w:color="auto"/>
        <w:bottom w:val="none" w:sz="0" w:space="0" w:color="auto"/>
        <w:right w:val="none" w:sz="0" w:space="0" w:color="auto"/>
      </w:divBdr>
    </w:div>
    <w:div w:id="644969946">
      <w:bodyDiv w:val="1"/>
      <w:marLeft w:val="0"/>
      <w:marRight w:val="0"/>
      <w:marTop w:val="0"/>
      <w:marBottom w:val="0"/>
      <w:divBdr>
        <w:top w:val="none" w:sz="0" w:space="0" w:color="auto"/>
        <w:left w:val="none" w:sz="0" w:space="0" w:color="auto"/>
        <w:bottom w:val="none" w:sz="0" w:space="0" w:color="auto"/>
        <w:right w:val="none" w:sz="0" w:space="0" w:color="auto"/>
      </w:divBdr>
    </w:div>
    <w:div w:id="1064371415">
      <w:bodyDiv w:val="1"/>
      <w:marLeft w:val="0"/>
      <w:marRight w:val="0"/>
      <w:marTop w:val="0"/>
      <w:marBottom w:val="0"/>
      <w:divBdr>
        <w:top w:val="none" w:sz="0" w:space="0" w:color="auto"/>
        <w:left w:val="none" w:sz="0" w:space="0" w:color="auto"/>
        <w:bottom w:val="none" w:sz="0" w:space="0" w:color="auto"/>
        <w:right w:val="none" w:sz="0" w:space="0" w:color="auto"/>
      </w:divBdr>
    </w:div>
    <w:div w:id="1102143368">
      <w:bodyDiv w:val="1"/>
      <w:marLeft w:val="0"/>
      <w:marRight w:val="0"/>
      <w:marTop w:val="0"/>
      <w:marBottom w:val="0"/>
      <w:divBdr>
        <w:top w:val="none" w:sz="0" w:space="0" w:color="auto"/>
        <w:left w:val="none" w:sz="0" w:space="0" w:color="auto"/>
        <w:bottom w:val="none" w:sz="0" w:space="0" w:color="auto"/>
        <w:right w:val="none" w:sz="0" w:space="0" w:color="auto"/>
      </w:divBdr>
    </w:div>
    <w:div w:id="1198809010">
      <w:bodyDiv w:val="1"/>
      <w:marLeft w:val="0"/>
      <w:marRight w:val="0"/>
      <w:marTop w:val="0"/>
      <w:marBottom w:val="0"/>
      <w:divBdr>
        <w:top w:val="none" w:sz="0" w:space="0" w:color="auto"/>
        <w:left w:val="none" w:sz="0" w:space="0" w:color="auto"/>
        <w:bottom w:val="none" w:sz="0" w:space="0" w:color="auto"/>
        <w:right w:val="none" w:sz="0" w:space="0" w:color="auto"/>
      </w:divBdr>
    </w:div>
    <w:div w:id="1271425426">
      <w:bodyDiv w:val="1"/>
      <w:marLeft w:val="0"/>
      <w:marRight w:val="0"/>
      <w:marTop w:val="0"/>
      <w:marBottom w:val="0"/>
      <w:divBdr>
        <w:top w:val="none" w:sz="0" w:space="0" w:color="auto"/>
        <w:left w:val="none" w:sz="0" w:space="0" w:color="auto"/>
        <w:bottom w:val="none" w:sz="0" w:space="0" w:color="auto"/>
        <w:right w:val="none" w:sz="0" w:space="0" w:color="auto"/>
      </w:divBdr>
    </w:div>
    <w:div w:id="1287545186">
      <w:bodyDiv w:val="1"/>
      <w:marLeft w:val="0"/>
      <w:marRight w:val="0"/>
      <w:marTop w:val="0"/>
      <w:marBottom w:val="0"/>
      <w:divBdr>
        <w:top w:val="none" w:sz="0" w:space="0" w:color="auto"/>
        <w:left w:val="none" w:sz="0" w:space="0" w:color="auto"/>
        <w:bottom w:val="none" w:sz="0" w:space="0" w:color="auto"/>
        <w:right w:val="none" w:sz="0" w:space="0" w:color="auto"/>
      </w:divBdr>
    </w:div>
    <w:div w:id="1388185477">
      <w:bodyDiv w:val="1"/>
      <w:marLeft w:val="0"/>
      <w:marRight w:val="0"/>
      <w:marTop w:val="0"/>
      <w:marBottom w:val="0"/>
      <w:divBdr>
        <w:top w:val="none" w:sz="0" w:space="0" w:color="auto"/>
        <w:left w:val="none" w:sz="0" w:space="0" w:color="auto"/>
        <w:bottom w:val="none" w:sz="0" w:space="0" w:color="auto"/>
        <w:right w:val="none" w:sz="0" w:space="0" w:color="auto"/>
      </w:divBdr>
    </w:div>
    <w:div w:id="1403675376">
      <w:bodyDiv w:val="1"/>
      <w:marLeft w:val="0"/>
      <w:marRight w:val="0"/>
      <w:marTop w:val="0"/>
      <w:marBottom w:val="0"/>
      <w:divBdr>
        <w:top w:val="none" w:sz="0" w:space="0" w:color="auto"/>
        <w:left w:val="none" w:sz="0" w:space="0" w:color="auto"/>
        <w:bottom w:val="none" w:sz="0" w:space="0" w:color="auto"/>
        <w:right w:val="none" w:sz="0" w:space="0" w:color="auto"/>
      </w:divBdr>
    </w:div>
    <w:div w:id="1446778552">
      <w:bodyDiv w:val="1"/>
      <w:marLeft w:val="0"/>
      <w:marRight w:val="0"/>
      <w:marTop w:val="0"/>
      <w:marBottom w:val="0"/>
      <w:divBdr>
        <w:top w:val="none" w:sz="0" w:space="0" w:color="auto"/>
        <w:left w:val="none" w:sz="0" w:space="0" w:color="auto"/>
        <w:bottom w:val="none" w:sz="0" w:space="0" w:color="auto"/>
        <w:right w:val="none" w:sz="0" w:space="0" w:color="auto"/>
      </w:divBdr>
    </w:div>
    <w:div w:id="1460143298">
      <w:bodyDiv w:val="1"/>
      <w:marLeft w:val="0"/>
      <w:marRight w:val="0"/>
      <w:marTop w:val="0"/>
      <w:marBottom w:val="0"/>
      <w:divBdr>
        <w:top w:val="none" w:sz="0" w:space="0" w:color="auto"/>
        <w:left w:val="none" w:sz="0" w:space="0" w:color="auto"/>
        <w:bottom w:val="none" w:sz="0" w:space="0" w:color="auto"/>
        <w:right w:val="none" w:sz="0" w:space="0" w:color="auto"/>
      </w:divBdr>
    </w:div>
    <w:div w:id="1464814863">
      <w:bodyDiv w:val="1"/>
      <w:marLeft w:val="0"/>
      <w:marRight w:val="0"/>
      <w:marTop w:val="0"/>
      <w:marBottom w:val="0"/>
      <w:divBdr>
        <w:top w:val="none" w:sz="0" w:space="0" w:color="auto"/>
        <w:left w:val="none" w:sz="0" w:space="0" w:color="auto"/>
        <w:bottom w:val="none" w:sz="0" w:space="0" w:color="auto"/>
        <w:right w:val="none" w:sz="0" w:space="0" w:color="auto"/>
      </w:divBdr>
    </w:div>
    <w:div w:id="1568800796">
      <w:bodyDiv w:val="1"/>
      <w:marLeft w:val="0"/>
      <w:marRight w:val="0"/>
      <w:marTop w:val="0"/>
      <w:marBottom w:val="0"/>
      <w:divBdr>
        <w:top w:val="none" w:sz="0" w:space="0" w:color="auto"/>
        <w:left w:val="none" w:sz="0" w:space="0" w:color="auto"/>
        <w:bottom w:val="none" w:sz="0" w:space="0" w:color="auto"/>
        <w:right w:val="none" w:sz="0" w:space="0" w:color="auto"/>
      </w:divBdr>
    </w:div>
    <w:div w:id="1684210034">
      <w:bodyDiv w:val="1"/>
      <w:marLeft w:val="0"/>
      <w:marRight w:val="0"/>
      <w:marTop w:val="0"/>
      <w:marBottom w:val="0"/>
      <w:divBdr>
        <w:top w:val="none" w:sz="0" w:space="0" w:color="auto"/>
        <w:left w:val="none" w:sz="0" w:space="0" w:color="auto"/>
        <w:bottom w:val="none" w:sz="0" w:space="0" w:color="auto"/>
        <w:right w:val="none" w:sz="0" w:space="0" w:color="auto"/>
      </w:divBdr>
      <w:divsChild>
        <w:div w:id="358626077">
          <w:marLeft w:val="0"/>
          <w:marRight w:val="0"/>
          <w:marTop w:val="0"/>
          <w:marBottom w:val="0"/>
          <w:divBdr>
            <w:top w:val="single" w:sz="2" w:space="0" w:color="E5E7EB"/>
            <w:left w:val="single" w:sz="2" w:space="0" w:color="E5E7EB"/>
            <w:bottom w:val="single" w:sz="2" w:space="0" w:color="E5E7EB"/>
            <w:right w:val="single" w:sz="2" w:space="0" w:color="E5E7EB"/>
          </w:divBdr>
          <w:divsChild>
            <w:div w:id="1412001403">
              <w:marLeft w:val="0"/>
              <w:marRight w:val="0"/>
              <w:marTop w:val="0"/>
              <w:marBottom w:val="0"/>
              <w:divBdr>
                <w:top w:val="single" w:sz="2" w:space="0" w:color="E5E7EB"/>
                <w:left w:val="single" w:sz="2" w:space="0" w:color="E5E7EB"/>
                <w:bottom w:val="single" w:sz="2" w:space="0" w:color="E5E7EB"/>
                <w:right w:val="single" w:sz="2" w:space="0" w:color="E5E7EB"/>
              </w:divBdr>
              <w:divsChild>
                <w:div w:id="1727296606">
                  <w:marLeft w:val="0"/>
                  <w:marRight w:val="0"/>
                  <w:marTop w:val="0"/>
                  <w:marBottom w:val="0"/>
                  <w:divBdr>
                    <w:top w:val="single" w:sz="2" w:space="0" w:color="E5E7EB"/>
                    <w:left w:val="single" w:sz="2" w:space="0" w:color="E5E7EB"/>
                    <w:bottom w:val="single" w:sz="2" w:space="0" w:color="E5E7EB"/>
                    <w:right w:val="single" w:sz="2" w:space="0" w:color="E5E7EB"/>
                  </w:divBdr>
                  <w:divsChild>
                    <w:div w:id="1928030238">
                      <w:marLeft w:val="0"/>
                      <w:marRight w:val="0"/>
                      <w:marTop w:val="0"/>
                      <w:marBottom w:val="0"/>
                      <w:divBdr>
                        <w:top w:val="single" w:sz="2" w:space="0" w:color="E5E7EB"/>
                        <w:left w:val="single" w:sz="2" w:space="0" w:color="E5E7EB"/>
                        <w:bottom w:val="single" w:sz="2" w:space="0" w:color="E5E7EB"/>
                        <w:right w:val="single" w:sz="2" w:space="0" w:color="E5E7EB"/>
                      </w:divBdr>
                      <w:divsChild>
                        <w:div w:id="646977387">
                          <w:marLeft w:val="0"/>
                          <w:marRight w:val="0"/>
                          <w:marTop w:val="0"/>
                          <w:marBottom w:val="0"/>
                          <w:divBdr>
                            <w:top w:val="single" w:sz="2" w:space="0" w:color="E5E7EB"/>
                            <w:left w:val="single" w:sz="2" w:space="0" w:color="E5E7EB"/>
                            <w:bottom w:val="single" w:sz="2" w:space="0" w:color="E5E7EB"/>
                            <w:right w:val="single" w:sz="2" w:space="0" w:color="E5E7EB"/>
                          </w:divBdr>
                          <w:divsChild>
                            <w:div w:id="738672065">
                              <w:marLeft w:val="0"/>
                              <w:marRight w:val="0"/>
                              <w:marTop w:val="0"/>
                              <w:marBottom w:val="0"/>
                              <w:divBdr>
                                <w:top w:val="single" w:sz="2" w:space="0" w:color="E5E7EB"/>
                                <w:left w:val="single" w:sz="2" w:space="0" w:color="E5E7EB"/>
                                <w:bottom w:val="single" w:sz="2" w:space="0" w:color="E5E7EB"/>
                                <w:right w:val="single" w:sz="2" w:space="0" w:color="E5E7EB"/>
                              </w:divBdr>
                              <w:divsChild>
                                <w:div w:id="9671254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72817221">
      <w:bodyDiv w:val="1"/>
      <w:marLeft w:val="0"/>
      <w:marRight w:val="0"/>
      <w:marTop w:val="0"/>
      <w:marBottom w:val="0"/>
      <w:divBdr>
        <w:top w:val="none" w:sz="0" w:space="0" w:color="auto"/>
        <w:left w:val="none" w:sz="0" w:space="0" w:color="auto"/>
        <w:bottom w:val="none" w:sz="0" w:space="0" w:color="auto"/>
        <w:right w:val="none" w:sz="0" w:space="0" w:color="auto"/>
      </w:divBdr>
    </w:div>
    <w:div w:id="1902667136">
      <w:bodyDiv w:val="1"/>
      <w:marLeft w:val="0"/>
      <w:marRight w:val="0"/>
      <w:marTop w:val="0"/>
      <w:marBottom w:val="0"/>
      <w:divBdr>
        <w:top w:val="none" w:sz="0" w:space="0" w:color="auto"/>
        <w:left w:val="none" w:sz="0" w:space="0" w:color="auto"/>
        <w:bottom w:val="none" w:sz="0" w:space="0" w:color="auto"/>
        <w:right w:val="none" w:sz="0" w:space="0" w:color="auto"/>
      </w:divBdr>
    </w:div>
    <w:div w:id="1905212133">
      <w:bodyDiv w:val="1"/>
      <w:marLeft w:val="0"/>
      <w:marRight w:val="0"/>
      <w:marTop w:val="0"/>
      <w:marBottom w:val="0"/>
      <w:divBdr>
        <w:top w:val="none" w:sz="0" w:space="0" w:color="auto"/>
        <w:left w:val="none" w:sz="0" w:space="0" w:color="auto"/>
        <w:bottom w:val="none" w:sz="0" w:space="0" w:color="auto"/>
        <w:right w:val="none" w:sz="0" w:space="0" w:color="auto"/>
      </w:divBdr>
    </w:div>
    <w:div w:id="213747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dx.doi.org/10.1016/j.mimet.2015.12.003" TargetMode="External"/><Relationship Id="rId26" Type="http://schemas.openxmlformats.org/officeDocument/2006/relationships/hyperlink" Target="https://link.springer.com/article/10.1007/s11274-019-2601-5" TargetMode="External"/><Relationship Id="rId39" Type="http://schemas.openxmlformats.org/officeDocument/2006/relationships/hyperlink" Target="http://dx.doi.org/10.1016/j.talanta.2019.120616" TargetMode="External"/><Relationship Id="rId21" Type="http://schemas.openxmlformats.org/officeDocument/2006/relationships/hyperlink" Target="http://dx.doi.org/10.1016/j.parint.2014.05.002" TargetMode="External"/><Relationship Id="rId34" Type="http://schemas.openxmlformats.org/officeDocument/2006/relationships/hyperlink" Target="https://doi.org/10.1016/j.jip.2019.04.004"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x.doi.org/10.17420/ap6603.268" TargetMode="External"/><Relationship Id="rId29" Type="http://schemas.openxmlformats.org/officeDocument/2006/relationships/hyperlink" Target="http://dx.doi.org/10.1261/rna.076232.1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doi.org/10.1016/j.bios.2013.10.055" TargetMode="External"/><Relationship Id="rId32" Type="http://schemas.openxmlformats.org/officeDocument/2006/relationships/hyperlink" Target="http://dx.doi.org/10.1093/cid/ciaa531" TargetMode="External"/><Relationship Id="rId37" Type="http://schemas.openxmlformats.org/officeDocument/2006/relationships/hyperlink" Target="http://dx.doi.org/10.1007/978-981-99-3025-8_14" TargetMode="External"/><Relationship Id="rId40" Type="http://schemas.openxmlformats.org/officeDocument/2006/relationships/hyperlink" Target="http://dx.doi.org/10.1016/j.talanta.2020.120978" TargetMode="External"/><Relationship Id="rId45" Type="http://schemas.openxmlformats.org/officeDocument/2006/relationships/header" Target="header3.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doi.org/10.1016/j.bios.2015.12.005" TargetMode="External"/><Relationship Id="rId28" Type="http://schemas.openxmlformats.org/officeDocument/2006/relationships/hyperlink" Target="https://doi.org/10.1016/j.aca.2019.11.056" TargetMode="External"/><Relationship Id="rId36" Type="http://schemas.openxmlformats.org/officeDocument/2006/relationships/hyperlink" Target="http://dx.doi.org/10.1021/ac5010458" TargetMode="External"/><Relationship Id="rId10" Type="http://schemas.openxmlformats.org/officeDocument/2006/relationships/image" Target="media/image3.png"/><Relationship Id="rId19" Type="http://schemas.openxmlformats.org/officeDocument/2006/relationships/hyperlink" Target="http://dx.doi.org/10.1016/j.jip.2010.06.001" TargetMode="External"/><Relationship Id="rId31" Type="http://schemas.openxmlformats.org/officeDocument/2006/relationships/hyperlink" Target="http://dx.doi.org/10.1016/j.jviromet.2017.02.001"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yperlink" Target="http://dx.doi.org/10.1007/s00284-014-0619-3" TargetMode="External"/><Relationship Id="rId27" Type="http://schemas.openxmlformats.org/officeDocument/2006/relationships/hyperlink" Target="https://doi.org/10.1016/j.mcp.2019.101501" TargetMode="External"/><Relationship Id="rId30" Type="http://schemas.openxmlformats.org/officeDocument/2006/relationships/hyperlink" Target="http://dx.doi.org/10.1128/JVI.50.1.248-254.1984" TargetMode="External"/><Relationship Id="rId35" Type="http://schemas.openxmlformats.org/officeDocument/2006/relationships/hyperlink" Target="http://dx.doi.org/10.1007/s13765-017-0321-9" TargetMode="External"/><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s://doi.org/10.1016/0022-2011(88)90086-9" TargetMode="External"/><Relationship Id="rId25" Type="http://schemas.openxmlformats.org/officeDocument/2006/relationships/hyperlink" Target="https://doi.org/10.1371/journal.pone.0045611" TargetMode="External"/><Relationship Id="rId33" Type="http://schemas.openxmlformats.org/officeDocument/2006/relationships/hyperlink" Target="https://bmcmedgenomics.biomedcentral.com/articles/10.1186/s12920-019-0610-8" TargetMode="External"/><Relationship Id="rId38" Type="http://schemas.openxmlformats.org/officeDocument/2006/relationships/hyperlink" Target="http://dx.doi.org/10.1039/D0AN02150D" TargetMode="External"/><Relationship Id="rId46" Type="http://schemas.openxmlformats.org/officeDocument/2006/relationships/fontTable" Target="fontTable.xml"/><Relationship Id="rId20" Type="http://schemas.openxmlformats.org/officeDocument/2006/relationships/hyperlink" Target="http://dx.doi.org/10.1111/1574-6968.12521" TargetMode="External"/><Relationship Id="rId41" Type="http://schemas.openxmlformats.org/officeDocument/2006/relationships/hyperlink" Target="http://dx.doi.org/10.1016/j.lwt.2020.109038"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C1C5DB-3E6A-4DB3-94CF-C04468A65FB6}" type="doc">
      <dgm:prSet loTypeId="urn:microsoft.com/office/officeart/2005/8/layout/vList6" loCatId="list" qsTypeId="urn:microsoft.com/office/officeart/2005/8/quickstyle/simple1" qsCatId="simple" csTypeId="urn:microsoft.com/office/officeart/2005/8/colors/colorful1#1" csCatId="colorful" phldr="1"/>
      <dgm:spPr/>
      <dgm:t>
        <a:bodyPr/>
        <a:lstStyle/>
        <a:p>
          <a:endParaRPr lang="en-IN"/>
        </a:p>
      </dgm:t>
    </dgm:pt>
    <dgm:pt modelId="{C0EEA369-96CB-444D-A3A1-EBB6B5B669FD}">
      <dgm:prSet phldrT="[Text]" custT="1"/>
      <dgm:spPr>
        <a:solidFill>
          <a:srgbClr val="CC0000"/>
        </a:solidFill>
      </dgm:spPr>
      <dgm:t>
        <a:bodyPr/>
        <a:lstStyle/>
        <a:p>
          <a:pPr algn="just"/>
          <a:r>
            <a:rPr lang="en-IN" sz="1000">
              <a:latin typeface="Arial" pitchFamily="34" charset="0"/>
              <a:cs typeface="Arial" pitchFamily="34" charset="0"/>
            </a:rPr>
            <a:t>The ability of NALF strips to detect the target nucleic acid sequence at low concentrations is critical. Zhang </a:t>
          </a:r>
          <a:r>
            <a:rPr lang="en-IN" sz="1000" i="1">
              <a:latin typeface="Arial" pitchFamily="34" charset="0"/>
              <a:cs typeface="Arial" pitchFamily="34" charset="0"/>
            </a:rPr>
            <a:t>et al</a:t>
          </a:r>
          <a:r>
            <a:rPr lang="en-IN" sz="1000">
              <a:latin typeface="Arial" pitchFamily="34" charset="0"/>
              <a:cs typeface="Arial" pitchFamily="34" charset="0"/>
            </a:rPr>
            <a:t>. (2019) emphasize that a highly sensitive assay can detect even trace amounts of the pathogen, allowing for early detection of infection. Furthermore, Hu </a:t>
          </a:r>
          <a:r>
            <a:rPr lang="en-IN" sz="1000" i="1">
              <a:latin typeface="Arial" pitchFamily="34" charset="0"/>
              <a:cs typeface="Arial" pitchFamily="34" charset="0"/>
            </a:rPr>
            <a:t>et al.</a:t>
          </a:r>
          <a:r>
            <a:rPr lang="en-IN" sz="1000">
              <a:latin typeface="Arial" pitchFamily="34" charset="0"/>
              <a:cs typeface="Arial" pitchFamily="34" charset="0"/>
            </a:rPr>
            <a:t> (2020) highlight the significance of high sensitivity in NALF assays for detecting food contaminants</a:t>
          </a:r>
          <a:r>
            <a:rPr lang="en-IN" sz="1200"/>
            <a:t>. </a:t>
          </a:r>
        </a:p>
      </dgm:t>
    </dgm:pt>
    <dgm:pt modelId="{E6F5EA29-1B0A-489A-B880-2675E4BD092E}" type="parTrans" cxnId="{AF3980D9-D1BD-4E2F-B4A5-F87FA835E0E2}">
      <dgm:prSet/>
      <dgm:spPr/>
      <dgm:t>
        <a:bodyPr/>
        <a:lstStyle/>
        <a:p>
          <a:endParaRPr lang="en-IN"/>
        </a:p>
      </dgm:t>
    </dgm:pt>
    <dgm:pt modelId="{83B0EB0E-4B9F-44CB-A600-6C4F8DFBBE66}" type="sibTrans" cxnId="{AF3980D9-D1BD-4E2F-B4A5-F87FA835E0E2}">
      <dgm:prSet/>
      <dgm:spPr/>
      <dgm:t>
        <a:bodyPr/>
        <a:lstStyle/>
        <a:p>
          <a:endParaRPr lang="en-IN"/>
        </a:p>
      </dgm:t>
    </dgm:pt>
    <dgm:pt modelId="{1B478FE3-F73B-4E3D-B8D1-5AA6CB925E26}">
      <dgm:prSet phldrT="[Text]" custT="1"/>
      <dgm:spPr>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0" scaled="1"/>
          <a:tileRect/>
        </a:gradFill>
      </dgm:spPr>
      <dgm:t>
        <a:bodyPr/>
        <a:lstStyle/>
        <a:p>
          <a:pPr algn="ctr"/>
          <a:r>
            <a:rPr lang="en-IN" sz="1000" b="1">
              <a:latin typeface="Arial" pitchFamily="34" charset="0"/>
              <a:cs typeface="Arial" pitchFamily="34" charset="0"/>
            </a:rPr>
            <a:t>Sensitivity</a:t>
          </a:r>
        </a:p>
      </dgm:t>
    </dgm:pt>
    <dgm:pt modelId="{A5325BFB-3BDA-4F75-9C71-034A9CF103C8}" type="parTrans" cxnId="{23408AE4-36EA-4139-82AA-EB686435340C}">
      <dgm:prSet/>
      <dgm:spPr/>
      <dgm:t>
        <a:bodyPr/>
        <a:lstStyle/>
        <a:p>
          <a:endParaRPr lang="en-IN"/>
        </a:p>
      </dgm:t>
    </dgm:pt>
    <dgm:pt modelId="{5927C315-949E-43D5-BF9B-D522285BC3EC}" type="sibTrans" cxnId="{23408AE4-36EA-4139-82AA-EB686435340C}">
      <dgm:prSet/>
      <dgm:spPr/>
      <dgm:t>
        <a:bodyPr/>
        <a:lstStyle/>
        <a:p>
          <a:endParaRPr lang="en-IN"/>
        </a:p>
      </dgm:t>
    </dgm:pt>
    <dgm:pt modelId="{0B9A9520-9FC2-4B54-9A1B-F6D0724DC1B0}">
      <dgm:prSet phldrT="[Text]" custT="1"/>
      <dgm:spPr>
        <a:solidFill>
          <a:srgbClr val="008000"/>
        </a:solidFill>
      </dgm:spPr>
      <dgm:t>
        <a:bodyPr/>
        <a:lstStyle/>
        <a:p>
          <a:pPr algn="just"/>
          <a:r>
            <a:rPr lang="en-IN" sz="1000">
              <a:latin typeface="Arial" pitchFamily="34" charset="0"/>
              <a:cs typeface="Arial" pitchFamily="34" charset="0"/>
            </a:rPr>
            <a:t>The specificity of the NALF strip indicates its ability to distinguish precisely between the pathogen's nucleic acids and other potential targets in the sample. A highly specific assay, as highlighted in the Niemz </a:t>
          </a:r>
          <a:r>
            <a:rPr lang="en-IN" sz="1000" i="1">
              <a:latin typeface="Arial" pitchFamily="34" charset="0"/>
              <a:cs typeface="Arial" pitchFamily="34" charset="0"/>
            </a:rPr>
            <a:t>et al</a:t>
          </a:r>
          <a:r>
            <a:rPr lang="en-IN" sz="1000">
              <a:latin typeface="Arial" pitchFamily="34" charset="0"/>
              <a:cs typeface="Arial" pitchFamily="34" charset="0"/>
            </a:rPr>
            <a:t>. (2011) study, reduces the likelihood of false-positive results, ensuring precise diagnosis and avoiding unnecessary controls</a:t>
          </a:r>
          <a:r>
            <a:rPr lang="en-IN" sz="1200">
              <a:latin typeface="Times New Roman" panose="02020603050405020304" pitchFamily="18" charset="0"/>
              <a:cs typeface="Times New Roman" panose="02020603050405020304" pitchFamily="18" charset="0"/>
            </a:rPr>
            <a:t>. </a:t>
          </a:r>
          <a:endParaRPr lang="en-IN" sz="1200"/>
        </a:p>
      </dgm:t>
    </dgm:pt>
    <dgm:pt modelId="{8B6CD093-C33C-4439-8389-2790FF0E17ED}" type="parTrans" cxnId="{AF2C76AB-7FDA-42B1-9FB4-FEB405288B7F}">
      <dgm:prSet/>
      <dgm:spPr/>
      <dgm:t>
        <a:bodyPr/>
        <a:lstStyle/>
        <a:p>
          <a:endParaRPr lang="en-IN"/>
        </a:p>
      </dgm:t>
    </dgm:pt>
    <dgm:pt modelId="{E1FCF389-910D-4C85-864B-E3D654141556}" type="sibTrans" cxnId="{AF2C76AB-7FDA-42B1-9FB4-FEB405288B7F}">
      <dgm:prSet/>
      <dgm:spPr/>
      <dgm:t>
        <a:bodyPr/>
        <a:lstStyle/>
        <a:p>
          <a:endParaRPr lang="en-IN"/>
        </a:p>
      </dgm:t>
    </dgm:pt>
    <dgm:pt modelId="{92FAF9EA-5E9D-4EDE-A1D2-A430ACB086B6}">
      <dgm:prSet phldrT="[Text]" custT="1"/>
      <dgm:spPr>
        <a:gradFill flip="none" rotWithShape="0">
          <a:gsLst>
            <a:gs pos="0">
              <a:srgbClr val="003366">
                <a:tint val="66000"/>
                <a:satMod val="160000"/>
              </a:srgbClr>
            </a:gs>
            <a:gs pos="50000">
              <a:srgbClr val="003366">
                <a:tint val="44500"/>
                <a:satMod val="160000"/>
              </a:srgbClr>
            </a:gs>
            <a:gs pos="100000">
              <a:srgbClr val="003366">
                <a:tint val="23500"/>
                <a:satMod val="160000"/>
              </a:srgbClr>
            </a:gs>
          </a:gsLst>
          <a:lin ang="0" scaled="1"/>
          <a:tileRect/>
        </a:gradFill>
      </dgm:spPr>
      <dgm:t>
        <a:bodyPr/>
        <a:lstStyle/>
        <a:p>
          <a:pPr algn="ctr"/>
          <a:r>
            <a:rPr lang="en-IN" sz="1000" b="1">
              <a:latin typeface="Arial" pitchFamily="34" charset="0"/>
              <a:cs typeface="Arial" pitchFamily="34" charset="0"/>
            </a:rPr>
            <a:t>Limit of Detection</a:t>
          </a:r>
        </a:p>
      </dgm:t>
    </dgm:pt>
    <dgm:pt modelId="{E1CAF1AB-06B1-4DE9-B8DF-E569C22E7BD8}" type="parTrans" cxnId="{1A19C9F5-0826-47D9-A28D-F07098507A0C}">
      <dgm:prSet/>
      <dgm:spPr/>
      <dgm:t>
        <a:bodyPr/>
        <a:lstStyle/>
        <a:p>
          <a:endParaRPr lang="en-IN"/>
        </a:p>
      </dgm:t>
    </dgm:pt>
    <dgm:pt modelId="{FA390251-8ED2-47CC-B86E-2C77A778CE35}" type="sibTrans" cxnId="{1A19C9F5-0826-47D9-A28D-F07098507A0C}">
      <dgm:prSet/>
      <dgm:spPr/>
      <dgm:t>
        <a:bodyPr/>
        <a:lstStyle/>
        <a:p>
          <a:endParaRPr lang="en-IN"/>
        </a:p>
      </dgm:t>
    </dgm:pt>
    <dgm:pt modelId="{8B837B4F-53E1-4704-8E47-48D5B79FBEAA}">
      <dgm:prSet phldrT="[Text]" custT="1"/>
      <dgm:spPr>
        <a:solidFill>
          <a:srgbClr val="800080"/>
        </a:solidFill>
      </dgm:spPr>
      <dgm:t>
        <a:bodyPr/>
        <a:lstStyle/>
        <a:p>
          <a:pPr algn="just"/>
          <a:r>
            <a:rPr lang="en-IN" sz="1000">
              <a:latin typeface="Arial" pitchFamily="34" charset="0"/>
              <a:cs typeface="Arial" pitchFamily="34" charset="0"/>
            </a:rPr>
            <a:t>The accuracy of the NALF strip reflects its overall precision in detecting the infection, taking into account both sensitivity and specificity. An assay with high accuracy, as demonstrated in the study by Esbin </a:t>
          </a:r>
          <a:r>
            <a:rPr lang="en-IN" sz="1000" i="1">
              <a:latin typeface="Arial" pitchFamily="34" charset="0"/>
              <a:cs typeface="Arial" pitchFamily="34" charset="0"/>
            </a:rPr>
            <a:t>et al. </a:t>
          </a:r>
          <a:r>
            <a:rPr lang="en-IN" sz="1000">
              <a:latin typeface="Arial" pitchFamily="34" charset="0"/>
              <a:cs typeface="Arial" pitchFamily="34" charset="0"/>
            </a:rPr>
            <a:t>(2020), produces consistent results, lowering the likelihood of both false-positive and false-negative diagnoses</a:t>
          </a:r>
          <a:r>
            <a:rPr lang="en-IN" sz="1200">
              <a:latin typeface="Times New Roman" panose="02020603050405020304" pitchFamily="18" charset="0"/>
              <a:cs typeface="Times New Roman" panose="02020603050405020304" pitchFamily="18" charset="0"/>
            </a:rPr>
            <a:t>. </a:t>
          </a:r>
        </a:p>
      </dgm:t>
    </dgm:pt>
    <dgm:pt modelId="{A6D50432-974F-4389-9669-1A650E010F74}" type="parTrans" cxnId="{A6FD2197-F643-4B73-8540-5EC87C1F4E93}">
      <dgm:prSet/>
      <dgm:spPr/>
      <dgm:t>
        <a:bodyPr/>
        <a:lstStyle/>
        <a:p>
          <a:endParaRPr lang="en-IN"/>
        </a:p>
      </dgm:t>
    </dgm:pt>
    <dgm:pt modelId="{FC06DE2D-5C4C-4B97-A0D6-B5BBE13F72C2}" type="sibTrans" cxnId="{A6FD2197-F643-4B73-8540-5EC87C1F4E93}">
      <dgm:prSet/>
      <dgm:spPr/>
      <dgm:t>
        <a:bodyPr/>
        <a:lstStyle/>
        <a:p>
          <a:endParaRPr lang="en-IN"/>
        </a:p>
      </dgm:t>
    </dgm:pt>
    <dgm:pt modelId="{CFAB6E0E-7CED-485B-83E4-E3B430FFEF06}">
      <dgm:prSet phldrT="[Text]" custT="1"/>
      <dgm:spPr>
        <a:solidFill>
          <a:srgbClr val="003366"/>
        </a:solidFill>
      </dgm:spPr>
      <dgm:t>
        <a:bodyPr/>
        <a:lstStyle/>
        <a:p>
          <a:pPr algn="just"/>
          <a:r>
            <a:rPr lang="en-IN" sz="1000">
              <a:latin typeface="Arial" pitchFamily="34" charset="0"/>
              <a:cs typeface="Arial" pitchFamily="34" charset="0"/>
            </a:rPr>
            <a:t>The limit of detection (LOD) refers to the lowest concentration of nucleic acid of the pathogen that the NALF strip can accurately identify. A lower limit of detection (LOD), as emphasized by Zhang </a:t>
          </a:r>
          <a:r>
            <a:rPr lang="en-IN" sz="1000" i="1">
              <a:latin typeface="Arial" pitchFamily="34" charset="0"/>
              <a:cs typeface="Arial" pitchFamily="34" charset="0"/>
            </a:rPr>
            <a:t>et al</a:t>
          </a:r>
          <a:r>
            <a:rPr lang="en-IN" sz="1000">
              <a:latin typeface="Arial" pitchFamily="34" charset="0"/>
              <a:cs typeface="Arial" pitchFamily="34" charset="0"/>
            </a:rPr>
            <a:t>. (2020), corresponds to increased sensitivity, indicating that the assay can detect the pathogen even in the early stages of infection. </a:t>
          </a:r>
        </a:p>
      </dgm:t>
    </dgm:pt>
    <dgm:pt modelId="{5B47D498-EDDB-4976-AB5F-1DCC23595CEE}" type="parTrans" cxnId="{5E7E761E-2452-496C-AF83-8D3F2AEBA336}">
      <dgm:prSet/>
      <dgm:spPr/>
      <dgm:t>
        <a:bodyPr/>
        <a:lstStyle/>
        <a:p>
          <a:endParaRPr lang="en-IN"/>
        </a:p>
      </dgm:t>
    </dgm:pt>
    <dgm:pt modelId="{347C98D3-D108-42BB-B934-ED1138622547}" type="sibTrans" cxnId="{5E7E761E-2452-496C-AF83-8D3F2AEBA336}">
      <dgm:prSet/>
      <dgm:spPr/>
      <dgm:t>
        <a:bodyPr/>
        <a:lstStyle/>
        <a:p>
          <a:endParaRPr lang="en-IN"/>
        </a:p>
      </dgm:t>
    </dgm:pt>
    <dgm:pt modelId="{18F344E0-4420-469D-8778-93B395F14099}">
      <dgm:prSet custT="1"/>
      <dgm:spPr>
        <a:gradFill flip="none" rotWithShape="0">
          <a:gsLst>
            <a:gs pos="0">
              <a:srgbClr val="008000">
                <a:tint val="66000"/>
                <a:satMod val="160000"/>
              </a:srgbClr>
            </a:gs>
            <a:gs pos="50000">
              <a:srgbClr val="008000">
                <a:tint val="44500"/>
                <a:satMod val="160000"/>
              </a:srgbClr>
            </a:gs>
            <a:gs pos="100000">
              <a:srgbClr val="008000">
                <a:tint val="23500"/>
                <a:satMod val="160000"/>
              </a:srgbClr>
            </a:gs>
          </a:gsLst>
          <a:lin ang="0" scaled="1"/>
          <a:tileRect/>
        </a:gradFill>
      </dgm:spPr>
      <dgm:t>
        <a:bodyPr/>
        <a:lstStyle/>
        <a:p>
          <a:pPr algn="ctr"/>
          <a:r>
            <a:rPr lang="en-IN" sz="1000" b="1">
              <a:latin typeface="Arial" pitchFamily="34" charset="0"/>
              <a:cs typeface="Arial" pitchFamily="34" charset="0"/>
            </a:rPr>
            <a:t>Specificity</a:t>
          </a:r>
        </a:p>
      </dgm:t>
    </dgm:pt>
    <dgm:pt modelId="{1DDC7B81-3A2E-4CD2-8E01-0C56B3A2C10D}" type="parTrans" cxnId="{03A9C38B-6FD2-4D2D-A8B3-B58CBE8EB9E5}">
      <dgm:prSet/>
      <dgm:spPr/>
      <dgm:t>
        <a:bodyPr/>
        <a:lstStyle/>
        <a:p>
          <a:endParaRPr lang="en-IN"/>
        </a:p>
      </dgm:t>
    </dgm:pt>
    <dgm:pt modelId="{6EE2D380-76F0-4965-87B7-CF2337FFC00F}" type="sibTrans" cxnId="{03A9C38B-6FD2-4D2D-A8B3-B58CBE8EB9E5}">
      <dgm:prSet/>
      <dgm:spPr/>
      <dgm:t>
        <a:bodyPr/>
        <a:lstStyle/>
        <a:p>
          <a:endParaRPr lang="en-IN"/>
        </a:p>
      </dgm:t>
    </dgm:pt>
    <dgm:pt modelId="{EACB2425-89DE-4235-BF68-FA3A0E6D4E25}">
      <dgm:prSet custT="1"/>
      <dgm:spPr>
        <a:gradFill flip="none" rotWithShape="0">
          <a:gsLst>
            <a:gs pos="0">
              <a:srgbClr val="800080">
                <a:tint val="66000"/>
                <a:satMod val="160000"/>
              </a:srgbClr>
            </a:gs>
            <a:gs pos="50000">
              <a:srgbClr val="800080">
                <a:tint val="44500"/>
                <a:satMod val="160000"/>
              </a:srgbClr>
            </a:gs>
            <a:gs pos="100000">
              <a:srgbClr val="800080">
                <a:tint val="23500"/>
                <a:satMod val="160000"/>
              </a:srgbClr>
            </a:gs>
          </a:gsLst>
          <a:lin ang="0" scaled="1"/>
          <a:tileRect/>
        </a:gradFill>
      </dgm:spPr>
      <dgm:t>
        <a:bodyPr/>
        <a:lstStyle/>
        <a:p>
          <a:pPr algn="ctr"/>
          <a:r>
            <a:rPr lang="en-IN" sz="1000" b="1">
              <a:latin typeface="Arial" pitchFamily="34" charset="0"/>
              <a:cs typeface="Arial" pitchFamily="34" charset="0"/>
            </a:rPr>
            <a:t>Accuracy</a:t>
          </a:r>
        </a:p>
      </dgm:t>
    </dgm:pt>
    <dgm:pt modelId="{3754DC25-355E-4701-8927-A3100CB0CF5A}" type="parTrans" cxnId="{E30FC04A-6FEF-49AC-BFBE-E943D3072973}">
      <dgm:prSet/>
      <dgm:spPr/>
      <dgm:t>
        <a:bodyPr/>
        <a:lstStyle/>
        <a:p>
          <a:endParaRPr lang="en-IN"/>
        </a:p>
      </dgm:t>
    </dgm:pt>
    <dgm:pt modelId="{CE852A02-6AE9-4486-8EAD-3AE720E4BAC7}" type="sibTrans" cxnId="{E30FC04A-6FEF-49AC-BFBE-E943D3072973}">
      <dgm:prSet/>
      <dgm:spPr/>
      <dgm:t>
        <a:bodyPr/>
        <a:lstStyle/>
        <a:p>
          <a:endParaRPr lang="en-IN"/>
        </a:p>
      </dgm:t>
    </dgm:pt>
    <dgm:pt modelId="{CF96887E-8E62-4BC2-BFD9-FED63391B695}">
      <dgm:prSet phldrT="[Text]" custT="1"/>
      <dgm:spPr>
        <a:gradFill flip="none" rotWithShape="0">
          <a:gsLst>
            <a:gs pos="0">
              <a:srgbClr val="003366">
                <a:tint val="66000"/>
                <a:satMod val="160000"/>
              </a:srgbClr>
            </a:gs>
            <a:gs pos="50000">
              <a:srgbClr val="003366">
                <a:tint val="44500"/>
                <a:satMod val="160000"/>
              </a:srgbClr>
            </a:gs>
            <a:gs pos="100000">
              <a:srgbClr val="003366">
                <a:tint val="23500"/>
                <a:satMod val="160000"/>
              </a:srgbClr>
            </a:gs>
          </a:gsLst>
          <a:lin ang="0" scaled="1"/>
          <a:tileRect/>
        </a:gradFill>
      </dgm:spPr>
      <dgm:t>
        <a:bodyPr/>
        <a:lstStyle/>
        <a:p>
          <a:pPr algn="ctr"/>
          <a:endParaRPr lang="en-IN" sz="1200" b="1">
            <a:latin typeface="Times New Roman" panose="02020603050405020304" pitchFamily="18" charset="0"/>
            <a:cs typeface="Times New Roman" panose="02020603050405020304" pitchFamily="18" charset="0"/>
          </a:endParaRPr>
        </a:p>
      </dgm:t>
    </dgm:pt>
    <dgm:pt modelId="{B35749EB-41DD-497F-82DA-384196951246}" type="parTrans" cxnId="{C685B6B6-6324-4E8B-BF82-8D70DACC1F26}">
      <dgm:prSet/>
      <dgm:spPr/>
      <dgm:t>
        <a:bodyPr/>
        <a:lstStyle/>
        <a:p>
          <a:endParaRPr lang="en-IN"/>
        </a:p>
      </dgm:t>
    </dgm:pt>
    <dgm:pt modelId="{9431888F-1531-49D2-BB8C-172D1C2187CB}" type="sibTrans" cxnId="{C685B6B6-6324-4E8B-BF82-8D70DACC1F26}">
      <dgm:prSet/>
      <dgm:spPr/>
      <dgm:t>
        <a:bodyPr/>
        <a:lstStyle/>
        <a:p>
          <a:endParaRPr lang="en-IN"/>
        </a:p>
      </dgm:t>
    </dgm:pt>
    <dgm:pt modelId="{0A4EC2CC-FEC6-4F28-99D8-4D2CBB2B0E90}">
      <dgm:prSet custT="1"/>
      <dgm:spPr>
        <a:gradFill flip="none" rotWithShape="0">
          <a:gsLst>
            <a:gs pos="0">
              <a:srgbClr val="800080">
                <a:tint val="66000"/>
                <a:satMod val="160000"/>
              </a:srgbClr>
            </a:gs>
            <a:gs pos="50000">
              <a:srgbClr val="800080">
                <a:tint val="44500"/>
                <a:satMod val="160000"/>
              </a:srgbClr>
            </a:gs>
            <a:gs pos="100000">
              <a:srgbClr val="800080">
                <a:tint val="23500"/>
                <a:satMod val="160000"/>
              </a:srgbClr>
            </a:gs>
          </a:gsLst>
          <a:lin ang="0" scaled="1"/>
          <a:tileRect/>
        </a:gradFill>
      </dgm:spPr>
      <dgm:t>
        <a:bodyPr/>
        <a:lstStyle/>
        <a:p>
          <a:pPr algn="ctr"/>
          <a:endParaRPr lang="en-IN" sz="1200" b="1">
            <a:latin typeface="Times New Roman" panose="02020603050405020304" pitchFamily="18" charset="0"/>
            <a:cs typeface="Times New Roman" panose="02020603050405020304" pitchFamily="18" charset="0"/>
          </a:endParaRPr>
        </a:p>
      </dgm:t>
    </dgm:pt>
    <dgm:pt modelId="{6A8B355F-61EA-4B30-B3BE-7B747F2F40C3}" type="parTrans" cxnId="{E9F93257-FA29-476E-8EE7-3F4EBF62AE3F}">
      <dgm:prSet/>
      <dgm:spPr/>
      <dgm:t>
        <a:bodyPr/>
        <a:lstStyle/>
        <a:p>
          <a:endParaRPr lang="en-IN"/>
        </a:p>
      </dgm:t>
    </dgm:pt>
    <dgm:pt modelId="{7280F1F3-3CA2-46B3-8593-514F20F169D4}" type="sibTrans" cxnId="{E9F93257-FA29-476E-8EE7-3F4EBF62AE3F}">
      <dgm:prSet/>
      <dgm:spPr/>
      <dgm:t>
        <a:bodyPr/>
        <a:lstStyle/>
        <a:p>
          <a:endParaRPr lang="en-IN"/>
        </a:p>
      </dgm:t>
    </dgm:pt>
    <dgm:pt modelId="{5D4D71A3-9D3B-4E12-AACD-5AC18CE98AE8}">
      <dgm:prSet custT="1"/>
      <dgm:spPr>
        <a:gradFill flip="none" rotWithShape="0">
          <a:gsLst>
            <a:gs pos="0">
              <a:srgbClr val="008000">
                <a:tint val="66000"/>
                <a:satMod val="160000"/>
              </a:srgbClr>
            </a:gs>
            <a:gs pos="50000">
              <a:srgbClr val="008000">
                <a:tint val="44500"/>
                <a:satMod val="160000"/>
              </a:srgbClr>
            </a:gs>
            <a:gs pos="100000">
              <a:srgbClr val="008000">
                <a:tint val="23500"/>
                <a:satMod val="160000"/>
              </a:srgbClr>
            </a:gs>
          </a:gsLst>
          <a:lin ang="0" scaled="1"/>
          <a:tileRect/>
        </a:gradFill>
      </dgm:spPr>
      <dgm:t>
        <a:bodyPr/>
        <a:lstStyle/>
        <a:p>
          <a:pPr algn="ctr"/>
          <a:endParaRPr lang="en-IN" sz="1200" b="1">
            <a:latin typeface="Times New Roman" panose="02020603050405020304" pitchFamily="18" charset="0"/>
            <a:cs typeface="Times New Roman" panose="02020603050405020304" pitchFamily="18" charset="0"/>
          </a:endParaRPr>
        </a:p>
      </dgm:t>
    </dgm:pt>
    <dgm:pt modelId="{27B5DC5C-4E5A-42EA-A0FE-3652DE9DE6B8}" type="parTrans" cxnId="{A8264652-92B1-4A6F-ADE4-E2434A21414E}">
      <dgm:prSet/>
      <dgm:spPr/>
      <dgm:t>
        <a:bodyPr/>
        <a:lstStyle/>
        <a:p>
          <a:endParaRPr lang="en-IN"/>
        </a:p>
      </dgm:t>
    </dgm:pt>
    <dgm:pt modelId="{651E40FA-B4C0-4E66-8756-A64B4FF9F75F}" type="sibTrans" cxnId="{A8264652-92B1-4A6F-ADE4-E2434A21414E}">
      <dgm:prSet/>
      <dgm:spPr/>
      <dgm:t>
        <a:bodyPr/>
        <a:lstStyle/>
        <a:p>
          <a:endParaRPr lang="en-IN"/>
        </a:p>
      </dgm:t>
    </dgm:pt>
    <dgm:pt modelId="{44E5694C-1302-4D33-A3B2-42F4CBFEE9DE}">
      <dgm:prSet phldrT="[Text]" custT="1"/>
      <dgm:spPr>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0" scaled="1"/>
          <a:tileRect/>
        </a:gradFill>
      </dgm:spPr>
      <dgm:t>
        <a:bodyPr/>
        <a:lstStyle/>
        <a:p>
          <a:pPr algn="ctr"/>
          <a:endParaRPr lang="en-IN" sz="1200" b="1">
            <a:latin typeface="Times New Roman" panose="02020603050405020304" pitchFamily="18" charset="0"/>
            <a:cs typeface="Times New Roman" panose="02020603050405020304" pitchFamily="18" charset="0"/>
          </a:endParaRPr>
        </a:p>
      </dgm:t>
    </dgm:pt>
    <dgm:pt modelId="{9A4E0511-4C20-4824-99F7-3BB15DA96E9D}" type="parTrans" cxnId="{1770CF74-7049-46C3-A83A-26240C689B94}">
      <dgm:prSet/>
      <dgm:spPr/>
      <dgm:t>
        <a:bodyPr/>
        <a:lstStyle/>
        <a:p>
          <a:endParaRPr lang="en-IN"/>
        </a:p>
      </dgm:t>
    </dgm:pt>
    <dgm:pt modelId="{E1E61824-6363-4F4D-82CD-77826E6B1DF4}" type="sibTrans" cxnId="{1770CF74-7049-46C3-A83A-26240C689B94}">
      <dgm:prSet/>
      <dgm:spPr/>
      <dgm:t>
        <a:bodyPr/>
        <a:lstStyle/>
        <a:p>
          <a:endParaRPr lang="en-IN"/>
        </a:p>
      </dgm:t>
    </dgm:pt>
    <dgm:pt modelId="{39100055-82B3-4831-9826-0CA514C52393}" type="pres">
      <dgm:prSet presAssocID="{CCC1C5DB-3E6A-4DB3-94CF-C04468A65FB6}" presName="Name0" presStyleCnt="0">
        <dgm:presLayoutVars>
          <dgm:dir/>
          <dgm:animLvl val="lvl"/>
          <dgm:resizeHandles/>
        </dgm:presLayoutVars>
      </dgm:prSet>
      <dgm:spPr/>
      <dgm:t>
        <a:bodyPr/>
        <a:lstStyle/>
        <a:p>
          <a:endParaRPr lang="en-US"/>
        </a:p>
      </dgm:t>
    </dgm:pt>
    <dgm:pt modelId="{7ABE1FB0-21AB-4BB8-A604-94F4717ACED2}" type="pres">
      <dgm:prSet presAssocID="{C0EEA369-96CB-444D-A3A1-EBB6B5B669FD}" presName="linNode" presStyleCnt="0"/>
      <dgm:spPr/>
    </dgm:pt>
    <dgm:pt modelId="{2E29D316-67C2-47B8-B0F7-C17ACC213033}" type="pres">
      <dgm:prSet presAssocID="{C0EEA369-96CB-444D-A3A1-EBB6B5B669FD}" presName="parentShp" presStyleLbl="node1" presStyleIdx="0" presStyleCnt="4" custScaleX="406027" custScaleY="146737">
        <dgm:presLayoutVars>
          <dgm:bulletEnabled val="1"/>
        </dgm:presLayoutVars>
      </dgm:prSet>
      <dgm:spPr/>
      <dgm:t>
        <a:bodyPr/>
        <a:lstStyle/>
        <a:p>
          <a:endParaRPr lang="en-US"/>
        </a:p>
      </dgm:t>
    </dgm:pt>
    <dgm:pt modelId="{5608E3AF-D028-4321-BC11-98426F79BC82}" type="pres">
      <dgm:prSet presAssocID="{C0EEA369-96CB-444D-A3A1-EBB6B5B669FD}" presName="childShp" presStyleLbl="bgAccFollowNode1" presStyleIdx="0" presStyleCnt="4">
        <dgm:presLayoutVars>
          <dgm:bulletEnabled val="1"/>
        </dgm:presLayoutVars>
      </dgm:prSet>
      <dgm:spPr/>
      <dgm:t>
        <a:bodyPr/>
        <a:lstStyle/>
        <a:p>
          <a:endParaRPr lang="en-US"/>
        </a:p>
      </dgm:t>
    </dgm:pt>
    <dgm:pt modelId="{753B01CC-9C52-46FC-8200-F80FDFC29C8E}" type="pres">
      <dgm:prSet presAssocID="{83B0EB0E-4B9F-44CB-A600-6C4F8DFBBE66}" presName="spacing" presStyleCnt="0"/>
      <dgm:spPr/>
    </dgm:pt>
    <dgm:pt modelId="{B0D529A9-8389-45FA-A734-335C5F682D8B}" type="pres">
      <dgm:prSet presAssocID="{0B9A9520-9FC2-4B54-9A1B-F6D0724DC1B0}" presName="linNode" presStyleCnt="0"/>
      <dgm:spPr/>
    </dgm:pt>
    <dgm:pt modelId="{5C773B26-C580-4874-99FA-55B206C474D1}" type="pres">
      <dgm:prSet presAssocID="{0B9A9520-9FC2-4B54-9A1B-F6D0724DC1B0}" presName="parentShp" presStyleLbl="node1" presStyleIdx="1" presStyleCnt="4" custScaleX="229226" custScaleY="144644">
        <dgm:presLayoutVars>
          <dgm:bulletEnabled val="1"/>
        </dgm:presLayoutVars>
      </dgm:prSet>
      <dgm:spPr/>
      <dgm:t>
        <a:bodyPr/>
        <a:lstStyle/>
        <a:p>
          <a:endParaRPr lang="en-US"/>
        </a:p>
      </dgm:t>
    </dgm:pt>
    <dgm:pt modelId="{551C248E-E084-445F-9B74-1B33A1590519}" type="pres">
      <dgm:prSet presAssocID="{0B9A9520-9FC2-4B54-9A1B-F6D0724DC1B0}" presName="childShp" presStyleLbl="bgAccFollowNode1" presStyleIdx="1" presStyleCnt="4" custScaleX="56250">
        <dgm:presLayoutVars>
          <dgm:bulletEnabled val="1"/>
        </dgm:presLayoutVars>
      </dgm:prSet>
      <dgm:spPr/>
      <dgm:t>
        <a:bodyPr/>
        <a:lstStyle/>
        <a:p>
          <a:endParaRPr lang="en-US"/>
        </a:p>
      </dgm:t>
    </dgm:pt>
    <dgm:pt modelId="{B0E7C924-007C-4C2C-B103-CA3FD957F524}" type="pres">
      <dgm:prSet presAssocID="{E1FCF389-910D-4C85-864B-E3D654141556}" presName="spacing" presStyleCnt="0"/>
      <dgm:spPr/>
    </dgm:pt>
    <dgm:pt modelId="{2B12E5D5-51C1-494C-B84A-56A96FD906B2}" type="pres">
      <dgm:prSet presAssocID="{8B837B4F-53E1-4704-8E47-48D5B79FBEAA}" presName="linNode" presStyleCnt="0"/>
      <dgm:spPr/>
    </dgm:pt>
    <dgm:pt modelId="{8875E806-E743-4E58-8CB2-4A7A075475AD}" type="pres">
      <dgm:prSet presAssocID="{8B837B4F-53E1-4704-8E47-48D5B79FBEAA}" presName="parentShp" presStyleLbl="node1" presStyleIdx="2" presStyleCnt="4" custScaleX="409829" custScaleY="144442" custLinFactNeighborX="-115" custLinFactNeighborY="-1348">
        <dgm:presLayoutVars>
          <dgm:bulletEnabled val="1"/>
        </dgm:presLayoutVars>
      </dgm:prSet>
      <dgm:spPr/>
      <dgm:t>
        <a:bodyPr/>
        <a:lstStyle/>
        <a:p>
          <a:endParaRPr lang="en-US"/>
        </a:p>
      </dgm:t>
    </dgm:pt>
    <dgm:pt modelId="{1DAE49C0-0FC1-445E-959E-E3D2519C7819}" type="pres">
      <dgm:prSet presAssocID="{8B837B4F-53E1-4704-8E47-48D5B79FBEAA}" presName="childShp" presStyleLbl="bgAccFollowNode1" presStyleIdx="2" presStyleCnt="4">
        <dgm:presLayoutVars>
          <dgm:bulletEnabled val="1"/>
        </dgm:presLayoutVars>
      </dgm:prSet>
      <dgm:spPr/>
      <dgm:t>
        <a:bodyPr/>
        <a:lstStyle/>
        <a:p>
          <a:endParaRPr lang="en-US"/>
        </a:p>
      </dgm:t>
    </dgm:pt>
    <dgm:pt modelId="{B2AB74DA-083E-49F6-A242-2789C073B5BD}" type="pres">
      <dgm:prSet presAssocID="{FC06DE2D-5C4C-4B97-A0D6-B5BBE13F72C2}" presName="spacing" presStyleCnt="0"/>
      <dgm:spPr/>
    </dgm:pt>
    <dgm:pt modelId="{F775B8EA-F2B9-4D98-8EF3-71D3BEF9D32B}" type="pres">
      <dgm:prSet presAssocID="{CFAB6E0E-7CED-485B-83E4-E3B430FFEF06}" presName="linNode" presStyleCnt="0"/>
      <dgm:spPr/>
    </dgm:pt>
    <dgm:pt modelId="{D413708D-D979-4EC9-A4BA-DC6F42C2FD79}" type="pres">
      <dgm:prSet presAssocID="{CFAB6E0E-7CED-485B-83E4-E3B430FFEF06}" presName="parentShp" presStyleLbl="node1" presStyleIdx="3" presStyleCnt="4" custScaleX="401295" custScaleY="150492">
        <dgm:presLayoutVars>
          <dgm:bulletEnabled val="1"/>
        </dgm:presLayoutVars>
      </dgm:prSet>
      <dgm:spPr/>
      <dgm:t>
        <a:bodyPr/>
        <a:lstStyle/>
        <a:p>
          <a:endParaRPr lang="en-US"/>
        </a:p>
      </dgm:t>
    </dgm:pt>
    <dgm:pt modelId="{1EE40C04-7EA0-472E-BE36-1DD6025C6B9B}" type="pres">
      <dgm:prSet presAssocID="{CFAB6E0E-7CED-485B-83E4-E3B430FFEF06}" presName="childShp" presStyleLbl="bgAccFollowNode1" presStyleIdx="3" presStyleCnt="4" custScaleY="98339">
        <dgm:presLayoutVars>
          <dgm:bulletEnabled val="1"/>
        </dgm:presLayoutVars>
      </dgm:prSet>
      <dgm:spPr/>
      <dgm:t>
        <a:bodyPr/>
        <a:lstStyle/>
        <a:p>
          <a:endParaRPr lang="en-US"/>
        </a:p>
      </dgm:t>
    </dgm:pt>
  </dgm:ptLst>
  <dgm:cxnLst>
    <dgm:cxn modelId="{AF2C76AB-7FDA-42B1-9FB4-FEB405288B7F}" srcId="{CCC1C5DB-3E6A-4DB3-94CF-C04468A65FB6}" destId="{0B9A9520-9FC2-4B54-9A1B-F6D0724DC1B0}" srcOrd="1" destOrd="0" parTransId="{8B6CD093-C33C-4439-8389-2790FF0E17ED}" sibTransId="{E1FCF389-910D-4C85-864B-E3D654141556}"/>
    <dgm:cxn modelId="{43F614EF-3AA4-4E6A-90B1-13D4E6BD37E7}" type="presOf" srcId="{8B837B4F-53E1-4704-8E47-48D5B79FBEAA}" destId="{8875E806-E743-4E58-8CB2-4A7A075475AD}" srcOrd="0" destOrd="0" presId="urn:microsoft.com/office/officeart/2005/8/layout/vList6"/>
    <dgm:cxn modelId="{2F522857-E486-4EB2-A536-A87FF718A7D5}" type="presOf" srcId="{0B9A9520-9FC2-4B54-9A1B-F6D0724DC1B0}" destId="{5C773B26-C580-4874-99FA-55B206C474D1}" srcOrd="0" destOrd="0" presId="urn:microsoft.com/office/officeart/2005/8/layout/vList6"/>
    <dgm:cxn modelId="{DA662452-07EE-4745-99E4-FFBED02B9E5A}" type="presOf" srcId="{92FAF9EA-5E9D-4EDE-A1D2-A430ACB086B6}" destId="{1EE40C04-7EA0-472E-BE36-1DD6025C6B9B}" srcOrd="0" destOrd="1" presId="urn:microsoft.com/office/officeart/2005/8/layout/vList6"/>
    <dgm:cxn modelId="{593C4591-063F-4136-8CFF-D3DC58192F64}" type="presOf" srcId="{1B478FE3-F73B-4E3D-B8D1-5AA6CB925E26}" destId="{5608E3AF-D028-4321-BC11-98426F79BC82}" srcOrd="0" destOrd="1" presId="urn:microsoft.com/office/officeart/2005/8/layout/vList6"/>
    <dgm:cxn modelId="{EFDD23CB-AA33-44A5-90D9-EDDF1F6D8D98}" type="presOf" srcId="{EACB2425-89DE-4235-BF68-FA3A0E6D4E25}" destId="{1DAE49C0-0FC1-445E-959E-E3D2519C7819}" srcOrd="0" destOrd="1" presId="urn:microsoft.com/office/officeart/2005/8/layout/vList6"/>
    <dgm:cxn modelId="{1770CF74-7049-46C3-A83A-26240C689B94}" srcId="{C0EEA369-96CB-444D-A3A1-EBB6B5B669FD}" destId="{44E5694C-1302-4D33-A3B2-42F4CBFEE9DE}" srcOrd="0" destOrd="0" parTransId="{9A4E0511-4C20-4824-99F7-3BB15DA96E9D}" sibTransId="{E1E61824-6363-4F4D-82CD-77826E6B1DF4}"/>
    <dgm:cxn modelId="{C6023007-9608-4275-A3A9-2FE8EEB5D232}" type="presOf" srcId="{0A4EC2CC-FEC6-4F28-99D8-4D2CBB2B0E90}" destId="{1DAE49C0-0FC1-445E-959E-E3D2519C7819}" srcOrd="0" destOrd="0" presId="urn:microsoft.com/office/officeart/2005/8/layout/vList6"/>
    <dgm:cxn modelId="{C685B6B6-6324-4E8B-BF82-8D70DACC1F26}" srcId="{CFAB6E0E-7CED-485B-83E4-E3B430FFEF06}" destId="{CF96887E-8E62-4BC2-BFD9-FED63391B695}" srcOrd="0" destOrd="0" parTransId="{B35749EB-41DD-497F-82DA-384196951246}" sibTransId="{9431888F-1531-49D2-BB8C-172D1C2187CB}"/>
    <dgm:cxn modelId="{23408AE4-36EA-4139-82AA-EB686435340C}" srcId="{C0EEA369-96CB-444D-A3A1-EBB6B5B669FD}" destId="{1B478FE3-F73B-4E3D-B8D1-5AA6CB925E26}" srcOrd="1" destOrd="0" parTransId="{A5325BFB-3BDA-4F75-9C71-034A9CF103C8}" sibTransId="{5927C315-949E-43D5-BF9B-D522285BC3EC}"/>
    <dgm:cxn modelId="{03A9C38B-6FD2-4D2D-A8B3-B58CBE8EB9E5}" srcId="{0B9A9520-9FC2-4B54-9A1B-F6D0724DC1B0}" destId="{18F344E0-4420-469D-8778-93B395F14099}" srcOrd="1" destOrd="0" parTransId="{1DDC7B81-3A2E-4CD2-8E01-0C56B3A2C10D}" sibTransId="{6EE2D380-76F0-4965-87B7-CF2337FFC00F}"/>
    <dgm:cxn modelId="{5E7E761E-2452-496C-AF83-8D3F2AEBA336}" srcId="{CCC1C5DB-3E6A-4DB3-94CF-C04468A65FB6}" destId="{CFAB6E0E-7CED-485B-83E4-E3B430FFEF06}" srcOrd="3" destOrd="0" parTransId="{5B47D498-EDDB-4976-AB5F-1DCC23595CEE}" sibTransId="{347C98D3-D108-42BB-B934-ED1138622547}"/>
    <dgm:cxn modelId="{E9F93257-FA29-476E-8EE7-3F4EBF62AE3F}" srcId="{8B837B4F-53E1-4704-8E47-48D5B79FBEAA}" destId="{0A4EC2CC-FEC6-4F28-99D8-4D2CBB2B0E90}" srcOrd="0" destOrd="0" parTransId="{6A8B355F-61EA-4B30-B3BE-7B747F2F40C3}" sibTransId="{7280F1F3-3CA2-46B3-8593-514F20F169D4}"/>
    <dgm:cxn modelId="{FBE3CD1D-434C-44EB-98D8-05F26D0E4C98}" type="presOf" srcId="{CCC1C5DB-3E6A-4DB3-94CF-C04468A65FB6}" destId="{39100055-82B3-4831-9826-0CA514C52393}" srcOrd="0" destOrd="0" presId="urn:microsoft.com/office/officeart/2005/8/layout/vList6"/>
    <dgm:cxn modelId="{A6FD2197-F643-4B73-8540-5EC87C1F4E93}" srcId="{CCC1C5DB-3E6A-4DB3-94CF-C04468A65FB6}" destId="{8B837B4F-53E1-4704-8E47-48D5B79FBEAA}" srcOrd="2" destOrd="0" parTransId="{A6D50432-974F-4389-9669-1A650E010F74}" sibTransId="{FC06DE2D-5C4C-4B97-A0D6-B5BBE13F72C2}"/>
    <dgm:cxn modelId="{0859A771-A669-41CA-9764-0081BB90D1A2}" type="presOf" srcId="{C0EEA369-96CB-444D-A3A1-EBB6B5B669FD}" destId="{2E29D316-67C2-47B8-B0F7-C17ACC213033}" srcOrd="0" destOrd="0" presId="urn:microsoft.com/office/officeart/2005/8/layout/vList6"/>
    <dgm:cxn modelId="{B085B870-92D4-47C3-91D7-0734A54D3D11}" type="presOf" srcId="{44E5694C-1302-4D33-A3B2-42F4CBFEE9DE}" destId="{5608E3AF-D028-4321-BC11-98426F79BC82}" srcOrd="0" destOrd="0" presId="urn:microsoft.com/office/officeart/2005/8/layout/vList6"/>
    <dgm:cxn modelId="{A7E78E57-B0BF-46A8-9750-A4770A89CA5C}" type="presOf" srcId="{18F344E0-4420-469D-8778-93B395F14099}" destId="{551C248E-E084-445F-9B74-1B33A1590519}" srcOrd="0" destOrd="1" presId="urn:microsoft.com/office/officeart/2005/8/layout/vList6"/>
    <dgm:cxn modelId="{AF3980D9-D1BD-4E2F-B4A5-F87FA835E0E2}" srcId="{CCC1C5DB-3E6A-4DB3-94CF-C04468A65FB6}" destId="{C0EEA369-96CB-444D-A3A1-EBB6B5B669FD}" srcOrd="0" destOrd="0" parTransId="{E6F5EA29-1B0A-489A-B880-2675E4BD092E}" sibTransId="{83B0EB0E-4B9F-44CB-A600-6C4F8DFBBE66}"/>
    <dgm:cxn modelId="{1A19C9F5-0826-47D9-A28D-F07098507A0C}" srcId="{CFAB6E0E-7CED-485B-83E4-E3B430FFEF06}" destId="{92FAF9EA-5E9D-4EDE-A1D2-A430ACB086B6}" srcOrd="1" destOrd="0" parTransId="{E1CAF1AB-06B1-4DE9-B8DF-E569C22E7BD8}" sibTransId="{FA390251-8ED2-47CC-B86E-2C77A778CE35}"/>
    <dgm:cxn modelId="{B4E5D1F7-03CA-4C74-AC1B-474973E9C839}" type="presOf" srcId="{CF96887E-8E62-4BC2-BFD9-FED63391B695}" destId="{1EE40C04-7EA0-472E-BE36-1DD6025C6B9B}" srcOrd="0" destOrd="0" presId="urn:microsoft.com/office/officeart/2005/8/layout/vList6"/>
    <dgm:cxn modelId="{9B97867F-AAE9-4390-88EB-A94F195E9B01}" type="presOf" srcId="{5D4D71A3-9D3B-4E12-AACD-5AC18CE98AE8}" destId="{551C248E-E084-445F-9B74-1B33A1590519}" srcOrd="0" destOrd="0" presId="urn:microsoft.com/office/officeart/2005/8/layout/vList6"/>
    <dgm:cxn modelId="{A8264652-92B1-4A6F-ADE4-E2434A21414E}" srcId="{0B9A9520-9FC2-4B54-9A1B-F6D0724DC1B0}" destId="{5D4D71A3-9D3B-4E12-AACD-5AC18CE98AE8}" srcOrd="0" destOrd="0" parTransId="{27B5DC5C-4E5A-42EA-A0FE-3652DE9DE6B8}" sibTransId="{651E40FA-B4C0-4E66-8756-A64B4FF9F75F}"/>
    <dgm:cxn modelId="{E30FC04A-6FEF-49AC-BFBE-E943D3072973}" srcId="{8B837B4F-53E1-4704-8E47-48D5B79FBEAA}" destId="{EACB2425-89DE-4235-BF68-FA3A0E6D4E25}" srcOrd="1" destOrd="0" parTransId="{3754DC25-355E-4701-8927-A3100CB0CF5A}" sibTransId="{CE852A02-6AE9-4486-8EAD-3AE720E4BAC7}"/>
    <dgm:cxn modelId="{FB92F1E4-6284-4E1E-AA7C-A715F3F7CA81}" type="presOf" srcId="{CFAB6E0E-7CED-485B-83E4-E3B430FFEF06}" destId="{D413708D-D979-4EC9-A4BA-DC6F42C2FD79}" srcOrd="0" destOrd="0" presId="urn:microsoft.com/office/officeart/2005/8/layout/vList6"/>
    <dgm:cxn modelId="{C6280891-D567-4D3C-9AE0-81A16A5CFC48}" type="presParOf" srcId="{39100055-82B3-4831-9826-0CA514C52393}" destId="{7ABE1FB0-21AB-4BB8-A604-94F4717ACED2}" srcOrd="0" destOrd="0" presId="urn:microsoft.com/office/officeart/2005/8/layout/vList6"/>
    <dgm:cxn modelId="{B6BC2616-DBB6-43CE-A2DC-0F4C1AE35F96}" type="presParOf" srcId="{7ABE1FB0-21AB-4BB8-A604-94F4717ACED2}" destId="{2E29D316-67C2-47B8-B0F7-C17ACC213033}" srcOrd="0" destOrd="0" presId="urn:microsoft.com/office/officeart/2005/8/layout/vList6"/>
    <dgm:cxn modelId="{F57F7EE9-84BA-4855-9F9C-E7859FCB32CF}" type="presParOf" srcId="{7ABE1FB0-21AB-4BB8-A604-94F4717ACED2}" destId="{5608E3AF-D028-4321-BC11-98426F79BC82}" srcOrd="1" destOrd="0" presId="urn:microsoft.com/office/officeart/2005/8/layout/vList6"/>
    <dgm:cxn modelId="{F1AEC6C6-28F2-42B6-B524-0B2E8F948F3F}" type="presParOf" srcId="{39100055-82B3-4831-9826-0CA514C52393}" destId="{753B01CC-9C52-46FC-8200-F80FDFC29C8E}" srcOrd="1" destOrd="0" presId="urn:microsoft.com/office/officeart/2005/8/layout/vList6"/>
    <dgm:cxn modelId="{2AD1733F-36E0-4A68-8519-A455B15973A9}" type="presParOf" srcId="{39100055-82B3-4831-9826-0CA514C52393}" destId="{B0D529A9-8389-45FA-A734-335C5F682D8B}" srcOrd="2" destOrd="0" presId="urn:microsoft.com/office/officeart/2005/8/layout/vList6"/>
    <dgm:cxn modelId="{C999357D-4603-4A8A-BB01-4B371919C694}" type="presParOf" srcId="{B0D529A9-8389-45FA-A734-335C5F682D8B}" destId="{5C773B26-C580-4874-99FA-55B206C474D1}" srcOrd="0" destOrd="0" presId="urn:microsoft.com/office/officeart/2005/8/layout/vList6"/>
    <dgm:cxn modelId="{10DC1B32-68C7-4EF8-A811-4AF70D4F5662}" type="presParOf" srcId="{B0D529A9-8389-45FA-A734-335C5F682D8B}" destId="{551C248E-E084-445F-9B74-1B33A1590519}" srcOrd="1" destOrd="0" presId="urn:microsoft.com/office/officeart/2005/8/layout/vList6"/>
    <dgm:cxn modelId="{A221F276-2D27-4D1F-8043-C5A2C74EC20F}" type="presParOf" srcId="{39100055-82B3-4831-9826-0CA514C52393}" destId="{B0E7C924-007C-4C2C-B103-CA3FD957F524}" srcOrd="3" destOrd="0" presId="urn:microsoft.com/office/officeart/2005/8/layout/vList6"/>
    <dgm:cxn modelId="{74768553-7F26-4CF1-8E72-2CFBF8573B7C}" type="presParOf" srcId="{39100055-82B3-4831-9826-0CA514C52393}" destId="{2B12E5D5-51C1-494C-B84A-56A96FD906B2}" srcOrd="4" destOrd="0" presId="urn:microsoft.com/office/officeart/2005/8/layout/vList6"/>
    <dgm:cxn modelId="{6411CF45-AD59-4A9D-844A-63F5F3D08793}" type="presParOf" srcId="{2B12E5D5-51C1-494C-B84A-56A96FD906B2}" destId="{8875E806-E743-4E58-8CB2-4A7A075475AD}" srcOrd="0" destOrd="0" presId="urn:microsoft.com/office/officeart/2005/8/layout/vList6"/>
    <dgm:cxn modelId="{D07D3AF6-D133-48D5-824E-3B954B570F80}" type="presParOf" srcId="{2B12E5D5-51C1-494C-B84A-56A96FD906B2}" destId="{1DAE49C0-0FC1-445E-959E-E3D2519C7819}" srcOrd="1" destOrd="0" presId="urn:microsoft.com/office/officeart/2005/8/layout/vList6"/>
    <dgm:cxn modelId="{9D3013E1-7C7E-4E44-BE19-5FF9E060AFE6}" type="presParOf" srcId="{39100055-82B3-4831-9826-0CA514C52393}" destId="{B2AB74DA-083E-49F6-A242-2789C073B5BD}" srcOrd="5" destOrd="0" presId="urn:microsoft.com/office/officeart/2005/8/layout/vList6"/>
    <dgm:cxn modelId="{D878BEF4-57DD-4685-80D8-FB9CD5FDEBED}" type="presParOf" srcId="{39100055-82B3-4831-9826-0CA514C52393}" destId="{F775B8EA-F2B9-4D98-8EF3-71D3BEF9D32B}" srcOrd="6" destOrd="0" presId="urn:microsoft.com/office/officeart/2005/8/layout/vList6"/>
    <dgm:cxn modelId="{9D17C73D-BF9C-4C0A-A9E2-FD279F5D3A8A}" type="presParOf" srcId="{F775B8EA-F2B9-4D98-8EF3-71D3BEF9D32B}" destId="{D413708D-D979-4EC9-A4BA-DC6F42C2FD79}" srcOrd="0" destOrd="0" presId="urn:microsoft.com/office/officeart/2005/8/layout/vList6"/>
    <dgm:cxn modelId="{5EE98E68-5FC6-4E46-A423-910E015F13D0}" type="presParOf" srcId="{F775B8EA-F2B9-4D98-8EF3-71D3BEF9D32B}" destId="{1EE40C04-7EA0-472E-BE36-1DD6025C6B9B}" srcOrd="1" destOrd="0" presId="urn:microsoft.com/office/officeart/2005/8/layout/vList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08E3AF-D028-4321-BC11-98426F79BC82}">
      <dsp:nvSpPr>
        <dsp:cNvPr id="0" name=""/>
        <dsp:cNvSpPr/>
      </dsp:nvSpPr>
      <dsp:spPr>
        <a:xfrm>
          <a:off x="4023747" y="187051"/>
          <a:ext cx="1485602" cy="791089"/>
        </a:xfrm>
        <a:prstGeom prst="rightArrow">
          <a:avLst>
            <a:gd name="adj1" fmla="val 75000"/>
            <a:gd name="adj2" fmla="val 50000"/>
          </a:avLst>
        </a:prstGeom>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0" scaled="1"/>
          <a:tileRect/>
        </a:gra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ctr" defTabSz="533400">
            <a:lnSpc>
              <a:spcPct val="90000"/>
            </a:lnSpc>
            <a:spcBef>
              <a:spcPct val="0"/>
            </a:spcBef>
            <a:spcAft>
              <a:spcPct val="15000"/>
            </a:spcAft>
            <a:buChar char="••"/>
          </a:pPr>
          <a:endParaRPr lang="en-IN" sz="1200" b="1" kern="1200">
            <a:latin typeface="Times New Roman" panose="02020603050405020304" pitchFamily="18" charset="0"/>
            <a:cs typeface="Times New Roman" panose="02020603050405020304" pitchFamily="18" charset="0"/>
          </a:endParaRPr>
        </a:p>
        <a:p>
          <a:pPr marL="57150" lvl="1" indent="-57150" algn="ctr" defTabSz="444500">
            <a:lnSpc>
              <a:spcPct val="90000"/>
            </a:lnSpc>
            <a:spcBef>
              <a:spcPct val="0"/>
            </a:spcBef>
            <a:spcAft>
              <a:spcPct val="15000"/>
            </a:spcAft>
            <a:buChar char="••"/>
          </a:pPr>
          <a:r>
            <a:rPr lang="en-IN" sz="1000" b="1" kern="1200">
              <a:latin typeface="Arial" pitchFamily="34" charset="0"/>
              <a:cs typeface="Arial" pitchFamily="34" charset="0"/>
            </a:rPr>
            <a:t>Sensitivity</a:t>
          </a:r>
        </a:p>
      </dsp:txBody>
      <dsp:txXfrm>
        <a:off x="4023747" y="285937"/>
        <a:ext cx="1188944" cy="593317"/>
      </dsp:txXfrm>
    </dsp:sp>
    <dsp:sp modelId="{2E29D316-67C2-47B8-B0F7-C17ACC213033}">
      <dsp:nvSpPr>
        <dsp:cNvPr id="0" name=""/>
        <dsp:cNvSpPr/>
      </dsp:nvSpPr>
      <dsp:spPr>
        <a:xfrm>
          <a:off x="2449" y="2185"/>
          <a:ext cx="4021297" cy="1160821"/>
        </a:xfrm>
        <a:prstGeom prst="roundRect">
          <a:avLst/>
        </a:prstGeom>
        <a:solidFill>
          <a:srgbClr val="CC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just" defTabSz="444500">
            <a:lnSpc>
              <a:spcPct val="90000"/>
            </a:lnSpc>
            <a:spcBef>
              <a:spcPct val="0"/>
            </a:spcBef>
            <a:spcAft>
              <a:spcPct val="35000"/>
            </a:spcAft>
          </a:pPr>
          <a:r>
            <a:rPr lang="en-IN" sz="1000" kern="1200">
              <a:latin typeface="Arial" pitchFamily="34" charset="0"/>
              <a:cs typeface="Arial" pitchFamily="34" charset="0"/>
            </a:rPr>
            <a:t>The ability of NALF strips to detect the target nucleic acid sequence at low concentrations is critical. Zhang </a:t>
          </a:r>
          <a:r>
            <a:rPr lang="en-IN" sz="1000" i="1" kern="1200">
              <a:latin typeface="Arial" pitchFamily="34" charset="0"/>
              <a:cs typeface="Arial" pitchFamily="34" charset="0"/>
            </a:rPr>
            <a:t>et al</a:t>
          </a:r>
          <a:r>
            <a:rPr lang="en-IN" sz="1000" kern="1200">
              <a:latin typeface="Arial" pitchFamily="34" charset="0"/>
              <a:cs typeface="Arial" pitchFamily="34" charset="0"/>
            </a:rPr>
            <a:t>. (2019) emphasize that a highly sensitive assay can detect even trace amounts of the pathogen, allowing for early detection of infection. Furthermore, Hu </a:t>
          </a:r>
          <a:r>
            <a:rPr lang="en-IN" sz="1000" i="1" kern="1200">
              <a:latin typeface="Arial" pitchFamily="34" charset="0"/>
              <a:cs typeface="Arial" pitchFamily="34" charset="0"/>
            </a:rPr>
            <a:t>et al.</a:t>
          </a:r>
          <a:r>
            <a:rPr lang="en-IN" sz="1000" kern="1200">
              <a:latin typeface="Arial" pitchFamily="34" charset="0"/>
              <a:cs typeface="Arial" pitchFamily="34" charset="0"/>
            </a:rPr>
            <a:t> (2020) highlight the significance of high sensitivity in NALF assays for detecting food contaminants</a:t>
          </a:r>
          <a:r>
            <a:rPr lang="en-IN" sz="1200" kern="1200"/>
            <a:t>. </a:t>
          </a:r>
        </a:p>
      </dsp:txBody>
      <dsp:txXfrm>
        <a:off x="59116" y="58852"/>
        <a:ext cx="3907963" cy="1047487"/>
      </dsp:txXfrm>
    </dsp:sp>
    <dsp:sp modelId="{551C248E-E084-445F-9B74-1B33A1590519}">
      <dsp:nvSpPr>
        <dsp:cNvPr id="0" name=""/>
        <dsp:cNvSpPr/>
      </dsp:nvSpPr>
      <dsp:spPr>
        <a:xfrm>
          <a:off x="4028333" y="1418702"/>
          <a:ext cx="1482372" cy="791089"/>
        </a:xfrm>
        <a:prstGeom prst="rightArrow">
          <a:avLst>
            <a:gd name="adj1" fmla="val 75000"/>
            <a:gd name="adj2" fmla="val 50000"/>
          </a:avLst>
        </a:prstGeom>
        <a:gradFill flip="none" rotWithShape="0">
          <a:gsLst>
            <a:gs pos="0">
              <a:srgbClr val="008000">
                <a:tint val="66000"/>
                <a:satMod val="160000"/>
              </a:srgbClr>
            </a:gs>
            <a:gs pos="50000">
              <a:srgbClr val="008000">
                <a:tint val="44500"/>
                <a:satMod val="160000"/>
              </a:srgbClr>
            </a:gs>
            <a:gs pos="100000">
              <a:srgbClr val="008000">
                <a:tint val="23500"/>
                <a:satMod val="160000"/>
              </a:srgbClr>
            </a:gs>
          </a:gsLst>
          <a:lin ang="0" scaled="1"/>
          <a:tileRect/>
        </a:gra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ctr" defTabSz="533400">
            <a:lnSpc>
              <a:spcPct val="90000"/>
            </a:lnSpc>
            <a:spcBef>
              <a:spcPct val="0"/>
            </a:spcBef>
            <a:spcAft>
              <a:spcPct val="15000"/>
            </a:spcAft>
            <a:buChar char="••"/>
          </a:pPr>
          <a:endParaRPr lang="en-IN" sz="1200" b="1" kern="1200">
            <a:latin typeface="Times New Roman" panose="02020603050405020304" pitchFamily="18" charset="0"/>
            <a:cs typeface="Times New Roman" panose="02020603050405020304" pitchFamily="18" charset="0"/>
          </a:endParaRPr>
        </a:p>
        <a:p>
          <a:pPr marL="57150" lvl="1" indent="-57150" algn="ctr" defTabSz="444500">
            <a:lnSpc>
              <a:spcPct val="90000"/>
            </a:lnSpc>
            <a:spcBef>
              <a:spcPct val="0"/>
            </a:spcBef>
            <a:spcAft>
              <a:spcPct val="15000"/>
            </a:spcAft>
            <a:buChar char="••"/>
          </a:pPr>
          <a:r>
            <a:rPr lang="en-IN" sz="1000" b="1" kern="1200">
              <a:latin typeface="Arial" pitchFamily="34" charset="0"/>
              <a:cs typeface="Arial" pitchFamily="34" charset="0"/>
            </a:rPr>
            <a:t>Specificity</a:t>
          </a:r>
        </a:p>
      </dsp:txBody>
      <dsp:txXfrm>
        <a:off x="4028333" y="1517588"/>
        <a:ext cx="1185714" cy="593317"/>
      </dsp:txXfrm>
    </dsp:sp>
    <dsp:sp modelId="{5C773B26-C580-4874-99FA-55B206C474D1}">
      <dsp:nvSpPr>
        <dsp:cNvPr id="0" name=""/>
        <dsp:cNvSpPr/>
      </dsp:nvSpPr>
      <dsp:spPr>
        <a:xfrm>
          <a:off x="1093" y="1242115"/>
          <a:ext cx="4027240" cy="1144263"/>
        </a:xfrm>
        <a:prstGeom prst="roundRect">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just" defTabSz="444500">
            <a:lnSpc>
              <a:spcPct val="90000"/>
            </a:lnSpc>
            <a:spcBef>
              <a:spcPct val="0"/>
            </a:spcBef>
            <a:spcAft>
              <a:spcPct val="35000"/>
            </a:spcAft>
          </a:pPr>
          <a:r>
            <a:rPr lang="en-IN" sz="1000" kern="1200">
              <a:latin typeface="Arial" pitchFamily="34" charset="0"/>
              <a:cs typeface="Arial" pitchFamily="34" charset="0"/>
            </a:rPr>
            <a:t>The specificity of the NALF strip indicates its ability to distinguish precisely between the pathogen's nucleic acids and other potential targets in the sample. A highly specific assay, as highlighted in the Niemz </a:t>
          </a:r>
          <a:r>
            <a:rPr lang="en-IN" sz="1000" i="1" kern="1200">
              <a:latin typeface="Arial" pitchFamily="34" charset="0"/>
              <a:cs typeface="Arial" pitchFamily="34" charset="0"/>
            </a:rPr>
            <a:t>et al</a:t>
          </a:r>
          <a:r>
            <a:rPr lang="en-IN" sz="1000" kern="1200">
              <a:latin typeface="Arial" pitchFamily="34" charset="0"/>
              <a:cs typeface="Arial" pitchFamily="34" charset="0"/>
            </a:rPr>
            <a:t>. (2011) study, reduces the likelihood of false-positive results, ensuring precise diagnosis and avoiding unnecessary controls</a:t>
          </a:r>
          <a:r>
            <a:rPr lang="en-IN" sz="1200" kern="1200">
              <a:latin typeface="Times New Roman" panose="02020603050405020304" pitchFamily="18" charset="0"/>
              <a:cs typeface="Times New Roman" panose="02020603050405020304" pitchFamily="18" charset="0"/>
            </a:rPr>
            <a:t>. </a:t>
          </a:r>
          <a:endParaRPr lang="en-IN" sz="1200" kern="1200"/>
        </a:p>
      </dsp:txBody>
      <dsp:txXfrm>
        <a:off x="56951" y="1297973"/>
        <a:ext cx="3915524" cy="1032547"/>
      </dsp:txXfrm>
    </dsp:sp>
    <dsp:sp modelId="{1DAE49C0-0FC1-445E-959E-E3D2519C7819}">
      <dsp:nvSpPr>
        <dsp:cNvPr id="0" name=""/>
        <dsp:cNvSpPr/>
      </dsp:nvSpPr>
      <dsp:spPr>
        <a:xfrm>
          <a:off x="4034183" y="2641276"/>
          <a:ext cx="1475913" cy="791089"/>
        </a:xfrm>
        <a:prstGeom prst="rightArrow">
          <a:avLst>
            <a:gd name="adj1" fmla="val 75000"/>
            <a:gd name="adj2" fmla="val 50000"/>
          </a:avLst>
        </a:prstGeom>
        <a:gradFill flip="none" rotWithShape="0">
          <a:gsLst>
            <a:gs pos="0">
              <a:srgbClr val="800080">
                <a:tint val="66000"/>
                <a:satMod val="160000"/>
              </a:srgbClr>
            </a:gs>
            <a:gs pos="50000">
              <a:srgbClr val="800080">
                <a:tint val="44500"/>
                <a:satMod val="160000"/>
              </a:srgbClr>
            </a:gs>
            <a:gs pos="100000">
              <a:srgbClr val="800080">
                <a:tint val="23500"/>
                <a:satMod val="160000"/>
              </a:srgbClr>
            </a:gs>
          </a:gsLst>
          <a:lin ang="0" scaled="1"/>
          <a:tileRect/>
        </a:gra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ctr" defTabSz="533400">
            <a:lnSpc>
              <a:spcPct val="90000"/>
            </a:lnSpc>
            <a:spcBef>
              <a:spcPct val="0"/>
            </a:spcBef>
            <a:spcAft>
              <a:spcPct val="15000"/>
            </a:spcAft>
            <a:buChar char="••"/>
          </a:pPr>
          <a:endParaRPr lang="en-IN" sz="1200" b="1" kern="1200">
            <a:latin typeface="Times New Roman" panose="02020603050405020304" pitchFamily="18" charset="0"/>
            <a:cs typeface="Times New Roman" panose="02020603050405020304" pitchFamily="18" charset="0"/>
          </a:endParaRPr>
        </a:p>
        <a:p>
          <a:pPr marL="57150" lvl="1" indent="-57150" algn="ctr" defTabSz="444500">
            <a:lnSpc>
              <a:spcPct val="90000"/>
            </a:lnSpc>
            <a:spcBef>
              <a:spcPct val="0"/>
            </a:spcBef>
            <a:spcAft>
              <a:spcPct val="15000"/>
            </a:spcAft>
            <a:buChar char="••"/>
          </a:pPr>
          <a:r>
            <a:rPr lang="en-IN" sz="1000" b="1" kern="1200">
              <a:latin typeface="Arial" pitchFamily="34" charset="0"/>
              <a:cs typeface="Arial" pitchFamily="34" charset="0"/>
            </a:rPr>
            <a:t>Accuracy</a:t>
          </a:r>
        </a:p>
      </dsp:txBody>
      <dsp:txXfrm>
        <a:off x="4034183" y="2740162"/>
        <a:ext cx="1179255" cy="593317"/>
      </dsp:txXfrm>
    </dsp:sp>
    <dsp:sp modelId="{8875E806-E743-4E58-8CB2-4A7A075475AD}">
      <dsp:nvSpPr>
        <dsp:cNvPr id="0" name=""/>
        <dsp:cNvSpPr/>
      </dsp:nvSpPr>
      <dsp:spPr>
        <a:xfrm>
          <a:off x="5" y="2454824"/>
          <a:ext cx="4032481" cy="1142665"/>
        </a:xfrm>
        <a:prstGeom prst="roundRect">
          <a:avLst/>
        </a:prstGeom>
        <a:solidFill>
          <a:srgbClr val="80008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just" defTabSz="444500">
            <a:lnSpc>
              <a:spcPct val="90000"/>
            </a:lnSpc>
            <a:spcBef>
              <a:spcPct val="0"/>
            </a:spcBef>
            <a:spcAft>
              <a:spcPct val="35000"/>
            </a:spcAft>
          </a:pPr>
          <a:r>
            <a:rPr lang="en-IN" sz="1000" kern="1200">
              <a:latin typeface="Arial" pitchFamily="34" charset="0"/>
              <a:cs typeface="Arial" pitchFamily="34" charset="0"/>
            </a:rPr>
            <a:t>The accuracy of the NALF strip reflects its overall precision in detecting the infection, taking into account both sensitivity and specificity. An assay with high accuracy, as demonstrated in the study by Esbin </a:t>
          </a:r>
          <a:r>
            <a:rPr lang="en-IN" sz="1000" i="1" kern="1200">
              <a:latin typeface="Arial" pitchFamily="34" charset="0"/>
              <a:cs typeface="Arial" pitchFamily="34" charset="0"/>
            </a:rPr>
            <a:t>et al. </a:t>
          </a:r>
          <a:r>
            <a:rPr lang="en-IN" sz="1000" kern="1200">
              <a:latin typeface="Arial" pitchFamily="34" charset="0"/>
              <a:cs typeface="Arial" pitchFamily="34" charset="0"/>
            </a:rPr>
            <a:t>(2020), produces consistent results, lowering the likelihood of both false-positive and false-negative diagnoses</a:t>
          </a:r>
          <a:r>
            <a:rPr lang="en-IN" sz="1200" kern="1200">
              <a:latin typeface="Times New Roman" panose="02020603050405020304" pitchFamily="18" charset="0"/>
              <a:cs typeface="Times New Roman" panose="02020603050405020304" pitchFamily="18" charset="0"/>
            </a:rPr>
            <a:t>. </a:t>
          </a:r>
        </a:p>
      </dsp:txBody>
      <dsp:txXfrm>
        <a:off x="55785" y="2510604"/>
        <a:ext cx="3920921" cy="1031105"/>
      </dsp:txXfrm>
    </dsp:sp>
    <dsp:sp modelId="{1EE40C04-7EA0-472E-BE36-1DD6025C6B9B}">
      <dsp:nvSpPr>
        <dsp:cNvPr id="0" name=""/>
        <dsp:cNvSpPr/>
      </dsp:nvSpPr>
      <dsp:spPr>
        <a:xfrm>
          <a:off x="4011135" y="3893551"/>
          <a:ext cx="1498520" cy="777949"/>
        </a:xfrm>
        <a:prstGeom prst="rightArrow">
          <a:avLst>
            <a:gd name="adj1" fmla="val 75000"/>
            <a:gd name="adj2" fmla="val 50000"/>
          </a:avLst>
        </a:prstGeom>
        <a:gradFill flip="none" rotWithShape="0">
          <a:gsLst>
            <a:gs pos="0">
              <a:srgbClr val="003366">
                <a:tint val="66000"/>
                <a:satMod val="160000"/>
              </a:srgbClr>
            </a:gs>
            <a:gs pos="50000">
              <a:srgbClr val="003366">
                <a:tint val="44500"/>
                <a:satMod val="160000"/>
              </a:srgbClr>
            </a:gs>
            <a:gs pos="100000">
              <a:srgbClr val="003366">
                <a:tint val="23500"/>
                <a:satMod val="160000"/>
              </a:srgbClr>
            </a:gs>
          </a:gsLst>
          <a:lin ang="0" scaled="1"/>
          <a:tileRect/>
        </a:gra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ctr" defTabSz="533400">
            <a:lnSpc>
              <a:spcPct val="90000"/>
            </a:lnSpc>
            <a:spcBef>
              <a:spcPct val="0"/>
            </a:spcBef>
            <a:spcAft>
              <a:spcPct val="15000"/>
            </a:spcAft>
            <a:buChar char="••"/>
          </a:pPr>
          <a:endParaRPr lang="en-IN" sz="1200" b="1" kern="1200">
            <a:latin typeface="Times New Roman" panose="02020603050405020304" pitchFamily="18" charset="0"/>
            <a:cs typeface="Times New Roman" panose="02020603050405020304" pitchFamily="18" charset="0"/>
          </a:endParaRPr>
        </a:p>
        <a:p>
          <a:pPr marL="57150" lvl="1" indent="-57150" algn="ctr" defTabSz="444500">
            <a:lnSpc>
              <a:spcPct val="90000"/>
            </a:lnSpc>
            <a:spcBef>
              <a:spcPct val="0"/>
            </a:spcBef>
            <a:spcAft>
              <a:spcPct val="15000"/>
            </a:spcAft>
            <a:buChar char="••"/>
          </a:pPr>
          <a:r>
            <a:rPr lang="en-IN" sz="1000" b="1" kern="1200">
              <a:latin typeface="Arial" pitchFamily="34" charset="0"/>
              <a:cs typeface="Arial" pitchFamily="34" charset="0"/>
            </a:rPr>
            <a:t>Limit of Detection</a:t>
          </a:r>
        </a:p>
      </dsp:txBody>
      <dsp:txXfrm>
        <a:off x="4011135" y="3990795"/>
        <a:ext cx="1206789" cy="583461"/>
      </dsp:txXfrm>
    </dsp:sp>
    <dsp:sp modelId="{D413708D-D979-4EC9-A4BA-DC6F42C2FD79}">
      <dsp:nvSpPr>
        <dsp:cNvPr id="0" name=""/>
        <dsp:cNvSpPr/>
      </dsp:nvSpPr>
      <dsp:spPr>
        <a:xfrm>
          <a:off x="2143" y="3687263"/>
          <a:ext cx="4008992" cy="1190526"/>
        </a:xfrm>
        <a:prstGeom prst="roundRect">
          <a:avLst/>
        </a:prstGeom>
        <a:solidFill>
          <a:srgbClr val="00336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just" defTabSz="444500">
            <a:lnSpc>
              <a:spcPct val="90000"/>
            </a:lnSpc>
            <a:spcBef>
              <a:spcPct val="0"/>
            </a:spcBef>
            <a:spcAft>
              <a:spcPct val="35000"/>
            </a:spcAft>
          </a:pPr>
          <a:r>
            <a:rPr lang="en-IN" sz="1000" kern="1200">
              <a:latin typeface="Arial" pitchFamily="34" charset="0"/>
              <a:cs typeface="Arial" pitchFamily="34" charset="0"/>
            </a:rPr>
            <a:t>The limit of detection (LOD) refers to the lowest concentration of nucleic acid of the pathogen that the NALF strip can accurately identify. A lower limit of detection (LOD), as emphasized by Zhang </a:t>
          </a:r>
          <a:r>
            <a:rPr lang="en-IN" sz="1000" i="1" kern="1200">
              <a:latin typeface="Arial" pitchFamily="34" charset="0"/>
              <a:cs typeface="Arial" pitchFamily="34" charset="0"/>
            </a:rPr>
            <a:t>et al</a:t>
          </a:r>
          <a:r>
            <a:rPr lang="en-IN" sz="1000" kern="1200">
              <a:latin typeface="Arial" pitchFamily="34" charset="0"/>
              <a:cs typeface="Arial" pitchFamily="34" charset="0"/>
            </a:rPr>
            <a:t>. (2020), corresponds to increased sensitivity, indicating that the assay can detect the pathogen even in the early stages of infection. </a:t>
          </a:r>
        </a:p>
      </dsp:txBody>
      <dsp:txXfrm>
        <a:off x="60260" y="3745380"/>
        <a:ext cx="3892758" cy="1074292"/>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C368A-7615-4012-809B-8B64E552C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3547</Words>
  <Characters>20223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nathindrani8@gmail.com</dc:creator>
  <cp:lastModifiedBy>hh</cp:lastModifiedBy>
  <cp:revision>2</cp:revision>
  <dcterms:created xsi:type="dcterms:W3CDTF">2025-05-26T17:51:00Z</dcterms:created>
  <dcterms:modified xsi:type="dcterms:W3CDTF">2025-05-26T17:51:00Z</dcterms:modified>
</cp:coreProperties>
</file>