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26235">
      <w:pPr>
        <w:ind w:firstLine="0"/>
        <w:jc w:val="center"/>
        <w:rPr>
          <w:rFonts w:ascii="Arial" w:hAnsi="Arial" w:cs="Arial"/>
          <w:b/>
        </w:rPr>
      </w:pPr>
      <w:r>
        <w:rPr>
          <w:rFonts w:ascii="Arial" w:hAnsi="Arial" w:cs="Arial"/>
          <w:b/>
        </w:rPr>
        <w:t>ENHANCING SILKWORM PUPAE NUTRITION BY FERMENTATION: PROXIMATE AND AMINO ACID ANALYSIS</w:t>
      </w:r>
    </w:p>
    <w:p w14:paraId="228FF872">
      <w:pPr>
        <w:ind w:firstLine="0"/>
        <w:rPr>
          <w:rFonts w:ascii="Arial" w:hAnsi="Arial" w:cs="Arial"/>
          <w:b/>
        </w:rPr>
      </w:pPr>
      <w:r>
        <w:rPr>
          <w:rFonts w:ascii="Arial" w:hAnsi="Arial" w:cs="Arial"/>
          <w:b/>
        </w:rPr>
        <w:t xml:space="preserve">ABSTRACT: </w:t>
      </w:r>
    </w:p>
    <w:p w14:paraId="083AFE31">
      <w:pPr>
        <w:ind w:firstLine="284"/>
        <w:rPr>
          <w:rFonts w:ascii="Arial" w:hAnsi="Arial" w:cs="Arial"/>
        </w:rPr>
      </w:pPr>
      <w:r>
        <w:rPr>
          <w:rFonts w:ascii="Arial" w:hAnsi="Arial" w:cs="Arial"/>
        </w:rPr>
        <w:t xml:space="preserve">Silkworm pupae (SWP) are recognized for their potential as a protein source in animal feeds, and their nutritional value can be further enhanced through fermentation. This study investigated the effects of fermentation using </w:t>
      </w:r>
      <w:r>
        <w:rPr>
          <w:rFonts w:ascii="Arial" w:hAnsi="Arial" w:cs="Arial"/>
          <w:i/>
        </w:rPr>
        <w:t>Lactobacillus casei</w:t>
      </w:r>
      <w:r>
        <w:rPr>
          <w:rFonts w:ascii="Arial" w:hAnsi="Arial" w:cs="Arial"/>
        </w:rPr>
        <w:t xml:space="preserve"> and </w:t>
      </w:r>
      <w:r>
        <w:rPr>
          <w:rFonts w:ascii="Arial" w:hAnsi="Arial" w:cs="Arial"/>
          <w:i/>
        </w:rPr>
        <w:t>Saccharomyces cerevisiae</w:t>
      </w:r>
      <w:r>
        <w:rPr>
          <w:rFonts w:ascii="Arial" w:hAnsi="Arial" w:cs="Arial"/>
        </w:rPr>
        <w:t xml:space="preserve"> on the nutritional profile of silkworm pupae. We compared the nutritional composition of three types of silkworm pupae: </w:t>
      </w:r>
      <w:commentRangeStart w:id="0"/>
      <w:r>
        <w:rPr>
          <w:rFonts w:ascii="Arial" w:hAnsi="Arial" w:cs="Arial"/>
        </w:rPr>
        <w:t>non deoiled</w:t>
      </w:r>
      <w:commentRangeEnd w:id="0"/>
      <w:r>
        <w:commentReference w:id="0"/>
      </w:r>
      <w:r>
        <w:rPr>
          <w:rFonts w:ascii="Arial" w:hAnsi="Arial" w:cs="Arial"/>
        </w:rPr>
        <w:t xml:space="preserve">, deoiled, and fermented. The analysis revealed that fermentation significantly increased protein content by 33% compared to </w:t>
      </w:r>
      <w:commentRangeStart w:id="1"/>
      <w:r>
        <w:rPr>
          <w:rFonts w:ascii="Arial" w:hAnsi="Arial" w:cs="Arial"/>
        </w:rPr>
        <w:t>non deoiled</w:t>
      </w:r>
      <w:commentRangeEnd w:id="1"/>
      <w:r>
        <w:commentReference w:id="1"/>
      </w:r>
      <w:r>
        <w:rPr>
          <w:rFonts w:ascii="Arial" w:hAnsi="Arial" w:cs="Arial"/>
        </w:rPr>
        <w:t xml:space="preserve"> silkworm pupae and by 15% compared to deoiled silkworm pupae. Beyond protein enhancement, fermentation also induced changes in other nutrient levels and the amino acid composition of the pupae. These results indicate that fermented silkworm pupae could serve as a valuable alternative protein source in aquaculture and poultry feeds, potentially </w:t>
      </w:r>
      <w:commentRangeStart w:id="2"/>
      <w:r>
        <w:rPr>
          <w:rFonts w:ascii="Arial" w:hAnsi="Arial" w:cs="Arial"/>
        </w:rPr>
        <w:t xml:space="preserve">boosting </w:t>
      </w:r>
      <w:commentRangeEnd w:id="2"/>
      <w:r>
        <w:commentReference w:id="2"/>
      </w:r>
      <w:r>
        <w:rPr>
          <w:rFonts w:ascii="Arial" w:hAnsi="Arial" w:cs="Arial"/>
        </w:rPr>
        <w:t xml:space="preserve">the nutritional quality and efficiency of feed formulations and </w:t>
      </w:r>
      <w:commentRangeStart w:id="3"/>
      <w:r>
        <w:rPr>
          <w:rFonts w:ascii="Arial" w:hAnsi="Arial" w:cs="Arial"/>
        </w:rPr>
        <w:t>thus</w:t>
      </w:r>
      <w:commentRangeEnd w:id="3"/>
      <w:r>
        <w:commentReference w:id="3"/>
      </w:r>
      <w:r>
        <w:rPr>
          <w:rFonts w:ascii="Arial" w:hAnsi="Arial" w:cs="Arial"/>
        </w:rPr>
        <w:t xml:space="preserve"> reducing</w:t>
      </w:r>
      <w:commentRangeStart w:id="4"/>
      <w:r>
        <w:rPr>
          <w:rFonts w:ascii="Arial" w:hAnsi="Arial" w:cs="Arial"/>
        </w:rPr>
        <w:t xml:space="preserve"> the cost.</w:t>
      </w:r>
      <w:commentRangeEnd w:id="4"/>
      <w:r>
        <w:commentReference w:id="4"/>
      </w:r>
    </w:p>
    <w:p w14:paraId="5A3649EF">
      <w:pPr>
        <w:ind w:firstLine="0"/>
        <w:rPr>
          <w:rFonts w:ascii="Arial" w:hAnsi="Arial" w:cs="Arial"/>
          <w:b/>
        </w:rPr>
      </w:pPr>
      <w:r>
        <w:rPr>
          <w:rFonts w:ascii="Arial" w:hAnsi="Arial" w:cs="Arial"/>
          <w:b/>
          <w:i/>
        </w:rPr>
        <w:t>KEYWORDS:</w:t>
      </w:r>
      <w:r>
        <w:rPr>
          <w:rFonts w:ascii="Arial" w:hAnsi="Arial" w:cs="Arial"/>
          <w:b/>
        </w:rPr>
        <w:t xml:space="preserve"> </w:t>
      </w:r>
      <w:r>
        <w:rPr>
          <w:rFonts w:ascii="Arial" w:hAnsi="Arial" w:cs="Arial"/>
          <w:b/>
          <w:i/>
        </w:rPr>
        <w:t>Fermentation, fermented silkworm pupae, nutritional content, alternative protein.</w:t>
      </w:r>
    </w:p>
    <w:p w14:paraId="6FBF2F23">
      <w:pPr>
        <w:pStyle w:val="12"/>
        <w:numPr>
          <w:ilvl w:val="0"/>
          <w:numId w:val="1"/>
        </w:numPr>
        <w:jc w:val="left"/>
        <w:rPr>
          <w:rFonts w:ascii="Arial" w:hAnsi="Arial" w:cs="Arial"/>
          <w:b/>
        </w:rPr>
      </w:pPr>
      <w:commentRangeStart w:id="5"/>
      <w:r>
        <w:rPr>
          <w:rFonts w:ascii="Arial" w:hAnsi="Arial" w:cs="Arial"/>
          <w:b/>
        </w:rPr>
        <w:t>INTRODUCTION</w:t>
      </w:r>
      <w:commentRangeEnd w:id="5"/>
      <w:r>
        <w:commentReference w:id="5"/>
      </w:r>
    </w:p>
    <w:p w14:paraId="14803F57">
      <w:pPr>
        <w:ind w:firstLine="284"/>
        <w:rPr>
          <w:rFonts w:ascii="Arial" w:hAnsi="Arial" w:cs="Arial"/>
          <w:sz w:val="20"/>
          <w:szCs w:val="20"/>
        </w:rPr>
      </w:pPr>
      <w:r>
        <w:rPr>
          <w:rFonts w:ascii="Arial" w:hAnsi="Arial" w:cs="Arial"/>
          <w:sz w:val="20"/>
          <w:szCs w:val="20"/>
        </w:rPr>
        <w:t>Silkworms are renowned for their efficiency in large-scale silk thread production. Among the various silkworm species, the mulberry silkworm (</w:t>
      </w:r>
      <w:r>
        <w:rPr>
          <w:rStyle w:val="6"/>
          <w:rFonts w:ascii="Arial" w:hAnsi="Arial" w:cs="Arial"/>
          <w:sz w:val="20"/>
          <w:szCs w:val="20"/>
        </w:rPr>
        <w:t>Bombyx mori L.</w:t>
      </w:r>
      <w:r>
        <w:rPr>
          <w:rFonts w:ascii="Arial" w:hAnsi="Arial" w:cs="Arial"/>
          <w:sz w:val="20"/>
          <w:szCs w:val="20"/>
        </w:rPr>
        <w:t xml:space="preserve">) is predominantly used in sericulture. These insects are economically significant due to their role as primary producers of silk </w:t>
      </w:r>
      <w:commentRangeStart w:id="6"/>
      <w:r>
        <w:rPr>
          <w:rFonts w:ascii="Arial" w:hAnsi="Arial" w:cs="Arial"/>
          <w:sz w:val="20"/>
          <w:szCs w:val="20"/>
        </w:rPr>
        <w:t>(cocoon)</w:t>
      </w:r>
      <w:commentRangeEnd w:id="6"/>
      <w:r>
        <w:commentReference w:id="6"/>
      </w:r>
      <w:r>
        <w:rPr>
          <w:rFonts w:ascii="Arial" w:hAnsi="Arial" w:cs="Arial"/>
          <w:sz w:val="20"/>
          <w:szCs w:val="20"/>
        </w:rPr>
        <w:t>. However, the by-product of this process, silkworm pupae, which are collected after the silk threads are reeled from the cocoons, is not widely recognized by consumers. Despite being typically discarded, these pupae are highly valuable due to their rich content of amino acids, oil, carbohydrates, and minerals. The substantial volume of waste generated during the silk reeling process in India presents an opportunity to repurpose this by-product as a high-value raw material for various applications, including animal nutrition.</w:t>
      </w:r>
    </w:p>
    <w:p w14:paraId="170A9632">
      <w:pPr>
        <w:ind w:firstLine="284"/>
        <w:rPr>
          <w:rFonts w:ascii="Arial" w:hAnsi="Arial" w:cs="Arial"/>
          <w:sz w:val="20"/>
          <w:szCs w:val="20"/>
        </w:rPr>
      </w:pPr>
      <w:r>
        <w:rPr>
          <w:rFonts w:ascii="Arial" w:hAnsi="Arial" w:cs="Arial"/>
          <w:sz w:val="20"/>
          <w:szCs w:val="20"/>
        </w:rPr>
        <w:t>India is the second-largest producer of silk globally, trailing only China. According to the Central Silk Board of India's Annual Report for 2021-22, the production of raw mulberry silk was 34,903 metric tons, resulting in approximately 20,941 metric tons of silkworm pupal waste. Effective utilization of this by-product could provide a substantial source of silkworm pupal protein, which is suitable for fortifying animal and human feeds, given its amino acid profile meets FAO/WHO/UNO standards.</w:t>
      </w:r>
    </w:p>
    <w:p w14:paraId="0C30A860">
      <w:pPr>
        <w:ind w:firstLine="284"/>
        <w:rPr>
          <w:rFonts w:ascii="Arial" w:hAnsi="Arial" w:cs="Arial"/>
          <w:sz w:val="20"/>
          <w:szCs w:val="20"/>
        </w:rPr>
      </w:pPr>
      <w:r>
        <w:rPr>
          <w:rFonts w:ascii="Arial" w:hAnsi="Arial" w:cs="Arial"/>
          <w:sz w:val="20"/>
          <w:szCs w:val="20"/>
        </w:rPr>
        <w:t>Silkworm pupae are rich in proteins and fats, and contain notable amounts of moisture, fiber, and ash</w:t>
      </w:r>
      <w:r>
        <w:rPr>
          <w:rFonts w:hint="default" w:ascii="Arial" w:hAnsi="Arial" w:cs="Arial"/>
          <w:sz w:val="20"/>
          <w:szCs w:val="20"/>
          <w:lang w:val="en-US"/>
        </w:rPr>
        <w:t xml:space="preserve"> </w:t>
      </w:r>
      <w:r>
        <w:rPr>
          <w:rFonts w:hint="default" w:ascii="Arial" w:hAnsi="Arial" w:cs="Arial"/>
          <w:b/>
          <w:bCs/>
          <w:sz w:val="20"/>
          <w:szCs w:val="20"/>
          <w:lang w:val="en-US"/>
        </w:rPr>
        <w:t xml:space="preserve">Elyamani </w:t>
      </w:r>
      <w:r>
        <w:rPr>
          <w:rFonts w:hint="default" w:ascii="Arial" w:hAnsi="Arial" w:cs="Arial"/>
          <w:b/>
          <w:bCs/>
          <w:i/>
          <w:iCs/>
          <w:sz w:val="20"/>
          <w:szCs w:val="20"/>
          <w:lang w:val="en-US"/>
        </w:rPr>
        <w:t>et al.,</w:t>
      </w:r>
      <w:r>
        <w:rPr>
          <w:rFonts w:hint="default" w:ascii="Arial" w:hAnsi="Arial" w:cs="Arial"/>
          <w:b/>
          <w:bCs/>
          <w:sz w:val="20"/>
          <w:szCs w:val="20"/>
          <w:lang w:val="en-US"/>
        </w:rPr>
        <w:t xml:space="preserve"> 2025</w:t>
      </w:r>
      <w:commentRangeStart w:id="7"/>
      <w:r>
        <w:rPr>
          <w:rFonts w:ascii="Arial" w:hAnsi="Arial" w:cs="Arial"/>
          <w:sz w:val="20"/>
          <w:szCs w:val="20"/>
        </w:rPr>
        <w:t>.</w:t>
      </w:r>
      <w:commentRangeEnd w:id="7"/>
      <w:r>
        <w:commentReference w:id="7"/>
      </w:r>
      <w:r>
        <w:rPr>
          <w:rFonts w:ascii="Arial" w:hAnsi="Arial" w:cs="Arial"/>
          <w:sz w:val="20"/>
          <w:szCs w:val="20"/>
        </w:rPr>
        <w:t xml:space="preserve"> Recent research </w:t>
      </w:r>
      <w:commentRangeStart w:id="8"/>
      <w:r>
        <w:rPr>
          <w:rFonts w:ascii="Arial" w:hAnsi="Arial" w:cs="Arial"/>
          <w:sz w:val="20"/>
          <w:szCs w:val="20"/>
        </w:rPr>
        <w:t xml:space="preserve">indicates </w:t>
      </w:r>
      <w:commentRangeEnd w:id="8"/>
      <w:r>
        <w:commentReference w:id="8"/>
      </w:r>
      <w:r>
        <w:rPr>
          <w:rFonts w:ascii="Arial" w:hAnsi="Arial" w:cs="Arial"/>
          <w:sz w:val="20"/>
          <w:szCs w:val="20"/>
        </w:rPr>
        <w:t xml:space="preserve">that </w:t>
      </w:r>
      <w:commentRangeStart w:id="9"/>
      <w:r>
        <w:rPr>
          <w:rFonts w:ascii="Arial" w:hAnsi="Arial" w:cs="Arial"/>
          <w:sz w:val="20"/>
          <w:szCs w:val="20"/>
        </w:rPr>
        <w:t>fermentation</w:t>
      </w:r>
      <w:commentRangeEnd w:id="9"/>
      <w:r>
        <w:commentReference w:id="9"/>
      </w:r>
      <w:r>
        <w:rPr>
          <w:rFonts w:ascii="Arial" w:hAnsi="Arial" w:cs="Arial"/>
          <w:sz w:val="20"/>
          <w:szCs w:val="20"/>
        </w:rPr>
        <w:t xml:space="preserve"> of insects can break down large molecules into smaller components through diverse oxidation/reduction processes (</w:t>
      </w:r>
      <w:commentRangeStart w:id="10"/>
      <w:r>
        <w:rPr>
          <w:rFonts w:ascii="Arial" w:hAnsi="Arial" w:cs="Arial"/>
          <w:sz w:val="20"/>
          <w:szCs w:val="20"/>
        </w:rPr>
        <w:t xml:space="preserve">Agyei </w:t>
      </w:r>
      <w:commentRangeStart w:id="11"/>
      <w:r>
        <w:rPr>
          <w:rFonts w:ascii="Arial" w:hAnsi="Arial" w:cs="Arial"/>
          <w:sz w:val="20"/>
          <w:szCs w:val="20"/>
        </w:rPr>
        <w:t>et al</w:t>
      </w:r>
      <w:commentRangeEnd w:id="11"/>
      <w:r>
        <w:commentReference w:id="11"/>
      </w:r>
      <w:r>
        <w:rPr>
          <w:rFonts w:ascii="Arial" w:hAnsi="Arial" w:cs="Arial"/>
          <w:sz w:val="20"/>
          <w:szCs w:val="20"/>
        </w:rPr>
        <w:t>., 2019; Yadav et al., 2011</w:t>
      </w:r>
      <w:commentRangeEnd w:id="10"/>
      <w:r>
        <w:commentReference w:id="10"/>
      </w:r>
      <w:r>
        <w:rPr>
          <w:rFonts w:ascii="Arial" w:hAnsi="Arial" w:cs="Arial"/>
          <w:sz w:val="20"/>
          <w:szCs w:val="20"/>
        </w:rPr>
        <w:t>)</w:t>
      </w:r>
      <w:r>
        <w:rPr>
          <w:rFonts w:hint="default" w:ascii="Arial" w:hAnsi="Arial" w:cs="Arial"/>
          <w:sz w:val="20"/>
          <w:szCs w:val="20"/>
          <w:lang w:val="en-US"/>
        </w:rPr>
        <w:t xml:space="preserve"> </w:t>
      </w:r>
      <w:r>
        <w:rPr>
          <w:rFonts w:ascii="Arial" w:hAnsi="Arial" w:eastAsia="SimSun" w:cs="Arial"/>
          <w:b/>
          <w:bCs/>
          <w:i w:val="0"/>
          <w:iCs w:val="0"/>
          <w:color w:val="FF0000"/>
          <w:sz w:val="20"/>
          <w:szCs w:val="20"/>
          <w:u w:val="none"/>
          <w:vertAlign w:val="baseline"/>
        </w:rPr>
        <w:t xml:space="preserve">(Yadav </w:t>
      </w:r>
      <w:r>
        <w:rPr>
          <w:rFonts w:hint="default" w:ascii="Arial" w:hAnsi="Arial" w:eastAsia="SimSun" w:cs="Arial"/>
          <w:b/>
          <w:bCs/>
          <w:i/>
          <w:iCs/>
          <w:color w:val="FF0000"/>
          <w:sz w:val="20"/>
          <w:szCs w:val="20"/>
          <w:u w:val="none"/>
          <w:vertAlign w:val="baseline"/>
        </w:rPr>
        <w:t>et al</w:t>
      </w:r>
      <w:r>
        <w:rPr>
          <w:rFonts w:hint="default" w:ascii="Arial" w:hAnsi="Arial" w:eastAsia="SimSun" w:cs="Arial"/>
          <w:b/>
          <w:bCs/>
          <w:i w:val="0"/>
          <w:iCs w:val="0"/>
          <w:color w:val="FF0000"/>
          <w:sz w:val="20"/>
          <w:szCs w:val="20"/>
          <w:u w:val="none"/>
          <w:vertAlign w:val="baseline"/>
        </w:rPr>
        <w:t>., 2011</w:t>
      </w:r>
      <w:r>
        <w:rPr>
          <w:rFonts w:hint="default" w:ascii="Arial" w:hAnsi="Arial" w:eastAsia="SimSun" w:cs="Arial"/>
          <w:b/>
          <w:bCs/>
          <w:i w:val="0"/>
          <w:iCs w:val="0"/>
          <w:color w:val="FF0000"/>
          <w:sz w:val="20"/>
          <w:szCs w:val="20"/>
          <w:u w:val="none"/>
          <w:vertAlign w:val="baseline"/>
          <w:lang w:val="en-US"/>
        </w:rPr>
        <w:t>;</w:t>
      </w:r>
      <w:r>
        <w:rPr>
          <w:rFonts w:hint="default" w:ascii="Arial" w:hAnsi="Arial" w:eastAsia="SimSun" w:cs="Arial"/>
          <w:b/>
          <w:bCs/>
          <w:i w:val="0"/>
          <w:iCs w:val="0"/>
          <w:color w:val="FF0000"/>
          <w:sz w:val="20"/>
          <w:szCs w:val="20"/>
          <w:u w:val="none"/>
          <w:vertAlign w:val="baseline"/>
        </w:rPr>
        <w:t xml:space="preserve"> Agyei </w:t>
      </w:r>
      <w:r>
        <w:rPr>
          <w:rFonts w:hint="default" w:ascii="Arial" w:hAnsi="Arial" w:eastAsia="SimSun" w:cs="Arial"/>
          <w:b/>
          <w:bCs/>
          <w:i/>
          <w:iCs/>
          <w:color w:val="FF0000"/>
          <w:sz w:val="20"/>
          <w:szCs w:val="20"/>
          <w:u w:val="none"/>
          <w:vertAlign w:val="baseline"/>
        </w:rPr>
        <w:t>et al</w:t>
      </w:r>
      <w:r>
        <w:rPr>
          <w:rFonts w:hint="default" w:ascii="Arial" w:hAnsi="Arial" w:eastAsia="SimSun" w:cs="Arial"/>
          <w:b/>
          <w:bCs/>
          <w:i w:val="0"/>
          <w:iCs w:val="0"/>
          <w:color w:val="FF0000"/>
          <w:sz w:val="20"/>
          <w:szCs w:val="20"/>
          <w:u w:val="none"/>
          <w:vertAlign w:val="baseline"/>
        </w:rPr>
        <w:t>., 2019)</w:t>
      </w:r>
      <w:r>
        <w:rPr>
          <w:rFonts w:ascii="Arial" w:hAnsi="Arial" w:cs="Arial"/>
          <w:sz w:val="20"/>
          <w:szCs w:val="20"/>
        </w:rPr>
        <w:t xml:space="preserve">. This fermentation process enhances the production of valuable compounds, such as essential amino acids, digestible proteins, essential fatty acids, alcohols, and vitamins (Mishra et al., 2017; Srivastava, 2018). Additionally, fermentation eliminates the fishy odor associated with pupae, thereby increasing their value in the feed industry </w:t>
      </w:r>
      <w:commentRangeStart w:id="12"/>
      <w:r>
        <w:rPr>
          <w:rFonts w:ascii="Arial" w:hAnsi="Arial" w:cs="Arial"/>
          <w:sz w:val="20"/>
          <w:szCs w:val="20"/>
        </w:rPr>
        <w:t xml:space="preserve">(Yang et al., 2021; Zhou et al., 2017). </w:t>
      </w:r>
      <w:commentRangeEnd w:id="12"/>
      <w:r>
        <w:commentReference w:id="12"/>
      </w:r>
      <w:r>
        <w:rPr>
          <w:rFonts w:ascii="Arial" w:hAnsi="Arial" w:cs="Arial"/>
          <w:sz w:val="20"/>
          <w:szCs w:val="20"/>
        </w:rPr>
        <w:t>This process significantly broadens the application potential of fermented edible insects across various sectors (Castro-López et al., 2020).</w:t>
      </w:r>
    </w:p>
    <w:p w14:paraId="41B824CB">
      <w:pPr>
        <w:ind w:firstLine="284"/>
        <w:rPr>
          <w:rFonts w:ascii="Arial" w:hAnsi="Arial" w:cs="Arial"/>
          <w:sz w:val="20"/>
          <w:szCs w:val="20"/>
        </w:rPr>
      </w:pPr>
      <w:r>
        <w:rPr>
          <w:rFonts w:ascii="Arial" w:hAnsi="Arial" w:cs="Arial"/>
          <w:sz w:val="20"/>
          <w:szCs w:val="20"/>
        </w:rPr>
        <w:t>The primary aim of this study is to evaluate the proximal composition of fermented silkworm pupae (FSWP) and explore their potential applications in the feed industry.</w:t>
      </w:r>
    </w:p>
    <w:p w14:paraId="5068693F">
      <w:pPr>
        <w:pStyle w:val="12"/>
        <w:numPr>
          <w:ilvl w:val="0"/>
          <w:numId w:val="1"/>
        </w:numPr>
        <w:rPr>
          <w:rFonts w:ascii="Arial" w:hAnsi="Arial" w:cs="Arial"/>
          <w:b/>
        </w:rPr>
      </w:pPr>
      <w:r>
        <w:rPr>
          <w:rFonts w:ascii="Arial" w:hAnsi="Arial" w:cs="Arial"/>
          <w:b/>
        </w:rPr>
        <w:t>MATERIALS AND METHODS</w:t>
      </w:r>
    </w:p>
    <w:p w14:paraId="509A6622">
      <w:pPr>
        <w:pStyle w:val="12"/>
        <w:numPr>
          <w:ilvl w:val="0"/>
          <w:numId w:val="2"/>
        </w:numPr>
        <w:rPr>
          <w:rFonts w:ascii="Arial" w:hAnsi="Arial" w:cs="Arial"/>
          <w:b/>
          <w:i/>
        </w:rPr>
      </w:pPr>
      <w:r>
        <w:rPr>
          <w:rFonts w:ascii="Arial" w:hAnsi="Arial" w:cs="Arial"/>
          <w:b/>
          <w:i/>
        </w:rPr>
        <w:t>Sample preparation:</w:t>
      </w:r>
    </w:p>
    <w:p w14:paraId="4E4D14CC">
      <w:pPr>
        <w:pStyle w:val="12"/>
        <w:ind w:left="0" w:firstLine="284"/>
        <w:rPr>
          <w:rFonts w:ascii="Arial" w:hAnsi="Arial" w:cs="Arial"/>
          <w:sz w:val="20"/>
          <w:szCs w:val="20"/>
        </w:rPr>
      </w:pPr>
      <w:r>
        <w:rPr>
          <w:rFonts w:ascii="Arial" w:hAnsi="Arial" w:cs="Arial"/>
          <w:sz w:val="20"/>
          <w:szCs w:val="20"/>
        </w:rPr>
        <w:t>SWP were sourced from a reeling center in Coimbatore District, where they were typically discarded post-silk reeling. The collected pupae were thoroughly cleaned and sund</w:t>
      </w:r>
      <w:r>
        <w:commentReference w:id="13"/>
      </w:r>
      <w:r>
        <w:rPr>
          <w:rFonts w:ascii="Arial" w:hAnsi="Arial" w:cs="Arial"/>
          <w:sz w:val="20"/>
          <w:szCs w:val="20"/>
        </w:rPr>
        <w:t xml:space="preserve">ried until </w:t>
      </w:r>
      <w:commentRangeStart w:id="14"/>
      <w:r>
        <w:rPr>
          <w:rFonts w:ascii="Arial" w:hAnsi="Arial" w:cs="Arial"/>
          <w:sz w:val="20"/>
          <w:szCs w:val="20"/>
        </w:rPr>
        <w:t>reaching</w:t>
      </w:r>
      <w:commentRangeEnd w:id="14"/>
      <w:r>
        <w:commentReference w:id="14"/>
      </w:r>
      <w:r>
        <w:rPr>
          <w:rFonts w:ascii="Arial" w:hAnsi="Arial" w:cs="Arial"/>
          <w:sz w:val="20"/>
          <w:szCs w:val="20"/>
        </w:rPr>
        <w:t xml:space="preserve"> a constant weight. The weight of the SWP got reduced by 80%. Subsequently, the dried pupae were ground into a fine powder using a blender (Figure 1). The powdered samples were subjected to deoiling using n-hexane as the solvent in a Soxhlet extractor.</w:t>
      </w:r>
    </w:p>
    <w:p w14:paraId="7E23A5E8">
      <w:pPr>
        <w:pStyle w:val="12"/>
        <w:ind w:left="0" w:firstLine="284"/>
        <w:jc w:val="center"/>
        <w:rPr>
          <w:rFonts w:ascii="Arial" w:hAnsi="Arial" w:cs="Arial"/>
          <w:sz w:val="20"/>
          <w:szCs w:val="20"/>
        </w:rPr>
      </w:pPr>
      <w:r>
        <w:rPr>
          <w:rFonts w:ascii="Arial" w:hAnsi="Arial" w:cs="Arial"/>
          <w:sz w:val="20"/>
          <w:szCs w:val="20"/>
          <w:lang w:eastAsia="en-IN"/>
        </w:rPr>
        <w:pict>
          <v:shape id="_x0000_s1029" o:spid="_x0000_s1029" o:spt="202" type="#_x0000_t202" style="position:absolute;left:0pt;margin-left:133.75pt;margin-top:173.2pt;height:22.05pt;width:200.05pt;z-index:251661312;mso-width-relative:margin;mso-height-relative:margin;" coordsize="21600,21600">
            <v:path/>
            <v:fill focussize="0,0"/>
            <v:stroke joinstyle="miter"/>
            <v:imagedata o:title=""/>
            <o:lock v:ext="edit"/>
            <v:textbox>
              <w:txbxContent>
                <w:p w14:paraId="13FE0E03">
                  <w:pPr>
                    <w:jc w:val="center"/>
                  </w:pPr>
                  <w:r>
                    <w:t>FIG 1 Silkworm pupal powder</w:t>
                  </w:r>
                </w:p>
              </w:txbxContent>
            </v:textbox>
          </v:shape>
        </w:pict>
      </w:r>
      <w:r>
        <w:rPr>
          <w:rFonts w:ascii="Arial" w:hAnsi="Arial" w:cs="Arial"/>
          <w:sz w:val="20"/>
          <w:szCs w:val="20"/>
          <w:lang w:eastAsia="en-IN"/>
        </w:rPr>
        <w:drawing>
          <wp:inline distT="0" distB="0" distL="0" distR="0">
            <wp:extent cx="2649855" cy="2199640"/>
            <wp:effectExtent l="19050" t="0" r="0" b="0"/>
            <wp:docPr id="4" name="Picture 0" descr="ds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dswp.jpg"/>
                    <pic:cNvPicPr>
                      <a:picLocks noChangeAspect="1"/>
                    </pic:cNvPicPr>
                  </pic:nvPicPr>
                  <pic:blipFill>
                    <a:blip r:embed="rId14" cstate="print"/>
                    <a:srcRect t="27848" b="25414"/>
                    <a:stretch>
                      <a:fillRect/>
                    </a:stretch>
                  </pic:blipFill>
                  <pic:spPr>
                    <a:xfrm>
                      <a:off x="0" y="0"/>
                      <a:ext cx="2650453" cy="2199736"/>
                    </a:xfrm>
                    <a:prstGeom prst="rect">
                      <a:avLst/>
                    </a:prstGeom>
                  </pic:spPr>
                </pic:pic>
              </a:graphicData>
            </a:graphic>
          </wp:inline>
        </w:drawing>
      </w:r>
    </w:p>
    <w:p w14:paraId="38A0A048">
      <w:pPr>
        <w:pStyle w:val="12"/>
        <w:ind w:left="0" w:firstLine="284"/>
        <w:jc w:val="center"/>
        <w:rPr>
          <w:rFonts w:ascii="Arial" w:hAnsi="Arial" w:cs="Arial"/>
          <w:sz w:val="20"/>
          <w:szCs w:val="20"/>
        </w:rPr>
      </w:pPr>
    </w:p>
    <w:p w14:paraId="0531AC52">
      <w:pPr>
        <w:pStyle w:val="10"/>
        <w:spacing w:line="480" w:lineRule="auto"/>
        <w:ind w:firstLine="284"/>
        <w:jc w:val="both"/>
        <w:rPr>
          <w:rFonts w:ascii="Arial" w:hAnsi="Arial" w:cs="Arial"/>
          <w:sz w:val="20"/>
          <w:szCs w:val="20"/>
        </w:rPr>
      </w:pPr>
      <w:r>
        <w:rPr>
          <w:rFonts w:ascii="Arial" w:hAnsi="Arial" w:cs="Arial"/>
          <w:sz w:val="20"/>
          <w:szCs w:val="20"/>
        </w:rPr>
        <w:t xml:space="preserve">Fermentation of deoiled silkworm pupae (DSWP) was conducted following the protocol outlined by Siddik </w:t>
      </w:r>
      <w:r>
        <w:rPr>
          <w:rFonts w:ascii="Arial" w:hAnsi="Arial" w:cs="Arial"/>
          <w:i/>
          <w:sz w:val="20"/>
          <w:szCs w:val="20"/>
        </w:rPr>
        <w:t>et al</w:t>
      </w:r>
      <w:r>
        <w:rPr>
          <w:rFonts w:ascii="Arial" w:hAnsi="Arial" w:cs="Arial"/>
          <w:sz w:val="20"/>
          <w:szCs w:val="20"/>
        </w:rPr>
        <w:t xml:space="preserve">. (2018). Specifically, 100 g/kg of baker's yeast (Instant Dried Yeast, </w:t>
      </w:r>
      <w:r>
        <w:rPr>
          <w:rFonts w:ascii="Arial" w:hAnsi="Arial" w:cs="Arial"/>
          <w:i/>
          <w:sz w:val="20"/>
          <w:szCs w:val="20"/>
        </w:rPr>
        <w:t>Saccharomyces cerevisiae</w:t>
      </w:r>
      <w:r>
        <w:rPr>
          <w:rFonts w:ascii="Arial" w:hAnsi="Arial" w:cs="Arial"/>
          <w:sz w:val="20"/>
          <w:szCs w:val="20"/>
        </w:rPr>
        <w:t xml:space="preserve">, Angel Yeast, China) and 50 g/kg </w:t>
      </w:r>
      <w:r>
        <w:rPr>
          <w:rFonts w:ascii="Arial" w:hAnsi="Arial" w:cs="Arial"/>
          <w:i/>
          <w:sz w:val="20"/>
          <w:szCs w:val="20"/>
        </w:rPr>
        <w:t>of Lactobacillus casei</w:t>
      </w:r>
      <w:r>
        <w:rPr>
          <w:rFonts w:ascii="Arial" w:hAnsi="Arial" w:cs="Arial"/>
          <w:sz w:val="20"/>
          <w:szCs w:val="20"/>
        </w:rPr>
        <w:t xml:space="preserve"> (Yakult Danone India Pvt.; cell density of 0.1 × 10^9 cells/ml) were added to the weighed DSWP. Approximately 700 ml/L of distilled water was then </w:t>
      </w:r>
      <w:commentRangeStart w:id="15"/>
      <w:r>
        <w:rPr>
          <w:rFonts w:ascii="Arial" w:hAnsi="Arial" w:cs="Arial"/>
          <w:sz w:val="20"/>
          <w:szCs w:val="20"/>
        </w:rPr>
        <w:t xml:space="preserve">incorporated </w:t>
      </w:r>
      <w:commentRangeEnd w:id="15"/>
      <w:r>
        <w:commentReference w:id="15"/>
      </w:r>
      <w:r>
        <w:rPr>
          <w:rFonts w:hint="default" w:ascii="Arial" w:hAnsi="Arial" w:cs="Arial"/>
          <w:sz w:val="20"/>
          <w:szCs w:val="20"/>
          <w:lang w:val="en-US"/>
        </w:rPr>
        <w:t xml:space="preserve"> to</w:t>
      </w:r>
      <w:r>
        <w:rPr>
          <w:rFonts w:ascii="Arial" w:hAnsi="Arial" w:cs="Arial"/>
          <w:sz w:val="20"/>
          <w:szCs w:val="20"/>
        </w:rPr>
        <w:t xml:space="preserve"> the mixture. The combined ingredients were thoroughly mixed and the mixture was covered securely. Fermentation was allowed to proceed for 3 days under controlled conditions, with the temperature and pH monitored and maintained at 29°C and 6.2, respectively (Figure 2). </w:t>
      </w:r>
    </w:p>
    <w:p w14:paraId="5DAC882D">
      <w:pPr>
        <w:pStyle w:val="10"/>
        <w:spacing w:line="480" w:lineRule="auto"/>
        <w:ind w:firstLine="284"/>
        <w:jc w:val="center"/>
        <w:rPr>
          <w:rFonts w:ascii="Arial" w:hAnsi="Arial" w:cs="Arial"/>
          <w:sz w:val="20"/>
          <w:szCs w:val="20"/>
        </w:rPr>
      </w:pPr>
      <w:r>
        <w:rPr>
          <w:rFonts w:ascii="Arial" w:hAnsi="Arial" w:cs="Arial"/>
          <w:sz w:val="20"/>
          <w:szCs w:val="20"/>
        </w:rPr>
        <w:pict>
          <v:shape id="_x0000_s1030" o:spid="_x0000_s1030" o:spt="202" type="#_x0000_t202" style="position:absolute;left:0pt;margin-left:133.75pt;margin-top:259.7pt;height:34pt;width:200.05pt;z-index:251662336;mso-width-relative:margin;mso-height-relative:margin;" coordsize="21600,21600">
            <v:path/>
            <v:fill focussize="0,0"/>
            <v:stroke joinstyle="miter"/>
            <v:imagedata o:title=""/>
            <o:lock v:ext="edit"/>
            <v:textbox>
              <w:txbxContent>
                <w:p w14:paraId="188D0AA4">
                  <w:pPr>
                    <w:spacing w:line="240" w:lineRule="auto"/>
                    <w:jc w:val="center"/>
                  </w:pPr>
                  <w:r>
                    <w:t>FIG 2 Fermentation condition of the silkworm pupal powder</w:t>
                  </w:r>
                </w:p>
              </w:txbxContent>
            </v:textbox>
          </v:shape>
        </w:pict>
      </w:r>
      <w:r>
        <w:rPr>
          <w:rFonts w:ascii="Arial" w:hAnsi="Arial" w:cs="Arial"/>
          <w:sz w:val="20"/>
          <w:szCs w:val="20"/>
        </w:rPr>
        <w:drawing>
          <wp:inline distT="0" distB="0" distL="0" distR="0">
            <wp:extent cx="2176145" cy="3295015"/>
            <wp:effectExtent l="19050" t="0" r="0" b="0"/>
            <wp:docPr id="5" name="Picture 1" descr="IMG20240201132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MG20240201132622.jpg"/>
                    <pic:cNvPicPr>
                      <a:picLocks noChangeAspect="1"/>
                    </pic:cNvPicPr>
                  </pic:nvPicPr>
                  <pic:blipFill>
                    <a:blip r:embed="rId15" cstate="print"/>
                    <a:srcRect t="14703" r="-81"/>
                    <a:stretch>
                      <a:fillRect/>
                    </a:stretch>
                  </pic:blipFill>
                  <pic:spPr>
                    <a:xfrm>
                      <a:off x="0" y="0"/>
                      <a:ext cx="2177052" cy="3296065"/>
                    </a:xfrm>
                    <a:prstGeom prst="rect">
                      <a:avLst/>
                    </a:prstGeom>
                  </pic:spPr>
                </pic:pic>
              </a:graphicData>
            </a:graphic>
          </wp:inline>
        </w:drawing>
      </w:r>
    </w:p>
    <w:p w14:paraId="3EF0FDA4">
      <w:pPr>
        <w:pStyle w:val="10"/>
        <w:spacing w:line="480" w:lineRule="auto"/>
        <w:ind w:firstLine="284"/>
        <w:jc w:val="both"/>
        <w:rPr>
          <w:rFonts w:ascii="Arial" w:hAnsi="Arial" w:cs="Arial"/>
          <w:sz w:val="20"/>
          <w:szCs w:val="20"/>
        </w:rPr>
      </w:pPr>
    </w:p>
    <w:p w14:paraId="3E3F4782">
      <w:pPr>
        <w:pStyle w:val="10"/>
        <w:spacing w:line="480" w:lineRule="auto"/>
        <w:ind w:firstLine="284"/>
        <w:jc w:val="both"/>
        <w:rPr>
          <w:rFonts w:ascii="Arial" w:hAnsi="Arial" w:cs="Arial"/>
          <w:sz w:val="20"/>
          <w:szCs w:val="20"/>
        </w:rPr>
      </w:pPr>
      <w:r>
        <w:rPr>
          <w:rFonts w:ascii="Arial" w:hAnsi="Arial" w:cs="Arial"/>
          <w:sz w:val="20"/>
          <w:szCs w:val="20"/>
        </w:rPr>
        <w:t>Upon completion of the fermentation period, the fermented silkworm pupae (FSWP) were dried in a hot air oven at 40°C for 48 hours. The dried FSWP (Figure 3) were subsequently stored in an airtight container for further analysis. Biochemical analyses, including assessments of crude protein, carbohydrate content, amino acid profile, ash content, and moisture content, were performed on the sample.</w:t>
      </w:r>
    </w:p>
    <w:p w14:paraId="1CA71248">
      <w:pPr>
        <w:pStyle w:val="10"/>
        <w:spacing w:line="480" w:lineRule="auto"/>
        <w:ind w:firstLine="284"/>
        <w:jc w:val="center"/>
        <w:rPr>
          <w:rFonts w:ascii="Arial" w:hAnsi="Arial" w:cs="Arial"/>
          <w:sz w:val="20"/>
          <w:szCs w:val="20"/>
        </w:rPr>
      </w:pPr>
      <w:r>
        <w:rPr>
          <w:rFonts w:ascii="Arial" w:hAnsi="Arial" w:cs="Arial"/>
          <w:sz w:val="20"/>
          <w:szCs w:val="20"/>
        </w:rPr>
        <w:pict>
          <v:shape id="_x0000_s1031" o:spid="_x0000_s1031" o:spt="202" type="#_x0000_t202" style="position:absolute;left:0pt;margin-left:110.75pt;margin-top:177.3pt;height:22.05pt;width:249.25pt;z-index:251663360;mso-width-relative:margin;mso-height-relative:margin;" coordsize="21600,21600">
            <v:path/>
            <v:fill focussize="0,0"/>
            <v:stroke joinstyle="miter"/>
            <v:imagedata o:title=""/>
            <o:lock v:ext="edit"/>
            <v:textbox>
              <w:txbxContent>
                <w:p w14:paraId="60B7E7EC">
                  <w:pPr>
                    <w:spacing w:line="276" w:lineRule="auto"/>
                    <w:jc w:val="left"/>
                  </w:pPr>
                  <w:r>
                    <w:t>FIG 3 Dried fermented silkworm powder</w:t>
                  </w:r>
                </w:p>
              </w:txbxContent>
            </v:textbox>
          </v:shape>
        </w:pict>
      </w:r>
      <w:r>
        <w:rPr>
          <w:rFonts w:ascii="Arial" w:hAnsi="Arial" w:cs="Arial"/>
          <w:sz w:val="20"/>
          <w:szCs w:val="20"/>
        </w:rPr>
        <w:drawing>
          <wp:inline distT="0" distB="0" distL="0" distR="0">
            <wp:extent cx="2604770" cy="2233930"/>
            <wp:effectExtent l="19050" t="0" r="4662" b="0"/>
            <wp:docPr id="6" name="Picture 2" descr="fs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fswp.jpg"/>
                    <pic:cNvPicPr>
                      <a:picLocks noChangeAspect="1"/>
                    </pic:cNvPicPr>
                  </pic:nvPicPr>
                  <pic:blipFill>
                    <a:blip r:embed="rId16" cstate="print"/>
                    <a:srcRect t="19766" b="31938"/>
                    <a:stretch>
                      <a:fillRect/>
                    </a:stretch>
                  </pic:blipFill>
                  <pic:spPr>
                    <a:xfrm>
                      <a:off x="0" y="0"/>
                      <a:ext cx="2605378" cy="2234404"/>
                    </a:xfrm>
                    <a:prstGeom prst="rect">
                      <a:avLst/>
                    </a:prstGeom>
                  </pic:spPr>
                </pic:pic>
              </a:graphicData>
            </a:graphic>
          </wp:inline>
        </w:drawing>
      </w:r>
    </w:p>
    <w:p w14:paraId="507515A5">
      <w:pPr>
        <w:pStyle w:val="12"/>
        <w:numPr>
          <w:ilvl w:val="0"/>
          <w:numId w:val="2"/>
        </w:numPr>
        <w:rPr>
          <w:rFonts w:ascii="Arial" w:hAnsi="Arial" w:cs="Arial"/>
          <w:b/>
          <w:i/>
        </w:rPr>
      </w:pPr>
      <w:r>
        <w:rPr>
          <w:rFonts w:ascii="Arial" w:hAnsi="Arial" w:cs="Arial"/>
          <w:b/>
          <w:i/>
        </w:rPr>
        <w:t>Proximate composition:</w:t>
      </w:r>
    </w:p>
    <w:p w14:paraId="36CC2B57">
      <w:pPr>
        <w:pStyle w:val="12"/>
        <w:ind w:left="0" w:firstLine="284"/>
        <w:rPr>
          <w:rFonts w:ascii="Arial" w:hAnsi="Arial" w:eastAsia="Times New Roman" w:cs="Arial"/>
          <w:sz w:val="20"/>
          <w:szCs w:val="20"/>
        </w:rPr>
      </w:pPr>
      <w:r>
        <w:rPr>
          <w:rFonts w:ascii="Arial" w:hAnsi="Arial" w:cs="Arial"/>
          <w:sz w:val="20"/>
          <w:szCs w:val="20"/>
        </w:rPr>
        <w:t xml:space="preserve">The proximate composition of the samples was determined using standard analytical methods. The crude protein content was measured spectrophotometrically </w:t>
      </w:r>
      <w:commentRangeStart w:id="16"/>
      <w:r>
        <w:rPr>
          <w:rFonts w:ascii="Arial" w:hAnsi="Arial" w:cs="Arial"/>
          <w:sz w:val="20"/>
          <w:szCs w:val="20"/>
        </w:rPr>
        <w:t>according to</w:t>
      </w:r>
      <w:commentRangeEnd w:id="16"/>
      <w:r>
        <w:commentReference w:id="16"/>
      </w:r>
      <w:r>
        <w:rPr>
          <w:rFonts w:ascii="Arial" w:hAnsi="Arial" w:cs="Arial"/>
          <w:sz w:val="20"/>
          <w:szCs w:val="20"/>
        </w:rPr>
        <w:t xml:space="preserve"> Lowry et al. (1951). Ash content was quantified by incinerating the samples in a muffle furnace at 600°C until a constant weight was achieved, following method 942.05 of the AOAC (2005). Crude fiber content was determined through dilute acid and alkali hydrolysis, as outlined in method 978.10 of the AOAC (2005). Lipid content was assessed using Soxhlet extraction with n-hexane. The nitrogen-free extract (NFE) was calculated by subtracting the sum of moisture, crude protein, crude lipid, ash, and crude fiber from 100% (Castell and Tiews, 1980). </w:t>
      </w:r>
      <w:commentRangeStart w:id="17"/>
      <w:r>
        <w:rPr>
          <w:rFonts w:ascii="Arial" w:hAnsi="Arial" w:cs="Arial"/>
          <w:sz w:val="20"/>
          <w:szCs w:val="20"/>
        </w:rPr>
        <w:t>These analysis was</w:t>
      </w:r>
      <w:commentRangeEnd w:id="17"/>
      <w:r>
        <w:commentReference w:id="17"/>
      </w:r>
      <w:r>
        <w:rPr>
          <w:rFonts w:ascii="Arial" w:hAnsi="Arial" w:cs="Arial"/>
          <w:sz w:val="20"/>
          <w:szCs w:val="20"/>
        </w:rPr>
        <w:t xml:space="preserve"> performed in triplicate form and the results</w:t>
      </w:r>
      <w:commentRangeStart w:id="18"/>
      <w:r>
        <w:rPr>
          <w:rFonts w:ascii="Arial" w:hAnsi="Arial" w:cs="Arial"/>
          <w:sz w:val="20"/>
          <w:szCs w:val="20"/>
        </w:rPr>
        <w:t xml:space="preserve"> were written</w:t>
      </w:r>
      <w:commentRangeEnd w:id="18"/>
      <w:r>
        <w:commentReference w:id="18"/>
      </w:r>
      <w:r>
        <w:rPr>
          <w:rFonts w:ascii="Arial" w:hAnsi="Arial" w:cs="Arial"/>
          <w:sz w:val="20"/>
          <w:szCs w:val="20"/>
        </w:rPr>
        <w:t xml:space="preserve"> as mean±SD.</w:t>
      </w:r>
    </w:p>
    <w:p w14:paraId="51A77E9F">
      <w:pPr>
        <w:pStyle w:val="12"/>
        <w:numPr>
          <w:ilvl w:val="0"/>
          <w:numId w:val="2"/>
        </w:numPr>
        <w:rPr>
          <w:rFonts w:ascii="Arial" w:hAnsi="Arial" w:cs="Arial"/>
          <w:b/>
          <w:i/>
        </w:rPr>
      </w:pPr>
      <w:r>
        <w:rPr>
          <w:rFonts w:ascii="Arial" w:hAnsi="Arial" w:cs="Arial"/>
          <w:b/>
          <w:i/>
        </w:rPr>
        <w:t>Amino acid analysis:</w:t>
      </w:r>
    </w:p>
    <w:p w14:paraId="21B187AF">
      <w:pPr>
        <w:pStyle w:val="12"/>
        <w:ind w:left="0" w:firstLine="284"/>
        <w:rPr>
          <w:rFonts w:ascii="Arial" w:hAnsi="Arial" w:cs="Arial"/>
          <w:sz w:val="20"/>
          <w:szCs w:val="20"/>
        </w:rPr>
      </w:pPr>
      <w:r>
        <w:rPr>
          <w:rFonts w:ascii="Arial" w:hAnsi="Arial" w:cs="Arial"/>
          <w:sz w:val="20"/>
          <w:szCs w:val="20"/>
        </w:rPr>
        <w:t>Silkworm pupal powder was mixed with ethanol and stirred using an agitator. The mixture was then filtered to collect the particles. These particles underwent triple extraction with ethyl acetate. The resulting extracts were dissolved in hexane, and the oil was extracted using a Soxhlet apparatus. The oil extract was hydrolyzed with 6 N hydrochloric acid (HCl) at 110°C for 22 hours. Post-hydrolysis, amino acid analysis was conducted using high-performance liquid chromatography (HPLC).</w:t>
      </w:r>
    </w:p>
    <w:p w14:paraId="32AF09F5">
      <w:pPr>
        <w:pStyle w:val="12"/>
        <w:numPr>
          <w:ilvl w:val="0"/>
          <w:numId w:val="2"/>
        </w:numPr>
        <w:rPr>
          <w:rFonts w:ascii="Arial" w:hAnsi="Arial" w:cs="Arial"/>
          <w:b/>
          <w:i/>
        </w:rPr>
      </w:pPr>
      <w:r>
        <w:rPr>
          <w:rFonts w:ascii="Arial" w:hAnsi="Arial" w:cs="Arial"/>
          <w:b/>
          <w:i/>
        </w:rPr>
        <w:t>Statistical analysis:</w:t>
      </w:r>
    </w:p>
    <w:p w14:paraId="001DDD7D">
      <w:pPr>
        <w:pStyle w:val="12"/>
        <w:ind w:left="0" w:firstLine="284"/>
        <w:rPr>
          <w:rFonts w:ascii="Arial" w:hAnsi="Arial" w:cs="Arial"/>
          <w:sz w:val="20"/>
          <w:szCs w:val="20"/>
        </w:rPr>
      </w:pPr>
      <w:r>
        <w:rPr>
          <w:rFonts w:ascii="Arial" w:hAnsi="Arial" w:cs="Arial"/>
          <w:sz w:val="20"/>
          <w:szCs w:val="20"/>
        </w:rPr>
        <w:t xml:space="preserve">All the measurements were performed in triplicate. Mean values ± standard deviations (SD) were calculated. The data were subjected to </w:t>
      </w:r>
      <w:commentRangeStart w:id="19"/>
      <w:r>
        <w:rPr>
          <w:rFonts w:ascii="Arial" w:hAnsi="Arial" w:cs="Arial"/>
          <w:sz w:val="20"/>
          <w:szCs w:val="20"/>
        </w:rPr>
        <w:t>one way</w:t>
      </w:r>
      <w:commentRangeEnd w:id="19"/>
      <w:r>
        <w:commentReference w:id="19"/>
      </w:r>
      <w:r>
        <w:rPr>
          <w:rFonts w:ascii="Arial" w:hAnsi="Arial" w:cs="Arial"/>
          <w:sz w:val="20"/>
          <w:szCs w:val="20"/>
        </w:rPr>
        <w:t xml:space="preserve"> analysis of variance (ANOVA) following Tukey’s honestly significant difference post hoc analysis. The significance of variance (</w:t>
      </w:r>
      <w:commentRangeStart w:id="20"/>
      <w:r>
        <w:rPr>
          <w:rFonts w:ascii="Arial" w:hAnsi="Arial" w:cs="Arial"/>
          <w:sz w:val="20"/>
          <w:szCs w:val="20"/>
        </w:rPr>
        <w:t>p&lt;0.05</w:t>
      </w:r>
      <w:commentRangeEnd w:id="20"/>
      <w:r>
        <w:commentReference w:id="20"/>
      </w:r>
      <w:r>
        <w:rPr>
          <w:rFonts w:ascii="Arial" w:hAnsi="Arial" w:cs="Arial"/>
          <w:sz w:val="20"/>
          <w:szCs w:val="20"/>
        </w:rPr>
        <w:t>) between means was calculated using IBM SPSS 23 software. DMRT test was done to check the best sample.</w:t>
      </w:r>
    </w:p>
    <w:p w14:paraId="14C6C3F4">
      <w:pPr>
        <w:pStyle w:val="12"/>
        <w:ind w:left="0" w:firstLine="0"/>
        <w:rPr>
          <w:rFonts w:ascii="Arial" w:hAnsi="Arial" w:cs="Arial"/>
          <w:b/>
        </w:rPr>
      </w:pPr>
      <w:r>
        <w:rPr>
          <w:rFonts w:ascii="Arial" w:hAnsi="Arial" w:cs="Arial"/>
          <w:b/>
        </w:rPr>
        <w:t>3. RESULTS:</w:t>
      </w:r>
    </w:p>
    <w:p w14:paraId="28581C52">
      <w:pPr>
        <w:pStyle w:val="12"/>
        <w:ind w:left="0" w:firstLine="284"/>
        <w:rPr>
          <w:rFonts w:ascii="Arial" w:hAnsi="Arial" w:cs="Arial"/>
          <w:b/>
          <w:sz w:val="20"/>
          <w:szCs w:val="20"/>
        </w:rPr>
      </w:pPr>
      <w:r>
        <w:rPr>
          <w:rFonts w:ascii="Arial" w:hAnsi="Arial" w:cs="Arial"/>
          <w:sz w:val="20"/>
          <w:szCs w:val="20"/>
        </w:rPr>
        <w:t xml:space="preserve">The proximate composition </w:t>
      </w:r>
      <w:bookmarkStart w:id="0" w:name="_GoBack"/>
      <w:r>
        <w:rPr>
          <w:rFonts w:ascii="Arial" w:hAnsi="Arial" w:cs="Arial"/>
          <w:sz w:val="20"/>
          <w:szCs w:val="20"/>
        </w:rPr>
        <w:t>of mulberry silkworm pupae</w:t>
      </w:r>
      <w:bookmarkEnd w:id="0"/>
      <w:r>
        <w:rPr>
          <w:rFonts w:ascii="Arial" w:hAnsi="Arial" w:cs="Arial"/>
          <w:sz w:val="20"/>
          <w:szCs w:val="20"/>
        </w:rPr>
        <w:t xml:space="preserve"> (SWP) exhibited notable differences across non-deoiled, deoiled, and fermented treatments (</w:t>
      </w:r>
      <w:r>
        <w:rPr>
          <w:rFonts w:ascii="Arial" w:hAnsi="Arial" w:cs="Arial"/>
          <w:i/>
          <w:sz w:val="20"/>
          <w:szCs w:val="20"/>
        </w:rPr>
        <w:t>Table</w:t>
      </w:r>
      <w:r>
        <w:commentReference w:id="21"/>
      </w:r>
      <w:r>
        <w:rPr>
          <w:rFonts w:ascii="Arial" w:hAnsi="Arial" w:cs="Arial"/>
          <w:i/>
          <w:sz w:val="20"/>
          <w:szCs w:val="20"/>
        </w:rPr>
        <w:t xml:space="preserve"> 1</w:t>
      </w:r>
      <w:r>
        <w:rPr>
          <w:rFonts w:ascii="Arial" w:hAnsi="Arial" w:cs="Arial"/>
          <w:sz w:val="20"/>
          <w:szCs w:val="20"/>
        </w:rPr>
        <w:t xml:space="preserve">). Non-deoiled SWP had a crude protein content of 46.51% ± 0.63%, which significantly increased to 59.01% ± 1.39% in deoiled SWP and further to 69.88% ± 0.42% in fermented SWP, with these differences being statistically significant (SE(d) = 0.74; </w:t>
      </w:r>
      <w:commentRangeStart w:id="22"/>
      <w:r>
        <w:rPr>
          <w:rFonts w:ascii="Arial" w:hAnsi="Arial" w:cs="Arial"/>
          <w:sz w:val="20"/>
          <w:szCs w:val="20"/>
        </w:rPr>
        <w:t>CD</w:t>
      </w:r>
      <w:commentRangeEnd w:id="22"/>
      <w:r>
        <w:commentReference w:id="22"/>
      </w:r>
      <w:r>
        <w:rPr>
          <w:rFonts w:ascii="Arial" w:hAnsi="Arial" w:cs="Arial"/>
          <w:sz w:val="20"/>
          <w:szCs w:val="20"/>
        </w:rPr>
        <w:t>(0.05) = 1.85). Conversely, non-deoiled SWP had the highest crude fat content at 27.35% ± 0.07%, which decreased markedly in deoiled SWP to 4.16% ± 0.82% and further to 3.81% ± 0.72% in fermented SWP, with the reductions being statistically significant (SE(d) = 0.51; CD (0.05) = 1.28). Moisture content was highest in non-deoiled SWP at 7.59% ± 0.06%, dropping to 4.10% ± 0.11% in deoiled SWP and 5.16% ± 0.04% in fermented SWP, with these changes being statistically significant (SE(d) = 0.063; CD(0.05) = 0.158). The ash content was significantly higher in deoiled SWP (6.28% ± 0.56%) compared to non-deoiled SWP (4.10% ± 0.18%) and fermented SWP (6.58% ± 0.35%), with differences being statistically significant (SE(d) = 0.323; CD(0.05) = 0.805). Crude fiber content was lowest in fermented SWP (3.02% ± 0.02%) and non-deoiled SWP (3.03% ± 0.02%), while it was significantly higher in deoiled SWP (6.33% ± 0.11%), with the variations being statistically significant (SE(d) = 0.054; CD(0.05) = 0.134). These results underscore the significant impacts of deoiling and fermentation on the nutritional profile of mulberry SWP, affecting key components such as protein, fat, moisture, ash, and fiber content.</w:t>
      </w:r>
    </w:p>
    <w:p w14:paraId="57432BDE">
      <w:pPr>
        <w:pStyle w:val="12"/>
        <w:ind w:left="0" w:firstLine="284"/>
        <w:rPr>
          <w:rFonts w:ascii="Arial" w:hAnsi="Arial" w:cs="Arial"/>
          <w:sz w:val="20"/>
          <w:szCs w:val="20"/>
        </w:rPr>
      </w:pPr>
      <w:r>
        <w:rPr>
          <w:rFonts w:ascii="Arial" w:hAnsi="Arial" w:cs="Arial"/>
          <w:sz w:val="20"/>
          <w:szCs w:val="20"/>
        </w:rPr>
        <w:t>The amino acid profile of mulberry SWP reveals significant differences between non-deoiled, deoiled, and fermented samples (</w:t>
      </w:r>
      <w:r>
        <w:rPr>
          <w:rFonts w:ascii="Arial" w:hAnsi="Arial" w:cs="Arial"/>
          <w:i/>
          <w:sz w:val="20"/>
          <w:szCs w:val="20"/>
        </w:rPr>
        <w:t>Table 2</w:t>
      </w:r>
      <w:r>
        <w:rPr>
          <w:rFonts w:ascii="Arial" w:hAnsi="Arial" w:cs="Arial"/>
          <w:sz w:val="20"/>
          <w:szCs w:val="20"/>
        </w:rPr>
        <w:t xml:space="preserve">). The fermentation process generally resulted in increased concentrations of essential amino acids such as methionine, lysine, isoleucine, leucine, phenylalanine, threonine, and histidine compared to both non-deoiled and deoiled SWP. For instance, methionine increased from 3.43% ± 0.06% in non-deoiled to 4.07% ± 0.21% in fermented SWP, and lysine </w:t>
      </w:r>
      <w:commentRangeStart w:id="23"/>
      <w:r>
        <w:rPr>
          <w:rFonts w:ascii="Arial" w:hAnsi="Arial" w:cs="Arial"/>
          <w:sz w:val="20"/>
          <w:szCs w:val="20"/>
        </w:rPr>
        <w:t xml:space="preserve">rose </w:t>
      </w:r>
      <w:commentRangeEnd w:id="23"/>
      <w:r>
        <w:commentReference w:id="23"/>
      </w:r>
      <w:r>
        <w:rPr>
          <w:rFonts w:ascii="Arial" w:hAnsi="Arial" w:cs="Arial"/>
          <w:sz w:val="20"/>
          <w:szCs w:val="20"/>
        </w:rPr>
        <w:t xml:space="preserve">from 6.93% ± 0.06% to 7.53% ± 0.06%. Similarly, other essential amino acids, including isoleucine and leucine, also exhibited notable increases in fermented SWP. The fermentation process also enhanced non-essential amino acids, with significant increases in glutamic acid, aspartic acid, and glycine, compared to non-deoiled and deoiled samples. </w:t>
      </w:r>
    </w:p>
    <w:p w14:paraId="46F6CAE6">
      <w:pPr>
        <w:pStyle w:val="12"/>
        <w:ind w:left="0" w:firstLine="0"/>
        <w:rPr>
          <w:rFonts w:ascii="Arial" w:hAnsi="Arial" w:cs="Arial"/>
          <w:b/>
          <w:lang w:val="en-US"/>
        </w:rPr>
      </w:pPr>
      <w:r>
        <w:rPr>
          <w:rFonts w:ascii="Arial" w:hAnsi="Arial" w:cs="Arial"/>
          <w:b/>
          <w:lang w:val="en-US"/>
        </w:rPr>
        <w:t>4. DISCUSSION:</w:t>
      </w:r>
    </w:p>
    <w:p w14:paraId="04D2BEF0">
      <w:pPr>
        <w:pStyle w:val="12"/>
        <w:ind w:left="0" w:firstLine="284"/>
        <w:rPr>
          <w:rFonts w:ascii="Arial" w:hAnsi="Arial" w:cs="Arial"/>
        </w:rPr>
      </w:pPr>
      <w:r>
        <w:rPr>
          <w:rFonts w:ascii="Arial" w:hAnsi="Arial" w:cs="Arial"/>
        </w:rPr>
        <w:t xml:space="preserve">The </w:t>
      </w:r>
      <w:r>
        <w:rPr>
          <w:rFonts w:ascii="Arial" w:hAnsi="Arial" w:cs="Arial"/>
          <w:i/>
        </w:rPr>
        <w:t>Lactobacillus casei</w:t>
      </w:r>
      <w:r>
        <w:rPr>
          <w:rFonts w:ascii="Arial" w:hAnsi="Arial" w:cs="Arial"/>
        </w:rPr>
        <w:t xml:space="preserve"> and </w:t>
      </w:r>
      <w:r>
        <w:rPr>
          <w:rFonts w:ascii="Arial" w:hAnsi="Arial" w:cs="Arial"/>
          <w:i/>
        </w:rPr>
        <w:t>Saccharomyces cerevisiae</w:t>
      </w:r>
      <w:r>
        <w:rPr>
          <w:rFonts w:ascii="Arial" w:hAnsi="Arial" w:cs="Arial"/>
        </w:rPr>
        <w:t xml:space="preserve"> have been reported to enhance the nutritional composition of feed ingredients </w:t>
      </w:r>
      <w:commentRangeStart w:id="24"/>
      <w:r>
        <w:rPr>
          <w:rFonts w:ascii="Arial" w:hAnsi="Arial" w:cs="Arial"/>
        </w:rPr>
        <w:t>(Dawood, et al., 2020; Samaddar et al., (2015); Siddik et al., (2019).</w:t>
      </w:r>
      <w:commentRangeEnd w:id="24"/>
      <w:r>
        <w:commentReference w:id="24"/>
      </w:r>
      <w:r>
        <w:rPr>
          <w:rFonts w:ascii="Arial" w:hAnsi="Arial" w:cs="Arial"/>
        </w:rPr>
        <w:t xml:space="preserve"> Research on FSWP is relatively sparse. Rangacharyulu et al. (2003) reported that fermentation led to a decrease in protein content from 25.5% to 22.9%, moisture from 61.3% to 60.2%, and fat from 9.7% to 9.5%, while noting an increase in ash content. Similarly, Sathishkumar et al. (2021) observed that in the fermentation of poultry by-products, protein, ash, and moisture concentrations increased, whereas lipid and fiber contents degraded. Zhang et al. (2023) found that fermentation of soybean meal resulted in </w:t>
      </w:r>
      <w:commentRangeStart w:id="25"/>
      <w:r>
        <w:rPr>
          <w:rFonts w:ascii="Arial" w:hAnsi="Arial" w:cs="Arial"/>
        </w:rPr>
        <w:t xml:space="preserve">reduced </w:t>
      </w:r>
      <w:commentRangeEnd w:id="25"/>
      <w:r>
        <w:commentReference w:id="25"/>
      </w:r>
      <w:r>
        <w:rPr>
          <w:rFonts w:ascii="Arial" w:hAnsi="Arial" w:cs="Arial"/>
        </w:rPr>
        <w:t>crude fiber and ash content. This shows a change in the nutrient profile after fermentation.</w:t>
      </w:r>
    </w:p>
    <w:p w14:paraId="23F3A773">
      <w:pPr>
        <w:pStyle w:val="12"/>
        <w:ind w:left="0" w:firstLine="284"/>
        <w:rPr>
          <w:rFonts w:ascii="Arial" w:hAnsi="Arial" w:cs="Arial"/>
        </w:rPr>
      </w:pPr>
      <w:r>
        <w:rPr>
          <w:rFonts w:ascii="Arial" w:hAnsi="Arial" w:cs="Arial"/>
        </w:rPr>
        <w:t xml:space="preserve">Overall, FSWP demonstrated a superior amino acid profile, with higher levels of both essential and non-essential amino acids, suggesting that fermentation not only improves protein content but also enhances the nutritional quality of silkworm pupae. This aligns with findings from other studies where fermentation using various microorganisms improved the amino acid profiles of feed ingredients, such as </w:t>
      </w:r>
      <w:r>
        <w:rPr>
          <w:rFonts w:ascii="Arial" w:hAnsi="Arial" w:cs="Arial"/>
          <w:i/>
        </w:rPr>
        <w:t>Saccharomyces cerevisiae</w:t>
      </w:r>
      <w:r>
        <w:rPr>
          <w:rFonts w:ascii="Arial" w:hAnsi="Arial" w:cs="Arial"/>
        </w:rPr>
        <w:t xml:space="preserve"> and </w:t>
      </w:r>
      <w:r>
        <w:rPr>
          <w:rFonts w:ascii="Arial" w:hAnsi="Arial" w:cs="Arial"/>
          <w:i/>
        </w:rPr>
        <w:t>Bacillus subtilis</w:t>
      </w:r>
      <w:r>
        <w:rPr>
          <w:rFonts w:ascii="Arial" w:hAnsi="Arial" w:cs="Arial"/>
        </w:rPr>
        <w:t xml:space="preserve"> in sunflower meal (Hassaan et al., 2018), </w:t>
      </w:r>
      <w:r>
        <w:rPr>
          <w:rFonts w:ascii="Arial" w:hAnsi="Arial" w:cs="Arial"/>
          <w:i/>
        </w:rPr>
        <w:t>Aspergillus niger</w:t>
      </w:r>
      <w:r>
        <w:rPr>
          <w:rFonts w:ascii="Arial" w:hAnsi="Arial" w:cs="Arial"/>
        </w:rPr>
        <w:t xml:space="preserve"> in groundnut oil cake (Jannathulla et al., 2018), and </w:t>
      </w:r>
      <w:r>
        <w:rPr>
          <w:rFonts w:ascii="Arial" w:hAnsi="Arial" w:cs="Arial"/>
          <w:i/>
        </w:rPr>
        <w:t>Saccharomyces cerevisiae</w:t>
      </w:r>
      <w:r>
        <w:rPr>
          <w:rFonts w:ascii="Arial" w:hAnsi="Arial" w:cs="Arial"/>
        </w:rPr>
        <w:t xml:space="preserve"> in soybean meal (Sharawy et al., 2016).</w:t>
      </w:r>
    </w:p>
    <w:p w14:paraId="556BAB56">
      <w:pPr>
        <w:pStyle w:val="12"/>
        <w:ind w:left="0" w:firstLine="0"/>
        <w:rPr>
          <w:rFonts w:ascii="Arial" w:hAnsi="Arial" w:cs="Arial"/>
          <w:b/>
          <w:lang w:val="en-US"/>
        </w:rPr>
      </w:pPr>
    </w:p>
    <w:p w14:paraId="1E98E3CD">
      <w:pPr>
        <w:pStyle w:val="12"/>
        <w:ind w:left="0" w:firstLine="0"/>
        <w:rPr>
          <w:rFonts w:ascii="Arial" w:hAnsi="Arial" w:cs="Arial"/>
          <w:b/>
          <w:lang w:val="en-US"/>
        </w:rPr>
      </w:pPr>
      <w:r>
        <w:rPr>
          <w:rFonts w:ascii="Arial" w:hAnsi="Arial" w:cs="Arial"/>
          <w:b/>
          <w:lang w:val="en-US"/>
        </w:rPr>
        <w:t>5. Conclusion and future prospects:</w:t>
      </w:r>
    </w:p>
    <w:p w14:paraId="6A67F5FA">
      <w:pPr>
        <w:pStyle w:val="12"/>
        <w:ind w:left="0" w:firstLine="284"/>
        <w:rPr>
          <w:rFonts w:ascii="Arial" w:hAnsi="Arial" w:cs="Arial"/>
          <w:lang w:val="en-US"/>
        </w:rPr>
      </w:pPr>
      <w:r>
        <w:rPr>
          <w:rFonts w:ascii="Arial" w:hAnsi="Arial" w:cs="Arial"/>
        </w:rPr>
        <w:t xml:space="preserve">The study demonstrates that fermentation significantly enhances the nutritional profile of silkworm pupae (SWP), a typically discarded by-product of the silk industry. The fermentation process increased the crude protein content from 46.51% in non-deoiled SWP to 69.88% in fermented SWP, while reducing crude fat and moisture content. Notably, the fermentation process also decreased </w:t>
      </w:r>
      <w:commentRangeStart w:id="26"/>
      <w:r>
        <w:rPr>
          <w:rFonts w:ascii="Arial" w:hAnsi="Arial" w:cs="Arial"/>
        </w:rPr>
        <w:t>crude fiber and increased ash</w:t>
      </w:r>
      <w:commentRangeEnd w:id="26"/>
      <w:r>
        <w:commentReference w:id="26"/>
      </w:r>
      <w:r>
        <w:rPr>
          <w:rFonts w:ascii="Arial" w:hAnsi="Arial" w:cs="Arial"/>
        </w:rPr>
        <w:t xml:space="preserve"> content. Additionally, the amino acid profile improved substantially, with increased concentrations of essential amino acids such as methionine, lysine, and leucine, as well as non-essential amino acids like glutamic acid and glycine. These improvements </w:t>
      </w:r>
      <w:commentRangeStart w:id="27"/>
      <w:r>
        <w:rPr>
          <w:rFonts w:ascii="Arial" w:hAnsi="Arial" w:cs="Arial"/>
        </w:rPr>
        <w:t xml:space="preserve">highlight </w:t>
      </w:r>
      <w:commentRangeEnd w:id="27"/>
      <w:r>
        <w:commentReference w:id="27"/>
      </w:r>
      <w:r>
        <w:rPr>
          <w:rFonts w:ascii="Arial" w:hAnsi="Arial" w:cs="Arial"/>
        </w:rPr>
        <w:t xml:space="preserve">the potential of fermented silkworm pupae as a valuable protein source for animal and human feeds, with an enhanced amino acid profile </w:t>
      </w:r>
      <w:commentRangeStart w:id="28"/>
      <w:r>
        <w:rPr>
          <w:rFonts w:ascii="Arial" w:hAnsi="Arial" w:cs="Arial"/>
        </w:rPr>
        <w:t xml:space="preserve">meeting </w:t>
      </w:r>
      <w:commentRangeEnd w:id="28"/>
      <w:r>
        <w:commentReference w:id="28"/>
      </w:r>
      <w:r>
        <w:rPr>
          <w:rFonts w:ascii="Arial" w:hAnsi="Arial" w:cs="Arial"/>
        </w:rPr>
        <w:t>FAO/WHO/UNO standards. The findings support the repurposing of silkworm pupae through fermentation, providing an effective strategy to reduce waste and improve feed quality, aligning with broader sustainability goals in the feed industry.</w:t>
      </w:r>
    </w:p>
    <w:p w14:paraId="3154751A">
      <w:pPr>
        <w:pStyle w:val="12"/>
        <w:ind w:left="0" w:firstLine="0"/>
        <w:rPr>
          <w:rFonts w:ascii="Arial" w:hAnsi="Arial" w:cs="Arial"/>
          <w:b/>
          <w:lang w:val="en-US"/>
        </w:rPr>
      </w:pPr>
    </w:p>
    <w:p w14:paraId="101D34E6">
      <w:pPr>
        <w:pStyle w:val="12"/>
        <w:ind w:left="0" w:firstLine="0"/>
        <w:rPr>
          <w:rFonts w:ascii="Arial" w:hAnsi="Arial" w:cs="Arial"/>
        </w:rPr>
      </w:pPr>
    </w:p>
    <w:p w14:paraId="4B8315D9">
      <w:pPr>
        <w:pStyle w:val="12"/>
        <w:ind w:left="0" w:firstLine="0"/>
        <w:rPr>
          <w:rFonts w:ascii="Arial" w:hAnsi="Arial" w:cs="Arial"/>
          <w:color w:val="FF0000"/>
          <w:shd w:val="clear" w:color="auto" w:fill="FFFFFF"/>
        </w:rPr>
      </w:pPr>
      <w:commentRangeStart w:id="29"/>
      <w:r>
        <w:rPr>
          <w:rFonts w:ascii="Arial" w:hAnsi="Arial" w:cs="Arial"/>
        </w:rPr>
        <w:t>Table1</w:t>
      </w:r>
      <w:commentRangeEnd w:id="29"/>
      <w:r>
        <w:commentReference w:id="29"/>
      </w:r>
      <w:r>
        <w:rPr>
          <w:rFonts w:ascii="Arial" w:hAnsi="Arial" w:cs="Arial"/>
        </w:rPr>
        <w:t xml:space="preserve">: </w:t>
      </w:r>
      <w:r>
        <w:rPr>
          <w:rFonts w:ascii="Arial" w:hAnsi="Arial" w:cs="Arial"/>
          <w:lang w:val="en-US"/>
        </w:rPr>
        <w:t>Proximate composition of SWP, DSWP and FSWP:</w:t>
      </w:r>
    </w:p>
    <w:tbl>
      <w:tblPr>
        <w:tblStyle w:val="11"/>
        <w:tblW w:w="98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5"/>
        <w:gridCol w:w="1635"/>
        <w:gridCol w:w="1635"/>
        <w:gridCol w:w="1635"/>
        <w:gridCol w:w="1636"/>
        <w:gridCol w:w="1636"/>
      </w:tblGrid>
      <w:tr w14:paraId="7B32B4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5" w:hRule="atLeast"/>
        </w:trPr>
        <w:tc>
          <w:tcPr>
            <w:tcW w:w="1635" w:type="dxa"/>
          </w:tcPr>
          <w:p w14:paraId="7EEA0BCE">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b/>
              </w:rPr>
              <w:t>Mulberry SWP</w:t>
            </w:r>
          </w:p>
        </w:tc>
        <w:tc>
          <w:tcPr>
            <w:tcW w:w="1635" w:type="dxa"/>
          </w:tcPr>
          <w:p w14:paraId="73D3E634">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b/>
              </w:rPr>
              <w:t>Crude protein (%)</w:t>
            </w:r>
          </w:p>
        </w:tc>
        <w:tc>
          <w:tcPr>
            <w:tcW w:w="1635" w:type="dxa"/>
          </w:tcPr>
          <w:p w14:paraId="23334936">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b/>
              </w:rPr>
              <w:t>Crude fat (%)</w:t>
            </w:r>
          </w:p>
        </w:tc>
        <w:tc>
          <w:tcPr>
            <w:tcW w:w="1635" w:type="dxa"/>
          </w:tcPr>
          <w:p w14:paraId="018C5AE3">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b/>
              </w:rPr>
              <w:t>Moisture (%)</w:t>
            </w:r>
          </w:p>
        </w:tc>
        <w:tc>
          <w:tcPr>
            <w:tcW w:w="1636" w:type="dxa"/>
          </w:tcPr>
          <w:p w14:paraId="008767C6">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b/>
              </w:rPr>
              <w:t>Ash (%)</w:t>
            </w:r>
          </w:p>
        </w:tc>
        <w:tc>
          <w:tcPr>
            <w:tcW w:w="1636" w:type="dxa"/>
          </w:tcPr>
          <w:p w14:paraId="65A4B7F9">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b/>
              </w:rPr>
              <w:t>Crude Fibre (%)</w:t>
            </w:r>
          </w:p>
        </w:tc>
      </w:tr>
      <w:tr w14:paraId="462D87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trPr>
        <w:tc>
          <w:tcPr>
            <w:tcW w:w="1635" w:type="dxa"/>
          </w:tcPr>
          <w:p w14:paraId="634DA49C">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Non deoiled</w:t>
            </w:r>
          </w:p>
        </w:tc>
        <w:tc>
          <w:tcPr>
            <w:tcW w:w="1635" w:type="dxa"/>
          </w:tcPr>
          <w:p w14:paraId="34B0D39B">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46.51± 0.63</w:t>
            </w:r>
            <w:r>
              <w:rPr>
                <w:rFonts w:ascii="Arial" w:hAnsi="Arial" w:cs="Arial"/>
                <w:vertAlign w:val="superscript"/>
              </w:rPr>
              <w:t>c</w:t>
            </w:r>
          </w:p>
        </w:tc>
        <w:tc>
          <w:tcPr>
            <w:tcW w:w="1635" w:type="dxa"/>
          </w:tcPr>
          <w:p w14:paraId="7EB2C077">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27.35± 0.07</w:t>
            </w:r>
            <w:r>
              <w:rPr>
                <w:rFonts w:ascii="Arial" w:hAnsi="Arial" w:cs="Arial"/>
                <w:vertAlign w:val="superscript"/>
              </w:rPr>
              <w:t>a</w:t>
            </w:r>
          </w:p>
        </w:tc>
        <w:tc>
          <w:tcPr>
            <w:tcW w:w="1635" w:type="dxa"/>
          </w:tcPr>
          <w:p w14:paraId="2A8E894C">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7.59± 0.06</w:t>
            </w:r>
            <w:r>
              <w:rPr>
                <w:rFonts w:ascii="Arial" w:hAnsi="Arial" w:cs="Arial"/>
                <w:vertAlign w:val="superscript"/>
              </w:rPr>
              <w:t>a</w:t>
            </w:r>
          </w:p>
        </w:tc>
        <w:tc>
          <w:tcPr>
            <w:tcW w:w="1636" w:type="dxa"/>
          </w:tcPr>
          <w:p w14:paraId="3935EA06">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4.1 ± 0.18</w:t>
            </w:r>
            <w:commentRangeStart w:id="30"/>
            <w:r>
              <w:rPr>
                <w:rFonts w:ascii="Arial" w:hAnsi="Arial" w:cs="Arial"/>
                <w:vertAlign w:val="superscript"/>
              </w:rPr>
              <w:t>c</w:t>
            </w:r>
            <w:r>
              <w:rPr>
                <w:rFonts w:ascii="Arial" w:hAnsi="Arial" w:cs="Arial"/>
              </w:rPr>
              <w:t xml:space="preserve"> </w:t>
            </w:r>
            <w:commentRangeEnd w:id="30"/>
            <w:r>
              <w:commentReference w:id="30"/>
            </w:r>
            <w:r>
              <w:rPr>
                <w:rFonts w:ascii="Arial" w:hAnsi="Arial" w:cs="Arial"/>
              </w:rPr>
              <w:t xml:space="preserve"> </w:t>
            </w:r>
          </w:p>
        </w:tc>
        <w:tc>
          <w:tcPr>
            <w:tcW w:w="1636" w:type="dxa"/>
          </w:tcPr>
          <w:p w14:paraId="645FB19C">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3.03± 0.02</w:t>
            </w:r>
            <w:r>
              <w:rPr>
                <w:rFonts w:ascii="Arial" w:hAnsi="Arial" w:cs="Arial"/>
                <w:vertAlign w:val="superscript"/>
              </w:rPr>
              <w:t>b</w:t>
            </w:r>
          </w:p>
        </w:tc>
      </w:tr>
      <w:tr w14:paraId="113C6B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trPr>
        <w:tc>
          <w:tcPr>
            <w:tcW w:w="1635" w:type="dxa"/>
          </w:tcPr>
          <w:p w14:paraId="5BBFFDBE">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Deoiled</w:t>
            </w:r>
          </w:p>
        </w:tc>
        <w:tc>
          <w:tcPr>
            <w:tcW w:w="1635" w:type="dxa"/>
          </w:tcPr>
          <w:p w14:paraId="6F76514A">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59.01</w:t>
            </w:r>
            <w:r>
              <w:rPr>
                <w:rFonts w:ascii="Arial" w:hAnsi="Arial" w:cs="Arial"/>
                <w:lang w:val="en-US"/>
              </w:rPr>
              <w:t>± 1.39</w:t>
            </w:r>
            <w:r>
              <w:rPr>
                <w:rFonts w:ascii="Arial" w:hAnsi="Arial" w:cs="Arial"/>
                <w:vertAlign w:val="superscript"/>
                <w:lang w:val="en-US"/>
              </w:rPr>
              <w:t>b</w:t>
            </w:r>
          </w:p>
        </w:tc>
        <w:tc>
          <w:tcPr>
            <w:tcW w:w="1635" w:type="dxa"/>
          </w:tcPr>
          <w:p w14:paraId="291979F9">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4.16</w:t>
            </w:r>
            <w:r>
              <w:rPr>
                <w:rFonts w:ascii="Arial" w:hAnsi="Arial" w:cs="Arial"/>
                <w:lang w:val="en-US"/>
              </w:rPr>
              <w:t>± 0.0.82</w:t>
            </w:r>
            <w:r>
              <w:rPr>
                <w:rFonts w:ascii="Arial" w:hAnsi="Arial" w:cs="Arial"/>
                <w:vertAlign w:val="superscript"/>
                <w:lang w:val="en-US"/>
              </w:rPr>
              <w:t>b</w:t>
            </w:r>
          </w:p>
        </w:tc>
        <w:tc>
          <w:tcPr>
            <w:tcW w:w="1635" w:type="dxa"/>
          </w:tcPr>
          <w:p w14:paraId="5169031F">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4.10</w:t>
            </w:r>
            <w:r>
              <w:rPr>
                <w:rFonts w:ascii="Arial" w:hAnsi="Arial" w:cs="Arial"/>
                <w:lang w:val="en-US"/>
              </w:rPr>
              <w:t>± 0.11</w:t>
            </w:r>
            <w:r>
              <w:rPr>
                <w:rFonts w:ascii="Arial" w:hAnsi="Arial" w:cs="Arial"/>
                <w:vertAlign w:val="superscript"/>
                <w:lang w:val="en-US"/>
              </w:rPr>
              <w:t>c</w:t>
            </w:r>
          </w:p>
        </w:tc>
        <w:tc>
          <w:tcPr>
            <w:tcW w:w="1636" w:type="dxa"/>
          </w:tcPr>
          <w:p w14:paraId="44A9A8E8">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6.28 ± 0.56</w:t>
            </w:r>
            <w:r>
              <w:rPr>
                <w:rFonts w:ascii="Arial" w:hAnsi="Arial" w:cs="Arial"/>
                <w:vertAlign w:val="superscript"/>
              </w:rPr>
              <w:t>a</w:t>
            </w:r>
          </w:p>
        </w:tc>
        <w:tc>
          <w:tcPr>
            <w:tcW w:w="1636" w:type="dxa"/>
          </w:tcPr>
          <w:p w14:paraId="3BC1B4A8">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6.33± 0.11</w:t>
            </w:r>
            <w:r>
              <w:rPr>
                <w:rFonts w:ascii="Arial" w:hAnsi="Arial" w:cs="Arial"/>
                <w:vertAlign w:val="superscript"/>
              </w:rPr>
              <w:t>a</w:t>
            </w:r>
          </w:p>
        </w:tc>
      </w:tr>
      <w:tr w14:paraId="5F2B8A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trPr>
        <w:tc>
          <w:tcPr>
            <w:tcW w:w="1635" w:type="dxa"/>
          </w:tcPr>
          <w:p w14:paraId="56021D00">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Fermented</w:t>
            </w:r>
          </w:p>
        </w:tc>
        <w:tc>
          <w:tcPr>
            <w:tcW w:w="1635" w:type="dxa"/>
          </w:tcPr>
          <w:p w14:paraId="2A1F798B">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69.88</w:t>
            </w:r>
            <w:r>
              <w:rPr>
                <w:rFonts w:ascii="Arial" w:hAnsi="Arial" w:cs="Arial"/>
                <w:lang w:val="en-US"/>
              </w:rPr>
              <w:t>± 0.42</w:t>
            </w:r>
            <w:r>
              <w:rPr>
                <w:rFonts w:ascii="Arial" w:hAnsi="Arial" w:cs="Arial"/>
                <w:vertAlign w:val="superscript"/>
                <w:lang w:val="en-US"/>
              </w:rPr>
              <w:t>a</w:t>
            </w:r>
          </w:p>
        </w:tc>
        <w:tc>
          <w:tcPr>
            <w:tcW w:w="1635" w:type="dxa"/>
          </w:tcPr>
          <w:p w14:paraId="14869C98">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3.81</w:t>
            </w:r>
            <w:r>
              <w:rPr>
                <w:rFonts w:ascii="Arial" w:hAnsi="Arial" w:cs="Arial"/>
                <w:lang w:val="en-US"/>
              </w:rPr>
              <w:t>± 0.72</w:t>
            </w:r>
            <w:r>
              <w:rPr>
                <w:rFonts w:ascii="Arial" w:hAnsi="Arial" w:cs="Arial"/>
                <w:vertAlign w:val="superscript"/>
                <w:lang w:val="en-US"/>
              </w:rPr>
              <w:t>c</w:t>
            </w:r>
          </w:p>
        </w:tc>
        <w:tc>
          <w:tcPr>
            <w:tcW w:w="1635" w:type="dxa"/>
          </w:tcPr>
          <w:p w14:paraId="0B32378F">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5.16</w:t>
            </w:r>
            <w:r>
              <w:rPr>
                <w:rFonts w:ascii="Arial" w:hAnsi="Arial" w:cs="Arial"/>
                <w:lang w:val="en-US"/>
              </w:rPr>
              <w:t>± 0.04</w:t>
            </w:r>
            <w:r>
              <w:rPr>
                <w:rFonts w:ascii="Arial" w:hAnsi="Arial" w:cs="Arial"/>
                <w:vertAlign w:val="superscript"/>
                <w:lang w:val="en-US"/>
              </w:rPr>
              <w:t>b</w:t>
            </w:r>
          </w:p>
        </w:tc>
        <w:tc>
          <w:tcPr>
            <w:tcW w:w="1636" w:type="dxa"/>
          </w:tcPr>
          <w:p w14:paraId="208A0F3D">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6.58 ±  0.35</w:t>
            </w:r>
            <w:r>
              <w:rPr>
                <w:rFonts w:ascii="Arial" w:hAnsi="Arial" w:cs="Arial"/>
                <w:vertAlign w:val="superscript"/>
              </w:rPr>
              <w:t>a</w:t>
            </w:r>
          </w:p>
        </w:tc>
        <w:tc>
          <w:tcPr>
            <w:tcW w:w="1636" w:type="dxa"/>
          </w:tcPr>
          <w:p w14:paraId="6B776A07">
            <w:pPr>
              <w:autoSpaceDE w:val="0"/>
              <w:autoSpaceDN w:val="0"/>
              <w:adjustRightInd w:val="0"/>
              <w:spacing w:before="0" w:beforeAutospacing="0" w:after="0" w:afterAutospacing="0" w:line="480" w:lineRule="auto"/>
              <w:ind w:firstLine="0"/>
              <w:jc w:val="center"/>
              <w:rPr>
                <w:rFonts w:ascii="Arial" w:hAnsi="Arial" w:cs="Arial"/>
                <w:vertAlign w:val="superscript"/>
              </w:rPr>
            </w:pPr>
            <w:r>
              <w:rPr>
                <w:rFonts w:ascii="Arial" w:hAnsi="Arial" w:cs="Arial"/>
              </w:rPr>
              <w:t>3.02± 0.02</w:t>
            </w:r>
            <w:r>
              <w:rPr>
                <w:rFonts w:ascii="Arial" w:hAnsi="Arial" w:cs="Arial"/>
                <w:vertAlign w:val="superscript"/>
              </w:rPr>
              <w:t>b</w:t>
            </w:r>
          </w:p>
        </w:tc>
      </w:tr>
      <w:tr w14:paraId="35D61A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trPr>
        <w:tc>
          <w:tcPr>
            <w:tcW w:w="1635" w:type="dxa"/>
          </w:tcPr>
          <w:p w14:paraId="2474CE1E">
            <w:pPr>
              <w:autoSpaceDE w:val="0"/>
              <w:autoSpaceDN w:val="0"/>
              <w:adjustRightInd w:val="0"/>
              <w:spacing w:before="0" w:beforeAutospacing="0" w:after="0" w:afterAutospacing="0" w:line="480" w:lineRule="auto"/>
              <w:ind w:firstLine="0"/>
              <w:jc w:val="center"/>
              <w:rPr>
                <w:rFonts w:ascii="Arial" w:hAnsi="Arial" w:cs="Arial"/>
                <w:b/>
              </w:rPr>
            </w:pPr>
            <w:r>
              <w:rPr>
                <w:rFonts w:ascii="Arial" w:hAnsi="Arial" w:cs="Arial"/>
                <w:b/>
              </w:rPr>
              <w:t>SE(d)</w:t>
            </w:r>
          </w:p>
        </w:tc>
        <w:tc>
          <w:tcPr>
            <w:tcW w:w="1635" w:type="dxa"/>
          </w:tcPr>
          <w:p w14:paraId="30142D9D">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0.74</w:t>
            </w:r>
          </w:p>
        </w:tc>
        <w:tc>
          <w:tcPr>
            <w:tcW w:w="1635" w:type="dxa"/>
          </w:tcPr>
          <w:p w14:paraId="1126BC46">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0.51</w:t>
            </w:r>
          </w:p>
        </w:tc>
        <w:tc>
          <w:tcPr>
            <w:tcW w:w="1635" w:type="dxa"/>
          </w:tcPr>
          <w:p w14:paraId="161193E9">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0.063</w:t>
            </w:r>
          </w:p>
        </w:tc>
        <w:tc>
          <w:tcPr>
            <w:tcW w:w="1636" w:type="dxa"/>
          </w:tcPr>
          <w:p w14:paraId="3B641A40">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0.323</w:t>
            </w:r>
          </w:p>
        </w:tc>
        <w:tc>
          <w:tcPr>
            <w:tcW w:w="1636" w:type="dxa"/>
          </w:tcPr>
          <w:p w14:paraId="0A4FE378">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0.054</w:t>
            </w:r>
          </w:p>
        </w:tc>
      </w:tr>
      <w:tr w14:paraId="0E5452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trPr>
        <w:tc>
          <w:tcPr>
            <w:tcW w:w="1635" w:type="dxa"/>
          </w:tcPr>
          <w:p w14:paraId="71BEE662">
            <w:pPr>
              <w:autoSpaceDE w:val="0"/>
              <w:autoSpaceDN w:val="0"/>
              <w:adjustRightInd w:val="0"/>
              <w:spacing w:before="0" w:beforeAutospacing="0" w:after="0" w:afterAutospacing="0" w:line="480" w:lineRule="auto"/>
              <w:ind w:firstLine="0"/>
              <w:jc w:val="center"/>
              <w:rPr>
                <w:rFonts w:ascii="Arial" w:hAnsi="Arial" w:cs="Arial"/>
                <w:b/>
              </w:rPr>
            </w:pPr>
            <w:r>
              <w:rPr>
                <w:rFonts w:ascii="Arial" w:hAnsi="Arial" w:cs="Arial"/>
                <w:b/>
              </w:rPr>
              <w:t>CD(0.05)</w:t>
            </w:r>
          </w:p>
        </w:tc>
        <w:tc>
          <w:tcPr>
            <w:tcW w:w="1635" w:type="dxa"/>
          </w:tcPr>
          <w:p w14:paraId="43993410">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1.85</w:t>
            </w:r>
          </w:p>
        </w:tc>
        <w:tc>
          <w:tcPr>
            <w:tcW w:w="1635" w:type="dxa"/>
          </w:tcPr>
          <w:p w14:paraId="676F2A65">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1.28</w:t>
            </w:r>
          </w:p>
        </w:tc>
        <w:tc>
          <w:tcPr>
            <w:tcW w:w="1635" w:type="dxa"/>
          </w:tcPr>
          <w:p w14:paraId="2EBA43B4">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0.158</w:t>
            </w:r>
          </w:p>
        </w:tc>
        <w:tc>
          <w:tcPr>
            <w:tcW w:w="1636" w:type="dxa"/>
          </w:tcPr>
          <w:p w14:paraId="3AC41028">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0.805</w:t>
            </w:r>
          </w:p>
        </w:tc>
        <w:tc>
          <w:tcPr>
            <w:tcW w:w="1636" w:type="dxa"/>
          </w:tcPr>
          <w:p w14:paraId="0EAC981D">
            <w:pPr>
              <w:autoSpaceDE w:val="0"/>
              <w:autoSpaceDN w:val="0"/>
              <w:adjustRightInd w:val="0"/>
              <w:spacing w:before="0" w:beforeAutospacing="0" w:after="0" w:afterAutospacing="0" w:line="480" w:lineRule="auto"/>
              <w:ind w:firstLine="0"/>
              <w:jc w:val="center"/>
              <w:rPr>
                <w:rFonts w:ascii="Arial" w:hAnsi="Arial" w:cs="Arial"/>
              </w:rPr>
            </w:pPr>
            <w:r>
              <w:rPr>
                <w:rFonts w:ascii="Arial" w:hAnsi="Arial" w:cs="Arial"/>
              </w:rPr>
              <w:t>0.134</w:t>
            </w:r>
          </w:p>
        </w:tc>
      </w:tr>
    </w:tbl>
    <w:p w14:paraId="53E42030">
      <w:pPr>
        <w:ind w:left="-539" w:right="-629" w:firstLine="1259"/>
        <w:rPr>
          <w:rFonts w:ascii="Arial" w:hAnsi="Arial" w:cs="Arial"/>
          <w:lang w:val="en-US"/>
        </w:rPr>
      </w:pPr>
      <w:r>
        <w:rPr>
          <w:rFonts w:ascii="Arial" w:hAnsi="Arial" w:cs="Arial"/>
        </w:rPr>
        <w:t xml:space="preserve">Note: </w:t>
      </w:r>
      <w:r>
        <w:rPr>
          <w:rFonts w:ascii="Arial" w:hAnsi="Arial" w:cs="Arial"/>
          <w:lang w:val="en-US"/>
        </w:rPr>
        <w:t xml:space="preserve">Values are expressed in mean ± SD with three replications (n=3). </w:t>
      </w:r>
    </w:p>
    <w:p w14:paraId="71B3C174">
      <w:pPr>
        <w:ind w:left="-539" w:right="-629" w:firstLine="1259"/>
        <w:rPr>
          <w:rFonts w:ascii="Arial" w:hAnsi="Arial" w:cs="Arial"/>
          <w:lang w:val="en-US"/>
        </w:rPr>
      </w:pPr>
      <w:r>
        <w:rPr>
          <w:rFonts w:ascii="Arial" w:hAnsi="Arial" w:cs="Arial"/>
          <w:lang w:val="en-US"/>
        </w:rPr>
        <w:t xml:space="preserve">Means followed by different small </w:t>
      </w:r>
      <w:commentRangeStart w:id="31"/>
      <w:r>
        <w:rPr>
          <w:rFonts w:ascii="Arial" w:hAnsi="Arial" w:cs="Arial"/>
          <w:lang w:val="en-US"/>
        </w:rPr>
        <w:t xml:space="preserve">superscript </w:t>
      </w:r>
      <w:commentRangeEnd w:id="31"/>
      <w:r>
        <w:commentReference w:id="31"/>
      </w:r>
      <w:r>
        <w:rPr>
          <w:rFonts w:ascii="Arial" w:hAnsi="Arial" w:cs="Arial"/>
          <w:lang w:val="en-US"/>
        </w:rPr>
        <w:t xml:space="preserve">in a Column are statistically different at </w:t>
      </w:r>
    </w:p>
    <w:p w14:paraId="18116E30">
      <w:pPr>
        <w:ind w:left="-539" w:right="-629" w:firstLine="1259"/>
        <w:rPr>
          <w:rFonts w:ascii="Arial" w:hAnsi="Arial" w:cs="Arial"/>
          <w:lang w:val="en-US"/>
        </w:rPr>
      </w:pPr>
      <w:r>
        <w:rPr>
          <w:rFonts w:ascii="Arial" w:hAnsi="Arial" w:cs="Arial"/>
          <w:lang w:val="en-US"/>
        </w:rPr>
        <w:t>p</w:t>
      </w:r>
      <w:r>
        <w:rPr>
          <w:rFonts w:ascii="Arial" w:hAnsi="Arial" w:cs="Arial"/>
          <w:u w:val="single"/>
          <w:lang w:val="en-US"/>
        </w:rPr>
        <w:t>&lt;</w:t>
      </w:r>
      <w:r>
        <w:rPr>
          <w:rFonts w:ascii="Arial" w:hAnsi="Arial" w:cs="Arial"/>
          <w:lang w:val="en-US"/>
        </w:rPr>
        <w:t>0.05</w:t>
      </w:r>
    </w:p>
    <w:p w14:paraId="6FBCE267">
      <w:pPr>
        <w:pStyle w:val="12"/>
        <w:ind w:left="0" w:firstLine="0"/>
        <w:rPr>
          <w:rFonts w:ascii="Arial" w:hAnsi="Arial" w:cs="Arial"/>
          <w:i/>
          <w:lang w:val="en-US"/>
        </w:rPr>
      </w:pPr>
      <w:commentRangeStart w:id="32"/>
      <w:r>
        <w:rPr>
          <w:rFonts w:ascii="Arial" w:hAnsi="Arial" w:cs="Arial"/>
          <w:i/>
        </w:rPr>
        <w:t xml:space="preserve">Table2: </w:t>
      </w:r>
      <w:r>
        <w:rPr>
          <w:rFonts w:ascii="Arial" w:hAnsi="Arial" w:cs="Arial"/>
          <w:i/>
          <w:lang w:val="en-US"/>
        </w:rPr>
        <w:t>Amino acid composition (g/16g N) of SWP</w:t>
      </w:r>
      <w:commentRangeEnd w:id="32"/>
      <w:r>
        <w:commentReference w:id="32"/>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10"/>
        <w:gridCol w:w="2310"/>
        <w:gridCol w:w="2311"/>
        <w:gridCol w:w="2311"/>
      </w:tblGrid>
      <w:tr w14:paraId="409766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 w:hRule="atLeast"/>
        </w:trPr>
        <w:tc>
          <w:tcPr>
            <w:tcW w:w="2310" w:type="dxa"/>
            <w:vMerge w:val="restart"/>
          </w:tcPr>
          <w:p w14:paraId="3C4687BF">
            <w:pPr>
              <w:spacing w:before="0" w:beforeAutospacing="0" w:after="0" w:afterAutospacing="0" w:line="480" w:lineRule="auto"/>
              <w:ind w:firstLine="0"/>
              <w:jc w:val="center"/>
              <w:rPr>
                <w:rFonts w:ascii="Arial" w:hAnsi="Arial" w:cs="Arial"/>
                <w:b/>
              </w:rPr>
            </w:pPr>
            <w:r>
              <w:rPr>
                <w:rFonts w:ascii="Arial" w:hAnsi="Arial" w:cs="Arial"/>
                <w:b/>
              </w:rPr>
              <w:t>AMINO ACID</w:t>
            </w:r>
          </w:p>
        </w:tc>
        <w:tc>
          <w:tcPr>
            <w:tcW w:w="6932" w:type="dxa"/>
            <w:gridSpan w:val="3"/>
          </w:tcPr>
          <w:p w14:paraId="78D28DD0">
            <w:pPr>
              <w:spacing w:before="0" w:beforeAutospacing="0" w:after="0" w:afterAutospacing="0" w:line="480" w:lineRule="auto"/>
              <w:ind w:firstLine="0"/>
              <w:jc w:val="center"/>
              <w:rPr>
                <w:rFonts w:ascii="Arial" w:hAnsi="Arial" w:cs="Arial"/>
                <w:b/>
              </w:rPr>
            </w:pPr>
            <w:r>
              <w:rPr>
                <w:rFonts w:ascii="Arial" w:hAnsi="Arial" w:cs="Arial"/>
                <w:b/>
              </w:rPr>
              <w:t>Mulberry Silkworm</w:t>
            </w:r>
          </w:p>
        </w:tc>
      </w:tr>
      <w:tr w14:paraId="0594D4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atLeast"/>
        </w:trPr>
        <w:tc>
          <w:tcPr>
            <w:tcW w:w="2310" w:type="dxa"/>
            <w:vMerge w:val="continue"/>
          </w:tcPr>
          <w:p w14:paraId="0B382292">
            <w:pPr>
              <w:spacing w:before="0" w:beforeAutospacing="0" w:after="0" w:afterAutospacing="0" w:line="480" w:lineRule="auto"/>
              <w:ind w:firstLine="0"/>
              <w:jc w:val="center"/>
              <w:rPr>
                <w:rFonts w:ascii="Arial" w:hAnsi="Arial" w:cs="Arial"/>
                <w:b/>
              </w:rPr>
            </w:pPr>
          </w:p>
        </w:tc>
        <w:tc>
          <w:tcPr>
            <w:tcW w:w="2310" w:type="dxa"/>
          </w:tcPr>
          <w:p w14:paraId="0392FA6F">
            <w:pPr>
              <w:spacing w:before="0" w:beforeAutospacing="0" w:after="0" w:afterAutospacing="0" w:line="480" w:lineRule="auto"/>
              <w:ind w:firstLine="0"/>
              <w:jc w:val="center"/>
              <w:rPr>
                <w:rFonts w:ascii="Arial" w:hAnsi="Arial" w:cs="Arial"/>
                <w:b/>
              </w:rPr>
            </w:pPr>
            <w:r>
              <w:rPr>
                <w:rFonts w:ascii="Arial" w:hAnsi="Arial" w:cs="Arial"/>
                <w:b/>
              </w:rPr>
              <w:t>Non deoiled</w:t>
            </w:r>
          </w:p>
        </w:tc>
        <w:tc>
          <w:tcPr>
            <w:tcW w:w="2311" w:type="dxa"/>
          </w:tcPr>
          <w:p w14:paraId="389E1B10">
            <w:pPr>
              <w:spacing w:before="0" w:beforeAutospacing="0" w:after="0" w:afterAutospacing="0" w:line="480" w:lineRule="auto"/>
              <w:ind w:firstLine="0"/>
              <w:jc w:val="center"/>
              <w:rPr>
                <w:rFonts w:ascii="Arial" w:hAnsi="Arial" w:cs="Arial"/>
                <w:b/>
              </w:rPr>
            </w:pPr>
            <w:r>
              <w:rPr>
                <w:rFonts w:ascii="Arial" w:hAnsi="Arial" w:cs="Arial"/>
                <w:b/>
              </w:rPr>
              <w:t>Deoiled</w:t>
            </w:r>
          </w:p>
        </w:tc>
        <w:tc>
          <w:tcPr>
            <w:tcW w:w="2311" w:type="dxa"/>
          </w:tcPr>
          <w:p w14:paraId="24810B22">
            <w:pPr>
              <w:spacing w:before="0" w:beforeAutospacing="0" w:after="0" w:afterAutospacing="0" w:line="480" w:lineRule="auto"/>
              <w:ind w:firstLine="0"/>
              <w:jc w:val="center"/>
              <w:rPr>
                <w:rFonts w:ascii="Arial" w:hAnsi="Arial" w:cs="Arial"/>
                <w:b/>
              </w:rPr>
            </w:pPr>
            <w:r>
              <w:rPr>
                <w:rFonts w:ascii="Arial" w:hAnsi="Arial" w:cs="Arial"/>
                <w:b/>
              </w:rPr>
              <w:t>Fermented</w:t>
            </w:r>
          </w:p>
        </w:tc>
      </w:tr>
      <w:tr w14:paraId="3048DF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39A5E822">
            <w:pPr>
              <w:spacing w:before="0" w:beforeAutospacing="0" w:after="120" w:afterAutospacing="0" w:line="480" w:lineRule="auto"/>
              <w:ind w:firstLine="0"/>
              <w:jc w:val="center"/>
              <w:rPr>
                <w:rFonts w:ascii="Arial" w:hAnsi="Arial" w:cs="Arial"/>
              </w:rPr>
            </w:pPr>
            <w:r>
              <w:rPr>
                <w:rFonts w:ascii="Arial" w:hAnsi="Arial" w:cs="Arial"/>
              </w:rPr>
              <w:t>Methionine</w:t>
            </w:r>
          </w:p>
        </w:tc>
        <w:tc>
          <w:tcPr>
            <w:tcW w:w="2310" w:type="dxa"/>
          </w:tcPr>
          <w:p w14:paraId="2CC74355">
            <w:pPr>
              <w:spacing w:before="0" w:beforeAutospacing="0" w:after="120" w:afterAutospacing="0" w:line="480" w:lineRule="auto"/>
              <w:ind w:firstLine="0"/>
              <w:jc w:val="center"/>
              <w:rPr>
                <w:rFonts w:ascii="Arial" w:hAnsi="Arial" w:cs="Arial"/>
              </w:rPr>
            </w:pPr>
            <w:r>
              <w:rPr>
                <w:rFonts w:ascii="Arial" w:hAnsi="Arial" w:cs="Arial"/>
              </w:rPr>
              <w:t>3.43±0.06</w:t>
            </w:r>
          </w:p>
        </w:tc>
        <w:tc>
          <w:tcPr>
            <w:tcW w:w="2311" w:type="dxa"/>
          </w:tcPr>
          <w:p w14:paraId="736EEBB1">
            <w:pPr>
              <w:spacing w:before="0" w:beforeAutospacing="0" w:after="120" w:afterAutospacing="0" w:line="480" w:lineRule="auto"/>
              <w:ind w:firstLine="0"/>
              <w:jc w:val="center"/>
              <w:rPr>
                <w:rFonts w:ascii="Arial" w:hAnsi="Arial" w:cs="Arial"/>
              </w:rPr>
            </w:pPr>
            <w:r>
              <w:rPr>
                <w:rFonts w:ascii="Arial" w:hAnsi="Arial" w:cs="Arial"/>
              </w:rPr>
              <w:t>3.00±0.10</w:t>
            </w:r>
          </w:p>
        </w:tc>
        <w:tc>
          <w:tcPr>
            <w:tcW w:w="2311" w:type="dxa"/>
          </w:tcPr>
          <w:p w14:paraId="0154E103">
            <w:pPr>
              <w:spacing w:before="0" w:beforeAutospacing="0" w:after="120" w:afterAutospacing="0" w:line="480" w:lineRule="auto"/>
              <w:ind w:firstLine="0"/>
              <w:jc w:val="center"/>
              <w:rPr>
                <w:rFonts w:ascii="Arial" w:hAnsi="Arial" w:cs="Arial"/>
              </w:rPr>
            </w:pPr>
            <w:r>
              <w:rPr>
                <w:rFonts w:ascii="Arial" w:hAnsi="Arial" w:cs="Arial"/>
              </w:rPr>
              <w:t>4.07±0.21</w:t>
            </w:r>
          </w:p>
        </w:tc>
      </w:tr>
      <w:tr w14:paraId="1ED03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76AE0A97">
            <w:pPr>
              <w:spacing w:before="0" w:beforeAutospacing="0" w:after="120" w:afterAutospacing="0" w:line="480" w:lineRule="auto"/>
              <w:ind w:firstLine="0"/>
              <w:jc w:val="center"/>
              <w:rPr>
                <w:rFonts w:ascii="Arial" w:hAnsi="Arial" w:cs="Arial"/>
              </w:rPr>
            </w:pPr>
            <w:r>
              <w:rPr>
                <w:rFonts w:ascii="Arial" w:hAnsi="Arial" w:cs="Arial"/>
              </w:rPr>
              <w:t>Lysine</w:t>
            </w:r>
          </w:p>
        </w:tc>
        <w:tc>
          <w:tcPr>
            <w:tcW w:w="2310" w:type="dxa"/>
          </w:tcPr>
          <w:p w14:paraId="0DD92859">
            <w:pPr>
              <w:spacing w:before="0" w:beforeAutospacing="0" w:after="120" w:afterAutospacing="0" w:line="480" w:lineRule="auto"/>
              <w:ind w:firstLine="0"/>
              <w:jc w:val="center"/>
              <w:rPr>
                <w:rFonts w:ascii="Arial" w:hAnsi="Arial" w:cs="Arial"/>
              </w:rPr>
            </w:pPr>
            <w:r>
              <w:rPr>
                <w:rFonts w:ascii="Arial" w:hAnsi="Arial" w:cs="Arial"/>
              </w:rPr>
              <w:t>6.93±0.06</w:t>
            </w:r>
          </w:p>
        </w:tc>
        <w:tc>
          <w:tcPr>
            <w:tcW w:w="2311" w:type="dxa"/>
          </w:tcPr>
          <w:p w14:paraId="5EEDA656">
            <w:pPr>
              <w:spacing w:before="0" w:beforeAutospacing="0" w:after="120" w:afterAutospacing="0" w:line="480" w:lineRule="auto"/>
              <w:ind w:firstLine="0"/>
              <w:jc w:val="center"/>
              <w:rPr>
                <w:rFonts w:ascii="Arial" w:hAnsi="Arial" w:cs="Arial"/>
              </w:rPr>
            </w:pPr>
            <w:r>
              <w:rPr>
                <w:rFonts w:ascii="Arial" w:hAnsi="Arial" w:cs="Arial"/>
              </w:rPr>
              <w:t>6.04±0.12</w:t>
            </w:r>
          </w:p>
        </w:tc>
        <w:tc>
          <w:tcPr>
            <w:tcW w:w="2311" w:type="dxa"/>
          </w:tcPr>
          <w:p w14:paraId="5E13206F">
            <w:pPr>
              <w:spacing w:before="0" w:beforeAutospacing="0" w:after="120" w:afterAutospacing="0" w:line="480" w:lineRule="auto"/>
              <w:ind w:firstLine="0"/>
              <w:jc w:val="center"/>
              <w:rPr>
                <w:rFonts w:ascii="Arial" w:hAnsi="Arial" w:cs="Arial"/>
              </w:rPr>
            </w:pPr>
            <w:r>
              <w:rPr>
                <w:rFonts w:ascii="Arial" w:hAnsi="Arial" w:cs="Arial"/>
              </w:rPr>
              <w:t>7.53±0.06</w:t>
            </w:r>
          </w:p>
        </w:tc>
      </w:tr>
      <w:tr w14:paraId="58B319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3405A434">
            <w:pPr>
              <w:spacing w:before="0" w:beforeAutospacing="0" w:after="120" w:afterAutospacing="0" w:line="480" w:lineRule="auto"/>
              <w:ind w:firstLine="0"/>
              <w:jc w:val="center"/>
              <w:rPr>
                <w:rFonts w:ascii="Arial" w:hAnsi="Arial" w:cs="Arial"/>
              </w:rPr>
            </w:pPr>
            <w:r>
              <w:rPr>
                <w:rFonts w:ascii="Arial" w:hAnsi="Arial" w:cs="Arial"/>
              </w:rPr>
              <w:t>Isoleucine</w:t>
            </w:r>
          </w:p>
        </w:tc>
        <w:tc>
          <w:tcPr>
            <w:tcW w:w="2310" w:type="dxa"/>
          </w:tcPr>
          <w:p w14:paraId="577924CC">
            <w:pPr>
              <w:spacing w:before="0" w:beforeAutospacing="0" w:after="120" w:afterAutospacing="0" w:line="480" w:lineRule="auto"/>
              <w:ind w:firstLine="0"/>
              <w:jc w:val="center"/>
              <w:rPr>
                <w:rFonts w:ascii="Arial" w:hAnsi="Arial" w:cs="Arial"/>
              </w:rPr>
            </w:pPr>
            <w:r>
              <w:rPr>
                <w:rFonts w:ascii="Arial" w:hAnsi="Arial" w:cs="Arial"/>
              </w:rPr>
              <w:t>5.13±0.06</w:t>
            </w:r>
          </w:p>
        </w:tc>
        <w:tc>
          <w:tcPr>
            <w:tcW w:w="2311" w:type="dxa"/>
          </w:tcPr>
          <w:p w14:paraId="5D859201">
            <w:pPr>
              <w:spacing w:before="0" w:beforeAutospacing="0" w:after="120" w:afterAutospacing="0" w:line="480" w:lineRule="auto"/>
              <w:ind w:firstLine="0"/>
              <w:jc w:val="center"/>
              <w:rPr>
                <w:rFonts w:ascii="Arial" w:hAnsi="Arial" w:cs="Arial"/>
              </w:rPr>
            </w:pPr>
            <w:r>
              <w:rPr>
                <w:rFonts w:ascii="Arial" w:hAnsi="Arial" w:cs="Arial"/>
              </w:rPr>
              <w:t>3.73±0.21</w:t>
            </w:r>
          </w:p>
        </w:tc>
        <w:tc>
          <w:tcPr>
            <w:tcW w:w="2311" w:type="dxa"/>
          </w:tcPr>
          <w:p w14:paraId="683F1FC8">
            <w:pPr>
              <w:spacing w:before="0" w:beforeAutospacing="0" w:after="120" w:afterAutospacing="0" w:line="480" w:lineRule="auto"/>
              <w:ind w:firstLine="0"/>
              <w:jc w:val="center"/>
              <w:rPr>
                <w:rFonts w:ascii="Arial" w:hAnsi="Arial" w:cs="Arial"/>
              </w:rPr>
            </w:pPr>
            <w:r>
              <w:rPr>
                <w:rFonts w:ascii="Arial" w:hAnsi="Arial" w:cs="Arial"/>
              </w:rPr>
              <w:t>6.47±0.06</w:t>
            </w:r>
          </w:p>
        </w:tc>
      </w:tr>
      <w:tr w14:paraId="46A17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69DF1436">
            <w:pPr>
              <w:spacing w:before="0" w:beforeAutospacing="0" w:after="120" w:afterAutospacing="0" w:line="480" w:lineRule="auto"/>
              <w:ind w:firstLine="0"/>
              <w:jc w:val="center"/>
              <w:rPr>
                <w:rFonts w:ascii="Arial" w:hAnsi="Arial" w:cs="Arial"/>
              </w:rPr>
            </w:pPr>
            <w:r>
              <w:rPr>
                <w:rFonts w:ascii="Arial" w:hAnsi="Arial" w:cs="Arial"/>
              </w:rPr>
              <w:t>Leucine</w:t>
            </w:r>
          </w:p>
        </w:tc>
        <w:tc>
          <w:tcPr>
            <w:tcW w:w="2310" w:type="dxa"/>
          </w:tcPr>
          <w:p w14:paraId="2E174904">
            <w:pPr>
              <w:spacing w:before="0" w:beforeAutospacing="0" w:after="120" w:afterAutospacing="0" w:line="480" w:lineRule="auto"/>
              <w:ind w:firstLine="0"/>
              <w:jc w:val="center"/>
              <w:rPr>
                <w:rFonts w:ascii="Arial" w:hAnsi="Arial" w:cs="Arial"/>
              </w:rPr>
            </w:pPr>
            <w:r>
              <w:rPr>
                <w:rFonts w:ascii="Arial" w:hAnsi="Arial" w:cs="Arial"/>
              </w:rPr>
              <w:t>7.50±0.10</w:t>
            </w:r>
          </w:p>
        </w:tc>
        <w:tc>
          <w:tcPr>
            <w:tcW w:w="2311" w:type="dxa"/>
          </w:tcPr>
          <w:p w14:paraId="4E58D96C">
            <w:pPr>
              <w:spacing w:before="0" w:beforeAutospacing="0" w:after="120" w:afterAutospacing="0" w:line="480" w:lineRule="auto"/>
              <w:ind w:firstLine="0"/>
              <w:jc w:val="center"/>
              <w:rPr>
                <w:rFonts w:ascii="Arial" w:hAnsi="Arial" w:cs="Arial"/>
              </w:rPr>
            </w:pPr>
            <w:r>
              <w:rPr>
                <w:rFonts w:ascii="Arial" w:hAnsi="Arial" w:cs="Arial"/>
              </w:rPr>
              <w:t>5.84±0.06</w:t>
            </w:r>
          </w:p>
        </w:tc>
        <w:tc>
          <w:tcPr>
            <w:tcW w:w="2311" w:type="dxa"/>
          </w:tcPr>
          <w:p w14:paraId="4199DC33">
            <w:pPr>
              <w:spacing w:before="0" w:beforeAutospacing="0" w:after="120" w:afterAutospacing="0" w:line="480" w:lineRule="auto"/>
              <w:ind w:firstLine="0"/>
              <w:jc w:val="center"/>
              <w:rPr>
                <w:rFonts w:ascii="Arial" w:hAnsi="Arial" w:cs="Arial"/>
              </w:rPr>
            </w:pPr>
            <w:r>
              <w:rPr>
                <w:rFonts w:ascii="Arial" w:hAnsi="Arial" w:cs="Arial"/>
              </w:rPr>
              <w:t>8.50±0.35</w:t>
            </w:r>
          </w:p>
        </w:tc>
      </w:tr>
      <w:tr w14:paraId="172723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3AE49987">
            <w:pPr>
              <w:spacing w:before="0" w:beforeAutospacing="0" w:after="120" w:afterAutospacing="0" w:line="480" w:lineRule="auto"/>
              <w:ind w:firstLine="0"/>
              <w:jc w:val="center"/>
              <w:rPr>
                <w:rFonts w:ascii="Arial" w:hAnsi="Arial" w:cs="Arial"/>
              </w:rPr>
            </w:pPr>
            <w:r>
              <w:rPr>
                <w:rFonts w:ascii="Arial" w:hAnsi="Arial" w:cs="Arial"/>
              </w:rPr>
              <w:t>Phenylalanine</w:t>
            </w:r>
          </w:p>
        </w:tc>
        <w:tc>
          <w:tcPr>
            <w:tcW w:w="2310" w:type="dxa"/>
          </w:tcPr>
          <w:p w14:paraId="6EE294E6">
            <w:pPr>
              <w:spacing w:before="0" w:beforeAutospacing="0" w:after="120" w:afterAutospacing="0" w:line="480" w:lineRule="auto"/>
              <w:ind w:firstLine="0"/>
              <w:jc w:val="center"/>
              <w:rPr>
                <w:rFonts w:ascii="Arial" w:hAnsi="Arial" w:cs="Arial"/>
              </w:rPr>
            </w:pPr>
            <w:r>
              <w:rPr>
                <w:rFonts w:ascii="Arial" w:hAnsi="Arial" w:cs="Arial"/>
              </w:rPr>
              <w:t>5.13±0.06</w:t>
            </w:r>
          </w:p>
        </w:tc>
        <w:tc>
          <w:tcPr>
            <w:tcW w:w="2311" w:type="dxa"/>
          </w:tcPr>
          <w:p w14:paraId="057738FD">
            <w:pPr>
              <w:spacing w:before="0" w:beforeAutospacing="0" w:after="120" w:afterAutospacing="0" w:line="480" w:lineRule="auto"/>
              <w:ind w:firstLine="0"/>
              <w:jc w:val="center"/>
              <w:rPr>
                <w:rFonts w:ascii="Arial" w:hAnsi="Arial" w:cs="Arial"/>
              </w:rPr>
            </w:pPr>
            <w:r>
              <w:rPr>
                <w:rFonts w:ascii="Arial" w:hAnsi="Arial" w:cs="Arial"/>
              </w:rPr>
              <w:t>4.30±0.10</w:t>
            </w:r>
          </w:p>
        </w:tc>
        <w:tc>
          <w:tcPr>
            <w:tcW w:w="2311" w:type="dxa"/>
          </w:tcPr>
          <w:p w14:paraId="49D1F815">
            <w:pPr>
              <w:spacing w:before="0" w:beforeAutospacing="0" w:after="120" w:afterAutospacing="0" w:line="480" w:lineRule="auto"/>
              <w:ind w:firstLine="0"/>
              <w:jc w:val="center"/>
              <w:rPr>
                <w:rFonts w:ascii="Arial" w:hAnsi="Arial" w:cs="Arial"/>
              </w:rPr>
            </w:pPr>
            <w:r>
              <w:rPr>
                <w:rFonts w:ascii="Arial" w:hAnsi="Arial" w:cs="Arial"/>
              </w:rPr>
              <w:t>7.70±0.35</w:t>
            </w:r>
          </w:p>
        </w:tc>
      </w:tr>
      <w:tr w14:paraId="280E74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539C32AB">
            <w:pPr>
              <w:spacing w:before="0" w:beforeAutospacing="0" w:after="120" w:afterAutospacing="0" w:line="480" w:lineRule="auto"/>
              <w:ind w:firstLine="0"/>
              <w:jc w:val="center"/>
              <w:rPr>
                <w:rFonts w:ascii="Arial" w:hAnsi="Arial" w:cs="Arial"/>
              </w:rPr>
            </w:pPr>
            <w:r>
              <w:rPr>
                <w:rFonts w:ascii="Arial" w:hAnsi="Arial" w:cs="Arial"/>
              </w:rPr>
              <w:t>Threonine</w:t>
            </w:r>
          </w:p>
        </w:tc>
        <w:tc>
          <w:tcPr>
            <w:tcW w:w="2310" w:type="dxa"/>
          </w:tcPr>
          <w:p w14:paraId="2A50A5D6">
            <w:pPr>
              <w:spacing w:before="0" w:beforeAutospacing="0" w:after="120" w:afterAutospacing="0" w:line="480" w:lineRule="auto"/>
              <w:ind w:firstLine="0"/>
              <w:jc w:val="center"/>
              <w:rPr>
                <w:rFonts w:ascii="Arial" w:hAnsi="Arial" w:cs="Arial"/>
              </w:rPr>
            </w:pPr>
            <w:r>
              <w:rPr>
                <w:rFonts w:ascii="Arial" w:hAnsi="Arial" w:cs="Arial"/>
              </w:rPr>
              <w:t>5.33±0.06</w:t>
            </w:r>
          </w:p>
        </w:tc>
        <w:tc>
          <w:tcPr>
            <w:tcW w:w="2311" w:type="dxa"/>
          </w:tcPr>
          <w:p w14:paraId="72F6C2CE">
            <w:pPr>
              <w:spacing w:before="0" w:beforeAutospacing="0" w:after="120" w:afterAutospacing="0" w:line="480" w:lineRule="auto"/>
              <w:ind w:firstLine="0"/>
              <w:jc w:val="center"/>
              <w:rPr>
                <w:rFonts w:ascii="Arial" w:hAnsi="Arial" w:cs="Arial"/>
              </w:rPr>
            </w:pPr>
            <w:r>
              <w:rPr>
                <w:rFonts w:ascii="Arial" w:hAnsi="Arial" w:cs="Arial"/>
              </w:rPr>
              <w:t>4.80±0.10</w:t>
            </w:r>
          </w:p>
        </w:tc>
        <w:tc>
          <w:tcPr>
            <w:tcW w:w="2311" w:type="dxa"/>
          </w:tcPr>
          <w:p w14:paraId="7F9C3E49">
            <w:pPr>
              <w:spacing w:before="0" w:beforeAutospacing="0" w:after="120" w:afterAutospacing="0" w:line="480" w:lineRule="auto"/>
              <w:ind w:firstLine="0"/>
              <w:jc w:val="center"/>
              <w:rPr>
                <w:rFonts w:ascii="Arial" w:hAnsi="Arial" w:cs="Arial"/>
              </w:rPr>
            </w:pPr>
            <w:r>
              <w:rPr>
                <w:rFonts w:ascii="Arial" w:hAnsi="Arial" w:cs="Arial"/>
              </w:rPr>
              <w:t>7.37±0.15</w:t>
            </w:r>
          </w:p>
        </w:tc>
      </w:tr>
      <w:tr w14:paraId="581F4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4D9CEC93">
            <w:pPr>
              <w:spacing w:before="0" w:beforeAutospacing="0" w:after="120" w:afterAutospacing="0" w:line="480" w:lineRule="auto"/>
              <w:ind w:firstLine="0"/>
              <w:jc w:val="center"/>
              <w:rPr>
                <w:rFonts w:ascii="Arial" w:hAnsi="Arial" w:cs="Arial"/>
              </w:rPr>
            </w:pPr>
            <w:r>
              <w:rPr>
                <w:rFonts w:ascii="Arial" w:hAnsi="Arial" w:cs="Arial"/>
              </w:rPr>
              <w:t>Tryptophan</w:t>
            </w:r>
          </w:p>
        </w:tc>
        <w:tc>
          <w:tcPr>
            <w:tcW w:w="2310" w:type="dxa"/>
          </w:tcPr>
          <w:p w14:paraId="182CA410">
            <w:pPr>
              <w:spacing w:before="0" w:beforeAutospacing="0" w:after="120" w:afterAutospacing="0" w:line="480" w:lineRule="auto"/>
              <w:ind w:firstLine="0"/>
              <w:jc w:val="center"/>
              <w:rPr>
                <w:rFonts w:ascii="Arial" w:hAnsi="Arial" w:cs="Arial"/>
              </w:rPr>
            </w:pPr>
            <w:r>
              <w:rPr>
                <w:rFonts w:ascii="Arial" w:hAnsi="Arial" w:cs="Arial"/>
              </w:rPr>
              <w:t>0.90±0.10</w:t>
            </w:r>
          </w:p>
        </w:tc>
        <w:tc>
          <w:tcPr>
            <w:tcW w:w="2311" w:type="dxa"/>
          </w:tcPr>
          <w:p w14:paraId="039EB96E">
            <w:pPr>
              <w:spacing w:before="0" w:beforeAutospacing="0" w:after="120" w:afterAutospacing="0" w:line="480" w:lineRule="auto"/>
              <w:ind w:firstLine="0"/>
              <w:jc w:val="center"/>
              <w:rPr>
                <w:rFonts w:ascii="Arial" w:hAnsi="Arial" w:cs="Arial"/>
              </w:rPr>
            </w:pPr>
            <w:r>
              <w:rPr>
                <w:rFonts w:ascii="Arial" w:hAnsi="Arial" w:cs="Arial"/>
              </w:rPr>
              <w:t>1.40±0.10</w:t>
            </w:r>
          </w:p>
        </w:tc>
        <w:tc>
          <w:tcPr>
            <w:tcW w:w="2311" w:type="dxa"/>
          </w:tcPr>
          <w:p w14:paraId="7B3C6C9A">
            <w:pPr>
              <w:spacing w:before="0" w:beforeAutospacing="0" w:after="120" w:afterAutospacing="0" w:line="480" w:lineRule="auto"/>
              <w:ind w:firstLine="0"/>
              <w:jc w:val="center"/>
              <w:rPr>
                <w:rFonts w:ascii="Arial" w:hAnsi="Arial" w:cs="Arial"/>
              </w:rPr>
            </w:pPr>
            <w:r>
              <w:rPr>
                <w:rFonts w:ascii="Arial" w:hAnsi="Arial" w:cs="Arial"/>
              </w:rPr>
              <w:t>0.97±0.12</w:t>
            </w:r>
          </w:p>
        </w:tc>
      </w:tr>
      <w:tr w14:paraId="22FA7F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41F12EF8">
            <w:pPr>
              <w:spacing w:before="0" w:beforeAutospacing="0" w:after="120" w:afterAutospacing="0" w:line="480" w:lineRule="auto"/>
              <w:ind w:firstLine="0"/>
              <w:jc w:val="center"/>
              <w:rPr>
                <w:rFonts w:ascii="Arial" w:hAnsi="Arial" w:cs="Arial"/>
              </w:rPr>
            </w:pPr>
            <w:r>
              <w:rPr>
                <w:rFonts w:ascii="Arial" w:hAnsi="Arial" w:cs="Arial"/>
              </w:rPr>
              <w:t>Histidine</w:t>
            </w:r>
          </w:p>
        </w:tc>
        <w:tc>
          <w:tcPr>
            <w:tcW w:w="2310" w:type="dxa"/>
          </w:tcPr>
          <w:p w14:paraId="5CA3B7C2">
            <w:pPr>
              <w:spacing w:before="0" w:beforeAutospacing="0" w:after="120" w:afterAutospacing="0" w:line="480" w:lineRule="auto"/>
              <w:ind w:firstLine="0"/>
              <w:jc w:val="center"/>
              <w:rPr>
                <w:rFonts w:ascii="Arial" w:hAnsi="Arial" w:cs="Arial"/>
              </w:rPr>
            </w:pPr>
            <w:r>
              <w:rPr>
                <w:rFonts w:ascii="Arial" w:hAnsi="Arial" w:cs="Arial"/>
              </w:rPr>
              <w:t>2.53±0.12</w:t>
            </w:r>
          </w:p>
        </w:tc>
        <w:tc>
          <w:tcPr>
            <w:tcW w:w="2311" w:type="dxa"/>
          </w:tcPr>
          <w:p w14:paraId="0FCD7B40">
            <w:pPr>
              <w:spacing w:before="0" w:beforeAutospacing="0" w:after="120" w:afterAutospacing="0" w:line="480" w:lineRule="auto"/>
              <w:ind w:firstLine="0"/>
              <w:jc w:val="center"/>
              <w:rPr>
                <w:rFonts w:ascii="Arial" w:hAnsi="Arial" w:cs="Arial"/>
              </w:rPr>
            </w:pPr>
            <w:r>
              <w:rPr>
                <w:rFonts w:ascii="Arial" w:hAnsi="Arial" w:cs="Arial"/>
              </w:rPr>
              <w:t>2.60±0.09</w:t>
            </w:r>
          </w:p>
        </w:tc>
        <w:tc>
          <w:tcPr>
            <w:tcW w:w="2311" w:type="dxa"/>
          </w:tcPr>
          <w:p w14:paraId="58FDFDB2">
            <w:pPr>
              <w:spacing w:before="0" w:beforeAutospacing="0" w:after="120" w:afterAutospacing="0" w:line="480" w:lineRule="auto"/>
              <w:ind w:firstLine="0"/>
              <w:jc w:val="center"/>
              <w:rPr>
                <w:rFonts w:ascii="Arial" w:hAnsi="Arial" w:cs="Arial"/>
              </w:rPr>
            </w:pPr>
            <w:r>
              <w:rPr>
                <w:rFonts w:ascii="Arial" w:hAnsi="Arial" w:cs="Arial"/>
              </w:rPr>
              <w:t>3.23±0.06</w:t>
            </w:r>
          </w:p>
        </w:tc>
      </w:tr>
      <w:tr w14:paraId="16BBBD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7EF5DE1D">
            <w:pPr>
              <w:spacing w:before="0" w:beforeAutospacing="0" w:after="120" w:afterAutospacing="0" w:line="480" w:lineRule="auto"/>
              <w:ind w:firstLine="0"/>
              <w:jc w:val="center"/>
              <w:rPr>
                <w:rFonts w:ascii="Arial" w:hAnsi="Arial" w:cs="Arial"/>
              </w:rPr>
            </w:pPr>
            <w:r>
              <w:rPr>
                <w:rFonts w:ascii="Arial" w:hAnsi="Arial" w:cs="Arial"/>
              </w:rPr>
              <w:t>Valine</w:t>
            </w:r>
          </w:p>
        </w:tc>
        <w:tc>
          <w:tcPr>
            <w:tcW w:w="2310" w:type="dxa"/>
          </w:tcPr>
          <w:p w14:paraId="395706FB">
            <w:pPr>
              <w:spacing w:before="0" w:beforeAutospacing="0" w:after="120" w:afterAutospacing="0" w:line="480" w:lineRule="auto"/>
              <w:ind w:firstLine="0"/>
              <w:jc w:val="center"/>
              <w:rPr>
                <w:rFonts w:ascii="Arial" w:hAnsi="Arial" w:cs="Arial"/>
              </w:rPr>
            </w:pPr>
            <w:r>
              <w:rPr>
                <w:rFonts w:ascii="Arial" w:hAnsi="Arial" w:cs="Arial"/>
              </w:rPr>
              <w:t>5.40±0.10</w:t>
            </w:r>
          </w:p>
        </w:tc>
        <w:tc>
          <w:tcPr>
            <w:tcW w:w="2311" w:type="dxa"/>
          </w:tcPr>
          <w:p w14:paraId="5AB39C2E">
            <w:pPr>
              <w:spacing w:before="0" w:beforeAutospacing="0" w:after="120" w:afterAutospacing="0" w:line="480" w:lineRule="auto"/>
              <w:ind w:firstLine="0"/>
              <w:jc w:val="center"/>
              <w:rPr>
                <w:rFonts w:ascii="Arial" w:hAnsi="Arial" w:cs="Arial"/>
              </w:rPr>
            </w:pPr>
            <w:r>
              <w:rPr>
                <w:rFonts w:ascii="Arial" w:hAnsi="Arial" w:cs="Arial"/>
              </w:rPr>
              <w:t>4.83±0.06</w:t>
            </w:r>
          </w:p>
        </w:tc>
        <w:tc>
          <w:tcPr>
            <w:tcW w:w="2311" w:type="dxa"/>
          </w:tcPr>
          <w:p w14:paraId="377B781D">
            <w:pPr>
              <w:spacing w:before="0" w:beforeAutospacing="0" w:after="120" w:afterAutospacing="0" w:line="480" w:lineRule="auto"/>
              <w:ind w:firstLine="0"/>
              <w:jc w:val="center"/>
              <w:rPr>
                <w:rFonts w:ascii="Arial" w:hAnsi="Arial" w:cs="Arial"/>
              </w:rPr>
            </w:pPr>
            <w:r>
              <w:rPr>
                <w:rFonts w:ascii="Arial" w:hAnsi="Arial" w:cs="Arial"/>
              </w:rPr>
              <w:t>5.90±0.30</w:t>
            </w:r>
          </w:p>
        </w:tc>
      </w:tr>
      <w:tr w14:paraId="1A5FD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3B612CCB">
            <w:pPr>
              <w:spacing w:before="0" w:beforeAutospacing="0" w:after="120" w:afterAutospacing="0" w:line="480" w:lineRule="auto"/>
              <w:ind w:firstLine="0"/>
              <w:jc w:val="center"/>
              <w:rPr>
                <w:rFonts w:ascii="Arial" w:hAnsi="Arial" w:cs="Arial"/>
              </w:rPr>
            </w:pPr>
            <w:r>
              <w:rPr>
                <w:rFonts w:ascii="Arial" w:hAnsi="Arial" w:cs="Arial"/>
              </w:rPr>
              <w:t>Glutamic acid</w:t>
            </w:r>
          </w:p>
        </w:tc>
        <w:tc>
          <w:tcPr>
            <w:tcW w:w="2310" w:type="dxa"/>
          </w:tcPr>
          <w:p w14:paraId="1A002D0F">
            <w:pPr>
              <w:spacing w:before="0" w:beforeAutospacing="0" w:after="120" w:afterAutospacing="0" w:line="480" w:lineRule="auto"/>
              <w:ind w:firstLine="0"/>
              <w:jc w:val="center"/>
              <w:rPr>
                <w:rFonts w:ascii="Arial" w:hAnsi="Arial" w:cs="Arial"/>
              </w:rPr>
            </w:pPr>
            <w:r>
              <w:rPr>
                <w:rFonts w:ascii="Arial" w:hAnsi="Arial" w:cs="Arial"/>
              </w:rPr>
              <w:t>13.83±0.06</w:t>
            </w:r>
          </w:p>
        </w:tc>
        <w:tc>
          <w:tcPr>
            <w:tcW w:w="2311" w:type="dxa"/>
          </w:tcPr>
          <w:p w14:paraId="13CD4C9A">
            <w:pPr>
              <w:spacing w:before="0" w:beforeAutospacing="0" w:after="120" w:afterAutospacing="0" w:line="480" w:lineRule="auto"/>
              <w:ind w:firstLine="0"/>
              <w:jc w:val="center"/>
              <w:rPr>
                <w:rFonts w:ascii="Arial" w:hAnsi="Arial" w:cs="Arial"/>
              </w:rPr>
            </w:pPr>
            <w:r>
              <w:rPr>
                <w:rFonts w:ascii="Arial" w:hAnsi="Arial" w:cs="Arial"/>
              </w:rPr>
              <w:t>8.30±0.10</w:t>
            </w:r>
          </w:p>
        </w:tc>
        <w:tc>
          <w:tcPr>
            <w:tcW w:w="2311" w:type="dxa"/>
          </w:tcPr>
          <w:p w14:paraId="4600739B">
            <w:pPr>
              <w:spacing w:before="0" w:beforeAutospacing="0" w:after="120" w:afterAutospacing="0" w:line="480" w:lineRule="auto"/>
              <w:ind w:firstLine="0"/>
              <w:jc w:val="center"/>
              <w:rPr>
                <w:rFonts w:ascii="Arial" w:hAnsi="Arial" w:cs="Arial"/>
              </w:rPr>
            </w:pPr>
            <w:r>
              <w:rPr>
                <w:rFonts w:ascii="Arial" w:hAnsi="Arial" w:cs="Arial"/>
              </w:rPr>
              <w:t>15.53±0.35</w:t>
            </w:r>
          </w:p>
        </w:tc>
      </w:tr>
      <w:tr w14:paraId="63429F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10" w:type="dxa"/>
          </w:tcPr>
          <w:p w14:paraId="6A86B10D">
            <w:pPr>
              <w:spacing w:before="0" w:beforeAutospacing="0" w:after="120" w:afterAutospacing="0" w:line="480" w:lineRule="auto"/>
              <w:ind w:firstLine="0"/>
              <w:jc w:val="center"/>
              <w:rPr>
                <w:rFonts w:ascii="Arial" w:hAnsi="Arial" w:cs="Arial"/>
              </w:rPr>
            </w:pPr>
            <w:r>
              <w:rPr>
                <w:rFonts w:ascii="Arial" w:hAnsi="Arial" w:cs="Arial"/>
              </w:rPr>
              <w:t>Alanine</w:t>
            </w:r>
          </w:p>
        </w:tc>
        <w:tc>
          <w:tcPr>
            <w:tcW w:w="2310" w:type="dxa"/>
          </w:tcPr>
          <w:p w14:paraId="4C433882">
            <w:pPr>
              <w:spacing w:before="0" w:beforeAutospacing="0" w:after="120" w:afterAutospacing="0" w:line="480" w:lineRule="auto"/>
              <w:ind w:firstLine="0"/>
              <w:jc w:val="center"/>
              <w:rPr>
                <w:rFonts w:ascii="Arial" w:hAnsi="Arial" w:cs="Arial"/>
              </w:rPr>
            </w:pPr>
            <w:r>
              <w:rPr>
                <w:rFonts w:ascii="Arial" w:hAnsi="Arial" w:cs="Arial"/>
              </w:rPr>
              <w:t>5.77±0.07</w:t>
            </w:r>
          </w:p>
        </w:tc>
        <w:tc>
          <w:tcPr>
            <w:tcW w:w="2311" w:type="dxa"/>
          </w:tcPr>
          <w:p w14:paraId="49DBA593">
            <w:pPr>
              <w:spacing w:before="0" w:beforeAutospacing="0" w:after="120" w:afterAutospacing="0" w:line="480" w:lineRule="auto"/>
              <w:ind w:firstLine="0"/>
              <w:jc w:val="center"/>
              <w:rPr>
                <w:rFonts w:ascii="Arial" w:hAnsi="Arial" w:cs="Arial"/>
              </w:rPr>
            </w:pPr>
            <w:r>
              <w:rPr>
                <w:rFonts w:ascii="Arial" w:hAnsi="Arial" w:cs="Arial"/>
              </w:rPr>
              <w:t>4.20± 0.10</w:t>
            </w:r>
          </w:p>
        </w:tc>
        <w:tc>
          <w:tcPr>
            <w:tcW w:w="2311" w:type="dxa"/>
          </w:tcPr>
          <w:p w14:paraId="0A6BC3C9">
            <w:pPr>
              <w:spacing w:before="0" w:beforeAutospacing="0" w:after="120" w:afterAutospacing="0" w:line="480" w:lineRule="auto"/>
              <w:ind w:firstLine="0"/>
              <w:jc w:val="center"/>
              <w:rPr>
                <w:rFonts w:ascii="Arial" w:hAnsi="Arial" w:cs="Arial"/>
              </w:rPr>
            </w:pPr>
            <w:r>
              <w:rPr>
                <w:rFonts w:ascii="Arial" w:hAnsi="Arial" w:cs="Arial"/>
              </w:rPr>
              <w:t>5.93±0.15</w:t>
            </w:r>
          </w:p>
        </w:tc>
      </w:tr>
      <w:tr w14:paraId="22C3D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0DE090A9">
            <w:pPr>
              <w:spacing w:before="0" w:beforeAutospacing="0" w:after="120" w:afterAutospacing="0" w:line="480" w:lineRule="auto"/>
              <w:ind w:firstLine="0"/>
              <w:jc w:val="center"/>
              <w:rPr>
                <w:rFonts w:ascii="Arial" w:hAnsi="Arial" w:cs="Arial"/>
              </w:rPr>
            </w:pPr>
            <w:r>
              <w:rPr>
                <w:rFonts w:ascii="Arial" w:hAnsi="Arial" w:cs="Arial"/>
              </w:rPr>
              <w:t>Arginine</w:t>
            </w:r>
          </w:p>
        </w:tc>
        <w:tc>
          <w:tcPr>
            <w:tcW w:w="2310" w:type="dxa"/>
          </w:tcPr>
          <w:p w14:paraId="7B1A4FAD">
            <w:pPr>
              <w:spacing w:before="0" w:beforeAutospacing="0" w:after="120" w:afterAutospacing="0" w:line="480" w:lineRule="auto"/>
              <w:ind w:firstLine="0"/>
              <w:jc w:val="center"/>
              <w:rPr>
                <w:rFonts w:ascii="Arial" w:hAnsi="Arial" w:cs="Arial"/>
              </w:rPr>
            </w:pPr>
            <w:r>
              <w:rPr>
                <w:rFonts w:ascii="Arial" w:hAnsi="Arial" w:cs="Arial"/>
              </w:rPr>
              <w:t>5.63±0.06</w:t>
            </w:r>
          </w:p>
        </w:tc>
        <w:tc>
          <w:tcPr>
            <w:tcW w:w="2311" w:type="dxa"/>
          </w:tcPr>
          <w:p w14:paraId="3B6F8719">
            <w:pPr>
              <w:spacing w:before="0" w:beforeAutospacing="0" w:after="120" w:afterAutospacing="0" w:line="480" w:lineRule="auto"/>
              <w:ind w:firstLine="0"/>
              <w:jc w:val="center"/>
              <w:rPr>
                <w:rFonts w:ascii="Arial" w:hAnsi="Arial" w:cs="Arial"/>
              </w:rPr>
            </w:pPr>
            <w:r>
              <w:rPr>
                <w:rFonts w:ascii="Arial" w:hAnsi="Arial" w:cs="Arial"/>
              </w:rPr>
              <w:t>5.13±0.06</w:t>
            </w:r>
          </w:p>
        </w:tc>
        <w:tc>
          <w:tcPr>
            <w:tcW w:w="2311" w:type="dxa"/>
          </w:tcPr>
          <w:p w14:paraId="409EAF9C">
            <w:pPr>
              <w:spacing w:before="0" w:beforeAutospacing="0" w:after="120" w:afterAutospacing="0" w:line="480" w:lineRule="auto"/>
              <w:ind w:firstLine="0"/>
              <w:jc w:val="center"/>
              <w:rPr>
                <w:rFonts w:ascii="Arial" w:hAnsi="Arial" w:cs="Arial"/>
              </w:rPr>
            </w:pPr>
            <w:r>
              <w:rPr>
                <w:rFonts w:ascii="Arial" w:hAnsi="Arial" w:cs="Arial"/>
              </w:rPr>
              <w:t>5.80±0.10</w:t>
            </w:r>
          </w:p>
        </w:tc>
      </w:tr>
      <w:tr w14:paraId="1AC1E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4D65041D">
            <w:pPr>
              <w:spacing w:before="0" w:beforeAutospacing="0" w:after="120" w:afterAutospacing="0" w:line="480" w:lineRule="auto"/>
              <w:ind w:firstLine="0"/>
              <w:jc w:val="center"/>
              <w:rPr>
                <w:rFonts w:ascii="Arial" w:hAnsi="Arial" w:cs="Arial"/>
              </w:rPr>
            </w:pPr>
            <w:r>
              <w:rPr>
                <w:rFonts w:ascii="Arial" w:hAnsi="Arial" w:cs="Arial"/>
              </w:rPr>
              <w:t>Aspartic acid</w:t>
            </w:r>
          </w:p>
        </w:tc>
        <w:tc>
          <w:tcPr>
            <w:tcW w:w="2310" w:type="dxa"/>
          </w:tcPr>
          <w:p w14:paraId="375BAED8">
            <w:pPr>
              <w:spacing w:before="0" w:beforeAutospacing="0" w:after="120" w:afterAutospacing="0" w:line="480" w:lineRule="auto"/>
              <w:ind w:firstLine="0"/>
              <w:jc w:val="center"/>
              <w:rPr>
                <w:rFonts w:ascii="Arial" w:hAnsi="Arial" w:cs="Arial"/>
              </w:rPr>
            </w:pPr>
            <w:r>
              <w:rPr>
                <w:rFonts w:ascii="Arial" w:hAnsi="Arial" w:cs="Arial"/>
              </w:rPr>
              <w:t>10.37±0.08</w:t>
            </w:r>
          </w:p>
        </w:tc>
        <w:tc>
          <w:tcPr>
            <w:tcW w:w="2311" w:type="dxa"/>
          </w:tcPr>
          <w:p w14:paraId="534F53EF">
            <w:pPr>
              <w:spacing w:before="0" w:beforeAutospacing="0" w:after="120" w:afterAutospacing="0" w:line="480" w:lineRule="auto"/>
              <w:ind w:firstLine="0"/>
              <w:jc w:val="center"/>
              <w:rPr>
                <w:rFonts w:ascii="Arial" w:hAnsi="Arial" w:cs="Arial"/>
              </w:rPr>
            </w:pPr>
            <w:r>
              <w:rPr>
                <w:rFonts w:ascii="Arial" w:hAnsi="Arial" w:cs="Arial"/>
              </w:rPr>
              <w:t>7.81±0.01</w:t>
            </w:r>
          </w:p>
        </w:tc>
        <w:tc>
          <w:tcPr>
            <w:tcW w:w="2311" w:type="dxa"/>
          </w:tcPr>
          <w:p w14:paraId="2553CBE5">
            <w:pPr>
              <w:spacing w:before="0" w:beforeAutospacing="0" w:after="120" w:afterAutospacing="0" w:line="480" w:lineRule="auto"/>
              <w:ind w:firstLine="0"/>
              <w:jc w:val="center"/>
              <w:rPr>
                <w:rFonts w:ascii="Arial" w:hAnsi="Arial" w:cs="Arial"/>
              </w:rPr>
            </w:pPr>
            <w:r>
              <w:rPr>
                <w:rFonts w:ascii="Arial" w:hAnsi="Arial" w:cs="Arial"/>
              </w:rPr>
              <w:t>13.37±0.15</w:t>
            </w:r>
          </w:p>
        </w:tc>
      </w:tr>
      <w:tr w14:paraId="4B70D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1B16D3C6">
            <w:pPr>
              <w:spacing w:before="0" w:beforeAutospacing="0" w:after="120" w:afterAutospacing="0" w:line="480" w:lineRule="auto"/>
              <w:ind w:firstLine="0"/>
              <w:jc w:val="center"/>
              <w:rPr>
                <w:rFonts w:ascii="Arial" w:hAnsi="Arial" w:cs="Arial"/>
              </w:rPr>
            </w:pPr>
            <w:r>
              <w:rPr>
                <w:rFonts w:ascii="Arial" w:hAnsi="Arial" w:cs="Arial"/>
              </w:rPr>
              <w:t>Cystine</w:t>
            </w:r>
          </w:p>
        </w:tc>
        <w:tc>
          <w:tcPr>
            <w:tcW w:w="2310" w:type="dxa"/>
          </w:tcPr>
          <w:p w14:paraId="55C7044E">
            <w:pPr>
              <w:spacing w:before="0" w:beforeAutospacing="0" w:after="120" w:afterAutospacing="0" w:line="480" w:lineRule="auto"/>
              <w:ind w:firstLine="0"/>
              <w:jc w:val="center"/>
              <w:rPr>
                <w:rFonts w:ascii="Arial" w:hAnsi="Arial" w:cs="Arial"/>
              </w:rPr>
            </w:pPr>
            <w:r>
              <w:rPr>
                <w:rFonts w:ascii="Arial" w:hAnsi="Arial" w:cs="Arial"/>
              </w:rPr>
              <w:t>1.03±0.15</w:t>
            </w:r>
          </w:p>
        </w:tc>
        <w:tc>
          <w:tcPr>
            <w:tcW w:w="2311" w:type="dxa"/>
          </w:tcPr>
          <w:p w14:paraId="4EFD1913">
            <w:pPr>
              <w:spacing w:before="0" w:beforeAutospacing="0" w:after="120" w:afterAutospacing="0" w:line="480" w:lineRule="auto"/>
              <w:ind w:firstLine="0"/>
              <w:jc w:val="center"/>
              <w:rPr>
                <w:rFonts w:ascii="Arial" w:hAnsi="Arial" w:cs="Arial"/>
              </w:rPr>
            </w:pPr>
            <w:r>
              <w:rPr>
                <w:rFonts w:ascii="Arial" w:hAnsi="Arial" w:cs="Arial"/>
              </w:rPr>
              <w:t>0.70±0.10</w:t>
            </w:r>
          </w:p>
        </w:tc>
        <w:tc>
          <w:tcPr>
            <w:tcW w:w="2311" w:type="dxa"/>
          </w:tcPr>
          <w:p w14:paraId="5EB7C797">
            <w:pPr>
              <w:spacing w:before="0" w:beforeAutospacing="0" w:after="120" w:afterAutospacing="0" w:line="480" w:lineRule="auto"/>
              <w:ind w:firstLine="0"/>
              <w:jc w:val="center"/>
              <w:rPr>
                <w:rFonts w:ascii="Arial" w:hAnsi="Arial" w:cs="Arial"/>
              </w:rPr>
            </w:pPr>
            <w:r>
              <w:rPr>
                <w:rFonts w:ascii="Arial" w:hAnsi="Arial" w:cs="Arial"/>
              </w:rPr>
              <w:t>1.07±0.15</w:t>
            </w:r>
          </w:p>
        </w:tc>
      </w:tr>
      <w:tr w14:paraId="759C69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42CCD346">
            <w:pPr>
              <w:spacing w:before="0" w:beforeAutospacing="0" w:after="120" w:afterAutospacing="0" w:line="480" w:lineRule="auto"/>
              <w:ind w:firstLine="0"/>
              <w:jc w:val="center"/>
              <w:rPr>
                <w:rFonts w:ascii="Arial" w:hAnsi="Arial" w:cs="Arial"/>
              </w:rPr>
            </w:pPr>
            <w:r>
              <w:rPr>
                <w:rFonts w:ascii="Arial" w:hAnsi="Arial" w:cs="Arial"/>
              </w:rPr>
              <w:t>Proline</w:t>
            </w:r>
          </w:p>
        </w:tc>
        <w:tc>
          <w:tcPr>
            <w:tcW w:w="2310" w:type="dxa"/>
          </w:tcPr>
          <w:p w14:paraId="46D1F1E8">
            <w:pPr>
              <w:spacing w:before="0" w:beforeAutospacing="0" w:after="120" w:afterAutospacing="0" w:line="480" w:lineRule="auto"/>
              <w:ind w:firstLine="0"/>
              <w:jc w:val="center"/>
              <w:rPr>
                <w:rFonts w:ascii="Arial" w:hAnsi="Arial" w:cs="Arial"/>
              </w:rPr>
            </w:pPr>
            <w:r>
              <w:rPr>
                <w:rFonts w:ascii="Arial" w:hAnsi="Arial" w:cs="Arial"/>
              </w:rPr>
              <w:t>5.23±0.06</w:t>
            </w:r>
          </w:p>
        </w:tc>
        <w:tc>
          <w:tcPr>
            <w:tcW w:w="2311" w:type="dxa"/>
          </w:tcPr>
          <w:p w14:paraId="7F3A2413">
            <w:pPr>
              <w:spacing w:before="0" w:beforeAutospacing="0" w:after="120" w:afterAutospacing="0" w:line="480" w:lineRule="auto"/>
              <w:ind w:firstLine="0"/>
              <w:jc w:val="center"/>
              <w:rPr>
                <w:rFonts w:ascii="Arial" w:hAnsi="Arial" w:cs="Arial"/>
              </w:rPr>
            </w:pPr>
            <w:r>
              <w:rPr>
                <w:rFonts w:ascii="Arial" w:hAnsi="Arial" w:cs="Arial"/>
              </w:rPr>
              <w:t>5.23±0.06</w:t>
            </w:r>
          </w:p>
        </w:tc>
        <w:tc>
          <w:tcPr>
            <w:tcW w:w="2311" w:type="dxa"/>
          </w:tcPr>
          <w:p w14:paraId="7486E216">
            <w:pPr>
              <w:spacing w:before="0" w:beforeAutospacing="0" w:after="120" w:afterAutospacing="0" w:line="480" w:lineRule="auto"/>
              <w:ind w:firstLine="0"/>
              <w:jc w:val="center"/>
              <w:rPr>
                <w:rFonts w:ascii="Arial" w:hAnsi="Arial" w:cs="Arial"/>
              </w:rPr>
            </w:pPr>
            <w:r>
              <w:rPr>
                <w:rFonts w:ascii="Arial" w:hAnsi="Arial" w:cs="Arial"/>
              </w:rPr>
              <w:t>5.67±0.12</w:t>
            </w:r>
          </w:p>
        </w:tc>
      </w:tr>
      <w:tr w14:paraId="3DAFF0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0C87D839">
            <w:pPr>
              <w:spacing w:before="0" w:beforeAutospacing="0" w:after="120" w:afterAutospacing="0" w:line="480" w:lineRule="auto"/>
              <w:ind w:firstLine="0"/>
              <w:jc w:val="center"/>
              <w:rPr>
                <w:rFonts w:ascii="Arial" w:hAnsi="Arial" w:cs="Arial"/>
              </w:rPr>
            </w:pPr>
            <w:r>
              <w:rPr>
                <w:rFonts w:ascii="Arial" w:hAnsi="Arial" w:cs="Arial"/>
              </w:rPr>
              <w:t>Serine</w:t>
            </w:r>
          </w:p>
        </w:tc>
        <w:tc>
          <w:tcPr>
            <w:tcW w:w="2310" w:type="dxa"/>
          </w:tcPr>
          <w:p w14:paraId="527EC744">
            <w:pPr>
              <w:spacing w:before="0" w:beforeAutospacing="0" w:after="120" w:afterAutospacing="0" w:line="480" w:lineRule="auto"/>
              <w:ind w:firstLine="0"/>
              <w:jc w:val="center"/>
              <w:rPr>
                <w:rFonts w:ascii="Arial" w:hAnsi="Arial" w:cs="Arial"/>
              </w:rPr>
            </w:pPr>
            <w:r>
              <w:rPr>
                <w:rFonts w:ascii="Arial" w:hAnsi="Arial" w:cs="Arial"/>
              </w:rPr>
              <w:t>5.10±0.10</w:t>
            </w:r>
          </w:p>
        </w:tc>
        <w:tc>
          <w:tcPr>
            <w:tcW w:w="2311" w:type="dxa"/>
          </w:tcPr>
          <w:p w14:paraId="64AF5D42">
            <w:pPr>
              <w:spacing w:before="0" w:beforeAutospacing="0" w:after="120" w:afterAutospacing="0" w:line="480" w:lineRule="auto"/>
              <w:ind w:firstLine="0"/>
              <w:jc w:val="center"/>
              <w:rPr>
                <w:rFonts w:ascii="Arial" w:hAnsi="Arial" w:cs="Arial"/>
              </w:rPr>
            </w:pPr>
            <w:r>
              <w:rPr>
                <w:rFonts w:ascii="Arial" w:hAnsi="Arial" w:cs="Arial"/>
              </w:rPr>
              <w:t>4.50±0.10</w:t>
            </w:r>
          </w:p>
        </w:tc>
        <w:tc>
          <w:tcPr>
            <w:tcW w:w="2311" w:type="dxa"/>
          </w:tcPr>
          <w:p w14:paraId="369999D9">
            <w:pPr>
              <w:spacing w:before="0" w:beforeAutospacing="0" w:after="120" w:afterAutospacing="0" w:line="480" w:lineRule="auto"/>
              <w:ind w:firstLine="0"/>
              <w:jc w:val="center"/>
              <w:rPr>
                <w:rFonts w:ascii="Arial" w:hAnsi="Arial" w:cs="Arial"/>
              </w:rPr>
            </w:pPr>
            <w:r>
              <w:rPr>
                <w:rFonts w:ascii="Arial" w:hAnsi="Arial" w:cs="Arial"/>
              </w:rPr>
              <w:t>5.83±0.40</w:t>
            </w:r>
          </w:p>
        </w:tc>
      </w:tr>
      <w:tr w14:paraId="7386A9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21B3C434">
            <w:pPr>
              <w:spacing w:before="0" w:beforeAutospacing="0" w:after="120" w:afterAutospacing="0" w:line="480" w:lineRule="auto"/>
              <w:ind w:firstLine="0"/>
              <w:jc w:val="center"/>
              <w:rPr>
                <w:rFonts w:ascii="Arial" w:hAnsi="Arial" w:cs="Arial"/>
              </w:rPr>
            </w:pPr>
            <w:r>
              <w:rPr>
                <w:rFonts w:ascii="Arial" w:hAnsi="Arial" w:cs="Arial"/>
              </w:rPr>
              <w:t>Glycine</w:t>
            </w:r>
          </w:p>
        </w:tc>
        <w:tc>
          <w:tcPr>
            <w:tcW w:w="2310" w:type="dxa"/>
          </w:tcPr>
          <w:p w14:paraId="087AB930">
            <w:pPr>
              <w:spacing w:before="0" w:beforeAutospacing="0" w:after="120" w:afterAutospacing="0" w:line="480" w:lineRule="auto"/>
              <w:ind w:firstLine="0"/>
              <w:jc w:val="center"/>
              <w:rPr>
                <w:rFonts w:ascii="Arial" w:hAnsi="Arial" w:cs="Arial"/>
              </w:rPr>
            </w:pPr>
            <w:r>
              <w:rPr>
                <w:rFonts w:ascii="Arial" w:hAnsi="Arial" w:cs="Arial"/>
              </w:rPr>
              <w:t>4.77±0.06</w:t>
            </w:r>
          </w:p>
        </w:tc>
        <w:tc>
          <w:tcPr>
            <w:tcW w:w="2311" w:type="dxa"/>
          </w:tcPr>
          <w:p w14:paraId="671F260D">
            <w:pPr>
              <w:spacing w:before="0" w:beforeAutospacing="0" w:after="120" w:afterAutospacing="0" w:line="480" w:lineRule="auto"/>
              <w:ind w:firstLine="0"/>
              <w:jc w:val="center"/>
              <w:rPr>
                <w:rFonts w:ascii="Arial" w:hAnsi="Arial" w:cs="Arial"/>
              </w:rPr>
            </w:pPr>
            <w:r>
              <w:rPr>
                <w:rFonts w:ascii="Arial" w:hAnsi="Arial" w:cs="Arial"/>
              </w:rPr>
              <w:t>3.67±0.06</w:t>
            </w:r>
          </w:p>
        </w:tc>
        <w:tc>
          <w:tcPr>
            <w:tcW w:w="2311" w:type="dxa"/>
          </w:tcPr>
          <w:p w14:paraId="3103A2BB">
            <w:pPr>
              <w:spacing w:before="0" w:beforeAutospacing="0" w:after="120" w:afterAutospacing="0" w:line="480" w:lineRule="auto"/>
              <w:ind w:firstLine="0"/>
              <w:jc w:val="center"/>
              <w:rPr>
                <w:rFonts w:ascii="Arial" w:hAnsi="Arial" w:cs="Arial"/>
              </w:rPr>
            </w:pPr>
            <w:r>
              <w:rPr>
                <w:rFonts w:ascii="Arial" w:hAnsi="Arial" w:cs="Arial"/>
              </w:rPr>
              <w:t>5.77±0.15</w:t>
            </w:r>
          </w:p>
        </w:tc>
      </w:tr>
      <w:tr w14:paraId="5E0091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10" w:type="dxa"/>
          </w:tcPr>
          <w:p w14:paraId="10304E06">
            <w:pPr>
              <w:spacing w:before="0" w:beforeAutospacing="0" w:after="120" w:afterAutospacing="0" w:line="480" w:lineRule="auto"/>
              <w:ind w:firstLine="0"/>
              <w:jc w:val="center"/>
              <w:rPr>
                <w:rFonts w:ascii="Arial" w:hAnsi="Arial" w:cs="Arial"/>
              </w:rPr>
            </w:pPr>
            <w:r>
              <w:rPr>
                <w:rFonts w:ascii="Arial" w:hAnsi="Arial" w:cs="Arial"/>
              </w:rPr>
              <w:t>Tyrosine</w:t>
            </w:r>
          </w:p>
        </w:tc>
        <w:tc>
          <w:tcPr>
            <w:tcW w:w="2310" w:type="dxa"/>
          </w:tcPr>
          <w:p w14:paraId="282DE6AA">
            <w:pPr>
              <w:spacing w:before="0" w:beforeAutospacing="0" w:after="120" w:afterAutospacing="0" w:line="480" w:lineRule="auto"/>
              <w:ind w:firstLine="0"/>
              <w:jc w:val="center"/>
              <w:rPr>
                <w:rFonts w:ascii="Arial" w:hAnsi="Arial" w:cs="Arial"/>
              </w:rPr>
            </w:pPr>
            <w:r>
              <w:rPr>
                <w:rFonts w:ascii="Arial" w:hAnsi="Arial" w:cs="Arial"/>
              </w:rPr>
              <w:t>5.73±0.15</w:t>
            </w:r>
          </w:p>
        </w:tc>
        <w:tc>
          <w:tcPr>
            <w:tcW w:w="2311" w:type="dxa"/>
          </w:tcPr>
          <w:p w14:paraId="03F6E13A">
            <w:pPr>
              <w:spacing w:before="0" w:beforeAutospacing="0" w:after="120" w:afterAutospacing="0" w:line="480" w:lineRule="auto"/>
              <w:ind w:firstLine="0"/>
              <w:jc w:val="center"/>
              <w:rPr>
                <w:rFonts w:ascii="Arial" w:hAnsi="Arial" w:cs="Arial"/>
              </w:rPr>
            </w:pPr>
            <w:r>
              <w:rPr>
                <w:rFonts w:ascii="Arial" w:hAnsi="Arial" w:cs="Arial"/>
              </w:rPr>
              <w:t>5.50±0.10</w:t>
            </w:r>
          </w:p>
        </w:tc>
        <w:tc>
          <w:tcPr>
            <w:tcW w:w="2311" w:type="dxa"/>
          </w:tcPr>
          <w:p w14:paraId="312B1CE7">
            <w:pPr>
              <w:spacing w:before="0" w:beforeAutospacing="0" w:after="120" w:afterAutospacing="0" w:line="480" w:lineRule="auto"/>
              <w:ind w:firstLine="0"/>
              <w:jc w:val="center"/>
              <w:rPr>
                <w:rFonts w:ascii="Arial" w:hAnsi="Arial" w:cs="Arial"/>
              </w:rPr>
            </w:pPr>
            <w:r>
              <w:rPr>
                <w:rFonts w:ascii="Arial" w:hAnsi="Arial" w:cs="Arial"/>
              </w:rPr>
              <w:t>6.30±0.20</w:t>
            </w:r>
          </w:p>
        </w:tc>
      </w:tr>
    </w:tbl>
    <w:p w14:paraId="56DC9A93">
      <w:pPr>
        <w:ind w:left="-539" w:right="-629" w:firstLine="1259"/>
        <w:rPr>
          <w:rFonts w:ascii="Arial" w:hAnsi="Arial" w:cs="Arial"/>
          <w:lang w:val="en-US"/>
        </w:rPr>
      </w:pPr>
      <w:r>
        <w:rPr>
          <w:rFonts w:ascii="Arial" w:hAnsi="Arial" w:cs="Arial"/>
        </w:rPr>
        <w:t xml:space="preserve">Note: </w:t>
      </w:r>
      <w:r>
        <w:rPr>
          <w:rFonts w:ascii="Arial" w:hAnsi="Arial" w:cs="Arial"/>
          <w:lang w:val="en-US"/>
        </w:rPr>
        <w:t xml:space="preserve">Values are expressed in mean ± SD with three replications (n=3). </w:t>
      </w:r>
    </w:p>
    <w:p w14:paraId="3C54058B">
      <w:pPr>
        <w:pStyle w:val="12"/>
        <w:ind w:left="0" w:firstLine="0"/>
        <w:rPr>
          <w:rFonts w:ascii="Arial" w:hAnsi="Arial" w:cs="Arial"/>
          <w:b/>
          <w:lang w:val="en-US"/>
        </w:rPr>
      </w:pPr>
    </w:p>
    <w:p w14:paraId="75A55601">
      <w:pPr>
        <w:pStyle w:val="12"/>
        <w:ind w:left="0" w:firstLine="0"/>
        <w:rPr>
          <w:rFonts w:ascii="Arial" w:hAnsi="Arial" w:cs="Arial"/>
          <w:b/>
          <w:lang w:val="en-US"/>
        </w:rPr>
      </w:pPr>
      <w:commentRangeStart w:id="33"/>
      <w:r>
        <w:rPr>
          <w:rFonts w:ascii="Arial" w:hAnsi="Arial" w:cs="Arial"/>
          <w:b/>
          <w:lang w:val="en-US"/>
        </w:rPr>
        <w:t>REFERENCES:</w:t>
      </w:r>
      <w:commentRangeEnd w:id="33"/>
      <w:r>
        <w:commentReference w:id="33"/>
      </w:r>
    </w:p>
    <w:p w14:paraId="62E1508F">
      <w:pPr>
        <w:pStyle w:val="12"/>
        <w:numPr>
          <w:ilvl w:val="0"/>
          <w:numId w:val="3"/>
        </w:numPr>
        <w:rPr>
          <w:rFonts w:ascii="Arial" w:hAnsi="Arial" w:cs="Arial"/>
          <w:color w:val="000000" w:themeColor="text1"/>
          <w:shd w:val="clear" w:color="auto" w:fill="FFFFFF"/>
        </w:rPr>
      </w:pPr>
      <w:r>
        <w:rPr>
          <w:rFonts w:ascii="Arial" w:hAnsi="Arial" w:cs="Arial"/>
          <w:color w:val="000000" w:themeColor="text1"/>
          <w:shd w:val="clear" w:color="auto" w:fill="FFFFFF"/>
        </w:rPr>
        <w:t xml:space="preserve">Agyei, D., Owusu-Kwarteng, J., Akabanda, F., &amp; Akomea-Frempong, S. (2019). Indigenous African fermented dairy products: Processing technology, microbiology and health benefits. Critical Reviews in Food Science and Nutrition, 60(6), 991–100621. </w:t>
      </w:r>
      <w:r>
        <w:fldChar w:fldCharType="begin"/>
      </w:r>
      <w:r>
        <w:instrText xml:space="preserve"> HYPERLINK "https://doi.org/10.1080/10408398.2018.1555133" </w:instrText>
      </w:r>
      <w:r>
        <w:fldChar w:fldCharType="separate"/>
      </w:r>
      <w:r>
        <w:rPr>
          <w:rStyle w:val="9"/>
          <w:rFonts w:ascii="Arial" w:hAnsi="Arial" w:cs="Arial"/>
          <w:color w:val="000000" w:themeColor="text1"/>
          <w:shd w:val="clear" w:color="auto" w:fill="FFFFFF"/>
        </w:rPr>
        <w:t>https://doi.org/10.1080/10408398.2018.1555133</w:t>
      </w:r>
      <w:r>
        <w:rPr>
          <w:rStyle w:val="9"/>
          <w:rFonts w:ascii="Arial" w:hAnsi="Arial" w:cs="Arial"/>
          <w:color w:val="000000" w:themeColor="text1"/>
          <w:shd w:val="clear" w:color="auto" w:fill="FFFFFF"/>
        </w:rPr>
        <w:fldChar w:fldCharType="end"/>
      </w:r>
      <w:r>
        <w:rPr>
          <w:rFonts w:ascii="Arial" w:hAnsi="Arial" w:cs="Arial"/>
          <w:color w:val="000000" w:themeColor="text1"/>
        </w:rPr>
        <w:t xml:space="preserve"> </w:t>
      </w:r>
    </w:p>
    <w:p w14:paraId="78DC62E0">
      <w:pPr>
        <w:pStyle w:val="12"/>
        <w:numPr>
          <w:ilvl w:val="0"/>
          <w:numId w:val="3"/>
        </w:numPr>
        <w:rPr>
          <w:rFonts w:ascii="Arial" w:hAnsi="Arial" w:cs="Arial"/>
          <w:color w:val="000000" w:themeColor="text1"/>
        </w:rPr>
      </w:pPr>
      <w:r>
        <w:rPr>
          <w:rFonts w:ascii="Arial" w:hAnsi="Arial" w:cs="Arial"/>
          <w:color w:val="000000" w:themeColor="text1"/>
        </w:rPr>
        <w:t>Castro-López, C., Santiago-López, L., Vallejo-Cordoba, B., González-Córdova, A.F., Liceaga, A.M., García, H.S., and Hernández-Mendoza, A., 2020. An insight to fermented edible insects: A global perspective and prospective. Fd. Res. Int., 137: 109750. https:// doi.org/10.1016/j.foodres.2020.109750.</w:t>
      </w:r>
    </w:p>
    <w:p w14:paraId="25B3EB82">
      <w:pPr>
        <w:pStyle w:val="12"/>
        <w:numPr>
          <w:ilvl w:val="0"/>
          <w:numId w:val="3"/>
        </w:numPr>
        <w:rPr>
          <w:rFonts w:ascii="Arial" w:hAnsi="Arial" w:cs="Arial"/>
          <w:color w:val="000000" w:themeColor="text1"/>
          <w:lang w:val="en-US"/>
        </w:rPr>
      </w:pPr>
      <w:r>
        <w:rPr>
          <w:rFonts w:ascii="Arial" w:hAnsi="Arial" w:cs="Arial"/>
          <w:color w:val="000000" w:themeColor="text1"/>
        </w:rPr>
        <w:t xml:space="preserve">Dawood, M. A. O., Magouz, F. I., Mansour, M., Saleh, A. A., Asely, A. M. E., Fadl, S. E., Ahmed, H. A., Al- Ghanim, K. A., Mahboob, S., &amp; Al- Misned, F. (2020). Evaluation of yeast fermented poultry by- product meal in Nile tilapia (Oreochromis niloticus) feed: Effects on growth performance, digestive enzymes activity, innate immunity, and antioxidant capacity. Frontiers in Veterinary Science, 6, 516. </w:t>
      </w:r>
      <w:r>
        <w:rPr>
          <w:rFonts w:ascii="Arial" w:hAnsi="Arial" w:cs="Arial"/>
          <w:color w:val="000000" w:themeColor="text1"/>
        </w:rPr>
        <w:fldChar w:fldCharType="begin"/>
      </w:r>
      <w:r>
        <w:rPr>
          <w:rFonts w:ascii="Arial" w:hAnsi="Arial" w:cs="Arial"/>
          <w:color w:val="000000" w:themeColor="text1"/>
        </w:rPr>
        <w:instrText xml:space="preserve"> HYPERLINK "https://doi.org/10.3389/fvets.2019.00516" </w:instrText>
      </w:r>
      <w:r>
        <w:rPr>
          <w:rFonts w:ascii="Arial" w:hAnsi="Arial" w:cs="Arial"/>
          <w:color w:val="000000" w:themeColor="text1"/>
        </w:rPr>
        <w:fldChar w:fldCharType="separate"/>
      </w:r>
      <w:r>
        <w:rPr>
          <w:rStyle w:val="9"/>
          <w:rFonts w:ascii="Arial" w:hAnsi="Arial" w:cs="Arial"/>
        </w:rPr>
        <w:t>https://doi.org/10.3389/fvets.2019.00516</w:t>
      </w:r>
      <w:r>
        <w:rPr>
          <w:rFonts w:ascii="Arial" w:hAnsi="Arial" w:cs="Arial"/>
          <w:color w:val="000000" w:themeColor="text1"/>
        </w:rPr>
        <w:fldChar w:fldCharType="end"/>
      </w:r>
    </w:p>
    <w:p w14:paraId="3DC74F97">
      <w:pPr>
        <w:pStyle w:val="12"/>
        <w:numPr>
          <w:ilvl w:val="0"/>
          <w:numId w:val="3"/>
        </w:numPr>
        <w:rPr>
          <w:rFonts w:ascii="Arial" w:hAnsi="Arial" w:cs="Arial"/>
          <w:b w:val="0"/>
          <w:bCs w:val="0"/>
          <w:color w:val="000000" w:themeColor="text1"/>
          <w:lang w:val="en-US"/>
        </w:rPr>
      </w:pPr>
      <w:commentRangeStart w:id="34"/>
      <w:r>
        <w:rPr>
          <w:rFonts w:hint="default" w:ascii="Times New Roman" w:hAnsi="Times New Roman" w:eastAsia="AdvPSPH-R" w:cs="Times New Roman"/>
          <w:b w:val="0"/>
          <w:bCs w:val="0"/>
          <w:sz w:val="22"/>
          <w:szCs w:val="22"/>
          <w:lang w:val="en-US"/>
        </w:rPr>
        <w:t xml:space="preserve">Enas M. Elyamani, </w:t>
      </w:r>
      <w:r>
        <w:rPr>
          <w:rFonts w:hint="default" w:ascii="Times New Roman" w:hAnsi="Times New Roman" w:cs="Times New Roman"/>
          <w:b w:val="0"/>
          <w:bCs w:val="0"/>
          <w:sz w:val="22"/>
          <w:szCs w:val="22"/>
        </w:rPr>
        <w:t>Mohamed  M. Hebalah</w:t>
      </w: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 xml:space="preserve"> </w:t>
      </w:r>
      <w:r>
        <w:rPr>
          <w:rFonts w:hint="default" w:ascii="Times New Roman" w:hAnsi="Times New Roman" w:eastAsia="AdvPSPH-R" w:cs="Times New Roman"/>
          <w:b w:val="0"/>
          <w:bCs w:val="0"/>
          <w:sz w:val="22"/>
          <w:szCs w:val="22"/>
        </w:rPr>
        <w:t>Eman Antar S</w:t>
      </w:r>
      <w:r>
        <w:rPr>
          <w:rFonts w:hint="default" w:ascii="Times New Roman" w:hAnsi="Times New Roman" w:eastAsia="AdvPSPH-R" w:cs="Times New Roman"/>
          <w:b w:val="0"/>
          <w:bCs w:val="0"/>
          <w:sz w:val="22"/>
          <w:szCs w:val="22"/>
          <w:lang w:val="en-US"/>
        </w:rPr>
        <w:t>.</w:t>
      </w:r>
      <w:r>
        <w:rPr>
          <w:rFonts w:hint="default" w:ascii="Times New Roman" w:hAnsi="Times New Roman" w:eastAsia="AdvPSPH-R" w:cs="Times New Roman"/>
          <w:b w:val="0"/>
          <w:bCs w:val="0"/>
          <w:sz w:val="22"/>
          <w:szCs w:val="22"/>
        </w:rPr>
        <w:t xml:space="preserve"> </w:t>
      </w:r>
      <w:r>
        <w:rPr>
          <w:rFonts w:hint="default" w:ascii="Times New Roman" w:hAnsi="Times New Roman" w:eastAsia="AdvPSPH-R" w:cs="Times New Roman"/>
          <w:b w:val="0"/>
          <w:bCs w:val="0"/>
          <w:sz w:val="22"/>
          <w:szCs w:val="22"/>
          <w:lang w:val="en-US"/>
        </w:rPr>
        <w:t>I</w:t>
      </w:r>
      <w:r>
        <w:rPr>
          <w:rFonts w:hint="default" w:ascii="Times New Roman" w:hAnsi="Times New Roman" w:eastAsia="AdvPSPH-R" w:cs="Times New Roman"/>
          <w:b w:val="0"/>
          <w:bCs w:val="0"/>
          <w:sz w:val="22"/>
          <w:szCs w:val="22"/>
        </w:rPr>
        <w:t>smail</w:t>
      </w:r>
      <w:r>
        <w:rPr>
          <w:rFonts w:hint="default" w:ascii="Times New Roman" w:hAnsi="Times New Roman" w:eastAsia="AdvPSPH-R" w:cs="Times New Roman"/>
          <w:b w:val="0"/>
          <w:bCs w:val="0"/>
          <w:sz w:val="22"/>
          <w:szCs w:val="22"/>
          <w:lang w:val="en-US"/>
        </w:rPr>
        <w:t xml:space="preserve">, </w:t>
      </w:r>
      <w:r>
        <w:rPr>
          <w:rFonts w:hint="default" w:ascii="Times New Roman" w:hAnsi="Times New Roman" w:eastAsia="AdvPSPH-R" w:cs="Times New Roman"/>
          <w:b w:val="0"/>
          <w:bCs w:val="0"/>
          <w:sz w:val="22"/>
          <w:szCs w:val="22"/>
        </w:rPr>
        <w:t>Noha Gweily</w:t>
      </w:r>
      <w:r>
        <w:rPr>
          <w:rFonts w:hint="default" w:ascii="Times New Roman" w:hAnsi="Times New Roman" w:eastAsia="AdvPSPH-R" w:cs="Times New Roman"/>
          <w:b w:val="0"/>
          <w:bCs w:val="0"/>
          <w:sz w:val="22"/>
          <w:szCs w:val="22"/>
          <w:lang w:val="en-US"/>
        </w:rPr>
        <w:t>,</w:t>
      </w:r>
      <w:r>
        <w:rPr>
          <w:rFonts w:hint="default" w:ascii="Times New Roman" w:hAnsi="Times New Roman" w:eastAsia="AdvPSPH-R" w:cs="Times New Roman"/>
          <w:b w:val="0"/>
          <w:bCs w:val="0"/>
          <w:sz w:val="22"/>
          <w:szCs w:val="22"/>
          <w:rtl/>
          <w:lang w:val="en-US" w:bidi="ar-EG"/>
        </w:rPr>
        <w:t xml:space="preserve"> </w:t>
      </w:r>
      <w:r>
        <w:rPr>
          <w:rFonts w:hint="default" w:ascii="Times New Roman" w:hAnsi="Times New Roman" w:eastAsia="AdvPSPH-R" w:cs="Times New Roman"/>
          <w:b w:val="0"/>
          <w:bCs w:val="0"/>
          <w:sz w:val="22"/>
          <w:szCs w:val="22"/>
          <w:lang w:val="en-US"/>
        </w:rPr>
        <w:t>Heba S. El-Sayed &amp;</w:t>
      </w:r>
      <w:r>
        <w:rPr>
          <w:rFonts w:hint="default" w:ascii="Times New Roman" w:hAnsi="Times New Roman" w:eastAsia="AdvPSPH-R" w:cs="Times New Roman"/>
          <w:b w:val="0"/>
          <w:bCs w:val="0"/>
          <w:sz w:val="22"/>
          <w:szCs w:val="22"/>
        </w:rPr>
        <w:t xml:space="preserve"> </w:t>
      </w:r>
      <w:r>
        <w:rPr>
          <w:rFonts w:hint="default" w:ascii="Times New Roman" w:hAnsi="Times New Roman" w:eastAsia="AdvPSPH-R" w:cs="Times New Roman"/>
          <w:b w:val="0"/>
          <w:bCs w:val="0"/>
          <w:sz w:val="22"/>
          <w:szCs w:val="22"/>
          <w:lang w:val="en-US"/>
        </w:rPr>
        <w:t xml:space="preserve"> </w:t>
      </w:r>
      <w:r>
        <w:rPr>
          <w:rFonts w:hint="default" w:ascii="Times New Roman" w:hAnsi="Times New Roman" w:cs="Times New Roman"/>
          <w:b w:val="0"/>
          <w:bCs w:val="0"/>
          <w:sz w:val="22"/>
          <w:szCs w:val="22"/>
          <w:lang w:val="en-US"/>
        </w:rPr>
        <w:t xml:space="preserve">Norhan E. Saleh (2025). </w:t>
      </w:r>
      <w:r>
        <w:rPr>
          <w:rFonts w:hint="default" w:ascii="Times New Roman" w:hAnsi="Times New Roman" w:cs="Times New Roman"/>
          <w:b w:val="0"/>
          <w:bCs w:val="0"/>
          <w:sz w:val="24"/>
          <w:szCs w:val="24"/>
        </w:rPr>
        <w:t>Evaluation of Mulberry Silkworm</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i/>
          <w:iCs/>
          <w:sz w:val="24"/>
          <w:szCs w:val="24"/>
        </w:rPr>
        <w:t>Bombyx mori</w:t>
      </w:r>
      <w:r>
        <w:rPr>
          <w:rFonts w:hint="default" w:ascii="Times New Roman" w:hAnsi="Times New Roman" w:cs="Times New Roman"/>
          <w:b w:val="0"/>
          <w:bCs w:val="0"/>
          <w:i/>
          <w:iCs/>
          <w:sz w:val="24"/>
          <w:szCs w:val="24"/>
          <w:lang w:val="en-US"/>
        </w:rPr>
        <w:t>,</w:t>
      </w:r>
      <w:r>
        <w:rPr>
          <w:rFonts w:hint="default" w:ascii="Times New Roman" w:hAnsi="Times New Roman" w:cs="Times New Roman"/>
          <w:b w:val="0"/>
          <w:bCs w:val="0"/>
          <w:sz w:val="24"/>
          <w:szCs w:val="24"/>
        </w:rPr>
        <w:t xml:space="preserve"> Pupae as a Sustainable Replacement for Fishmeal in Gilthead Seabream (</w:t>
      </w:r>
      <w:r>
        <w:rPr>
          <w:rFonts w:hint="default" w:ascii="Times New Roman" w:hAnsi="Times New Roman" w:cs="Times New Roman"/>
          <w:b w:val="0"/>
          <w:bCs w:val="0"/>
          <w:i/>
          <w:iCs/>
          <w:sz w:val="24"/>
          <w:szCs w:val="24"/>
        </w:rPr>
        <w:t>Sparus aurata</w:t>
      </w:r>
      <w:r>
        <w:rPr>
          <w:rFonts w:hint="default" w:ascii="Times New Roman" w:hAnsi="Times New Roman" w:cs="Times New Roman"/>
          <w:b w:val="0"/>
          <w:bCs w:val="0"/>
          <w:sz w:val="24"/>
          <w:szCs w:val="24"/>
        </w:rPr>
        <w:t>) Diets</w:t>
      </w:r>
      <w:r>
        <w:rPr>
          <w:rFonts w:hint="default" w:ascii="Times New Roman" w:hAnsi="Times New Roman" w:cs="Times New Roman"/>
          <w:b w:val="0"/>
          <w:bCs w:val="0"/>
          <w:sz w:val="24"/>
          <w:szCs w:val="24"/>
          <w:lang w:val="en-US"/>
        </w:rPr>
        <w:t xml:space="preserve">. </w:t>
      </w:r>
      <w:r>
        <w:rPr>
          <w:rFonts w:hint="default" w:ascii="Times New Roman" w:hAnsi="Times New Roman"/>
          <w:b w:val="0"/>
          <w:bCs w:val="0"/>
          <w:sz w:val="24"/>
          <w:szCs w:val="24"/>
          <w:lang w:val="en-US"/>
        </w:rPr>
        <w:t xml:space="preserve">Egyptian Journal of Aquatic Biology &amp; Fisheries,Vol. 29(3): 1593 – 1609. </w:t>
      </w:r>
      <w:commentRangeEnd w:id="34"/>
      <w:r>
        <w:commentReference w:id="34"/>
      </w:r>
    </w:p>
    <w:p w14:paraId="1A10D472">
      <w:pPr>
        <w:pStyle w:val="12"/>
        <w:numPr>
          <w:ilvl w:val="0"/>
          <w:numId w:val="3"/>
        </w:numPr>
        <w:rPr>
          <w:rFonts w:ascii="Arial" w:hAnsi="Arial" w:cs="Arial"/>
          <w:color w:val="000000" w:themeColor="text1"/>
        </w:rPr>
      </w:pPr>
      <w:r>
        <w:rPr>
          <w:rFonts w:ascii="Arial" w:hAnsi="Arial" w:cs="Arial"/>
          <w:color w:val="000000" w:themeColor="text1"/>
        </w:rPr>
        <w:t>Hassaan, M. S., Soltan, M. A., Mohammady, E. Y., Elashry, M. A., El- Haroun, E. R., &amp; Davies, S. J. (2018). Growth and physiological responses of Nile tilapia, Oreochromis niloticus fed dietary fer mented sunflower meal inoculated with Saccharomyces cerevisiae and Bacillus subtilis. Aquaculture, 495, 592– 601.</w:t>
      </w:r>
    </w:p>
    <w:p w14:paraId="12B2E04D">
      <w:pPr>
        <w:pStyle w:val="12"/>
        <w:numPr>
          <w:ilvl w:val="0"/>
          <w:numId w:val="3"/>
        </w:numPr>
        <w:rPr>
          <w:rFonts w:ascii="Arial" w:hAnsi="Arial" w:cs="Arial"/>
          <w:color w:val="000000" w:themeColor="text1"/>
        </w:rPr>
      </w:pPr>
      <w:r>
        <w:rPr>
          <w:rFonts w:ascii="Arial" w:hAnsi="Arial" w:cs="Arial"/>
          <w:color w:val="000000" w:themeColor="text1"/>
        </w:rPr>
        <w:t>Jannathulla, R., Dayal, J. S., Ambasankar, K., &amp; Muralidhar, M. (2018). Effect of Aspergillus niger fermented soybean meal and sunflower oil cake on growth, carcass composition and haemolymph indices in Penaeus vannamei Boone, 1931. Aquaculture, 486, 1– 8. https://doi. org/10.1016/j.aquac ulture.2017.12.005.</w:t>
      </w:r>
    </w:p>
    <w:p w14:paraId="73539700">
      <w:pPr>
        <w:pStyle w:val="12"/>
        <w:numPr>
          <w:ilvl w:val="0"/>
          <w:numId w:val="3"/>
        </w:numPr>
        <w:rPr>
          <w:rFonts w:ascii="Arial" w:hAnsi="Arial" w:cs="Arial"/>
          <w:color w:val="000000" w:themeColor="text1"/>
          <w:lang w:val="en-US"/>
        </w:rPr>
      </w:pPr>
      <w:r>
        <w:rPr>
          <w:rFonts w:ascii="Arial" w:hAnsi="Arial" w:cs="Arial"/>
          <w:color w:val="000000" w:themeColor="text1"/>
          <w:shd w:val="clear" w:color="auto" w:fill="FFFFFF"/>
        </w:rPr>
        <w:t>Lowry, O. H., Rosebrough, N. J., Farr, A. L., &amp; Randall, R. J. (1951). Protein measurement with the Folin phenol reagent. </w:t>
      </w:r>
      <w:r>
        <w:rPr>
          <w:rFonts w:ascii="Arial" w:hAnsi="Arial" w:cs="Arial"/>
          <w:i/>
          <w:iCs/>
          <w:color w:val="000000" w:themeColor="text1"/>
          <w:shd w:val="clear" w:color="auto" w:fill="FFFFFF"/>
        </w:rPr>
        <w:t>J biol Chem</w:t>
      </w:r>
      <w:r>
        <w:rPr>
          <w:rFonts w:ascii="Arial" w:hAnsi="Arial" w:cs="Arial"/>
          <w:color w:val="000000" w:themeColor="text1"/>
          <w:shd w:val="clear" w:color="auto" w:fill="FFFFFF"/>
        </w:rPr>
        <w:t>, </w:t>
      </w:r>
      <w:r>
        <w:rPr>
          <w:rFonts w:ascii="Arial" w:hAnsi="Arial" w:cs="Arial"/>
          <w:i/>
          <w:iCs/>
          <w:color w:val="000000" w:themeColor="text1"/>
          <w:shd w:val="clear" w:color="auto" w:fill="FFFFFF"/>
        </w:rPr>
        <w:t>193</w:t>
      </w:r>
      <w:r>
        <w:rPr>
          <w:rFonts w:ascii="Arial" w:hAnsi="Arial" w:cs="Arial"/>
          <w:color w:val="000000" w:themeColor="text1"/>
          <w:shd w:val="clear" w:color="auto" w:fill="FFFFFF"/>
        </w:rPr>
        <w:t>(1), 265-275.</w:t>
      </w:r>
    </w:p>
    <w:p w14:paraId="68D4E192">
      <w:pPr>
        <w:pStyle w:val="12"/>
        <w:numPr>
          <w:ilvl w:val="0"/>
          <w:numId w:val="3"/>
        </w:numPr>
        <w:rPr>
          <w:rFonts w:ascii="Arial" w:hAnsi="Arial" w:cs="Arial"/>
          <w:color w:val="000000" w:themeColor="text1"/>
        </w:rPr>
      </w:pPr>
      <w:r>
        <w:rPr>
          <w:rFonts w:ascii="Arial" w:hAnsi="Arial" w:cs="Arial"/>
          <w:color w:val="000000" w:themeColor="text1"/>
        </w:rPr>
        <w:t>Mishra, S. S., Ray, R. C., Panda, S. K., &amp; Montet, D. (2017). Technological innovations in processing of fermented foods. An overview. In R. C. Ray, &amp; D. Montet (Eds.), Fermented Foods Part II: Technological Intervention (pp. 21–45). Florida, USA: CRC Press, Taylor &amp; Francis Group.</w:t>
      </w:r>
    </w:p>
    <w:p w14:paraId="49DE8092">
      <w:pPr>
        <w:pStyle w:val="12"/>
        <w:numPr>
          <w:ilvl w:val="0"/>
          <w:numId w:val="3"/>
        </w:numPr>
        <w:rPr>
          <w:rFonts w:ascii="Arial" w:hAnsi="Arial" w:cs="Arial"/>
          <w:color w:val="000000" w:themeColor="text1"/>
          <w:lang w:val="en-US"/>
        </w:rPr>
      </w:pPr>
      <w:r>
        <w:rPr>
          <w:rFonts w:ascii="Arial" w:hAnsi="Arial" w:cs="Arial"/>
          <w:color w:val="000000" w:themeColor="text1"/>
          <w:shd w:val="clear" w:color="auto" w:fill="FFFFFF"/>
        </w:rPr>
        <w:t>Rangacharyulu, P. V., Giri, S. S., Paul, B. N., Yashoda, K. P., Rao, R. J., Mahendrakar, N. S., ... &amp; Mukhopadhyay, P. K. (2003). Utilization of fermented silkworm pupae silage in feed for carps. </w:t>
      </w:r>
      <w:r>
        <w:rPr>
          <w:rFonts w:ascii="Arial" w:hAnsi="Arial" w:cs="Arial"/>
          <w:i/>
          <w:iCs/>
          <w:color w:val="000000" w:themeColor="text1"/>
          <w:shd w:val="clear" w:color="auto" w:fill="FFFFFF"/>
        </w:rPr>
        <w:t>Bioresource technology</w:t>
      </w:r>
      <w:r>
        <w:rPr>
          <w:rFonts w:ascii="Arial" w:hAnsi="Arial" w:cs="Arial"/>
          <w:color w:val="000000" w:themeColor="text1"/>
          <w:shd w:val="clear" w:color="auto" w:fill="FFFFFF"/>
        </w:rPr>
        <w:t>, </w:t>
      </w:r>
      <w:r>
        <w:rPr>
          <w:rFonts w:ascii="Arial" w:hAnsi="Arial" w:cs="Arial"/>
          <w:i/>
          <w:iCs/>
          <w:color w:val="000000" w:themeColor="text1"/>
          <w:shd w:val="clear" w:color="auto" w:fill="FFFFFF"/>
        </w:rPr>
        <w:t>86</w:t>
      </w:r>
      <w:r>
        <w:rPr>
          <w:rFonts w:ascii="Arial" w:hAnsi="Arial" w:cs="Arial"/>
          <w:color w:val="000000" w:themeColor="text1"/>
          <w:shd w:val="clear" w:color="auto" w:fill="FFFFFF"/>
        </w:rPr>
        <w:t>(1), 29-32.</w:t>
      </w:r>
    </w:p>
    <w:p w14:paraId="77F73568">
      <w:pPr>
        <w:pStyle w:val="12"/>
        <w:numPr>
          <w:ilvl w:val="0"/>
          <w:numId w:val="3"/>
        </w:numPr>
        <w:rPr>
          <w:rFonts w:ascii="Arial" w:hAnsi="Arial" w:cs="Arial"/>
          <w:color w:val="000000" w:themeColor="text1"/>
          <w:lang w:val="en-US"/>
        </w:rPr>
      </w:pPr>
      <w:r>
        <w:rPr>
          <w:rFonts w:ascii="Arial" w:hAnsi="Arial" w:cs="Arial"/>
          <w:color w:val="000000" w:themeColor="text1"/>
        </w:rPr>
        <w:t>Samaddar, A., Kaviraj, A., &amp; Saha, S. (2015). Utilization of fermented animal by- product blend as fishmeal replacer in the diet of Labeo rohita. Aquaculture Reports, 1, 28– 36. https://doi.org/10.1016/j.aqrep.2015.03.004</w:t>
      </w:r>
    </w:p>
    <w:p w14:paraId="61C8C4D9">
      <w:pPr>
        <w:pStyle w:val="12"/>
        <w:numPr>
          <w:ilvl w:val="0"/>
          <w:numId w:val="3"/>
        </w:numPr>
        <w:rPr>
          <w:rFonts w:ascii="Arial" w:hAnsi="Arial" w:cs="Arial"/>
          <w:color w:val="000000" w:themeColor="text1"/>
          <w:shd w:val="clear" w:color="auto" w:fill="FFFFFF"/>
        </w:rPr>
      </w:pPr>
      <w:r>
        <w:rPr>
          <w:rFonts w:ascii="Arial" w:hAnsi="Arial" w:cs="Arial"/>
          <w:color w:val="000000" w:themeColor="text1"/>
          <w:shd w:val="clear" w:color="auto" w:fill="FFFFFF"/>
        </w:rPr>
        <w:t>Sathishkumar, G., Felix, N., &amp; Prabu, E. (2021). Effects of dietary protein substitution of fish meal with bioprocessed poultry by</w:t>
      </w:r>
      <w:r>
        <w:rPr>
          <w:rFonts w:ascii="Times New Roman" w:hAnsi="Times New Roman" w:cs="Arial"/>
          <w:color w:val="000000" w:themeColor="text1"/>
          <w:shd w:val="clear" w:color="auto" w:fill="FFFFFF"/>
        </w:rPr>
        <w:t>‐</w:t>
      </w:r>
      <w:r>
        <w:rPr>
          <w:rFonts w:ascii="Arial" w:hAnsi="Arial" w:cs="Arial"/>
          <w:color w:val="000000" w:themeColor="text1"/>
          <w:shd w:val="clear" w:color="auto" w:fill="FFFFFF"/>
        </w:rPr>
        <w:t>product meal on growth performances, nutrient utilization, whole</w:t>
      </w:r>
      <w:r>
        <w:rPr>
          <w:rFonts w:ascii="Times New Roman" w:hAnsi="Times New Roman" w:cs="Arial"/>
          <w:color w:val="000000" w:themeColor="text1"/>
          <w:shd w:val="clear" w:color="auto" w:fill="FFFFFF"/>
        </w:rPr>
        <w:t>‐</w:t>
      </w:r>
      <w:r>
        <w:rPr>
          <w:rFonts w:ascii="Arial" w:hAnsi="Arial" w:cs="Arial"/>
          <w:color w:val="000000" w:themeColor="text1"/>
          <w:shd w:val="clear" w:color="auto" w:fill="FFFFFF"/>
        </w:rPr>
        <w:t>body composition and haemato</w:t>
      </w:r>
      <w:r>
        <w:rPr>
          <w:rFonts w:ascii="Times New Roman" w:hAnsi="Times New Roman" w:cs="Arial"/>
          <w:color w:val="000000" w:themeColor="text1"/>
          <w:shd w:val="clear" w:color="auto" w:fill="FFFFFF"/>
        </w:rPr>
        <w:t>‐</w:t>
      </w:r>
      <w:r>
        <w:rPr>
          <w:rFonts w:ascii="Arial" w:hAnsi="Arial" w:cs="Arial"/>
          <w:color w:val="000000" w:themeColor="text1"/>
          <w:shd w:val="clear" w:color="auto" w:fill="FFFFFF"/>
        </w:rPr>
        <w:t>biochemical responses of GIFT tilapia reared in floating cages. </w:t>
      </w:r>
      <w:r>
        <w:rPr>
          <w:rFonts w:ascii="Arial" w:hAnsi="Arial" w:cs="Arial"/>
          <w:i/>
          <w:iCs/>
          <w:color w:val="000000" w:themeColor="text1"/>
          <w:shd w:val="clear" w:color="auto" w:fill="FFFFFF"/>
        </w:rPr>
        <w:t>Aquaculture Research</w:t>
      </w:r>
      <w:r>
        <w:rPr>
          <w:rFonts w:ascii="Arial" w:hAnsi="Arial" w:cs="Arial"/>
          <w:color w:val="000000" w:themeColor="text1"/>
          <w:shd w:val="clear" w:color="auto" w:fill="FFFFFF"/>
        </w:rPr>
        <w:t>, </w:t>
      </w:r>
      <w:r>
        <w:rPr>
          <w:rFonts w:ascii="Arial" w:hAnsi="Arial" w:cs="Arial"/>
          <w:i/>
          <w:iCs/>
          <w:color w:val="000000" w:themeColor="text1"/>
          <w:shd w:val="clear" w:color="auto" w:fill="FFFFFF"/>
        </w:rPr>
        <w:t>52</w:t>
      </w:r>
      <w:r>
        <w:rPr>
          <w:rFonts w:ascii="Arial" w:hAnsi="Arial" w:cs="Arial"/>
          <w:color w:val="000000" w:themeColor="text1"/>
          <w:shd w:val="clear" w:color="auto" w:fill="FFFFFF"/>
        </w:rPr>
        <w:t>(11), 5407-5418.</w:t>
      </w:r>
    </w:p>
    <w:p w14:paraId="6E34B297">
      <w:pPr>
        <w:pStyle w:val="12"/>
        <w:numPr>
          <w:ilvl w:val="0"/>
          <w:numId w:val="3"/>
        </w:numPr>
        <w:rPr>
          <w:rFonts w:ascii="Arial" w:hAnsi="Arial" w:cs="Arial"/>
          <w:color w:val="000000" w:themeColor="text1"/>
        </w:rPr>
      </w:pPr>
      <w:r>
        <w:rPr>
          <w:rFonts w:ascii="Arial" w:hAnsi="Arial" w:cs="Arial"/>
          <w:color w:val="000000" w:themeColor="text1"/>
        </w:rPr>
        <w:t xml:space="preserve">Sharawy, Z., Goda, A.- M.- S., &amp; Hassaan, M. S. (2016). Partial or total replacement of fish meal by solid state fermented soybean meal with Saccharomyces cerevisiae in diets for Indian prawn shrimp, Fenneropenaeus indicus, Postlarvae. Animal Feed Science and Technology, 212, 90– 99. </w:t>
      </w:r>
      <w:r>
        <w:fldChar w:fldCharType="begin"/>
      </w:r>
      <w:r>
        <w:instrText xml:space="preserve"> HYPERLINK "https://doi.org/10.1016/j.anife%20edsci.2015.12.009" </w:instrText>
      </w:r>
      <w:r>
        <w:fldChar w:fldCharType="separate"/>
      </w:r>
      <w:r>
        <w:rPr>
          <w:rStyle w:val="9"/>
          <w:rFonts w:ascii="Arial" w:hAnsi="Arial" w:cs="Arial"/>
          <w:color w:val="000000" w:themeColor="text1"/>
        </w:rPr>
        <w:t>https://doi.org/10.1016/j.anife edsci.2015.12.009</w:t>
      </w:r>
      <w:r>
        <w:rPr>
          <w:rStyle w:val="9"/>
          <w:rFonts w:ascii="Arial" w:hAnsi="Arial" w:cs="Arial"/>
          <w:color w:val="000000" w:themeColor="text1"/>
        </w:rPr>
        <w:fldChar w:fldCharType="end"/>
      </w:r>
      <w:r>
        <w:rPr>
          <w:rFonts w:ascii="Arial" w:hAnsi="Arial" w:cs="Arial"/>
          <w:color w:val="000000" w:themeColor="text1"/>
        </w:rPr>
        <w:t>].</w:t>
      </w:r>
    </w:p>
    <w:p w14:paraId="76B42B0F">
      <w:pPr>
        <w:pStyle w:val="12"/>
        <w:numPr>
          <w:ilvl w:val="0"/>
          <w:numId w:val="3"/>
        </w:numPr>
        <w:rPr>
          <w:rFonts w:ascii="Arial" w:hAnsi="Arial" w:cs="Arial"/>
          <w:color w:val="000000" w:themeColor="text1"/>
          <w:lang w:val="en-US"/>
        </w:rPr>
      </w:pPr>
      <w:r>
        <w:rPr>
          <w:rFonts w:ascii="Arial" w:hAnsi="Arial" w:cs="Arial"/>
          <w:color w:val="000000" w:themeColor="text1"/>
        </w:rPr>
        <w:t>Siddik, M. A., Chungu, P., Fotedar, R., &amp; Howieson, J. (2019). Bioprocessed poultry by- product meals on growth, gut health and fatty acid synthesis of juvenile barramundi, Lates calcarifer (Bloch). PLoS One, 14(4), e0215025. https://doi.org/10.1371/journ al.pone.0215025.</w:t>
      </w:r>
    </w:p>
    <w:p w14:paraId="78E4E757">
      <w:pPr>
        <w:pStyle w:val="12"/>
        <w:numPr>
          <w:ilvl w:val="0"/>
          <w:numId w:val="3"/>
        </w:numPr>
        <w:rPr>
          <w:rFonts w:ascii="Arial" w:hAnsi="Arial" w:cs="Arial"/>
          <w:color w:val="000000" w:themeColor="text1"/>
          <w:lang w:val="en-US"/>
        </w:rPr>
      </w:pPr>
      <w:r>
        <w:rPr>
          <w:rFonts w:ascii="Arial" w:hAnsi="Arial" w:cs="Arial"/>
          <w:color w:val="000000" w:themeColor="text1"/>
          <w:shd w:val="clear" w:color="auto" w:fill="FFFFFF"/>
        </w:rPr>
        <w:t>Siddik, M. A., Howieson, J., Ilham, I., &amp; Fotedar, R. (2018). Growth, biochemical response and liver health of juvenile barramundi (</w:t>
      </w:r>
      <w:r>
        <w:rPr>
          <w:rFonts w:ascii="Arial" w:hAnsi="Arial" w:cs="Arial"/>
          <w:i/>
          <w:color w:val="000000" w:themeColor="text1"/>
          <w:shd w:val="clear" w:color="auto" w:fill="FFFFFF"/>
        </w:rPr>
        <w:t>Lates calcarifer</w:t>
      </w:r>
      <w:r>
        <w:rPr>
          <w:rFonts w:ascii="Arial" w:hAnsi="Arial" w:cs="Arial"/>
          <w:color w:val="000000" w:themeColor="text1"/>
          <w:shd w:val="clear" w:color="auto" w:fill="FFFFFF"/>
        </w:rPr>
        <w:t>) fed fermented and non-fermented tuna hydrolysate as fishmeal protein replacement ingredients. </w:t>
      </w:r>
      <w:r>
        <w:rPr>
          <w:rFonts w:ascii="Arial" w:hAnsi="Arial" w:cs="Arial"/>
          <w:i/>
          <w:iCs/>
          <w:color w:val="000000" w:themeColor="text1"/>
          <w:shd w:val="clear" w:color="auto" w:fill="FFFFFF"/>
        </w:rPr>
        <w:t>PeerJ</w:t>
      </w:r>
      <w:r>
        <w:rPr>
          <w:rFonts w:ascii="Arial" w:hAnsi="Arial" w:cs="Arial"/>
          <w:color w:val="000000" w:themeColor="text1"/>
          <w:shd w:val="clear" w:color="auto" w:fill="FFFFFF"/>
        </w:rPr>
        <w:t>, </w:t>
      </w:r>
      <w:r>
        <w:rPr>
          <w:rFonts w:ascii="Arial" w:hAnsi="Arial" w:cs="Arial"/>
          <w:i/>
          <w:iCs/>
          <w:color w:val="000000" w:themeColor="text1"/>
          <w:shd w:val="clear" w:color="auto" w:fill="FFFFFF"/>
        </w:rPr>
        <w:t>6</w:t>
      </w:r>
      <w:r>
        <w:rPr>
          <w:rFonts w:ascii="Arial" w:hAnsi="Arial" w:cs="Arial"/>
          <w:color w:val="000000" w:themeColor="text1"/>
          <w:shd w:val="clear" w:color="auto" w:fill="FFFFFF"/>
        </w:rPr>
        <w:t>, e4870.</w:t>
      </w:r>
    </w:p>
    <w:p w14:paraId="008BEF6B">
      <w:pPr>
        <w:pStyle w:val="12"/>
        <w:numPr>
          <w:ilvl w:val="0"/>
          <w:numId w:val="3"/>
        </w:numPr>
        <w:rPr>
          <w:rFonts w:ascii="Arial" w:hAnsi="Arial" w:cs="Arial"/>
          <w:color w:val="000000" w:themeColor="text1"/>
        </w:rPr>
      </w:pPr>
      <w:r>
        <w:rPr>
          <w:rFonts w:ascii="Arial" w:hAnsi="Arial" w:cs="Arial"/>
          <w:color w:val="000000" w:themeColor="text1"/>
        </w:rPr>
        <w:t>Srivastava, R. K. (2018). Enhanced shelf life with improved food quality from fermentation processes. Journal of Food Technology and Preservation, 2(3), 1–7 Accessed 15 February 2020.</w:t>
      </w:r>
    </w:p>
    <w:p w14:paraId="136C8443">
      <w:pPr>
        <w:pStyle w:val="12"/>
        <w:numPr>
          <w:ilvl w:val="0"/>
          <w:numId w:val="3"/>
        </w:numPr>
        <w:rPr>
          <w:rFonts w:ascii="Arial" w:hAnsi="Arial" w:cs="Arial"/>
          <w:color w:val="000000" w:themeColor="text1"/>
          <w:shd w:val="clear" w:color="auto" w:fill="FFFFFF"/>
        </w:rPr>
      </w:pPr>
      <w:r>
        <w:rPr>
          <w:rFonts w:ascii="Arial" w:hAnsi="Arial" w:cs="Arial"/>
          <w:color w:val="000000" w:themeColor="text1"/>
          <w:shd w:val="clear" w:color="auto" w:fill="FFFFFF"/>
        </w:rPr>
        <w:t xml:space="preserve">Yadav, H., Jain, S., Rastamanesh, R., Bomba, A., Catanzaro, R., &amp; Marotta, F. (2011). Fermentation technology in the development of functional foods for human health: Where we should head. Fermentation Technology, 1, 1–2.  </w:t>
      </w:r>
      <w:r>
        <w:fldChar w:fldCharType="begin"/>
      </w:r>
      <w:r>
        <w:instrText xml:space="preserve"> HYPERLINK "https://doi.org/10.4172/2167-7972.1000e102" </w:instrText>
      </w:r>
      <w:r>
        <w:fldChar w:fldCharType="separate"/>
      </w:r>
      <w:r>
        <w:rPr>
          <w:rStyle w:val="9"/>
          <w:rFonts w:ascii="Arial" w:hAnsi="Arial" w:cs="Arial"/>
          <w:color w:val="000000" w:themeColor="text1"/>
          <w:shd w:val="clear" w:color="auto" w:fill="FFFFFF"/>
        </w:rPr>
        <w:t>https://doi.org/10.4172/2167-7972.1000e102</w:t>
      </w:r>
      <w:r>
        <w:rPr>
          <w:rStyle w:val="9"/>
          <w:rFonts w:ascii="Arial" w:hAnsi="Arial" w:cs="Arial"/>
          <w:color w:val="000000" w:themeColor="text1"/>
          <w:shd w:val="clear" w:color="auto" w:fill="FFFFFF"/>
        </w:rPr>
        <w:fldChar w:fldCharType="end"/>
      </w:r>
      <w:r>
        <w:rPr>
          <w:rFonts w:ascii="Arial" w:hAnsi="Arial" w:cs="Arial"/>
          <w:color w:val="000000" w:themeColor="text1"/>
          <w:shd w:val="clear" w:color="auto" w:fill="FFFFFF"/>
        </w:rPr>
        <w:t>.</w:t>
      </w:r>
    </w:p>
    <w:p w14:paraId="451AAE25">
      <w:pPr>
        <w:pStyle w:val="12"/>
        <w:numPr>
          <w:ilvl w:val="0"/>
          <w:numId w:val="3"/>
        </w:numPr>
        <w:rPr>
          <w:rFonts w:ascii="Arial" w:hAnsi="Arial" w:cs="Arial"/>
          <w:color w:val="000000" w:themeColor="text1"/>
        </w:rPr>
      </w:pPr>
      <w:r>
        <w:rPr>
          <w:rFonts w:ascii="Arial" w:hAnsi="Arial" w:cs="Arial"/>
          <w:color w:val="000000" w:themeColor="text1"/>
        </w:rPr>
        <w:t xml:space="preserve">Yang, L.J., Zeng, X.F., and Qiao, S.Y., 2021. Advances in research on solid-state fermented feed and its utilization: The pioneer of private customization for intestinal microorganisms. Anim. Nutr., 7: 905916. </w:t>
      </w:r>
      <w:r>
        <w:fldChar w:fldCharType="begin"/>
      </w:r>
      <w:r>
        <w:instrText xml:space="preserve"> HYPERLINK "https://doi.org/10.1016/j.aninu.2021.06.002" </w:instrText>
      </w:r>
      <w:r>
        <w:fldChar w:fldCharType="separate"/>
      </w:r>
      <w:r>
        <w:rPr>
          <w:rStyle w:val="9"/>
          <w:rFonts w:ascii="Arial" w:hAnsi="Arial" w:cs="Arial"/>
          <w:color w:val="000000" w:themeColor="text1"/>
        </w:rPr>
        <w:t>https://doi.org/10.1016/j.aninu.2021.06.002</w:t>
      </w:r>
      <w:r>
        <w:rPr>
          <w:rStyle w:val="9"/>
          <w:rFonts w:ascii="Arial" w:hAnsi="Arial" w:cs="Arial"/>
          <w:color w:val="000000" w:themeColor="text1"/>
        </w:rPr>
        <w:fldChar w:fldCharType="end"/>
      </w:r>
    </w:p>
    <w:p w14:paraId="2B97A270">
      <w:pPr>
        <w:pStyle w:val="12"/>
        <w:numPr>
          <w:ilvl w:val="0"/>
          <w:numId w:val="3"/>
        </w:numPr>
        <w:rPr>
          <w:rFonts w:ascii="Arial" w:hAnsi="Arial" w:cs="Arial"/>
          <w:color w:val="000000" w:themeColor="text1"/>
          <w:shd w:val="clear" w:color="auto" w:fill="FFFFFF"/>
        </w:rPr>
      </w:pPr>
      <w:r>
        <w:rPr>
          <w:rFonts w:ascii="Arial" w:hAnsi="Arial" w:cs="Arial"/>
          <w:color w:val="000000" w:themeColor="text1"/>
          <w:shd w:val="clear" w:color="auto" w:fill="FFFFFF"/>
        </w:rPr>
        <w:t>Zhang, Q., Guo, M., Li, F., Qin, M., Yang, Q., Yu, H., Xu, J., Liu, Y., &amp; Tong, T. (2023). Evaluation of fermented soybean meal to replace a portion fish meal on growth performance, antioxidant capacity, immunity, and mTOR signaling pathway of coho salmon (Oncorhynchus kisutch). </w:t>
      </w:r>
      <w:r>
        <w:rPr>
          <w:rFonts w:ascii="Arial" w:hAnsi="Arial" w:cs="Arial"/>
          <w:i/>
          <w:iCs/>
          <w:color w:val="000000" w:themeColor="text1"/>
          <w:shd w:val="clear" w:color="auto" w:fill="FFFFFF"/>
        </w:rPr>
        <w:t>Aquaculture Nutrition</w:t>
      </w:r>
      <w:r>
        <w:rPr>
          <w:rFonts w:ascii="Arial" w:hAnsi="Arial" w:cs="Arial"/>
          <w:color w:val="000000" w:themeColor="text1"/>
          <w:shd w:val="clear" w:color="auto" w:fill="FFFFFF"/>
        </w:rPr>
        <w:t>, </w:t>
      </w:r>
      <w:r>
        <w:rPr>
          <w:rFonts w:ascii="Arial" w:hAnsi="Arial" w:cs="Arial"/>
          <w:i/>
          <w:iCs/>
          <w:color w:val="000000" w:themeColor="text1"/>
          <w:shd w:val="clear" w:color="auto" w:fill="FFFFFF"/>
        </w:rPr>
        <w:t>2023</w:t>
      </w:r>
      <w:r>
        <w:rPr>
          <w:rFonts w:ascii="Arial" w:hAnsi="Arial" w:cs="Arial"/>
          <w:color w:val="000000" w:themeColor="text1"/>
          <w:shd w:val="clear" w:color="auto" w:fill="FFFFFF"/>
        </w:rPr>
        <w:t>(1), 2558173.</w:t>
      </w:r>
    </w:p>
    <w:p w14:paraId="733F6E83">
      <w:pPr>
        <w:pStyle w:val="12"/>
        <w:numPr>
          <w:ilvl w:val="0"/>
          <w:numId w:val="3"/>
        </w:numPr>
        <w:rPr>
          <w:rFonts w:ascii="Arial" w:hAnsi="Arial" w:cs="Arial"/>
          <w:color w:val="000000" w:themeColor="text1"/>
        </w:rPr>
      </w:pPr>
      <w:r>
        <w:rPr>
          <w:rFonts w:ascii="Arial" w:hAnsi="Arial" w:cs="Arial"/>
          <w:color w:val="000000" w:themeColor="text1"/>
        </w:rPr>
        <w:t xml:space="preserve">Zhou,J.S., Chen, Y.S., Ji, H., and Yu, E.M., 2017. The effect of replacing fish meal with fermented meal mixture of silkworm pupae, rapeseed and wheat on growth, body composition and health of mirror carp (Cyprinus carpio var. Specularis). Aquac. Nutr., 23: 741-754. </w:t>
      </w:r>
      <w:r>
        <w:fldChar w:fldCharType="begin"/>
      </w:r>
      <w:r>
        <w:instrText xml:space="preserve"> HYPERLINK "https://doi.org/10.1111/anu.12441" </w:instrText>
      </w:r>
      <w:r>
        <w:fldChar w:fldCharType="separate"/>
      </w:r>
      <w:r>
        <w:rPr>
          <w:rStyle w:val="9"/>
          <w:rFonts w:ascii="Arial" w:hAnsi="Arial" w:cs="Arial"/>
          <w:color w:val="000000" w:themeColor="text1"/>
        </w:rPr>
        <w:t>https://doi.org/10.1111/anu.12441</w:t>
      </w:r>
      <w:r>
        <w:rPr>
          <w:rStyle w:val="9"/>
          <w:rFonts w:ascii="Arial" w:hAnsi="Arial" w:cs="Arial"/>
          <w:color w:val="000000" w:themeColor="text1"/>
        </w:rPr>
        <w:fldChar w:fldCharType="end"/>
      </w:r>
      <w:r>
        <w:rPr>
          <w:rFonts w:ascii="Arial" w:hAnsi="Arial" w:cs="Arial"/>
          <w:color w:val="000000" w:themeColor="text1"/>
        </w:rPr>
        <w:t xml:space="preserve"> ).</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20101" w:date="2025-05-28T18:29:20Z" w:initials="2">
    <w:p w14:paraId="68738100">
      <w:pPr>
        <w:pStyle w:val="5"/>
        <w:rPr>
          <w:rFonts w:hint="default"/>
          <w:lang w:val="en-US"/>
        </w:rPr>
      </w:pPr>
      <w:r>
        <w:rPr>
          <w:rFonts w:hint="default"/>
          <w:lang w:val="en-US"/>
        </w:rPr>
        <w:t>Non-deoiled</w:t>
      </w:r>
    </w:p>
  </w:comment>
  <w:comment w:id="1" w:author="20101" w:date="2025-05-28T18:29:56Z" w:initials="2">
    <w:p w14:paraId="664A1B33">
      <w:pPr>
        <w:pStyle w:val="5"/>
        <w:rPr>
          <w:rFonts w:hint="default"/>
          <w:lang w:val="en-US"/>
        </w:rPr>
      </w:pPr>
      <w:r>
        <w:rPr>
          <w:rFonts w:hint="default"/>
          <w:lang w:val="en-US"/>
        </w:rPr>
        <w:t>Non-deoiled</w:t>
      </w:r>
    </w:p>
    <w:p w14:paraId="58ADF27D">
      <w:pPr>
        <w:pStyle w:val="5"/>
      </w:pPr>
    </w:p>
    <w:p w14:paraId="6130229D">
      <w:pPr>
        <w:pStyle w:val="5"/>
        <w:ind w:left="0" w:leftChars="0" w:firstLine="0" w:firstLineChars="0"/>
      </w:pPr>
    </w:p>
  </w:comment>
  <w:comment w:id="2" w:author="20101" w:date="2025-05-28T18:32:36Z" w:initials="2">
    <w:p w14:paraId="27A7B4FC">
      <w:pPr>
        <w:pStyle w:val="5"/>
        <w:rPr>
          <w:rFonts w:hint="default"/>
          <w:lang w:val="en-US"/>
        </w:rPr>
      </w:pPr>
      <w:r>
        <w:rPr>
          <w:rFonts w:hint="default"/>
          <w:lang w:val="en-US"/>
        </w:rPr>
        <w:t>enhancing</w:t>
      </w:r>
    </w:p>
  </w:comment>
  <w:comment w:id="3" w:author="20101" w:date="2025-05-28T18:32:51Z" w:initials="2">
    <w:p w14:paraId="1C81A61D">
      <w:pPr>
        <w:pStyle w:val="5"/>
        <w:rPr>
          <w:rFonts w:hint="default"/>
          <w:lang w:val="en-US"/>
        </w:rPr>
      </w:pPr>
      <w:r>
        <w:rPr>
          <w:rFonts w:hint="default"/>
          <w:lang w:val="en-US"/>
        </w:rPr>
        <w:t>Thereby</w:t>
      </w:r>
    </w:p>
    <w:p w14:paraId="559C4D5F">
      <w:pPr>
        <w:pStyle w:val="5"/>
        <w:ind w:left="0" w:leftChars="0" w:firstLine="0" w:firstLineChars="0"/>
        <w:rPr>
          <w:rFonts w:hint="default"/>
          <w:lang w:val="en-US"/>
        </w:rPr>
      </w:pPr>
    </w:p>
  </w:comment>
  <w:comment w:id="4" w:author="20101" w:date="2025-05-28T18:31:35Z" w:initials="2">
    <w:p w14:paraId="0D6B9BAE">
      <w:pPr>
        <w:pStyle w:val="5"/>
        <w:rPr>
          <w:rFonts w:hint="default"/>
          <w:lang w:val="en-US"/>
        </w:rPr>
      </w:pPr>
      <w:r>
        <w:rPr>
          <w:rFonts w:hint="default"/>
          <w:lang w:val="en-US"/>
        </w:rPr>
        <w:t>costs</w:t>
      </w:r>
    </w:p>
  </w:comment>
  <w:comment w:id="5" w:author="20101" w:date="2025-05-28T20:54:03Z" w:initials="2">
    <w:p w14:paraId="3D789199">
      <w:pPr>
        <w:pStyle w:val="5"/>
        <w:rPr>
          <w:rFonts w:hint="default"/>
          <w:lang w:val="en-US"/>
        </w:rPr>
      </w:pPr>
      <w:r>
        <w:rPr>
          <w:rFonts w:hint="default"/>
          <w:lang w:val="en-US"/>
        </w:rPr>
        <w:t xml:space="preserve">add  some new previous studyes to your paper </w:t>
      </w:r>
    </w:p>
  </w:comment>
  <w:comment w:id="6" w:author="20101" w:date="2025-05-28T18:33:40Z" w:initials="2">
    <w:p w14:paraId="6C259ECD">
      <w:pPr>
        <w:pStyle w:val="5"/>
        <w:rPr>
          <w:rFonts w:hint="default"/>
          <w:lang w:val="en-US"/>
        </w:rPr>
      </w:pPr>
      <w:r>
        <w:rPr>
          <w:rFonts w:hint="default"/>
          <w:lang w:val="en-US"/>
        </w:rPr>
        <w:t>Cocoons</w:t>
      </w:r>
    </w:p>
    <w:p w14:paraId="785D8EC1">
      <w:pPr>
        <w:pStyle w:val="5"/>
        <w:rPr>
          <w:rFonts w:hint="default"/>
          <w:lang w:val="en-US"/>
        </w:rPr>
      </w:pPr>
    </w:p>
  </w:comment>
  <w:comment w:id="7" w:author="20101" w:date="2025-05-28T20:35:32Z" w:initials="2">
    <w:p w14:paraId="164EAC7C">
      <w:pPr>
        <w:pStyle w:val="5"/>
        <w:rPr>
          <w:rFonts w:hint="default"/>
          <w:lang w:val="en-US"/>
        </w:rPr>
      </w:pPr>
      <w:r>
        <w:rPr>
          <w:rFonts w:hint="default"/>
          <w:lang w:val="en-US"/>
        </w:rPr>
        <w:t xml:space="preserve">Add new publication paper </w:t>
      </w:r>
    </w:p>
  </w:comment>
  <w:comment w:id="8" w:author="20101" w:date="2025-05-28T18:46:30Z" w:initials="2">
    <w:p w14:paraId="57F35AE2">
      <w:pPr>
        <w:pStyle w:val="5"/>
        <w:rPr>
          <w:rFonts w:hint="default"/>
          <w:lang w:val="en-US"/>
        </w:rPr>
      </w:pPr>
      <w:r>
        <w:rPr>
          <w:rFonts w:hint="default"/>
          <w:lang w:val="en-US"/>
        </w:rPr>
        <w:t>suggests</w:t>
      </w:r>
    </w:p>
  </w:comment>
  <w:comment w:id="9" w:author="20101" w:date="2025-05-28T18:46:17Z" w:initials="2">
    <w:p w14:paraId="2A1B022A">
      <w:pPr>
        <w:pStyle w:val="5"/>
        <w:rPr>
          <w:rFonts w:hint="default"/>
          <w:lang w:val="en-US"/>
        </w:rPr>
      </w:pPr>
      <w:r>
        <w:rPr>
          <w:rFonts w:hint="default"/>
          <w:lang w:val="en-US"/>
        </w:rPr>
        <w:t xml:space="preserve">The </w:t>
      </w:r>
      <w:r>
        <w:rPr>
          <w:rFonts w:ascii="Arial" w:hAnsi="Arial" w:cs="Arial"/>
          <w:sz w:val="20"/>
          <w:szCs w:val="20"/>
        </w:rPr>
        <w:t>fermentation</w:t>
      </w:r>
    </w:p>
  </w:comment>
  <w:comment w:id="11" w:author="20101" w:date="2025-05-28T18:47:49Z" w:initials="2">
    <w:p w14:paraId="7518CD3D">
      <w:pPr>
        <w:pStyle w:val="5"/>
        <w:rPr>
          <w:rFonts w:hint="default"/>
          <w:i w:val="0"/>
          <w:iCs w:val="0"/>
          <w:lang w:val="en-US"/>
        </w:rPr>
      </w:pPr>
      <w:r>
        <w:rPr>
          <w:rFonts w:hint="default"/>
          <w:i w:val="0"/>
          <w:iCs w:val="0"/>
          <w:lang w:val="en-US"/>
        </w:rPr>
        <w:t xml:space="preserve">Fount </w:t>
      </w:r>
      <w:r>
        <w:rPr>
          <w:rFonts w:hint="default"/>
          <w:i/>
          <w:iCs/>
          <w:lang w:val="en-US"/>
        </w:rPr>
        <w:t xml:space="preserve">et al  italic </w:t>
      </w:r>
      <w:r>
        <w:rPr>
          <w:rFonts w:hint="default"/>
          <w:i w:val="0"/>
          <w:iCs w:val="0"/>
          <w:lang w:val="en-US"/>
        </w:rPr>
        <w:t>for all previous researches</w:t>
      </w:r>
    </w:p>
  </w:comment>
  <w:comment w:id="10" w:author="20101" w:date="2025-05-28T20:37:11Z" w:initials="2">
    <w:p w14:paraId="028DA949">
      <w:pPr>
        <w:pStyle w:val="5"/>
        <w:rPr>
          <w:rFonts w:hint="default"/>
          <w:lang w:val="en-US"/>
        </w:rPr>
      </w:pPr>
      <w:r>
        <w:rPr>
          <w:rFonts w:hint="default"/>
          <w:lang w:val="en-US"/>
        </w:rPr>
        <w:t>Arrange authors ascending by the year of publications</w:t>
      </w:r>
    </w:p>
  </w:comment>
  <w:comment w:id="12" w:author="20101" w:date="2025-05-28T20:58:10Z" w:initials="2">
    <w:p w14:paraId="2C049D42">
      <w:pPr>
        <w:pStyle w:val="5"/>
        <w:rPr>
          <w:rFonts w:hint="default"/>
          <w:lang w:val="en-US"/>
        </w:rPr>
      </w:pPr>
      <w:r>
        <w:rPr>
          <w:rFonts w:hint="default"/>
          <w:lang w:val="en-US"/>
        </w:rPr>
        <w:t>Correct  the chronological order of the references inside the text</w:t>
      </w:r>
    </w:p>
  </w:comment>
  <w:comment w:id="13" w:author="20101" w:date="2025-05-28T18:52:42Z" w:initials="2">
    <w:p w14:paraId="38A5A66E">
      <w:pPr>
        <w:pStyle w:val="5"/>
      </w:pPr>
      <w:r>
        <w:rPr>
          <w:rFonts w:ascii="Arial" w:hAnsi="Arial" w:cs="Arial"/>
          <w:sz w:val="20"/>
          <w:szCs w:val="20"/>
        </w:rPr>
        <w:t>Sun</w:t>
      </w:r>
      <w:r>
        <w:rPr>
          <w:rFonts w:hint="default" w:ascii="Arial" w:hAnsi="Arial" w:cs="Arial"/>
          <w:sz w:val="20"/>
          <w:szCs w:val="20"/>
          <w:lang w:val="en-US"/>
        </w:rPr>
        <w:t>-</w:t>
      </w:r>
      <w:r>
        <w:rPr>
          <w:rFonts w:ascii="Arial" w:hAnsi="Arial" w:cs="Arial"/>
          <w:sz w:val="20"/>
          <w:szCs w:val="20"/>
        </w:rPr>
        <w:t>dried</w:t>
      </w:r>
    </w:p>
  </w:comment>
  <w:comment w:id="14" w:author="20101" w:date="2025-05-28T18:53:35Z" w:initials="2">
    <w:p w14:paraId="3122DA4A">
      <w:pPr>
        <w:pStyle w:val="5"/>
        <w:rPr>
          <w:rFonts w:hint="default"/>
          <w:lang w:val="en-US"/>
        </w:rPr>
      </w:pPr>
      <w:r>
        <w:rPr>
          <w:rFonts w:hint="default"/>
          <w:lang w:val="en-US"/>
        </w:rPr>
        <w:t>They reached</w:t>
      </w:r>
    </w:p>
  </w:comment>
  <w:comment w:id="15" w:author="20101" w:date="2025-05-28T18:57:04Z" w:initials="2">
    <w:p w14:paraId="1609D089">
      <w:pPr>
        <w:pStyle w:val="5"/>
        <w:rPr>
          <w:rFonts w:hint="default"/>
          <w:lang w:val="en-US"/>
        </w:rPr>
      </w:pPr>
      <w:r>
        <w:rPr>
          <w:rFonts w:hint="default"/>
          <w:lang w:val="en-US"/>
        </w:rPr>
        <w:t>added  to</w:t>
      </w:r>
    </w:p>
  </w:comment>
  <w:comment w:id="16" w:author="20101" w:date="2025-05-28T19:02:03Z" w:initials="2">
    <w:p w14:paraId="383E16D6">
      <w:pPr>
        <w:pStyle w:val="5"/>
      </w:pPr>
      <w:r>
        <w:rPr>
          <w:rFonts w:ascii="Arial" w:hAnsi="Arial" w:eastAsia="SimSun" w:cs="Arial"/>
          <w:i w:val="0"/>
          <w:iCs w:val="0"/>
          <w:color w:val="000000"/>
          <w:sz w:val="20"/>
          <w:szCs w:val="20"/>
          <w:u w:val="none"/>
          <w:vertAlign w:val="baseline"/>
        </w:rPr>
        <w:t> following the methods of</w:t>
      </w:r>
    </w:p>
  </w:comment>
  <w:comment w:id="17" w:author="20101" w:date="2025-05-28T19:04:01Z" w:initials="2">
    <w:p w14:paraId="64D71FD4">
      <w:pPr>
        <w:pStyle w:val="5"/>
        <w:rPr>
          <w:rFonts w:hint="default"/>
          <w:lang w:val="en-US"/>
        </w:rPr>
      </w:pPr>
      <w:r>
        <w:rPr>
          <w:rFonts w:ascii="Arial" w:hAnsi="Arial" w:cs="Arial"/>
          <w:sz w:val="20"/>
          <w:szCs w:val="20"/>
        </w:rPr>
        <w:t>These analys</w:t>
      </w:r>
      <w:r>
        <w:rPr>
          <w:rFonts w:hint="default" w:ascii="Arial" w:hAnsi="Arial" w:cs="Arial"/>
          <w:sz w:val="20"/>
          <w:szCs w:val="20"/>
          <w:lang w:val="en-US"/>
        </w:rPr>
        <w:t>e</w:t>
      </w:r>
      <w:r>
        <w:rPr>
          <w:rFonts w:ascii="Arial" w:hAnsi="Arial" w:cs="Arial"/>
          <w:sz w:val="20"/>
          <w:szCs w:val="20"/>
        </w:rPr>
        <w:t>s w</w:t>
      </w:r>
      <w:r>
        <w:rPr>
          <w:rFonts w:hint="default" w:ascii="Arial" w:hAnsi="Arial" w:cs="Arial"/>
          <w:sz w:val="20"/>
          <w:szCs w:val="20"/>
          <w:lang w:val="en-US"/>
        </w:rPr>
        <w:t>ere</w:t>
      </w:r>
    </w:p>
  </w:comment>
  <w:comment w:id="18" w:author="20101" w:date="2025-05-28T19:06:37Z" w:initials="2">
    <w:p w14:paraId="51758419">
      <w:pPr>
        <w:pStyle w:val="5"/>
        <w:rPr>
          <w:rFonts w:hint="default"/>
          <w:lang w:val="en-US"/>
        </w:rPr>
      </w:pPr>
      <w:r>
        <w:rPr>
          <w:rFonts w:hint="default"/>
          <w:lang w:val="en-US"/>
        </w:rPr>
        <w:t>recorded</w:t>
      </w:r>
    </w:p>
  </w:comment>
  <w:comment w:id="19" w:author="20101" w:date="2025-05-28T19:14:29Z" w:initials="2">
    <w:p w14:paraId="73E2D0A1">
      <w:pPr>
        <w:pStyle w:val="5"/>
      </w:pPr>
      <w:r>
        <w:rPr>
          <w:rFonts w:ascii="Arial" w:hAnsi="Arial" w:cs="Arial"/>
          <w:sz w:val="20"/>
          <w:szCs w:val="20"/>
        </w:rPr>
        <w:t>One</w:t>
      </w:r>
      <w:r>
        <w:rPr>
          <w:rFonts w:hint="default" w:ascii="Arial" w:hAnsi="Arial" w:cs="Arial"/>
          <w:sz w:val="20"/>
          <w:szCs w:val="20"/>
          <w:lang w:val="en-US"/>
        </w:rPr>
        <w:t>-</w:t>
      </w:r>
      <w:r>
        <w:rPr>
          <w:rFonts w:ascii="Arial" w:hAnsi="Arial" w:cs="Arial"/>
          <w:sz w:val="20"/>
          <w:szCs w:val="20"/>
        </w:rPr>
        <w:t>way</w:t>
      </w:r>
    </w:p>
  </w:comment>
  <w:comment w:id="20" w:author="20101" w:date="2025-05-28T19:13:19Z" w:initials="2">
    <w:p w14:paraId="022E4456">
      <w:pPr>
        <w:pStyle w:val="5"/>
        <w:rPr>
          <w:rFonts w:hint="default"/>
          <w:lang w:val="en-US"/>
        </w:rPr>
      </w:pPr>
      <w:r>
        <w:rPr>
          <w:rFonts w:hint="default"/>
          <w:lang w:val="en-US"/>
        </w:rPr>
        <w:t>italic</w:t>
      </w:r>
    </w:p>
  </w:comment>
  <w:comment w:id="21" w:author="20101" w:date="2025-05-28T22:02:13Z" w:initials="2">
    <w:p w14:paraId="6781E476">
      <w:pPr>
        <w:pStyle w:val="5"/>
        <w:rPr>
          <w:rFonts w:hint="default"/>
          <w:lang w:val="en-US"/>
        </w:rPr>
      </w:pPr>
      <w:r>
        <w:rPr>
          <w:rFonts w:hint="default"/>
          <w:lang w:val="en-US"/>
        </w:rPr>
        <w:t>Not italic</w:t>
      </w:r>
    </w:p>
  </w:comment>
  <w:comment w:id="22" w:author="20101" w:date="2025-05-28T20:29:47Z" w:initials="2">
    <w:p w14:paraId="763C08F8">
      <w:pPr>
        <w:pStyle w:val="5"/>
        <w:rPr>
          <w:rFonts w:hint="default"/>
          <w:lang w:val="en-US"/>
        </w:rPr>
      </w:pPr>
      <w:r>
        <w:rPr>
          <w:rFonts w:hint="default"/>
          <w:lang w:val="en-US"/>
        </w:rPr>
        <w:t>clarify what is CD</w:t>
      </w:r>
    </w:p>
  </w:comment>
  <w:comment w:id="23" w:author="20101" w:date="2025-05-28T22:17:54Z" w:initials="2">
    <w:p w14:paraId="3C662FD9">
      <w:pPr>
        <w:pStyle w:val="5"/>
        <w:rPr>
          <w:rFonts w:hint="default"/>
          <w:lang w:val="en-US"/>
        </w:rPr>
      </w:pPr>
      <w:r>
        <w:rPr>
          <w:rFonts w:hint="default"/>
          <w:lang w:val="en-US"/>
        </w:rPr>
        <w:t>boost</w:t>
      </w:r>
    </w:p>
  </w:comment>
  <w:comment w:id="24" w:author="20101" w:date="2025-05-28T19:19:54Z" w:initials="2">
    <w:p w14:paraId="235096BE">
      <w:pPr>
        <w:pStyle w:val="5"/>
      </w:pPr>
      <w:r>
        <w:rPr>
          <w:rFonts w:ascii="Arial" w:hAnsi="Arial" w:eastAsia="SimSun" w:cs="Arial"/>
          <w:i w:val="0"/>
          <w:iCs w:val="0"/>
          <w:color w:val="000000"/>
          <w:sz w:val="22"/>
          <w:szCs w:val="22"/>
          <w:u w:val="none"/>
          <w:vertAlign w:val="baseline"/>
        </w:rPr>
        <w:t xml:space="preserve">(Samaddar </w:t>
      </w:r>
      <w:r>
        <w:rPr>
          <w:rFonts w:ascii="Arial" w:hAnsi="Arial" w:eastAsia="SimSun" w:cs="Arial"/>
          <w:i/>
          <w:iCs/>
          <w:color w:val="000000"/>
          <w:sz w:val="22"/>
          <w:szCs w:val="22"/>
          <w:u w:val="none"/>
          <w:vertAlign w:val="baseline"/>
        </w:rPr>
        <w:t>et al</w:t>
      </w:r>
      <w:r>
        <w:rPr>
          <w:rFonts w:ascii="Arial" w:hAnsi="Arial" w:eastAsia="SimSun" w:cs="Arial"/>
          <w:i w:val="0"/>
          <w:iCs w:val="0"/>
          <w:color w:val="000000"/>
          <w:sz w:val="22"/>
          <w:szCs w:val="22"/>
          <w:u w:val="none"/>
          <w:vertAlign w:val="baseline"/>
        </w:rPr>
        <w:t xml:space="preserve">., 2015; Siddik </w:t>
      </w:r>
      <w:r>
        <w:rPr>
          <w:rFonts w:ascii="Arial" w:hAnsi="Arial" w:eastAsia="SimSun" w:cs="Arial"/>
          <w:i/>
          <w:iCs/>
          <w:color w:val="000000"/>
          <w:sz w:val="22"/>
          <w:szCs w:val="22"/>
          <w:u w:val="none"/>
          <w:vertAlign w:val="baseline"/>
        </w:rPr>
        <w:t>et al</w:t>
      </w:r>
      <w:r>
        <w:rPr>
          <w:rFonts w:ascii="Arial" w:hAnsi="Arial" w:eastAsia="SimSun" w:cs="Arial"/>
          <w:i w:val="0"/>
          <w:iCs w:val="0"/>
          <w:color w:val="000000"/>
          <w:sz w:val="22"/>
          <w:szCs w:val="22"/>
          <w:u w:val="none"/>
          <w:vertAlign w:val="baseline"/>
        </w:rPr>
        <w:t>., 2019;</w:t>
      </w:r>
      <w:r>
        <w:rPr>
          <w:rFonts w:hint="cs" w:ascii="Arial" w:hAnsi="Arial" w:eastAsia="SimSun" w:cs="Arial"/>
          <w:i w:val="0"/>
          <w:iCs w:val="0"/>
          <w:color w:val="000000"/>
          <w:sz w:val="22"/>
          <w:szCs w:val="22"/>
          <w:u w:val="none"/>
          <w:vertAlign w:val="baseline"/>
          <w:rtl/>
          <w:lang w:val="en-US" w:bidi="ar-EG"/>
        </w:rPr>
        <w:t xml:space="preserve"> </w:t>
      </w:r>
      <w:r>
        <w:rPr>
          <w:rFonts w:ascii="Arial" w:hAnsi="Arial" w:eastAsia="SimSun" w:cs="Arial"/>
          <w:i w:val="0"/>
          <w:iCs w:val="0"/>
          <w:color w:val="000000"/>
          <w:sz w:val="22"/>
          <w:szCs w:val="22"/>
          <w:u w:val="none"/>
          <w:vertAlign w:val="baseline"/>
        </w:rPr>
        <w:t>Dawood,</w:t>
      </w:r>
      <w:r>
        <w:rPr>
          <w:rFonts w:ascii="Arial" w:hAnsi="Arial" w:eastAsia="SimSun" w:cs="Arial"/>
          <w:i/>
          <w:iCs/>
          <w:color w:val="000000"/>
          <w:sz w:val="22"/>
          <w:szCs w:val="22"/>
          <w:u w:val="none"/>
          <w:vertAlign w:val="baseline"/>
        </w:rPr>
        <w:t xml:space="preserve"> et al</w:t>
      </w:r>
      <w:r>
        <w:rPr>
          <w:rFonts w:ascii="Arial" w:hAnsi="Arial" w:eastAsia="SimSun" w:cs="Arial"/>
          <w:i w:val="0"/>
          <w:iCs w:val="0"/>
          <w:color w:val="000000"/>
          <w:sz w:val="22"/>
          <w:szCs w:val="22"/>
          <w:u w:val="none"/>
          <w:vertAlign w:val="baseline"/>
        </w:rPr>
        <w:t>., 2020</w:t>
      </w:r>
      <w:r>
        <w:rPr>
          <w:rFonts w:hint="cs" w:ascii="Arial" w:hAnsi="Arial" w:eastAsia="SimSun" w:cs="Arial"/>
          <w:i w:val="0"/>
          <w:iCs w:val="0"/>
          <w:color w:val="000000"/>
          <w:sz w:val="22"/>
          <w:szCs w:val="22"/>
          <w:u w:val="none"/>
          <w:vertAlign w:val="baseline"/>
          <w:rtl/>
          <w:lang w:val="en-US" w:bidi="ar-EG"/>
        </w:rPr>
        <w:t>(</w:t>
      </w:r>
      <w:r>
        <w:rPr>
          <w:rFonts w:ascii="Arial" w:hAnsi="Arial" w:eastAsia="SimSun" w:cs="Arial"/>
          <w:i w:val="0"/>
          <w:iCs w:val="0"/>
          <w:color w:val="000000"/>
          <w:sz w:val="22"/>
          <w:szCs w:val="22"/>
          <w:u w:val="none"/>
          <w:vertAlign w:val="baseline"/>
        </w:rPr>
        <w:t>.</w:t>
      </w:r>
    </w:p>
  </w:comment>
  <w:comment w:id="25" w:author="20101" w:date="2025-05-28T20:06:19Z" w:initials="2">
    <w:p w14:paraId="22C70118">
      <w:pPr>
        <w:pStyle w:val="5"/>
      </w:pPr>
      <w:r>
        <w:rPr>
          <w:rFonts w:ascii="Arial" w:hAnsi="Arial" w:eastAsia="SimSun" w:cs="Arial"/>
          <w:i w:val="0"/>
          <w:iCs w:val="0"/>
          <w:color w:val="000000"/>
          <w:sz w:val="22"/>
          <w:szCs w:val="22"/>
          <w:u w:val="none"/>
          <w:vertAlign w:val="baseline"/>
        </w:rPr>
        <w:t>a reduction of</w:t>
      </w:r>
    </w:p>
  </w:comment>
  <w:comment w:id="26" w:author="20101" w:date="2025-05-28T20:10:29Z" w:initials="2">
    <w:p w14:paraId="2EA3055F">
      <w:pPr>
        <w:pStyle w:val="5"/>
      </w:pPr>
      <w:r>
        <w:rPr>
          <w:rFonts w:ascii="Arial" w:hAnsi="Arial" w:eastAsia="SimSun" w:cs="Arial"/>
          <w:i w:val="0"/>
          <w:iCs w:val="0"/>
          <w:color w:val="000000"/>
          <w:sz w:val="22"/>
          <w:szCs w:val="22"/>
          <w:u w:val="none"/>
          <w:vertAlign w:val="baseline"/>
        </w:rPr>
        <w:t>the crude fiber and increased the ash</w:t>
      </w:r>
    </w:p>
  </w:comment>
  <w:comment w:id="27" w:author="20101" w:date="2025-05-28T20:17:52Z" w:initials="2">
    <w:p w14:paraId="116B4D61">
      <w:pPr>
        <w:pStyle w:val="5"/>
      </w:pPr>
      <w:r>
        <w:rPr>
          <w:rFonts w:ascii="Arial" w:hAnsi="Arial" w:eastAsia="SimSun" w:cs="Arial"/>
          <w:i w:val="0"/>
          <w:iCs w:val="0"/>
          <w:color w:val="000000"/>
          <w:sz w:val="22"/>
          <w:szCs w:val="22"/>
          <w:u w:val="none"/>
          <w:vertAlign w:val="baseline"/>
        </w:rPr>
        <w:t>highlighted</w:t>
      </w:r>
    </w:p>
  </w:comment>
  <w:comment w:id="28" w:author="20101" w:date="2025-05-28T20:20:09Z" w:initials="2">
    <w:p w14:paraId="1BE3AA30">
      <w:pPr>
        <w:pStyle w:val="5"/>
      </w:pPr>
      <w:r>
        <w:rPr>
          <w:rFonts w:ascii="Arial" w:hAnsi="Arial" w:eastAsia="SimSun" w:cs="Arial"/>
          <w:i w:val="0"/>
          <w:iCs w:val="0"/>
          <w:color w:val="000000"/>
          <w:sz w:val="22"/>
          <w:szCs w:val="22"/>
          <w:u w:val="none"/>
          <w:vertAlign w:val="baseline"/>
        </w:rPr>
        <w:t>that meets</w:t>
      </w:r>
    </w:p>
  </w:comment>
  <w:comment w:id="29" w:author="20101" w:date="2025-05-28T20:22:39Z" w:initials="2">
    <w:p w14:paraId="417449A5">
      <w:pPr>
        <w:pStyle w:val="5"/>
      </w:pPr>
      <w:r>
        <w:rPr>
          <w:rFonts w:ascii="Arial" w:hAnsi="Arial" w:eastAsia="SimSun" w:cs="Arial"/>
          <w:i w:val="0"/>
          <w:iCs w:val="0"/>
          <w:color w:val="000000"/>
          <w:sz w:val="22"/>
          <w:szCs w:val="22"/>
          <w:u w:val="none"/>
          <w:vertAlign w:val="baseline"/>
        </w:rPr>
        <w:t>Table 1</w:t>
      </w:r>
    </w:p>
  </w:comment>
  <w:comment w:id="30" w:author="20101" w:date="2025-05-28T20:26:18Z" w:initials="2">
    <w:p w14:paraId="156176D0">
      <w:pPr>
        <w:pStyle w:val="5"/>
        <w:rPr>
          <w:rFonts w:hint="default"/>
          <w:lang w:val="en-US"/>
        </w:rPr>
      </w:pPr>
      <w:r>
        <w:rPr>
          <w:rFonts w:hint="default"/>
          <w:lang w:val="en-US"/>
        </w:rPr>
        <w:t xml:space="preserve">Where is b </w:t>
      </w:r>
    </w:p>
  </w:comment>
  <w:comment w:id="31" w:author="20101" w:date="2025-05-28T20:22:18Z" w:initials="2">
    <w:p w14:paraId="53C105B4">
      <w:pPr>
        <w:pStyle w:val="5"/>
      </w:pPr>
      <w:r>
        <w:rPr>
          <w:rFonts w:ascii="Arial" w:hAnsi="Arial" w:eastAsia="SimSun" w:cs="Arial"/>
          <w:i w:val="0"/>
          <w:iCs w:val="0"/>
          <w:color w:val="000000"/>
          <w:sz w:val="22"/>
          <w:szCs w:val="22"/>
          <w:u w:val="none"/>
          <w:vertAlign w:val="baseline"/>
        </w:rPr>
        <w:t>superscripts</w:t>
      </w:r>
    </w:p>
  </w:comment>
  <w:comment w:id="32" w:author="20101" w:date="2025-05-28T20:23:06Z" w:initials="2">
    <w:p w14:paraId="2ED287FA">
      <w:pPr>
        <w:pStyle w:val="5"/>
        <w:rPr>
          <w:rFonts w:hint="default"/>
          <w:lang w:val="en-US"/>
        </w:rPr>
      </w:pPr>
      <w:r>
        <w:rPr>
          <w:rFonts w:ascii="Arial" w:hAnsi="Arial" w:eastAsia="SimSun" w:cs="Arial"/>
          <w:i w:val="0"/>
          <w:iCs w:val="0"/>
          <w:color w:val="000000"/>
          <w:sz w:val="22"/>
          <w:szCs w:val="22"/>
          <w:u w:val="none"/>
          <w:vertAlign w:val="baseline"/>
        </w:rPr>
        <w:t>Table 1</w:t>
      </w:r>
      <w:r>
        <w:rPr>
          <w:rFonts w:hint="default" w:ascii="Arial" w:hAnsi="Arial" w:eastAsia="SimSun" w:cs="Arial"/>
          <w:i w:val="0"/>
          <w:iCs w:val="0"/>
          <w:color w:val="000000"/>
          <w:sz w:val="22"/>
          <w:szCs w:val="22"/>
          <w:u w:val="none"/>
          <w:vertAlign w:val="baseline"/>
          <w:lang w:val="en-US"/>
        </w:rPr>
        <w:t xml:space="preserve"> and not italic</w:t>
      </w:r>
    </w:p>
  </w:comment>
  <w:comment w:id="33" w:author="20101" w:date="2025-05-28T20:51:45Z" w:initials="2">
    <w:p w14:paraId="7DC85B65">
      <w:pPr>
        <w:pStyle w:val="5"/>
        <w:rPr>
          <w:rFonts w:hint="default"/>
          <w:lang w:val="en-US"/>
        </w:rPr>
      </w:pPr>
      <w:r>
        <w:rPr>
          <w:rFonts w:hint="default"/>
          <w:lang w:val="en-US"/>
        </w:rPr>
        <w:t>Correct the reference style as journal need</w:t>
      </w:r>
    </w:p>
  </w:comment>
  <w:comment w:id="34" w:author="20101" w:date="2025-05-28T20:47:09Z" w:initials="2">
    <w:p w14:paraId="7C13527B">
      <w:pPr>
        <w:pStyle w:val="5"/>
        <w:rPr>
          <w:rFonts w:hint="default"/>
          <w:lang w:val="en-US"/>
        </w:rPr>
      </w:pPr>
      <w:r>
        <w:rPr>
          <w:rFonts w:hint="default"/>
          <w:lang w:val="en-US"/>
        </w:rPr>
        <w:t>add this new ref to your manuscript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738100" w15:done="0"/>
  <w15:commentEx w15:paraId="6130229D" w15:done="0"/>
  <w15:commentEx w15:paraId="27A7B4FC" w15:done="0"/>
  <w15:commentEx w15:paraId="559C4D5F" w15:done="0"/>
  <w15:commentEx w15:paraId="0D6B9BAE" w15:done="0"/>
  <w15:commentEx w15:paraId="3D789199" w15:done="0"/>
  <w15:commentEx w15:paraId="785D8EC1" w15:done="0"/>
  <w15:commentEx w15:paraId="164EAC7C" w15:done="0"/>
  <w15:commentEx w15:paraId="57F35AE2" w15:done="0"/>
  <w15:commentEx w15:paraId="2A1B022A" w15:done="0"/>
  <w15:commentEx w15:paraId="7518CD3D" w15:done="0"/>
  <w15:commentEx w15:paraId="028DA949" w15:done="0"/>
  <w15:commentEx w15:paraId="2C049D42" w15:done="0"/>
  <w15:commentEx w15:paraId="38A5A66E" w15:done="0"/>
  <w15:commentEx w15:paraId="3122DA4A" w15:done="0"/>
  <w15:commentEx w15:paraId="1609D089" w15:done="0"/>
  <w15:commentEx w15:paraId="383E16D6" w15:done="0"/>
  <w15:commentEx w15:paraId="64D71FD4" w15:done="0"/>
  <w15:commentEx w15:paraId="51758419" w15:done="0"/>
  <w15:commentEx w15:paraId="73E2D0A1" w15:done="0"/>
  <w15:commentEx w15:paraId="022E4456" w15:done="0"/>
  <w15:commentEx w15:paraId="6781E476" w15:done="0"/>
  <w15:commentEx w15:paraId="763C08F8" w15:done="0"/>
  <w15:commentEx w15:paraId="3C662FD9" w15:done="0"/>
  <w15:commentEx w15:paraId="235096BE" w15:done="0"/>
  <w15:commentEx w15:paraId="22C70118" w15:done="0"/>
  <w15:commentEx w15:paraId="2EA3055F" w15:done="0"/>
  <w15:commentEx w15:paraId="116B4D61" w15:done="0"/>
  <w15:commentEx w15:paraId="1BE3AA30" w15:done="0"/>
  <w15:commentEx w15:paraId="417449A5" w15:done="0"/>
  <w15:commentEx w15:paraId="156176D0" w15:done="0"/>
  <w15:commentEx w15:paraId="53C105B4" w15:done="0"/>
  <w15:commentEx w15:paraId="2ED287FA" w15:done="0"/>
  <w15:commentEx w15:paraId="7DC85B65" w15:done="0"/>
  <w15:commentEx w15:paraId="7C1352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AdvPSPH-R">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CE5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90B8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624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5DAA">
    <w:pPr>
      <w:pStyle w:val="8"/>
    </w:pPr>
    <w:r>
      <w:pict>
        <v:shape id="PowerPlusWaterMarkObject967484892" o:spid="_x0000_s2051"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67DAE">
    <w:pPr>
      <w:pStyle w:val="8"/>
    </w:pPr>
    <w:r>
      <w:pict>
        <v:shape id="PowerPlusWaterMarkObject967484891" o:spid="_x0000_s2050"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CCCF3">
    <w:pPr>
      <w:pStyle w:val="8"/>
    </w:pPr>
    <w:r>
      <w:pict>
        <v:shape id="PowerPlusWaterMarkObject967484890" o:spid="_x0000_s2049"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14346"/>
    <w:multiLevelType w:val="multilevel"/>
    <w:tmpl w:val="17514346"/>
    <w:lvl w:ilvl="0" w:tentative="0">
      <w:start w:val="1"/>
      <w:numFmt w:val="decimal"/>
      <w:lvlText w:val="2.%1"/>
      <w:lvlJc w:val="left"/>
      <w:pPr>
        <w:ind w:left="360" w:hanging="360"/>
      </w:pPr>
      <w:rPr>
        <w:rFonts w:hint="default"/>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04240EA"/>
    <w:multiLevelType w:val="multilevel"/>
    <w:tmpl w:val="504240E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0FF067D"/>
    <w:multiLevelType w:val="multilevel"/>
    <w:tmpl w:val="50FF067D"/>
    <w:lvl w:ilvl="0" w:tentative="0">
      <w:start w:val="1"/>
      <w:numFmt w:val="decimal"/>
      <w:lvlText w:val="%1."/>
      <w:lvlJc w:val="left"/>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101">
    <w15:presenceInfo w15:providerId="None" w15:userId="20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2"/>
  </w:compat>
  <w:rsids>
    <w:rsidRoot w:val="0034682C"/>
    <w:rsid w:val="00014C54"/>
    <w:rsid w:val="000164FE"/>
    <w:rsid w:val="000175B4"/>
    <w:rsid w:val="000321D9"/>
    <w:rsid w:val="000458B8"/>
    <w:rsid w:val="00081C1C"/>
    <w:rsid w:val="00090EF3"/>
    <w:rsid w:val="000A6A69"/>
    <w:rsid w:val="000B15A0"/>
    <w:rsid w:val="000C28AA"/>
    <w:rsid w:val="000C3A16"/>
    <w:rsid w:val="000D630E"/>
    <w:rsid w:val="000E683B"/>
    <w:rsid w:val="00100668"/>
    <w:rsid w:val="00114C0B"/>
    <w:rsid w:val="00120156"/>
    <w:rsid w:val="0014496F"/>
    <w:rsid w:val="00161214"/>
    <w:rsid w:val="00186161"/>
    <w:rsid w:val="001A5189"/>
    <w:rsid w:val="001B1F3C"/>
    <w:rsid w:val="001B2BE0"/>
    <w:rsid w:val="001E33A4"/>
    <w:rsid w:val="001E6F3A"/>
    <w:rsid w:val="001F0A80"/>
    <w:rsid w:val="001F118D"/>
    <w:rsid w:val="001F2456"/>
    <w:rsid w:val="001F2F90"/>
    <w:rsid w:val="00223E51"/>
    <w:rsid w:val="00233964"/>
    <w:rsid w:val="00260C53"/>
    <w:rsid w:val="00292A1B"/>
    <w:rsid w:val="00296426"/>
    <w:rsid w:val="002A59C1"/>
    <w:rsid w:val="002D4852"/>
    <w:rsid w:val="002D69A4"/>
    <w:rsid w:val="002E14E0"/>
    <w:rsid w:val="002F05E2"/>
    <w:rsid w:val="002F4553"/>
    <w:rsid w:val="00305CB9"/>
    <w:rsid w:val="0034682C"/>
    <w:rsid w:val="0036529D"/>
    <w:rsid w:val="0039093A"/>
    <w:rsid w:val="003A3D9A"/>
    <w:rsid w:val="003A3DED"/>
    <w:rsid w:val="003B0943"/>
    <w:rsid w:val="003C119F"/>
    <w:rsid w:val="003D293E"/>
    <w:rsid w:val="003F15D8"/>
    <w:rsid w:val="003F76D2"/>
    <w:rsid w:val="0042552F"/>
    <w:rsid w:val="00442809"/>
    <w:rsid w:val="00446854"/>
    <w:rsid w:val="00446DBC"/>
    <w:rsid w:val="00473F9F"/>
    <w:rsid w:val="004776DF"/>
    <w:rsid w:val="004A02B0"/>
    <w:rsid w:val="004D45D5"/>
    <w:rsid w:val="005017FF"/>
    <w:rsid w:val="00521F4A"/>
    <w:rsid w:val="00554C82"/>
    <w:rsid w:val="00564BCE"/>
    <w:rsid w:val="00566684"/>
    <w:rsid w:val="005764F6"/>
    <w:rsid w:val="00576C7B"/>
    <w:rsid w:val="005821F1"/>
    <w:rsid w:val="00587C27"/>
    <w:rsid w:val="0059619A"/>
    <w:rsid w:val="00596E03"/>
    <w:rsid w:val="005A7D45"/>
    <w:rsid w:val="005D6705"/>
    <w:rsid w:val="005E0AA1"/>
    <w:rsid w:val="00602340"/>
    <w:rsid w:val="006036F6"/>
    <w:rsid w:val="00603B9F"/>
    <w:rsid w:val="0063468F"/>
    <w:rsid w:val="00637736"/>
    <w:rsid w:val="00647677"/>
    <w:rsid w:val="0066052C"/>
    <w:rsid w:val="00665731"/>
    <w:rsid w:val="0067262F"/>
    <w:rsid w:val="006944E7"/>
    <w:rsid w:val="006A07D1"/>
    <w:rsid w:val="006A18F8"/>
    <w:rsid w:val="006B30D5"/>
    <w:rsid w:val="006B4EEB"/>
    <w:rsid w:val="006C3721"/>
    <w:rsid w:val="006C39D4"/>
    <w:rsid w:val="006E201C"/>
    <w:rsid w:val="0070071E"/>
    <w:rsid w:val="007032C5"/>
    <w:rsid w:val="007167CE"/>
    <w:rsid w:val="007650C3"/>
    <w:rsid w:val="0078345C"/>
    <w:rsid w:val="0079651C"/>
    <w:rsid w:val="007A0D03"/>
    <w:rsid w:val="007A7095"/>
    <w:rsid w:val="007B3566"/>
    <w:rsid w:val="007E0FDF"/>
    <w:rsid w:val="007E2871"/>
    <w:rsid w:val="007F1AC9"/>
    <w:rsid w:val="007F61DB"/>
    <w:rsid w:val="00804D33"/>
    <w:rsid w:val="0081481C"/>
    <w:rsid w:val="0084655D"/>
    <w:rsid w:val="00862EAA"/>
    <w:rsid w:val="0089006F"/>
    <w:rsid w:val="008910C3"/>
    <w:rsid w:val="008B75DE"/>
    <w:rsid w:val="008C1452"/>
    <w:rsid w:val="008D1354"/>
    <w:rsid w:val="008E31FD"/>
    <w:rsid w:val="008E3BE4"/>
    <w:rsid w:val="008F04DB"/>
    <w:rsid w:val="008F225F"/>
    <w:rsid w:val="009217B9"/>
    <w:rsid w:val="00921B23"/>
    <w:rsid w:val="0093107E"/>
    <w:rsid w:val="00950C39"/>
    <w:rsid w:val="00951672"/>
    <w:rsid w:val="00953373"/>
    <w:rsid w:val="00960334"/>
    <w:rsid w:val="0096623C"/>
    <w:rsid w:val="009814BA"/>
    <w:rsid w:val="00990E89"/>
    <w:rsid w:val="009A3D6F"/>
    <w:rsid w:val="009C547C"/>
    <w:rsid w:val="009C68C1"/>
    <w:rsid w:val="009D4030"/>
    <w:rsid w:val="009E3631"/>
    <w:rsid w:val="00A12FAC"/>
    <w:rsid w:val="00A13D0D"/>
    <w:rsid w:val="00A13F38"/>
    <w:rsid w:val="00A20C24"/>
    <w:rsid w:val="00A220E0"/>
    <w:rsid w:val="00A2656C"/>
    <w:rsid w:val="00A61D82"/>
    <w:rsid w:val="00A634C7"/>
    <w:rsid w:val="00A75335"/>
    <w:rsid w:val="00A817C1"/>
    <w:rsid w:val="00A967EE"/>
    <w:rsid w:val="00AC5C21"/>
    <w:rsid w:val="00AD21AF"/>
    <w:rsid w:val="00AD69C7"/>
    <w:rsid w:val="00AF7794"/>
    <w:rsid w:val="00B130C5"/>
    <w:rsid w:val="00B175E0"/>
    <w:rsid w:val="00B257EA"/>
    <w:rsid w:val="00B50CA4"/>
    <w:rsid w:val="00B61CED"/>
    <w:rsid w:val="00BE3136"/>
    <w:rsid w:val="00BF6206"/>
    <w:rsid w:val="00C013AC"/>
    <w:rsid w:val="00C2205D"/>
    <w:rsid w:val="00C360A0"/>
    <w:rsid w:val="00C7252E"/>
    <w:rsid w:val="00C90519"/>
    <w:rsid w:val="00C913E6"/>
    <w:rsid w:val="00C933CD"/>
    <w:rsid w:val="00C96C2F"/>
    <w:rsid w:val="00CA1938"/>
    <w:rsid w:val="00CD6770"/>
    <w:rsid w:val="00D022A8"/>
    <w:rsid w:val="00D17844"/>
    <w:rsid w:val="00D667A3"/>
    <w:rsid w:val="00D76F2E"/>
    <w:rsid w:val="00D77CF7"/>
    <w:rsid w:val="00DB1FBD"/>
    <w:rsid w:val="00DC2174"/>
    <w:rsid w:val="00DF51AE"/>
    <w:rsid w:val="00E008F3"/>
    <w:rsid w:val="00E11DBC"/>
    <w:rsid w:val="00E37638"/>
    <w:rsid w:val="00E41434"/>
    <w:rsid w:val="00E5568A"/>
    <w:rsid w:val="00E7146B"/>
    <w:rsid w:val="00EB2DC3"/>
    <w:rsid w:val="00EC231B"/>
    <w:rsid w:val="00ED0629"/>
    <w:rsid w:val="00ED1F8A"/>
    <w:rsid w:val="00F3003A"/>
    <w:rsid w:val="00F557EC"/>
    <w:rsid w:val="00F67A24"/>
    <w:rsid w:val="00F82929"/>
    <w:rsid w:val="00FA28C7"/>
    <w:rsid w:val="00FA2CB8"/>
    <w:rsid w:val="00FF54D5"/>
    <w:rsid w:val="0AFE0BAB"/>
    <w:rsid w:val="298E3E20"/>
    <w:rsid w:val="610416ED"/>
    <w:rsid w:val="761C489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480" w:lineRule="auto"/>
      <w:ind w:firstLine="720"/>
      <w:jc w:val="both"/>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before="0" w:after="0" w:line="240" w:lineRule="auto"/>
    </w:pPr>
    <w:rPr>
      <w:rFonts w:ascii="Tahoma" w:hAnsi="Tahoma" w:cs="Tahoma"/>
      <w:sz w:val="16"/>
      <w:szCs w:val="16"/>
    </w:rPr>
  </w:style>
  <w:style w:type="paragraph" w:styleId="5">
    <w:name w:val="annotation text"/>
    <w:basedOn w:val="1"/>
    <w:semiHidden/>
    <w:unhideWhenUsed/>
    <w:uiPriority w:val="99"/>
    <w:pPr>
      <w:jc w:val="left"/>
    </w:pPr>
  </w:style>
  <w:style w:type="character" w:styleId="6">
    <w:name w:val="Emphasis"/>
    <w:basedOn w:val="2"/>
    <w:qFormat/>
    <w:uiPriority w:val="20"/>
    <w:rPr>
      <w:i/>
      <w:iCs/>
    </w:rPr>
  </w:style>
  <w:style w:type="paragraph" w:styleId="7">
    <w:name w:val="footer"/>
    <w:basedOn w:val="1"/>
    <w:link w:val="21"/>
    <w:unhideWhenUsed/>
    <w:uiPriority w:val="99"/>
    <w:pPr>
      <w:tabs>
        <w:tab w:val="center" w:pos="4680"/>
        <w:tab w:val="right" w:pos="9360"/>
      </w:tabs>
      <w:spacing w:before="0" w:after="0" w:line="240" w:lineRule="auto"/>
    </w:pPr>
  </w:style>
  <w:style w:type="paragraph" w:styleId="8">
    <w:name w:val="header"/>
    <w:basedOn w:val="1"/>
    <w:link w:val="20"/>
    <w:unhideWhenUsed/>
    <w:uiPriority w:val="99"/>
    <w:pPr>
      <w:tabs>
        <w:tab w:val="center" w:pos="4680"/>
        <w:tab w:val="right" w:pos="9360"/>
      </w:tabs>
      <w:spacing w:before="0" w:after="0" w:line="240" w:lineRule="auto"/>
    </w:pPr>
  </w:style>
  <w:style w:type="character" w:styleId="9">
    <w:name w:val="Hyperlink"/>
    <w:basedOn w:val="2"/>
    <w:unhideWhenUsed/>
    <w:uiPriority w:val="99"/>
    <w:rPr>
      <w:color w:val="0000FF" w:themeColor="hyperlink"/>
      <w:u w:val="single"/>
    </w:rPr>
  </w:style>
  <w:style w:type="paragraph" w:styleId="10">
    <w:name w:val="Normal (Web)"/>
    <w:basedOn w:val="1"/>
    <w:unhideWhenUsed/>
    <w:uiPriority w:val="99"/>
    <w:pPr>
      <w:spacing w:line="240" w:lineRule="auto"/>
      <w:ind w:firstLine="0"/>
      <w:jc w:val="left"/>
    </w:pPr>
    <w:rPr>
      <w:rFonts w:ascii="Times New Roman" w:hAnsi="Times New Roman" w:eastAsia="Times New Roman" w:cs="Times New Roman"/>
      <w:sz w:val="24"/>
      <w:szCs w:val="24"/>
      <w:lang w:eastAsia="en-IN"/>
    </w:rPr>
  </w:style>
  <w:style w:type="table" w:styleId="11">
    <w:name w:val="Table Grid"/>
    <w:basedOn w:val="3"/>
    <w:uiPriority w:val="59"/>
    <w:pPr>
      <w:spacing w:before="0" w:beforeAutospacing="0" w:after="0" w:afterAutospacing="0" w:line="240" w:lineRule="auto"/>
      <w:ind w:firstLine="0"/>
      <w:jc w:val="left"/>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2">
    <w:name w:val="List Paragraph"/>
    <w:basedOn w:val="1"/>
    <w:qFormat/>
    <w:uiPriority w:val="34"/>
    <w:pPr>
      <w:ind w:left="720"/>
      <w:contextualSpacing/>
    </w:pPr>
  </w:style>
  <w:style w:type="paragraph" w:customStyle="1" w:styleId="13">
    <w:name w:val="Normal1"/>
    <w:uiPriority w:val="0"/>
    <w:pPr>
      <w:spacing w:before="0" w:beforeAutospacing="0" w:after="200" w:afterAutospacing="0" w:line="276" w:lineRule="auto"/>
      <w:ind w:firstLine="0"/>
      <w:jc w:val="left"/>
    </w:pPr>
    <w:rPr>
      <w:rFonts w:ascii="Calibri" w:hAnsi="Calibri" w:eastAsia="Calibri" w:cs="Calibri"/>
      <w:sz w:val="22"/>
      <w:szCs w:val="22"/>
      <w:lang w:val="en-US" w:eastAsia="en-IN" w:bidi="ar-SA"/>
    </w:rPr>
  </w:style>
  <w:style w:type="character" w:customStyle="1" w:styleId="14">
    <w:name w:val="Balloon Text Char"/>
    <w:basedOn w:val="2"/>
    <w:link w:val="4"/>
    <w:semiHidden/>
    <w:uiPriority w:val="99"/>
    <w:rPr>
      <w:rFonts w:ascii="Tahoma" w:hAnsi="Tahoma" w:cs="Tahoma"/>
      <w:sz w:val="16"/>
      <w:szCs w:val="16"/>
    </w:rPr>
  </w:style>
  <w:style w:type="paragraph" w:customStyle="1" w:styleId="15">
    <w:name w:val="HTML Top of Form"/>
    <w:basedOn w:val="1"/>
    <w:next w:val="1"/>
    <w:link w:val="16"/>
    <w:semiHidden/>
    <w:unhideWhenUsed/>
    <w:uiPriority w:val="99"/>
    <w:pPr>
      <w:pBdr>
        <w:bottom w:val="single" w:color="auto" w:sz="6" w:space="1"/>
      </w:pBdr>
      <w:spacing w:before="0" w:beforeAutospacing="0" w:after="0" w:afterAutospacing="0" w:line="240" w:lineRule="auto"/>
      <w:ind w:firstLine="0"/>
      <w:jc w:val="center"/>
    </w:pPr>
    <w:rPr>
      <w:rFonts w:ascii="Arial" w:hAnsi="Arial" w:eastAsia="Times New Roman" w:cs="Arial"/>
      <w:vanish/>
      <w:sz w:val="16"/>
      <w:szCs w:val="16"/>
      <w:lang w:eastAsia="en-IN"/>
    </w:rPr>
  </w:style>
  <w:style w:type="character" w:customStyle="1" w:styleId="16">
    <w:name w:val="z-Top of Form Char"/>
    <w:basedOn w:val="2"/>
    <w:link w:val="15"/>
    <w:semiHidden/>
    <w:uiPriority w:val="99"/>
    <w:rPr>
      <w:rFonts w:ascii="Arial" w:hAnsi="Arial" w:eastAsia="Times New Roman" w:cs="Arial"/>
      <w:vanish/>
      <w:sz w:val="16"/>
      <w:szCs w:val="16"/>
      <w:lang w:eastAsia="en-IN"/>
    </w:rPr>
  </w:style>
  <w:style w:type="paragraph" w:customStyle="1" w:styleId="17">
    <w:name w:val="HTML Bottom of Form"/>
    <w:basedOn w:val="1"/>
    <w:next w:val="1"/>
    <w:link w:val="18"/>
    <w:semiHidden/>
    <w:unhideWhenUsed/>
    <w:uiPriority w:val="99"/>
    <w:pPr>
      <w:pBdr>
        <w:top w:val="single" w:color="auto" w:sz="6" w:space="1"/>
      </w:pBdr>
      <w:spacing w:before="0" w:beforeAutospacing="0" w:after="0" w:afterAutospacing="0" w:line="240" w:lineRule="auto"/>
      <w:ind w:firstLine="0"/>
      <w:jc w:val="center"/>
    </w:pPr>
    <w:rPr>
      <w:rFonts w:ascii="Arial" w:hAnsi="Arial" w:eastAsia="Times New Roman" w:cs="Arial"/>
      <w:vanish/>
      <w:sz w:val="16"/>
      <w:szCs w:val="16"/>
      <w:lang w:eastAsia="en-IN"/>
    </w:rPr>
  </w:style>
  <w:style w:type="character" w:customStyle="1" w:styleId="18">
    <w:name w:val="z-Bottom of Form Char"/>
    <w:basedOn w:val="2"/>
    <w:link w:val="17"/>
    <w:semiHidden/>
    <w:uiPriority w:val="99"/>
    <w:rPr>
      <w:rFonts w:ascii="Arial" w:hAnsi="Arial" w:eastAsia="Times New Roman" w:cs="Arial"/>
      <w:vanish/>
      <w:sz w:val="16"/>
      <w:szCs w:val="16"/>
      <w:lang w:eastAsia="en-IN"/>
    </w:rPr>
  </w:style>
  <w:style w:type="paragraph" w:customStyle="1" w:styleId="19">
    <w:name w:val="Refer Head"/>
    <w:basedOn w:val="1"/>
    <w:uiPriority w:val="0"/>
    <w:pPr>
      <w:keepNext/>
      <w:spacing w:before="0" w:beforeAutospacing="0" w:after="240" w:afterAutospacing="0" w:line="240" w:lineRule="auto"/>
      <w:ind w:firstLine="0"/>
      <w:jc w:val="left"/>
    </w:pPr>
    <w:rPr>
      <w:rFonts w:ascii="Helvetica" w:hAnsi="Helvetica" w:eastAsia="Times New Roman" w:cs="Times New Roman"/>
      <w:b/>
      <w:caps/>
      <w:szCs w:val="20"/>
      <w:lang w:val="en-US"/>
    </w:rPr>
  </w:style>
  <w:style w:type="character" w:customStyle="1" w:styleId="20">
    <w:name w:val="Header Char"/>
    <w:basedOn w:val="2"/>
    <w:link w:val="8"/>
    <w:uiPriority w:val="99"/>
  </w:style>
  <w:style w:type="character" w:customStyle="1" w:styleId="21">
    <w:name w:val="Footer Char"/>
    <w:basedOn w:val="2"/>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2799</Words>
  <Characters>15960</Characters>
  <Lines>133</Lines>
  <Paragraphs>37</Paragraphs>
  <TotalTime>102</TotalTime>
  <ScaleCrop>false</ScaleCrop>
  <LinksUpToDate>false</LinksUpToDate>
  <CharactersWithSpaces>18722</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2024-07-02T05:26:00Z</dcterms:created>
  <dc:creator>Windows User</dc:creator>
  <cp:lastModifiedBy>20101</cp:lastModifiedBy>
  <dcterms:modified xsi:type="dcterms:W3CDTF">2025-05-28T20:24:01Z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AFA438E8B13F44D098CB2F34EF48B2AE_12</vt:lpwstr>
  </property>
</Properties>
</file>