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3F22C">
      <w:pPr>
        <w:spacing w:line="360" w:lineRule="auto"/>
        <w:jc w:val="center"/>
        <w:rPr>
          <w:b/>
        </w:rPr>
      </w:pPr>
      <w:r>
        <w:rPr>
          <w:b/>
        </w:rPr>
        <w:t>Impact of Biostimulants on Yield and Yield attributing characteristic of Capsicum (</w:t>
      </w:r>
      <w:r>
        <w:rPr>
          <w:b/>
          <w:i/>
        </w:rPr>
        <w:t>Capsicum annuum</w:t>
      </w:r>
      <w:r>
        <w:rPr>
          <w:b/>
        </w:rPr>
        <w:t xml:space="preserve"> L.)</w:t>
      </w:r>
    </w:p>
    <w:p w14:paraId="109F9741">
      <w:pPr>
        <w:spacing w:line="360" w:lineRule="auto"/>
        <w:jc w:val="both"/>
        <w:rPr>
          <w:b/>
        </w:rPr>
      </w:pPr>
    </w:p>
    <w:p w14:paraId="55A2C9A6">
      <w:pPr>
        <w:spacing w:line="360" w:lineRule="auto"/>
        <w:jc w:val="both"/>
        <w:rPr>
          <w:b/>
        </w:rPr>
      </w:pPr>
      <w:r>
        <w:rPr>
          <w:b/>
        </w:rPr>
        <w:t xml:space="preserve">Abstract </w:t>
      </w:r>
    </w:p>
    <w:p w14:paraId="611EC61C">
      <w:pPr>
        <w:spacing w:line="360" w:lineRule="auto"/>
        <w:jc w:val="both"/>
      </w:pPr>
      <w:r>
        <w:t xml:space="preserve">In recent years, interest in the cultivation and consumption of capsicum has significantly increased, driving research toward identifying the most favorable conditions for its growth and productivity. The present study was conducted to evaluate the effect of biostimulants on the yield and yield-attributing traits </w:t>
      </w:r>
      <w:bookmarkStart w:id="0" w:name="_GoBack"/>
      <w:r>
        <w:t>of capsicum</w:t>
      </w:r>
      <w:bookmarkEnd w:id="0"/>
      <w:r>
        <w:t>. A total of twelve treatments, including an absolute control, were tested using a Randomized Block Design (RBD) with four replications. The research was carried out under polyhouse conditions at the Department of Vegetable Science, CCS Haryana Agricultural University, Hisar, during the Rabi seasons of 2022–23 and 2023–24, utilizing the</w:t>
      </w:r>
      <w:commentRangeStart w:id="0"/>
      <w:r>
        <w:t xml:space="preserve"> PSM-1 </w:t>
      </w:r>
      <w:commentRangeEnd w:id="0"/>
      <w:r>
        <w:commentReference w:id="0"/>
      </w:r>
      <w:r>
        <w:t xml:space="preserve">variety as the test material. The results revealed significant differences among treatments for all recorded parameters, including days to first flowering, fruit maturity, number of fruits per plant, fruit size, average fruit weight, and total yield. The treatment </w:t>
      </w:r>
      <w:commentRangeStart w:id="1"/>
      <w:r>
        <w:t>T3 (RDF</w:t>
      </w:r>
      <w:commentRangeEnd w:id="1"/>
      <w:r>
        <w:commentReference w:id="1"/>
      </w:r>
      <w:r>
        <w:t xml:space="preserve"> + Seaweed extract @ 2.5 ml/L) emerged as the most effective, recording the earliest flowering (41.75 days), highest number of fruits per plant (22.50), maximum fruit length (9.55 cm), fruit diameter (7.96 cm), average fruit weight (95.74 g), and highest total yield (399.05 q/ha).</w:t>
      </w:r>
    </w:p>
    <w:p w14:paraId="74A31415">
      <w:pPr>
        <w:spacing w:line="360" w:lineRule="auto"/>
        <w:jc w:val="both"/>
        <w:rPr>
          <w:b/>
        </w:rPr>
      </w:pPr>
      <w:r>
        <w:rPr>
          <w:b/>
        </w:rPr>
        <w:t>Introduction</w:t>
      </w:r>
    </w:p>
    <w:p w14:paraId="2F4669C2">
      <w:pPr>
        <w:spacing w:line="360" w:lineRule="auto"/>
        <w:ind w:firstLine="720"/>
        <w:jc w:val="both"/>
      </w:pPr>
      <w:r>
        <w:t>Capsicum (</w:t>
      </w:r>
      <w:r>
        <w:rPr>
          <w:i/>
          <w:iCs/>
        </w:rPr>
        <w:t>Capsicum annuum</w:t>
      </w:r>
      <w:r>
        <w:t xml:space="preserve"> L.), widely known as bell pepper, sweet pepper, or shimla mirch, is a tropical to subtropical vegetable and spice crop belonging to the Solanaceae family, with a chromosome number of 2n = 24. It is well-regarded for its rich taste, appealing aroma, and high nutritional value. Originating in Mexico, bell pepper also has a secondary center of origin in Guatemala (Heiser and Smith, 1953). In India, it was introduced by the British during the 19th century in the Shimla Hills (Singh </w:t>
      </w:r>
      <w:r>
        <w:rPr>
          <w:i/>
        </w:rPr>
        <w:t>et al.,</w:t>
      </w:r>
      <w:r>
        <w:t xml:space="preserve"> 1993). Among the five domesticated species of Capsicum </w:t>
      </w:r>
      <w:r>
        <w:rPr>
          <w:i/>
        </w:rPr>
        <w:t xml:space="preserve">i.e., </w:t>
      </w:r>
      <w:r>
        <w:rPr>
          <w:i/>
          <w:iCs/>
        </w:rPr>
        <w:t>C. annuum</w:t>
      </w:r>
      <w:r>
        <w:t xml:space="preserve">, </w:t>
      </w:r>
      <w:r>
        <w:rPr>
          <w:i/>
          <w:iCs/>
        </w:rPr>
        <w:t>C. baccatum</w:t>
      </w:r>
      <w:r>
        <w:t xml:space="preserve">, </w:t>
      </w:r>
      <w:r>
        <w:rPr>
          <w:i/>
          <w:iCs/>
        </w:rPr>
        <w:t>C. chinense</w:t>
      </w:r>
      <w:r>
        <w:t xml:space="preserve">, </w:t>
      </w:r>
      <w:r>
        <w:rPr>
          <w:i/>
          <w:iCs/>
        </w:rPr>
        <w:t>C. frutescens</w:t>
      </w:r>
      <w:r>
        <w:t xml:space="preserve">, and </w:t>
      </w:r>
      <w:r>
        <w:rPr>
          <w:i/>
          <w:iCs/>
        </w:rPr>
        <w:t>C. pubescens</w:t>
      </w:r>
      <w:r>
        <w:t xml:space="preserve">. </w:t>
      </w:r>
      <w:r>
        <w:rPr>
          <w:i/>
          <w:iCs/>
        </w:rPr>
        <w:t>C. annuum</w:t>
      </w:r>
      <w:r>
        <w:t xml:space="preserve"> is the most widely cultivated worldwide. Its popularity stems from high consumer demand, nutritional advantages, and economic importance, benefiting both producers and consumers across developed and developing regions. Preserving genetic diversity and promoting sustainable cultivation methods are vital for ensuring the long-term viability and global relevance of the crop.</w:t>
      </w:r>
    </w:p>
    <w:p w14:paraId="3B540255">
      <w:pPr>
        <w:spacing w:line="360" w:lineRule="auto"/>
        <w:ind w:firstLine="720"/>
        <w:jc w:val="both"/>
      </w:pPr>
      <w:r>
        <w:t xml:space="preserve">Biostimulants are materials or microorganisms used in agriculture to boost a plant’s nutrient uptake, enhance its tolerance to abiotic stress, and improve overall crop performance (Sun </w:t>
      </w:r>
      <w:r>
        <w:rPr>
          <w:i/>
        </w:rPr>
        <w:t>et al.,</w:t>
      </w:r>
      <w:r>
        <w:t xml:space="preserve"> 2023). They are broadly categorized into groups such as humic and fulvic acids, protein hydrolysates, nitrogen-based substances, seaweed extracts, plant-based compounds, chitosan and other biopolymers, inorganic materials, and beneficial microbes like fungi and bacteria (Du Jardin, 2015). These inputs support plant growth and productivity by stimulating natural physiological functions. Although mineral nutrition has been extensively explored for enhancing bell pepper quality, studies focusing on the use of biostimulants for the same purpose are still relatively scarce.</w:t>
      </w:r>
    </w:p>
    <w:p w14:paraId="20EA3BF7">
      <w:pPr>
        <w:spacing w:line="360" w:lineRule="auto"/>
        <w:ind w:firstLine="720"/>
        <w:jc w:val="both"/>
      </w:pPr>
      <w:r>
        <w:t xml:space="preserve">Seaweed extracts, known for containing natural growth regulators like cytokinins and auxins, contribute to better plant growth, increased flowering, higher yields, and improved shelf life (Yao </w:t>
      </w:r>
      <w:r>
        <w:rPr>
          <w:i/>
        </w:rPr>
        <w:t>et al.,</w:t>
      </w:r>
      <w:r>
        <w:t xml:space="preserve"> 2020). In addition, formulations from seaweed—such as gels and foliar sprays—not only improve soil texture and water-holding capacity but also encourage microbial activity, offering sustainable benefits for plant growth and preservation (Thivy, 1961; Ramani </w:t>
      </w:r>
      <w:r>
        <w:rPr>
          <w:i/>
        </w:rPr>
        <w:t>et al.,</w:t>
      </w:r>
      <w:r>
        <w:t xml:space="preserve"> 2020). Salicylic acid (SA) functions as a plant hormone that influences growth regulation, stress resistance, and protection against post-harvest deterioration in crops such as tomatoes and strawberries (Kazemi, 2014; Asghari </w:t>
      </w:r>
      <w:r>
        <w:rPr>
          <w:i/>
        </w:rPr>
        <w:t>et al.,</w:t>
      </w:r>
      <w:r>
        <w:t xml:space="preserve"> 2009). At lower concentrations, SA can enhance crop yield and quality (Canakci, 2011). Chitosan, a biodegradable compound derived from chitin found in fungal cell walls and the exoskeletons of crustaceans, plays a vital role in enhancing plant development, resistance to pests, tolerance to environmental stress, and improving post-harvest quality. It has been reported to boost characteristics such as plant height, leaf area, chlorophyll levels, and photosynthetic efficiency (Lustriane </w:t>
      </w:r>
      <w:r>
        <w:rPr>
          <w:i/>
        </w:rPr>
        <w:t>et al.,</w:t>
      </w:r>
      <w:r>
        <w:t xml:space="preserve"> 2018; Malerba </w:t>
      </w:r>
      <w:r>
        <w:rPr>
          <w:i/>
        </w:rPr>
        <w:t>et al.,</w:t>
      </w:r>
      <w:r>
        <w:t xml:space="preserve"> 2016), while also supporting a diverse soil microbial population that aids in nutrient uptake (Rabbi </w:t>
      </w:r>
      <w:r>
        <w:rPr>
          <w:i/>
        </w:rPr>
        <w:t>et al.,</w:t>
      </w:r>
      <w:r>
        <w:t xml:space="preserve"> 2016). Humic acid, a naturally occurring organic substance, is known for promoting root development, improving nutrient absorption, and enhancing plant resilience under stress conditions. Similarly, polyamines such as putrescine are involved in regulating plant growth and stress responses. When applied foliarly, putrescine helps extend fruit shelf life and maintain texture (El-Tohamy </w:t>
      </w:r>
      <w:r>
        <w:rPr>
          <w:i/>
        </w:rPr>
        <w:t>et al.,</w:t>
      </w:r>
      <w:r>
        <w:t xml:space="preserve"> 2008; Khosroshahi </w:t>
      </w:r>
      <w:r>
        <w:rPr>
          <w:i/>
        </w:rPr>
        <w:t>et al.,</w:t>
      </w:r>
      <w:r>
        <w:t xml:space="preserve"> 2007).</w:t>
      </w:r>
    </w:p>
    <w:p w14:paraId="550B3857">
      <w:pPr>
        <w:spacing w:line="360" w:lineRule="auto"/>
        <w:ind w:firstLine="720"/>
        <w:jc w:val="both"/>
      </w:pPr>
      <w:r>
        <w:t>The current study was conducted to evaluate the effects of biostimulants on the yield and yield- attributing traits of capsicum.</w:t>
      </w:r>
    </w:p>
    <w:p w14:paraId="2A7D31A1">
      <w:pPr>
        <w:pStyle w:val="22"/>
        <w:spacing w:line="360" w:lineRule="auto"/>
        <w:jc w:val="both"/>
        <w:rPr>
          <w:b/>
          <w:sz w:val="22"/>
          <w:szCs w:val="22"/>
        </w:rPr>
      </w:pPr>
      <w:r>
        <w:rPr>
          <w:b/>
          <w:sz w:val="22"/>
          <w:szCs w:val="22"/>
        </w:rPr>
        <w:t xml:space="preserve">Materials and methods </w:t>
      </w:r>
    </w:p>
    <w:p w14:paraId="1FE5C708">
      <w:pPr>
        <w:pStyle w:val="22"/>
        <w:spacing w:line="360" w:lineRule="auto"/>
        <w:ind w:firstLine="720"/>
        <w:jc w:val="both"/>
        <w:rPr>
          <w:sz w:val="22"/>
          <w:szCs w:val="22"/>
        </w:rPr>
      </w:pPr>
      <w:r>
        <w:rPr>
          <w:sz w:val="22"/>
          <w:szCs w:val="22"/>
        </w:rPr>
        <w:t xml:space="preserve">The present research experiment was conducted at Polyhouse of the Department of Vegetable Science, CCS Haryana Agricultural University, Hisar during </w:t>
      </w:r>
      <w:r>
        <w:rPr>
          <w:i/>
          <w:sz w:val="22"/>
          <w:szCs w:val="22"/>
        </w:rPr>
        <w:t>Rabi</w:t>
      </w:r>
      <w:r>
        <w:rPr>
          <w:sz w:val="22"/>
          <w:szCs w:val="22"/>
        </w:rPr>
        <w:t xml:space="preserve"> season of 2022-23 &amp; 2023-24 by using capsicum </w:t>
      </w:r>
      <w:r>
        <w:rPr>
          <w:i/>
          <w:sz w:val="22"/>
          <w:szCs w:val="22"/>
        </w:rPr>
        <w:t>cv.</w:t>
      </w:r>
      <w:r>
        <w:rPr>
          <w:sz w:val="22"/>
          <w:szCs w:val="22"/>
        </w:rPr>
        <w:t xml:space="preserve"> PSM-1. The experiment was conducted at polyhouse located near Ram Dhan Seed Farm (RDS), CCS Haryana Agricultural University, Hisar, which is located in semi-arid, subtropical climate zone at 29° 09' to 14.28'' north latitude and 75° 43' to 02.84'' east longitude at an elevation of 215 m above mean sea level on South western border of Haryana state. The field experiment was laid out in Randomized Block Design (RBD) by using four replication of each twelve biostimulants treatments. Treatments details are:</w:t>
      </w:r>
    </w:p>
    <w:p w14:paraId="4D1133B4">
      <w:pPr>
        <w:pStyle w:val="22"/>
        <w:spacing w:line="360" w:lineRule="auto"/>
        <w:jc w:val="both"/>
        <w:rPr>
          <w:sz w:val="22"/>
          <w:szCs w:val="22"/>
        </w:rPr>
      </w:pPr>
      <w:r>
        <w:rPr>
          <w:sz w:val="22"/>
          <w:szCs w:val="22"/>
        </w:rPr>
        <w:t>T</w:t>
      </w:r>
      <w:r>
        <w:rPr>
          <w:sz w:val="22"/>
          <w:szCs w:val="22"/>
          <w:vertAlign w:val="subscript"/>
        </w:rPr>
        <w:t>1</w:t>
      </w:r>
      <w:r>
        <w:rPr>
          <w:sz w:val="22"/>
          <w:szCs w:val="22"/>
        </w:rPr>
        <w:t>:</w:t>
      </w:r>
      <w:r>
        <w:rPr>
          <w:sz w:val="22"/>
          <w:szCs w:val="22"/>
        </w:rPr>
        <w:tab/>
      </w:r>
      <w:r>
        <w:rPr>
          <w:sz w:val="22"/>
          <w:szCs w:val="22"/>
        </w:rPr>
        <w:t>RDF (Control)</w:t>
      </w:r>
    </w:p>
    <w:p w14:paraId="27F96A44">
      <w:pPr>
        <w:pStyle w:val="22"/>
        <w:spacing w:line="360" w:lineRule="auto"/>
        <w:jc w:val="both"/>
        <w:rPr>
          <w:sz w:val="22"/>
          <w:szCs w:val="22"/>
        </w:rPr>
      </w:pPr>
      <w:r>
        <w:rPr>
          <w:sz w:val="22"/>
          <w:szCs w:val="22"/>
        </w:rPr>
        <w:t>T</w:t>
      </w:r>
      <w:r>
        <w:rPr>
          <w:sz w:val="22"/>
          <w:szCs w:val="22"/>
          <w:vertAlign w:val="subscript"/>
        </w:rPr>
        <w:t>2</w:t>
      </w:r>
      <w:r>
        <w:rPr>
          <w:sz w:val="22"/>
          <w:szCs w:val="22"/>
        </w:rPr>
        <w:t>:</w:t>
      </w:r>
      <w:r>
        <w:rPr>
          <w:sz w:val="22"/>
          <w:szCs w:val="22"/>
        </w:rPr>
        <w:tab/>
      </w:r>
      <w:r>
        <w:rPr>
          <w:sz w:val="22"/>
          <w:szCs w:val="22"/>
        </w:rPr>
        <w:t>87.5 % RDF</w:t>
      </w:r>
    </w:p>
    <w:p w14:paraId="266E7F6E">
      <w:pPr>
        <w:pStyle w:val="22"/>
        <w:spacing w:line="360" w:lineRule="auto"/>
        <w:jc w:val="both"/>
        <w:rPr>
          <w:sz w:val="22"/>
          <w:szCs w:val="22"/>
        </w:rPr>
      </w:pPr>
      <w:r>
        <w:rPr>
          <w:sz w:val="22"/>
          <w:szCs w:val="22"/>
        </w:rPr>
        <w:t>T</w:t>
      </w:r>
      <w:r>
        <w:rPr>
          <w:sz w:val="22"/>
          <w:szCs w:val="22"/>
          <w:vertAlign w:val="subscript"/>
        </w:rPr>
        <w:t>3</w:t>
      </w:r>
      <w:r>
        <w:rPr>
          <w:sz w:val="22"/>
          <w:szCs w:val="22"/>
        </w:rPr>
        <w:t>:</w:t>
      </w:r>
      <w:r>
        <w:rPr>
          <w:sz w:val="22"/>
          <w:szCs w:val="22"/>
        </w:rPr>
        <w:tab/>
      </w:r>
      <w:r>
        <w:rPr>
          <w:sz w:val="22"/>
          <w:szCs w:val="22"/>
        </w:rPr>
        <w:t>RDF + Seaweeds extract (2.5 ml/L)</w:t>
      </w:r>
    </w:p>
    <w:p w14:paraId="781B78CC">
      <w:pPr>
        <w:pStyle w:val="22"/>
        <w:spacing w:line="360" w:lineRule="auto"/>
        <w:jc w:val="both"/>
        <w:rPr>
          <w:sz w:val="22"/>
          <w:szCs w:val="22"/>
        </w:rPr>
      </w:pPr>
      <w:r>
        <w:rPr>
          <w:sz w:val="22"/>
          <w:szCs w:val="22"/>
        </w:rPr>
        <w:t>T</w:t>
      </w:r>
      <w:r>
        <w:rPr>
          <w:sz w:val="22"/>
          <w:szCs w:val="22"/>
          <w:vertAlign w:val="subscript"/>
        </w:rPr>
        <w:t>4</w:t>
      </w:r>
      <w:r>
        <w:rPr>
          <w:sz w:val="22"/>
          <w:szCs w:val="22"/>
        </w:rPr>
        <w:t>:</w:t>
      </w:r>
      <w:r>
        <w:rPr>
          <w:sz w:val="22"/>
          <w:szCs w:val="22"/>
        </w:rPr>
        <w:tab/>
      </w:r>
      <w:r>
        <w:rPr>
          <w:sz w:val="22"/>
          <w:szCs w:val="22"/>
        </w:rPr>
        <w:t>87.5 % RDF + Seaweeds extract (2.5 ml/L)</w:t>
      </w:r>
    </w:p>
    <w:p w14:paraId="50F62225">
      <w:pPr>
        <w:pStyle w:val="22"/>
        <w:spacing w:line="360" w:lineRule="auto"/>
        <w:jc w:val="both"/>
        <w:rPr>
          <w:sz w:val="22"/>
          <w:szCs w:val="22"/>
        </w:rPr>
      </w:pPr>
      <w:r>
        <w:rPr>
          <w:sz w:val="22"/>
          <w:szCs w:val="22"/>
        </w:rPr>
        <w:t>T</w:t>
      </w:r>
      <w:r>
        <w:rPr>
          <w:sz w:val="22"/>
          <w:szCs w:val="22"/>
          <w:vertAlign w:val="subscript"/>
        </w:rPr>
        <w:t>5</w:t>
      </w:r>
      <w:r>
        <w:rPr>
          <w:sz w:val="22"/>
          <w:szCs w:val="22"/>
        </w:rPr>
        <w:t>:</w:t>
      </w:r>
      <w:r>
        <w:rPr>
          <w:sz w:val="22"/>
          <w:szCs w:val="22"/>
        </w:rPr>
        <w:tab/>
      </w:r>
      <w:r>
        <w:rPr>
          <w:sz w:val="22"/>
          <w:szCs w:val="22"/>
        </w:rPr>
        <w:t>RDF + Salicylic acid (2 g/L)</w:t>
      </w:r>
    </w:p>
    <w:p w14:paraId="0D88BEFC">
      <w:pPr>
        <w:pStyle w:val="22"/>
        <w:spacing w:line="360" w:lineRule="auto"/>
        <w:jc w:val="both"/>
        <w:rPr>
          <w:sz w:val="22"/>
          <w:szCs w:val="22"/>
        </w:rPr>
      </w:pPr>
      <w:r>
        <w:rPr>
          <w:sz w:val="22"/>
          <w:szCs w:val="22"/>
        </w:rPr>
        <w:t>T</w:t>
      </w:r>
      <w:r>
        <w:rPr>
          <w:sz w:val="22"/>
          <w:szCs w:val="22"/>
          <w:vertAlign w:val="subscript"/>
        </w:rPr>
        <w:t>6</w:t>
      </w:r>
      <w:r>
        <w:rPr>
          <w:sz w:val="22"/>
          <w:szCs w:val="22"/>
        </w:rPr>
        <w:t>:</w:t>
      </w:r>
      <w:r>
        <w:rPr>
          <w:sz w:val="22"/>
          <w:szCs w:val="22"/>
        </w:rPr>
        <w:tab/>
      </w:r>
      <w:r>
        <w:rPr>
          <w:sz w:val="22"/>
          <w:szCs w:val="22"/>
        </w:rPr>
        <w:t>87.5 % RDF + Salicylic acid (2 g/L)</w:t>
      </w:r>
    </w:p>
    <w:p w14:paraId="52137F58">
      <w:pPr>
        <w:pStyle w:val="22"/>
        <w:spacing w:line="360" w:lineRule="auto"/>
        <w:jc w:val="both"/>
        <w:rPr>
          <w:sz w:val="22"/>
          <w:szCs w:val="22"/>
        </w:rPr>
      </w:pPr>
      <w:r>
        <w:rPr>
          <w:sz w:val="22"/>
          <w:szCs w:val="22"/>
        </w:rPr>
        <w:t>T</w:t>
      </w:r>
      <w:r>
        <w:rPr>
          <w:sz w:val="22"/>
          <w:szCs w:val="22"/>
          <w:vertAlign w:val="subscript"/>
        </w:rPr>
        <w:t>7</w:t>
      </w:r>
      <w:r>
        <w:rPr>
          <w:sz w:val="22"/>
          <w:szCs w:val="22"/>
        </w:rPr>
        <w:t>:</w:t>
      </w:r>
      <w:r>
        <w:rPr>
          <w:sz w:val="22"/>
          <w:szCs w:val="22"/>
        </w:rPr>
        <w:tab/>
      </w:r>
      <w:r>
        <w:rPr>
          <w:sz w:val="22"/>
          <w:szCs w:val="22"/>
        </w:rPr>
        <w:t>RDF + Chitosan 0.5 %</w:t>
      </w:r>
    </w:p>
    <w:p w14:paraId="51093CD7">
      <w:pPr>
        <w:pStyle w:val="22"/>
        <w:spacing w:line="360" w:lineRule="auto"/>
        <w:jc w:val="both"/>
        <w:rPr>
          <w:sz w:val="22"/>
          <w:szCs w:val="22"/>
        </w:rPr>
      </w:pPr>
      <w:r>
        <w:rPr>
          <w:sz w:val="22"/>
          <w:szCs w:val="22"/>
        </w:rPr>
        <w:t>T</w:t>
      </w:r>
      <w:r>
        <w:rPr>
          <w:sz w:val="22"/>
          <w:szCs w:val="22"/>
          <w:vertAlign w:val="subscript"/>
        </w:rPr>
        <w:t>8</w:t>
      </w:r>
      <w:r>
        <w:rPr>
          <w:sz w:val="22"/>
          <w:szCs w:val="22"/>
        </w:rPr>
        <w:t>:</w:t>
      </w:r>
      <w:r>
        <w:rPr>
          <w:sz w:val="22"/>
          <w:szCs w:val="22"/>
        </w:rPr>
        <w:tab/>
      </w:r>
      <w:r>
        <w:rPr>
          <w:sz w:val="22"/>
          <w:szCs w:val="22"/>
        </w:rPr>
        <w:t>87.5 % RDF + Chitosan 0.5 %</w:t>
      </w:r>
    </w:p>
    <w:p w14:paraId="6A6FF731">
      <w:pPr>
        <w:pStyle w:val="22"/>
        <w:spacing w:line="360" w:lineRule="auto"/>
        <w:jc w:val="both"/>
        <w:rPr>
          <w:sz w:val="22"/>
          <w:szCs w:val="22"/>
        </w:rPr>
      </w:pPr>
      <w:r>
        <w:rPr>
          <w:sz w:val="22"/>
          <w:szCs w:val="22"/>
        </w:rPr>
        <w:t>T</w:t>
      </w:r>
      <w:r>
        <w:rPr>
          <w:sz w:val="22"/>
          <w:szCs w:val="22"/>
          <w:vertAlign w:val="subscript"/>
        </w:rPr>
        <w:t>9</w:t>
      </w:r>
      <w:r>
        <w:rPr>
          <w:sz w:val="22"/>
          <w:szCs w:val="22"/>
        </w:rPr>
        <w:t>:</w:t>
      </w:r>
      <w:r>
        <w:rPr>
          <w:sz w:val="22"/>
          <w:szCs w:val="22"/>
        </w:rPr>
        <w:tab/>
      </w:r>
      <w:r>
        <w:rPr>
          <w:sz w:val="22"/>
          <w:szCs w:val="22"/>
        </w:rPr>
        <w:t>RDF + Putrescine 0.1 g/L</w:t>
      </w:r>
    </w:p>
    <w:p w14:paraId="646B1300">
      <w:pPr>
        <w:pStyle w:val="22"/>
        <w:spacing w:line="360" w:lineRule="auto"/>
        <w:jc w:val="both"/>
        <w:rPr>
          <w:sz w:val="22"/>
          <w:szCs w:val="22"/>
        </w:rPr>
      </w:pPr>
      <w:r>
        <w:rPr>
          <w:sz w:val="22"/>
          <w:szCs w:val="22"/>
        </w:rPr>
        <w:t>T</w:t>
      </w:r>
      <w:r>
        <w:rPr>
          <w:sz w:val="22"/>
          <w:szCs w:val="22"/>
          <w:vertAlign w:val="subscript"/>
        </w:rPr>
        <w:t>10</w:t>
      </w:r>
      <w:r>
        <w:rPr>
          <w:sz w:val="22"/>
          <w:szCs w:val="22"/>
        </w:rPr>
        <w:t>:</w:t>
      </w:r>
      <w:r>
        <w:rPr>
          <w:sz w:val="22"/>
          <w:szCs w:val="22"/>
        </w:rPr>
        <w:tab/>
      </w:r>
      <w:r>
        <w:rPr>
          <w:sz w:val="22"/>
          <w:szCs w:val="22"/>
        </w:rPr>
        <w:t>87.5 % RDF + Putrescine 0.1 g/L</w:t>
      </w:r>
    </w:p>
    <w:p w14:paraId="7AC4DF08">
      <w:pPr>
        <w:pStyle w:val="22"/>
        <w:spacing w:line="360" w:lineRule="auto"/>
        <w:jc w:val="both"/>
        <w:rPr>
          <w:sz w:val="22"/>
          <w:szCs w:val="22"/>
        </w:rPr>
      </w:pPr>
      <w:r>
        <w:rPr>
          <w:sz w:val="22"/>
          <w:szCs w:val="22"/>
        </w:rPr>
        <w:t>T</w:t>
      </w:r>
      <w:r>
        <w:rPr>
          <w:sz w:val="22"/>
          <w:szCs w:val="22"/>
          <w:vertAlign w:val="subscript"/>
        </w:rPr>
        <w:t>11</w:t>
      </w:r>
      <w:r>
        <w:rPr>
          <w:sz w:val="22"/>
          <w:szCs w:val="22"/>
        </w:rPr>
        <w:t>:</w:t>
      </w:r>
      <w:r>
        <w:rPr>
          <w:sz w:val="22"/>
          <w:szCs w:val="22"/>
        </w:rPr>
        <w:tab/>
      </w:r>
      <w:r>
        <w:rPr>
          <w:sz w:val="22"/>
          <w:szCs w:val="22"/>
        </w:rPr>
        <w:t>RDF + Humic acid (5 ml/L)</w:t>
      </w:r>
    </w:p>
    <w:p w14:paraId="6DAD35A8">
      <w:pPr>
        <w:pStyle w:val="22"/>
        <w:spacing w:line="360" w:lineRule="auto"/>
        <w:jc w:val="both"/>
        <w:rPr>
          <w:sz w:val="22"/>
          <w:szCs w:val="22"/>
        </w:rPr>
      </w:pPr>
      <w:r>
        <w:rPr>
          <w:sz w:val="22"/>
          <w:szCs w:val="22"/>
        </w:rPr>
        <w:t>T</w:t>
      </w:r>
      <w:r>
        <w:rPr>
          <w:sz w:val="22"/>
          <w:szCs w:val="22"/>
          <w:vertAlign w:val="subscript"/>
        </w:rPr>
        <w:t>12</w:t>
      </w:r>
      <w:r>
        <w:rPr>
          <w:sz w:val="22"/>
          <w:szCs w:val="22"/>
        </w:rPr>
        <w:t>:</w:t>
      </w:r>
      <w:r>
        <w:rPr>
          <w:sz w:val="22"/>
          <w:szCs w:val="22"/>
        </w:rPr>
        <w:tab/>
      </w:r>
      <w:r>
        <w:rPr>
          <w:sz w:val="22"/>
          <w:szCs w:val="22"/>
        </w:rPr>
        <w:t>87.5 % RDF + Humic acid (5 ml/L)</w:t>
      </w:r>
    </w:p>
    <w:p w14:paraId="28F062B2">
      <w:pPr>
        <w:widowControl/>
        <w:autoSpaceDE/>
        <w:autoSpaceDN/>
        <w:spacing w:line="360" w:lineRule="auto"/>
        <w:contextualSpacing/>
        <w:jc w:val="both"/>
        <w:rPr>
          <w:rFonts w:eastAsia="Calibri"/>
        </w:rPr>
      </w:pPr>
      <w:r>
        <w:t xml:space="preserve">The observation for yield and yield attributes were recorded on randomly selected plant five competetive plant per treatment in each replication. Observation recorded are days taken to first flowering, days taken to first fruit maturity, number of fruits per plant, fruit length (cm), fruit diameter (cm), average fruit weight (g), total yield (q/ha). </w:t>
      </w:r>
      <w:r>
        <w:rPr>
          <w:rFonts w:eastAsia="Calibri"/>
        </w:rPr>
        <w:t>The experiment was laid out in Randomized Block Design with four replications. The data obtained from the experiment conducted in RBD were analyzed as per standard methods suggested by Panse and Sukhatme (1967). The data observed for various characters during the study were statistically analyzed following the technique of analysis of variance (ANOVA).</w:t>
      </w:r>
    </w:p>
    <w:p w14:paraId="29071976">
      <w:pPr>
        <w:spacing w:line="360" w:lineRule="auto"/>
        <w:jc w:val="both"/>
        <w:rPr>
          <w:b/>
        </w:rPr>
      </w:pPr>
      <w:r>
        <w:rPr>
          <w:b/>
        </w:rPr>
        <w:t>Result and discussion</w:t>
      </w:r>
    </w:p>
    <w:p w14:paraId="106892B2">
      <w:pPr>
        <w:widowControl/>
        <w:autoSpaceDE/>
        <w:autoSpaceDN/>
        <w:spacing w:line="360" w:lineRule="auto"/>
        <w:contextualSpacing/>
        <w:rPr>
          <w:b/>
        </w:rPr>
      </w:pPr>
      <w:r>
        <w:rPr>
          <w:b/>
        </w:rPr>
        <w:t xml:space="preserve">Days taken to first flowering </w:t>
      </w:r>
    </w:p>
    <w:p w14:paraId="16D06D71">
      <w:pPr>
        <w:adjustRightInd w:val="0"/>
        <w:spacing w:line="360" w:lineRule="auto"/>
        <w:ind w:firstLine="720"/>
        <w:jc w:val="both"/>
      </w:pPr>
      <w:r>
        <w:t>Early flowering is one of the most important favourable phenomena in plant since early crop fetches a premium price in the market. The pooled value of days taken to first flowering of both of the years was ranged from 41.75 days to 47.75 days as indicated in Table 1. Significantly, the minimum days taken to first flowering (41.75 days) was measured in treatment T</w:t>
      </w:r>
      <w:r>
        <w:rPr>
          <w:vertAlign w:val="subscript"/>
        </w:rPr>
        <w:t xml:space="preserve">3 </w:t>
      </w:r>
      <w:r>
        <w:t>(</w:t>
      </w:r>
      <w:r>
        <w:rPr>
          <w:rStyle w:val="19"/>
          <w:b w:val="0"/>
        </w:rPr>
        <w:t>RDF + Seaweed extract 2.5 ml/L</w:t>
      </w:r>
      <w:r>
        <w:rPr>
          <w:b/>
        </w:rPr>
        <w:t>)</w:t>
      </w:r>
      <w:r>
        <w:t xml:space="preserve"> which was statistically at par with treatment T</w:t>
      </w:r>
      <w:r>
        <w:rPr>
          <w:vertAlign w:val="subscript"/>
        </w:rPr>
        <w:t>5</w:t>
      </w:r>
      <w:r>
        <w:t xml:space="preserve"> (RDF + Salicylic acid 2 g/L) and T</w:t>
      </w:r>
      <w:r>
        <w:rPr>
          <w:vertAlign w:val="subscript"/>
        </w:rPr>
        <w:t>7</w:t>
      </w:r>
      <w:r>
        <w:t xml:space="preserve"> (RDF + Chitosan 0.5%), while the maximum days taken to first flowering was noticed in (47.75 days) in treatment T</w:t>
      </w:r>
      <w:r>
        <w:rPr>
          <w:vertAlign w:val="subscript"/>
        </w:rPr>
        <w:t>1</w:t>
      </w:r>
      <w:r>
        <w:t xml:space="preserve"> (</w:t>
      </w:r>
      <w:r>
        <w:rPr>
          <w:rStyle w:val="19"/>
          <w:b w:val="0"/>
        </w:rPr>
        <w:t xml:space="preserve">RDF). </w:t>
      </w:r>
      <w:r>
        <w:t xml:space="preserve">This might be due to early flowering of bell peppr to different sources of nutrients might be due to acceleration of the vegetative phase through the simulative effect of the absorbed nutrients on photosynthesis process which certainly reflected positively on vegetative and flowering initiation (Kawthar </w:t>
      </w:r>
      <w:r>
        <w:rPr>
          <w:i/>
          <w:iCs/>
        </w:rPr>
        <w:t>et al.</w:t>
      </w:r>
      <w:r>
        <w:t xml:space="preserve"> 2010). The present study was in agreement with the findings of Locher </w:t>
      </w:r>
      <w:r>
        <w:rPr>
          <w:i/>
          <w:iCs/>
        </w:rPr>
        <w:t>et al</w:t>
      </w:r>
      <w:r>
        <w:t xml:space="preserve">. (2003) in capsicum, Imamsaheb </w:t>
      </w:r>
      <w:r>
        <w:rPr>
          <w:i/>
          <w:iCs/>
        </w:rPr>
        <w:t>et al</w:t>
      </w:r>
      <w:r>
        <w:t xml:space="preserve">. (2011) in brinjal and tomato, whereas, Godara </w:t>
      </w:r>
      <w:r>
        <w:rPr>
          <w:i/>
          <w:iCs/>
        </w:rPr>
        <w:t>et al</w:t>
      </w:r>
      <w:r>
        <w:t>. (2024) in capsicum.</w:t>
      </w:r>
    </w:p>
    <w:p w14:paraId="5503330F">
      <w:pPr>
        <w:adjustRightInd w:val="0"/>
        <w:spacing w:line="360" w:lineRule="auto"/>
        <w:ind w:firstLine="720"/>
        <w:jc w:val="both"/>
        <w:rPr>
          <w:bCs/>
        </w:rPr>
      </w:pPr>
      <w:r>
        <w:rPr>
          <w:bCs/>
        </w:rPr>
        <w:t xml:space="preserve">The shortening of flowering duration may be due to gibberellins present in seaweed extract that might have reduced the transition between vegetative and reproductive phases and induced early flowering. Yusuf </w:t>
      </w:r>
      <w:r>
        <w:rPr>
          <w:bCs/>
          <w:i/>
          <w:iCs/>
        </w:rPr>
        <w:t>et al</w:t>
      </w:r>
      <w:r>
        <w:rPr>
          <w:bCs/>
        </w:rPr>
        <w:t xml:space="preserve">. (2021) reported that the use of seaweed extract along with NPK had induced early flowering in chilli plants. These results are in conformity with the findings of Venkatesan and Selvakumari (2017); Dookie </w:t>
      </w:r>
      <w:r>
        <w:rPr>
          <w:bCs/>
          <w:i/>
          <w:iCs/>
        </w:rPr>
        <w:t>et al</w:t>
      </w:r>
      <w:r>
        <w:rPr>
          <w:bCs/>
        </w:rPr>
        <w:t>. (2021) in tomato.</w:t>
      </w:r>
    </w:p>
    <w:p w14:paraId="76CAAA53">
      <w:pPr>
        <w:adjustRightInd w:val="0"/>
        <w:spacing w:line="360" w:lineRule="auto"/>
        <w:ind w:firstLine="720"/>
        <w:jc w:val="both"/>
      </w:pPr>
      <w:r>
        <w:rPr>
          <w:bCs/>
        </w:rPr>
        <w:t xml:space="preserve">The foliar application of salicylic acid promotes early flowering in capsicum by modulating key physiological and biochemical processes. Salicylic acid influences hormonal balance by enhancing the levels of flowering-promoting hormones like gibberellins and suppressing those that delay flowering. Similar result was obtained by </w:t>
      </w:r>
      <w:r>
        <w:t xml:space="preserve">Munshi </w:t>
      </w:r>
      <w:r>
        <w:rPr>
          <w:i/>
        </w:rPr>
        <w:t>et al.</w:t>
      </w:r>
      <w:r>
        <w:t xml:space="preserve"> (2020).</w:t>
      </w:r>
    </w:p>
    <w:p w14:paraId="57F53739">
      <w:pPr>
        <w:adjustRightInd w:val="0"/>
        <w:spacing w:line="360" w:lineRule="auto"/>
        <w:ind w:firstLine="720"/>
        <w:jc w:val="both"/>
      </w:pPr>
      <w:r>
        <w:rPr>
          <w:bCs/>
        </w:rPr>
        <w:t>The application of chitosan during the early stages of growth has been linked to earlier flowering in Capsicum plants. This is likely due to enhanced vegetative growth and improved energy allocation towards reproductive structures (</w:t>
      </w:r>
      <w:r>
        <w:t>Kazimi and Saxena, 2023).</w:t>
      </w:r>
    </w:p>
    <w:p w14:paraId="75547652">
      <w:pPr>
        <w:widowControl/>
        <w:autoSpaceDE/>
        <w:autoSpaceDN/>
        <w:spacing w:line="360" w:lineRule="auto"/>
        <w:contextualSpacing/>
        <w:rPr>
          <w:b/>
        </w:rPr>
      </w:pPr>
      <w:r>
        <w:rPr>
          <w:b/>
        </w:rPr>
        <w:t>Days taken to first fruit maturity</w:t>
      </w:r>
    </w:p>
    <w:p w14:paraId="444C2837">
      <w:pPr>
        <w:adjustRightInd w:val="0"/>
        <w:spacing w:line="360" w:lineRule="auto"/>
        <w:ind w:firstLine="720"/>
        <w:jc w:val="both"/>
        <w:rPr>
          <w:rStyle w:val="19"/>
          <w:b w:val="0"/>
        </w:rPr>
      </w:pPr>
      <w:r>
        <w:t xml:space="preserve">Early fruit maturity is one of the most important favourable phenomena in plant since early crop fetches a premium price in the market. The pooled value of days taken to first flowering of both of the years was ranged from </w:t>
      </w:r>
      <w:r>
        <w:rPr>
          <w:color w:val="000000"/>
        </w:rPr>
        <w:t>105.25 days</w:t>
      </w:r>
      <w:r>
        <w:t xml:space="preserve"> to 110.75 days as shown in Table 1. Significantly, the minimum days taken to first fruit maturity (</w:t>
      </w:r>
      <w:r>
        <w:rPr>
          <w:color w:val="000000"/>
        </w:rPr>
        <w:t>105.25 days</w:t>
      </w:r>
      <w:r>
        <w:t>) was measured in treatment T</w:t>
      </w:r>
      <w:r>
        <w:rPr>
          <w:vertAlign w:val="subscript"/>
        </w:rPr>
        <w:t xml:space="preserve">3 </w:t>
      </w:r>
      <w:r>
        <w:t>(</w:t>
      </w:r>
      <w:r>
        <w:rPr>
          <w:rStyle w:val="19"/>
          <w:b w:val="0"/>
        </w:rPr>
        <w:t>RDF + Seaweed extract 2.5 ml/L</w:t>
      </w:r>
      <w:r>
        <w:t>) which was statistically at par with treatment T</w:t>
      </w:r>
      <w:r>
        <w:rPr>
          <w:vertAlign w:val="subscript"/>
        </w:rPr>
        <w:t>5</w:t>
      </w:r>
      <w:r>
        <w:t xml:space="preserve"> (RDF + Salicylic acid 2 g/L), while the maximum days taken to first fruit maturity was noticed (110.75 days) in treatment T</w:t>
      </w:r>
      <w:r>
        <w:rPr>
          <w:vertAlign w:val="subscript"/>
        </w:rPr>
        <w:t>1</w:t>
      </w:r>
      <w:r>
        <w:t xml:space="preserve"> (</w:t>
      </w:r>
      <w:r>
        <w:rPr>
          <w:rStyle w:val="19"/>
          <w:b w:val="0"/>
        </w:rPr>
        <w:t xml:space="preserve">RDF). </w:t>
      </w:r>
    </w:p>
    <w:p w14:paraId="38AFACB5">
      <w:pPr>
        <w:adjustRightInd w:val="0"/>
        <w:spacing w:line="360" w:lineRule="auto"/>
        <w:ind w:firstLine="720"/>
        <w:jc w:val="both"/>
        <w:rPr>
          <w:bCs/>
        </w:rPr>
      </w:pPr>
      <w:r>
        <w:rPr>
          <w:bCs/>
        </w:rPr>
        <w:t xml:space="preserve">The application of seaweed extract has been shown to significantly influence early fruit maturity in bell peppers. Ertani </w:t>
      </w:r>
      <w:r>
        <w:rPr>
          <w:bCs/>
          <w:i/>
        </w:rPr>
        <w:t>et al.</w:t>
      </w:r>
      <w:r>
        <w:rPr>
          <w:bCs/>
        </w:rPr>
        <w:t xml:space="preserve"> (2015) recorded that capsicum plants treated with seaweed extract produced fruit approximately 10 days earlier than those in the control group. This acceleration in fruit maturity can be particularly beneficial for maximizing the growing season. Similar result was obtained by Ashour </w:t>
      </w:r>
      <w:r>
        <w:rPr>
          <w:bCs/>
          <w:i/>
        </w:rPr>
        <w:t>et al.</w:t>
      </w:r>
      <w:r>
        <w:rPr>
          <w:bCs/>
        </w:rPr>
        <w:t xml:space="preserve"> (2021) in hot pepper.</w:t>
      </w:r>
    </w:p>
    <w:p w14:paraId="468176B7">
      <w:pPr>
        <w:pStyle w:val="18"/>
        <w:spacing w:before="0" w:beforeAutospacing="0" w:after="0" w:afterAutospacing="0" w:line="360" w:lineRule="auto"/>
        <w:ind w:firstLine="720"/>
        <w:jc w:val="both"/>
        <w:rPr>
          <w:bCs/>
        </w:rPr>
      </w:pPr>
      <w:r>
        <w:rPr>
          <w:bCs/>
        </w:rPr>
        <w:t>The application of salicylic acid can accelerate the maturation process of fruits. By influencing metabolic pathways related to ripening, salicylic acid can lead to earlier harvesting times (</w:t>
      </w:r>
      <w:r>
        <w:t xml:space="preserve">Ibrahim </w:t>
      </w:r>
      <w:r>
        <w:rPr>
          <w:i/>
        </w:rPr>
        <w:t>et al.,</w:t>
      </w:r>
      <w:r>
        <w:t xml:space="preserve"> 2019</w:t>
      </w:r>
      <w:r>
        <w:rPr>
          <w:bCs/>
        </w:rPr>
        <w:t>).</w:t>
      </w:r>
    </w:p>
    <w:p w14:paraId="6FB437F3">
      <w:pPr>
        <w:widowControl/>
        <w:autoSpaceDE/>
        <w:autoSpaceDN/>
        <w:spacing w:line="360" w:lineRule="auto"/>
        <w:contextualSpacing/>
        <w:rPr>
          <w:b/>
        </w:rPr>
      </w:pPr>
      <w:r>
        <w:rPr>
          <w:b/>
        </w:rPr>
        <w:t xml:space="preserve">Number of fruits per plant </w:t>
      </w:r>
    </w:p>
    <w:p w14:paraId="6FD34D93">
      <w:pPr>
        <w:pStyle w:val="18"/>
        <w:spacing w:before="0" w:beforeAutospacing="0" w:after="0" w:afterAutospacing="0" w:line="360" w:lineRule="auto"/>
        <w:ind w:firstLine="720"/>
        <w:jc w:val="both"/>
        <w:rPr>
          <w:bCs/>
          <w:sz w:val="22"/>
          <w:szCs w:val="22"/>
          <w:lang w:val="en-US"/>
        </w:rPr>
      </w:pPr>
      <w:r>
        <w:rPr>
          <w:sz w:val="22"/>
          <w:szCs w:val="22"/>
        </w:rPr>
        <w:t xml:space="preserve">The pooled value of number of fruits per plant of both of the years was ranged from 16.25 to </w:t>
      </w:r>
      <w:r>
        <w:rPr>
          <w:color w:val="000000"/>
          <w:sz w:val="22"/>
          <w:szCs w:val="22"/>
        </w:rPr>
        <w:t>22.50 as shown in Table 1</w:t>
      </w:r>
      <w:r>
        <w:rPr>
          <w:sz w:val="22"/>
          <w:szCs w:val="22"/>
        </w:rPr>
        <w:t>. Significantly, the maximum number of fruits per plant (</w:t>
      </w:r>
      <w:r>
        <w:rPr>
          <w:color w:val="000000"/>
          <w:sz w:val="22"/>
          <w:szCs w:val="22"/>
        </w:rPr>
        <w:t>22.50 fruits</w:t>
      </w:r>
      <w:r>
        <w:rPr>
          <w:sz w:val="22"/>
          <w:szCs w:val="22"/>
        </w:rPr>
        <w:t>) was measured in treatment T</w:t>
      </w:r>
      <w:r>
        <w:rPr>
          <w:sz w:val="22"/>
          <w:szCs w:val="22"/>
          <w:vertAlign w:val="subscript"/>
        </w:rPr>
        <w:t xml:space="preserve">3 </w:t>
      </w:r>
      <w:r>
        <w:rPr>
          <w:sz w:val="22"/>
          <w:szCs w:val="22"/>
        </w:rPr>
        <w:t>(</w:t>
      </w:r>
      <w:r>
        <w:rPr>
          <w:rStyle w:val="19"/>
          <w:b w:val="0"/>
          <w:sz w:val="22"/>
          <w:szCs w:val="22"/>
        </w:rPr>
        <w:t>RDF + Seaweed extract 2.5 ml/L</w:t>
      </w:r>
      <w:r>
        <w:rPr>
          <w:sz w:val="22"/>
          <w:szCs w:val="22"/>
        </w:rPr>
        <w:t>), which was statistically at par with treatment T</w:t>
      </w:r>
      <w:r>
        <w:rPr>
          <w:sz w:val="22"/>
          <w:szCs w:val="22"/>
          <w:vertAlign w:val="subscript"/>
        </w:rPr>
        <w:t>11</w:t>
      </w:r>
      <w:r>
        <w:rPr>
          <w:sz w:val="22"/>
          <w:szCs w:val="22"/>
        </w:rPr>
        <w:t xml:space="preserve"> (RDF + Humic acid at 5 ml/L) with 22.25 fruits</w:t>
      </w:r>
      <w:r>
        <w:rPr>
          <w:bCs/>
          <w:sz w:val="22"/>
          <w:szCs w:val="22"/>
        </w:rPr>
        <w:t>,</w:t>
      </w:r>
      <w:r>
        <w:rPr>
          <w:b/>
          <w:sz w:val="22"/>
          <w:szCs w:val="22"/>
        </w:rPr>
        <w:t xml:space="preserve"> </w:t>
      </w:r>
      <w:r>
        <w:rPr>
          <w:sz w:val="22"/>
          <w:szCs w:val="22"/>
        </w:rPr>
        <w:t>whereas the minimum number of fruits per plant (16.25 fruits) was observed in treatment T</w:t>
      </w:r>
      <w:r>
        <w:rPr>
          <w:sz w:val="22"/>
          <w:szCs w:val="22"/>
          <w:vertAlign w:val="subscript"/>
        </w:rPr>
        <w:t>2</w:t>
      </w:r>
      <w:r>
        <w:rPr>
          <w:sz w:val="22"/>
          <w:szCs w:val="22"/>
        </w:rPr>
        <w:t xml:space="preserve"> (</w:t>
      </w:r>
      <w:r>
        <w:rPr>
          <w:rStyle w:val="19"/>
          <w:b w:val="0"/>
          <w:sz w:val="22"/>
          <w:szCs w:val="22"/>
        </w:rPr>
        <w:t xml:space="preserve">87.5% RDF). </w:t>
      </w:r>
      <w:r>
        <w:rPr>
          <w:bCs/>
          <w:sz w:val="22"/>
          <w:szCs w:val="22"/>
          <w:lang w:val="en-US"/>
        </w:rPr>
        <w:t xml:space="preserve">The increase in number of fruits per plant in 100% RDF along with foliar application of biostimulants might be due to supply of nutrients at critical growth stage </w:t>
      </w:r>
      <w:r>
        <w:rPr>
          <w:bCs/>
          <w:i/>
          <w:iCs/>
          <w:sz w:val="22"/>
          <w:szCs w:val="22"/>
          <w:lang w:val="en-US"/>
        </w:rPr>
        <w:t>i.e.</w:t>
      </w:r>
      <w:r>
        <w:rPr>
          <w:bCs/>
          <w:sz w:val="22"/>
          <w:szCs w:val="22"/>
          <w:lang w:val="en-US"/>
        </w:rPr>
        <w:t xml:space="preserve"> flowering and fruit set (Narayan </w:t>
      </w:r>
      <w:r>
        <w:rPr>
          <w:bCs/>
          <w:i/>
          <w:iCs/>
          <w:sz w:val="22"/>
          <w:szCs w:val="22"/>
          <w:lang w:val="en-US"/>
        </w:rPr>
        <w:t>et al.</w:t>
      </w:r>
      <w:r>
        <w:rPr>
          <w:bCs/>
          <w:sz w:val="22"/>
          <w:szCs w:val="22"/>
          <w:lang w:val="en-US"/>
        </w:rPr>
        <w:t xml:space="preserve"> 2011).</w:t>
      </w:r>
    </w:p>
    <w:p w14:paraId="1853FA9D">
      <w:pPr>
        <w:pStyle w:val="18"/>
        <w:spacing w:before="0" w:beforeAutospacing="0" w:after="0" w:afterAutospacing="0" w:line="360" w:lineRule="auto"/>
        <w:ind w:firstLine="720"/>
        <w:jc w:val="both"/>
        <w:rPr>
          <w:sz w:val="22"/>
          <w:szCs w:val="22"/>
          <w:lang w:val="en-US"/>
        </w:rPr>
      </w:pPr>
      <w:r>
        <w:rPr>
          <w:sz w:val="22"/>
          <w:szCs w:val="22"/>
        </w:rPr>
        <w:t xml:space="preserve">Seaweed extract significantly increases the number of fruits per plant in capsicum by improving nutrient uptake, hormonal balance, stress tolerance, and pollination efficiency. It acts as a natural biostimulant, enhancing both the vegetative and reproductive stages of the plant. Sarhan et al. (2011) reported that cucumber plants treated with seaweed extracts (Alga 600 and sea force2) yielded highest value of number of fruits per plant (21.73). Similar result was obtained by Shanmugam </w:t>
      </w:r>
      <w:r>
        <w:rPr>
          <w:i/>
          <w:sz w:val="22"/>
          <w:szCs w:val="22"/>
        </w:rPr>
        <w:t>et al.</w:t>
      </w:r>
      <w:r>
        <w:rPr>
          <w:sz w:val="22"/>
          <w:szCs w:val="22"/>
        </w:rPr>
        <w:t xml:space="preserve"> (2016) and Arthur </w:t>
      </w:r>
      <w:r>
        <w:rPr>
          <w:i/>
          <w:sz w:val="22"/>
          <w:szCs w:val="22"/>
        </w:rPr>
        <w:t>et al.</w:t>
      </w:r>
      <w:r>
        <w:rPr>
          <w:sz w:val="22"/>
          <w:szCs w:val="22"/>
        </w:rPr>
        <w:t xml:space="preserve"> (2003). </w:t>
      </w:r>
      <w:r>
        <w:rPr>
          <w:sz w:val="22"/>
          <w:szCs w:val="22"/>
          <w:lang w:val="en-US"/>
        </w:rPr>
        <w:t xml:space="preserve">Seaweeds have gained importance as foliar sprays for several crops because the extract contains growth promoting hormones (IAA and IBA), cytokinins, trace elements (Fe, Cu, Zn, Co, Mo, Mn and Ni) as well as vitamins and amino acids (Zodape </w:t>
      </w:r>
      <w:r>
        <w:rPr>
          <w:i/>
          <w:iCs/>
          <w:sz w:val="22"/>
          <w:szCs w:val="22"/>
          <w:lang w:val="en-US"/>
        </w:rPr>
        <w:t>et al</w:t>
      </w:r>
      <w:r>
        <w:rPr>
          <w:sz w:val="22"/>
          <w:szCs w:val="22"/>
          <w:lang w:val="en-US"/>
        </w:rPr>
        <w:t xml:space="preserve">., 2011 and Shabana </w:t>
      </w:r>
      <w:r>
        <w:rPr>
          <w:i/>
          <w:iCs/>
          <w:sz w:val="22"/>
          <w:szCs w:val="22"/>
          <w:lang w:val="en-US"/>
        </w:rPr>
        <w:t>et al</w:t>
      </w:r>
      <w:r>
        <w:rPr>
          <w:sz w:val="22"/>
          <w:szCs w:val="22"/>
          <w:lang w:val="en-US"/>
        </w:rPr>
        <w:t>., 2020).</w:t>
      </w:r>
    </w:p>
    <w:p w14:paraId="68C21666">
      <w:pPr>
        <w:pStyle w:val="18"/>
        <w:spacing w:before="0" w:beforeAutospacing="0" w:after="0" w:afterAutospacing="0" w:line="360" w:lineRule="auto"/>
        <w:ind w:firstLine="720"/>
        <w:jc w:val="both"/>
        <w:rPr>
          <w:sz w:val="22"/>
          <w:szCs w:val="22"/>
        </w:rPr>
      </w:pPr>
      <w:r>
        <w:rPr>
          <w:sz w:val="22"/>
          <w:szCs w:val="22"/>
        </w:rPr>
        <w:t xml:space="preserve">Humic acid increases the number of fruits per capsicum plant by improving soil fertility, nutrient availability, root growth, photosynthetic efficiency, and stress tolerance. Its role in stimulating natural plant hormones further supports flower retention and fruit set. Similar result was observed by Karakurt </w:t>
      </w:r>
      <w:r>
        <w:rPr>
          <w:i/>
          <w:sz w:val="22"/>
          <w:szCs w:val="22"/>
        </w:rPr>
        <w:t>et al.</w:t>
      </w:r>
      <w:r>
        <w:rPr>
          <w:sz w:val="22"/>
          <w:szCs w:val="22"/>
        </w:rPr>
        <w:t xml:space="preserve"> (2009). According Jan </w:t>
      </w:r>
      <w:r>
        <w:rPr>
          <w:i/>
          <w:sz w:val="22"/>
          <w:szCs w:val="22"/>
        </w:rPr>
        <w:t>et al.</w:t>
      </w:r>
      <w:r>
        <w:rPr>
          <w:sz w:val="22"/>
          <w:szCs w:val="22"/>
        </w:rPr>
        <w:t xml:space="preserve"> (2020), the maximum number of fruits per plant (57.50) was recorded at 50 g/L humic acid foliar application.</w:t>
      </w:r>
    </w:p>
    <w:p w14:paraId="78E23E30">
      <w:pPr>
        <w:widowControl/>
        <w:autoSpaceDE/>
        <w:autoSpaceDN/>
        <w:spacing w:line="360" w:lineRule="auto"/>
        <w:contextualSpacing/>
        <w:rPr>
          <w:b/>
        </w:rPr>
      </w:pPr>
      <w:r>
        <w:rPr>
          <w:b/>
        </w:rPr>
        <w:t xml:space="preserve">Fruit length (cm) </w:t>
      </w:r>
    </w:p>
    <w:p w14:paraId="1A78B04D">
      <w:pPr>
        <w:pStyle w:val="18"/>
        <w:spacing w:before="0" w:beforeAutospacing="0" w:after="0" w:afterAutospacing="0" w:line="360" w:lineRule="auto"/>
        <w:ind w:firstLine="720"/>
        <w:jc w:val="both"/>
        <w:rPr>
          <w:b/>
          <w:sz w:val="22"/>
          <w:szCs w:val="22"/>
        </w:rPr>
      </w:pPr>
      <w:r>
        <w:rPr>
          <w:sz w:val="22"/>
          <w:szCs w:val="22"/>
        </w:rPr>
        <w:t xml:space="preserve">Fruit length is one of the most important quality components that are attributed to the size and appearance. The pooled value of fruit length of both of the years was ranged from 7.32 cm to </w:t>
      </w:r>
      <w:r>
        <w:rPr>
          <w:color w:val="000000"/>
          <w:sz w:val="22"/>
          <w:szCs w:val="22"/>
        </w:rPr>
        <w:t>9.55 cm as shown in Table 2</w:t>
      </w:r>
      <w:r>
        <w:rPr>
          <w:sz w:val="22"/>
          <w:szCs w:val="22"/>
        </w:rPr>
        <w:t>. Significantly, the maximum fruit length (</w:t>
      </w:r>
      <w:r>
        <w:rPr>
          <w:color w:val="000000"/>
          <w:sz w:val="22"/>
          <w:szCs w:val="22"/>
        </w:rPr>
        <w:t>9.55 cm</w:t>
      </w:r>
      <w:r>
        <w:rPr>
          <w:sz w:val="22"/>
          <w:szCs w:val="22"/>
        </w:rPr>
        <w:t>) was measured in treatment T</w:t>
      </w:r>
      <w:r>
        <w:rPr>
          <w:sz w:val="22"/>
          <w:szCs w:val="22"/>
          <w:vertAlign w:val="subscript"/>
        </w:rPr>
        <w:t xml:space="preserve">3 </w:t>
      </w:r>
      <w:r>
        <w:rPr>
          <w:b/>
          <w:sz w:val="22"/>
          <w:szCs w:val="22"/>
        </w:rPr>
        <w:t>(</w:t>
      </w:r>
      <w:r>
        <w:rPr>
          <w:rStyle w:val="19"/>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7</w:t>
      </w:r>
      <w:r>
        <w:rPr>
          <w:sz w:val="22"/>
          <w:szCs w:val="22"/>
        </w:rPr>
        <w:t xml:space="preserve"> (RDF + Chitosan 0.5%) with 9.23 cm and T</w:t>
      </w:r>
      <w:r>
        <w:rPr>
          <w:sz w:val="22"/>
          <w:szCs w:val="22"/>
          <w:vertAlign w:val="subscript"/>
        </w:rPr>
        <w:t>9</w:t>
      </w:r>
      <w:r>
        <w:rPr>
          <w:sz w:val="22"/>
          <w:szCs w:val="22"/>
        </w:rPr>
        <w:t xml:space="preserve"> (RDF + Putrescine at 0.1 g/L) with 8.96 cm</w:t>
      </w:r>
      <w:r>
        <w:rPr>
          <w:bCs/>
          <w:sz w:val="22"/>
          <w:szCs w:val="22"/>
        </w:rPr>
        <w:t>,</w:t>
      </w:r>
      <w:r>
        <w:rPr>
          <w:b/>
          <w:sz w:val="22"/>
          <w:szCs w:val="22"/>
        </w:rPr>
        <w:t xml:space="preserve"> </w:t>
      </w:r>
      <w:r>
        <w:rPr>
          <w:sz w:val="22"/>
          <w:szCs w:val="22"/>
        </w:rPr>
        <w:t>whereas the minimum fruit length (7.32 cm) was observed in treatment T</w:t>
      </w:r>
      <w:r>
        <w:rPr>
          <w:sz w:val="22"/>
          <w:szCs w:val="22"/>
          <w:vertAlign w:val="subscript"/>
        </w:rPr>
        <w:t>2</w:t>
      </w:r>
      <w:r>
        <w:rPr>
          <w:sz w:val="22"/>
          <w:szCs w:val="22"/>
        </w:rPr>
        <w:t xml:space="preserve"> (</w:t>
      </w:r>
      <w:r>
        <w:rPr>
          <w:rStyle w:val="19"/>
          <w:b w:val="0"/>
          <w:sz w:val="22"/>
          <w:szCs w:val="22"/>
        </w:rPr>
        <w:t>87.5% RDF). This might be due to</w:t>
      </w:r>
      <w:r>
        <w:rPr>
          <w:rStyle w:val="19"/>
          <w:sz w:val="22"/>
          <w:szCs w:val="22"/>
        </w:rPr>
        <w:t xml:space="preserve"> </w:t>
      </w:r>
      <w:r>
        <w:rPr>
          <w:bCs/>
          <w:sz w:val="22"/>
          <w:szCs w:val="22"/>
          <w:lang w:val="en-US"/>
        </w:rPr>
        <w:t>higher vegetative growth helped in the synthesis of greater amount of fruit material, which was later translocated into developing fruits resulting in increased fruit length (Lal and Kanaujia, 2013).</w:t>
      </w:r>
    </w:p>
    <w:p w14:paraId="23102D00">
      <w:pPr>
        <w:pStyle w:val="18"/>
        <w:spacing w:before="0" w:beforeAutospacing="0" w:after="0" w:afterAutospacing="0" w:line="360" w:lineRule="auto"/>
        <w:ind w:firstLine="720"/>
        <w:jc w:val="both"/>
        <w:rPr>
          <w:sz w:val="22"/>
          <w:szCs w:val="22"/>
        </w:rPr>
      </w:pPr>
      <w:r>
        <w:rPr>
          <w:bCs/>
          <w:sz w:val="22"/>
          <w:szCs w:val="22"/>
        </w:rPr>
        <w:t>As liquid seaweed fertilizer is a very good source of K, it helps to regulate the water status of the plants, controls the opening and closing of stomata and thereby, to a large extent, controls photosynthesis. Improving the physiological activities such as photosynthesis and plant nutrition and this could be reflected in fruit growth, with increased fruit length, weight, girth and flesh thickness which may be due to more assimilates reaching the fruits or an increase in the sink strength of the fruits, allowing them to attract more water and assimilates as a result of the use of biostimulants.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r>
        <w:rPr>
          <w:iCs/>
          <w:sz w:val="22"/>
          <w:szCs w:val="22"/>
        </w:rPr>
        <w:t>Segmen and Ozdamar (2023)</w:t>
      </w:r>
      <w:r>
        <w:rPr>
          <w:sz w:val="22"/>
          <w:szCs w:val="22"/>
        </w:rPr>
        <w:t xml:space="preserve"> in capsicum.</w:t>
      </w:r>
    </w:p>
    <w:p w14:paraId="3E9B273A">
      <w:pPr>
        <w:pStyle w:val="18"/>
        <w:spacing w:before="0" w:beforeAutospacing="0" w:after="0" w:afterAutospacing="0" w:line="360" w:lineRule="auto"/>
        <w:ind w:firstLine="720"/>
        <w:jc w:val="both"/>
        <w:rPr>
          <w:sz w:val="22"/>
          <w:szCs w:val="22"/>
        </w:rPr>
      </w:pPr>
      <w:r>
        <w:rPr>
          <w:sz w:val="22"/>
          <w:szCs w:val="22"/>
        </w:rPr>
        <w:t xml:space="preserve">Chitosan enhances fruit length in capsicum by improving nutrient uptake, regulating growth hormones, mitigating stress, and stimulating enzymatic activity. Its multifunctional benefits make it an effective and eco-friendly biostimulant for promoting capsicum growth and achieving higher yields (Dzung </w:t>
      </w:r>
      <w:r>
        <w:rPr>
          <w:i/>
          <w:sz w:val="22"/>
          <w:szCs w:val="22"/>
        </w:rPr>
        <w:t>et al.,</w:t>
      </w:r>
      <w:r>
        <w:rPr>
          <w:sz w:val="22"/>
          <w:szCs w:val="22"/>
        </w:rPr>
        <w:t xml:space="preserve"> 2017; </w:t>
      </w:r>
      <w:r>
        <w:rPr>
          <w:color w:val="222222"/>
          <w:shd w:val="clear" w:color="auto" w:fill="FFFFFF"/>
        </w:rPr>
        <w:t>El-Tantawy, 2009</w:t>
      </w:r>
      <w:r>
        <w:rPr>
          <w:sz w:val="22"/>
          <w:szCs w:val="22"/>
        </w:rPr>
        <w:t>). Kramchote and Suwor (2022) found that all concentrations of chitosan increased fruit length which was statistically significant compared to the control group.</w:t>
      </w:r>
    </w:p>
    <w:p w14:paraId="613CA7D2">
      <w:pPr>
        <w:pStyle w:val="18"/>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Alizadeh </w:t>
      </w:r>
      <w:r>
        <w:rPr>
          <w:i/>
          <w:sz w:val="22"/>
          <w:szCs w:val="22"/>
        </w:rPr>
        <w:t>et al.</w:t>
      </w:r>
      <w:r>
        <w:rPr>
          <w:sz w:val="22"/>
          <w:szCs w:val="22"/>
        </w:rPr>
        <w:t xml:space="preserve"> (2017) suggested that </w:t>
      </w:r>
      <w:r>
        <w:rPr>
          <w:bCs/>
          <w:sz w:val="22"/>
          <w:szCs w:val="22"/>
        </w:rPr>
        <w:t xml:space="preserve">foliar application of </w:t>
      </w:r>
      <w:commentRangeStart w:id="2"/>
      <w:r>
        <w:rPr>
          <w:bCs/>
          <w:sz w:val="22"/>
          <w:szCs w:val="22"/>
        </w:rPr>
        <w:t>1.5 mM putrescine r</w:t>
      </w:r>
      <w:commentRangeEnd w:id="2"/>
      <w:r>
        <w:commentReference w:id="2"/>
      </w:r>
      <w:r>
        <w:rPr>
          <w:bCs/>
          <w:sz w:val="22"/>
          <w:szCs w:val="22"/>
        </w:rPr>
        <w:t>ecorded highest fruit length (16.56 cm) in sweet pepper.</w:t>
      </w:r>
    </w:p>
    <w:p w14:paraId="6EFF15A1">
      <w:pPr>
        <w:widowControl/>
        <w:autoSpaceDE/>
        <w:autoSpaceDN/>
        <w:spacing w:line="360" w:lineRule="auto"/>
        <w:contextualSpacing/>
        <w:rPr>
          <w:b/>
        </w:rPr>
      </w:pPr>
      <w:r>
        <w:rPr>
          <w:b/>
        </w:rPr>
        <w:t xml:space="preserve">Fruit diameter (cm) </w:t>
      </w:r>
    </w:p>
    <w:p w14:paraId="4AEDA25F">
      <w:pPr>
        <w:pStyle w:val="18"/>
        <w:spacing w:before="0" w:beforeAutospacing="0" w:after="0" w:afterAutospacing="0" w:line="360" w:lineRule="auto"/>
        <w:ind w:firstLine="720"/>
        <w:jc w:val="both"/>
        <w:rPr>
          <w:rStyle w:val="19"/>
          <w:b w:val="0"/>
          <w:sz w:val="22"/>
          <w:szCs w:val="22"/>
        </w:rPr>
      </w:pPr>
      <w:r>
        <w:rPr>
          <w:sz w:val="22"/>
          <w:szCs w:val="22"/>
        </w:rPr>
        <w:t xml:space="preserve">The pooled value of fruit diameter of both of the years was ranged from 7.96 cm to </w:t>
      </w:r>
      <w:r>
        <w:rPr>
          <w:color w:val="000000"/>
          <w:sz w:val="22"/>
          <w:szCs w:val="22"/>
        </w:rPr>
        <w:t>6.41 cm as indicated in Table 2</w:t>
      </w:r>
      <w:r>
        <w:rPr>
          <w:sz w:val="22"/>
          <w:szCs w:val="22"/>
        </w:rPr>
        <w:t>. Significantly, the maximum fruit diameter (</w:t>
      </w:r>
      <w:r>
        <w:rPr>
          <w:color w:val="000000"/>
          <w:sz w:val="22"/>
          <w:szCs w:val="22"/>
        </w:rPr>
        <w:t>7.96 cm</w:t>
      </w:r>
      <w:r>
        <w:rPr>
          <w:sz w:val="22"/>
          <w:szCs w:val="22"/>
        </w:rPr>
        <w:t>) was measured in treatment T</w:t>
      </w:r>
      <w:r>
        <w:rPr>
          <w:sz w:val="22"/>
          <w:szCs w:val="22"/>
          <w:vertAlign w:val="subscript"/>
        </w:rPr>
        <w:t xml:space="preserve">3 </w:t>
      </w:r>
      <w:r>
        <w:rPr>
          <w:sz w:val="22"/>
          <w:szCs w:val="22"/>
        </w:rPr>
        <w:t>(</w:t>
      </w:r>
      <w:r>
        <w:rPr>
          <w:rStyle w:val="19"/>
          <w:b w:val="0"/>
          <w:sz w:val="22"/>
          <w:szCs w:val="22"/>
        </w:rPr>
        <w:t>RDF + Seaweed extract 2.5 ml/L</w:t>
      </w:r>
      <w:r>
        <w:rPr>
          <w:sz w:val="22"/>
          <w:szCs w:val="22"/>
        </w:rPr>
        <w:t>), followed by treatment T</w:t>
      </w:r>
      <w:r>
        <w:rPr>
          <w:sz w:val="22"/>
          <w:szCs w:val="22"/>
          <w:vertAlign w:val="subscript"/>
        </w:rPr>
        <w:t>7</w:t>
      </w:r>
      <w:r>
        <w:rPr>
          <w:sz w:val="22"/>
          <w:szCs w:val="22"/>
        </w:rPr>
        <w:t xml:space="preserve"> (RDF + Chitosan 0.5%) and T</w:t>
      </w:r>
      <w:r>
        <w:rPr>
          <w:sz w:val="22"/>
          <w:szCs w:val="22"/>
          <w:vertAlign w:val="subscript"/>
        </w:rPr>
        <w:t>9</w:t>
      </w:r>
      <w:r>
        <w:rPr>
          <w:sz w:val="22"/>
          <w:szCs w:val="22"/>
        </w:rPr>
        <w:t xml:space="preserve"> (RDF + Putrescine at 0.1 g/L)</w:t>
      </w:r>
      <w:r>
        <w:rPr>
          <w:bCs/>
          <w:sz w:val="22"/>
          <w:szCs w:val="22"/>
        </w:rPr>
        <w:t>,</w:t>
      </w:r>
      <w:r>
        <w:rPr>
          <w:b/>
          <w:sz w:val="22"/>
          <w:szCs w:val="22"/>
        </w:rPr>
        <w:t xml:space="preserve"> </w:t>
      </w:r>
      <w:r>
        <w:rPr>
          <w:sz w:val="22"/>
          <w:szCs w:val="22"/>
        </w:rPr>
        <w:t>whereas the minimum fruit diameter (6.41 cm) was observed in treatment T</w:t>
      </w:r>
      <w:r>
        <w:rPr>
          <w:sz w:val="22"/>
          <w:szCs w:val="22"/>
          <w:vertAlign w:val="subscript"/>
        </w:rPr>
        <w:t>2</w:t>
      </w:r>
      <w:r>
        <w:rPr>
          <w:sz w:val="22"/>
          <w:szCs w:val="22"/>
        </w:rPr>
        <w:t xml:space="preserve"> (</w:t>
      </w:r>
      <w:r>
        <w:rPr>
          <w:rStyle w:val="19"/>
          <w:b w:val="0"/>
          <w:sz w:val="22"/>
          <w:szCs w:val="22"/>
        </w:rPr>
        <w:t xml:space="preserve">87.5% RDF). </w:t>
      </w:r>
      <w:r>
        <w:rPr>
          <w:bCs/>
          <w:sz w:val="22"/>
          <w:szCs w:val="22"/>
          <w:lang w:val="en-US"/>
        </w:rPr>
        <w:t>Higher vegetative growth helped in the synthesis of greater amount of fruit material which was later translocated into developing fruits resulting in increased the fruit diameter (Lal and Kanaujia, 2013).</w:t>
      </w:r>
    </w:p>
    <w:p w14:paraId="197AEB1C">
      <w:pPr>
        <w:pStyle w:val="18"/>
        <w:spacing w:before="0" w:beforeAutospacing="0" w:after="0" w:afterAutospacing="0" w:line="360" w:lineRule="auto"/>
        <w:ind w:firstLine="720"/>
        <w:jc w:val="both"/>
        <w:rPr>
          <w:bCs/>
          <w:sz w:val="22"/>
          <w:szCs w:val="22"/>
        </w:rPr>
      </w:pPr>
      <w:r>
        <w:rPr>
          <w:sz w:val="22"/>
          <w:szCs w:val="22"/>
        </w:rPr>
        <w:t xml:space="preserve">Seaweed extract effect fruit growth, as it contains growth regulators that stimulate cell division and elongation during the initial phase of fruit development (Rana </w:t>
      </w:r>
      <w:r>
        <w:rPr>
          <w:i/>
          <w:sz w:val="22"/>
          <w:szCs w:val="22"/>
        </w:rPr>
        <w:t>et al.,</w:t>
      </w:r>
      <w:r>
        <w:rPr>
          <w:sz w:val="22"/>
          <w:szCs w:val="22"/>
        </w:rPr>
        <w:t xml:space="preserve"> 2023).</w:t>
      </w:r>
      <w:r>
        <w:rPr>
          <w:bCs/>
          <w:sz w:val="22"/>
          <w:szCs w:val="22"/>
        </w:rPr>
        <w:t xml:space="preserve">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r>
        <w:rPr>
          <w:iCs/>
          <w:sz w:val="22"/>
          <w:szCs w:val="22"/>
        </w:rPr>
        <w:t>Segmen and Ozdamar (2023)</w:t>
      </w:r>
      <w:r>
        <w:rPr>
          <w:sz w:val="22"/>
          <w:szCs w:val="22"/>
        </w:rPr>
        <w:t xml:space="preserve"> in capsicum.</w:t>
      </w:r>
    </w:p>
    <w:p w14:paraId="1B9A476C">
      <w:pPr>
        <w:pStyle w:val="18"/>
        <w:spacing w:before="0" w:beforeAutospacing="0" w:after="0" w:afterAutospacing="0" w:line="360" w:lineRule="auto"/>
        <w:ind w:firstLine="720"/>
        <w:jc w:val="both"/>
        <w:rPr>
          <w:sz w:val="22"/>
          <w:szCs w:val="22"/>
        </w:rPr>
      </w:pPr>
      <w:r>
        <w:rPr>
          <w:sz w:val="22"/>
          <w:szCs w:val="22"/>
        </w:rPr>
        <w:t xml:space="preserve">Chitosan enhances fruit diameter in capsicum by improving nutrient uptake, regulating growth hormones, mitigating stress, and stimulating enzymatic activity (Dzung </w:t>
      </w:r>
      <w:r>
        <w:rPr>
          <w:i/>
          <w:sz w:val="22"/>
          <w:szCs w:val="22"/>
        </w:rPr>
        <w:t>et al.,</w:t>
      </w:r>
      <w:r>
        <w:rPr>
          <w:sz w:val="22"/>
          <w:szCs w:val="22"/>
        </w:rPr>
        <w:t xml:space="preserve"> 2017). Kramchote and Suwor (2022) found that all concentrations of chitosan increased fruit diameter which was statistically significant compared to the control group.</w:t>
      </w:r>
    </w:p>
    <w:p w14:paraId="08B2C132">
      <w:pPr>
        <w:pStyle w:val="18"/>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Mahmood </w:t>
      </w:r>
      <w:r>
        <w:rPr>
          <w:i/>
          <w:sz w:val="22"/>
          <w:szCs w:val="22"/>
        </w:rPr>
        <w:t>et al.</w:t>
      </w:r>
      <w:r>
        <w:rPr>
          <w:sz w:val="22"/>
          <w:szCs w:val="22"/>
        </w:rPr>
        <w:t xml:space="preserve"> (2017) also reported that the plants sprayed with 3 mM putrescine had the highest diameter (54.51 mm) compared to the control (46.1 mm). These findings are also in agreement with the study of Zodape </w:t>
      </w:r>
      <w:r>
        <w:rPr>
          <w:i/>
          <w:sz w:val="22"/>
          <w:szCs w:val="22"/>
        </w:rPr>
        <w:t>et al.</w:t>
      </w:r>
      <w:r>
        <w:rPr>
          <w:sz w:val="22"/>
          <w:szCs w:val="22"/>
        </w:rPr>
        <w:t xml:space="preserve"> (2011) and Saravanan </w:t>
      </w:r>
      <w:r>
        <w:rPr>
          <w:i/>
          <w:sz w:val="22"/>
          <w:szCs w:val="22"/>
        </w:rPr>
        <w:t>et al.</w:t>
      </w:r>
      <w:r>
        <w:rPr>
          <w:sz w:val="22"/>
          <w:szCs w:val="22"/>
        </w:rPr>
        <w:t xml:space="preserve"> (2003) in tomato.</w:t>
      </w:r>
    </w:p>
    <w:p w14:paraId="4CAA4F2A">
      <w:pPr>
        <w:widowControl/>
        <w:autoSpaceDE/>
        <w:autoSpaceDN/>
        <w:spacing w:line="360" w:lineRule="auto"/>
        <w:contextualSpacing/>
        <w:rPr>
          <w:b/>
        </w:rPr>
      </w:pPr>
      <w:r>
        <w:rPr>
          <w:b/>
        </w:rPr>
        <w:t xml:space="preserve">Average fruit weight (g) </w:t>
      </w:r>
    </w:p>
    <w:p w14:paraId="3CABDA58">
      <w:pPr>
        <w:pStyle w:val="18"/>
        <w:spacing w:before="0" w:beforeAutospacing="0" w:after="0" w:afterAutospacing="0" w:line="360" w:lineRule="auto"/>
        <w:ind w:firstLine="720"/>
        <w:jc w:val="both"/>
        <w:rPr>
          <w:rStyle w:val="19"/>
          <w:b w:val="0"/>
          <w:bCs w:val="0"/>
          <w:sz w:val="22"/>
          <w:szCs w:val="22"/>
        </w:rPr>
      </w:pPr>
      <w:r>
        <w:rPr>
          <w:sz w:val="22"/>
          <w:szCs w:val="22"/>
        </w:rPr>
        <w:t xml:space="preserve">Fruit weight is one of the main yield components because of its direct impact on yield. The data regarding fruit weight of capsicum is influenced by foliar application of various biostimulants treatments. The pooled value of fruit diameter of both of the years was ranged from 83.15 g to </w:t>
      </w:r>
      <w:r>
        <w:rPr>
          <w:color w:val="000000"/>
          <w:sz w:val="22"/>
          <w:szCs w:val="22"/>
        </w:rPr>
        <w:t>95.74 g as presented in Table 2</w:t>
      </w:r>
      <w:r>
        <w:rPr>
          <w:sz w:val="22"/>
          <w:szCs w:val="22"/>
        </w:rPr>
        <w:t>. Significantly, the maximum average fruit weight (</w:t>
      </w:r>
      <w:r>
        <w:rPr>
          <w:color w:val="000000"/>
          <w:sz w:val="22"/>
          <w:szCs w:val="22"/>
        </w:rPr>
        <w:t>95.74 g</w:t>
      </w:r>
      <w:r>
        <w:rPr>
          <w:sz w:val="22"/>
          <w:szCs w:val="22"/>
        </w:rPr>
        <w:t>) was measured in treatment T</w:t>
      </w:r>
      <w:r>
        <w:rPr>
          <w:sz w:val="22"/>
          <w:szCs w:val="22"/>
          <w:vertAlign w:val="subscript"/>
        </w:rPr>
        <w:t xml:space="preserve">3 </w:t>
      </w:r>
      <w:r>
        <w:rPr>
          <w:sz w:val="22"/>
          <w:szCs w:val="22"/>
        </w:rPr>
        <w:t>(</w:t>
      </w:r>
      <w:r>
        <w:rPr>
          <w:rStyle w:val="19"/>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11</w:t>
      </w:r>
      <w:r>
        <w:rPr>
          <w:sz w:val="22"/>
          <w:szCs w:val="22"/>
        </w:rPr>
        <w:t xml:space="preserve"> (RDF + Humic acid 5 ml/L) at 94.13 g and T</w:t>
      </w:r>
      <w:r>
        <w:rPr>
          <w:sz w:val="22"/>
          <w:szCs w:val="22"/>
          <w:vertAlign w:val="subscript"/>
        </w:rPr>
        <w:t>5</w:t>
      </w:r>
      <w:r>
        <w:rPr>
          <w:sz w:val="22"/>
          <w:szCs w:val="22"/>
        </w:rPr>
        <w:t xml:space="preserve"> (RDF + Salicylic acid 2 g/L) at 92.96 g</w:t>
      </w:r>
      <w:r>
        <w:rPr>
          <w:bCs/>
          <w:sz w:val="22"/>
          <w:szCs w:val="22"/>
        </w:rPr>
        <w:t>,</w:t>
      </w:r>
      <w:r>
        <w:rPr>
          <w:b/>
          <w:sz w:val="22"/>
          <w:szCs w:val="22"/>
        </w:rPr>
        <w:t xml:space="preserve"> </w:t>
      </w:r>
      <w:r>
        <w:rPr>
          <w:sz w:val="22"/>
          <w:szCs w:val="22"/>
        </w:rPr>
        <w:t>whereas the minimum average fruit weight (83.15 g) was observed in treatment T</w:t>
      </w:r>
      <w:r>
        <w:rPr>
          <w:sz w:val="22"/>
          <w:szCs w:val="22"/>
          <w:vertAlign w:val="subscript"/>
        </w:rPr>
        <w:t>2</w:t>
      </w:r>
      <w:r>
        <w:rPr>
          <w:sz w:val="22"/>
          <w:szCs w:val="22"/>
        </w:rPr>
        <w:t xml:space="preserve"> (</w:t>
      </w:r>
      <w:r>
        <w:rPr>
          <w:rStyle w:val="19"/>
          <w:b w:val="0"/>
          <w:sz w:val="22"/>
          <w:szCs w:val="22"/>
        </w:rPr>
        <w:t xml:space="preserve">87.5% RDF). </w:t>
      </w:r>
    </w:p>
    <w:p w14:paraId="27E444E0">
      <w:pPr>
        <w:pStyle w:val="18"/>
        <w:spacing w:before="0" w:beforeAutospacing="0" w:after="0" w:afterAutospacing="0" w:line="360" w:lineRule="auto"/>
        <w:ind w:firstLine="720"/>
        <w:jc w:val="both"/>
        <w:rPr>
          <w:sz w:val="22"/>
          <w:szCs w:val="22"/>
        </w:rPr>
      </w:pPr>
      <w:r>
        <w:rPr>
          <w:sz w:val="22"/>
          <w:szCs w:val="22"/>
        </w:rPr>
        <w:t>Liquid seaweed fertilizer significantly improves capsicum fruit characteristics such as length, weight, girth, and flesh thickness by optimizing plant water status, boosting photosynthesis, and enhancing sink strength. Its potassium content and biostimulatory effects work synergistically to channel more nutrients and assimilates to the fruits, leading to superior growth and yield. Regular and timely application during key growth stages maximizes these benefits. These results are in conformity with the findings of Sridhar and Rengasamy (2012); Ozbay and Demirkiran (2019); Vijayakumar</w:t>
      </w:r>
      <w:r>
        <w:rPr>
          <w:i/>
          <w:iCs/>
          <w:sz w:val="22"/>
          <w:szCs w:val="22"/>
        </w:rPr>
        <w:t xml:space="preserve"> et al. </w:t>
      </w:r>
      <w:r>
        <w:rPr>
          <w:iCs/>
          <w:sz w:val="22"/>
          <w:szCs w:val="22"/>
        </w:rPr>
        <w:t>(2019);</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Azzam</w:t>
      </w:r>
      <w:r>
        <w:rPr>
          <w:i/>
          <w:iCs/>
          <w:sz w:val="22"/>
          <w:szCs w:val="22"/>
        </w:rPr>
        <w:t xml:space="preserve"> et al. </w:t>
      </w:r>
      <w:r>
        <w:rPr>
          <w:iCs/>
          <w:sz w:val="22"/>
          <w:szCs w:val="22"/>
        </w:rPr>
        <w:t>(2022)</w:t>
      </w:r>
      <w:r>
        <w:rPr>
          <w:sz w:val="22"/>
          <w:szCs w:val="22"/>
        </w:rPr>
        <w:t xml:space="preserve"> in capsicum.</w:t>
      </w:r>
    </w:p>
    <w:p w14:paraId="7B331638">
      <w:pPr>
        <w:pStyle w:val="18"/>
        <w:spacing w:before="0" w:beforeAutospacing="0" w:after="0" w:afterAutospacing="0" w:line="360" w:lineRule="auto"/>
        <w:ind w:firstLine="720"/>
        <w:jc w:val="both"/>
        <w:rPr>
          <w:bCs/>
          <w:sz w:val="22"/>
          <w:szCs w:val="22"/>
        </w:rPr>
      </w:pPr>
      <w:r>
        <w:rPr>
          <w:bCs/>
          <w:sz w:val="22"/>
          <w:szCs w:val="22"/>
        </w:rPr>
        <w:t xml:space="preserve">Turkmen </w:t>
      </w:r>
      <w:r>
        <w:rPr>
          <w:bCs/>
          <w:i/>
          <w:sz w:val="22"/>
          <w:szCs w:val="22"/>
        </w:rPr>
        <w:t>et al.</w:t>
      </w:r>
      <w:r>
        <w:rPr>
          <w:bCs/>
          <w:sz w:val="22"/>
          <w:szCs w:val="22"/>
        </w:rPr>
        <w:t xml:space="preserve"> (2004) suggested that the plant cell metabolism was increased with the application of humic acid and as a result the yield of the plant increased. Kasperbauer (1987) concluded that humic acid can enhanced plant growth, plant canopy due to which plant can intercept light in a good way and as a result fruit weight of plant increased and thus increased yield of the plant. In another experiment Albayrak and Camas (2005) reported that the application of humic acid significantly affect the reproductive growth and yield of the plant. The same results were observed by Karakurat </w:t>
      </w:r>
      <w:r>
        <w:rPr>
          <w:bCs/>
          <w:i/>
          <w:sz w:val="22"/>
          <w:szCs w:val="22"/>
        </w:rPr>
        <w:t>et al.</w:t>
      </w:r>
      <w:r>
        <w:rPr>
          <w:bCs/>
          <w:sz w:val="22"/>
          <w:szCs w:val="22"/>
        </w:rPr>
        <w:t xml:space="preserve"> (2009) and Jan </w:t>
      </w:r>
      <w:r>
        <w:rPr>
          <w:bCs/>
          <w:i/>
          <w:sz w:val="22"/>
          <w:szCs w:val="22"/>
        </w:rPr>
        <w:t>et al.</w:t>
      </w:r>
      <w:r>
        <w:rPr>
          <w:bCs/>
          <w:sz w:val="22"/>
          <w:szCs w:val="22"/>
        </w:rPr>
        <w:t xml:space="preserve"> (2020).</w:t>
      </w:r>
    </w:p>
    <w:p w14:paraId="71E8622B">
      <w:pPr>
        <w:pStyle w:val="18"/>
        <w:spacing w:before="0" w:beforeAutospacing="0" w:after="0" w:afterAutospacing="0" w:line="360" w:lineRule="auto"/>
        <w:ind w:firstLine="720"/>
        <w:jc w:val="both"/>
        <w:rPr>
          <w:b/>
          <w:bCs/>
          <w:color w:val="000000"/>
          <w:sz w:val="22"/>
          <w:szCs w:val="22"/>
        </w:rPr>
      </w:pPr>
      <w:r>
        <w:rPr>
          <w:bCs/>
          <w:sz w:val="22"/>
          <w:szCs w:val="22"/>
        </w:rPr>
        <w:t xml:space="preserve">The application of salicylic acid in capsicum cultivation enhances physiological processes, nutrient uptake, stress tolerance, and sugar translocation, all of which collectively increase the average fruit weight. Similar result was observed by </w:t>
      </w:r>
      <w:r>
        <w:rPr>
          <w:sz w:val="22"/>
          <w:szCs w:val="22"/>
        </w:rPr>
        <w:t>Hanieh</w:t>
      </w:r>
      <w:r>
        <w:rPr>
          <w:bCs/>
          <w:sz w:val="22"/>
          <w:szCs w:val="22"/>
        </w:rPr>
        <w:t xml:space="preserve"> </w:t>
      </w:r>
      <w:r>
        <w:rPr>
          <w:bCs/>
          <w:i/>
          <w:sz w:val="22"/>
          <w:szCs w:val="22"/>
        </w:rPr>
        <w:t>et al.</w:t>
      </w:r>
      <w:r>
        <w:rPr>
          <w:bCs/>
          <w:sz w:val="22"/>
          <w:szCs w:val="22"/>
        </w:rPr>
        <w:t xml:space="preserve"> (2013) and Munshi </w:t>
      </w:r>
      <w:r>
        <w:rPr>
          <w:bCs/>
          <w:i/>
          <w:sz w:val="22"/>
          <w:szCs w:val="22"/>
        </w:rPr>
        <w:t>et al</w:t>
      </w:r>
      <w:r>
        <w:rPr>
          <w:bCs/>
          <w:sz w:val="22"/>
          <w:szCs w:val="22"/>
        </w:rPr>
        <w:t xml:space="preserve"> (2020).</w:t>
      </w:r>
    </w:p>
    <w:p w14:paraId="7B0B0753">
      <w:pPr>
        <w:pStyle w:val="18"/>
        <w:spacing w:before="0" w:beforeAutospacing="0" w:after="0" w:afterAutospacing="0" w:line="360" w:lineRule="auto"/>
        <w:ind w:firstLine="720"/>
        <w:jc w:val="both"/>
        <w:rPr>
          <w:bCs/>
          <w:sz w:val="22"/>
          <w:szCs w:val="22"/>
        </w:rPr>
      </w:pPr>
    </w:p>
    <w:p w14:paraId="7124F728">
      <w:pPr>
        <w:pStyle w:val="18"/>
        <w:spacing w:before="0" w:beforeAutospacing="0" w:after="0" w:afterAutospacing="0" w:line="360" w:lineRule="auto"/>
        <w:ind w:firstLine="720"/>
        <w:jc w:val="both"/>
        <w:rPr>
          <w:sz w:val="22"/>
          <w:szCs w:val="22"/>
        </w:rPr>
      </w:pPr>
    </w:p>
    <w:p w14:paraId="322AAB0C">
      <w:pPr>
        <w:pStyle w:val="18"/>
        <w:spacing w:before="0" w:beforeAutospacing="0" w:after="0" w:afterAutospacing="0" w:line="360" w:lineRule="auto"/>
        <w:ind w:firstLine="720"/>
        <w:jc w:val="both"/>
        <w:rPr>
          <w:sz w:val="22"/>
          <w:szCs w:val="22"/>
        </w:rPr>
      </w:pPr>
    </w:p>
    <w:p w14:paraId="29F0CC65">
      <w:pPr>
        <w:spacing w:line="360" w:lineRule="auto"/>
        <w:ind w:left="993" w:hanging="993"/>
        <w:jc w:val="both"/>
        <w:rPr>
          <w:b/>
        </w:rPr>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pPr>
    </w:p>
    <w:p w14:paraId="15DDFAC9">
      <w:pPr>
        <w:spacing w:line="360" w:lineRule="auto"/>
        <w:ind w:left="993" w:hanging="993"/>
        <w:jc w:val="both"/>
        <w:rPr>
          <w:b/>
          <w:bCs/>
          <w:color w:val="000000"/>
          <w:lang w:eastAsia="en-IN"/>
        </w:rPr>
      </w:pPr>
      <w:r>
        <w:rPr>
          <w:b/>
        </w:rPr>
        <w:t xml:space="preserve">Table 1: Effect of fertilizer levels along with foliar application of biostimulants on </w:t>
      </w:r>
      <w:r>
        <w:rPr>
          <w:b/>
          <w:bCs/>
          <w:color w:val="000000"/>
          <w:lang w:eastAsia="en-IN"/>
        </w:rPr>
        <w:t xml:space="preserve">days taken to first flowering, days taken to first fruit maturity and no. of fruit per plant </w:t>
      </w:r>
      <w:r>
        <w:rPr>
          <w:b/>
        </w:rPr>
        <w:t xml:space="preserve">of capsicum </w:t>
      </w:r>
      <w:r>
        <w:rPr>
          <w:b/>
          <w:i/>
        </w:rPr>
        <w:t>cv.</w:t>
      </w:r>
      <w:r>
        <w:rPr>
          <w:b/>
        </w:rPr>
        <w:t xml:space="preserve"> PSM-1 under polyhouse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6"/>
        <w:gridCol w:w="1107"/>
        <w:gridCol w:w="933"/>
        <w:gridCol w:w="1107"/>
        <w:gridCol w:w="1019"/>
        <w:gridCol w:w="1019"/>
        <w:gridCol w:w="1109"/>
        <w:gridCol w:w="1023"/>
        <w:gridCol w:w="935"/>
        <w:gridCol w:w="1017"/>
      </w:tblGrid>
      <w:tr w14:paraId="23D9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vMerge w:val="restart"/>
            <w:shd w:val="clear" w:color="auto" w:fill="auto"/>
            <w:vAlign w:val="center"/>
          </w:tcPr>
          <w:p w14:paraId="7FEABE6B">
            <w:pPr>
              <w:spacing w:line="360" w:lineRule="auto"/>
              <w:jc w:val="center"/>
              <w:rPr>
                <w:b/>
                <w:bCs/>
                <w:color w:val="000000"/>
                <w:lang w:eastAsia="en-IN"/>
              </w:rPr>
            </w:pPr>
            <w:r>
              <w:rPr>
                <w:b/>
                <w:bCs/>
                <w:color w:val="000000"/>
                <w:lang w:eastAsia="en-IN"/>
              </w:rPr>
              <w:t>Treatments</w:t>
            </w:r>
          </w:p>
        </w:tc>
        <w:tc>
          <w:tcPr>
            <w:tcW w:w="1194" w:type="pct"/>
            <w:gridSpan w:val="3"/>
            <w:shd w:val="clear" w:color="auto" w:fill="auto"/>
            <w:noWrap/>
            <w:vAlign w:val="center"/>
          </w:tcPr>
          <w:p w14:paraId="6B98010F">
            <w:pPr>
              <w:spacing w:line="360" w:lineRule="auto"/>
              <w:jc w:val="center"/>
              <w:rPr>
                <w:b/>
                <w:bCs/>
                <w:color w:val="000000"/>
                <w:lang w:eastAsia="en-IN"/>
              </w:rPr>
            </w:pPr>
            <w:r>
              <w:rPr>
                <w:b/>
                <w:bCs/>
                <w:color w:val="000000"/>
                <w:lang w:eastAsia="en-IN"/>
              </w:rPr>
              <w:t>Days taken to first flowering</w:t>
            </w:r>
          </w:p>
        </w:tc>
        <w:tc>
          <w:tcPr>
            <w:tcW w:w="1195" w:type="pct"/>
            <w:gridSpan w:val="3"/>
            <w:shd w:val="clear" w:color="auto" w:fill="auto"/>
            <w:noWrap/>
            <w:vAlign w:val="center"/>
          </w:tcPr>
          <w:p w14:paraId="416D95C2">
            <w:pPr>
              <w:spacing w:line="360" w:lineRule="auto"/>
              <w:jc w:val="center"/>
              <w:rPr>
                <w:b/>
                <w:bCs/>
                <w:color w:val="000000"/>
                <w:lang w:eastAsia="en-IN"/>
              </w:rPr>
            </w:pPr>
            <w:r>
              <w:rPr>
                <w:b/>
                <w:bCs/>
                <w:color w:val="000000"/>
                <w:lang w:eastAsia="en-IN"/>
              </w:rPr>
              <w:t>Days taken to first fruit maturity</w:t>
            </w:r>
          </w:p>
        </w:tc>
        <w:tc>
          <w:tcPr>
            <w:tcW w:w="1129" w:type="pct"/>
            <w:gridSpan w:val="3"/>
            <w:vAlign w:val="center"/>
          </w:tcPr>
          <w:p w14:paraId="24171051">
            <w:pPr>
              <w:spacing w:line="360" w:lineRule="auto"/>
              <w:jc w:val="center"/>
              <w:rPr>
                <w:b/>
                <w:bCs/>
                <w:color w:val="000000"/>
                <w:lang w:eastAsia="en-IN"/>
              </w:rPr>
            </w:pPr>
            <w:r>
              <w:rPr>
                <w:b/>
                <w:bCs/>
                <w:color w:val="000000"/>
                <w:lang w:eastAsia="en-IN"/>
              </w:rPr>
              <w:t>No. of fruit per plant</w:t>
            </w:r>
          </w:p>
        </w:tc>
      </w:tr>
      <w:tr w14:paraId="1CE0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vMerge w:val="continue"/>
            <w:shd w:val="clear" w:color="auto" w:fill="auto"/>
            <w:vAlign w:val="center"/>
          </w:tcPr>
          <w:p w14:paraId="70325A18">
            <w:pPr>
              <w:spacing w:line="360" w:lineRule="auto"/>
              <w:jc w:val="center"/>
              <w:rPr>
                <w:b/>
                <w:bCs/>
                <w:color w:val="000000"/>
                <w:lang w:eastAsia="en-IN"/>
              </w:rPr>
            </w:pPr>
          </w:p>
        </w:tc>
        <w:tc>
          <w:tcPr>
            <w:tcW w:w="420" w:type="pct"/>
            <w:shd w:val="clear" w:color="auto" w:fill="auto"/>
            <w:noWrap/>
            <w:vAlign w:val="center"/>
          </w:tcPr>
          <w:p w14:paraId="56B74E4B">
            <w:pPr>
              <w:spacing w:line="360" w:lineRule="auto"/>
              <w:jc w:val="center"/>
              <w:rPr>
                <w:b/>
                <w:bCs/>
                <w:color w:val="000000"/>
                <w:lang w:eastAsia="en-IN"/>
              </w:rPr>
            </w:pPr>
            <w:r>
              <w:rPr>
                <w:b/>
                <w:bCs/>
                <w:color w:val="000000"/>
                <w:lang w:eastAsia="en-IN"/>
              </w:rPr>
              <w:t>2022-23</w:t>
            </w:r>
          </w:p>
        </w:tc>
        <w:tc>
          <w:tcPr>
            <w:tcW w:w="354" w:type="pct"/>
            <w:shd w:val="clear" w:color="auto" w:fill="auto"/>
            <w:noWrap/>
            <w:vAlign w:val="center"/>
          </w:tcPr>
          <w:p w14:paraId="51436B96">
            <w:pPr>
              <w:spacing w:line="360" w:lineRule="auto"/>
              <w:jc w:val="center"/>
              <w:rPr>
                <w:b/>
                <w:bCs/>
                <w:color w:val="000000"/>
                <w:lang w:eastAsia="en-IN"/>
              </w:rPr>
            </w:pPr>
            <w:r>
              <w:rPr>
                <w:b/>
                <w:bCs/>
                <w:color w:val="000000"/>
                <w:lang w:eastAsia="en-IN"/>
              </w:rPr>
              <w:t>2023-24</w:t>
            </w:r>
          </w:p>
        </w:tc>
        <w:tc>
          <w:tcPr>
            <w:tcW w:w="420" w:type="pct"/>
            <w:shd w:val="clear" w:color="auto" w:fill="auto"/>
            <w:noWrap/>
            <w:vAlign w:val="center"/>
          </w:tcPr>
          <w:p w14:paraId="22833941">
            <w:pPr>
              <w:spacing w:line="360" w:lineRule="auto"/>
              <w:jc w:val="center"/>
              <w:rPr>
                <w:b/>
                <w:bCs/>
                <w:color w:val="000000"/>
                <w:lang w:eastAsia="en-IN"/>
              </w:rPr>
            </w:pPr>
            <w:r>
              <w:rPr>
                <w:b/>
                <w:bCs/>
                <w:color w:val="000000"/>
                <w:lang w:eastAsia="en-IN"/>
              </w:rPr>
              <w:t>Pooled mean</w:t>
            </w:r>
          </w:p>
        </w:tc>
        <w:tc>
          <w:tcPr>
            <w:tcW w:w="387" w:type="pct"/>
            <w:shd w:val="clear" w:color="auto" w:fill="auto"/>
            <w:noWrap/>
            <w:vAlign w:val="center"/>
          </w:tcPr>
          <w:p w14:paraId="1F382B56">
            <w:pPr>
              <w:spacing w:line="360" w:lineRule="auto"/>
              <w:jc w:val="center"/>
              <w:rPr>
                <w:b/>
                <w:bCs/>
                <w:color w:val="000000"/>
                <w:lang w:eastAsia="en-IN"/>
              </w:rPr>
            </w:pPr>
            <w:r>
              <w:rPr>
                <w:b/>
                <w:bCs/>
                <w:color w:val="000000"/>
                <w:lang w:eastAsia="en-IN"/>
              </w:rPr>
              <w:t>2022-23</w:t>
            </w:r>
          </w:p>
        </w:tc>
        <w:tc>
          <w:tcPr>
            <w:tcW w:w="387" w:type="pct"/>
            <w:shd w:val="clear" w:color="auto" w:fill="auto"/>
            <w:noWrap/>
            <w:vAlign w:val="center"/>
          </w:tcPr>
          <w:p w14:paraId="48E348F9">
            <w:pPr>
              <w:spacing w:line="360" w:lineRule="auto"/>
              <w:jc w:val="center"/>
              <w:rPr>
                <w:b/>
                <w:bCs/>
                <w:color w:val="000000"/>
                <w:lang w:eastAsia="en-IN"/>
              </w:rPr>
            </w:pPr>
            <w:r>
              <w:rPr>
                <w:b/>
                <w:bCs/>
                <w:color w:val="000000"/>
                <w:lang w:eastAsia="en-IN"/>
              </w:rPr>
              <w:t>2023-24</w:t>
            </w:r>
          </w:p>
        </w:tc>
        <w:tc>
          <w:tcPr>
            <w:tcW w:w="421" w:type="pct"/>
            <w:shd w:val="clear" w:color="auto" w:fill="auto"/>
            <w:noWrap/>
            <w:vAlign w:val="center"/>
          </w:tcPr>
          <w:p w14:paraId="52736447">
            <w:pPr>
              <w:spacing w:line="360" w:lineRule="auto"/>
              <w:jc w:val="center"/>
              <w:rPr>
                <w:b/>
                <w:bCs/>
                <w:color w:val="000000"/>
                <w:lang w:eastAsia="en-IN"/>
              </w:rPr>
            </w:pPr>
            <w:r>
              <w:rPr>
                <w:b/>
                <w:bCs/>
                <w:color w:val="000000"/>
                <w:lang w:eastAsia="en-IN"/>
              </w:rPr>
              <w:t>Pooled mean</w:t>
            </w:r>
          </w:p>
        </w:tc>
        <w:tc>
          <w:tcPr>
            <w:tcW w:w="388" w:type="pct"/>
            <w:vAlign w:val="center"/>
          </w:tcPr>
          <w:p w14:paraId="2FDAE03F">
            <w:pPr>
              <w:spacing w:line="360" w:lineRule="auto"/>
              <w:jc w:val="center"/>
              <w:rPr>
                <w:b/>
                <w:bCs/>
                <w:color w:val="000000"/>
                <w:lang w:eastAsia="en-IN"/>
              </w:rPr>
            </w:pPr>
            <w:r>
              <w:rPr>
                <w:b/>
                <w:bCs/>
                <w:color w:val="000000"/>
                <w:lang w:eastAsia="en-IN"/>
              </w:rPr>
              <w:t>2022-23</w:t>
            </w:r>
          </w:p>
        </w:tc>
        <w:tc>
          <w:tcPr>
            <w:tcW w:w="355" w:type="pct"/>
            <w:vAlign w:val="center"/>
          </w:tcPr>
          <w:p w14:paraId="7AD98C4D">
            <w:pPr>
              <w:spacing w:line="360" w:lineRule="auto"/>
              <w:jc w:val="center"/>
              <w:rPr>
                <w:b/>
                <w:bCs/>
                <w:color w:val="000000"/>
                <w:lang w:eastAsia="en-IN"/>
              </w:rPr>
            </w:pPr>
            <w:r>
              <w:rPr>
                <w:b/>
                <w:bCs/>
                <w:color w:val="000000"/>
                <w:lang w:eastAsia="en-IN"/>
              </w:rPr>
              <w:t>2023-24</w:t>
            </w:r>
          </w:p>
        </w:tc>
        <w:tc>
          <w:tcPr>
            <w:tcW w:w="386" w:type="pct"/>
            <w:vAlign w:val="center"/>
          </w:tcPr>
          <w:p w14:paraId="06E867C1">
            <w:pPr>
              <w:spacing w:line="360" w:lineRule="auto"/>
              <w:jc w:val="center"/>
              <w:rPr>
                <w:b/>
                <w:bCs/>
                <w:color w:val="000000"/>
                <w:lang w:eastAsia="en-IN"/>
              </w:rPr>
            </w:pPr>
            <w:r>
              <w:rPr>
                <w:b/>
                <w:bCs/>
                <w:color w:val="000000"/>
                <w:lang w:eastAsia="en-IN"/>
              </w:rPr>
              <w:t>Pooled mean</w:t>
            </w:r>
          </w:p>
        </w:tc>
      </w:tr>
      <w:tr w14:paraId="6DEC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7E15AEE8">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420" w:type="pct"/>
            <w:shd w:val="clear" w:color="auto" w:fill="auto"/>
            <w:vAlign w:val="center"/>
          </w:tcPr>
          <w:p w14:paraId="20E3F6BD">
            <w:pPr>
              <w:spacing w:line="360" w:lineRule="auto"/>
              <w:jc w:val="center"/>
              <w:rPr>
                <w:color w:val="000000"/>
                <w:lang w:eastAsia="en-IN"/>
              </w:rPr>
            </w:pPr>
            <w:r>
              <w:rPr>
                <w:color w:val="000000"/>
                <w:lang w:eastAsia="en-IN"/>
              </w:rPr>
              <w:t>48.50</w:t>
            </w:r>
          </w:p>
        </w:tc>
        <w:tc>
          <w:tcPr>
            <w:tcW w:w="354" w:type="pct"/>
            <w:shd w:val="clear" w:color="auto" w:fill="auto"/>
            <w:vAlign w:val="center"/>
          </w:tcPr>
          <w:p w14:paraId="647D7F42">
            <w:pPr>
              <w:spacing w:line="360" w:lineRule="auto"/>
              <w:jc w:val="center"/>
              <w:rPr>
                <w:color w:val="000000"/>
                <w:lang w:eastAsia="en-IN"/>
              </w:rPr>
            </w:pPr>
            <w:r>
              <w:rPr>
                <w:color w:val="000000"/>
                <w:lang w:eastAsia="en-IN"/>
              </w:rPr>
              <w:t>47.00</w:t>
            </w:r>
          </w:p>
        </w:tc>
        <w:tc>
          <w:tcPr>
            <w:tcW w:w="420" w:type="pct"/>
            <w:shd w:val="clear" w:color="auto" w:fill="auto"/>
            <w:vAlign w:val="center"/>
          </w:tcPr>
          <w:p w14:paraId="3D87F592">
            <w:pPr>
              <w:spacing w:line="360" w:lineRule="auto"/>
              <w:jc w:val="center"/>
              <w:rPr>
                <w:color w:val="000000"/>
                <w:lang w:eastAsia="en-IN"/>
              </w:rPr>
            </w:pPr>
            <w:r>
              <w:rPr>
                <w:color w:val="000000"/>
                <w:lang w:eastAsia="en-IN"/>
              </w:rPr>
              <w:t>47.75</w:t>
            </w:r>
          </w:p>
        </w:tc>
        <w:tc>
          <w:tcPr>
            <w:tcW w:w="387" w:type="pct"/>
            <w:shd w:val="clear" w:color="auto" w:fill="auto"/>
            <w:vAlign w:val="center"/>
          </w:tcPr>
          <w:p w14:paraId="23E4BFC7">
            <w:pPr>
              <w:spacing w:line="360" w:lineRule="auto"/>
              <w:jc w:val="center"/>
              <w:rPr>
                <w:color w:val="000000"/>
                <w:lang w:eastAsia="en-IN"/>
              </w:rPr>
            </w:pPr>
            <w:r>
              <w:rPr>
                <w:color w:val="000000"/>
                <w:lang w:eastAsia="en-IN"/>
              </w:rPr>
              <w:t>113.50</w:t>
            </w:r>
          </w:p>
        </w:tc>
        <w:tc>
          <w:tcPr>
            <w:tcW w:w="387" w:type="pct"/>
            <w:shd w:val="clear" w:color="auto" w:fill="auto"/>
            <w:vAlign w:val="center"/>
          </w:tcPr>
          <w:p w14:paraId="199DF1B0">
            <w:pPr>
              <w:spacing w:line="360" w:lineRule="auto"/>
              <w:jc w:val="center"/>
              <w:rPr>
                <w:color w:val="000000"/>
                <w:lang w:eastAsia="en-IN"/>
              </w:rPr>
            </w:pPr>
            <w:r>
              <w:rPr>
                <w:color w:val="000000"/>
                <w:lang w:eastAsia="en-IN"/>
              </w:rPr>
              <w:t>108.00</w:t>
            </w:r>
          </w:p>
        </w:tc>
        <w:tc>
          <w:tcPr>
            <w:tcW w:w="421" w:type="pct"/>
            <w:shd w:val="clear" w:color="auto" w:fill="auto"/>
            <w:vAlign w:val="center"/>
          </w:tcPr>
          <w:p w14:paraId="5B4DAFD9">
            <w:pPr>
              <w:spacing w:line="360" w:lineRule="auto"/>
              <w:jc w:val="center"/>
              <w:rPr>
                <w:color w:val="000000"/>
                <w:lang w:eastAsia="en-IN"/>
              </w:rPr>
            </w:pPr>
            <w:r>
              <w:rPr>
                <w:color w:val="000000"/>
                <w:lang w:eastAsia="en-IN"/>
              </w:rPr>
              <w:t>110.75</w:t>
            </w:r>
          </w:p>
        </w:tc>
        <w:tc>
          <w:tcPr>
            <w:tcW w:w="388" w:type="pct"/>
            <w:vAlign w:val="center"/>
          </w:tcPr>
          <w:p w14:paraId="4E5FF98A">
            <w:pPr>
              <w:pStyle w:val="18"/>
              <w:spacing w:before="0" w:beforeAutospacing="0" w:after="0" w:afterAutospacing="0" w:line="360" w:lineRule="auto"/>
              <w:jc w:val="center"/>
              <w:textAlignment w:val="center"/>
              <w:rPr>
                <w:sz w:val="22"/>
                <w:szCs w:val="22"/>
              </w:rPr>
            </w:pPr>
            <w:r>
              <w:rPr>
                <w:color w:val="000000"/>
                <w:kern w:val="24"/>
                <w:sz w:val="22"/>
                <w:szCs w:val="22"/>
                <w:lang w:val="en-US"/>
              </w:rPr>
              <w:t>16.90</w:t>
            </w:r>
          </w:p>
        </w:tc>
        <w:tc>
          <w:tcPr>
            <w:tcW w:w="355" w:type="pct"/>
            <w:vAlign w:val="center"/>
          </w:tcPr>
          <w:p w14:paraId="52F4F793">
            <w:pPr>
              <w:pStyle w:val="18"/>
              <w:spacing w:before="0" w:beforeAutospacing="0" w:after="0" w:afterAutospacing="0" w:line="360" w:lineRule="auto"/>
              <w:jc w:val="center"/>
              <w:textAlignment w:val="center"/>
              <w:rPr>
                <w:sz w:val="22"/>
                <w:szCs w:val="22"/>
              </w:rPr>
            </w:pPr>
            <w:r>
              <w:rPr>
                <w:color w:val="000000"/>
                <w:kern w:val="24"/>
                <w:sz w:val="22"/>
                <w:szCs w:val="22"/>
                <w:lang w:val="en-US"/>
              </w:rPr>
              <w:t>18.60</w:t>
            </w:r>
          </w:p>
        </w:tc>
        <w:tc>
          <w:tcPr>
            <w:tcW w:w="386" w:type="pct"/>
            <w:vAlign w:val="center"/>
          </w:tcPr>
          <w:p w14:paraId="1ACAB771">
            <w:pPr>
              <w:pStyle w:val="18"/>
              <w:spacing w:before="0" w:beforeAutospacing="0" w:after="0" w:afterAutospacing="0" w:line="360" w:lineRule="auto"/>
              <w:jc w:val="center"/>
              <w:textAlignment w:val="bottom"/>
              <w:rPr>
                <w:sz w:val="22"/>
                <w:szCs w:val="22"/>
              </w:rPr>
            </w:pPr>
            <w:r>
              <w:rPr>
                <w:color w:val="000000"/>
                <w:kern w:val="24"/>
                <w:sz w:val="22"/>
                <w:szCs w:val="22"/>
                <w:lang w:val="en-US"/>
              </w:rPr>
              <w:t>17.75</w:t>
            </w:r>
          </w:p>
        </w:tc>
      </w:tr>
      <w:tr w14:paraId="3F74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1A5D25DE">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420" w:type="pct"/>
            <w:shd w:val="clear" w:color="auto" w:fill="auto"/>
            <w:vAlign w:val="center"/>
          </w:tcPr>
          <w:p w14:paraId="0282726B">
            <w:pPr>
              <w:spacing w:line="360" w:lineRule="auto"/>
              <w:jc w:val="center"/>
              <w:rPr>
                <w:color w:val="000000"/>
                <w:lang w:eastAsia="en-IN"/>
              </w:rPr>
            </w:pPr>
            <w:r>
              <w:rPr>
                <w:color w:val="000000"/>
                <w:lang w:eastAsia="en-IN"/>
              </w:rPr>
              <w:t>47.75</w:t>
            </w:r>
          </w:p>
        </w:tc>
        <w:tc>
          <w:tcPr>
            <w:tcW w:w="354" w:type="pct"/>
            <w:shd w:val="clear" w:color="auto" w:fill="auto"/>
            <w:vAlign w:val="center"/>
          </w:tcPr>
          <w:p w14:paraId="616C3242">
            <w:pPr>
              <w:spacing w:line="360" w:lineRule="auto"/>
              <w:jc w:val="center"/>
              <w:rPr>
                <w:color w:val="000000"/>
                <w:lang w:eastAsia="en-IN"/>
              </w:rPr>
            </w:pPr>
            <w:r>
              <w:rPr>
                <w:color w:val="000000"/>
                <w:lang w:eastAsia="en-IN"/>
              </w:rPr>
              <w:t>45.75</w:t>
            </w:r>
          </w:p>
        </w:tc>
        <w:tc>
          <w:tcPr>
            <w:tcW w:w="420" w:type="pct"/>
            <w:shd w:val="clear" w:color="auto" w:fill="auto"/>
            <w:vAlign w:val="center"/>
          </w:tcPr>
          <w:p w14:paraId="0ED10172">
            <w:pPr>
              <w:spacing w:line="360" w:lineRule="auto"/>
              <w:jc w:val="center"/>
              <w:rPr>
                <w:color w:val="000000"/>
                <w:lang w:eastAsia="en-IN"/>
              </w:rPr>
            </w:pPr>
            <w:r>
              <w:rPr>
                <w:color w:val="000000"/>
                <w:lang w:eastAsia="en-IN"/>
              </w:rPr>
              <w:t>46.75</w:t>
            </w:r>
          </w:p>
        </w:tc>
        <w:tc>
          <w:tcPr>
            <w:tcW w:w="387" w:type="pct"/>
            <w:shd w:val="clear" w:color="auto" w:fill="auto"/>
            <w:vAlign w:val="center"/>
          </w:tcPr>
          <w:p w14:paraId="03313960">
            <w:pPr>
              <w:spacing w:line="360" w:lineRule="auto"/>
              <w:jc w:val="center"/>
              <w:rPr>
                <w:color w:val="000000"/>
                <w:lang w:eastAsia="en-IN"/>
              </w:rPr>
            </w:pPr>
            <w:r>
              <w:rPr>
                <w:color w:val="000000"/>
                <w:lang w:eastAsia="en-IN"/>
              </w:rPr>
              <w:t>113.00</w:t>
            </w:r>
          </w:p>
        </w:tc>
        <w:tc>
          <w:tcPr>
            <w:tcW w:w="387" w:type="pct"/>
            <w:shd w:val="clear" w:color="auto" w:fill="auto"/>
            <w:vAlign w:val="center"/>
          </w:tcPr>
          <w:p w14:paraId="1272CBE1">
            <w:pPr>
              <w:spacing w:line="360" w:lineRule="auto"/>
              <w:jc w:val="center"/>
              <w:rPr>
                <w:color w:val="000000"/>
                <w:lang w:eastAsia="en-IN"/>
              </w:rPr>
            </w:pPr>
            <w:r>
              <w:rPr>
                <w:color w:val="000000"/>
                <w:lang w:eastAsia="en-IN"/>
              </w:rPr>
              <w:t>107.50</w:t>
            </w:r>
          </w:p>
        </w:tc>
        <w:tc>
          <w:tcPr>
            <w:tcW w:w="421" w:type="pct"/>
            <w:shd w:val="clear" w:color="auto" w:fill="auto"/>
            <w:vAlign w:val="center"/>
          </w:tcPr>
          <w:p w14:paraId="59042C77">
            <w:pPr>
              <w:spacing w:line="360" w:lineRule="auto"/>
              <w:jc w:val="center"/>
              <w:rPr>
                <w:color w:val="000000"/>
                <w:lang w:eastAsia="en-IN"/>
              </w:rPr>
            </w:pPr>
            <w:r>
              <w:rPr>
                <w:color w:val="000000"/>
                <w:lang w:eastAsia="en-IN"/>
              </w:rPr>
              <w:t>110.25</w:t>
            </w:r>
          </w:p>
        </w:tc>
        <w:tc>
          <w:tcPr>
            <w:tcW w:w="388" w:type="pct"/>
            <w:vAlign w:val="center"/>
          </w:tcPr>
          <w:p w14:paraId="102AA4C7">
            <w:pPr>
              <w:pStyle w:val="18"/>
              <w:spacing w:before="0" w:beforeAutospacing="0" w:after="0" w:afterAutospacing="0" w:line="360" w:lineRule="auto"/>
              <w:jc w:val="center"/>
              <w:textAlignment w:val="center"/>
              <w:rPr>
                <w:sz w:val="22"/>
                <w:szCs w:val="22"/>
              </w:rPr>
            </w:pPr>
            <w:r>
              <w:rPr>
                <w:color w:val="000000"/>
                <w:kern w:val="24"/>
                <w:sz w:val="22"/>
                <w:szCs w:val="22"/>
                <w:lang w:val="en-US"/>
              </w:rPr>
              <w:t>15.30</w:t>
            </w:r>
          </w:p>
        </w:tc>
        <w:tc>
          <w:tcPr>
            <w:tcW w:w="355" w:type="pct"/>
            <w:vAlign w:val="center"/>
          </w:tcPr>
          <w:p w14:paraId="4F002E13">
            <w:pPr>
              <w:pStyle w:val="18"/>
              <w:spacing w:before="0" w:beforeAutospacing="0" w:after="0" w:afterAutospacing="0" w:line="360" w:lineRule="auto"/>
              <w:jc w:val="center"/>
              <w:textAlignment w:val="center"/>
              <w:rPr>
                <w:sz w:val="22"/>
                <w:szCs w:val="22"/>
              </w:rPr>
            </w:pPr>
            <w:r>
              <w:rPr>
                <w:color w:val="000000"/>
                <w:kern w:val="24"/>
                <w:sz w:val="22"/>
                <w:szCs w:val="22"/>
                <w:lang w:val="en-US"/>
              </w:rPr>
              <w:t>17.20</w:t>
            </w:r>
          </w:p>
        </w:tc>
        <w:tc>
          <w:tcPr>
            <w:tcW w:w="386" w:type="pct"/>
            <w:vAlign w:val="center"/>
          </w:tcPr>
          <w:p w14:paraId="54F46931">
            <w:pPr>
              <w:pStyle w:val="18"/>
              <w:spacing w:before="0" w:beforeAutospacing="0" w:after="0" w:afterAutospacing="0" w:line="360" w:lineRule="auto"/>
              <w:jc w:val="center"/>
              <w:textAlignment w:val="bottom"/>
              <w:rPr>
                <w:sz w:val="22"/>
                <w:szCs w:val="22"/>
              </w:rPr>
            </w:pPr>
            <w:r>
              <w:rPr>
                <w:color w:val="000000"/>
                <w:kern w:val="24"/>
                <w:sz w:val="22"/>
                <w:szCs w:val="22"/>
                <w:lang w:val="en-US"/>
              </w:rPr>
              <w:t>16.25</w:t>
            </w:r>
          </w:p>
        </w:tc>
      </w:tr>
      <w:tr w14:paraId="748A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6C778B65">
            <w:pPr>
              <w:spacing w:line="360" w:lineRule="auto"/>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420" w:type="pct"/>
            <w:shd w:val="clear" w:color="auto" w:fill="auto"/>
            <w:vAlign w:val="center"/>
          </w:tcPr>
          <w:p w14:paraId="412B9887">
            <w:pPr>
              <w:spacing w:line="360" w:lineRule="auto"/>
              <w:jc w:val="center"/>
              <w:rPr>
                <w:color w:val="000000"/>
                <w:lang w:eastAsia="en-IN"/>
              </w:rPr>
            </w:pPr>
            <w:r>
              <w:rPr>
                <w:color w:val="000000"/>
                <w:lang w:eastAsia="en-IN"/>
              </w:rPr>
              <w:t>42.50</w:t>
            </w:r>
          </w:p>
        </w:tc>
        <w:tc>
          <w:tcPr>
            <w:tcW w:w="354" w:type="pct"/>
            <w:shd w:val="clear" w:color="auto" w:fill="auto"/>
            <w:vAlign w:val="center"/>
          </w:tcPr>
          <w:p w14:paraId="4087502E">
            <w:pPr>
              <w:spacing w:line="360" w:lineRule="auto"/>
              <w:jc w:val="center"/>
              <w:rPr>
                <w:color w:val="000000"/>
                <w:lang w:eastAsia="en-IN"/>
              </w:rPr>
            </w:pPr>
            <w:r>
              <w:rPr>
                <w:color w:val="000000"/>
                <w:lang w:eastAsia="en-IN"/>
              </w:rPr>
              <w:t>41.00</w:t>
            </w:r>
          </w:p>
        </w:tc>
        <w:tc>
          <w:tcPr>
            <w:tcW w:w="420" w:type="pct"/>
            <w:shd w:val="clear" w:color="auto" w:fill="auto"/>
            <w:vAlign w:val="center"/>
          </w:tcPr>
          <w:p w14:paraId="221BC616">
            <w:pPr>
              <w:spacing w:line="360" w:lineRule="auto"/>
              <w:jc w:val="center"/>
              <w:rPr>
                <w:color w:val="000000"/>
                <w:lang w:eastAsia="en-IN"/>
              </w:rPr>
            </w:pPr>
            <w:r>
              <w:rPr>
                <w:color w:val="000000"/>
                <w:lang w:eastAsia="en-IN"/>
              </w:rPr>
              <w:t>41.75</w:t>
            </w:r>
          </w:p>
        </w:tc>
        <w:tc>
          <w:tcPr>
            <w:tcW w:w="387" w:type="pct"/>
            <w:shd w:val="clear" w:color="auto" w:fill="auto"/>
            <w:vAlign w:val="center"/>
          </w:tcPr>
          <w:p w14:paraId="1E8AF783">
            <w:pPr>
              <w:spacing w:line="360" w:lineRule="auto"/>
              <w:jc w:val="center"/>
              <w:rPr>
                <w:color w:val="000000"/>
                <w:lang w:eastAsia="en-IN"/>
              </w:rPr>
            </w:pPr>
            <w:r>
              <w:rPr>
                <w:color w:val="000000"/>
                <w:lang w:eastAsia="en-IN"/>
              </w:rPr>
              <w:t>107.00</w:t>
            </w:r>
          </w:p>
        </w:tc>
        <w:tc>
          <w:tcPr>
            <w:tcW w:w="387" w:type="pct"/>
            <w:shd w:val="clear" w:color="auto" w:fill="auto"/>
            <w:vAlign w:val="center"/>
          </w:tcPr>
          <w:p w14:paraId="544614EF">
            <w:pPr>
              <w:spacing w:line="360" w:lineRule="auto"/>
              <w:jc w:val="center"/>
              <w:rPr>
                <w:color w:val="000000"/>
                <w:lang w:eastAsia="en-IN"/>
              </w:rPr>
            </w:pPr>
            <w:r>
              <w:rPr>
                <w:color w:val="000000"/>
                <w:lang w:eastAsia="en-IN"/>
              </w:rPr>
              <w:t>103.50</w:t>
            </w:r>
          </w:p>
        </w:tc>
        <w:tc>
          <w:tcPr>
            <w:tcW w:w="421" w:type="pct"/>
            <w:shd w:val="clear" w:color="auto" w:fill="auto"/>
            <w:vAlign w:val="center"/>
          </w:tcPr>
          <w:p w14:paraId="1F9E0572">
            <w:pPr>
              <w:spacing w:line="360" w:lineRule="auto"/>
              <w:jc w:val="center"/>
              <w:rPr>
                <w:color w:val="000000"/>
                <w:lang w:eastAsia="en-IN"/>
              </w:rPr>
            </w:pPr>
            <w:r>
              <w:rPr>
                <w:color w:val="000000"/>
                <w:lang w:eastAsia="en-IN"/>
              </w:rPr>
              <w:t>105.25</w:t>
            </w:r>
          </w:p>
        </w:tc>
        <w:tc>
          <w:tcPr>
            <w:tcW w:w="388" w:type="pct"/>
            <w:vAlign w:val="center"/>
          </w:tcPr>
          <w:p w14:paraId="0C439A1E">
            <w:pPr>
              <w:pStyle w:val="18"/>
              <w:spacing w:before="0" w:beforeAutospacing="0" w:after="0" w:afterAutospacing="0" w:line="360" w:lineRule="auto"/>
              <w:jc w:val="center"/>
              <w:textAlignment w:val="center"/>
              <w:rPr>
                <w:sz w:val="22"/>
                <w:szCs w:val="22"/>
              </w:rPr>
            </w:pPr>
            <w:r>
              <w:rPr>
                <w:color w:val="000000"/>
                <w:kern w:val="24"/>
                <w:sz w:val="22"/>
                <w:szCs w:val="22"/>
                <w:lang w:val="en-US"/>
              </w:rPr>
              <w:t>21.50</w:t>
            </w:r>
          </w:p>
        </w:tc>
        <w:tc>
          <w:tcPr>
            <w:tcW w:w="355" w:type="pct"/>
            <w:vAlign w:val="center"/>
          </w:tcPr>
          <w:p w14:paraId="187C311D">
            <w:pPr>
              <w:pStyle w:val="18"/>
              <w:spacing w:before="0" w:beforeAutospacing="0" w:after="0" w:afterAutospacing="0" w:line="360" w:lineRule="auto"/>
              <w:jc w:val="center"/>
              <w:textAlignment w:val="center"/>
              <w:rPr>
                <w:sz w:val="22"/>
                <w:szCs w:val="22"/>
              </w:rPr>
            </w:pPr>
            <w:r>
              <w:rPr>
                <w:color w:val="000000"/>
                <w:kern w:val="24"/>
                <w:sz w:val="22"/>
                <w:szCs w:val="22"/>
                <w:lang w:val="en-US"/>
              </w:rPr>
              <w:t>23.50</w:t>
            </w:r>
          </w:p>
        </w:tc>
        <w:tc>
          <w:tcPr>
            <w:tcW w:w="386" w:type="pct"/>
            <w:vAlign w:val="center"/>
          </w:tcPr>
          <w:p w14:paraId="6F74F28F">
            <w:pPr>
              <w:pStyle w:val="18"/>
              <w:spacing w:before="0" w:beforeAutospacing="0" w:after="0" w:afterAutospacing="0" w:line="360" w:lineRule="auto"/>
              <w:jc w:val="center"/>
              <w:textAlignment w:val="bottom"/>
              <w:rPr>
                <w:sz w:val="22"/>
                <w:szCs w:val="22"/>
              </w:rPr>
            </w:pPr>
            <w:r>
              <w:rPr>
                <w:color w:val="000000"/>
                <w:kern w:val="24"/>
                <w:sz w:val="22"/>
                <w:szCs w:val="22"/>
                <w:lang w:val="en-US"/>
              </w:rPr>
              <w:t>22.50</w:t>
            </w:r>
          </w:p>
        </w:tc>
      </w:tr>
      <w:tr w14:paraId="20F7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78D23404">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420" w:type="pct"/>
            <w:shd w:val="clear" w:color="auto" w:fill="auto"/>
            <w:vAlign w:val="center"/>
          </w:tcPr>
          <w:p w14:paraId="332285C0">
            <w:pPr>
              <w:spacing w:line="360" w:lineRule="auto"/>
              <w:jc w:val="center"/>
              <w:rPr>
                <w:color w:val="000000"/>
                <w:lang w:eastAsia="en-IN"/>
              </w:rPr>
            </w:pPr>
            <w:r>
              <w:rPr>
                <w:color w:val="000000"/>
                <w:lang w:eastAsia="en-IN"/>
              </w:rPr>
              <w:t>44.75</w:t>
            </w:r>
          </w:p>
        </w:tc>
        <w:tc>
          <w:tcPr>
            <w:tcW w:w="354" w:type="pct"/>
            <w:shd w:val="clear" w:color="auto" w:fill="auto"/>
            <w:vAlign w:val="center"/>
          </w:tcPr>
          <w:p w14:paraId="4E71D9CF">
            <w:pPr>
              <w:spacing w:line="360" w:lineRule="auto"/>
              <w:jc w:val="center"/>
              <w:rPr>
                <w:color w:val="000000"/>
                <w:lang w:eastAsia="en-IN"/>
              </w:rPr>
            </w:pPr>
            <w:r>
              <w:rPr>
                <w:color w:val="000000"/>
                <w:lang w:eastAsia="en-IN"/>
              </w:rPr>
              <w:t>43.25</w:t>
            </w:r>
          </w:p>
        </w:tc>
        <w:tc>
          <w:tcPr>
            <w:tcW w:w="420" w:type="pct"/>
            <w:shd w:val="clear" w:color="auto" w:fill="auto"/>
            <w:vAlign w:val="center"/>
          </w:tcPr>
          <w:p w14:paraId="00BDC9D9">
            <w:pPr>
              <w:spacing w:line="360" w:lineRule="auto"/>
              <w:jc w:val="center"/>
              <w:rPr>
                <w:color w:val="000000"/>
                <w:lang w:eastAsia="en-IN"/>
              </w:rPr>
            </w:pPr>
            <w:r>
              <w:rPr>
                <w:color w:val="000000"/>
                <w:lang w:eastAsia="en-IN"/>
              </w:rPr>
              <w:t>44.00</w:t>
            </w:r>
          </w:p>
        </w:tc>
        <w:tc>
          <w:tcPr>
            <w:tcW w:w="387" w:type="pct"/>
            <w:shd w:val="clear" w:color="auto" w:fill="auto"/>
            <w:vAlign w:val="center"/>
          </w:tcPr>
          <w:p w14:paraId="0BF52FAD">
            <w:pPr>
              <w:spacing w:line="360" w:lineRule="auto"/>
              <w:jc w:val="center"/>
              <w:rPr>
                <w:color w:val="000000"/>
                <w:lang w:eastAsia="en-IN"/>
              </w:rPr>
            </w:pPr>
            <w:r>
              <w:rPr>
                <w:color w:val="000000"/>
                <w:lang w:eastAsia="en-IN"/>
              </w:rPr>
              <w:t>110.25</w:t>
            </w:r>
          </w:p>
        </w:tc>
        <w:tc>
          <w:tcPr>
            <w:tcW w:w="387" w:type="pct"/>
            <w:shd w:val="clear" w:color="auto" w:fill="auto"/>
            <w:vAlign w:val="center"/>
          </w:tcPr>
          <w:p w14:paraId="5832A8E9">
            <w:pPr>
              <w:spacing w:line="360" w:lineRule="auto"/>
              <w:jc w:val="center"/>
              <w:rPr>
                <w:color w:val="000000"/>
                <w:lang w:eastAsia="en-IN"/>
              </w:rPr>
            </w:pPr>
            <w:r>
              <w:rPr>
                <w:color w:val="000000"/>
                <w:lang w:eastAsia="en-IN"/>
              </w:rPr>
              <w:t>105.00</w:t>
            </w:r>
          </w:p>
        </w:tc>
        <w:tc>
          <w:tcPr>
            <w:tcW w:w="421" w:type="pct"/>
            <w:shd w:val="clear" w:color="auto" w:fill="auto"/>
            <w:vAlign w:val="center"/>
          </w:tcPr>
          <w:p w14:paraId="2A86C64E">
            <w:pPr>
              <w:spacing w:line="360" w:lineRule="auto"/>
              <w:jc w:val="center"/>
              <w:rPr>
                <w:color w:val="000000"/>
                <w:lang w:eastAsia="en-IN"/>
              </w:rPr>
            </w:pPr>
            <w:r>
              <w:rPr>
                <w:color w:val="000000"/>
                <w:lang w:eastAsia="en-IN"/>
              </w:rPr>
              <w:t>107.63</w:t>
            </w:r>
          </w:p>
        </w:tc>
        <w:tc>
          <w:tcPr>
            <w:tcW w:w="388" w:type="pct"/>
            <w:vAlign w:val="center"/>
          </w:tcPr>
          <w:p w14:paraId="0F725D6E">
            <w:pPr>
              <w:pStyle w:val="18"/>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55" w:type="pct"/>
            <w:vAlign w:val="center"/>
          </w:tcPr>
          <w:p w14:paraId="3176F631">
            <w:pPr>
              <w:pStyle w:val="18"/>
              <w:spacing w:before="0" w:beforeAutospacing="0" w:after="0" w:afterAutospacing="0" w:line="360" w:lineRule="auto"/>
              <w:jc w:val="center"/>
              <w:textAlignment w:val="center"/>
              <w:rPr>
                <w:sz w:val="22"/>
                <w:szCs w:val="22"/>
              </w:rPr>
            </w:pPr>
            <w:r>
              <w:rPr>
                <w:color w:val="000000"/>
                <w:kern w:val="24"/>
                <w:sz w:val="22"/>
                <w:szCs w:val="22"/>
                <w:lang w:val="en-US"/>
              </w:rPr>
              <w:t>20.80</w:t>
            </w:r>
          </w:p>
        </w:tc>
        <w:tc>
          <w:tcPr>
            <w:tcW w:w="386" w:type="pct"/>
            <w:vAlign w:val="center"/>
          </w:tcPr>
          <w:p w14:paraId="3BCF763D">
            <w:pPr>
              <w:pStyle w:val="18"/>
              <w:spacing w:before="0" w:beforeAutospacing="0" w:after="0" w:afterAutospacing="0" w:line="360" w:lineRule="auto"/>
              <w:jc w:val="center"/>
              <w:textAlignment w:val="bottom"/>
              <w:rPr>
                <w:sz w:val="22"/>
                <w:szCs w:val="22"/>
              </w:rPr>
            </w:pPr>
            <w:r>
              <w:rPr>
                <w:color w:val="000000"/>
                <w:kern w:val="24"/>
                <w:sz w:val="22"/>
                <w:szCs w:val="22"/>
                <w:lang w:val="en-US"/>
              </w:rPr>
              <w:t>20.00</w:t>
            </w:r>
          </w:p>
        </w:tc>
      </w:tr>
      <w:tr w14:paraId="5A48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60F62FB4">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420" w:type="pct"/>
            <w:shd w:val="clear" w:color="auto" w:fill="auto"/>
            <w:vAlign w:val="center"/>
          </w:tcPr>
          <w:p w14:paraId="5F90F510">
            <w:pPr>
              <w:spacing w:line="360" w:lineRule="auto"/>
              <w:jc w:val="center"/>
              <w:rPr>
                <w:color w:val="000000"/>
                <w:lang w:eastAsia="en-IN"/>
              </w:rPr>
            </w:pPr>
            <w:r>
              <w:rPr>
                <w:color w:val="000000"/>
                <w:lang w:eastAsia="en-IN"/>
              </w:rPr>
              <w:t>42.75</w:t>
            </w:r>
          </w:p>
        </w:tc>
        <w:tc>
          <w:tcPr>
            <w:tcW w:w="354" w:type="pct"/>
            <w:shd w:val="clear" w:color="auto" w:fill="auto"/>
            <w:vAlign w:val="center"/>
          </w:tcPr>
          <w:p w14:paraId="57165D7F">
            <w:pPr>
              <w:spacing w:line="360" w:lineRule="auto"/>
              <w:jc w:val="center"/>
              <w:rPr>
                <w:color w:val="000000"/>
                <w:lang w:eastAsia="en-IN"/>
              </w:rPr>
            </w:pPr>
            <w:r>
              <w:rPr>
                <w:color w:val="000000"/>
                <w:lang w:eastAsia="en-IN"/>
              </w:rPr>
              <w:t>41.25</w:t>
            </w:r>
          </w:p>
        </w:tc>
        <w:tc>
          <w:tcPr>
            <w:tcW w:w="420" w:type="pct"/>
            <w:shd w:val="clear" w:color="auto" w:fill="auto"/>
            <w:vAlign w:val="center"/>
          </w:tcPr>
          <w:p w14:paraId="100DC68D">
            <w:pPr>
              <w:spacing w:line="360" w:lineRule="auto"/>
              <w:jc w:val="center"/>
              <w:rPr>
                <w:color w:val="000000"/>
                <w:lang w:eastAsia="en-IN"/>
              </w:rPr>
            </w:pPr>
            <w:r>
              <w:rPr>
                <w:color w:val="000000"/>
                <w:lang w:eastAsia="en-IN"/>
              </w:rPr>
              <w:t>42.00</w:t>
            </w:r>
          </w:p>
        </w:tc>
        <w:tc>
          <w:tcPr>
            <w:tcW w:w="387" w:type="pct"/>
            <w:shd w:val="clear" w:color="auto" w:fill="auto"/>
            <w:vAlign w:val="center"/>
          </w:tcPr>
          <w:p w14:paraId="7B86DAE6">
            <w:pPr>
              <w:spacing w:line="360" w:lineRule="auto"/>
              <w:jc w:val="center"/>
              <w:rPr>
                <w:color w:val="000000"/>
                <w:lang w:eastAsia="en-IN"/>
              </w:rPr>
            </w:pPr>
            <w:r>
              <w:rPr>
                <w:color w:val="000000"/>
                <w:lang w:eastAsia="en-IN"/>
              </w:rPr>
              <w:t>108.50</w:t>
            </w:r>
          </w:p>
        </w:tc>
        <w:tc>
          <w:tcPr>
            <w:tcW w:w="387" w:type="pct"/>
            <w:shd w:val="clear" w:color="auto" w:fill="auto"/>
            <w:vAlign w:val="center"/>
          </w:tcPr>
          <w:p w14:paraId="7F8894EC">
            <w:pPr>
              <w:spacing w:line="360" w:lineRule="auto"/>
              <w:jc w:val="center"/>
              <w:rPr>
                <w:color w:val="000000"/>
                <w:lang w:eastAsia="en-IN"/>
              </w:rPr>
            </w:pPr>
            <w:r>
              <w:rPr>
                <w:color w:val="000000"/>
                <w:lang w:eastAsia="en-IN"/>
              </w:rPr>
              <w:t>103.75</w:t>
            </w:r>
          </w:p>
        </w:tc>
        <w:tc>
          <w:tcPr>
            <w:tcW w:w="421" w:type="pct"/>
            <w:shd w:val="clear" w:color="auto" w:fill="auto"/>
            <w:vAlign w:val="center"/>
          </w:tcPr>
          <w:p w14:paraId="35C62D2D">
            <w:pPr>
              <w:spacing w:line="360" w:lineRule="auto"/>
              <w:jc w:val="center"/>
              <w:rPr>
                <w:color w:val="000000"/>
                <w:lang w:eastAsia="en-IN"/>
              </w:rPr>
            </w:pPr>
            <w:r>
              <w:rPr>
                <w:color w:val="000000"/>
                <w:lang w:eastAsia="en-IN"/>
              </w:rPr>
              <w:t>106.13</w:t>
            </w:r>
          </w:p>
        </w:tc>
        <w:tc>
          <w:tcPr>
            <w:tcW w:w="388" w:type="pct"/>
            <w:vAlign w:val="center"/>
          </w:tcPr>
          <w:p w14:paraId="0EBFF28A">
            <w:pPr>
              <w:pStyle w:val="18"/>
              <w:spacing w:before="0" w:beforeAutospacing="0" w:after="0" w:afterAutospacing="0" w:line="360" w:lineRule="auto"/>
              <w:jc w:val="center"/>
              <w:textAlignment w:val="center"/>
              <w:rPr>
                <w:sz w:val="22"/>
                <w:szCs w:val="22"/>
              </w:rPr>
            </w:pPr>
            <w:r>
              <w:rPr>
                <w:color w:val="000000"/>
                <w:kern w:val="24"/>
                <w:sz w:val="22"/>
                <w:szCs w:val="22"/>
                <w:lang w:val="en-US"/>
              </w:rPr>
              <w:t>20.60</w:t>
            </w:r>
          </w:p>
        </w:tc>
        <w:tc>
          <w:tcPr>
            <w:tcW w:w="355" w:type="pct"/>
            <w:vAlign w:val="center"/>
          </w:tcPr>
          <w:p w14:paraId="74C84DC7">
            <w:pPr>
              <w:pStyle w:val="18"/>
              <w:spacing w:before="0" w:beforeAutospacing="0" w:after="0" w:afterAutospacing="0" w:line="360" w:lineRule="auto"/>
              <w:jc w:val="center"/>
              <w:textAlignment w:val="center"/>
              <w:rPr>
                <w:sz w:val="22"/>
                <w:szCs w:val="22"/>
              </w:rPr>
            </w:pPr>
            <w:r>
              <w:rPr>
                <w:color w:val="000000"/>
                <w:kern w:val="24"/>
                <w:sz w:val="22"/>
                <w:szCs w:val="22"/>
                <w:lang w:val="en-US"/>
              </w:rPr>
              <w:t>22.90</w:t>
            </w:r>
          </w:p>
        </w:tc>
        <w:tc>
          <w:tcPr>
            <w:tcW w:w="386" w:type="pct"/>
            <w:vAlign w:val="center"/>
          </w:tcPr>
          <w:p w14:paraId="435CCD98">
            <w:pPr>
              <w:pStyle w:val="18"/>
              <w:spacing w:before="0" w:beforeAutospacing="0" w:after="0" w:afterAutospacing="0" w:line="360" w:lineRule="auto"/>
              <w:jc w:val="center"/>
              <w:textAlignment w:val="bottom"/>
              <w:rPr>
                <w:sz w:val="22"/>
                <w:szCs w:val="22"/>
              </w:rPr>
            </w:pPr>
            <w:r>
              <w:rPr>
                <w:color w:val="000000"/>
                <w:kern w:val="24"/>
                <w:sz w:val="22"/>
                <w:szCs w:val="22"/>
                <w:lang w:val="en-US"/>
              </w:rPr>
              <w:t>21.75</w:t>
            </w:r>
          </w:p>
        </w:tc>
      </w:tr>
      <w:tr w14:paraId="453E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1A648B67">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420" w:type="pct"/>
            <w:shd w:val="clear" w:color="auto" w:fill="auto"/>
            <w:vAlign w:val="center"/>
          </w:tcPr>
          <w:p w14:paraId="1E449CA7">
            <w:pPr>
              <w:spacing w:line="360" w:lineRule="auto"/>
              <w:jc w:val="center"/>
              <w:rPr>
                <w:color w:val="000000"/>
                <w:lang w:eastAsia="en-IN"/>
              </w:rPr>
            </w:pPr>
            <w:r>
              <w:rPr>
                <w:color w:val="000000"/>
                <w:lang w:eastAsia="en-IN"/>
              </w:rPr>
              <w:t>45.00</w:t>
            </w:r>
          </w:p>
        </w:tc>
        <w:tc>
          <w:tcPr>
            <w:tcW w:w="354" w:type="pct"/>
            <w:shd w:val="clear" w:color="auto" w:fill="auto"/>
            <w:vAlign w:val="center"/>
          </w:tcPr>
          <w:p w14:paraId="493A68EA">
            <w:pPr>
              <w:spacing w:line="360" w:lineRule="auto"/>
              <w:jc w:val="center"/>
              <w:rPr>
                <w:color w:val="000000"/>
                <w:lang w:eastAsia="en-IN"/>
              </w:rPr>
            </w:pPr>
            <w:r>
              <w:rPr>
                <w:color w:val="000000"/>
                <w:lang w:eastAsia="en-IN"/>
              </w:rPr>
              <w:t>43.50</w:t>
            </w:r>
          </w:p>
        </w:tc>
        <w:tc>
          <w:tcPr>
            <w:tcW w:w="420" w:type="pct"/>
            <w:shd w:val="clear" w:color="auto" w:fill="auto"/>
            <w:vAlign w:val="center"/>
          </w:tcPr>
          <w:p w14:paraId="60D7C654">
            <w:pPr>
              <w:spacing w:line="360" w:lineRule="auto"/>
              <w:jc w:val="center"/>
              <w:rPr>
                <w:color w:val="000000"/>
                <w:lang w:eastAsia="en-IN"/>
              </w:rPr>
            </w:pPr>
            <w:r>
              <w:rPr>
                <w:color w:val="000000"/>
                <w:lang w:eastAsia="en-IN"/>
              </w:rPr>
              <w:t>44.25</w:t>
            </w:r>
          </w:p>
        </w:tc>
        <w:tc>
          <w:tcPr>
            <w:tcW w:w="387" w:type="pct"/>
            <w:shd w:val="clear" w:color="auto" w:fill="auto"/>
            <w:vAlign w:val="center"/>
          </w:tcPr>
          <w:p w14:paraId="50E05EE1">
            <w:pPr>
              <w:spacing w:line="360" w:lineRule="auto"/>
              <w:jc w:val="center"/>
              <w:rPr>
                <w:color w:val="000000"/>
                <w:lang w:eastAsia="en-IN"/>
              </w:rPr>
            </w:pPr>
            <w:r>
              <w:rPr>
                <w:color w:val="000000"/>
                <w:lang w:eastAsia="en-IN"/>
              </w:rPr>
              <w:t>110.50</w:t>
            </w:r>
          </w:p>
        </w:tc>
        <w:tc>
          <w:tcPr>
            <w:tcW w:w="387" w:type="pct"/>
            <w:shd w:val="clear" w:color="auto" w:fill="auto"/>
            <w:vAlign w:val="center"/>
          </w:tcPr>
          <w:p w14:paraId="4AA4B9D3">
            <w:pPr>
              <w:spacing w:line="360" w:lineRule="auto"/>
              <w:jc w:val="center"/>
              <w:rPr>
                <w:color w:val="000000"/>
                <w:lang w:eastAsia="en-IN"/>
              </w:rPr>
            </w:pPr>
            <w:r>
              <w:rPr>
                <w:color w:val="000000"/>
                <w:lang w:eastAsia="en-IN"/>
              </w:rPr>
              <w:t>105.50</w:t>
            </w:r>
          </w:p>
        </w:tc>
        <w:tc>
          <w:tcPr>
            <w:tcW w:w="421" w:type="pct"/>
            <w:shd w:val="clear" w:color="auto" w:fill="auto"/>
            <w:vAlign w:val="center"/>
          </w:tcPr>
          <w:p w14:paraId="2C79B68F">
            <w:pPr>
              <w:spacing w:line="360" w:lineRule="auto"/>
              <w:jc w:val="center"/>
              <w:rPr>
                <w:color w:val="000000"/>
                <w:lang w:eastAsia="en-IN"/>
              </w:rPr>
            </w:pPr>
            <w:r>
              <w:rPr>
                <w:color w:val="000000"/>
                <w:lang w:eastAsia="en-IN"/>
              </w:rPr>
              <w:t>108.00</w:t>
            </w:r>
          </w:p>
        </w:tc>
        <w:tc>
          <w:tcPr>
            <w:tcW w:w="388" w:type="pct"/>
            <w:vAlign w:val="center"/>
          </w:tcPr>
          <w:p w14:paraId="545D5CCC">
            <w:pPr>
              <w:pStyle w:val="18"/>
              <w:spacing w:before="0" w:beforeAutospacing="0" w:after="0" w:afterAutospacing="0" w:line="360" w:lineRule="auto"/>
              <w:jc w:val="center"/>
              <w:textAlignment w:val="center"/>
              <w:rPr>
                <w:sz w:val="22"/>
                <w:szCs w:val="22"/>
              </w:rPr>
            </w:pPr>
            <w:r>
              <w:rPr>
                <w:color w:val="000000"/>
                <w:kern w:val="24"/>
                <w:sz w:val="22"/>
                <w:szCs w:val="22"/>
                <w:lang w:val="en-US"/>
              </w:rPr>
              <w:t>18.20</w:t>
            </w:r>
          </w:p>
        </w:tc>
        <w:tc>
          <w:tcPr>
            <w:tcW w:w="355" w:type="pct"/>
            <w:vAlign w:val="center"/>
          </w:tcPr>
          <w:p w14:paraId="1CBDD794">
            <w:pPr>
              <w:pStyle w:val="18"/>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86" w:type="pct"/>
            <w:vAlign w:val="center"/>
          </w:tcPr>
          <w:p w14:paraId="3A03F799">
            <w:pPr>
              <w:pStyle w:val="18"/>
              <w:spacing w:before="0" w:beforeAutospacing="0" w:after="0" w:afterAutospacing="0" w:line="360" w:lineRule="auto"/>
              <w:jc w:val="center"/>
              <w:textAlignment w:val="bottom"/>
              <w:rPr>
                <w:sz w:val="22"/>
                <w:szCs w:val="22"/>
              </w:rPr>
            </w:pPr>
            <w:r>
              <w:rPr>
                <w:color w:val="000000"/>
                <w:kern w:val="24"/>
                <w:sz w:val="22"/>
                <w:szCs w:val="22"/>
                <w:lang w:val="en-US"/>
              </w:rPr>
              <w:t>19.25</w:t>
            </w:r>
          </w:p>
        </w:tc>
      </w:tr>
      <w:tr w14:paraId="4DD2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0763BA56">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420" w:type="pct"/>
            <w:shd w:val="clear" w:color="auto" w:fill="auto"/>
            <w:vAlign w:val="center"/>
          </w:tcPr>
          <w:p w14:paraId="17F02C3E">
            <w:pPr>
              <w:spacing w:line="360" w:lineRule="auto"/>
              <w:jc w:val="center"/>
              <w:rPr>
                <w:color w:val="000000"/>
                <w:lang w:eastAsia="en-IN"/>
              </w:rPr>
            </w:pPr>
            <w:r>
              <w:rPr>
                <w:color w:val="000000"/>
                <w:lang w:eastAsia="en-IN"/>
              </w:rPr>
              <w:t>43.00</w:t>
            </w:r>
          </w:p>
        </w:tc>
        <w:tc>
          <w:tcPr>
            <w:tcW w:w="354" w:type="pct"/>
            <w:shd w:val="clear" w:color="auto" w:fill="auto"/>
            <w:vAlign w:val="center"/>
          </w:tcPr>
          <w:p w14:paraId="73DE066F">
            <w:pPr>
              <w:spacing w:line="360" w:lineRule="auto"/>
              <w:jc w:val="center"/>
              <w:rPr>
                <w:color w:val="000000"/>
                <w:lang w:eastAsia="en-IN"/>
              </w:rPr>
            </w:pPr>
            <w:r>
              <w:rPr>
                <w:color w:val="000000"/>
                <w:lang w:eastAsia="en-IN"/>
              </w:rPr>
              <w:t>41.50</w:t>
            </w:r>
          </w:p>
        </w:tc>
        <w:tc>
          <w:tcPr>
            <w:tcW w:w="420" w:type="pct"/>
            <w:shd w:val="clear" w:color="auto" w:fill="auto"/>
            <w:vAlign w:val="center"/>
          </w:tcPr>
          <w:p w14:paraId="27A9CE35">
            <w:pPr>
              <w:spacing w:line="360" w:lineRule="auto"/>
              <w:jc w:val="center"/>
              <w:rPr>
                <w:color w:val="000000"/>
                <w:lang w:eastAsia="en-IN"/>
              </w:rPr>
            </w:pPr>
            <w:r>
              <w:rPr>
                <w:color w:val="000000"/>
                <w:lang w:eastAsia="en-IN"/>
              </w:rPr>
              <w:t>42.25</w:t>
            </w:r>
          </w:p>
        </w:tc>
        <w:tc>
          <w:tcPr>
            <w:tcW w:w="387" w:type="pct"/>
            <w:shd w:val="clear" w:color="auto" w:fill="auto"/>
            <w:vAlign w:val="center"/>
          </w:tcPr>
          <w:p w14:paraId="385880BA">
            <w:pPr>
              <w:spacing w:line="360" w:lineRule="auto"/>
              <w:jc w:val="center"/>
              <w:rPr>
                <w:color w:val="000000"/>
                <w:lang w:eastAsia="en-IN"/>
              </w:rPr>
            </w:pPr>
            <w:r>
              <w:rPr>
                <w:color w:val="000000"/>
                <w:lang w:eastAsia="en-IN"/>
              </w:rPr>
              <w:t>108.75</w:t>
            </w:r>
          </w:p>
        </w:tc>
        <w:tc>
          <w:tcPr>
            <w:tcW w:w="387" w:type="pct"/>
            <w:shd w:val="clear" w:color="auto" w:fill="auto"/>
            <w:vAlign w:val="center"/>
          </w:tcPr>
          <w:p w14:paraId="364F1F43">
            <w:pPr>
              <w:spacing w:line="360" w:lineRule="auto"/>
              <w:jc w:val="center"/>
              <w:rPr>
                <w:color w:val="000000"/>
                <w:lang w:eastAsia="en-IN"/>
              </w:rPr>
            </w:pPr>
            <w:r>
              <w:rPr>
                <w:color w:val="000000"/>
                <w:lang w:eastAsia="en-IN"/>
              </w:rPr>
              <w:t>104.50</w:t>
            </w:r>
          </w:p>
        </w:tc>
        <w:tc>
          <w:tcPr>
            <w:tcW w:w="421" w:type="pct"/>
            <w:shd w:val="clear" w:color="auto" w:fill="auto"/>
            <w:vAlign w:val="center"/>
          </w:tcPr>
          <w:p w14:paraId="146F0FF4">
            <w:pPr>
              <w:spacing w:line="360" w:lineRule="auto"/>
              <w:jc w:val="center"/>
              <w:rPr>
                <w:color w:val="000000"/>
                <w:lang w:eastAsia="en-IN"/>
              </w:rPr>
            </w:pPr>
            <w:r>
              <w:rPr>
                <w:color w:val="000000"/>
                <w:lang w:eastAsia="en-IN"/>
              </w:rPr>
              <w:t>106.63</w:t>
            </w:r>
          </w:p>
        </w:tc>
        <w:tc>
          <w:tcPr>
            <w:tcW w:w="388" w:type="pct"/>
            <w:vAlign w:val="center"/>
          </w:tcPr>
          <w:p w14:paraId="03C3C97A">
            <w:pPr>
              <w:pStyle w:val="18"/>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55" w:type="pct"/>
            <w:vAlign w:val="center"/>
          </w:tcPr>
          <w:p w14:paraId="09150BE4">
            <w:pPr>
              <w:pStyle w:val="18"/>
              <w:spacing w:before="0" w:beforeAutospacing="0" w:after="0" w:afterAutospacing="0" w:line="360" w:lineRule="auto"/>
              <w:jc w:val="center"/>
              <w:textAlignment w:val="center"/>
              <w:rPr>
                <w:sz w:val="22"/>
                <w:szCs w:val="22"/>
              </w:rPr>
            </w:pPr>
            <w:r>
              <w:rPr>
                <w:color w:val="000000"/>
                <w:kern w:val="24"/>
                <w:sz w:val="22"/>
                <w:szCs w:val="22"/>
                <w:lang w:val="en-US"/>
              </w:rPr>
              <w:t>21.70</w:t>
            </w:r>
          </w:p>
        </w:tc>
        <w:tc>
          <w:tcPr>
            <w:tcW w:w="386" w:type="pct"/>
            <w:vAlign w:val="center"/>
          </w:tcPr>
          <w:p w14:paraId="0775D0A5">
            <w:pPr>
              <w:pStyle w:val="18"/>
              <w:spacing w:before="0" w:beforeAutospacing="0" w:after="0" w:afterAutospacing="0" w:line="360" w:lineRule="auto"/>
              <w:jc w:val="center"/>
              <w:textAlignment w:val="bottom"/>
              <w:rPr>
                <w:sz w:val="22"/>
                <w:szCs w:val="22"/>
              </w:rPr>
            </w:pPr>
            <w:r>
              <w:rPr>
                <w:color w:val="000000"/>
                <w:kern w:val="24"/>
                <w:sz w:val="22"/>
                <w:szCs w:val="22"/>
                <w:lang w:val="en-US"/>
              </w:rPr>
              <w:t>21.00</w:t>
            </w:r>
          </w:p>
        </w:tc>
      </w:tr>
      <w:tr w14:paraId="5122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0C77FD99">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420" w:type="pct"/>
            <w:shd w:val="clear" w:color="auto" w:fill="auto"/>
            <w:vAlign w:val="center"/>
          </w:tcPr>
          <w:p w14:paraId="72488BDA">
            <w:pPr>
              <w:spacing w:line="360" w:lineRule="auto"/>
              <w:jc w:val="center"/>
              <w:rPr>
                <w:color w:val="000000"/>
                <w:lang w:eastAsia="en-IN"/>
              </w:rPr>
            </w:pPr>
            <w:r>
              <w:rPr>
                <w:color w:val="000000"/>
                <w:lang w:eastAsia="en-IN"/>
              </w:rPr>
              <w:t>45.75</w:t>
            </w:r>
          </w:p>
        </w:tc>
        <w:tc>
          <w:tcPr>
            <w:tcW w:w="354" w:type="pct"/>
            <w:shd w:val="clear" w:color="auto" w:fill="auto"/>
            <w:vAlign w:val="center"/>
          </w:tcPr>
          <w:p w14:paraId="642A3004">
            <w:pPr>
              <w:spacing w:line="360" w:lineRule="auto"/>
              <w:jc w:val="center"/>
              <w:rPr>
                <w:color w:val="000000"/>
                <w:lang w:eastAsia="en-IN"/>
              </w:rPr>
            </w:pPr>
            <w:r>
              <w:rPr>
                <w:color w:val="000000"/>
                <w:lang w:eastAsia="en-IN"/>
              </w:rPr>
              <w:t>44.25</w:t>
            </w:r>
          </w:p>
        </w:tc>
        <w:tc>
          <w:tcPr>
            <w:tcW w:w="420" w:type="pct"/>
            <w:shd w:val="clear" w:color="auto" w:fill="auto"/>
            <w:vAlign w:val="center"/>
          </w:tcPr>
          <w:p w14:paraId="4180F32D">
            <w:pPr>
              <w:spacing w:line="360" w:lineRule="auto"/>
              <w:jc w:val="center"/>
              <w:rPr>
                <w:color w:val="000000"/>
                <w:lang w:eastAsia="en-IN"/>
              </w:rPr>
            </w:pPr>
            <w:r>
              <w:rPr>
                <w:color w:val="000000"/>
                <w:lang w:eastAsia="en-IN"/>
              </w:rPr>
              <w:t>45.00</w:t>
            </w:r>
          </w:p>
        </w:tc>
        <w:tc>
          <w:tcPr>
            <w:tcW w:w="387" w:type="pct"/>
            <w:shd w:val="clear" w:color="auto" w:fill="auto"/>
            <w:vAlign w:val="center"/>
          </w:tcPr>
          <w:p w14:paraId="0AFDEA81">
            <w:pPr>
              <w:spacing w:line="360" w:lineRule="auto"/>
              <w:jc w:val="center"/>
              <w:rPr>
                <w:color w:val="000000"/>
                <w:lang w:eastAsia="en-IN"/>
              </w:rPr>
            </w:pPr>
            <w:r>
              <w:rPr>
                <w:color w:val="000000"/>
                <w:lang w:eastAsia="en-IN"/>
              </w:rPr>
              <w:t>110.50</w:t>
            </w:r>
          </w:p>
        </w:tc>
        <w:tc>
          <w:tcPr>
            <w:tcW w:w="387" w:type="pct"/>
            <w:shd w:val="clear" w:color="auto" w:fill="auto"/>
            <w:vAlign w:val="center"/>
          </w:tcPr>
          <w:p w14:paraId="4A1A1295">
            <w:pPr>
              <w:spacing w:line="360" w:lineRule="auto"/>
              <w:jc w:val="center"/>
              <w:rPr>
                <w:color w:val="000000"/>
                <w:lang w:eastAsia="en-IN"/>
              </w:rPr>
            </w:pPr>
            <w:r>
              <w:rPr>
                <w:color w:val="000000"/>
                <w:lang w:eastAsia="en-IN"/>
              </w:rPr>
              <w:t>106.50</w:t>
            </w:r>
          </w:p>
        </w:tc>
        <w:tc>
          <w:tcPr>
            <w:tcW w:w="421" w:type="pct"/>
            <w:shd w:val="clear" w:color="auto" w:fill="auto"/>
            <w:vAlign w:val="center"/>
          </w:tcPr>
          <w:p w14:paraId="6547AF0D">
            <w:pPr>
              <w:spacing w:line="360" w:lineRule="auto"/>
              <w:jc w:val="center"/>
              <w:rPr>
                <w:color w:val="000000"/>
                <w:lang w:eastAsia="en-IN"/>
              </w:rPr>
            </w:pPr>
            <w:r>
              <w:rPr>
                <w:color w:val="000000"/>
                <w:lang w:eastAsia="en-IN"/>
              </w:rPr>
              <w:t>108.50</w:t>
            </w:r>
          </w:p>
        </w:tc>
        <w:tc>
          <w:tcPr>
            <w:tcW w:w="388" w:type="pct"/>
            <w:vAlign w:val="center"/>
          </w:tcPr>
          <w:p w14:paraId="0A136629">
            <w:pPr>
              <w:pStyle w:val="18"/>
              <w:spacing w:before="0" w:beforeAutospacing="0" w:after="0" w:afterAutospacing="0" w:line="360" w:lineRule="auto"/>
              <w:jc w:val="center"/>
              <w:textAlignment w:val="center"/>
              <w:rPr>
                <w:sz w:val="22"/>
                <w:szCs w:val="22"/>
              </w:rPr>
            </w:pPr>
            <w:r>
              <w:rPr>
                <w:color w:val="000000"/>
                <w:kern w:val="24"/>
                <w:sz w:val="22"/>
                <w:szCs w:val="22"/>
                <w:lang w:val="en-US"/>
              </w:rPr>
              <w:t>17.60</w:t>
            </w:r>
          </w:p>
        </w:tc>
        <w:tc>
          <w:tcPr>
            <w:tcW w:w="355" w:type="pct"/>
            <w:vAlign w:val="center"/>
          </w:tcPr>
          <w:p w14:paraId="2542DD9B">
            <w:pPr>
              <w:pStyle w:val="18"/>
              <w:spacing w:before="0" w:beforeAutospacing="0" w:after="0" w:afterAutospacing="0" w:line="360" w:lineRule="auto"/>
              <w:jc w:val="center"/>
              <w:textAlignment w:val="center"/>
              <w:rPr>
                <w:sz w:val="22"/>
                <w:szCs w:val="22"/>
              </w:rPr>
            </w:pPr>
            <w:r>
              <w:rPr>
                <w:color w:val="000000"/>
                <w:kern w:val="24"/>
                <w:sz w:val="22"/>
                <w:szCs w:val="22"/>
                <w:lang w:val="en-US"/>
              </w:rPr>
              <w:t>19.40</w:t>
            </w:r>
          </w:p>
        </w:tc>
        <w:tc>
          <w:tcPr>
            <w:tcW w:w="386" w:type="pct"/>
            <w:vAlign w:val="center"/>
          </w:tcPr>
          <w:p w14:paraId="113C4B51">
            <w:pPr>
              <w:pStyle w:val="18"/>
              <w:spacing w:before="0" w:beforeAutospacing="0" w:after="0" w:afterAutospacing="0" w:line="360" w:lineRule="auto"/>
              <w:jc w:val="center"/>
              <w:textAlignment w:val="bottom"/>
              <w:rPr>
                <w:sz w:val="22"/>
                <w:szCs w:val="22"/>
              </w:rPr>
            </w:pPr>
            <w:r>
              <w:rPr>
                <w:color w:val="000000"/>
                <w:kern w:val="24"/>
                <w:sz w:val="22"/>
                <w:szCs w:val="22"/>
                <w:lang w:val="en-US"/>
              </w:rPr>
              <w:t>18.50</w:t>
            </w:r>
          </w:p>
        </w:tc>
      </w:tr>
      <w:tr w14:paraId="46F5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26E24BBC">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420" w:type="pct"/>
            <w:shd w:val="clear" w:color="auto" w:fill="auto"/>
            <w:vAlign w:val="center"/>
          </w:tcPr>
          <w:p w14:paraId="52802D15">
            <w:pPr>
              <w:spacing w:line="360" w:lineRule="auto"/>
              <w:jc w:val="center"/>
              <w:rPr>
                <w:color w:val="000000"/>
                <w:lang w:eastAsia="en-IN"/>
              </w:rPr>
            </w:pPr>
            <w:r>
              <w:rPr>
                <w:color w:val="000000"/>
                <w:lang w:eastAsia="en-IN"/>
              </w:rPr>
              <w:t>44.25</w:t>
            </w:r>
          </w:p>
        </w:tc>
        <w:tc>
          <w:tcPr>
            <w:tcW w:w="354" w:type="pct"/>
            <w:shd w:val="clear" w:color="auto" w:fill="auto"/>
            <w:vAlign w:val="center"/>
          </w:tcPr>
          <w:p w14:paraId="1A4E6AE7">
            <w:pPr>
              <w:spacing w:line="360" w:lineRule="auto"/>
              <w:jc w:val="center"/>
              <w:rPr>
                <w:color w:val="000000"/>
                <w:lang w:eastAsia="en-IN"/>
              </w:rPr>
            </w:pPr>
            <w:r>
              <w:rPr>
                <w:color w:val="000000"/>
                <w:lang w:eastAsia="en-IN"/>
              </w:rPr>
              <w:t>42.75</w:t>
            </w:r>
          </w:p>
        </w:tc>
        <w:tc>
          <w:tcPr>
            <w:tcW w:w="420" w:type="pct"/>
            <w:shd w:val="clear" w:color="auto" w:fill="auto"/>
            <w:vAlign w:val="center"/>
          </w:tcPr>
          <w:p w14:paraId="4D67E573">
            <w:pPr>
              <w:spacing w:line="360" w:lineRule="auto"/>
              <w:jc w:val="center"/>
              <w:rPr>
                <w:color w:val="000000"/>
                <w:lang w:eastAsia="en-IN"/>
              </w:rPr>
            </w:pPr>
            <w:r>
              <w:rPr>
                <w:color w:val="000000"/>
                <w:lang w:eastAsia="en-IN"/>
              </w:rPr>
              <w:t>43.50</w:t>
            </w:r>
          </w:p>
        </w:tc>
        <w:tc>
          <w:tcPr>
            <w:tcW w:w="387" w:type="pct"/>
            <w:shd w:val="clear" w:color="auto" w:fill="auto"/>
            <w:vAlign w:val="center"/>
          </w:tcPr>
          <w:p w14:paraId="25DA5C33">
            <w:pPr>
              <w:spacing w:line="360" w:lineRule="auto"/>
              <w:jc w:val="center"/>
              <w:rPr>
                <w:color w:val="000000"/>
                <w:lang w:eastAsia="en-IN"/>
              </w:rPr>
            </w:pPr>
            <w:r>
              <w:rPr>
                <w:color w:val="000000"/>
                <w:lang w:eastAsia="en-IN"/>
              </w:rPr>
              <w:t>110.00</w:t>
            </w:r>
          </w:p>
        </w:tc>
        <w:tc>
          <w:tcPr>
            <w:tcW w:w="387" w:type="pct"/>
            <w:shd w:val="clear" w:color="auto" w:fill="auto"/>
            <w:vAlign w:val="center"/>
          </w:tcPr>
          <w:p w14:paraId="450FC7D3">
            <w:pPr>
              <w:spacing w:line="360" w:lineRule="auto"/>
              <w:jc w:val="center"/>
              <w:rPr>
                <w:color w:val="000000"/>
                <w:lang w:eastAsia="en-IN"/>
              </w:rPr>
            </w:pPr>
            <w:r>
              <w:rPr>
                <w:color w:val="000000"/>
                <w:lang w:eastAsia="en-IN"/>
              </w:rPr>
              <w:t>104.00</w:t>
            </w:r>
          </w:p>
        </w:tc>
        <w:tc>
          <w:tcPr>
            <w:tcW w:w="421" w:type="pct"/>
            <w:shd w:val="clear" w:color="auto" w:fill="auto"/>
            <w:vAlign w:val="center"/>
          </w:tcPr>
          <w:p w14:paraId="0971C571">
            <w:pPr>
              <w:spacing w:line="360" w:lineRule="auto"/>
              <w:jc w:val="center"/>
              <w:rPr>
                <w:color w:val="000000"/>
                <w:lang w:eastAsia="en-IN"/>
              </w:rPr>
            </w:pPr>
            <w:r>
              <w:rPr>
                <w:color w:val="000000"/>
                <w:lang w:eastAsia="en-IN"/>
              </w:rPr>
              <w:t>107.00</w:t>
            </w:r>
          </w:p>
        </w:tc>
        <w:tc>
          <w:tcPr>
            <w:tcW w:w="388" w:type="pct"/>
            <w:vAlign w:val="center"/>
          </w:tcPr>
          <w:p w14:paraId="6CB04715">
            <w:pPr>
              <w:pStyle w:val="18"/>
              <w:spacing w:before="0" w:beforeAutospacing="0" w:after="0" w:afterAutospacing="0" w:line="360" w:lineRule="auto"/>
              <w:jc w:val="center"/>
              <w:textAlignment w:val="center"/>
              <w:rPr>
                <w:sz w:val="22"/>
                <w:szCs w:val="22"/>
              </w:rPr>
            </w:pPr>
            <w:r>
              <w:rPr>
                <w:color w:val="000000"/>
                <w:kern w:val="24"/>
                <w:sz w:val="22"/>
                <w:szCs w:val="22"/>
                <w:lang w:val="en-US"/>
              </w:rPr>
              <w:t>19.70</w:t>
            </w:r>
          </w:p>
        </w:tc>
        <w:tc>
          <w:tcPr>
            <w:tcW w:w="355" w:type="pct"/>
            <w:vAlign w:val="center"/>
          </w:tcPr>
          <w:p w14:paraId="41A3D1F6">
            <w:pPr>
              <w:pStyle w:val="18"/>
              <w:spacing w:before="0" w:beforeAutospacing="0" w:after="0" w:afterAutospacing="0" w:line="360" w:lineRule="auto"/>
              <w:jc w:val="center"/>
              <w:textAlignment w:val="center"/>
              <w:rPr>
                <w:sz w:val="22"/>
                <w:szCs w:val="22"/>
              </w:rPr>
            </w:pPr>
            <w:r>
              <w:rPr>
                <w:color w:val="000000"/>
                <w:kern w:val="24"/>
                <w:sz w:val="22"/>
                <w:szCs w:val="22"/>
                <w:lang w:val="en-US"/>
              </w:rPr>
              <w:t>21.80</w:t>
            </w:r>
          </w:p>
        </w:tc>
        <w:tc>
          <w:tcPr>
            <w:tcW w:w="386" w:type="pct"/>
            <w:vAlign w:val="center"/>
          </w:tcPr>
          <w:p w14:paraId="44BAA268">
            <w:pPr>
              <w:pStyle w:val="18"/>
              <w:spacing w:before="0" w:beforeAutospacing="0" w:after="0" w:afterAutospacing="0" w:line="360" w:lineRule="auto"/>
              <w:jc w:val="center"/>
              <w:textAlignment w:val="bottom"/>
              <w:rPr>
                <w:sz w:val="22"/>
                <w:szCs w:val="22"/>
              </w:rPr>
            </w:pPr>
            <w:r>
              <w:rPr>
                <w:color w:val="000000"/>
                <w:kern w:val="24"/>
                <w:sz w:val="22"/>
                <w:szCs w:val="22"/>
                <w:lang w:val="en-US"/>
              </w:rPr>
              <w:t>20.75</w:t>
            </w:r>
          </w:p>
        </w:tc>
      </w:tr>
      <w:tr w14:paraId="36C7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4D8BAE1C">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420" w:type="pct"/>
            <w:shd w:val="clear" w:color="auto" w:fill="auto"/>
            <w:vAlign w:val="center"/>
          </w:tcPr>
          <w:p w14:paraId="02A353C6">
            <w:pPr>
              <w:spacing w:line="360" w:lineRule="auto"/>
              <w:jc w:val="center"/>
              <w:rPr>
                <w:color w:val="000000"/>
                <w:lang w:eastAsia="en-IN"/>
              </w:rPr>
            </w:pPr>
            <w:r>
              <w:rPr>
                <w:color w:val="000000"/>
                <w:lang w:eastAsia="en-IN"/>
              </w:rPr>
              <w:t>46.75</w:t>
            </w:r>
          </w:p>
        </w:tc>
        <w:tc>
          <w:tcPr>
            <w:tcW w:w="354" w:type="pct"/>
            <w:shd w:val="clear" w:color="auto" w:fill="auto"/>
            <w:vAlign w:val="center"/>
          </w:tcPr>
          <w:p w14:paraId="4ED1801C">
            <w:pPr>
              <w:spacing w:line="360" w:lineRule="auto"/>
              <w:jc w:val="center"/>
              <w:rPr>
                <w:color w:val="000000"/>
                <w:lang w:eastAsia="en-IN"/>
              </w:rPr>
            </w:pPr>
            <w:r>
              <w:rPr>
                <w:color w:val="000000"/>
                <w:lang w:eastAsia="en-IN"/>
              </w:rPr>
              <w:t>45.25</w:t>
            </w:r>
          </w:p>
        </w:tc>
        <w:tc>
          <w:tcPr>
            <w:tcW w:w="420" w:type="pct"/>
            <w:shd w:val="clear" w:color="auto" w:fill="auto"/>
            <w:vAlign w:val="center"/>
          </w:tcPr>
          <w:p w14:paraId="562CA051">
            <w:pPr>
              <w:spacing w:line="360" w:lineRule="auto"/>
              <w:jc w:val="center"/>
              <w:rPr>
                <w:color w:val="000000"/>
                <w:lang w:eastAsia="en-IN"/>
              </w:rPr>
            </w:pPr>
            <w:r>
              <w:rPr>
                <w:color w:val="000000"/>
                <w:lang w:eastAsia="en-IN"/>
              </w:rPr>
              <w:t>46.00</w:t>
            </w:r>
          </w:p>
        </w:tc>
        <w:tc>
          <w:tcPr>
            <w:tcW w:w="387" w:type="pct"/>
            <w:shd w:val="clear" w:color="auto" w:fill="auto"/>
            <w:vAlign w:val="center"/>
          </w:tcPr>
          <w:p w14:paraId="090F34B9">
            <w:pPr>
              <w:spacing w:line="360" w:lineRule="auto"/>
              <w:jc w:val="center"/>
              <w:rPr>
                <w:color w:val="000000"/>
                <w:lang w:eastAsia="en-IN"/>
              </w:rPr>
            </w:pPr>
            <w:r>
              <w:rPr>
                <w:color w:val="000000"/>
                <w:lang w:eastAsia="en-IN"/>
              </w:rPr>
              <w:t>113.00</w:t>
            </w:r>
          </w:p>
        </w:tc>
        <w:tc>
          <w:tcPr>
            <w:tcW w:w="387" w:type="pct"/>
            <w:shd w:val="clear" w:color="auto" w:fill="auto"/>
            <w:vAlign w:val="center"/>
          </w:tcPr>
          <w:p w14:paraId="276642E6">
            <w:pPr>
              <w:spacing w:line="360" w:lineRule="auto"/>
              <w:jc w:val="center"/>
              <w:rPr>
                <w:color w:val="000000"/>
                <w:lang w:eastAsia="en-IN"/>
              </w:rPr>
            </w:pPr>
            <w:r>
              <w:rPr>
                <w:color w:val="000000"/>
                <w:lang w:eastAsia="en-IN"/>
              </w:rPr>
              <w:t>106.50</w:t>
            </w:r>
          </w:p>
        </w:tc>
        <w:tc>
          <w:tcPr>
            <w:tcW w:w="421" w:type="pct"/>
            <w:shd w:val="clear" w:color="auto" w:fill="auto"/>
            <w:vAlign w:val="center"/>
          </w:tcPr>
          <w:p w14:paraId="1921330B">
            <w:pPr>
              <w:spacing w:line="360" w:lineRule="auto"/>
              <w:jc w:val="center"/>
              <w:rPr>
                <w:color w:val="000000"/>
                <w:lang w:eastAsia="en-IN"/>
              </w:rPr>
            </w:pPr>
            <w:r>
              <w:rPr>
                <w:color w:val="000000"/>
                <w:lang w:eastAsia="en-IN"/>
              </w:rPr>
              <w:t>109.75</w:t>
            </w:r>
          </w:p>
        </w:tc>
        <w:tc>
          <w:tcPr>
            <w:tcW w:w="388" w:type="pct"/>
            <w:vAlign w:val="center"/>
          </w:tcPr>
          <w:p w14:paraId="29AFFD65">
            <w:pPr>
              <w:pStyle w:val="18"/>
              <w:spacing w:before="0" w:beforeAutospacing="0" w:after="0" w:afterAutospacing="0" w:line="360" w:lineRule="auto"/>
              <w:jc w:val="center"/>
              <w:textAlignment w:val="center"/>
              <w:rPr>
                <w:sz w:val="22"/>
                <w:szCs w:val="22"/>
              </w:rPr>
            </w:pPr>
            <w:r>
              <w:rPr>
                <w:color w:val="000000"/>
                <w:kern w:val="24"/>
                <w:sz w:val="22"/>
                <w:szCs w:val="22"/>
                <w:lang w:val="en-US"/>
              </w:rPr>
              <w:t>17.30</w:t>
            </w:r>
          </w:p>
        </w:tc>
        <w:tc>
          <w:tcPr>
            <w:tcW w:w="355" w:type="pct"/>
            <w:vAlign w:val="center"/>
          </w:tcPr>
          <w:p w14:paraId="5F98E1B5">
            <w:pPr>
              <w:pStyle w:val="18"/>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86" w:type="pct"/>
            <w:vAlign w:val="center"/>
          </w:tcPr>
          <w:p w14:paraId="0717CAAD">
            <w:pPr>
              <w:pStyle w:val="18"/>
              <w:spacing w:before="0" w:beforeAutospacing="0" w:after="0" w:afterAutospacing="0" w:line="360" w:lineRule="auto"/>
              <w:jc w:val="center"/>
              <w:textAlignment w:val="bottom"/>
              <w:rPr>
                <w:sz w:val="22"/>
                <w:szCs w:val="22"/>
              </w:rPr>
            </w:pPr>
            <w:r>
              <w:rPr>
                <w:color w:val="000000"/>
                <w:kern w:val="24"/>
                <w:sz w:val="22"/>
                <w:szCs w:val="22"/>
                <w:lang w:val="en-US"/>
              </w:rPr>
              <w:t>18.25</w:t>
            </w:r>
          </w:p>
        </w:tc>
      </w:tr>
      <w:tr w14:paraId="2522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0E5FFCEB">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420" w:type="pct"/>
            <w:shd w:val="clear" w:color="auto" w:fill="auto"/>
            <w:vAlign w:val="center"/>
          </w:tcPr>
          <w:p w14:paraId="137682EA">
            <w:pPr>
              <w:spacing w:line="360" w:lineRule="auto"/>
              <w:jc w:val="center"/>
              <w:rPr>
                <w:color w:val="000000"/>
                <w:lang w:eastAsia="en-IN"/>
              </w:rPr>
            </w:pPr>
            <w:r>
              <w:rPr>
                <w:color w:val="000000"/>
                <w:lang w:eastAsia="en-IN"/>
              </w:rPr>
              <w:t>43.75</w:t>
            </w:r>
          </w:p>
        </w:tc>
        <w:tc>
          <w:tcPr>
            <w:tcW w:w="354" w:type="pct"/>
            <w:shd w:val="clear" w:color="auto" w:fill="auto"/>
            <w:vAlign w:val="center"/>
          </w:tcPr>
          <w:p w14:paraId="4488FFAF">
            <w:pPr>
              <w:spacing w:line="360" w:lineRule="auto"/>
              <w:jc w:val="center"/>
              <w:rPr>
                <w:color w:val="000000"/>
                <w:lang w:eastAsia="en-IN"/>
              </w:rPr>
            </w:pPr>
            <w:r>
              <w:rPr>
                <w:color w:val="000000"/>
                <w:lang w:eastAsia="en-IN"/>
              </w:rPr>
              <w:t>42.25</w:t>
            </w:r>
          </w:p>
        </w:tc>
        <w:tc>
          <w:tcPr>
            <w:tcW w:w="420" w:type="pct"/>
            <w:shd w:val="clear" w:color="auto" w:fill="auto"/>
            <w:vAlign w:val="center"/>
          </w:tcPr>
          <w:p w14:paraId="56C5AAA6">
            <w:pPr>
              <w:spacing w:line="360" w:lineRule="auto"/>
              <w:jc w:val="center"/>
              <w:rPr>
                <w:color w:val="000000"/>
                <w:lang w:eastAsia="en-IN"/>
              </w:rPr>
            </w:pPr>
            <w:r>
              <w:rPr>
                <w:color w:val="000000"/>
                <w:lang w:eastAsia="en-IN"/>
              </w:rPr>
              <w:t>43.00</w:t>
            </w:r>
          </w:p>
        </w:tc>
        <w:tc>
          <w:tcPr>
            <w:tcW w:w="387" w:type="pct"/>
            <w:shd w:val="clear" w:color="auto" w:fill="auto"/>
            <w:vAlign w:val="center"/>
          </w:tcPr>
          <w:p w14:paraId="7830867B">
            <w:pPr>
              <w:spacing w:line="360" w:lineRule="auto"/>
              <w:jc w:val="center"/>
              <w:rPr>
                <w:color w:val="000000"/>
                <w:lang w:eastAsia="en-IN"/>
              </w:rPr>
            </w:pPr>
            <w:r>
              <w:rPr>
                <w:color w:val="000000"/>
                <w:lang w:eastAsia="en-IN"/>
              </w:rPr>
              <w:t>108.75</w:t>
            </w:r>
          </w:p>
        </w:tc>
        <w:tc>
          <w:tcPr>
            <w:tcW w:w="387" w:type="pct"/>
            <w:shd w:val="clear" w:color="auto" w:fill="auto"/>
            <w:vAlign w:val="center"/>
          </w:tcPr>
          <w:p w14:paraId="78A41743">
            <w:pPr>
              <w:spacing w:line="360" w:lineRule="auto"/>
              <w:jc w:val="center"/>
              <w:rPr>
                <w:color w:val="000000"/>
                <w:lang w:eastAsia="en-IN"/>
              </w:rPr>
            </w:pPr>
            <w:r>
              <w:rPr>
                <w:color w:val="000000"/>
                <w:lang w:eastAsia="en-IN"/>
              </w:rPr>
              <w:t>104.25</w:t>
            </w:r>
          </w:p>
        </w:tc>
        <w:tc>
          <w:tcPr>
            <w:tcW w:w="421" w:type="pct"/>
            <w:shd w:val="clear" w:color="auto" w:fill="auto"/>
            <w:vAlign w:val="center"/>
          </w:tcPr>
          <w:p w14:paraId="4A1D6BD6">
            <w:pPr>
              <w:spacing w:line="360" w:lineRule="auto"/>
              <w:jc w:val="center"/>
              <w:rPr>
                <w:color w:val="000000"/>
                <w:lang w:eastAsia="en-IN"/>
              </w:rPr>
            </w:pPr>
            <w:r>
              <w:rPr>
                <w:color w:val="000000"/>
                <w:lang w:eastAsia="en-IN"/>
              </w:rPr>
              <w:t>106.50</w:t>
            </w:r>
          </w:p>
        </w:tc>
        <w:tc>
          <w:tcPr>
            <w:tcW w:w="388" w:type="pct"/>
            <w:vAlign w:val="center"/>
          </w:tcPr>
          <w:p w14:paraId="65BECC61">
            <w:pPr>
              <w:pStyle w:val="18"/>
              <w:spacing w:before="0" w:beforeAutospacing="0" w:after="0" w:afterAutospacing="0" w:line="360" w:lineRule="auto"/>
              <w:jc w:val="center"/>
              <w:textAlignment w:val="center"/>
              <w:rPr>
                <w:sz w:val="22"/>
                <w:szCs w:val="22"/>
              </w:rPr>
            </w:pPr>
            <w:r>
              <w:rPr>
                <w:bCs/>
                <w:color w:val="000000"/>
                <w:kern w:val="24"/>
                <w:sz w:val="22"/>
                <w:szCs w:val="22"/>
                <w:lang w:val="en-US"/>
              </w:rPr>
              <w:t>21.20</w:t>
            </w:r>
          </w:p>
        </w:tc>
        <w:tc>
          <w:tcPr>
            <w:tcW w:w="355" w:type="pct"/>
            <w:vAlign w:val="center"/>
          </w:tcPr>
          <w:p w14:paraId="63B384B2">
            <w:pPr>
              <w:pStyle w:val="18"/>
              <w:spacing w:before="0" w:beforeAutospacing="0" w:after="0" w:afterAutospacing="0" w:line="360" w:lineRule="auto"/>
              <w:jc w:val="center"/>
              <w:textAlignment w:val="center"/>
              <w:rPr>
                <w:sz w:val="22"/>
                <w:szCs w:val="22"/>
              </w:rPr>
            </w:pPr>
            <w:r>
              <w:rPr>
                <w:bCs/>
                <w:color w:val="000000"/>
                <w:kern w:val="24"/>
                <w:sz w:val="22"/>
                <w:szCs w:val="22"/>
                <w:lang w:val="en-US"/>
              </w:rPr>
              <w:t>23.30</w:t>
            </w:r>
          </w:p>
        </w:tc>
        <w:tc>
          <w:tcPr>
            <w:tcW w:w="386" w:type="pct"/>
            <w:vAlign w:val="center"/>
          </w:tcPr>
          <w:p w14:paraId="78F68A3C">
            <w:pPr>
              <w:pStyle w:val="18"/>
              <w:spacing w:before="0" w:beforeAutospacing="0" w:after="0" w:afterAutospacing="0" w:line="360" w:lineRule="auto"/>
              <w:jc w:val="center"/>
              <w:textAlignment w:val="bottom"/>
              <w:rPr>
                <w:sz w:val="22"/>
                <w:szCs w:val="22"/>
              </w:rPr>
            </w:pPr>
            <w:r>
              <w:rPr>
                <w:bCs/>
                <w:color w:val="000000"/>
                <w:kern w:val="24"/>
                <w:sz w:val="22"/>
                <w:szCs w:val="22"/>
                <w:lang w:val="en-US"/>
              </w:rPr>
              <w:t>22.25</w:t>
            </w:r>
          </w:p>
        </w:tc>
      </w:tr>
      <w:tr w14:paraId="1C8E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28CDD633">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420" w:type="pct"/>
            <w:shd w:val="clear" w:color="auto" w:fill="auto"/>
            <w:vAlign w:val="center"/>
          </w:tcPr>
          <w:p w14:paraId="7B9F32B3">
            <w:pPr>
              <w:spacing w:line="360" w:lineRule="auto"/>
              <w:jc w:val="center"/>
              <w:rPr>
                <w:color w:val="000000"/>
                <w:lang w:eastAsia="en-IN"/>
              </w:rPr>
            </w:pPr>
            <w:r>
              <w:rPr>
                <w:color w:val="000000"/>
                <w:lang w:eastAsia="en-IN"/>
              </w:rPr>
              <w:t>46.00</w:t>
            </w:r>
          </w:p>
        </w:tc>
        <w:tc>
          <w:tcPr>
            <w:tcW w:w="354" w:type="pct"/>
            <w:shd w:val="clear" w:color="auto" w:fill="auto"/>
            <w:vAlign w:val="center"/>
          </w:tcPr>
          <w:p w14:paraId="2568E481">
            <w:pPr>
              <w:spacing w:line="360" w:lineRule="auto"/>
              <w:jc w:val="center"/>
              <w:rPr>
                <w:color w:val="000000"/>
                <w:lang w:eastAsia="en-IN"/>
              </w:rPr>
            </w:pPr>
            <w:r>
              <w:rPr>
                <w:color w:val="000000"/>
                <w:lang w:eastAsia="en-IN"/>
              </w:rPr>
              <w:t>44.50</w:t>
            </w:r>
          </w:p>
        </w:tc>
        <w:tc>
          <w:tcPr>
            <w:tcW w:w="420" w:type="pct"/>
            <w:shd w:val="clear" w:color="auto" w:fill="auto"/>
            <w:vAlign w:val="center"/>
          </w:tcPr>
          <w:p w14:paraId="4412FCDC">
            <w:pPr>
              <w:spacing w:line="360" w:lineRule="auto"/>
              <w:jc w:val="center"/>
              <w:rPr>
                <w:color w:val="000000"/>
                <w:lang w:eastAsia="en-IN"/>
              </w:rPr>
            </w:pPr>
            <w:r>
              <w:rPr>
                <w:color w:val="000000"/>
                <w:lang w:eastAsia="en-IN"/>
              </w:rPr>
              <w:t>45.25</w:t>
            </w:r>
          </w:p>
        </w:tc>
        <w:tc>
          <w:tcPr>
            <w:tcW w:w="387" w:type="pct"/>
            <w:shd w:val="clear" w:color="auto" w:fill="auto"/>
            <w:vAlign w:val="center"/>
          </w:tcPr>
          <w:p w14:paraId="277B4F27">
            <w:pPr>
              <w:spacing w:line="360" w:lineRule="auto"/>
              <w:jc w:val="center"/>
              <w:rPr>
                <w:color w:val="000000"/>
                <w:lang w:eastAsia="en-IN"/>
              </w:rPr>
            </w:pPr>
            <w:r>
              <w:rPr>
                <w:color w:val="000000"/>
                <w:lang w:eastAsia="en-IN"/>
              </w:rPr>
              <w:t>112.00</w:t>
            </w:r>
          </w:p>
        </w:tc>
        <w:tc>
          <w:tcPr>
            <w:tcW w:w="387" w:type="pct"/>
            <w:shd w:val="clear" w:color="auto" w:fill="auto"/>
            <w:vAlign w:val="center"/>
          </w:tcPr>
          <w:p w14:paraId="40984CBB">
            <w:pPr>
              <w:spacing w:line="360" w:lineRule="auto"/>
              <w:jc w:val="center"/>
              <w:rPr>
                <w:color w:val="000000"/>
                <w:lang w:eastAsia="en-IN"/>
              </w:rPr>
            </w:pPr>
            <w:r>
              <w:rPr>
                <w:color w:val="000000"/>
                <w:lang w:eastAsia="en-IN"/>
              </w:rPr>
              <w:t>106.00</w:t>
            </w:r>
          </w:p>
        </w:tc>
        <w:tc>
          <w:tcPr>
            <w:tcW w:w="421" w:type="pct"/>
            <w:shd w:val="clear" w:color="auto" w:fill="auto"/>
            <w:vAlign w:val="center"/>
          </w:tcPr>
          <w:p w14:paraId="2DC4794D">
            <w:pPr>
              <w:spacing w:line="360" w:lineRule="auto"/>
              <w:jc w:val="center"/>
              <w:rPr>
                <w:color w:val="000000"/>
                <w:lang w:eastAsia="en-IN"/>
              </w:rPr>
            </w:pPr>
            <w:r>
              <w:rPr>
                <w:color w:val="000000"/>
                <w:lang w:eastAsia="en-IN"/>
              </w:rPr>
              <w:t>109.00</w:t>
            </w:r>
          </w:p>
        </w:tc>
        <w:tc>
          <w:tcPr>
            <w:tcW w:w="388" w:type="pct"/>
            <w:vAlign w:val="center"/>
          </w:tcPr>
          <w:p w14:paraId="656E50DE">
            <w:pPr>
              <w:pStyle w:val="18"/>
              <w:spacing w:before="0" w:beforeAutospacing="0" w:after="0" w:afterAutospacing="0" w:line="360" w:lineRule="auto"/>
              <w:jc w:val="center"/>
              <w:textAlignment w:val="center"/>
              <w:rPr>
                <w:sz w:val="22"/>
                <w:szCs w:val="22"/>
              </w:rPr>
            </w:pPr>
            <w:r>
              <w:rPr>
                <w:color w:val="000000"/>
                <w:kern w:val="24"/>
                <w:sz w:val="22"/>
                <w:szCs w:val="22"/>
                <w:lang w:val="en-US"/>
              </w:rPr>
              <w:t>18.40</w:t>
            </w:r>
          </w:p>
        </w:tc>
        <w:tc>
          <w:tcPr>
            <w:tcW w:w="355" w:type="pct"/>
            <w:vAlign w:val="center"/>
          </w:tcPr>
          <w:p w14:paraId="542142F1">
            <w:pPr>
              <w:pStyle w:val="18"/>
              <w:spacing w:before="0" w:beforeAutospacing="0" w:after="0" w:afterAutospacing="0" w:line="360" w:lineRule="auto"/>
              <w:jc w:val="center"/>
              <w:textAlignment w:val="center"/>
              <w:rPr>
                <w:sz w:val="22"/>
                <w:szCs w:val="22"/>
              </w:rPr>
            </w:pPr>
            <w:r>
              <w:rPr>
                <w:color w:val="000000"/>
                <w:kern w:val="24"/>
                <w:sz w:val="22"/>
                <w:szCs w:val="22"/>
                <w:lang w:val="en-US"/>
              </w:rPr>
              <w:t>20.00</w:t>
            </w:r>
          </w:p>
        </w:tc>
        <w:tc>
          <w:tcPr>
            <w:tcW w:w="386" w:type="pct"/>
            <w:vAlign w:val="center"/>
          </w:tcPr>
          <w:p w14:paraId="1B11FFC7">
            <w:pPr>
              <w:pStyle w:val="18"/>
              <w:spacing w:before="0" w:beforeAutospacing="0" w:after="0" w:afterAutospacing="0" w:line="360" w:lineRule="auto"/>
              <w:jc w:val="center"/>
              <w:textAlignment w:val="bottom"/>
              <w:rPr>
                <w:sz w:val="22"/>
                <w:szCs w:val="22"/>
              </w:rPr>
            </w:pPr>
            <w:r>
              <w:rPr>
                <w:color w:val="000000"/>
                <w:kern w:val="24"/>
                <w:sz w:val="22"/>
                <w:szCs w:val="22"/>
                <w:lang w:val="en-US"/>
              </w:rPr>
              <w:t>19.20</w:t>
            </w:r>
          </w:p>
        </w:tc>
      </w:tr>
      <w:tr w14:paraId="0C06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2" w:type="pct"/>
            <w:shd w:val="clear" w:color="auto" w:fill="auto"/>
            <w:noWrap/>
            <w:vAlign w:val="center"/>
          </w:tcPr>
          <w:p w14:paraId="188D5366">
            <w:pPr>
              <w:spacing w:line="360" w:lineRule="auto"/>
              <w:rPr>
                <w:b/>
                <w:color w:val="000000"/>
              </w:rPr>
            </w:pPr>
            <w:r>
              <w:rPr>
                <w:b/>
                <w:color w:val="000000"/>
              </w:rPr>
              <w:t>C.D.</w:t>
            </w:r>
            <w:r>
              <w:rPr>
                <w:b/>
              </w:rPr>
              <w:t xml:space="preserve"> at 5% level of significance</w:t>
            </w:r>
          </w:p>
        </w:tc>
        <w:tc>
          <w:tcPr>
            <w:tcW w:w="420" w:type="pct"/>
            <w:shd w:val="clear" w:color="auto" w:fill="auto"/>
            <w:vAlign w:val="center"/>
          </w:tcPr>
          <w:p w14:paraId="00C5397D">
            <w:pPr>
              <w:spacing w:line="360" w:lineRule="auto"/>
              <w:jc w:val="center"/>
              <w:rPr>
                <w:color w:val="000000"/>
              </w:rPr>
            </w:pPr>
            <w:r>
              <w:rPr>
                <w:color w:val="000000"/>
              </w:rPr>
              <w:t>1.29</w:t>
            </w:r>
          </w:p>
        </w:tc>
        <w:tc>
          <w:tcPr>
            <w:tcW w:w="354" w:type="pct"/>
            <w:shd w:val="clear" w:color="auto" w:fill="auto"/>
            <w:vAlign w:val="center"/>
          </w:tcPr>
          <w:p w14:paraId="293B2430">
            <w:pPr>
              <w:spacing w:line="360" w:lineRule="auto"/>
              <w:jc w:val="center"/>
              <w:rPr>
                <w:color w:val="000000"/>
              </w:rPr>
            </w:pPr>
            <w:r>
              <w:rPr>
                <w:color w:val="000000"/>
              </w:rPr>
              <w:t>1.08</w:t>
            </w:r>
          </w:p>
        </w:tc>
        <w:tc>
          <w:tcPr>
            <w:tcW w:w="420" w:type="pct"/>
            <w:shd w:val="clear" w:color="auto" w:fill="auto"/>
            <w:vAlign w:val="center"/>
          </w:tcPr>
          <w:p w14:paraId="5CE80C9E">
            <w:pPr>
              <w:spacing w:line="360" w:lineRule="auto"/>
              <w:jc w:val="center"/>
              <w:rPr>
                <w:color w:val="000000"/>
              </w:rPr>
            </w:pPr>
            <w:r>
              <w:rPr>
                <w:color w:val="000000"/>
              </w:rPr>
              <w:t>0.84</w:t>
            </w:r>
          </w:p>
        </w:tc>
        <w:tc>
          <w:tcPr>
            <w:tcW w:w="387" w:type="pct"/>
            <w:shd w:val="clear" w:color="auto" w:fill="auto"/>
            <w:vAlign w:val="center"/>
          </w:tcPr>
          <w:p w14:paraId="4D39042B">
            <w:pPr>
              <w:spacing w:line="360" w:lineRule="auto"/>
              <w:jc w:val="center"/>
              <w:rPr>
                <w:color w:val="000000"/>
              </w:rPr>
            </w:pPr>
            <w:r>
              <w:rPr>
                <w:color w:val="000000"/>
              </w:rPr>
              <w:t>2.11</w:t>
            </w:r>
          </w:p>
        </w:tc>
        <w:tc>
          <w:tcPr>
            <w:tcW w:w="387" w:type="pct"/>
            <w:shd w:val="clear" w:color="auto" w:fill="auto"/>
            <w:vAlign w:val="center"/>
          </w:tcPr>
          <w:p w14:paraId="1F61C408">
            <w:pPr>
              <w:spacing w:line="360" w:lineRule="auto"/>
              <w:jc w:val="center"/>
              <w:rPr>
                <w:color w:val="000000"/>
              </w:rPr>
            </w:pPr>
            <w:r>
              <w:rPr>
                <w:color w:val="000000"/>
              </w:rPr>
              <w:t>1.21</w:t>
            </w:r>
          </w:p>
        </w:tc>
        <w:tc>
          <w:tcPr>
            <w:tcW w:w="421" w:type="pct"/>
            <w:shd w:val="clear" w:color="auto" w:fill="auto"/>
            <w:vAlign w:val="center"/>
          </w:tcPr>
          <w:p w14:paraId="04AA3BA7">
            <w:pPr>
              <w:spacing w:line="360" w:lineRule="auto"/>
              <w:jc w:val="center"/>
              <w:rPr>
                <w:color w:val="000000"/>
              </w:rPr>
            </w:pPr>
            <w:r>
              <w:rPr>
                <w:color w:val="000000"/>
              </w:rPr>
              <w:t>1.00</w:t>
            </w:r>
          </w:p>
        </w:tc>
        <w:tc>
          <w:tcPr>
            <w:tcW w:w="388" w:type="pct"/>
            <w:vAlign w:val="center"/>
          </w:tcPr>
          <w:p w14:paraId="11BF39DB">
            <w:pPr>
              <w:spacing w:line="360" w:lineRule="auto"/>
              <w:jc w:val="center"/>
              <w:rPr>
                <w:color w:val="000000"/>
              </w:rPr>
            </w:pPr>
            <w:r>
              <w:rPr>
                <w:color w:val="000000"/>
              </w:rPr>
              <w:t>0.54</w:t>
            </w:r>
          </w:p>
        </w:tc>
        <w:tc>
          <w:tcPr>
            <w:tcW w:w="355" w:type="pct"/>
            <w:vAlign w:val="center"/>
          </w:tcPr>
          <w:p w14:paraId="701B4545">
            <w:pPr>
              <w:spacing w:line="360" w:lineRule="auto"/>
              <w:jc w:val="center"/>
              <w:rPr>
                <w:color w:val="000000"/>
              </w:rPr>
            </w:pPr>
            <w:r>
              <w:rPr>
                <w:color w:val="000000"/>
              </w:rPr>
              <w:t>0.49</w:t>
            </w:r>
          </w:p>
        </w:tc>
        <w:tc>
          <w:tcPr>
            <w:tcW w:w="386" w:type="pct"/>
            <w:vAlign w:val="center"/>
          </w:tcPr>
          <w:p w14:paraId="613D698A">
            <w:pPr>
              <w:spacing w:line="360" w:lineRule="auto"/>
              <w:jc w:val="center"/>
              <w:rPr>
                <w:color w:val="000000"/>
              </w:rPr>
            </w:pPr>
            <w:r>
              <w:rPr>
                <w:color w:val="000000"/>
              </w:rPr>
              <w:t>0.39</w:t>
            </w:r>
          </w:p>
        </w:tc>
      </w:tr>
    </w:tbl>
    <w:p w14:paraId="7C2E6430">
      <w:pPr>
        <w:pStyle w:val="18"/>
        <w:spacing w:before="0" w:beforeAutospacing="0" w:after="0" w:afterAutospacing="0" w:line="360" w:lineRule="auto"/>
        <w:ind w:firstLine="720"/>
        <w:jc w:val="both"/>
        <w:rPr>
          <w:sz w:val="22"/>
          <w:szCs w:val="22"/>
        </w:rPr>
        <w:sectPr>
          <w:pgSz w:w="15840" w:h="12240" w:orient="landscape"/>
          <w:pgMar w:top="1440" w:right="1440" w:bottom="1440" w:left="1440" w:header="720" w:footer="720" w:gutter="0"/>
          <w:cols w:space="720" w:num="1"/>
          <w:docGrid w:linePitch="360" w:charSpace="0"/>
        </w:sectPr>
      </w:pPr>
    </w:p>
    <w:p w14:paraId="1AC68066">
      <w:pPr>
        <w:pStyle w:val="22"/>
        <w:spacing w:line="360" w:lineRule="auto"/>
        <w:ind w:left="990" w:hanging="990"/>
        <w:jc w:val="both"/>
        <w:rPr>
          <w:b/>
          <w:sz w:val="22"/>
          <w:szCs w:val="22"/>
        </w:rPr>
      </w:pPr>
      <w:r>
        <w:rPr>
          <w:b/>
          <w:sz w:val="22"/>
          <w:szCs w:val="22"/>
        </w:rPr>
        <w:t xml:space="preserve">Table 2: </w:t>
      </w:r>
      <w:r>
        <w:rPr>
          <w:b/>
        </w:rPr>
        <w:t xml:space="preserve">Effect of fertilizer levels along with foliar application of </w:t>
      </w:r>
      <w:r>
        <w:rPr>
          <w:b/>
          <w:sz w:val="22"/>
          <w:szCs w:val="22"/>
        </w:rPr>
        <w:t xml:space="preserve">biostimulants on </w:t>
      </w:r>
      <w:r>
        <w:rPr>
          <w:rFonts w:eastAsia="Times New Roman"/>
          <w:b/>
          <w:bCs/>
          <w:sz w:val="22"/>
          <w:szCs w:val="22"/>
          <w:lang w:eastAsia="en-IN"/>
        </w:rPr>
        <w:t xml:space="preserve">fruit length (cm), fruit diameter (cm) and average fruit weight (g) </w:t>
      </w:r>
      <w:r>
        <w:rPr>
          <w:b/>
          <w:sz w:val="22"/>
          <w:szCs w:val="22"/>
        </w:rPr>
        <w:t xml:space="preserve">of capsicum </w:t>
      </w:r>
      <w:r>
        <w:rPr>
          <w:b/>
          <w:i/>
          <w:sz w:val="22"/>
          <w:szCs w:val="22"/>
        </w:rPr>
        <w:t>cv.</w:t>
      </w:r>
      <w:r>
        <w:rPr>
          <w:b/>
          <w:sz w:val="22"/>
          <w:szCs w:val="22"/>
        </w:rPr>
        <w:t xml:space="preserve"> PSM-1 under polyhouse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1004"/>
        <w:gridCol w:w="1009"/>
        <w:gridCol w:w="920"/>
        <w:gridCol w:w="1009"/>
        <w:gridCol w:w="1006"/>
        <w:gridCol w:w="917"/>
        <w:gridCol w:w="1004"/>
        <w:gridCol w:w="1036"/>
        <w:gridCol w:w="1062"/>
      </w:tblGrid>
      <w:tr w14:paraId="256C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vMerge w:val="restart"/>
            <w:shd w:val="clear" w:color="auto" w:fill="auto"/>
            <w:vAlign w:val="center"/>
          </w:tcPr>
          <w:p w14:paraId="4C387F61">
            <w:pPr>
              <w:spacing w:line="360" w:lineRule="auto"/>
              <w:jc w:val="center"/>
              <w:rPr>
                <w:b/>
                <w:bCs/>
                <w:color w:val="000000"/>
                <w:lang w:eastAsia="en-IN"/>
              </w:rPr>
            </w:pPr>
            <w:r>
              <w:rPr>
                <w:b/>
                <w:bCs/>
                <w:color w:val="000000"/>
                <w:lang w:eastAsia="en-IN"/>
              </w:rPr>
              <w:t>Treatments</w:t>
            </w:r>
          </w:p>
        </w:tc>
        <w:tc>
          <w:tcPr>
            <w:tcW w:w="1113" w:type="pct"/>
            <w:gridSpan w:val="3"/>
            <w:shd w:val="clear" w:color="auto" w:fill="auto"/>
            <w:noWrap/>
            <w:vAlign w:val="center"/>
          </w:tcPr>
          <w:p w14:paraId="2E7B7A2A">
            <w:pPr>
              <w:spacing w:line="360" w:lineRule="auto"/>
              <w:jc w:val="center"/>
              <w:rPr>
                <w:b/>
                <w:bCs/>
                <w:color w:val="000000"/>
                <w:lang w:eastAsia="en-IN"/>
              </w:rPr>
            </w:pPr>
            <w:r>
              <w:rPr>
                <w:b/>
                <w:bCs/>
                <w:color w:val="000000"/>
                <w:lang w:eastAsia="en-IN"/>
              </w:rPr>
              <w:t>Fruit length (cm)</w:t>
            </w:r>
          </w:p>
        </w:tc>
        <w:tc>
          <w:tcPr>
            <w:tcW w:w="1113" w:type="pct"/>
            <w:gridSpan w:val="3"/>
            <w:shd w:val="clear" w:color="auto" w:fill="auto"/>
            <w:noWrap/>
            <w:vAlign w:val="center"/>
          </w:tcPr>
          <w:p w14:paraId="520A7380">
            <w:pPr>
              <w:spacing w:line="360" w:lineRule="auto"/>
              <w:jc w:val="center"/>
              <w:rPr>
                <w:b/>
                <w:bCs/>
                <w:color w:val="000000"/>
                <w:lang w:eastAsia="en-IN"/>
              </w:rPr>
            </w:pPr>
            <w:r>
              <w:rPr>
                <w:b/>
                <w:bCs/>
                <w:color w:val="000000"/>
                <w:lang w:eastAsia="en-IN"/>
              </w:rPr>
              <w:t>Fruit diameter (cm)</w:t>
            </w:r>
          </w:p>
        </w:tc>
        <w:tc>
          <w:tcPr>
            <w:tcW w:w="1177" w:type="pct"/>
            <w:gridSpan w:val="3"/>
            <w:vAlign w:val="center"/>
          </w:tcPr>
          <w:p w14:paraId="75FDD1F5">
            <w:pPr>
              <w:spacing w:line="360" w:lineRule="auto"/>
              <w:jc w:val="center"/>
              <w:rPr>
                <w:b/>
                <w:bCs/>
                <w:color w:val="000000"/>
                <w:lang w:eastAsia="en-IN"/>
              </w:rPr>
            </w:pPr>
            <w:r>
              <w:rPr>
                <w:b/>
                <w:bCs/>
                <w:color w:val="000000"/>
                <w:lang w:eastAsia="en-IN"/>
              </w:rPr>
              <w:t>Average fruit weight (g)</w:t>
            </w:r>
          </w:p>
        </w:tc>
      </w:tr>
      <w:tr w14:paraId="28B0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vMerge w:val="continue"/>
            <w:shd w:val="clear" w:color="auto" w:fill="auto"/>
            <w:vAlign w:val="center"/>
          </w:tcPr>
          <w:p w14:paraId="54B90D6E">
            <w:pPr>
              <w:spacing w:line="360" w:lineRule="auto"/>
              <w:jc w:val="center"/>
              <w:rPr>
                <w:b/>
                <w:bCs/>
                <w:color w:val="000000"/>
                <w:lang w:eastAsia="en-IN"/>
              </w:rPr>
            </w:pPr>
          </w:p>
        </w:tc>
        <w:tc>
          <w:tcPr>
            <w:tcW w:w="381" w:type="pct"/>
            <w:shd w:val="clear" w:color="auto" w:fill="auto"/>
            <w:noWrap/>
            <w:vAlign w:val="center"/>
          </w:tcPr>
          <w:p w14:paraId="5A451744">
            <w:pPr>
              <w:spacing w:line="360" w:lineRule="auto"/>
              <w:jc w:val="center"/>
              <w:rPr>
                <w:b/>
                <w:bCs/>
                <w:color w:val="000000"/>
                <w:lang w:eastAsia="en-IN"/>
              </w:rPr>
            </w:pPr>
            <w:r>
              <w:rPr>
                <w:b/>
                <w:bCs/>
                <w:color w:val="000000"/>
                <w:lang w:eastAsia="en-IN"/>
              </w:rPr>
              <w:t>2022-23</w:t>
            </w:r>
          </w:p>
        </w:tc>
        <w:tc>
          <w:tcPr>
            <w:tcW w:w="383" w:type="pct"/>
            <w:shd w:val="clear" w:color="auto" w:fill="auto"/>
            <w:noWrap/>
            <w:vAlign w:val="center"/>
          </w:tcPr>
          <w:p w14:paraId="279A7188">
            <w:pPr>
              <w:spacing w:line="360" w:lineRule="auto"/>
              <w:jc w:val="center"/>
              <w:rPr>
                <w:b/>
                <w:bCs/>
                <w:color w:val="000000"/>
                <w:lang w:eastAsia="en-IN"/>
              </w:rPr>
            </w:pPr>
            <w:r>
              <w:rPr>
                <w:b/>
                <w:bCs/>
                <w:color w:val="000000"/>
                <w:lang w:eastAsia="en-IN"/>
              </w:rPr>
              <w:t>2023-24</w:t>
            </w:r>
          </w:p>
        </w:tc>
        <w:tc>
          <w:tcPr>
            <w:tcW w:w="349" w:type="pct"/>
            <w:shd w:val="clear" w:color="auto" w:fill="auto"/>
            <w:vAlign w:val="center"/>
          </w:tcPr>
          <w:p w14:paraId="6B024279">
            <w:pPr>
              <w:spacing w:line="360" w:lineRule="auto"/>
              <w:jc w:val="center"/>
              <w:rPr>
                <w:b/>
                <w:bCs/>
                <w:color w:val="000000"/>
                <w:lang w:eastAsia="en-IN"/>
              </w:rPr>
            </w:pPr>
            <w:r>
              <w:rPr>
                <w:b/>
                <w:bCs/>
                <w:color w:val="000000"/>
                <w:lang w:eastAsia="en-IN"/>
              </w:rPr>
              <w:t>Pooled mean</w:t>
            </w:r>
          </w:p>
        </w:tc>
        <w:tc>
          <w:tcPr>
            <w:tcW w:w="383" w:type="pct"/>
            <w:shd w:val="clear" w:color="auto" w:fill="auto"/>
            <w:noWrap/>
            <w:vAlign w:val="center"/>
          </w:tcPr>
          <w:p w14:paraId="50BD1484">
            <w:pPr>
              <w:spacing w:line="360" w:lineRule="auto"/>
              <w:jc w:val="center"/>
              <w:rPr>
                <w:b/>
                <w:bCs/>
                <w:color w:val="000000"/>
                <w:lang w:eastAsia="en-IN"/>
              </w:rPr>
            </w:pPr>
            <w:r>
              <w:rPr>
                <w:b/>
                <w:bCs/>
                <w:color w:val="000000"/>
                <w:lang w:eastAsia="en-IN"/>
              </w:rPr>
              <w:t>2022-23</w:t>
            </w:r>
          </w:p>
        </w:tc>
        <w:tc>
          <w:tcPr>
            <w:tcW w:w="382" w:type="pct"/>
            <w:shd w:val="clear" w:color="auto" w:fill="auto"/>
            <w:noWrap/>
            <w:vAlign w:val="center"/>
          </w:tcPr>
          <w:p w14:paraId="00C8EFD6">
            <w:pPr>
              <w:spacing w:line="360" w:lineRule="auto"/>
              <w:jc w:val="center"/>
              <w:rPr>
                <w:b/>
                <w:bCs/>
                <w:color w:val="000000"/>
                <w:lang w:eastAsia="en-IN"/>
              </w:rPr>
            </w:pPr>
            <w:r>
              <w:rPr>
                <w:b/>
                <w:bCs/>
                <w:color w:val="000000"/>
                <w:lang w:eastAsia="en-IN"/>
              </w:rPr>
              <w:t>2023-24</w:t>
            </w:r>
          </w:p>
        </w:tc>
        <w:tc>
          <w:tcPr>
            <w:tcW w:w="348" w:type="pct"/>
            <w:shd w:val="clear" w:color="auto" w:fill="auto"/>
            <w:vAlign w:val="center"/>
          </w:tcPr>
          <w:p w14:paraId="37A59D17">
            <w:pPr>
              <w:spacing w:line="360" w:lineRule="auto"/>
              <w:jc w:val="center"/>
              <w:rPr>
                <w:b/>
                <w:bCs/>
                <w:color w:val="000000"/>
                <w:lang w:eastAsia="en-IN"/>
              </w:rPr>
            </w:pPr>
            <w:r>
              <w:rPr>
                <w:b/>
                <w:bCs/>
                <w:color w:val="000000"/>
                <w:lang w:eastAsia="en-IN"/>
              </w:rPr>
              <w:t>Pooled mean</w:t>
            </w:r>
          </w:p>
        </w:tc>
        <w:tc>
          <w:tcPr>
            <w:tcW w:w="381" w:type="pct"/>
            <w:vAlign w:val="center"/>
          </w:tcPr>
          <w:p w14:paraId="6788459C">
            <w:pPr>
              <w:spacing w:line="360" w:lineRule="auto"/>
              <w:jc w:val="center"/>
              <w:rPr>
                <w:b/>
                <w:bCs/>
                <w:color w:val="000000"/>
                <w:lang w:eastAsia="en-IN"/>
              </w:rPr>
            </w:pPr>
            <w:r>
              <w:rPr>
                <w:b/>
                <w:bCs/>
                <w:color w:val="000000"/>
                <w:lang w:eastAsia="en-IN"/>
              </w:rPr>
              <w:t>2022-23</w:t>
            </w:r>
          </w:p>
        </w:tc>
        <w:tc>
          <w:tcPr>
            <w:tcW w:w="393" w:type="pct"/>
            <w:vAlign w:val="center"/>
          </w:tcPr>
          <w:p w14:paraId="71E35732">
            <w:pPr>
              <w:spacing w:line="360" w:lineRule="auto"/>
              <w:jc w:val="center"/>
              <w:rPr>
                <w:b/>
                <w:bCs/>
                <w:color w:val="000000"/>
                <w:lang w:eastAsia="en-IN"/>
              </w:rPr>
            </w:pPr>
            <w:r>
              <w:rPr>
                <w:b/>
                <w:bCs/>
                <w:color w:val="000000"/>
                <w:lang w:eastAsia="en-IN"/>
              </w:rPr>
              <w:t>2023-24</w:t>
            </w:r>
          </w:p>
        </w:tc>
        <w:tc>
          <w:tcPr>
            <w:tcW w:w="403" w:type="pct"/>
            <w:vAlign w:val="center"/>
          </w:tcPr>
          <w:p w14:paraId="39951E16">
            <w:pPr>
              <w:spacing w:line="360" w:lineRule="auto"/>
              <w:jc w:val="center"/>
              <w:rPr>
                <w:b/>
                <w:bCs/>
                <w:color w:val="000000"/>
                <w:lang w:eastAsia="en-IN"/>
              </w:rPr>
            </w:pPr>
            <w:r>
              <w:rPr>
                <w:b/>
                <w:bCs/>
                <w:color w:val="000000"/>
                <w:lang w:eastAsia="en-IN"/>
              </w:rPr>
              <w:t>Pooled mean</w:t>
            </w:r>
          </w:p>
        </w:tc>
      </w:tr>
      <w:tr w14:paraId="0C1A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061BAC89">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381" w:type="pct"/>
            <w:shd w:val="clear" w:color="auto" w:fill="auto"/>
            <w:vAlign w:val="center"/>
          </w:tcPr>
          <w:p w14:paraId="6EB6BAFD">
            <w:pPr>
              <w:spacing w:line="360" w:lineRule="auto"/>
              <w:jc w:val="center"/>
              <w:rPr>
                <w:color w:val="000000"/>
              </w:rPr>
            </w:pPr>
            <w:r>
              <w:rPr>
                <w:color w:val="000000"/>
              </w:rPr>
              <w:t>7.4</w:t>
            </w:r>
          </w:p>
        </w:tc>
        <w:tc>
          <w:tcPr>
            <w:tcW w:w="383" w:type="pct"/>
            <w:shd w:val="clear" w:color="auto" w:fill="auto"/>
            <w:vAlign w:val="center"/>
          </w:tcPr>
          <w:p w14:paraId="73307717">
            <w:pPr>
              <w:spacing w:line="360" w:lineRule="auto"/>
              <w:jc w:val="center"/>
              <w:rPr>
                <w:color w:val="000000"/>
              </w:rPr>
            </w:pPr>
            <w:r>
              <w:rPr>
                <w:color w:val="000000"/>
              </w:rPr>
              <w:t>7.62</w:t>
            </w:r>
          </w:p>
        </w:tc>
        <w:tc>
          <w:tcPr>
            <w:tcW w:w="349" w:type="pct"/>
            <w:shd w:val="clear" w:color="auto" w:fill="auto"/>
            <w:noWrap/>
            <w:vAlign w:val="center"/>
          </w:tcPr>
          <w:p w14:paraId="25559EE0">
            <w:pPr>
              <w:spacing w:line="360" w:lineRule="auto"/>
              <w:jc w:val="center"/>
              <w:rPr>
                <w:color w:val="000000"/>
              </w:rPr>
            </w:pPr>
            <w:r>
              <w:rPr>
                <w:color w:val="000000"/>
              </w:rPr>
              <w:t>7.51</w:t>
            </w:r>
          </w:p>
        </w:tc>
        <w:tc>
          <w:tcPr>
            <w:tcW w:w="383" w:type="pct"/>
            <w:shd w:val="clear" w:color="auto" w:fill="auto"/>
            <w:vAlign w:val="center"/>
          </w:tcPr>
          <w:p w14:paraId="60BCB20B">
            <w:pPr>
              <w:spacing w:line="360" w:lineRule="auto"/>
              <w:jc w:val="center"/>
              <w:rPr>
                <w:color w:val="000000"/>
                <w:lang w:eastAsia="en-IN"/>
              </w:rPr>
            </w:pPr>
            <w:r>
              <w:rPr>
                <w:color w:val="000000"/>
                <w:lang w:eastAsia="en-IN"/>
              </w:rPr>
              <w:t>6.43</w:t>
            </w:r>
          </w:p>
        </w:tc>
        <w:tc>
          <w:tcPr>
            <w:tcW w:w="382" w:type="pct"/>
            <w:shd w:val="clear" w:color="auto" w:fill="auto"/>
            <w:vAlign w:val="center"/>
          </w:tcPr>
          <w:p w14:paraId="42073274">
            <w:pPr>
              <w:spacing w:line="360" w:lineRule="auto"/>
              <w:jc w:val="center"/>
              <w:rPr>
                <w:color w:val="000000"/>
                <w:lang w:eastAsia="en-IN"/>
              </w:rPr>
            </w:pPr>
            <w:r>
              <w:rPr>
                <w:color w:val="000000"/>
                <w:lang w:eastAsia="en-IN"/>
              </w:rPr>
              <w:t>6.67</w:t>
            </w:r>
          </w:p>
        </w:tc>
        <w:tc>
          <w:tcPr>
            <w:tcW w:w="348" w:type="pct"/>
            <w:shd w:val="clear" w:color="auto" w:fill="auto"/>
            <w:noWrap/>
            <w:vAlign w:val="center"/>
          </w:tcPr>
          <w:p w14:paraId="2927598B">
            <w:pPr>
              <w:spacing w:line="360" w:lineRule="auto"/>
              <w:jc w:val="center"/>
              <w:rPr>
                <w:color w:val="000000"/>
                <w:lang w:eastAsia="en-IN"/>
              </w:rPr>
            </w:pPr>
            <w:r>
              <w:rPr>
                <w:color w:val="000000"/>
                <w:lang w:eastAsia="en-IN"/>
              </w:rPr>
              <w:t>6.55</w:t>
            </w:r>
          </w:p>
        </w:tc>
        <w:tc>
          <w:tcPr>
            <w:tcW w:w="381" w:type="pct"/>
            <w:vAlign w:val="center"/>
          </w:tcPr>
          <w:p w14:paraId="65A2F552">
            <w:pPr>
              <w:spacing w:line="360" w:lineRule="auto"/>
              <w:jc w:val="center"/>
              <w:rPr>
                <w:color w:val="000000"/>
              </w:rPr>
            </w:pPr>
            <w:r>
              <w:rPr>
                <w:color w:val="000000"/>
              </w:rPr>
              <w:t>84.83</w:t>
            </w:r>
          </w:p>
        </w:tc>
        <w:tc>
          <w:tcPr>
            <w:tcW w:w="393" w:type="pct"/>
            <w:vAlign w:val="center"/>
          </w:tcPr>
          <w:p w14:paraId="37AA4419">
            <w:pPr>
              <w:spacing w:line="360" w:lineRule="auto"/>
              <w:jc w:val="center"/>
              <w:rPr>
                <w:color w:val="000000"/>
              </w:rPr>
            </w:pPr>
            <w:r>
              <w:rPr>
                <w:color w:val="000000"/>
              </w:rPr>
              <w:t>85.59</w:t>
            </w:r>
          </w:p>
        </w:tc>
        <w:tc>
          <w:tcPr>
            <w:tcW w:w="403" w:type="pct"/>
            <w:vAlign w:val="center"/>
          </w:tcPr>
          <w:p w14:paraId="1A034FD9">
            <w:pPr>
              <w:spacing w:line="360" w:lineRule="auto"/>
              <w:jc w:val="center"/>
              <w:rPr>
                <w:color w:val="000000"/>
              </w:rPr>
            </w:pPr>
            <w:r>
              <w:rPr>
                <w:color w:val="000000"/>
              </w:rPr>
              <w:t>85.21</w:t>
            </w:r>
          </w:p>
        </w:tc>
      </w:tr>
      <w:tr w14:paraId="4E4C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7F044FE7">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381" w:type="pct"/>
            <w:shd w:val="clear" w:color="auto" w:fill="auto"/>
            <w:vAlign w:val="center"/>
          </w:tcPr>
          <w:p w14:paraId="637A541E">
            <w:pPr>
              <w:spacing w:line="360" w:lineRule="auto"/>
              <w:jc w:val="center"/>
              <w:rPr>
                <w:color w:val="000000"/>
              </w:rPr>
            </w:pPr>
            <w:r>
              <w:rPr>
                <w:color w:val="000000"/>
              </w:rPr>
              <w:t>7.19</w:t>
            </w:r>
          </w:p>
        </w:tc>
        <w:tc>
          <w:tcPr>
            <w:tcW w:w="383" w:type="pct"/>
            <w:shd w:val="clear" w:color="auto" w:fill="auto"/>
            <w:vAlign w:val="center"/>
          </w:tcPr>
          <w:p w14:paraId="66F9DED5">
            <w:pPr>
              <w:spacing w:line="360" w:lineRule="auto"/>
              <w:jc w:val="center"/>
              <w:rPr>
                <w:color w:val="000000"/>
              </w:rPr>
            </w:pPr>
            <w:r>
              <w:rPr>
                <w:color w:val="000000"/>
              </w:rPr>
              <w:t>7.45</w:t>
            </w:r>
          </w:p>
        </w:tc>
        <w:tc>
          <w:tcPr>
            <w:tcW w:w="349" w:type="pct"/>
            <w:shd w:val="clear" w:color="auto" w:fill="auto"/>
            <w:noWrap/>
            <w:vAlign w:val="center"/>
          </w:tcPr>
          <w:p w14:paraId="1AE68CB7">
            <w:pPr>
              <w:spacing w:line="360" w:lineRule="auto"/>
              <w:jc w:val="center"/>
              <w:rPr>
                <w:color w:val="000000"/>
              </w:rPr>
            </w:pPr>
            <w:r>
              <w:rPr>
                <w:color w:val="000000"/>
              </w:rPr>
              <w:t>7.32</w:t>
            </w:r>
          </w:p>
        </w:tc>
        <w:tc>
          <w:tcPr>
            <w:tcW w:w="383" w:type="pct"/>
            <w:shd w:val="clear" w:color="auto" w:fill="auto"/>
            <w:vAlign w:val="center"/>
          </w:tcPr>
          <w:p w14:paraId="19B0FB36">
            <w:pPr>
              <w:spacing w:line="360" w:lineRule="auto"/>
              <w:jc w:val="center"/>
              <w:rPr>
                <w:color w:val="000000"/>
                <w:lang w:eastAsia="en-IN"/>
              </w:rPr>
            </w:pPr>
            <w:r>
              <w:rPr>
                <w:color w:val="000000"/>
                <w:lang w:eastAsia="en-IN"/>
              </w:rPr>
              <w:t>6.28</w:t>
            </w:r>
          </w:p>
        </w:tc>
        <w:tc>
          <w:tcPr>
            <w:tcW w:w="382" w:type="pct"/>
            <w:shd w:val="clear" w:color="auto" w:fill="auto"/>
            <w:vAlign w:val="center"/>
          </w:tcPr>
          <w:p w14:paraId="35A1F8F8">
            <w:pPr>
              <w:spacing w:line="360" w:lineRule="auto"/>
              <w:jc w:val="center"/>
              <w:rPr>
                <w:color w:val="000000"/>
                <w:lang w:eastAsia="en-IN"/>
              </w:rPr>
            </w:pPr>
            <w:r>
              <w:rPr>
                <w:color w:val="000000"/>
                <w:lang w:eastAsia="en-IN"/>
              </w:rPr>
              <w:t>6.54</w:t>
            </w:r>
          </w:p>
        </w:tc>
        <w:tc>
          <w:tcPr>
            <w:tcW w:w="348" w:type="pct"/>
            <w:shd w:val="clear" w:color="auto" w:fill="auto"/>
            <w:noWrap/>
            <w:vAlign w:val="center"/>
          </w:tcPr>
          <w:p w14:paraId="21D91E55">
            <w:pPr>
              <w:spacing w:line="360" w:lineRule="auto"/>
              <w:jc w:val="center"/>
              <w:rPr>
                <w:color w:val="000000"/>
                <w:lang w:eastAsia="en-IN"/>
              </w:rPr>
            </w:pPr>
            <w:r>
              <w:rPr>
                <w:color w:val="000000"/>
                <w:lang w:eastAsia="en-IN"/>
              </w:rPr>
              <w:t>6.41</w:t>
            </w:r>
          </w:p>
        </w:tc>
        <w:tc>
          <w:tcPr>
            <w:tcW w:w="381" w:type="pct"/>
            <w:vAlign w:val="center"/>
          </w:tcPr>
          <w:p w14:paraId="216D6D5C">
            <w:pPr>
              <w:spacing w:line="360" w:lineRule="auto"/>
              <w:jc w:val="center"/>
              <w:rPr>
                <w:color w:val="000000"/>
              </w:rPr>
            </w:pPr>
            <w:r>
              <w:rPr>
                <w:color w:val="000000"/>
              </w:rPr>
              <w:t>81.80</w:t>
            </w:r>
          </w:p>
        </w:tc>
        <w:tc>
          <w:tcPr>
            <w:tcW w:w="393" w:type="pct"/>
            <w:vAlign w:val="center"/>
          </w:tcPr>
          <w:p w14:paraId="7E092B06">
            <w:pPr>
              <w:spacing w:line="360" w:lineRule="auto"/>
              <w:jc w:val="center"/>
              <w:rPr>
                <w:color w:val="000000"/>
              </w:rPr>
            </w:pPr>
            <w:r>
              <w:rPr>
                <w:color w:val="000000"/>
              </w:rPr>
              <w:t>84.50</w:t>
            </w:r>
          </w:p>
        </w:tc>
        <w:tc>
          <w:tcPr>
            <w:tcW w:w="403" w:type="pct"/>
            <w:vAlign w:val="center"/>
          </w:tcPr>
          <w:p w14:paraId="40C485C2">
            <w:pPr>
              <w:spacing w:line="360" w:lineRule="auto"/>
              <w:jc w:val="center"/>
              <w:rPr>
                <w:color w:val="000000"/>
              </w:rPr>
            </w:pPr>
            <w:r>
              <w:rPr>
                <w:color w:val="000000"/>
              </w:rPr>
              <w:t>83.15</w:t>
            </w:r>
          </w:p>
        </w:tc>
      </w:tr>
      <w:tr w14:paraId="0D25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5C18B245">
            <w:pPr>
              <w:spacing w:line="360" w:lineRule="auto"/>
              <w:rPr>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381" w:type="pct"/>
            <w:shd w:val="clear" w:color="auto" w:fill="auto"/>
            <w:vAlign w:val="center"/>
          </w:tcPr>
          <w:p w14:paraId="3A7BF787">
            <w:pPr>
              <w:spacing w:line="360" w:lineRule="auto"/>
              <w:jc w:val="center"/>
              <w:rPr>
                <w:color w:val="000000"/>
              </w:rPr>
            </w:pPr>
            <w:r>
              <w:rPr>
                <w:color w:val="000000"/>
              </w:rPr>
              <w:t>9.4</w:t>
            </w:r>
          </w:p>
        </w:tc>
        <w:tc>
          <w:tcPr>
            <w:tcW w:w="383" w:type="pct"/>
            <w:shd w:val="clear" w:color="auto" w:fill="auto"/>
            <w:vAlign w:val="center"/>
          </w:tcPr>
          <w:p w14:paraId="40D3D68D">
            <w:pPr>
              <w:spacing w:line="360" w:lineRule="auto"/>
              <w:jc w:val="center"/>
              <w:rPr>
                <w:color w:val="000000"/>
              </w:rPr>
            </w:pPr>
            <w:r>
              <w:rPr>
                <w:color w:val="000000"/>
              </w:rPr>
              <w:t>9.7</w:t>
            </w:r>
          </w:p>
        </w:tc>
        <w:tc>
          <w:tcPr>
            <w:tcW w:w="349" w:type="pct"/>
            <w:shd w:val="clear" w:color="auto" w:fill="auto"/>
            <w:noWrap/>
            <w:vAlign w:val="center"/>
          </w:tcPr>
          <w:p w14:paraId="19DAB744">
            <w:pPr>
              <w:spacing w:line="360" w:lineRule="auto"/>
              <w:jc w:val="center"/>
              <w:rPr>
                <w:color w:val="000000"/>
              </w:rPr>
            </w:pPr>
            <w:r>
              <w:rPr>
                <w:color w:val="000000"/>
              </w:rPr>
              <w:t>9.55</w:t>
            </w:r>
          </w:p>
        </w:tc>
        <w:tc>
          <w:tcPr>
            <w:tcW w:w="383" w:type="pct"/>
            <w:shd w:val="clear" w:color="auto" w:fill="auto"/>
            <w:vAlign w:val="center"/>
          </w:tcPr>
          <w:p w14:paraId="76B56F96">
            <w:pPr>
              <w:spacing w:line="360" w:lineRule="auto"/>
              <w:jc w:val="center"/>
              <w:rPr>
                <w:color w:val="000000"/>
                <w:lang w:eastAsia="en-IN"/>
              </w:rPr>
            </w:pPr>
            <w:r>
              <w:rPr>
                <w:color w:val="000000"/>
                <w:lang w:eastAsia="en-IN"/>
              </w:rPr>
              <w:t>7.83</w:t>
            </w:r>
          </w:p>
        </w:tc>
        <w:tc>
          <w:tcPr>
            <w:tcW w:w="382" w:type="pct"/>
            <w:shd w:val="clear" w:color="auto" w:fill="auto"/>
            <w:vAlign w:val="center"/>
          </w:tcPr>
          <w:p w14:paraId="2986BD10">
            <w:pPr>
              <w:spacing w:line="360" w:lineRule="auto"/>
              <w:jc w:val="center"/>
              <w:rPr>
                <w:color w:val="000000"/>
                <w:lang w:eastAsia="en-IN"/>
              </w:rPr>
            </w:pPr>
            <w:r>
              <w:rPr>
                <w:color w:val="000000"/>
                <w:lang w:eastAsia="en-IN"/>
              </w:rPr>
              <w:t>8.09</w:t>
            </w:r>
          </w:p>
        </w:tc>
        <w:tc>
          <w:tcPr>
            <w:tcW w:w="348" w:type="pct"/>
            <w:shd w:val="clear" w:color="auto" w:fill="auto"/>
            <w:noWrap/>
            <w:vAlign w:val="center"/>
          </w:tcPr>
          <w:p w14:paraId="310FD41F">
            <w:pPr>
              <w:spacing w:line="360" w:lineRule="auto"/>
              <w:jc w:val="center"/>
              <w:rPr>
                <w:color w:val="000000"/>
                <w:lang w:eastAsia="en-IN"/>
              </w:rPr>
            </w:pPr>
            <w:r>
              <w:rPr>
                <w:color w:val="000000"/>
                <w:lang w:eastAsia="en-IN"/>
              </w:rPr>
              <w:t>7.96</w:t>
            </w:r>
          </w:p>
        </w:tc>
        <w:tc>
          <w:tcPr>
            <w:tcW w:w="381" w:type="pct"/>
            <w:vAlign w:val="center"/>
          </w:tcPr>
          <w:p w14:paraId="474983C6">
            <w:pPr>
              <w:spacing w:line="360" w:lineRule="auto"/>
              <w:jc w:val="center"/>
              <w:rPr>
                <w:color w:val="000000"/>
              </w:rPr>
            </w:pPr>
            <w:r>
              <w:rPr>
                <w:color w:val="000000"/>
              </w:rPr>
              <w:t>95.04</w:t>
            </w:r>
          </w:p>
        </w:tc>
        <w:tc>
          <w:tcPr>
            <w:tcW w:w="393" w:type="pct"/>
            <w:vAlign w:val="center"/>
          </w:tcPr>
          <w:p w14:paraId="6A512CF3">
            <w:pPr>
              <w:spacing w:line="360" w:lineRule="auto"/>
              <w:jc w:val="center"/>
              <w:rPr>
                <w:color w:val="000000"/>
              </w:rPr>
            </w:pPr>
            <w:r>
              <w:rPr>
                <w:color w:val="000000"/>
              </w:rPr>
              <w:t>96.44</w:t>
            </w:r>
          </w:p>
        </w:tc>
        <w:tc>
          <w:tcPr>
            <w:tcW w:w="403" w:type="pct"/>
            <w:vAlign w:val="center"/>
          </w:tcPr>
          <w:p w14:paraId="4736674E">
            <w:pPr>
              <w:spacing w:line="360" w:lineRule="auto"/>
              <w:jc w:val="center"/>
              <w:rPr>
                <w:color w:val="000000"/>
              </w:rPr>
            </w:pPr>
            <w:r>
              <w:rPr>
                <w:color w:val="000000"/>
              </w:rPr>
              <w:t>95.74</w:t>
            </w:r>
          </w:p>
        </w:tc>
      </w:tr>
      <w:tr w14:paraId="5BB8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02FF5F40">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381" w:type="pct"/>
            <w:shd w:val="clear" w:color="auto" w:fill="auto"/>
            <w:vAlign w:val="center"/>
          </w:tcPr>
          <w:p w14:paraId="19F5C63C">
            <w:pPr>
              <w:spacing w:line="360" w:lineRule="auto"/>
              <w:jc w:val="center"/>
              <w:rPr>
                <w:color w:val="000000"/>
              </w:rPr>
            </w:pPr>
            <w:r>
              <w:rPr>
                <w:color w:val="000000"/>
              </w:rPr>
              <w:t>8.17</w:t>
            </w:r>
          </w:p>
        </w:tc>
        <w:tc>
          <w:tcPr>
            <w:tcW w:w="383" w:type="pct"/>
            <w:shd w:val="clear" w:color="auto" w:fill="auto"/>
            <w:vAlign w:val="center"/>
          </w:tcPr>
          <w:p w14:paraId="04C2B72E">
            <w:pPr>
              <w:spacing w:line="360" w:lineRule="auto"/>
              <w:jc w:val="center"/>
              <w:rPr>
                <w:color w:val="000000"/>
              </w:rPr>
            </w:pPr>
            <w:r>
              <w:rPr>
                <w:color w:val="000000"/>
              </w:rPr>
              <w:t>8.45</w:t>
            </w:r>
          </w:p>
        </w:tc>
        <w:tc>
          <w:tcPr>
            <w:tcW w:w="349" w:type="pct"/>
            <w:shd w:val="clear" w:color="auto" w:fill="auto"/>
            <w:noWrap/>
            <w:vAlign w:val="center"/>
          </w:tcPr>
          <w:p w14:paraId="3CFA1FDA">
            <w:pPr>
              <w:spacing w:line="360" w:lineRule="auto"/>
              <w:jc w:val="center"/>
              <w:rPr>
                <w:color w:val="000000"/>
              </w:rPr>
            </w:pPr>
            <w:r>
              <w:rPr>
                <w:color w:val="000000"/>
              </w:rPr>
              <w:t>8.31</w:t>
            </w:r>
          </w:p>
        </w:tc>
        <w:tc>
          <w:tcPr>
            <w:tcW w:w="383" w:type="pct"/>
            <w:shd w:val="clear" w:color="auto" w:fill="auto"/>
            <w:vAlign w:val="center"/>
          </w:tcPr>
          <w:p w14:paraId="62A4B440">
            <w:pPr>
              <w:spacing w:line="360" w:lineRule="auto"/>
              <w:jc w:val="center"/>
              <w:rPr>
                <w:color w:val="000000"/>
                <w:lang w:eastAsia="en-IN"/>
              </w:rPr>
            </w:pPr>
            <w:r>
              <w:rPr>
                <w:color w:val="000000"/>
                <w:lang w:eastAsia="en-IN"/>
              </w:rPr>
              <w:t>7.05</w:t>
            </w:r>
          </w:p>
        </w:tc>
        <w:tc>
          <w:tcPr>
            <w:tcW w:w="382" w:type="pct"/>
            <w:shd w:val="clear" w:color="auto" w:fill="auto"/>
            <w:vAlign w:val="center"/>
          </w:tcPr>
          <w:p w14:paraId="63A3F515">
            <w:pPr>
              <w:spacing w:line="360" w:lineRule="auto"/>
              <w:jc w:val="center"/>
              <w:rPr>
                <w:color w:val="000000"/>
                <w:lang w:eastAsia="en-IN"/>
              </w:rPr>
            </w:pPr>
            <w:r>
              <w:rPr>
                <w:color w:val="000000"/>
                <w:lang w:eastAsia="en-IN"/>
              </w:rPr>
              <w:t>7.33</w:t>
            </w:r>
          </w:p>
        </w:tc>
        <w:tc>
          <w:tcPr>
            <w:tcW w:w="348" w:type="pct"/>
            <w:shd w:val="clear" w:color="auto" w:fill="auto"/>
            <w:noWrap/>
            <w:vAlign w:val="center"/>
          </w:tcPr>
          <w:p w14:paraId="23FE0DCF">
            <w:pPr>
              <w:spacing w:line="360" w:lineRule="auto"/>
              <w:jc w:val="center"/>
              <w:rPr>
                <w:color w:val="000000"/>
                <w:lang w:eastAsia="en-IN"/>
              </w:rPr>
            </w:pPr>
            <w:r>
              <w:rPr>
                <w:color w:val="000000"/>
                <w:lang w:eastAsia="en-IN"/>
              </w:rPr>
              <w:t>7.19</w:t>
            </w:r>
          </w:p>
        </w:tc>
        <w:tc>
          <w:tcPr>
            <w:tcW w:w="381" w:type="pct"/>
            <w:vAlign w:val="center"/>
          </w:tcPr>
          <w:p w14:paraId="6464763E">
            <w:pPr>
              <w:spacing w:line="360" w:lineRule="auto"/>
              <w:jc w:val="center"/>
              <w:rPr>
                <w:color w:val="000000"/>
              </w:rPr>
            </w:pPr>
            <w:r>
              <w:rPr>
                <w:color w:val="000000"/>
              </w:rPr>
              <w:t>89.67</w:t>
            </w:r>
          </w:p>
        </w:tc>
        <w:tc>
          <w:tcPr>
            <w:tcW w:w="393" w:type="pct"/>
            <w:vAlign w:val="center"/>
          </w:tcPr>
          <w:p w14:paraId="7D1923A1">
            <w:pPr>
              <w:spacing w:line="360" w:lineRule="auto"/>
              <w:jc w:val="center"/>
              <w:rPr>
                <w:color w:val="000000"/>
              </w:rPr>
            </w:pPr>
            <w:r>
              <w:rPr>
                <w:color w:val="000000"/>
              </w:rPr>
              <w:t>90.27</w:t>
            </w:r>
          </w:p>
        </w:tc>
        <w:tc>
          <w:tcPr>
            <w:tcW w:w="403" w:type="pct"/>
            <w:vAlign w:val="center"/>
          </w:tcPr>
          <w:p w14:paraId="4878C209">
            <w:pPr>
              <w:spacing w:line="360" w:lineRule="auto"/>
              <w:jc w:val="center"/>
              <w:rPr>
                <w:color w:val="000000"/>
              </w:rPr>
            </w:pPr>
            <w:r>
              <w:rPr>
                <w:color w:val="000000"/>
              </w:rPr>
              <w:t>89.97</w:t>
            </w:r>
          </w:p>
        </w:tc>
      </w:tr>
      <w:tr w14:paraId="58DE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588AC92F">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381" w:type="pct"/>
            <w:shd w:val="clear" w:color="auto" w:fill="auto"/>
            <w:vAlign w:val="center"/>
          </w:tcPr>
          <w:p w14:paraId="5F55033D">
            <w:pPr>
              <w:spacing w:line="360" w:lineRule="auto"/>
              <w:jc w:val="center"/>
              <w:rPr>
                <w:color w:val="000000"/>
              </w:rPr>
            </w:pPr>
            <w:r>
              <w:rPr>
                <w:color w:val="000000"/>
              </w:rPr>
              <w:t>8.37</w:t>
            </w:r>
          </w:p>
        </w:tc>
        <w:tc>
          <w:tcPr>
            <w:tcW w:w="383" w:type="pct"/>
            <w:shd w:val="clear" w:color="auto" w:fill="auto"/>
            <w:vAlign w:val="center"/>
          </w:tcPr>
          <w:p w14:paraId="5B6A1BF7">
            <w:pPr>
              <w:spacing w:line="360" w:lineRule="auto"/>
              <w:jc w:val="center"/>
              <w:rPr>
                <w:color w:val="000000"/>
              </w:rPr>
            </w:pPr>
            <w:r>
              <w:rPr>
                <w:color w:val="000000"/>
              </w:rPr>
              <w:t>8.55</w:t>
            </w:r>
          </w:p>
        </w:tc>
        <w:tc>
          <w:tcPr>
            <w:tcW w:w="349" w:type="pct"/>
            <w:shd w:val="clear" w:color="auto" w:fill="auto"/>
            <w:noWrap/>
            <w:vAlign w:val="center"/>
          </w:tcPr>
          <w:p w14:paraId="10BFC6A6">
            <w:pPr>
              <w:spacing w:line="360" w:lineRule="auto"/>
              <w:jc w:val="center"/>
              <w:rPr>
                <w:color w:val="000000"/>
              </w:rPr>
            </w:pPr>
            <w:r>
              <w:rPr>
                <w:color w:val="000000"/>
              </w:rPr>
              <w:t>8.46</w:t>
            </w:r>
          </w:p>
        </w:tc>
        <w:tc>
          <w:tcPr>
            <w:tcW w:w="383" w:type="pct"/>
            <w:shd w:val="clear" w:color="auto" w:fill="auto"/>
            <w:vAlign w:val="center"/>
          </w:tcPr>
          <w:p w14:paraId="283481B5">
            <w:pPr>
              <w:spacing w:line="360" w:lineRule="auto"/>
              <w:jc w:val="center"/>
              <w:rPr>
                <w:color w:val="000000"/>
                <w:lang w:eastAsia="en-IN"/>
              </w:rPr>
            </w:pPr>
            <w:r>
              <w:rPr>
                <w:color w:val="000000"/>
                <w:lang w:eastAsia="en-IN"/>
              </w:rPr>
              <w:t>7.18</w:t>
            </w:r>
          </w:p>
        </w:tc>
        <w:tc>
          <w:tcPr>
            <w:tcW w:w="382" w:type="pct"/>
            <w:shd w:val="clear" w:color="auto" w:fill="auto"/>
            <w:vAlign w:val="center"/>
          </w:tcPr>
          <w:p w14:paraId="0160C776">
            <w:pPr>
              <w:spacing w:line="360" w:lineRule="auto"/>
              <w:jc w:val="center"/>
              <w:rPr>
                <w:color w:val="000000"/>
                <w:lang w:eastAsia="en-IN"/>
              </w:rPr>
            </w:pPr>
            <w:r>
              <w:rPr>
                <w:color w:val="000000"/>
                <w:lang w:eastAsia="en-IN"/>
              </w:rPr>
              <w:t>7.36</w:t>
            </w:r>
          </w:p>
        </w:tc>
        <w:tc>
          <w:tcPr>
            <w:tcW w:w="348" w:type="pct"/>
            <w:shd w:val="clear" w:color="auto" w:fill="auto"/>
            <w:noWrap/>
            <w:vAlign w:val="center"/>
          </w:tcPr>
          <w:p w14:paraId="78D0B103">
            <w:pPr>
              <w:spacing w:line="360" w:lineRule="auto"/>
              <w:jc w:val="center"/>
              <w:rPr>
                <w:color w:val="000000"/>
                <w:lang w:eastAsia="en-IN"/>
              </w:rPr>
            </w:pPr>
            <w:r>
              <w:rPr>
                <w:color w:val="000000"/>
                <w:lang w:eastAsia="en-IN"/>
              </w:rPr>
              <w:t>7.27</w:t>
            </w:r>
          </w:p>
        </w:tc>
        <w:tc>
          <w:tcPr>
            <w:tcW w:w="381" w:type="pct"/>
            <w:vAlign w:val="center"/>
          </w:tcPr>
          <w:p w14:paraId="7923B44D">
            <w:pPr>
              <w:spacing w:line="360" w:lineRule="auto"/>
              <w:jc w:val="center"/>
              <w:rPr>
                <w:color w:val="000000"/>
              </w:rPr>
            </w:pPr>
            <w:r>
              <w:rPr>
                <w:color w:val="000000"/>
              </w:rPr>
              <w:t>91.93</w:t>
            </w:r>
          </w:p>
        </w:tc>
        <w:tc>
          <w:tcPr>
            <w:tcW w:w="393" w:type="pct"/>
            <w:vAlign w:val="center"/>
          </w:tcPr>
          <w:p w14:paraId="69C8EF39">
            <w:pPr>
              <w:spacing w:line="360" w:lineRule="auto"/>
              <w:jc w:val="center"/>
              <w:rPr>
                <w:color w:val="000000"/>
              </w:rPr>
            </w:pPr>
            <w:r>
              <w:rPr>
                <w:color w:val="000000"/>
              </w:rPr>
              <w:t>93.99</w:t>
            </w:r>
          </w:p>
        </w:tc>
        <w:tc>
          <w:tcPr>
            <w:tcW w:w="403" w:type="pct"/>
            <w:vAlign w:val="center"/>
          </w:tcPr>
          <w:p w14:paraId="5C8E4448">
            <w:pPr>
              <w:spacing w:line="360" w:lineRule="auto"/>
              <w:jc w:val="center"/>
              <w:rPr>
                <w:color w:val="000000"/>
              </w:rPr>
            </w:pPr>
            <w:r>
              <w:rPr>
                <w:color w:val="000000"/>
              </w:rPr>
              <w:t>92.96</w:t>
            </w:r>
          </w:p>
        </w:tc>
      </w:tr>
      <w:tr w14:paraId="6F16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68B6D735">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381" w:type="pct"/>
            <w:shd w:val="clear" w:color="auto" w:fill="auto"/>
            <w:vAlign w:val="center"/>
          </w:tcPr>
          <w:p w14:paraId="496AF3CE">
            <w:pPr>
              <w:spacing w:line="360" w:lineRule="auto"/>
              <w:jc w:val="center"/>
              <w:rPr>
                <w:color w:val="000000"/>
              </w:rPr>
            </w:pPr>
            <w:r>
              <w:rPr>
                <w:color w:val="000000"/>
              </w:rPr>
              <w:t>7.54</w:t>
            </w:r>
          </w:p>
        </w:tc>
        <w:tc>
          <w:tcPr>
            <w:tcW w:w="383" w:type="pct"/>
            <w:shd w:val="clear" w:color="auto" w:fill="auto"/>
            <w:vAlign w:val="center"/>
          </w:tcPr>
          <w:p w14:paraId="271800BA">
            <w:pPr>
              <w:spacing w:line="360" w:lineRule="auto"/>
              <w:jc w:val="center"/>
              <w:rPr>
                <w:color w:val="000000"/>
              </w:rPr>
            </w:pPr>
            <w:r>
              <w:rPr>
                <w:color w:val="000000"/>
              </w:rPr>
              <w:t>7.76</w:t>
            </w:r>
          </w:p>
        </w:tc>
        <w:tc>
          <w:tcPr>
            <w:tcW w:w="349" w:type="pct"/>
            <w:shd w:val="clear" w:color="auto" w:fill="auto"/>
            <w:noWrap/>
            <w:vAlign w:val="center"/>
          </w:tcPr>
          <w:p w14:paraId="5EE09FB5">
            <w:pPr>
              <w:spacing w:line="360" w:lineRule="auto"/>
              <w:jc w:val="center"/>
              <w:rPr>
                <w:color w:val="000000"/>
              </w:rPr>
            </w:pPr>
            <w:r>
              <w:rPr>
                <w:color w:val="000000"/>
              </w:rPr>
              <w:t>7.65</w:t>
            </w:r>
          </w:p>
        </w:tc>
        <w:tc>
          <w:tcPr>
            <w:tcW w:w="383" w:type="pct"/>
            <w:shd w:val="clear" w:color="auto" w:fill="auto"/>
            <w:vAlign w:val="center"/>
          </w:tcPr>
          <w:p w14:paraId="6A5BCF2C">
            <w:pPr>
              <w:spacing w:line="360" w:lineRule="auto"/>
              <w:jc w:val="center"/>
              <w:rPr>
                <w:color w:val="000000"/>
                <w:lang w:eastAsia="en-IN"/>
              </w:rPr>
            </w:pPr>
            <w:r>
              <w:rPr>
                <w:color w:val="000000"/>
                <w:lang w:eastAsia="en-IN"/>
              </w:rPr>
              <w:t>6.58</w:t>
            </w:r>
          </w:p>
        </w:tc>
        <w:tc>
          <w:tcPr>
            <w:tcW w:w="382" w:type="pct"/>
            <w:shd w:val="clear" w:color="auto" w:fill="auto"/>
            <w:vAlign w:val="center"/>
          </w:tcPr>
          <w:p w14:paraId="5F27C4D1">
            <w:pPr>
              <w:spacing w:line="360" w:lineRule="auto"/>
              <w:jc w:val="center"/>
              <w:rPr>
                <w:color w:val="000000"/>
                <w:lang w:eastAsia="en-IN"/>
              </w:rPr>
            </w:pPr>
            <w:r>
              <w:rPr>
                <w:color w:val="000000"/>
                <w:lang w:eastAsia="en-IN"/>
              </w:rPr>
              <w:t>6.76</w:t>
            </w:r>
          </w:p>
        </w:tc>
        <w:tc>
          <w:tcPr>
            <w:tcW w:w="348" w:type="pct"/>
            <w:shd w:val="clear" w:color="auto" w:fill="auto"/>
            <w:noWrap/>
            <w:vAlign w:val="center"/>
          </w:tcPr>
          <w:p w14:paraId="13B66D1B">
            <w:pPr>
              <w:spacing w:line="360" w:lineRule="auto"/>
              <w:jc w:val="center"/>
              <w:rPr>
                <w:color w:val="000000"/>
                <w:lang w:eastAsia="en-IN"/>
              </w:rPr>
            </w:pPr>
            <w:r>
              <w:rPr>
                <w:color w:val="000000"/>
                <w:lang w:eastAsia="en-IN"/>
              </w:rPr>
              <w:t>6.67</w:t>
            </w:r>
          </w:p>
        </w:tc>
        <w:tc>
          <w:tcPr>
            <w:tcW w:w="381" w:type="pct"/>
            <w:vAlign w:val="center"/>
          </w:tcPr>
          <w:p w14:paraId="58845CDB">
            <w:pPr>
              <w:spacing w:line="360" w:lineRule="auto"/>
              <w:jc w:val="center"/>
              <w:rPr>
                <w:color w:val="000000"/>
              </w:rPr>
            </w:pPr>
            <w:r>
              <w:rPr>
                <w:color w:val="000000"/>
              </w:rPr>
              <w:t>86.8</w:t>
            </w:r>
          </w:p>
        </w:tc>
        <w:tc>
          <w:tcPr>
            <w:tcW w:w="393" w:type="pct"/>
            <w:vAlign w:val="center"/>
          </w:tcPr>
          <w:p w14:paraId="68EB124D">
            <w:pPr>
              <w:spacing w:line="360" w:lineRule="auto"/>
              <w:jc w:val="center"/>
              <w:rPr>
                <w:color w:val="000000"/>
              </w:rPr>
            </w:pPr>
            <w:r>
              <w:rPr>
                <w:color w:val="000000"/>
              </w:rPr>
              <w:t>88.86</w:t>
            </w:r>
          </w:p>
        </w:tc>
        <w:tc>
          <w:tcPr>
            <w:tcW w:w="403" w:type="pct"/>
            <w:vAlign w:val="center"/>
          </w:tcPr>
          <w:p w14:paraId="1D29FE86">
            <w:pPr>
              <w:spacing w:line="360" w:lineRule="auto"/>
              <w:jc w:val="center"/>
              <w:rPr>
                <w:color w:val="000000"/>
              </w:rPr>
            </w:pPr>
            <w:r>
              <w:rPr>
                <w:color w:val="000000"/>
              </w:rPr>
              <w:t>87.83</w:t>
            </w:r>
          </w:p>
        </w:tc>
      </w:tr>
      <w:tr w14:paraId="0178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3DD912CE">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381" w:type="pct"/>
            <w:shd w:val="clear" w:color="auto" w:fill="auto"/>
            <w:vAlign w:val="center"/>
          </w:tcPr>
          <w:p w14:paraId="4BB33DE1">
            <w:pPr>
              <w:spacing w:line="360" w:lineRule="auto"/>
              <w:jc w:val="center"/>
              <w:rPr>
                <w:color w:val="000000"/>
              </w:rPr>
            </w:pPr>
            <w:r>
              <w:rPr>
                <w:color w:val="000000"/>
              </w:rPr>
              <w:t>9.1</w:t>
            </w:r>
          </w:p>
        </w:tc>
        <w:tc>
          <w:tcPr>
            <w:tcW w:w="383" w:type="pct"/>
            <w:shd w:val="clear" w:color="auto" w:fill="auto"/>
            <w:vAlign w:val="center"/>
          </w:tcPr>
          <w:p w14:paraId="3659C0CC">
            <w:pPr>
              <w:spacing w:line="360" w:lineRule="auto"/>
              <w:jc w:val="center"/>
              <w:rPr>
                <w:color w:val="000000"/>
              </w:rPr>
            </w:pPr>
            <w:r>
              <w:rPr>
                <w:color w:val="000000"/>
              </w:rPr>
              <w:t>9.36</w:t>
            </w:r>
          </w:p>
        </w:tc>
        <w:tc>
          <w:tcPr>
            <w:tcW w:w="349" w:type="pct"/>
            <w:shd w:val="clear" w:color="auto" w:fill="auto"/>
            <w:noWrap/>
            <w:vAlign w:val="center"/>
          </w:tcPr>
          <w:p w14:paraId="2C4626B4">
            <w:pPr>
              <w:spacing w:line="360" w:lineRule="auto"/>
              <w:jc w:val="center"/>
              <w:rPr>
                <w:color w:val="000000"/>
              </w:rPr>
            </w:pPr>
            <w:r>
              <w:rPr>
                <w:color w:val="000000"/>
              </w:rPr>
              <w:t>9.23</w:t>
            </w:r>
          </w:p>
        </w:tc>
        <w:tc>
          <w:tcPr>
            <w:tcW w:w="383" w:type="pct"/>
            <w:shd w:val="clear" w:color="auto" w:fill="auto"/>
            <w:vAlign w:val="center"/>
          </w:tcPr>
          <w:p w14:paraId="1A47A401">
            <w:pPr>
              <w:spacing w:line="360" w:lineRule="auto"/>
              <w:jc w:val="center"/>
              <w:rPr>
                <w:color w:val="000000"/>
                <w:lang w:eastAsia="en-IN"/>
              </w:rPr>
            </w:pPr>
            <w:r>
              <w:rPr>
                <w:color w:val="000000"/>
                <w:lang w:eastAsia="en-IN"/>
              </w:rPr>
              <w:t>7.60</w:t>
            </w:r>
          </w:p>
        </w:tc>
        <w:tc>
          <w:tcPr>
            <w:tcW w:w="382" w:type="pct"/>
            <w:shd w:val="clear" w:color="auto" w:fill="auto"/>
            <w:vAlign w:val="center"/>
          </w:tcPr>
          <w:p w14:paraId="496B8152">
            <w:pPr>
              <w:spacing w:line="360" w:lineRule="auto"/>
              <w:jc w:val="center"/>
              <w:rPr>
                <w:color w:val="000000"/>
                <w:lang w:eastAsia="en-IN"/>
              </w:rPr>
            </w:pPr>
            <w:r>
              <w:rPr>
                <w:color w:val="000000"/>
                <w:lang w:eastAsia="en-IN"/>
              </w:rPr>
              <w:t>7.82</w:t>
            </w:r>
          </w:p>
        </w:tc>
        <w:tc>
          <w:tcPr>
            <w:tcW w:w="348" w:type="pct"/>
            <w:shd w:val="clear" w:color="auto" w:fill="auto"/>
            <w:noWrap/>
            <w:vAlign w:val="center"/>
          </w:tcPr>
          <w:p w14:paraId="3C4D0127">
            <w:pPr>
              <w:spacing w:line="360" w:lineRule="auto"/>
              <w:jc w:val="center"/>
              <w:rPr>
                <w:color w:val="000000"/>
                <w:lang w:eastAsia="en-IN"/>
              </w:rPr>
            </w:pPr>
            <w:r>
              <w:rPr>
                <w:color w:val="000000"/>
                <w:lang w:eastAsia="en-IN"/>
              </w:rPr>
              <w:t>7.71</w:t>
            </w:r>
          </w:p>
        </w:tc>
        <w:tc>
          <w:tcPr>
            <w:tcW w:w="381" w:type="pct"/>
            <w:vAlign w:val="center"/>
          </w:tcPr>
          <w:p w14:paraId="71321141">
            <w:pPr>
              <w:spacing w:line="360" w:lineRule="auto"/>
              <w:jc w:val="center"/>
              <w:rPr>
                <w:color w:val="000000"/>
              </w:rPr>
            </w:pPr>
            <w:r>
              <w:rPr>
                <w:color w:val="000000"/>
              </w:rPr>
              <w:t>90.86</w:t>
            </w:r>
          </w:p>
        </w:tc>
        <w:tc>
          <w:tcPr>
            <w:tcW w:w="393" w:type="pct"/>
            <w:vAlign w:val="center"/>
          </w:tcPr>
          <w:p w14:paraId="28CCCD85">
            <w:pPr>
              <w:spacing w:line="360" w:lineRule="auto"/>
              <w:jc w:val="center"/>
              <w:rPr>
                <w:color w:val="000000"/>
              </w:rPr>
            </w:pPr>
            <w:r>
              <w:rPr>
                <w:color w:val="000000"/>
              </w:rPr>
              <w:t>93.52</w:t>
            </w:r>
          </w:p>
        </w:tc>
        <w:tc>
          <w:tcPr>
            <w:tcW w:w="403" w:type="pct"/>
            <w:vAlign w:val="center"/>
          </w:tcPr>
          <w:p w14:paraId="53F5382A">
            <w:pPr>
              <w:spacing w:line="360" w:lineRule="auto"/>
              <w:jc w:val="center"/>
              <w:rPr>
                <w:color w:val="000000"/>
              </w:rPr>
            </w:pPr>
            <w:r>
              <w:rPr>
                <w:color w:val="000000"/>
              </w:rPr>
              <w:t>92.19</w:t>
            </w:r>
          </w:p>
        </w:tc>
      </w:tr>
      <w:tr w14:paraId="1D93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06559A68">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381" w:type="pct"/>
            <w:shd w:val="clear" w:color="auto" w:fill="auto"/>
            <w:vAlign w:val="center"/>
          </w:tcPr>
          <w:p w14:paraId="1D11290E">
            <w:pPr>
              <w:spacing w:line="360" w:lineRule="auto"/>
              <w:jc w:val="center"/>
              <w:rPr>
                <w:color w:val="000000"/>
              </w:rPr>
            </w:pPr>
            <w:r>
              <w:rPr>
                <w:color w:val="000000"/>
              </w:rPr>
              <w:t>8.12</w:t>
            </w:r>
          </w:p>
        </w:tc>
        <w:tc>
          <w:tcPr>
            <w:tcW w:w="383" w:type="pct"/>
            <w:shd w:val="clear" w:color="auto" w:fill="auto"/>
            <w:vAlign w:val="center"/>
          </w:tcPr>
          <w:p w14:paraId="3660AF93">
            <w:pPr>
              <w:spacing w:line="360" w:lineRule="auto"/>
              <w:jc w:val="center"/>
              <w:rPr>
                <w:color w:val="000000"/>
              </w:rPr>
            </w:pPr>
            <w:r>
              <w:rPr>
                <w:color w:val="000000"/>
              </w:rPr>
              <w:t>8.28</w:t>
            </w:r>
          </w:p>
        </w:tc>
        <w:tc>
          <w:tcPr>
            <w:tcW w:w="349" w:type="pct"/>
            <w:shd w:val="clear" w:color="auto" w:fill="auto"/>
            <w:noWrap/>
            <w:vAlign w:val="center"/>
          </w:tcPr>
          <w:p w14:paraId="363C5868">
            <w:pPr>
              <w:spacing w:line="360" w:lineRule="auto"/>
              <w:jc w:val="center"/>
              <w:rPr>
                <w:color w:val="000000"/>
              </w:rPr>
            </w:pPr>
            <w:r>
              <w:rPr>
                <w:color w:val="000000"/>
              </w:rPr>
              <w:t>8.20</w:t>
            </w:r>
          </w:p>
        </w:tc>
        <w:tc>
          <w:tcPr>
            <w:tcW w:w="383" w:type="pct"/>
            <w:shd w:val="clear" w:color="auto" w:fill="auto"/>
            <w:vAlign w:val="center"/>
          </w:tcPr>
          <w:p w14:paraId="44186034">
            <w:pPr>
              <w:spacing w:line="360" w:lineRule="auto"/>
              <w:jc w:val="center"/>
              <w:rPr>
                <w:color w:val="000000"/>
                <w:lang w:eastAsia="en-IN"/>
              </w:rPr>
            </w:pPr>
            <w:r>
              <w:rPr>
                <w:color w:val="000000"/>
                <w:lang w:eastAsia="en-IN"/>
              </w:rPr>
              <w:t>7.02</w:t>
            </w:r>
          </w:p>
        </w:tc>
        <w:tc>
          <w:tcPr>
            <w:tcW w:w="382" w:type="pct"/>
            <w:shd w:val="clear" w:color="auto" w:fill="auto"/>
            <w:vAlign w:val="center"/>
          </w:tcPr>
          <w:p w14:paraId="762F7D3C">
            <w:pPr>
              <w:spacing w:line="360" w:lineRule="auto"/>
              <w:jc w:val="center"/>
              <w:rPr>
                <w:color w:val="000000"/>
                <w:lang w:eastAsia="en-IN"/>
              </w:rPr>
            </w:pPr>
            <w:r>
              <w:rPr>
                <w:color w:val="000000"/>
                <w:lang w:eastAsia="en-IN"/>
              </w:rPr>
              <w:t>7.20</w:t>
            </w:r>
          </w:p>
        </w:tc>
        <w:tc>
          <w:tcPr>
            <w:tcW w:w="348" w:type="pct"/>
            <w:shd w:val="clear" w:color="auto" w:fill="auto"/>
            <w:noWrap/>
            <w:vAlign w:val="center"/>
          </w:tcPr>
          <w:p w14:paraId="16E4588A">
            <w:pPr>
              <w:spacing w:line="360" w:lineRule="auto"/>
              <w:jc w:val="center"/>
              <w:rPr>
                <w:color w:val="000000"/>
                <w:lang w:eastAsia="en-IN"/>
              </w:rPr>
            </w:pPr>
            <w:r>
              <w:rPr>
                <w:color w:val="000000"/>
                <w:lang w:eastAsia="en-IN"/>
              </w:rPr>
              <w:t>7.11</w:t>
            </w:r>
          </w:p>
        </w:tc>
        <w:tc>
          <w:tcPr>
            <w:tcW w:w="381" w:type="pct"/>
            <w:vAlign w:val="center"/>
          </w:tcPr>
          <w:p w14:paraId="512575C8">
            <w:pPr>
              <w:spacing w:line="360" w:lineRule="auto"/>
              <w:jc w:val="center"/>
              <w:rPr>
                <w:color w:val="000000"/>
              </w:rPr>
            </w:pPr>
            <w:r>
              <w:rPr>
                <w:color w:val="000000"/>
              </w:rPr>
              <w:t>85.97</w:t>
            </w:r>
          </w:p>
        </w:tc>
        <w:tc>
          <w:tcPr>
            <w:tcW w:w="393" w:type="pct"/>
            <w:vAlign w:val="center"/>
          </w:tcPr>
          <w:p w14:paraId="252456B8">
            <w:pPr>
              <w:spacing w:line="360" w:lineRule="auto"/>
              <w:jc w:val="center"/>
              <w:rPr>
                <w:color w:val="000000"/>
              </w:rPr>
            </w:pPr>
            <w:r>
              <w:rPr>
                <w:color w:val="000000"/>
              </w:rPr>
              <w:t>88.17</w:t>
            </w:r>
          </w:p>
        </w:tc>
        <w:tc>
          <w:tcPr>
            <w:tcW w:w="403" w:type="pct"/>
            <w:vAlign w:val="center"/>
          </w:tcPr>
          <w:p w14:paraId="7E1F9B3E">
            <w:pPr>
              <w:spacing w:line="360" w:lineRule="auto"/>
              <w:jc w:val="center"/>
              <w:rPr>
                <w:color w:val="000000"/>
              </w:rPr>
            </w:pPr>
            <w:r>
              <w:rPr>
                <w:color w:val="000000"/>
              </w:rPr>
              <w:t>87.07</w:t>
            </w:r>
          </w:p>
        </w:tc>
      </w:tr>
      <w:tr w14:paraId="12D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449C8DCD">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381" w:type="pct"/>
            <w:shd w:val="clear" w:color="auto" w:fill="auto"/>
            <w:vAlign w:val="center"/>
          </w:tcPr>
          <w:p w14:paraId="44F8BF40">
            <w:pPr>
              <w:spacing w:line="360" w:lineRule="auto"/>
              <w:jc w:val="center"/>
              <w:rPr>
                <w:color w:val="000000"/>
              </w:rPr>
            </w:pPr>
            <w:r>
              <w:rPr>
                <w:color w:val="000000"/>
              </w:rPr>
              <w:t>8.9</w:t>
            </w:r>
          </w:p>
        </w:tc>
        <w:tc>
          <w:tcPr>
            <w:tcW w:w="383" w:type="pct"/>
            <w:shd w:val="clear" w:color="auto" w:fill="auto"/>
            <w:vAlign w:val="center"/>
          </w:tcPr>
          <w:p w14:paraId="15CDC28F">
            <w:pPr>
              <w:spacing w:line="360" w:lineRule="auto"/>
              <w:jc w:val="center"/>
              <w:rPr>
                <w:color w:val="000000"/>
              </w:rPr>
            </w:pPr>
            <w:r>
              <w:rPr>
                <w:color w:val="000000"/>
              </w:rPr>
              <w:t>9.02</w:t>
            </w:r>
          </w:p>
        </w:tc>
        <w:tc>
          <w:tcPr>
            <w:tcW w:w="349" w:type="pct"/>
            <w:shd w:val="clear" w:color="auto" w:fill="auto"/>
            <w:noWrap/>
            <w:vAlign w:val="center"/>
          </w:tcPr>
          <w:p w14:paraId="11ADA64B">
            <w:pPr>
              <w:spacing w:line="360" w:lineRule="auto"/>
              <w:jc w:val="center"/>
              <w:rPr>
                <w:color w:val="000000"/>
              </w:rPr>
            </w:pPr>
            <w:r>
              <w:rPr>
                <w:color w:val="000000"/>
              </w:rPr>
              <w:t>8.96</w:t>
            </w:r>
          </w:p>
        </w:tc>
        <w:tc>
          <w:tcPr>
            <w:tcW w:w="383" w:type="pct"/>
            <w:shd w:val="clear" w:color="auto" w:fill="auto"/>
            <w:vAlign w:val="center"/>
          </w:tcPr>
          <w:p w14:paraId="4DD14384">
            <w:pPr>
              <w:spacing w:line="360" w:lineRule="auto"/>
              <w:jc w:val="center"/>
              <w:rPr>
                <w:color w:val="000000"/>
                <w:lang w:eastAsia="en-IN"/>
              </w:rPr>
            </w:pPr>
            <w:r>
              <w:rPr>
                <w:color w:val="000000"/>
                <w:lang w:eastAsia="en-IN"/>
              </w:rPr>
              <w:t>7.44</w:t>
            </w:r>
          </w:p>
        </w:tc>
        <w:tc>
          <w:tcPr>
            <w:tcW w:w="382" w:type="pct"/>
            <w:shd w:val="clear" w:color="auto" w:fill="auto"/>
            <w:vAlign w:val="center"/>
          </w:tcPr>
          <w:p w14:paraId="70180899">
            <w:pPr>
              <w:spacing w:line="360" w:lineRule="auto"/>
              <w:jc w:val="center"/>
              <w:rPr>
                <w:color w:val="000000"/>
                <w:lang w:eastAsia="en-IN"/>
              </w:rPr>
            </w:pPr>
            <w:r>
              <w:rPr>
                <w:color w:val="000000"/>
                <w:lang w:eastAsia="en-IN"/>
              </w:rPr>
              <w:t>7.68</w:t>
            </w:r>
          </w:p>
        </w:tc>
        <w:tc>
          <w:tcPr>
            <w:tcW w:w="348" w:type="pct"/>
            <w:shd w:val="clear" w:color="auto" w:fill="auto"/>
            <w:noWrap/>
            <w:vAlign w:val="center"/>
          </w:tcPr>
          <w:p w14:paraId="650EDA21">
            <w:pPr>
              <w:spacing w:line="360" w:lineRule="auto"/>
              <w:jc w:val="center"/>
              <w:rPr>
                <w:color w:val="000000"/>
                <w:lang w:eastAsia="en-IN"/>
              </w:rPr>
            </w:pPr>
            <w:r>
              <w:rPr>
                <w:color w:val="000000"/>
                <w:lang w:eastAsia="en-IN"/>
              </w:rPr>
              <w:t>7.56</w:t>
            </w:r>
          </w:p>
        </w:tc>
        <w:tc>
          <w:tcPr>
            <w:tcW w:w="381" w:type="pct"/>
            <w:vAlign w:val="center"/>
          </w:tcPr>
          <w:p w14:paraId="05D30A45">
            <w:pPr>
              <w:spacing w:line="360" w:lineRule="auto"/>
              <w:jc w:val="center"/>
              <w:rPr>
                <w:color w:val="000000"/>
              </w:rPr>
            </w:pPr>
            <w:r>
              <w:rPr>
                <w:color w:val="000000"/>
              </w:rPr>
              <w:t>90.76</w:t>
            </w:r>
          </w:p>
        </w:tc>
        <w:tc>
          <w:tcPr>
            <w:tcW w:w="393" w:type="pct"/>
            <w:vAlign w:val="center"/>
          </w:tcPr>
          <w:p w14:paraId="0C3DAA39">
            <w:pPr>
              <w:spacing w:line="360" w:lineRule="auto"/>
              <w:jc w:val="center"/>
              <w:rPr>
                <w:color w:val="000000"/>
              </w:rPr>
            </w:pPr>
            <w:r>
              <w:rPr>
                <w:color w:val="000000"/>
              </w:rPr>
              <w:t>91.36</w:t>
            </w:r>
          </w:p>
        </w:tc>
        <w:tc>
          <w:tcPr>
            <w:tcW w:w="403" w:type="pct"/>
            <w:vAlign w:val="center"/>
          </w:tcPr>
          <w:p w14:paraId="34B8062E">
            <w:pPr>
              <w:spacing w:line="360" w:lineRule="auto"/>
              <w:jc w:val="center"/>
              <w:rPr>
                <w:color w:val="000000"/>
              </w:rPr>
            </w:pPr>
            <w:r>
              <w:rPr>
                <w:color w:val="000000"/>
              </w:rPr>
              <w:t>91.06</w:t>
            </w:r>
          </w:p>
        </w:tc>
      </w:tr>
      <w:tr w14:paraId="5BC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16817C08">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381" w:type="pct"/>
            <w:shd w:val="clear" w:color="auto" w:fill="auto"/>
            <w:vAlign w:val="center"/>
          </w:tcPr>
          <w:p w14:paraId="008004BE">
            <w:pPr>
              <w:spacing w:line="360" w:lineRule="auto"/>
              <w:jc w:val="center"/>
              <w:rPr>
                <w:color w:val="000000"/>
              </w:rPr>
            </w:pPr>
            <w:r>
              <w:rPr>
                <w:color w:val="000000"/>
              </w:rPr>
              <w:t>7.8</w:t>
            </w:r>
          </w:p>
        </w:tc>
        <w:tc>
          <w:tcPr>
            <w:tcW w:w="383" w:type="pct"/>
            <w:shd w:val="clear" w:color="auto" w:fill="auto"/>
            <w:vAlign w:val="center"/>
          </w:tcPr>
          <w:p w14:paraId="4A42AB97">
            <w:pPr>
              <w:spacing w:line="360" w:lineRule="auto"/>
              <w:jc w:val="center"/>
              <w:rPr>
                <w:color w:val="000000"/>
              </w:rPr>
            </w:pPr>
            <w:r>
              <w:rPr>
                <w:color w:val="000000"/>
              </w:rPr>
              <w:t>8.04</w:t>
            </w:r>
          </w:p>
        </w:tc>
        <w:tc>
          <w:tcPr>
            <w:tcW w:w="349" w:type="pct"/>
            <w:shd w:val="clear" w:color="auto" w:fill="auto"/>
            <w:noWrap/>
            <w:vAlign w:val="center"/>
          </w:tcPr>
          <w:p w14:paraId="7ABD8D08">
            <w:pPr>
              <w:spacing w:line="360" w:lineRule="auto"/>
              <w:jc w:val="center"/>
              <w:rPr>
                <w:color w:val="000000"/>
              </w:rPr>
            </w:pPr>
            <w:r>
              <w:rPr>
                <w:color w:val="000000"/>
              </w:rPr>
              <w:t>7.92</w:t>
            </w:r>
          </w:p>
        </w:tc>
        <w:tc>
          <w:tcPr>
            <w:tcW w:w="383" w:type="pct"/>
            <w:shd w:val="clear" w:color="auto" w:fill="auto"/>
            <w:vAlign w:val="center"/>
          </w:tcPr>
          <w:p w14:paraId="54D854A8">
            <w:pPr>
              <w:spacing w:line="360" w:lineRule="auto"/>
              <w:jc w:val="center"/>
              <w:rPr>
                <w:color w:val="000000"/>
                <w:lang w:eastAsia="en-IN"/>
              </w:rPr>
            </w:pPr>
            <w:r>
              <w:rPr>
                <w:color w:val="000000"/>
                <w:lang w:eastAsia="en-IN"/>
              </w:rPr>
              <w:t>6.84</w:t>
            </w:r>
          </w:p>
        </w:tc>
        <w:tc>
          <w:tcPr>
            <w:tcW w:w="382" w:type="pct"/>
            <w:shd w:val="clear" w:color="auto" w:fill="auto"/>
            <w:vAlign w:val="center"/>
          </w:tcPr>
          <w:p w14:paraId="0A34887A">
            <w:pPr>
              <w:spacing w:line="360" w:lineRule="auto"/>
              <w:jc w:val="center"/>
              <w:rPr>
                <w:color w:val="000000"/>
                <w:lang w:eastAsia="en-IN"/>
              </w:rPr>
            </w:pPr>
            <w:r>
              <w:rPr>
                <w:color w:val="000000"/>
                <w:lang w:eastAsia="en-IN"/>
              </w:rPr>
              <w:t>7.02</w:t>
            </w:r>
          </w:p>
        </w:tc>
        <w:tc>
          <w:tcPr>
            <w:tcW w:w="348" w:type="pct"/>
            <w:shd w:val="clear" w:color="auto" w:fill="auto"/>
            <w:noWrap/>
            <w:vAlign w:val="center"/>
          </w:tcPr>
          <w:p w14:paraId="1C6462D3">
            <w:pPr>
              <w:spacing w:line="360" w:lineRule="auto"/>
              <w:jc w:val="center"/>
              <w:rPr>
                <w:color w:val="000000"/>
                <w:lang w:eastAsia="en-IN"/>
              </w:rPr>
            </w:pPr>
            <w:r>
              <w:rPr>
                <w:color w:val="000000"/>
                <w:lang w:eastAsia="en-IN"/>
              </w:rPr>
              <w:t>6.93</w:t>
            </w:r>
          </w:p>
        </w:tc>
        <w:tc>
          <w:tcPr>
            <w:tcW w:w="381" w:type="pct"/>
            <w:vAlign w:val="center"/>
          </w:tcPr>
          <w:p w14:paraId="522FFC76">
            <w:pPr>
              <w:spacing w:line="360" w:lineRule="auto"/>
              <w:jc w:val="center"/>
              <w:rPr>
                <w:color w:val="000000"/>
              </w:rPr>
            </w:pPr>
            <w:r>
              <w:rPr>
                <w:color w:val="000000"/>
              </w:rPr>
              <w:t>85.73</w:t>
            </w:r>
          </w:p>
        </w:tc>
        <w:tc>
          <w:tcPr>
            <w:tcW w:w="393" w:type="pct"/>
            <w:vAlign w:val="center"/>
          </w:tcPr>
          <w:p w14:paraId="15F52378">
            <w:pPr>
              <w:spacing w:line="360" w:lineRule="auto"/>
              <w:jc w:val="center"/>
              <w:rPr>
                <w:color w:val="000000"/>
              </w:rPr>
            </w:pPr>
            <w:r>
              <w:rPr>
                <w:color w:val="000000"/>
              </w:rPr>
              <w:t>86.97</w:t>
            </w:r>
          </w:p>
        </w:tc>
        <w:tc>
          <w:tcPr>
            <w:tcW w:w="403" w:type="pct"/>
            <w:vAlign w:val="center"/>
          </w:tcPr>
          <w:p w14:paraId="785E7BF2">
            <w:pPr>
              <w:spacing w:line="360" w:lineRule="auto"/>
              <w:jc w:val="center"/>
              <w:rPr>
                <w:color w:val="000000"/>
              </w:rPr>
            </w:pPr>
            <w:r>
              <w:rPr>
                <w:color w:val="000000"/>
              </w:rPr>
              <w:t>86.35</w:t>
            </w:r>
          </w:p>
        </w:tc>
      </w:tr>
      <w:tr w14:paraId="29BF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530CC33B">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381" w:type="pct"/>
            <w:shd w:val="clear" w:color="auto" w:fill="auto"/>
            <w:vAlign w:val="center"/>
          </w:tcPr>
          <w:p w14:paraId="2BAA84E7">
            <w:pPr>
              <w:spacing w:line="360" w:lineRule="auto"/>
              <w:jc w:val="center"/>
              <w:rPr>
                <w:color w:val="000000"/>
              </w:rPr>
            </w:pPr>
            <w:r>
              <w:rPr>
                <w:color w:val="000000"/>
              </w:rPr>
              <w:t>8.55</w:t>
            </w:r>
          </w:p>
        </w:tc>
        <w:tc>
          <w:tcPr>
            <w:tcW w:w="383" w:type="pct"/>
            <w:shd w:val="clear" w:color="auto" w:fill="auto"/>
            <w:vAlign w:val="center"/>
          </w:tcPr>
          <w:p w14:paraId="47B95CEC">
            <w:pPr>
              <w:spacing w:line="360" w:lineRule="auto"/>
              <w:jc w:val="center"/>
              <w:rPr>
                <w:color w:val="000000"/>
              </w:rPr>
            </w:pPr>
            <w:r>
              <w:rPr>
                <w:color w:val="000000"/>
              </w:rPr>
              <w:t>8.81</w:t>
            </w:r>
          </w:p>
        </w:tc>
        <w:tc>
          <w:tcPr>
            <w:tcW w:w="349" w:type="pct"/>
            <w:shd w:val="clear" w:color="auto" w:fill="auto"/>
            <w:noWrap/>
            <w:vAlign w:val="center"/>
          </w:tcPr>
          <w:p w14:paraId="2D2E9CC2">
            <w:pPr>
              <w:spacing w:line="360" w:lineRule="auto"/>
              <w:jc w:val="center"/>
              <w:rPr>
                <w:color w:val="000000"/>
              </w:rPr>
            </w:pPr>
            <w:r>
              <w:rPr>
                <w:color w:val="000000"/>
              </w:rPr>
              <w:t>8.68</w:t>
            </w:r>
          </w:p>
        </w:tc>
        <w:tc>
          <w:tcPr>
            <w:tcW w:w="383" w:type="pct"/>
            <w:shd w:val="clear" w:color="auto" w:fill="auto"/>
            <w:vAlign w:val="center"/>
          </w:tcPr>
          <w:p w14:paraId="70407BD7">
            <w:pPr>
              <w:spacing w:line="360" w:lineRule="auto"/>
              <w:jc w:val="center"/>
              <w:rPr>
                <w:color w:val="000000"/>
                <w:lang w:eastAsia="en-IN"/>
              </w:rPr>
            </w:pPr>
            <w:r>
              <w:rPr>
                <w:color w:val="000000"/>
                <w:lang w:eastAsia="en-IN"/>
              </w:rPr>
              <w:t>7.28</w:t>
            </w:r>
          </w:p>
        </w:tc>
        <w:tc>
          <w:tcPr>
            <w:tcW w:w="382" w:type="pct"/>
            <w:shd w:val="clear" w:color="auto" w:fill="auto"/>
            <w:vAlign w:val="center"/>
          </w:tcPr>
          <w:p w14:paraId="74DBDE3D">
            <w:pPr>
              <w:spacing w:line="360" w:lineRule="auto"/>
              <w:jc w:val="center"/>
              <w:rPr>
                <w:color w:val="000000"/>
                <w:lang w:eastAsia="en-IN"/>
              </w:rPr>
            </w:pPr>
            <w:r>
              <w:rPr>
                <w:color w:val="000000"/>
                <w:lang w:eastAsia="en-IN"/>
              </w:rPr>
              <w:t>7.52</w:t>
            </w:r>
          </w:p>
        </w:tc>
        <w:tc>
          <w:tcPr>
            <w:tcW w:w="348" w:type="pct"/>
            <w:shd w:val="clear" w:color="auto" w:fill="auto"/>
            <w:noWrap/>
            <w:vAlign w:val="center"/>
          </w:tcPr>
          <w:p w14:paraId="31E9C32C">
            <w:pPr>
              <w:spacing w:line="360" w:lineRule="auto"/>
              <w:jc w:val="center"/>
              <w:rPr>
                <w:color w:val="000000"/>
                <w:lang w:eastAsia="en-IN"/>
              </w:rPr>
            </w:pPr>
            <w:r>
              <w:rPr>
                <w:color w:val="000000"/>
                <w:lang w:eastAsia="en-IN"/>
              </w:rPr>
              <w:t>7.4</w:t>
            </w:r>
          </w:p>
        </w:tc>
        <w:tc>
          <w:tcPr>
            <w:tcW w:w="381" w:type="pct"/>
            <w:vAlign w:val="center"/>
          </w:tcPr>
          <w:p w14:paraId="6FF12FF2">
            <w:pPr>
              <w:spacing w:line="360" w:lineRule="auto"/>
              <w:jc w:val="center"/>
              <w:rPr>
                <w:color w:val="000000"/>
              </w:rPr>
            </w:pPr>
            <w:r>
              <w:rPr>
                <w:color w:val="000000"/>
              </w:rPr>
              <w:t>92.69</w:t>
            </w:r>
          </w:p>
        </w:tc>
        <w:tc>
          <w:tcPr>
            <w:tcW w:w="393" w:type="pct"/>
            <w:vAlign w:val="center"/>
          </w:tcPr>
          <w:p w14:paraId="12C94343">
            <w:pPr>
              <w:spacing w:line="360" w:lineRule="auto"/>
              <w:jc w:val="center"/>
              <w:rPr>
                <w:color w:val="000000"/>
              </w:rPr>
            </w:pPr>
            <w:r>
              <w:rPr>
                <w:color w:val="000000"/>
              </w:rPr>
              <w:t>95.57</w:t>
            </w:r>
          </w:p>
        </w:tc>
        <w:tc>
          <w:tcPr>
            <w:tcW w:w="403" w:type="pct"/>
            <w:vAlign w:val="center"/>
          </w:tcPr>
          <w:p w14:paraId="4E262DFE">
            <w:pPr>
              <w:spacing w:line="360" w:lineRule="auto"/>
              <w:jc w:val="center"/>
              <w:rPr>
                <w:color w:val="000000"/>
              </w:rPr>
            </w:pPr>
            <w:r>
              <w:rPr>
                <w:color w:val="000000"/>
              </w:rPr>
              <w:t>94.13</w:t>
            </w:r>
          </w:p>
        </w:tc>
      </w:tr>
      <w:tr w14:paraId="0A01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28732D3C">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381" w:type="pct"/>
            <w:shd w:val="clear" w:color="auto" w:fill="auto"/>
            <w:vAlign w:val="center"/>
          </w:tcPr>
          <w:p w14:paraId="659B2FCF">
            <w:pPr>
              <w:spacing w:line="360" w:lineRule="auto"/>
              <w:jc w:val="center"/>
              <w:rPr>
                <w:color w:val="000000"/>
              </w:rPr>
            </w:pPr>
            <w:r>
              <w:rPr>
                <w:color w:val="000000"/>
              </w:rPr>
              <w:t>7.73</w:t>
            </w:r>
          </w:p>
        </w:tc>
        <w:tc>
          <w:tcPr>
            <w:tcW w:w="383" w:type="pct"/>
            <w:shd w:val="clear" w:color="auto" w:fill="auto"/>
            <w:vAlign w:val="center"/>
          </w:tcPr>
          <w:p w14:paraId="0D861050">
            <w:pPr>
              <w:spacing w:line="360" w:lineRule="auto"/>
              <w:jc w:val="center"/>
              <w:rPr>
                <w:color w:val="000000"/>
              </w:rPr>
            </w:pPr>
            <w:r>
              <w:rPr>
                <w:color w:val="000000"/>
              </w:rPr>
              <w:t>7.87</w:t>
            </w:r>
          </w:p>
        </w:tc>
        <w:tc>
          <w:tcPr>
            <w:tcW w:w="349" w:type="pct"/>
            <w:shd w:val="clear" w:color="auto" w:fill="auto"/>
            <w:noWrap/>
            <w:vAlign w:val="center"/>
          </w:tcPr>
          <w:p w14:paraId="6B2C870E">
            <w:pPr>
              <w:spacing w:line="360" w:lineRule="auto"/>
              <w:jc w:val="center"/>
              <w:rPr>
                <w:color w:val="000000"/>
              </w:rPr>
            </w:pPr>
            <w:r>
              <w:rPr>
                <w:color w:val="000000"/>
              </w:rPr>
              <w:t>7.80</w:t>
            </w:r>
          </w:p>
        </w:tc>
        <w:tc>
          <w:tcPr>
            <w:tcW w:w="383" w:type="pct"/>
            <w:shd w:val="clear" w:color="auto" w:fill="auto"/>
            <w:vAlign w:val="center"/>
          </w:tcPr>
          <w:p w14:paraId="2646148E">
            <w:pPr>
              <w:spacing w:line="360" w:lineRule="auto"/>
              <w:jc w:val="center"/>
              <w:rPr>
                <w:color w:val="000000"/>
                <w:lang w:eastAsia="en-IN"/>
              </w:rPr>
            </w:pPr>
            <w:r>
              <w:rPr>
                <w:color w:val="000000"/>
                <w:lang w:eastAsia="en-IN"/>
              </w:rPr>
              <w:t>6.69</w:t>
            </w:r>
          </w:p>
        </w:tc>
        <w:tc>
          <w:tcPr>
            <w:tcW w:w="382" w:type="pct"/>
            <w:shd w:val="clear" w:color="auto" w:fill="auto"/>
            <w:vAlign w:val="center"/>
          </w:tcPr>
          <w:p w14:paraId="698F57C9">
            <w:pPr>
              <w:spacing w:line="360" w:lineRule="auto"/>
              <w:jc w:val="center"/>
              <w:rPr>
                <w:color w:val="000000"/>
                <w:lang w:eastAsia="en-IN"/>
              </w:rPr>
            </w:pPr>
            <w:r>
              <w:rPr>
                <w:color w:val="000000"/>
                <w:lang w:eastAsia="en-IN"/>
              </w:rPr>
              <w:t>6.93</w:t>
            </w:r>
          </w:p>
        </w:tc>
        <w:tc>
          <w:tcPr>
            <w:tcW w:w="348" w:type="pct"/>
            <w:shd w:val="clear" w:color="auto" w:fill="auto"/>
            <w:noWrap/>
            <w:vAlign w:val="center"/>
          </w:tcPr>
          <w:p w14:paraId="3B27AFCF">
            <w:pPr>
              <w:spacing w:line="360" w:lineRule="auto"/>
              <w:jc w:val="center"/>
              <w:rPr>
                <w:color w:val="000000"/>
                <w:lang w:eastAsia="en-IN"/>
              </w:rPr>
            </w:pPr>
            <w:r>
              <w:rPr>
                <w:color w:val="000000"/>
                <w:lang w:eastAsia="en-IN"/>
              </w:rPr>
              <w:t>6.81</w:t>
            </w:r>
          </w:p>
        </w:tc>
        <w:tc>
          <w:tcPr>
            <w:tcW w:w="381" w:type="pct"/>
            <w:vAlign w:val="center"/>
          </w:tcPr>
          <w:p w14:paraId="7C90605A">
            <w:pPr>
              <w:spacing w:line="360" w:lineRule="auto"/>
              <w:jc w:val="center"/>
              <w:rPr>
                <w:color w:val="000000"/>
              </w:rPr>
            </w:pPr>
            <w:r>
              <w:rPr>
                <w:color w:val="000000"/>
              </w:rPr>
              <w:t>87.03</w:t>
            </w:r>
          </w:p>
        </w:tc>
        <w:tc>
          <w:tcPr>
            <w:tcW w:w="393" w:type="pct"/>
            <w:vAlign w:val="center"/>
          </w:tcPr>
          <w:p w14:paraId="49CD59D3">
            <w:pPr>
              <w:spacing w:line="360" w:lineRule="auto"/>
              <w:jc w:val="center"/>
              <w:rPr>
                <w:color w:val="000000"/>
              </w:rPr>
            </w:pPr>
            <w:r>
              <w:rPr>
                <w:color w:val="000000"/>
              </w:rPr>
              <w:t>89.85</w:t>
            </w:r>
          </w:p>
        </w:tc>
        <w:tc>
          <w:tcPr>
            <w:tcW w:w="403" w:type="pct"/>
            <w:vAlign w:val="center"/>
          </w:tcPr>
          <w:p w14:paraId="65FBDAAD">
            <w:pPr>
              <w:spacing w:line="360" w:lineRule="auto"/>
              <w:jc w:val="center"/>
              <w:rPr>
                <w:color w:val="000000"/>
              </w:rPr>
            </w:pPr>
            <w:r>
              <w:rPr>
                <w:color w:val="000000"/>
              </w:rPr>
              <w:t>88.44</w:t>
            </w:r>
          </w:p>
        </w:tc>
      </w:tr>
      <w:tr w14:paraId="573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7" w:type="pct"/>
            <w:shd w:val="clear" w:color="auto" w:fill="auto"/>
            <w:noWrap/>
            <w:vAlign w:val="center"/>
          </w:tcPr>
          <w:p w14:paraId="66A9B78F">
            <w:pPr>
              <w:spacing w:line="360" w:lineRule="auto"/>
              <w:rPr>
                <w:b/>
                <w:color w:val="000000"/>
              </w:rPr>
            </w:pPr>
            <w:r>
              <w:rPr>
                <w:b/>
                <w:color w:val="000000"/>
              </w:rPr>
              <w:t>C.D.</w:t>
            </w:r>
            <w:r>
              <w:rPr>
                <w:b/>
              </w:rPr>
              <w:t xml:space="preserve"> at 5% level of significance</w:t>
            </w:r>
          </w:p>
        </w:tc>
        <w:tc>
          <w:tcPr>
            <w:tcW w:w="381" w:type="pct"/>
            <w:shd w:val="clear" w:color="auto" w:fill="auto"/>
            <w:vAlign w:val="center"/>
          </w:tcPr>
          <w:p w14:paraId="17F3D2C0">
            <w:pPr>
              <w:spacing w:line="360" w:lineRule="auto"/>
              <w:jc w:val="center"/>
              <w:rPr>
                <w:color w:val="000000"/>
              </w:rPr>
            </w:pPr>
            <w:r>
              <w:rPr>
                <w:color w:val="000000"/>
              </w:rPr>
              <w:t>0.26</w:t>
            </w:r>
          </w:p>
        </w:tc>
        <w:tc>
          <w:tcPr>
            <w:tcW w:w="383" w:type="pct"/>
            <w:shd w:val="clear" w:color="auto" w:fill="auto"/>
            <w:vAlign w:val="center"/>
          </w:tcPr>
          <w:p w14:paraId="7FE8D581">
            <w:pPr>
              <w:spacing w:line="360" w:lineRule="auto"/>
              <w:jc w:val="center"/>
              <w:rPr>
                <w:color w:val="000000"/>
              </w:rPr>
            </w:pPr>
            <w:r>
              <w:rPr>
                <w:color w:val="000000"/>
              </w:rPr>
              <w:t>0.19</w:t>
            </w:r>
          </w:p>
        </w:tc>
        <w:tc>
          <w:tcPr>
            <w:tcW w:w="349" w:type="pct"/>
            <w:shd w:val="clear" w:color="auto" w:fill="auto"/>
            <w:noWrap/>
            <w:vAlign w:val="center"/>
          </w:tcPr>
          <w:p w14:paraId="2253BA30">
            <w:pPr>
              <w:spacing w:line="360" w:lineRule="auto"/>
              <w:jc w:val="center"/>
              <w:rPr>
                <w:color w:val="000000"/>
              </w:rPr>
            </w:pPr>
            <w:r>
              <w:rPr>
                <w:color w:val="000000"/>
              </w:rPr>
              <w:t>0.15</w:t>
            </w:r>
          </w:p>
        </w:tc>
        <w:tc>
          <w:tcPr>
            <w:tcW w:w="383" w:type="pct"/>
            <w:shd w:val="clear" w:color="auto" w:fill="auto"/>
            <w:vAlign w:val="center"/>
          </w:tcPr>
          <w:p w14:paraId="011A94E4">
            <w:pPr>
              <w:spacing w:line="360" w:lineRule="auto"/>
              <w:jc w:val="center"/>
              <w:rPr>
                <w:color w:val="000000"/>
                <w:lang w:eastAsia="en-IN"/>
              </w:rPr>
            </w:pPr>
            <w:r>
              <w:rPr>
                <w:color w:val="000000"/>
              </w:rPr>
              <w:t>0.21</w:t>
            </w:r>
          </w:p>
        </w:tc>
        <w:tc>
          <w:tcPr>
            <w:tcW w:w="382" w:type="pct"/>
            <w:shd w:val="clear" w:color="auto" w:fill="auto"/>
            <w:vAlign w:val="center"/>
          </w:tcPr>
          <w:p w14:paraId="73CE8CF2">
            <w:pPr>
              <w:spacing w:line="360" w:lineRule="auto"/>
              <w:jc w:val="center"/>
              <w:rPr>
                <w:color w:val="000000"/>
              </w:rPr>
            </w:pPr>
            <w:r>
              <w:rPr>
                <w:color w:val="000000"/>
              </w:rPr>
              <w:t>0.16</w:t>
            </w:r>
          </w:p>
        </w:tc>
        <w:tc>
          <w:tcPr>
            <w:tcW w:w="348" w:type="pct"/>
            <w:shd w:val="clear" w:color="auto" w:fill="auto"/>
            <w:noWrap/>
            <w:vAlign w:val="center"/>
          </w:tcPr>
          <w:p w14:paraId="560220DE">
            <w:pPr>
              <w:spacing w:line="360" w:lineRule="auto"/>
              <w:jc w:val="center"/>
              <w:rPr>
                <w:color w:val="000000"/>
              </w:rPr>
            </w:pPr>
            <w:r>
              <w:rPr>
                <w:color w:val="000000"/>
              </w:rPr>
              <w:t>0.14</w:t>
            </w:r>
          </w:p>
        </w:tc>
        <w:tc>
          <w:tcPr>
            <w:tcW w:w="381" w:type="pct"/>
            <w:vAlign w:val="center"/>
          </w:tcPr>
          <w:p w14:paraId="2AB3BAE4">
            <w:pPr>
              <w:spacing w:line="360" w:lineRule="auto"/>
              <w:jc w:val="center"/>
              <w:rPr>
                <w:color w:val="000000"/>
              </w:rPr>
            </w:pPr>
            <w:r>
              <w:rPr>
                <w:color w:val="000000"/>
              </w:rPr>
              <w:t>2.96</w:t>
            </w:r>
          </w:p>
        </w:tc>
        <w:tc>
          <w:tcPr>
            <w:tcW w:w="393" w:type="pct"/>
            <w:vAlign w:val="center"/>
          </w:tcPr>
          <w:p w14:paraId="4C15994A">
            <w:pPr>
              <w:spacing w:line="360" w:lineRule="auto"/>
              <w:jc w:val="center"/>
              <w:rPr>
                <w:color w:val="000000"/>
              </w:rPr>
            </w:pPr>
            <w:r>
              <w:rPr>
                <w:color w:val="000000"/>
              </w:rPr>
              <w:t>3.23</w:t>
            </w:r>
          </w:p>
        </w:tc>
        <w:tc>
          <w:tcPr>
            <w:tcW w:w="403" w:type="pct"/>
            <w:vAlign w:val="center"/>
          </w:tcPr>
          <w:p w14:paraId="73A68B44">
            <w:pPr>
              <w:spacing w:line="360" w:lineRule="auto"/>
              <w:jc w:val="center"/>
              <w:rPr>
                <w:color w:val="000000"/>
              </w:rPr>
            </w:pPr>
            <w:r>
              <w:rPr>
                <w:color w:val="000000"/>
              </w:rPr>
              <w:t>2.01</w:t>
            </w:r>
          </w:p>
        </w:tc>
      </w:tr>
    </w:tbl>
    <w:p w14:paraId="56AEBC09"/>
    <w:p w14:paraId="08708F39">
      <w:pPr>
        <w:sectPr>
          <w:pgSz w:w="15840" w:h="12240" w:orient="landscape"/>
          <w:pgMar w:top="1440" w:right="1440" w:bottom="1440" w:left="1440" w:header="720" w:footer="720" w:gutter="0"/>
          <w:cols w:space="720" w:num="1"/>
          <w:docGrid w:linePitch="360" w:charSpace="0"/>
        </w:sectPr>
      </w:pPr>
    </w:p>
    <w:p w14:paraId="61332B09">
      <w:pPr>
        <w:widowControl/>
        <w:autoSpaceDE/>
        <w:autoSpaceDN/>
        <w:spacing w:line="360" w:lineRule="auto"/>
        <w:contextualSpacing/>
        <w:rPr>
          <w:b/>
        </w:rPr>
      </w:pPr>
      <w:r>
        <w:rPr>
          <w:b/>
        </w:rPr>
        <w:t xml:space="preserve">Total yield (kg/ha) </w:t>
      </w:r>
    </w:p>
    <w:p w14:paraId="0306F45B">
      <w:pPr>
        <w:spacing w:line="360" w:lineRule="auto"/>
        <w:ind w:firstLine="720"/>
        <w:jc w:val="both"/>
        <w:rPr>
          <w:bCs/>
        </w:rPr>
      </w:pPr>
      <w:r>
        <w:t xml:space="preserve">In capsicum crop, total fruit yield is the cumulative effect of fruit yield per plant which in turn depends on yield components </w:t>
      </w:r>
      <w:r>
        <w:rPr>
          <w:i/>
        </w:rPr>
        <w:t>viz.,</w:t>
      </w:r>
      <w:r>
        <w:t xml:space="preserve"> number of fruits per plant, length of the fruits and fruit weight. The pooled value of total yield of both of the years was ranged from 250.46 q/ha to </w:t>
      </w:r>
      <w:r>
        <w:rPr>
          <w:lang w:eastAsia="en-IN"/>
        </w:rPr>
        <w:t>399.05 q/ha as indicated in Table 3.</w:t>
      </w:r>
      <w:r>
        <w:t xml:space="preserve"> Significantly, the maximum total yield (</w:t>
      </w:r>
      <w:r>
        <w:rPr>
          <w:lang w:eastAsia="en-IN"/>
        </w:rPr>
        <w:t>399.05 q/ha</w:t>
      </w:r>
      <w:r>
        <w:t>) was measured in treatment T</w:t>
      </w:r>
      <w:r>
        <w:rPr>
          <w:vertAlign w:val="subscript"/>
        </w:rPr>
        <w:t xml:space="preserve">3 </w:t>
      </w:r>
      <w:r>
        <w:t>(</w:t>
      </w:r>
      <w:r>
        <w:rPr>
          <w:bCs/>
        </w:rPr>
        <w:t>RDF + Seaweed extract 2.5 ml/L</w:t>
      </w:r>
      <w:r>
        <w:t>), followed by treatment T</w:t>
      </w:r>
      <w:r>
        <w:rPr>
          <w:vertAlign w:val="subscript"/>
        </w:rPr>
        <w:t>11</w:t>
      </w:r>
      <w:r>
        <w:t xml:space="preserve"> (RDF + Humic acid 5 ml/L) </w:t>
      </w:r>
      <w:r>
        <w:rPr>
          <w:lang w:eastAsia="en-IN"/>
        </w:rPr>
        <w:t xml:space="preserve">with 388.13 q/ha </w:t>
      </w:r>
      <w:r>
        <w:t>and T</w:t>
      </w:r>
      <w:r>
        <w:rPr>
          <w:vertAlign w:val="subscript"/>
        </w:rPr>
        <w:t>5</w:t>
      </w:r>
      <w:r>
        <w:t xml:space="preserve"> (RDF + Salicylic acid 2 g/L) </w:t>
      </w:r>
      <w:r>
        <w:rPr>
          <w:lang w:eastAsia="en-IN"/>
        </w:rPr>
        <w:t>with 374.64 q/ha,</w:t>
      </w:r>
      <w:r>
        <w:t xml:space="preserve"> whereas the minimum total yield (</w:t>
      </w:r>
      <w:r>
        <w:rPr>
          <w:lang w:eastAsia="en-IN"/>
        </w:rPr>
        <w:t>250.46 q/ha</w:t>
      </w:r>
      <w:r>
        <w:t>) was observed in treatment T</w:t>
      </w:r>
      <w:r>
        <w:rPr>
          <w:vertAlign w:val="subscript"/>
        </w:rPr>
        <w:t>2</w:t>
      </w:r>
      <w:r>
        <w:t xml:space="preserve"> (</w:t>
      </w:r>
      <w:r>
        <w:rPr>
          <w:bCs/>
        </w:rPr>
        <w:t xml:space="preserve">87.5% RDF). </w:t>
      </w:r>
      <w:r>
        <w:t xml:space="preserve">This increase in yield in which 100% RDF was applied might be due to greater availability of nutrients increased uptake of nutrients and water, resulted in more photosynthesis and enhanced food accumulation in edible part of the fruits (Chetri </w:t>
      </w:r>
      <w:r>
        <w:rPr>
          <w:i/>
          <w:iCs/>
        </w:rPr>
        <w:t>et al</w:t>
      </w:r>
      <w:r>
        <w:t xml:space="preserve">. 2012).  According to </w:t>
      </w:r>
      <w:r>
        <w:rPr>
          <w:highlight w:val="red"/>
        </w:rPr>
        <w:t xml:space="preserve">Godara </w:t>
      </w:r>
      <w:r>
        <w:rPr>
          <w:i/>
          <w:iCs/>
          <w:highlight w:val="red"/>
        </w:rPr>
        <w:t>et al</w:t>
      </w:r>
      <w:r>
        <w:rPr>
          <w:highlight w:val="red"/>
        </w:rPr>
        <w:t>. (2013)</w:t>
      </w:r>
      <w:r>
        <w:t xml:space="preserve"> this might be due to better water utilization and uptake of nutrients and excellent soil-water and air relationship with higher oxygen concentration in the root zone. It may be due to the optimum moisture conditions in the entire root zone of the crop which reflected in better physiological activities of plants resulting into increased dry matter accumulation and enhanced overall tield. The maximum fruits per plant and highest individual average fruit weight of capsicum are positively correlated with highest yield per plant and marketable yield of capsicum Brahma </w:t>
      </w:r>
      <w:r>
        <w:rPr>
          <w:i/>
          <w:iCs/>
        </w:rPr>
        <w:t>et al.</w:t>
      </w:r>
      <w:r>
        <w:t xml:space="preserve"> (2014). </w:t>
      </w:r>
    </w:p>
    <w:p w14:paraId="3CD8F2BE">
      <w:pPr>
        <w:spacing w:line="360" w:lineRule="auto"/>
        <w:ind w:firstLine="720"/>
        <w:jc w:val="both"/>
      </w:pPr>
      <w:r>
        <w:t xml:space="preserve">The reduction or fruit yield of capsicum at lower levels of fertilizers indicated its early competition of 50 per cent flowering and fruiting as compared to that of optimum fertilizer levels. These results further supported that the plants fertilized with lower fertilizer doses suffered badly due to nutrient deficiency and hence reduced fruit yields. Contrary to these results, Neginahal </w:t>
      </w:r>
      <w:r>
        <w:rPr>
          <w:i/>
        </w:rPr>
        <w:t>et al.</w:t>
      </w:r>
      <w:r>
        <w:t xml:space="preserve"> (2009) observed that the fruit yield of chilli increased significantly up to the highest levels of NPK (300:150:150 kg ha</w:t>
      </w:r>
      <w:r>
        <w:rPr>
          <w:vertAlign w:val="superscript"/>
        </w:rPr>
        <w:t>-1</w:t>
      </w:r>
      <w:r>
        <w:t xml:space="preserve">) compared to lowest levels of fertilization. Continuous supply of required quantity of nutrients in the root zone of the crop, which creates favorable conditions for growth and development by way of increasing metabolic activities in the plant system, might be the cause for higher marketable fruit yield in capsicum with 100% fertigation level. Increased marketable yield with 100 percent recommended dose of N &amp; K (75:60 kg/ha), applied through fertigation was also reported by Brahma </w:t>
      </w:r>
      <w:r>
        <w:rPr>
          <w:i/>
          <w:iCs/>
        </w:rPr>
        <w:t>et al.</w:t>
      </w:r>
      <w:r>
        <w:t xml:space="preserve"> (2010) in tomato and Brahma </w:t>
      </w:r>
      <w:r>
        <w:rPr>
          <w:i/>
          <w:iCs/>
        </w:rPr>
        <w:t>et al.</w:t>
      </w:r>
      <w:r>
        <w:t xml:space="preserve"> (2014) in capsicum.</w:t>
      </w:r>
    </w:p>
    <w:p w14:paraId="69E538E4">
      <w:pPr>
        <w:spacing w:line="360" w:lineRule="auto"/>
        <w:ind w:firstLine="720"/>
        <w:jc w:val="both"/>
      </w:pPr>
      <w:r>
        <w:rPr>
          <w:bCs/>
        </w:rPr>
        <w:t>The hormonal components present in the seaweed extracts, particularly cytokinins, are believed to be linked with the higher yield in seaweed-treated plants. Cytokinins are linked to nutrient partitioning in vegetative plant organs, whereas large levels of cytokinins in reproductive organs may be linked to nutrient mobilization.</w:t>
      </w:r>
      <w:r>
        <w:t xml:space="preserve"> </w:t>
      </w:r>
      <w:r>
        <w:rPr>
          <w:bCs/>
        </w:rPr>
        <w:t xml:space="preserve">Jayasinghe </w:t>
      </w:r>
      <w:r>
        <w:rPr>
          <w:bCs/>
          <w:i/>
          <w:iCs/>
        </w:rPr>
        <w:t>et al</w:t>
      </w:r>
      <w:r>
        <w:rPr>
          <w:bCs/>
        </w:rPr>
        <w:t xml:space="preserve">. (2016) found seaweed liquid fertilizer was more successful as effective fertilizer for enhancing shoot length, dry weight of root, number of leaves, number of flowers, number of pods, and yield of </w:t>
      </w:r>
      <w:r>
        <w:rPr>
          <w:bCs/>
          <w:i/>
          <w:iCs/>
        </w:rPr>
        <w:t xml:space="preserve">Capsicum annum </w:t>
      </w:r>
      <w:r>
        <w:rPr>
          <w:bCs/>
        </w:rPr>
        <w:t>and indicated that seaweed liquid fertilizer was more effective to enhance plant growth combined with chemical fertilizer than applied individually. These results are also in accordance with</w:t>
      </w:r>
      <w:r>
        <w:t xml:space="preserve"> Sridhar and Rengasamy (2012) </w:t>
      </w:r>
      <w:r>
        <w:rPr>
          <w:iCs/>
        </w:rPr>
        <w:t>and</w:t>
      </w:r>
      <w:r>
        <w:t xml:space="preserve"> Ashour </w:t>
      </w:r>
      <w:r>
        <w:rPr>
          <w:i/>
          <w:iCs/>
        </w:rPr>
        <w:t xml:space="preserve">et al. </w:t>
      </w:r>
      <w:r>
        <w:t>(2021)</w:t>
      </w:r>
      <w:r>
        <w:rPr>
          <w:iCs/>
        </w:rPr>
        <w:t xml:space="preserve"> and</w:t>
      </w:r>
      <w:r>
        <w:t xml:space="preserve"> in capsicum.</w:t>
      </w:r>
    </w:p>
    <w:p w14:paraId="19C479D1">
      <w:pPr>
        <w:pStyle w:val="18"/>
        <w:spacing w:before="0" w:beforeAutospacing="0" w:after="0" w:afterAutospacing="0" w:line="360" w:lineRule="auto"/>
        <w:ind w:firstLine="720"/>
        <w:jc w:val="both"/>
        <w:rPr>
          <w:bCs/>
          <w:sz w:val="22"/>
          <w:szCs w:val="22"/>
        </w:rPr>
      </w:pPr>
      <w:r>
        <w:rPr>
          <w:bCs/>
          <w:sz w:val="22"/>
          <w:szCs w:val="22"/>
        </w:rPr>
        <w:t xml:space="preserve">Humic acid increases the physiological process of plant. The application of humic acid also increases the micro and macro nutrients availability to plants and thus improves proteins, vitamins and plant growth regulators such as auxin, cytokinin and abscisic </w:t>
      </w:r>
      <w:commentRangeStart w:id="3"/>
      <w:r>
        <w:rPr>
          <w:bCs/>
          <w:sz w:val="22"/>
          <w:szCs w:val="22"/>
        </w:rPr>
        <w:t>acid contents of the plant (</w:t>
      </w:r>
    </w:p>
    <w:p w14:paraId="21820B7D">
      <w:pPr>
        <w:pStyle w:val="18"/>
        <w:spacing w:before="0" w:beforeAutospacing="0" w:after="0" w:afterAutospacing="0" w:line="360" w:lineRule="auto"/>
        <w:ind w:firstLine="720"/>
        <w:jc w:val="both"/>
        <w:rPr>
          <w:bCs/>
          <w:sz w:val="22"/>
          <w:szCs w:val="22"/>
        </w:rPr>
      </w:pPr>
      <w:r>
        <w:rPr>
          <w:bCs/>
          <w:sz w:val="22"/>
          <w:szCs w:val="22"/>
        </w:rPr>
        <w:t>).</w:t>
      </w:r>
      <w:commentRangeEnd w:id="3"/>
      <w:r>
        <w:commentReference w:id="3"/>
      </w:r>
      <w:r>
        <w:rPr>
          <w:bCs/>
          <w:sz w:val="22"/>
          <w:szCs w:val="22"/>
        </w:rPr>
        <w:t xml:space="preserve"> In another study Rahman </w:t>
      </w:r>
      <w:r>
        <w:rPr>
          <w:bCs/>
          <w:i/>
          <w:sz w:val="22"/>
          <w:szCs w:val="22"/>
        </w:rPr>
        <w:t>et al.</w:t>
      </w:r>
      <w:r>
        <w:rPr>
          <w:bCs/>
          <w:sz w:val="22"/>
          <w:szCs w:val="22"/>
        </w:rPr>
        <w:t xml:space="preserve"> (2007) reported that the application of humic acid significantly increased the tomato yield.</w:t>
      </w:r>
    </w:p>
    <w:p w14:paraId="14FF759B">
      <w:pPr>
        <w:pStyle w:val="18"/>
        <w:spacing w:before="0" w:beforeAutospacing="0" w:after="0" w:afterAutospacing="0" w:line="360" w:lineRule="auto"/>
        <w:ind w:firstLine="720"/>
        <w:jc w:val="both"/>
        <w:rPr>
          <w:bCs/>
          <w:sz w:val="22"/>
          <w:szCs w:val="22"/>
        </w:rPr>
      </w:pPr>
      <w:r>
        <w:rPr>
          <w:bCs/>
          <w:sz w:val="22"/>
          <w:szCs w:val="22"/>
        </w:rPr>
        <w:t xml:space="preserve">The application of salicylic acid in capsicum cultivation enhances total yield by promoting growth, improving stress tolerance, boosting photosynthetic efficiency, and reducing losses from biotic and abiotic factors. Similar result was obtained by Ibrahim </w:t>
      </w:r>
      <w:r>
        <w:rPr>
          <w:bCs/>
          <w:i/>
          <w:sz w:val="22"/>
          <w:szCs w:val="22"/>
        </w:rPr>
        <w:t>et al.</w:t>
      </w:r>
      <w:r>
        <w:rPr>
          <w:bCs/>
          <w:sz w:val="22"/>
          <w:szCs w:val="22"/>
        </w:rPr>
        <w:t xml:space="preserve"> (2019); Munshi </w:t>
      </w:r>
      <w:r>
        <w:rPr>
          <w:bCs/>
          <w:i/>
          <w:sz w:val="22"/>
          <w:szCs w:val="22"/>
        </w:rPr>
        <w:t>et al.</w:t>
      </w:r>
      <w:r>
        <w:rPr>
          <w:bCs/>
          <w:sz w:val="22"/>
          <w:szCs w:val="22"/>
        </w:rPr>
        <w:t xml:space="preserve"> (2020) and Dobon-Suarez </w:t>
      </w:r>
      <w:r>
        <w:rPr>
          <w:bCs/>
          <w:i/>
          <w:iCs/>
          <w:sz w:val="22"/>
          <w:szCs w:val="22"/>
        </w:rPr>
        <w:t>et al.</w:t>
      </w:r>
      <w:r>
        <w:rPr>
          <w:bCs/>
          <w:sz w:val="22"/>
          <w:szCs w:val="22"/>
        </w:rPr>
        <w:t xml:space="preserve"> (2021).</w:t>
      </w:r>
    </w:p>
    <w:p w14:paraId="274F81D1">
      <w:pPr>
        <w:pStyle w:val="18"/>
        <w:spacing w:before="0" w:beforeAutospacing="0" w:after="0" w:afterAutospacing="0" w:line="360" w:lineRule="auto"/>
        <w:ind w:left="900" w:hanging="900"/>
        <w:jc w:val="both"/>
        <w:rPr>
          <w:b/>
          <w:bCs/>
          <w:sz w:val="22"/>
          <w:szCs w:val="22"/>
        </w:rPr>
      </w:pPr>
      <w:r>
        <w:rPr>
          <w:b/>
          <w:bCs/>
          <w:sz w:val="22"/>
          <w:szCs w:val="22"/>
        </w:rPr>
        <w:t xml:space="preserve">Table 3: Effect fertilizer level along with foliar application of biostimulants on total yield of capsicum </w:t>
      </w:r>
      <w:r>
        <w:rPr>
          <w:b/>
          <w:bCs/>
          <w:i/>
          <w:sz w:val="22"/>
          <w:szCs w:val="22"/>
        </w:rPr>
        <w:t>cv.</w:t>
      </w:r>
      <w:r>
        <w:rPr>
          <w:b/>
          <w:bCs/>
          <w:sz w:val="22"/>
          <w:szCs w:val="22"/>
        </w:rPr>
        <w:t xml:space="preserve"> PSM-1 under polyhouse</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1530"/>
        <w:gridCol w:w="1532"/>
        <w:gridCol w:w="1747"/>
      </w:tblGrid>
      <w:tr w14:paraId="2AAA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vMerge w:val="restart"/>
            <w:shd w:val="clear" w:color="auto" w:fill="auto"/>
            <w:vAlign w:val="center"/>
          </w:tcPr>
          <w:p w14:paraId="303405D8">
            <w:pPr>
              <w:spacing w:line="360" w:lineRule="auto"/>
              <w:jc w:val="center"/>
              <w:rPr>
                <w:b/>
                <w:bCs/>
                <w:color w:val="000000"/>
                <w:lang w:eastAsia="en-IN"/>
              </w:rPr>
            </w:pPr>
            <w:r>
              <w:rPr>
                <w:b/>
                <w:bCs/>
                <w:color w:val="000000"/>
                <w:lang w:eastAsia="en-IN"/>
              </w:rPr>
              <w:t>Treatments</w:t>
            </w:r>
          </w:p>
        </w:tc>
        <w:tc>
          <w:tcPr>
            <w:tcW w:w="2511" w:type="pct"/>
            <w:gridSpan w:val="3"/>
            <w:shd w:val="clear" w:color="auto" w:fill="auto"/>
            <w:noWrap/>
            <w:vAlign w:val="center"/>
          </w:tcPr>
          <w:p w14:paraId="56D0FDEB">
            <w:pPr>
              <w:spacing w:line="360" w:lineRule="auto"/>
              <w:jc w:val="center"/>
              <w:rPr>
                <w:b/>
                <w:bCs/>
                <w:color w:val="000000"/>
                <w:lang w:eastAsia="en-IN"/>
              </w:rPr>
            </w:pPr>
            <w:r>
              <w:rPr>
                <w:b/>
                <w:bCs/>
                <w:color w:val="000000"/>
                <w:lang w:eastAsia="en-IN"/>
              </w:rPr>
              <w:t>Total yield (q/ha)</w:t>
            </w:r>
          </w:p>
        </w:tc>
      </w:tr>
      <w:tr w14:paraId="3386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9" w:type="pct"/>
            <w:vMerge w:val="continue"/>
            <w:shd w:val="clear" w:color="auto" w:fill="auto"/>
            <w:vAlign w:val="center"/>
          </w:tcPr>
          <w:p w14:paraId="56F64F85">
            <w:pPr>
              <w:spacing w:line="360" w:lineRule="auto"/>
              <w:jc w:val="center"/>
              <w:rPr>
                <w:b/>
                <w:bCs/>
                <w:color w:val="000000"/>
                <w:lang w:eastAsia="en-IN"/>
              </w:rPr>
            </w:pPr>
          </w:p>
        </w:tc>
        <w:tc>
          <w:tcPr>
            <w:tcW w:w="799" w:type="pct"/>
            <w:shd w:val="clear" w:color="auto" w:fill="auto"/>
            <w:noWrap/>
            <w:vAlign w:val="center"/>
          </w:tcPr>
          <w:p w14:paraId="42558353">
            <w:pPr>
              <w:spacing w:line="360" w:lineRule="auto"/>
              <w:jc w:val="center"/>
              <w:rPr>
                <w:b/>
                <w:bCs/>
                <w:color w:val="000000"/>
                <w:lang w:eastAsia="en-IN"/>
              </w:rPr>
            </w:pPr>
            <w:r>
              <w:rPr>
                <w:b/>
                <w:bCs/>
                <w:color w:val="000000"/>
                <w:lang w:eastAsia="en-IN"/>
              </w:rPr>
              <w:t>2022-23</w:t>
            </w:r>
          </w:p>
        </w:tc>
        <w:tc>
          <w:tcPr>
            <w:tcW w:w="800" w:type="pct"/>
            <w:shd w:val="clear" w:color="auto" w:fill="auto"/>
            <w:noWrap/>
            <w:vAlign w:val="center"/>
          </w:tcPr>
          <w:p w14:paraId="659BD11B">
            <w:pPr>
              <w:spacing w:line="360" w:lineRule="auto"/>
              <w:jc w:val="center"/>
              <w:rPr>
                <w:b/>
                <w:bCs/>
                <w:color w:val="000000"/>
                <w:lang w:eastAsia="en-IN"/>
              </w:rPr>
            </w:pPr>
            <w:r>
              <w:rPr>
                <w:b/>
                <w:bCs/>
                <w:color w:val="000000"/>
                <w:lang w:eastAsia="en-IN"/>
              </w:rPr>
              <w:t>2023-24</w:t>
            </w:r>
          </w:p>
        </w:tc>
        <w:tc>
          <w:tcPr>
            <w:tcW w:w="913" w:type="pct"/>
            <w:shd w:val="clear" w:color="auto" w:fill="auto"/>
            <w:vAlign w:val="center"/>
          </w:tcPr>
          <w:p w14:paraId="25B1DD5D">
            <w:pPr>
              <w:spacing w:line="360" w:lineRule="auto"/>
              <w:jc w:val="center"/>
              <w:rPr>
                <w:b/>
                <w:bCs/>
                <w:color w:val="000000"/>
                <w:lang w:eastAsia="en-IN"/>
              </w:rPr>
            </w:pPr>
            <w:r>
              <w:rPr>
                <w:b/>
                <w:bCs/>
                <w:color w:val="000000"/>
                <w:lang w:eastAsia="en-IN"/>
              </w:rPr>
              <w:t>Pooled mean</w:t>
            </w:r>
          </w:p>
        </w:tc>
      </w:tr>
      <w:tr w14:paraId="4E2C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3826A593">
            <w:pPr>
              <w:spacing w:line="360" w:lineRule="auto"/>
              <w:jc w:val="both"/>
              <w:rPr>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799" w:type="pct"/>
            <w:shd w:val="clear" w:color="auto" w:fill="auto"/>
            <w:vAlign w:val="center"/>
          </w:tcPr>
          <w:p w14:paraId="3DAAD5D7">
            <w:pPr>
              <w:spacing w:line="360" w:lineRule="auto"/>
              <w:jc w:val="center"/>
              <w:rPr>
                <w:color w:val="000000"/>
              </w:rPr>
            </w:pPr>
            <w:r>
              <w:rPr>
                <w:color w:val="000000"/>
              </w:rPr>
              <w:t>265.49</w:t>
            </w:r>
          </w:p>
        </w:tc>
        <w:tc>
          <w:tcPr>
            <w:tcW w:w="800" w:type="pct"/>
            <w:shd w:val="clear" w:color="auto" w:fill="auto"/>
            <w:vAlign w:val="center"/>
          </w:tcPr>
          <w:p w14:paraId="5DDA5FFC">
            <w:pPr>
              <w:spacing w:line="360" w:lineRule="auto"/>
              <w:jc w:val="center"/>
              <w:rPr>
                <w:color w:val="000000"/>
              </w:rPr>
            </w:pPr>
            <w:r>
              <w:rPr>
                <w:color w:val="000000"/>
              </w:rPr>
              <w:t>294.81</w:t>
            </w:r>
          </w:p>
        </w:tc>
        <w:tc>
          <w:tcPr>
            <w:tcW w:w="913" w:type="pct"/>
            <w:shd w:val="clear" w:color="auto" w:fill="auto"/>
            <w:vAlign w:val="center"/>
          </w:tcPr>
          <w:p w14:paraId="1DA1404F">
            <w:pPr>
              <w:spacing w:line="360" w:lineRule="auto"/>
              <w:jc w:val="center"/>
              <w:rPr>
                <w:color w:val="000000"/>
              </w:rPr>
            </w:pPr>
            <w:r>
              <w:rPr>
                <w:color w:val="000000"/>
              </w:rPr>
              <w:t>280.15</w:t>
            </w:r>
          </w:p>
        </w:tc>
      </w:tr>
      <w:tr w14:paraId="02D6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28494707">
            <w:pPr>
              <w:spacing w:line="360" w:lineRule="auto"/>
              <w:jc w:val="both"/>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799" w:type="pct"/>
            <w:shd w:val="clear" w:color="auto" w:fill="auto"/>
            <w:vAlign w:val="center"/>
          </w:tcPr>
          <w:p w14:paraId="1E36ABEA">
            <w:pPr>
              <w:spacing w:line="360" w:lineRule="auto"/>
              <w:jc w:val="center"/>
              <w:rPr>
                <w:color w:val="000000"/>
              </w:rPr>
            </w:pPr>
            <w:r>
              <w:rPr>
                <w:color w:val="000000"/>
              </w:rPr>
              <w:t>231.77</w:t>
            </w:r>
          </w:p>
        </w:tc>
        <w:tc>
          <w:tcPr>
            <w:tcW w:w="800" w:type="pct"/>
            <w:shd w:val="clear" w:color="auto" w:fill="auto"/>
            <w:vAlign w:val="center"/>
          </w:tcPr>
          <w:p w14:paraId="326DF7B7">
            <w:pPr>
              <w:spacing w:line="360" w:lineRule="auto"/>
              <w:jc w:val="center"/>
              <w:rPr>
                <w:color w:val="000000"/>
              </w:rPr>
            </w:pPr>
            <w:r>
              <w:rPr>
                <w:color w:val="000000"/>
              </w:rPr>
              <w:t>269.15</w:t>
            </w:r>
          </w:p>
        </w:tc>
        <w:tc>
          <w:tcPr>
            <w:tcW w:w="913" w:type="pct"/>
            <w:shd w:val="clear" w:color="auto" w:fill="auto"/>
            <w:vAlign w:val="center"/>
          </w:tcPr>
          <w:p w14:paraId="3FC4FACD">
            <w:pPr>
              <w:spacing w:line="360" w:lineRule="auto"/>
              <w:jc w:val="center"/>
              <w:rPr>
                <w:color w:val="000000"/>
              </w:rPr>
            </w:pPr>
            <w:r>
              <w:rPr>
                <w:color w:val="000000"/>
              </w:rPr>
              <w:t>250.46</w:t>
            </w:r>
          </w:p>
        </w:tc>
      </w:tr>
      <w:tr w14:paraId="6920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75BC23C4">
            <w:pPr>
              <w:spacing w:line="360" w:lineRule="auto"/>
              <w:jc w:val="both"/>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799" w:type="pct"/>
            <w:shd w:val="clear" w:color="auto" w:fill="auto"/>
            <w:vAlign w:val="center"/>
          </w:tcPr>
          <w:p w14:paraId="4DB51090">
            <w:pPr>
              <w:spacing w:line="360" w:lineRule="auto"/>
              <w:jc w:val="center"/>
              <w:rPr>
                <w:color w:val="000000"/>
              </w:rPr>
            </w:pPr>
            <w:r>
              <w:rPr>
                <w:color w:val="000000"/>
              </w:rPr>
              <w:t>378.40</w:t>
            </w:r>
          </w:p>
        </w:tc>
        <w:tc>
          <w:tcPr>
            <w:tcW w:w="800" w:type="pct"/>
            <w:shd w:val="clear" w:color="auto" w:fill="auto"/>
            <w:vAlign w:val="center"/>
          </w:tcPr>
          <w:p w14:paraId="3649468B">
            <w:pPr>
              <w:spacing w:line="360" w:lineRule="auto"/>
              <w:jc w:val="center"/>
              <w:rPr>
                <w:color w:val="000000"/>
              </w:rPr>
            </w:pPr>
            <w:r>
              <w:rPr>
                <w:color w:val="000000"/>
              </w:rPr>
              <w:t>419.69</w:t>
            </w:r>
          </w:p>
        </w:tc>
        <w:tc>
          <w:tcPr>
            <w:tcW w:w="913" w:type="pct"/>
            <w:shd w:val="clear" w:color="auto" w:fill="auto"/>
            <w:vAlign w:val="center"/>
          </w:tcPr>
          <w:p w14:paraId="3424215B">
            <w:pPr>
              <w:spacing w:line="360" w:lineRule="auto"/>
              <w:jc w:val="center"/>
              <w:rPr>
                <w:color w:val="000000"/>
              </w:rPr>
            </w:pPr>
            <w:r>
              <w:rPr>
                <w:color w:val="000000"/>
              </w:rPr>
              <w:t>399.05</w:t>
            </w:r>
          </w:p>
        </w:tc>
      </w:tr>
      <w:tr w14:paraId="117B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1DB20113">
            <w:pPr>
              <w:spacing w:line="360" w:lineRule="auto"/>
              <w:jc w:val="both"/>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799" w:type="pct"/>
            <w:shd w:val="clear" w:color="auto" w:fill="auto"/>
            <w:vAlign w:val="center"/>
          </w:tcPr>
          <w:p w14:paraId="50DFF6DD">
            <w:pPr>
              <w:spacing w:line="360" w:lineRule="auto"/>
              <w:jc w:val="center"/>
              <w:rPr>
                <w:color w:val="000000"/>
              </w:rPr>
            </w:pPr>
            <w:r>
              <w:rPr>
                <w:color w:val="000000"/>
              </w:rPr>
              <w:t>318.83</w:t>
            </w:r>
          </w:p>
        </w:tc>
        <w:tc>
          <w:tcPr>
            <w:tcW w:w="800" w:type="pct"/>
            <w:shd w:val="clear" w:color="auto" w:fill="auto"/>
            <w:vAlign w:val="center"/>
          </w:tcPr>
          <w:p w14:paraId="3B0E68A2">
            <w:pPr>
              <w:spacing w:line="360" w:lineRule="auto"/>
              <w:jc w:val="center"/>
              <w:rPr>
                <w:color w:val="000000"/>
              </w:rPr>
            </w:pPr>
            <w:r>
              <w:rPr>
                <w:color w:val="000000"/>
              </w:rPr>
              <w:t>347.71</w:t>
            </w:r>
          </w:p>
        </w:tc>
        <w:tc>
          <w:tcPr>
            <w:tcW w:w="913" w:type="pct"/>
            <w:shd w:val="clear" w:color="auto" w:fill="auto"/>
            <w:vAlign w:val="center"/>
          </w:tcPr>
          <w:p w14:paraId="32D0DB5B">
            <w:pPr>
              <w:spacing w:line="360" w:lineRule="auto"/>
              <w:jc w:val="center"/>
              <w:rPr>
                <w:color w:val="000000"/>
              </w:rPr>
            </w:pPr>
            <w:r>
              <w:rPr>
                <w:color w:val="000000"/>
              </w:rPr>
              <w:t>333.27</w:t>
            </w:r>
          </w:p>
        </w:tc>
      </w:tr>
      <w:tr w14:paraId="3AD0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5BBF4C4F">
            <w:pPr>
              <w:spacing w:line="360" w:lineRule="auto"/>
              <w:jc w:val="both"/>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799" w:type="pct"/>
            <w:shd w:val="clear" w:color="auto" w:fill="auto"/>
            <w:vAlign w:val="center"/>
          </w:tcPr>
          <w:p w14:paraId="54DF4AF7">
            <w:pPr>
              <w:spacing w:line="360" w:lineRule="auto"/>
              <w:jc w:val="center"/>
              <w:rPr>
                <w:color w:val="000000"/>
              </w:rPr>
            </w:pPr>
            <w:r>
              <w:rPr>
                <w:color w:val="000000"/>
              </w:rPr>
              <w:t>350.70</w:t>
            </w:r>
          </w:p>
        </w:tc>
        <w:tc>
          <w:tcPr>
            <w:tcW w:w="800" w:type="pct"/>
            <w:shd w:val="clear" w:color="auto" w:fill="auto"/>
            <w:vAlign w:val="center"/>
          </w:tcPr>
          <w:p w14:paraId="154BBE86">
            <w:pPr>
              <w:spacing w:line="360" w:lineRule="auto"/>
              <w:jc w:val="center"/>
              <w:rPr>
                <w:color w:val="000000"/>
              </w:rPr>
            </w:pPr>
            <w:r>
              <w:rPr>
                <w:color w:val="000000"/>
              </w:rPr>
              <w:t>398.59</w:t>
            </w:r>
          </w:p>
        </w:tc>
        <w:tc>
          <w:tcPr>
            <w:tcW w:w="913" w:type="pct"/>
            <w:shd w:val="clear" w:color="auto" w:fill="auto"/>
            <w:vAlign w:val="center"/>
          </w:tcPr>
          <w:p w14:paraId="15D8D786">
            <w:pPr>
              <w:spacing w:line="360" w:lineRule="auto"/>
              <w:jc w:val="center"/>
              <w:rPr>
                <w:color w:val="000000"/>
              </w:rPr>
            </w:pPr>
            <w:r>
              <w:rPr>
                <w:color w:val="000000"/>
              </w:rPr>
              <w:t>374.64</w:t>
            </w:r>
          </w:p>
        </w:tc>
      </w:tr>
      <w:tr w14:paraId="77AF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7D7BA69C">
            <w:pPr>
              <w:spacing w:line="360" w:lineRule="auto"/>
              <w:jc w:val="both"/>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799" w:type="pct"/>
            <w:shd w:val="clear" w:color="auto" w:fill="auto"/>
            <w:vAlign w:val="center"/>
          </w:tcPr>
          <w:p w14:paraId="0BB3ABBB">
            <w:pPr>
              <w:spacing w:line="360" w:lineRule="auto"/>
              <w:jc w:val="center"/>
              <w:rPr>
                <w:color w:val="000000"/>
              </w:rPr>
            </w:pPr>
            <w:r>
              <w:rPr>
                <w:color w:val="000000"/>
              </w:rPr>
              <w:t>292.55</w:t>
            </w:r>
          </w:p>
        </w:tc>
        <w:tc>
          <w:tcPr>
            <w:tcW w:w="800" w:type="pct"/>
            <w:shd w:val="clear" w:color="auto" w:fill="auto"/>
            <w:vAlign w:val="center"/>
          </w:tcPr>
          <w:p w14:paraId="06CFDE8F">
            <w:pPr>
              <w:spacing w:line="360" w:lineRule="auto"/>
              <w:jc w:val="center"/>
              <w:rPr>
                <w:color w:val="000000"/>
              </w:rPr>
            </w:pPr>
            <w:r>
              <w:rPr>
                <w:color w:val="000000"/>
              </w:rPr>
              <w:t>334.05</w:t>
            </w:r>
          </w:p>
        </w:tc>
        <w:tc>
          <w:tcPr>
            <w:tcW w:w="913" w:type="pct"/>
            <w:shd w:val="clear" w:color="auto" w:fill="auto"/>
            <w:vAlign w:val="center"/>
          </w:tcPr>
          <w:p w14:paraId="6F99BB36">
            <w:pPr>
              <w:spacing w:line="360" w:lineRule="auto"/>
              <w:jc w:val="center"/>
              <w:rPr>
                <w:color w:val="000000"/>
              </w:rPr>
            </w:pPr>
            <w:r>
              <w:rPr>
                <w:color w:val="000000"/>
              </w:rPr>
              <w:t>313.30</w:t>
            </w:r>
          </w:p>
        </w:tc>
      </w:tr>
      <w:tr w14:paraId="2737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324B2E5B">
            <w:pPr>
              <w:spacing w:line="360" w:lineRule="auto"/>
              <w:jc w:val="both"/>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799" w:type="pct"/>
            <w:shd w:val="clear" w:color="auto" w:fill="auto"/>
            <w:vAlign w:val="center"/>
          </w:tcPr>
          <w:p w14:paraId="093E17A1">
            <w:pPr>
              <w:spacing w:line="360" w:lineRule="auto"/>
              <w:jc w:val="center"/>
              <w:rPr>
                <w:color w:val="000000"/>
              </w:rPr>
            </w:pPr>
            <w:r>
              <w:rPr>
                <w:color w:val="000000"/>
              </w:rPr>
              <w:t>341.57</w:t>
            </w:r>
          </w:p>
        </w:tc>
        <w:tc>
          <w:tcPr>
            <w:tcW w:w="800" w:type="pct"/>
            <w:shd w:val="clear" w:color="auto" w:fill="auto"/>
            <w:vAlign w:val="center"/>
          </w:tcPr>
          <w:p w14:paraId="2E1D224D">
            <w:pPr>
              <w:spacing w:line="360" w:lineRule="auto"/>
              <w:jc w:val="center"/>
              <w:rPr>
                <w:color w:val="000000"/>
              </w:rPr>
            </w:pPr>
            <w:r>
              <w:rPr>
                <w:color w:val="000000"/>
              </w:rPr>
              <w:t>375.81</w:t>
            </w:r>
          </w:p>
        </w:tc>
        <w:tc>
          <w:tcPr>
            <w:tcW w:w="913" w:type="pct"/>
            <w:shd w:val="clear" w:color="auto" w:fill="auto"/>
            <w:vAlign w:val="center"/>
          </w:tcPr>
          <w:p w14:paraId="2EB9C142">
            <w:pPr>
              <w:spacing w:line="360" w:lineRule="auto"/>
              <w:jc w:val="center"/>
              <w:rPr>
                <w:color w:val="000000"/>
              </w:rPr>
            </w:pPr>
            <w:r>
              <w:rPr>
                <w:color w:val="000000"/>
              </w:rPr>
              <w:t>358.69</w:t>
            </w:r>
          </w:p>
        </w:tc>
      </w:tr>
      <w:tr w14:paraId="20FA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25A42C29">
            <w:pPr>
              <w:spacing w:line="360" w:lineRule="auto"/>
              <w:jc w:val="both"/>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799" w:type="pct"/>
            <w:shd w:val="clear" w:color="auto" w:fill="auto"/>
            <w:vAlign w:val="center"/>
          </w:tcPr>
          <w:p w14:paraId="263ED9FE">
            <w:pPr>
              <w:spacing w:line="360" w:lineRule="auto"/>
              <w:jc w:val="center"/>
              <w:rPr>
                <w:color w:val="000000"/>
              </w:rPr>
            </w:pPr>
            <w:r>
              <w:rPr>
                <w:color w:val="000000"/>
              </w:rPr>
              <w:t>280.20</w:t>
            </w:r>
          </w:p>
        </w:tc>
        <w:tc>
          <w:tcPr>
            <w:tcW w:w="800" w:type="pct"/>
            <w:shd w:val="clear" w:color="auto" w:fill="auto"/>
            <w:vAlign w:val="center"/>
          </w:tcPr>
          <w:p w14:paraId="543DA87C">
            <w:pPr>
              <w:spacing w:line="360" w:lineRule="auto"/>
              <w:jc w:val="center"/>
              <w:rPr>
                <w:color w:val="000000"/>
              </w:rPr>
            </w:pPr>
            <w:r>
              <w:rPr>
                <w:color w:val="000000"/>
              </w:rPr>
              <w:t>316.76</w:t>
            </w:r>
          </w:p>
        </w:tc>
        <w:tc>
          <w:tcPr>
            <w:tcW w:w="913" w:type="pct"/>
            <w:shd w:val="clear" w:color="auto" w:fill="auto"/>
            <w:vAlign w:val="center"/>
          </w:tcPr>
          <w:p w14:paraId="5C757443">
            <w:pPr>
              <w:spacing w:line="360" w:lineRule="auto"/>
              <w:jc w:val="center"/>
              <w:rPr>
                <w:color w:val="000000"/>
              </w:rPr>
            </w:pPr>
            <w:r>
              <w:rPr>
                <w:color w:val="000000"/>
              </w:rPr>
              <w:t>298.48</w:t>
            </w:r>
          </w:p>
        </w:tc>
      </w:tr>
      <w:tr w14:paraId="77FC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359101EF">
            <w:pPr>
              <w:spacing w:line="360" w:lineRule="auto"/>
              <w:jc w:val="both"/>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799" w:type="pct"/>
            <w:shd w:val="clear" w:color="auto" w:fill="auto"/>
            <w:vAlign w:val="center"/>
          </w:tcPr>
          <w:p w14:paraId="1703EEF1">
            <w:pPr>
              <w:spacing w:line="360" w:lineRule="auto"/>
              <w:jc w:val="center"/>
              <w:rPr>
                <w:color w:val="000000"/>
              </w:rPr>
            </w:pPr>
            <w:r>
              <w:rPr>
                <w:color w:val="000000"/>
              </w:rPr>
              <w:t>331.11</w:t>
            </w:r>
          </w:p>
        </w:tc>
        <w:tc>
          <w:tcPr>
            <w:tcW w:w="800" w:type="pct"/>
            <w:shd w:val="clear" w:color="auto" w:fill="auto"/>
            <w:vAlign w:val="center"/>
          </w:tcPr>
          <w:p w14:paraId="0CF2411C">
            <w:pPr>
              <w:spacing w:line="360" w:lineRule="auto"/>
              <w:jc w:val="center"/>
              <w:rPr>
                <w:color w:val="000000"/>
              </w:rPr>
            </w:pPr>
            <w:r>
              <w:rPr>
                <w:color w:val="000000"/>
              </w:rPr>
              <w:t>368.82</w:t>
            </w:r>
          </w:p>
        </w:tc>
        <w:tc>
          <w:tcPr>
            <w:tcW w:w="913" w:type="pct"/>
            <w:shd w:val="clear" w:color="auto" w:fill="auto"/>
            <w:vAlign w:val="center"/>
          </w:tcPr>
          <w:p w14:paraId="44B8936E">
            <w:pPr>
              <w:spacing w:line="360" w:lineRule="auto"/>
              <w:jc w:val="center"/>
              <w:rPr>
                <w:color w:val="000000"/>
              </w:rPr>
            </w:pPr>
            <w:r>
              <w:rPr>
                <w:color w:val="000000"/>
              </w:rPr>
              <w:t>349.96</w:t>
            </w:r>
          </w:p>
        </w:tc>
      </w:tr>
      <w:tr w14:paraId="29B1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389E56B8">
            <w:pPr>
              <w:spacing w:line="360" w:lineRule="auto"/>
              <w:jc w:val="both"/>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799" w:type="pct"/>
            <w:shd w:val="clear" w:color="auto" w:fill="auto"/>
            <w:vAlign w:val="center"/>
          </w:tcPr>
          <w:p w14:paraId="2D71A657">
            <w:pPr>
              <w:spacing w:line="360" w:lineRule="auto"/>
              <w:jc w:val="center"/>
              <w:rPr>
                <w:color w:val="000000"/>
              </w:rPr>
            </w:pPr>
            <w:r>
              <w:rPr>
                <w:color w:val="000000"/>
              </w:rPr>
              <w:t>274.65</w:t>
            </w:r>
          </w:p>
        </w:tc>
        <w:tc>
          <w:tcPr>
            <w:tcW w:w="800" w:type="pct"/>
            <w:shd w:val="clear" w:color="auto" w:fill="auto"/>
            <w:vAlign w:val="center"/>
          </w:tcPr>
          <w:p w14:paraId="7C0714BE">
            <w:pPr>
              <w:spacing w:line="360" w:lineRule="auto"/>
              <w:jc w:val="center"/>
              <w:rPr>
                <w:color w:val="000000"/>
              </w:rPr>
            </w:pPr>
            <w:r>
              <w:rPr>
                <w:color w:val="000000"/>
              </w:rPr>
              <w:t>309.23</w:t>
            </w:r>
          </w:p>
        </w:tc>
        <w:tc>
          <w:tcPr>
            <w:tcW w:w="913" w:type="pct"/>
            <w:shd w:val="clear" w:color="auto" w:fill="auto"/>
            <w:vAlign w:val="center"/>
          </w:tcPr>
          <w:p w14:paraId="36B3C59E">
            <w:pPr>
              <w:spacing w:line="360" w:lineRule="auto"/>
              <w:jc w:val="center"/>
              <w:rPr>
                <w:color w:val="000000"/>
              </w:rPr>
            </w:pPr>
            <w:r>
              <w:rPr>
                <w:color w:val="000000"/>
              </w:rPr>
              <w:t>291.94</w:t>
            </w:r>
          </w:p>
        </w:tc>
      </w:tr>
      <w:tr w14:paraId="35B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0ABF250B">
            <w:pPr>
              <w:spacing w:line="360" w:lineRule="auto"/>
              <w:jc w:val="both"/>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799" w:type="pct"/>
            <w:shd w:val="clear" w:color="auto" w:fill="auto"/>
            <w:vAlign w:val="center"/>
          </w:tcPr>
          <w:p w14:paraId="61FCBE55">
            <w:pPr>
              <w:spacing w:line="360" w:lineRule="auto"/>
              <w:jc w:val="center"/>
              <w:rPr>
                <w:color w:val="000000"/>
              </w:rPr>
            </w:pPr>
            <w:r>
              <w:rPr>
                <w:color w:val="000000"/>
              </w:rPr>
              <w:t>363.89</w:t>
            </w:r>
          </w:p>
        </w:tc>
        <w:tc>
          <w:tcPr>
            <w:tcW w:w="800" w:type="pct"/>
            <w:shd w:val="clear" w:color="auto" w:fill="auto"/>
            <w:vAlign w:val="center"/>
          </w:tcPr>
          <w:p w14:paraId="381EAA95">
            <w:pPr>
              <w:spacing w:line="360" w:lineRule="auto"/>
              <w:jc w:val="center"/>
              <w:rPr>
                <w:color w:val="000000"/>
              </w:rPr>
            </w:pPr>
            <w:r>
              <w:rPr>
                <w:color w:val="000000"/>
              </w:rPr>
              <w:t>412.37</w:t>
            </w:r>
          </w:p>
        </w:tc>
        <w:tc>
          <w:tcPr>
            <w:tcW w:w="913" w:type="pct"/>
            <w:shd w:val="clear" w:color="auto" w:fill="auto"/>
            <w:vAlign w:val="center"/>
          </w:tcPr>
          <w:p w14:paraId="0B82D898">
            <w:pPr>
              <w:spacing w:line="360" w:lineRule="auto"/>
              <w:jc w:val="center"/>
              <w:rPr>
                <w:color w:val="000000"/>
              </w:rPr>
            </w:pPr>
            <w:r>
              <w:rPr>
                <w:color w:val="000000"/>
              </w:rPr>
              <w:t>388.13</w:t>
            </w:r>
          </w:p>
        </w:tc>
      </w:tr>
      <w:tr w14:paraId="7923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center"/>
          </w:tcPr>
          <w:p w14:paraId="070400B6">
            <w:pPr>
              <w:spacing w:line="360" w:lineRule="auto"/>
              <w:jc w:val="both"/>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799" w:type="pct"/>
            <w:shd w:val="clear" w:color="auto" w:fill="auto"/>
            <w:vAlign w:val="center"/>
          </w:tcPr>
          <w:p w14:paraId="3F9BEC2E">
            <w:pPr>
              <w:spacing w:line="360" w:lineRule="auto"/>
              <w:jc w:val="center"/>
              <w:rPr>
                <w:color w:val="000000"/>
              </w:rPr>
            </w:pPr>
            <w:r>
              <w:rPr>
                <w:color w:val="000000"/>
              </w:rPr>
              <w:t>296.55</w:t>
            </w:r>
          </w:p>
        </w:tc>
        <w:tc>
          <w:tcPr>
            <w:tcW w:w="800" w:type="pct"/>
            <w:shd w:val="clear" w:color="auto" w:fill="auto"/>
            <w:vAlign w:val="center"/>
          </w:tcPr>
          <w:p w14:paraId="5BC0850A">
            <w:pPr>
              <w:spacing w:line="360" w:lineRule="auto"/>
              <w:jc w:val="center"/>
              <w:rPr>
                <w:color w:val="000000"/>
              </w:rPr>
            </w:pPr>
            <w:r>
              <w:rPr>
                <w:color w:val="000000"/>
              </w:rPr>
              <w:t>332.78</w:t>
            </w:r>
          </w:p>
        </w:tc>
        <w:tc>
          <w:tcPr>
            <w:tcW w:w="913" w:type="pct"/>
            <w:shd w:val="clear" w:color="auto" w:fill="auto"/>
            <w:vAlign w:val="center"/>
          </w:tcPr>
          <w:p w14:paraId="03BCB2CB">
            <w:pPr>
              <w:spacing w:line="360" w:lineRule="auto"/>
              <w:jc w:val="center"/>
              <w:rPr>
                <w:color w:val="000000"/>
              </w:rPr>
            </w:pPr>
            <w:r>
              <w:rPr>
                <w:color w:val="000000"/>
              </w:rPr>
              <w:t>314.66</w:t>
            </w:r>
          </w:p>
        </w:tc>
      </w:tr>
      <w:tr w14:paraId="1CE4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89" w:type="pct"/>
            <w:shd w:val="clear" w:color="auto" w:fill="auto"/>
            <w:noWrap/>
            <w:vAlign w:val="bottom"/>
          </w:tcPr>
          <w:p w14:paraId="6CA0A4BD">
            <w:pPr>
              <w:spacing w:line="360" w:lineRule="auto"/>
              <w:rPr>
                <w:b/>
                <w:color w:val="000000"/>
              </w:rPr>
            </w:pPr>
            <w:r>
              <w:rPr>
                <w:b/>
                <w:color w:val="000000"/>
              </w:rPr>
              <w:t>C.D.</w:t>
            </w:r>
            <w:r>
              <w:rPr>
                <w:b/>
              </w:rPr>
              <w:t xml:space="preserve"> at 5% level of significance</w:t>
            </w:r>
          </w:p>
        </w:tc>
        <w:tc>
          <w:tcPr>
            <w:tcW w:w="799" w:type="pct"/>
            <w:shd w:val="clear" w:color="auto" w:fill="auto"/>
            <w:vAlign w:val="center"/>
          </w:tcPr>
          <w:p w14:paraId="69DCDE78">
            <w:pPr>
              <w:spacing w:line="360" w:lineRule="auto"/>
              <w:jc w:val="center"/>
              <w:rPr>
                <w:color w:val="000000"/>
              </w:rPr>
            </w:pPr>
            <w:r>
              <w:rPr>
                <w:color w:val="000000"/>
              </w:rPr>
              <w:t>9.51</w:t>
            </w:r>
          </w:p>
        </w:tc>
        <w:tc>
          <w:tcPr>
            <w:tcW w:w="800" w:type="pct"/>
            <w:shd w:val="clear" w:color="auto" w:fill="auto"/>
            <w:vAlign w:val="center"/>
          </w:tcPr>
          <w:p w14:paraId="594F8C84">
            <w:pPr>
              <w:spacing w:line="360" w:lineRule="auto"/>
              <w:jc w:val="center"/>
              <w:rPr>
                <w:color w:val="000000"/>
              </w:rPr>
            </w:pPr>
            <w:r>
              <w:rPr>
                <w:color w:val="000000"/>
              </w:rPr>
              <w:t>13.76</w:t>
            </w:r>
          </w:p>
        </w:tc>
        <w:tc>
          <w:tcPr>
            <w:tcW w:w="913" w:type="pct"/>
            <w:shd w:val="clear" w:color="auto" w:fill="auto"/>
            <w:vAlign w:val="center"/>
          </w:tcPr>
          <w:p w14:paraId="5BCE8582">
            <w:pPr>
              <w:spacing w:line="360" w:lineRule="auto"/>
              <w:jc w:val="center"/>
              <w:rPr>
                <w:color w:val="000000"/>
              </w:rPr>
            </w:pPr>
            <w:r>
              <w:rPr>
                <w:color w:val="000000"/>
              </w:rPr>
              <w:t>8.39</w:t>
            </w:r>
          </w:p>
        </w:tc>
      </w:tr>
    </w:tbl>
    <w:p w14:paraId="0D9DCB01">
      <w:pPr>
        <w:pStyle w:val="18"/>
        <w:spacing w:before="0" w:beforeAutospacing="0" w:after="0" w:afterAutospacing="0" w:line="360" w:lineRule="auto"/>
        <w:ind w:firstLine="720"/>
        <w:jc w:val="both"/>
        <w:rPr>
          <w:bCs/>
          <w:sz w:val="22"/>
          <w:szCs w:val="22"/>
        </w:rPr>
      </w:pPr>
    </w:p>
    <w:p w14:paraId="79818D72">
      <w:pPr>
        <w:pStyle w:val="18"/>
        <w:spacing w:before="0" w:beforeAutospacing="0" w:after="0" w:afterAutospacing="0" w:line="360" w:lineRule="auto"/>
        <w:jc w:val="both"/>
        <w:rPr>
          <w:b/>
          <w:bCs/>
          <w:sz w:val="22"/>
          <w:szCs w:val="22"/>
        </w:rPr>
      </w:pPr>
      <w:r>
        <w:rPr>
          <w:b/>
          <w:bCs/>
          <w:sz w:val="22"/>
          <w:szCs w:val="22"/>
        </w:rPr>
        <w:t xml:space="preserve">Conclusion </w:t>
      </w:r>
    </w:p>
    <w:p w14:paraId="7A1C556E">
      <w:pPr>
        <w:pStyle w:val="18"/>
        <w:spacing w:before="0" w:beforeAutospacing="0" w:after="0" w:afterAutospacing="0" w:line="360" w:lineRule="auto"/>
        <w:jc w:val="both"/>
      </w:pPr>
      <w:r>
        <w:t>The present study clearly demonstrates that the application of biostimulants in combination with recommended doses of fertilizers significantly enhances the growth, yield, and quality parameters of capsicum cv. PSM-1 under polyhouse conditions. Among the various treatments, the combination of RDF + Seaweed extract (T3) resulted in the earliest flowering (41.75 days), earliest fruit maturity (105.25 days), highest number of fruits per plant (22.50), maximum fruit size (9.55 cm length, 7.96 cm diameter), heaviest average fruit weight (95.74 g), and highest total yield (399.05 q/ha). Treatments with RDF + Salicylic acid (T5) and RDF + Humic acid (T11) also performed significantly better than the control in most parameters, closely following T3. Comparatively, treatments involving 87.5% RDF alone or with biostimulants showed moderate improvements but were generally less effective than those with 100% RDF. Thus, the integrated application of biostimulants with full RDF, particularly seaweed extract, is recommended for optimizing capsicum productivity and quality in protected cultivation systems.</w:t>
      </w:r>
    </w:p>
    <w:p w14:paraId="2C066974">
      <w:pPr>
        <w:pStyle w:val="18"/>
        <w:spacing w:before="0" w:beforeAutospacing="0" w:after="0" w:afterAutospacing="0" w:line="360" w:lineRule="auto"/>
        <w:jc w:val="both"/>
        <w:rPr>
          <w:b/>
          <w:bCs/>
          <w:sz w:val="22"/>
          <w:szCs w:val="22"/>
          <w:lang w:val="en-US"/>
        </w:rPr>
      </w:pPr>
      <w:r>
        <w:rPr>
          <w:rFonts w:eastAsia="Calibri"/>
          <w:b/>
        </w:rPr>
        <w:t xml:space="preserve">References </w:t>
      </w:r>
    </w:p>
    <w:p w14:paraId="0D0850CC">
      <w:pPr>
        <w:pStyle w:val="18"/>
        <w:spacing w:before="0" w:beforeAutospacing="0" w:after="0" w:afterAutospacing="0" w:line="360" w:lineRule="auto"/>
        <w:ind w:firstLine="720"/>
        <w:jc w:val="both"/>
        <w:rPr>
          <w:bCs/>
        </w:rPr>
      </w:pPr>
    </w:p>
    <w:p w14:paraId="13106ACB">
      <w:pPr>
        <w:spacing w:line="360" w:lineRule="auto"/>
        <w:ind w:left="720" w:hanging="720"/>
        <w:jc w:val="both"/>
        <w:rPr>
          <w:sz w:val="20"/>
          <w:szCs w:val="20"/>
        </w:rPr>
      </w:pPr>
      <w:r>
        <w:rPr>
          <w:sz w:val="20"/>
          <w:szCs w:val="20"/>
        </w:rPr>
        <w:t>Albayrak, S. and Çamaș, N. (2005). Effects of different levels and application times of humic acid on root and leaf yield and yield components of forage turnip (</w:t>
      </w:r>
      <w:r>
        <w:rPr>
          <w:i/>
          <w:sz w:val="20"/>
          <w:szCs w:val="20"/>
        </w:rPr>
        <w:t>Brassica rapa</w:t>
      </w:r>
      <w:r>
        <w:rPr>
          <w:sz w:val="20"/>
          <w:szCs w:val="20"/>
        </w:rPr>
        <w:t xml:space="preserve"> L.). </w:t>
      </w:r>
      <w:r>
        <w:rPr>
          <w:i/>
          <w:sz w:val="20"/>
          <w:szCs w:val="20"/>
        </w:rPr>
        <w:t>Journal of Agronomy</w:t>
      </w:r>
      <w:r>
        <w:rPr>
          <w:sz w:val="20"/>
          <w:szCs w:val="20"/>
        </w:rPr>
        <w:t xml:space="preserve">, </w:t>
      </w:r>
      <w:r>
        <w:rPr>
          <w:b/>
          <w:sz w:val="20"/>
          <w:szCs w:val="20"/>
        </w:rPr>
        <w:t>4</w:t>
      </w:r>
      <w:r>
        <w:rPr>
          <w:sz w:val="20"/>
          <w:szCs w:val="20"/>
        </w:rPr>
        <w:t>(2): 130-133.</w:t>
      </w:r>
    </w:p>
    <w:p w14:paraId="77DDA890">
      <w:pPr>
        <w:spacing w:line="360" w:lineRule="auto"/>
        <w:ind w:left="720" w:hanging="720"/>
        <w:jc w:val="both"/>
        <w:rPr>
          <w:sz w:val="20"/>
          <w:szCs w:val="20"/>
        </w:rPr>
      </w:pPr>
      <w:r>
        <w:rPr>
          <w:sz w:val="20"/>
          <w:szCs w:val="20"/>
        </w:rPr>
        <w:t>Alizadeh, B., Ghahremani, Z., Barzegar, T. and Nikbakht, J. (2017). Effect of foliar application of putrescine on growth, yield and fruit quality of sweet pepper (</w:t>
      </w:r>
      <w:r>
        <w:rPr>
          <w:i/>
          <w:sz w:val="20"/>
          <w:szCs w:val="20"/>
        </w:rPr>
        <w:t>Capsicuum annum</w:t>
      </w:r>
      <w:r>
        <w:rPr>
          <w:sz w:val="20"/>
          <w:szCs w:val="20"/>
        </w:rPr>
        <w:t xml:space="preserve"> cv. Dimaz) under water stress. </w:t>
      </w:r>
      <w:r>
        <w:rPr>
          <w:i/>
          <w:iCs/>
          <w:sz w:val="20"/>
          <w:szCs w:val="20"/>
        </w:rPr>
        <w:t>Journal of Crops Improvement</w:t>
      </w:r>
      <w:r>
        <w:rPr>
          <w:sz w:val="20"/>
          <w:szCs w:val="20"/>
        </w:rPr>
        <w:t>, </w:t>
      </w:r>
      <w:r>
        <w:rPr>
          <w:b/>
          <w:iCs/>
          <w:sz w:val="20"/>
          <w:szCs w:val="20"/>
        </w:rPr>
        <w:t>19</w:t>
      </w:r>
      <w:r>
        <w:rPr>
          <w:sz w:val="20"/>
          <w:szCs w:val="20"/>
        </w:rPr>
        <w:t>(2): 431-444.</w:t>
      </w:r>
    </w:p>
    <w:p w14:paraId="0D988CB5">
      <w:pPr>
        <w:spacing w:line="360" w:lineRule="auto"/>
        <w:ind w:left="720" w:hanging="720"/>
        <w:jc w:val="both"/>
        <w:rPr>
          <w:sz w:val="20"/>
          <w:szCs w:val="20"/>
        </w:rPr>
      </w:pPr>
      <w:r>
        <w:rPr>
          <w:sz w:val="20"/>
          <w:szCs w:val="20"/>
        </w:rPr>
        <w:t xml:space="preserve">Arthur, G.D., Stirk, W.A., Van Staden, J. and Scott, P. (2003). Effect of a seaweed concentrate on the growth and yield of three varieties of </w:t>
      </w:r>
      <w:r>
        <w:rPr>
          <w:i/>
          <w:sz w:val="20"/>
          <w:szCs w:val="20"/>
        </w:rPr>
        <w:t>Capsicum annuum</w:t>
      </w:r>
      <w:r>
        <w:rPr>
          <w:sz w:val="20"/>
          <w:szCs w:val="20"/>
        </w:rPr>
        <w:t>. </w:t>
      </w:r>
      <w:r>
        <w:rPr>
          <w:i/>
          <w:iCs/>
          <w:sz w:val="20"/>
          <w:szCs w:val="20"/>
        </w:rPr>
        <w:t>South African journal of Botany</w:t>
      </w:r>
      <w:r>
        <w:rPr>
          <w:sz w:val="20"/>
          <w:szCs w:val="20"/>
        </w:rPr>
        <w:t>, </w:t>
      </w:r>
      <w:r>
        <w:rPr>
          <w:b/>
          <w:iCs/>
          <w:sz w:val="20"/>
          <w:szCs w:val="20"/>
        </w:rPr>
        <w:t>69</w:t>
      </w:r>
      <w:r>
        <w:rPr>
          <w:sz w:val="20"/>
          <w:szCs w:val="20"/>
        </w:rPr>
        <w:t>(2): 207-211.</w:t>
      </w:r>
    </w:p>
    <w:p w14:paraId="305AC0EA">
      <w:pPr>
        <w:spacing w:line="360" w:lineRule="auto"/>
        <w:ind w:left="720" w:hanging="720"/>
        <w:jc w:val="both"/>
        <w:rPr>
          <w:sz w:val="20"/>
          <w:szCs w:val="20"/>
        </w:rPr>
      </w:pPr>
      <w:r>
        <w:rPr>
          <w:sz w:val="20"/>
          <w:szCs w:val="20"/>
        </w:rPr>
        <w:t xml:space="preserve">Asghari, M.R., Hajitagilo, R. and Jalilimarandi, R. (2009). Postharvest application of salicylic acid before coating with chitosan affects the pattern of quality changes in table grape during cold storage. </w:t>
      </w:r>
      <w:r>
        <w:rPr>
          <w:i/>
          <w:iCs/>
          <w:sz w:val="20"/>
          <w:szCs w:val="20"/>
        </w:rPr>
        <w:t>In 6th International Postharvest Symposium</w:t>
      </w:r>
      <w:r>
        <w:rPr>
          <w:sz w:val="20"/>
          <w:szCs w:val="20"/>
        </w:rPr>
        <w:t>, Antalya, Turkey (pp. 8-12).</w:t>
      </w:r>
    </w:p>
    <w:p w14:paraId="24A79D96">
      <w:pPr>
        <w:spacing w:line="360" w:lineRule="auto"/>
        <w:ind w:left="720" w:hanging="720"/>
        <w:jc w:val="both"/>
        <w:rPr>
          <w:sz w:val="20"/>
          <w:szCs w:val="20"/>
        </w:rPr>
      </w:pPr>
      <w:r>
        <w:rPr>
          <w:sz w:val="20"/>
          <w:szCs w:val="20"/>
        </w:rPr>
        <w:t>Ashour, M., Hassan, S.M., Elshobary, M.E., Ammar, G.A., Gaber, A., Alsanie, W.F., Mansour, A.T. and El-Shenody, R. (2021). Impact of commercial seaweed liquid extract (TAM®) biostimulant and its bioactive molecules on growth and antioxidant activities of hot pepper (</w:t>
      </w:r>
      <w:r>
        <w:rPr>
          <w:i/>
          <w:sz w:val="20"/>
          <w:szCs w:val="20"/>
        </w:rPr>
        <w:t>Capsicum annuum</w:t>
      </w:r>
      <w:r>
        <w:rPr>
          <w:sz w:val="20"/>
          <w:szCs w:val="20"/>
        </w:rPr>
        <w:t>). </w:t>
      </w:r>
      <w:r>
        <w:rPr>
          <w:i/>
          <w:iCs/>
          <w:sz w:val="20"/>
          <w:szCs w:val="20"/>
        </w:rPr>
        <w:t>Plants</w:t>
      </w:r>
      <w:r>
        <w:rPr>
          <w:sz w:val="20"/>
          <w:szCs w:val="20"/>
        </w:rPr>
        <w:t>, </w:t>
      </w:r>
      <w:r>
        <w:rPr>
          <w:b/>
          <w:iCs/>
          <w:sz w:val="20"/>
          <w:szCs w:val="20"/>
        </w:rPr>
        <w:t>10</w:t>
      </w:r>
      <w:r>
        <w:rPr>
          <w:sz w:val="20"/>
          <w:szCs w:val="20"/>
        </w:rPr>
        <w:t>(6): 1045.</w:t>
      </w:r>
    </w:p>
    <w:p w14:paraId="4D554F65">
      <w:pPr>
        <w:spacing w:line="360" w:lineRule="auto"/>
        <w:ind w:left="720" w:hanging="720"/>
        <w:jc w:val="both"/>
        <w:rPr>
          <w:sz w:val="20"/>
          <w:szCs w:val="20"/>
        </w:rPr>
      </w:pPr>
      <w:r>
        <w:rPr>
          <w:sz w:val="20"/>
          <w:szCs w:val="20"/>
        </w:rPr>
        <w:t>Azzam, E., El-Howeity, M., Galal, H. and Nofal, A. (2022). Biofertilizer efficiency of seaweed liquid extracts of marine green and red macro algae on growth and biochemical parameters of Hot Pepper (</w:t>
      </w:r>
      <w:r>
        <w:rPr>
          <w:i/>
          <w:sz w:val="20"/>
          <w:szCs w:val="20"/>
        </w:rPr>
        <w:t>Capsicum annuum</w:t>
      </w:r>
      <w:r>
        <w:rPr>
          <w:sz w:val="20"/>
          <w:szCs w:val="20"/>
        </w:rPr>
        <w:t xml:space="preserve"> L.). </w:t>
      </w:r>
      <w:r>
        <w:rPr>
          <w:i/>
          <w:iCs/>
          <w:sz w:val="20"/>
          <w:szCs w:val="20"/>
        </w:rPr>
        <w:t>International Journal of Environmental Studies and Researches</w:t>
      </w:r>
      <w:r>
        <w:rPr>
          <w:sz w:val="20"/>
          <w:szCs w:val="20"/>
        </w:rPr>
        <w:t>, </w:t>
      </w:r>
      <w:r>
        <w:rPr>
          <w:b/>
          <w:iCs/>
          <w:sz w:val="20"/>
          <w:szCs w:val="20"/>
        </w:rPr>
        <w:t>1</w:t>
      </w:r>
      <w:r>
        <w:rPr>
          <w:sz w:val="20"/>
          <w:szCs w:val="20"/>
        </w:rPr>
        <w:t>(2): 237-249.</w:t>
      </w:r>
    </w:p>
    <w:p w14:paraId="5CD3AF9B">
      <w:pPr>
        <w:spacing w:line="360" w:lineRule="auto"/>
        <w:ind w:left="720" w:hanging="720"/>
        <w:jc w:val="both"/>
        <w:rPr>
          <w:sz w:val="20"/>
          <w:szCs w:val="20"/>
        </w:rPr>
      </w:pPr>
      <w:r>
        <w:rPr>
          <w:sz w:val="20"/>
          <w:szCs w:val="20"/>
        </w:rPr>
        <w:t xml:space="preserve">Brahma, S. Luchon, S., Hazarika, T.K. and Barua, P. (2014). Response of capsicum (Capsicum annum var. grossum) to different levels of N and K fertigation under Assam conditions. </w:t>
      </w:r>
      <w:r>
        <w:rPr>
          <w:i/>
          <w:iCs/>
          <w:sz w:val="20"/>
          <w:szCs w:val="20"/>
        </w:rPr>
        <w:t>Progressive Horticulture</w:t>
      </w:r>
      <w:r>
        <w:rPr>
          <w:sz w:val="20"/>
          <w:szCs w:val="20"/>
        </w:rPr>
        <w:t xml:space="preserve">, </w:t>
      </w:r>
      <w:r>
        <w:rPr>
          <w:b/>
          <w:bCs/>
          <w:sz w:val="20"/>
          <w:szCs w:val="20"/>
        </w:rPr>
        <w:t>46</w:t>
      </w:r>
      <w:r>
        <w:rPr>
          <w:sz w:val="20"/>
          <w:szCs w:val="20"/>
        </w:rPr>
        <w:t>(1): 80-84.</w:t>
      </w:r>
    </w:p>
    <w:p w14:paraId="4004A5F3">
      <w:pPr>
        <w:spacing w:line="360" w:lineRule="auto"/>
        <w:ind w:left="720" w:hanging="720"/>
        <w:jc w:val="both"/>
        <w:rPr>
          <w:sz w:val="20"/>
          <w:szCs w:val="20"/>
        </w:rPr>
      </w:pPr>
      <w:r>
        <w:rPr>
          <w:sz w:val="20"/>
          <w:szCs w:val="20"/>
        </w:rPr>
        <w:t>Brahma, S., Saikia, L., Barua, P., Hazarika, T. and Sarma, B. (2010). Studies on effect of fertigation with different levels of N and K fertilizers on growth, yield, quality and economics of early season capsicum (</w:t>
      </w:r>
      <w:r>
        <w:rPr>
          <w:i/>
          <w:sz w:val="20"/>
          <w:szCs w:val="20"/>
        </w:rPr>
        <w:t>Capsicum annum</w:t>
      </w:r>
      <w:r>
        <w:rPr>
          <w:sz w:val="20"/>
          <w:szCs w:val="20"/>
        </w:rPr>
        <w:t xml:space="preserve"> L. var. </w:t>
      </w:r>
      <w:r>
        <w:rPr>
          <w:i/>
          <w:sz w:val="20"/>
          <w:szCs w:val="20"/>
        </w:rPr>
        <w:t>grossum</w:t>
      </w:r>
      <w:r>
        <w:rPr>
          <w:sz w:val="20"/>
          <w:szCs w:val="20"/>
        </w:rPr>
        <w:t>) under cover. </w:t>
      </w:r>
      <w:r>
        <w:rPr>
          <w:i/>
          <w:iCs/>
          <w:sz w:val="20"/>
          <w:szCs w:val="20"/>
        </w:rPr>
        <w:t>Vegetable Science</w:t>
      </w:r>
      <w:r>
        <w:rPr>
          <w:sz w:val="20"/>
          <w:szCs w:val="20"/>
        </w:rPr>
        <w:t>, </w:t>
      </w:r>
      <w:r>
        <w:rPr>
          <w:b/>
          <w:iCs/>
          <w:sz w:val="20"/>
          <w:szCs w:val="20"/>
        </w:rPr>
        <w:t>37</w:t>
      </w:r>
      <w:r>
        <w:rPr>
          <w:sz w:val="20"/>
          <w:szCs w:val="20"/>
        </w:rPr>
        <w:t>(2): 160-163.</w:t>
      </w:r>
    </w:p>
    <w:p w14:paraId="0D5F308D">
      <w:pPr>
        <w:spacing w:line="360" w:lineRule="auto"/>
        <w:ind w:left="720" w:hanging="720"/>
        <w:jc w:val="both"/>
        <w:rPr>
          <w:sz w:val="20"/>
          <w:szCs w:val="20"/>
        </w:rPr>
      </w:pPr>
      <w:r>
        <w:rPr>
          <w:sz w:val="20"/>
          <w:szCs w:val="20"/>
        </w:rPr>
        <w:t>Canakci, S. (2011). Effects of salicylic acid on growth, biochemical constituents in pepper (</w:t>
      </w:r>
      <w:r>
        <w:rPr>
          <w:i/>
          <w:sz w:val="20"/>
          <w:szCs w:val="20"/>
        </w:rPr>
        <w:t>Capsicum annuum</w:t>
      </w:r>
      <w:r>
        <w:rPr>
          <w:sz w:val="20"/>
          <w:szCs w:val="20"/>
        </w:rPr>
        <w:t xml:space="preserve"> L.) seedlings. </w:t>
      </w:r>
      <w:r>
        <w:rPr>
          <w:i/>
          <w:iCs/>
          <w:sz w:val="20"/>
          <w:szCs w:val="20"/>
        </w:rPr>
        <w:t>Pakistan Journal of Biological Sciences</w:t>
      </w:r>
      <w:r>
        <w:rPr>
          <w:sz w:val="20"/>
          <w:szCs w:val="20"/>
        </w:rPr>
        <w:t>,</w:t>
      </w:r>
      <w:r>
        <w:rPr>
          <w:b/>
          <w:bCs/>
          <w:sz w:val="20"/>
          <w:szCs w:val="20"/>
        </w:rPr>
        <w:t xml:space="preserve"> 14</w:t>
      </w:r>
      <w:r>
        <w:rPr>
          <w:sz w:val="20"/>
          <w:szCs w:val="20"/>
        </w:rPr>
        <w:t>(4): 300-304.</w:t>
      </w:r>
    </w:p>
    <w:p w14:paraId="17D63976">
      <w:pPr>
        <w:spacing w:line="360" w:lineRule="auto"/>
        <w:ind w:left="720" w:hanging="720"/>
        <w:jc w:val="both"/>
        <w:rPr>
          <w:sz w:val="20"/>
          <w:szCs w:val="20"/>
        </w:rPr>
      </w:pPr>
      <w:r>
        <w:rPr>
          <w:sz w:val="20"/>
          <w:szCs w:val="20"/>
        </w:rPr>
        <w:t>Chetri, D.A., Singh, A.K., Singh, V.B. (2012). Effect of integrated nutrient management on yield, quality and nutrient uptake by capsicum (</w:t>
      </w:r>
      <w:r>
        <w:rPr>
          <w:i/>
          <w:iCs/>
          <w:sz w:val="20"/>
          <w:szCs w:val="20"/>
        </w:rPr>
        <w:t>Capsicum annuum</w:t>
      </w:r>
      <w:r>
        <w:rPr>
          <w:sz w:val="20"/>
          <w:szCs w:val="20"/>
        </w:rPr>
        <w:t xml:space="preserve"> var. grossum) </w:t>
      </w:r>
      <w:r>
        <w:rPr>
          <w:i/>
          <w:iCs/>
          <w:sz w:val="20"/>
          <w:szCs w:val="20"/>
        </w:rPr>
        <w:t>cv</w:t>
      </w:r>
      <w:r>
        <w:rPr>
          <w:sz w:val="20"/>
          <w:szCs w:val="20"/>
        </w:rPr>
        <w:t xml:space="preserve">. California Wonder. </w:t>
      </w:r>
      <w:r>
        <w:rPr>
          <w:i/>
          <w:sz w:val="20"/>
          <w:szCs w:val="20"/>
        </w:rPr>
        <w:t>Journal of Soils and Crops,</w:t>
      </w:r>
      <w:r>
        <w:rPr>
          <w:sz w:val="20"/>
          <w:szCs w:val="20"/>
        </w:rPr>
        <w:t xml:space="preserve"> </w:t>
      </w:r>
      <w:r>
        <w:rPr>
          <w:b/>
          <w:bCs/>
          <w:sz w:val="20"/>
          <w:szCs w:val="20"/>
        </w:rPr>
        <w:t>22</w:t>
      </w:r>
      <w:r>
        <w:rPr>
          <w:sz w:val="20"/>
          <w:szCs w:val="20"/>
        </w:rPr>
        <w:t>(1): 44-48.</w:t>
      </w:r>
    </w:p>
    <w:p w14:paraId="10672C1A">
      <w:pPr>
        <w:spacing w:line="360" w:lineRule="auto"/>
        <w:ind w:left="720" w:hanging="720"/>
        <w:jc w:val="both"/>
        <w:rPr>
          <w:sz w:val="20"/>
          <w:szCs w:val="20"/>
        </w:rPr>
      </w:pPr>
      <w:r>
        <w:rPr>
          <w:sz w:val="20"/>
          <w:szCs w:val="20"/>
        </w:rPr>
        <w:t>Dobon-Suarez, A., Giménez, M.J., García-Pastor, M.E. and Zapata, P.J. (2021). Salicylic acid foliar application increases crop yield and quality parameters of green pepper fruit during postharvest storage. </w:t>
      </w:r>
      <w:r>
        <w:rPr>
          <w:i/>
          <w:iCs/>
          <w:sz w:val="20"/>
          <w:szCs w:val="20"/>
        </w:rPr>
        <w:t>Agronomy</w:t>
      </w:r>
      <w:r>
        <w:rPr>
          <w:sz w:val="20"/>
          <w:szCs w:val="20"/>
        </w:rPr>
        <w:t>, </w:t>
      </w:r>
      <w:r>
        <w:rPr>
          <w:b/>
          <w:iCs/>
          <w:sz w:val="20"/>
          <w:szCs w:val="20"/>
        </w:rPr>
        <w:t>11</w:t>
      </w:r>
      <w:r>
        <w:rPr>
          <w:sz w:val="20"/>
          <w:szCs w:val="20"/>
        </w:rPr>
        <w:t>(11): 2263.</w:t>
      </w:r>
    </w:p>
    <w:p w14:paraId="611398D1">
      <w:pPr>
        <w:spacing w:line="360" w:lineRule="auto"/>
        <w:ind w:left="720" w:hanging="720"/>
        <w:jc w:val="both"/>
        <w:rPr>
          <w:sz w:val="20"/>
          <w:szCs w:val="20"/>
        </w:rPr>
      </w:pPr>
      <w:r>
        <w:rPr>
          <w:sz w:val="20"/>
          <w:szCs w:val="20"/>
        </w:rPr>
        <w:t>Dookie, M., Ali, O., Ramsubhag, A. and Jayaraman, J. (2021). Flowering gene regulation in tomato plants treated with brown seaweed extracts. </w:t>
      </w:r>
      <w:r>
        <w:rPr>
          <w:i/>
          <w:iCs/>
          <w:sz w:val="20"/>
          <w:szCs w:val="20"/>
        </w:rPr>
        <w:t>Scientia Horticulturae</w:t>
      </w:r>
      <w:r>
        <w:rPr>
          <w:sz w:val="20"/>
          <w:szCs w:val="20"/>
        </w:rPr>
        <w:t>, </w:t>
      </w:r>
      <w:r>
        <w:rPr>
          <w:b/>
          <w:iCs/>
          <w:sz w:val="20"/>
          <w:szCs w:val="20"/>
        </w:rPr>
        <w:t>276</w:t>
      </w:r>
      <w:r>
        <w:rPr>
          <w:sz w:val="20"/>
          <w:szCs w:val="20"/>
        </w:rPr>
        <w:t>: 109715.</w:t>
      </w:r>
    </w:p>
    <w:p w14:paraId="47DA6CAE">
      <w:pPr>
        <w:spacing w:line="360" w:lineRule="auto"/>
        <w:ind w:left="720" w:hanging="720"/>
        <w:jc w:val="both"/>
        <w:rPr>
          <w:sz w:val="20"/>
          <w:szCs w:val="20"/>
        </w:rPr>
      </w:pPr>
      <w:r>
        <w:rPr>
          <w:sz w:val="20"/>
          <w:szCs w:val="20"/>
        </w:rPr>
        <w:t>Du Jardin, P. (2015). Plant biostimulants: Definition, concept, main categories and regulation. </w:t>
      </w:r>
      <w:r>
        <w:rPr>
          <w:i/>
          <w:iCs/>
          <w:sz w:val="20"/>
          <w:szCs w:val="20"/>
        </w:rPr>
        <w:t>Scientia horticulturae</w:t>
      </w:r>
      <w:r>
        <w:rPr>
          <w:sz w:val="20"/>
          <w:szCs w:val="20"/>
        </w:rPr>
        <w:t>, </w:t>
      </w:r>
      <w:r>
        <w:rPr>
          <w:b/>
          <w:iCs/>
          <w:sz w:val="20"/>
          <w:szCs w:val="20"/>
        </w:rPr>
        <w:t>196</w:t>
      </w:r>
      <w:r>
        <w:rPr>
          <w:sz w:val="20"/>
          <w:szCs w:val="20"/>
        </w:rPr>
        <w:t>: 3-14.</w:t>
      </w:r>
    </w:p>
    <w:p w14:paraId="2188387D">
      <w:pPr>
        <w:spacing w:line="360" w:lineRule="auto"/>
        <w:ind w:left="720" w:hanging="720"/>
        <w:jc w:val="both"/>
        <w:rPr>
          <w:sz w:val="20"/>
          <w:szCs w:val="20"/>
        </w:rPr>
      </w:pPr>
      <w:r>
        <w:rPr>
          <w:sz w:val="20"/>
          <w:szCs w:val="20"/>
        </w:rPr>
        <w:t xml:space="preserve">Dzung, P.D., Phu, D.V., Du, B.D., Ngoc, L.S., Duy, N.N., Hiet, H.D. and Hien, N.Q. (2017). Effect of foliar application of oligochitosan with different molecular weight on growth promotion and fruit yield enhancement of chili plant. </w:t>
      </w:r>
      <w:r>
        <w:rPr>
          <w:i/>
          <w:sz w:val="20"/>
          <w:szCs w:val="20"/>
        </w:rPr>
        <w:t>Plant Production Science</w:t>
      </w:r>
      <w:r>
        <w:rPr>
          <w:sz w:val="20"/>
          <w:szCs w:val="20"/>
        </w:rPr>
        <w:t xml:space="preserve">, </w:t>
      </w:r>
      <w:r>
        <w:rPr>
          <w:b/>
          <w:sz w:val="20"/>
          <w:szCs w:val="20"/>
        </w:rPr>
        <w:t>20</w:t>
      </w:r>
      <w:r>
        <w:rPr>
          <w:sz w:val="20"/>
          <w:szCs w:val="20"/>
        </w:rPr>
        <w:t>(4): 389-395.</w:t>
      </w:r>
    </w:p>
    <w:p w14:paraId="01EBCEC2">
      <w:pPr>
        <w:spacing w:line="360" w:lineRule="auto"/>
        <w:ind w:left="720" w:hanging="720"/>
        <w:jc w:val="both"/>
        <w:rPr>
          <w:color w:val="222222"/>
          <w:sz w:val="20"/>
          <w:szCs w:val="20"/>
          <w:shd w:val="clear" w:color="auto" w:fill="FFFFFF"/>
        </w:rPr>
      </w:pPr>
      <w:r>
        <w:rPr>
          <w:color w:val="222222"/>
          <w:sz w:val="20"/>
          <w:szCs w:val="20"/>
          <w:shd w:val="clear" w:color="auto" w:fill="FFFFFF"/>
        </w:rPr>
        <w:t>El-Tantawy, E.M. (2009). Behavior of tomato plants as affected by spraying with chitosan and aminofort as natural stimulator substances under application of soil organic amendments. </w:t>
      </w:r>
      <w:r>
        <w:rPr>
          <w:i/>
          <w:iCs/>
          <w:color w:val="222222"/>
          <w:sz w:val="20"/>
          <w:szCs w:val="20"/>
          <w:shd w:val="clear" w:color="auto" w:fill="FFFFFF"/>
        </w:rPr>
        <w:t xml:space="preserve">Pakistan Journal of Biological Sciences, </w:t>
      </w:r>
      <w:r>
        <w:rPr>
          <w:b/>
          <w:iCs/>
          <w:color w:val="222222"/>
          <w:sz w:val="20"/>
          <w:szCs w:val="20"/>
          <w:shd w:val="clear" w:color="auto" w:fill="FFFFFF"/>
        </w:rPr>
        <w:t>12</w:t>
      </w:r>
      <w:r>
        <w:rPr>
          <w:color w:val="222222"/>
          <w:sz w:val="20"/>
          <w:szCs w:val="20"/>
          <w:shd w:val="clear" w:color="auto" w:fill="FFFFFF"/>
        </w:rPr>
        <w:t>(17): 1164-1173.</w:t>
      </w:r>
    </w:p>
    <w:p w14:paraId="4E67968F">
      <w:pPr>
        <w:spacing w:line="360" w:lineRule="auto"/>
        <w:ind w:left="720" w:hanging="720"/>
        <w:jc w:val="both"/>
        <w:rPr>
          <w:sz w:val="20"/>
          <w:szCs w:val="20"/>
        </w:rPr>
      </w:pPr>
      <w:r>
        <w:rPr>
          <w:sz w:val="20"/>
          <w:szCs w:val="20"/>
        </w:rPr>
        <w:t>El-Tohamy, W.A., El-Abagy, H.M. and El-Greadly, N.H.M. (2008). Studies on the effect of putrescine, yeast and vitamin C on growth, yield and physiological responses of eggplant (</w:t>
      </w:r>
      <w:r>
        <w:rPr>
          <w:i/>
          <w:sz w:val="20"/>
          <w:szCs w:val="20"/>
        </w:rPr>
        <w:t>Solanum melongena</w:t>
      </w:r>
      <w:r>
        <w:rPr>
          <w:sz w:val="20"/>
          <w:szCs w:val="20"/>
        </w:rPr>
        <w:t xml:space="preserve"> L.) under sandy soil conditions. </w:t>
      </w:r>
      <w:r>
        <w:rPr>
          <w:i/>
          <w:sz w:val="20"/>
          <w:szCs w:val="20"/>
        </w:rPr>
        <w:t>Australian Journal of Basic and Applied Sciences,</w:t>
      </w:r>
      <w:r>
        <w:rPr>
          <w:sz w:val="20"/>
          <w:szCs w:val="20"/>
        </w:rPr>
        <w:t xml:space="preserve"> </w:t>
      </w:r>
      <w:r>
        <w:rPr>
          <w:b/>
          <w:sz w:val="20"/>
          <w:szCs w:val="20"/>
        </w:rPr>
        <w:t>2</w:t>
      </w:r>
      <w:r>
        <w:rPr>
          <w:sz w:val="20"/>
          <w:szCs w:val="20"/>
        </w:rPr>
        <w:t>(2): 296-300.</w:t>
      </w:r>
    </w:p>
    <w:p w14:paraId="7707BAA0">
      <w:pPr>
        <w:spacing w:line="360" w:lineRule="auto"/>
        <w:ind w:left="720" w:hanging="720"/>
        <w:jc w:val="both"/>
        <w:rPr>
          <w:sz w:val="20"/>
          <w:szCs w:val="20"/>
        </w:rPr>
      </w:pPr>
      <w:r>
        <w:rPr>
          <w:sz w:val="20"/>
          <w:szCs w:val="20"/>
        </w:rPr>
        <w:t xml:space="preserve">Ertani, A., Sambo, P., Nicoletto, C., Santagata, S., Schiavon, M. and Nardi, S. (2015). The use of organic biostimulants in hot pepper plants to help low input sustainable agriculture. </w:t>
      </w:r>
      <w:r>
        <w:rPr>
          <w:i/>
          <w:iCs/>
          <w:sz w:val="20"/>
          <w:szCs w:val="20"/>
        </w:rPr>
        <w:t>Chemical and Biological Technologies in Agriculture</w:t>
      </w:r>
      <w:r>
        <w:rPr>
          <w:sz w:val="20"/>
          <w:szCs w:val="20"/>
        </w:rPr>
        <w:t xml:space="preserve">, </w:t>
      </w:r>
      <w:r>
        <w:rPr>
          <w:b/>
          <w:bCs/>
          <w:sz w:val="20"/>
          <w:szCs w:val="20"/>
        </w:rPr>
        <w:t>2</w:t>
      </w:r>
      <w:r>
        <w:rPr>
          <w:sz w:val="20"/>
          <w:szCs w:val="20"/>
        </w:rPr>
        <w:t>: 1-10.</w:t>
      </w:r>
    </w:p>
    <w:p w14:paraId="7E8F7253">
      <w:pPr>
        <w:spacing w:line="360" w:lineRule="auto"/>
        <w:ind w:left="720" w:hanging="720"/>
        <w:jc w:val="both"/>
        <w:rPr>
          <w:sz w:val="20"/>
          <w:szCs w:val="20"/>
        </w:rPr>
      </w:pPr>
      <w:commentRangeStart w:id="4"/>
      <w:r>
        <w:rPr>
          <w:sz w:val="20"/>
          <w:szCs w:val="20"/>
          <w:highlight w:val="red"/>
        </w:rPr>
        <w:t>Godara SR, VermaI M, Gaur JK, Bairwa Sand Yadav PK. Effect of different levels of dripirrigation along with various fertigation levels on growth, yield and water use efficiency in fennel (</w:t>
      </w:r>
      <w:r>
        <w:rPr>
          <w:i/>
          <w:iCs/>
          <w:sz w:val="20"/>
          <w:szCs w:val="20"/>
          <w:highlight w:val="red"/>
        </w:rPr>
        <w:t>Foeniculum vulgare</w:t>
      </w:r>
      <w:r>
        <w:rPr>
          <w:sz w:val="20"/>
          <w:szCs w:val="20"/>
          <w:highlight w:val="red"/>
        </w:rPr>
        <w:t xml:space="preserve"> Mill.). The Asian Journal of Horticulture. 2013; 8(2):758-762.</w:t>
      </w:r>
      <w:commentRangeEnd w:id="4"/>
      <w:r>
        <w:commentReference w:id="4"/>
      </w:r>
    </w:p>
    <w:p w14:paraId="6021D110">
      <w:pPr>
        <w:spacing w:line="360" w:lineRule="auto"/>
        <w:ind w:left="720" w:hanging="720"/>
        <w:jc w:val="both"/>
        <w:rPr>
          <w:sz w:val="20"/>
          <w:szCs w:val="20"/>
        </w:rPr>
      </w:pPr>
      <w:r>
        <w:rPr>
          <w:sz w:val="20"/>
          <w:szCs w:val="20"/>
        </w:rPr>
        <w:t xml:space="preserve">Godara, R.R., Singh, D. and Wesley, C.J. (2024). Effect of Different Quantities of Bio Stimulant on Chilli Growth, Quality and Yield. </w:t>
      </w:r>
      <w:r>
        <w:rPr>
          <w:i/>
          <w:iCs/>
          <w:sz w:val="20"/>
          <w:szCs w:val="20"/>
        </w:rPr>
        <w:t>International Journal of Plant and Soil Science</w:t>
      </w:r>
      <w:r>
        <w:rPr>
          <w:sz w:val="20"/>
          <w:szCs w:val="20"/>
        </w:rPr>
        <w:t xml:space="preserve">, </w:t>
      </w:r>
      <w:r>
        <w:rPr>
          <w:b/>
          <w:bCs/>
          <w:sz w:val="20"/>
          <w:szCs w:val="20"/>
        </w:rPr>
        <w:t>36</w:t>
      </w:r>
      <w:r>
        <w:rPr>
          <w:sz w:val="20"/>
          <w:szCs w:val="20"/>
        </w:rPr>
        <w:t xml:space="preserve">(6): 259-265. </w:t>
      </w:r>
    </w:p>
    <w:p w14:paraId="0C5E36D8">
      <w:pPr>
        <w:spacing w:line="360" w:lineRule="auto"/>
        <w:ind w:left="720" w:hanging="720"/>
        <w:jc w:val="both"/>
        <w:rPr>
          <w:sz w:val="20"/>
          <w:szCs w:val="20"/>
        </w:rPr>
      </w:pPr>
      <w:r>
        <w:rPr>
          <w:sz w:val="20"/>
          <w:szCs w:val="20"/>
        </w:rPr>
        <w:t>Hanieh, A., Mojtaba, D., Zabihollah, Z. and Vahid, A. (2013). Effect of pre-sowing salicylic acid seed treatment on seed germination and growth of greenhouse sweet pepper plants. </w:t>
      </w:r>
      <w:r>
        <w:rPr>
          <w:i/>
          <w:iCs/>
          <w:sz w:val="20"/>
          <w:szCs w:val="20"/>
        </w:rPr>
        <w:t>Indian Journal of Science and Technology,</w:t>
      </w:r>
      <w:r>
        <w:rPr>
          <w:b/>
          <w:bCs/>
          <w:sz w:val="20"/>
          <w:szCs w:val="20"/>
        </w:rPr>
        <w:t> 6</w:t>
      </w:r>
      <w:r>
        <w:rPr>
          <w:sz w:val="20"/>
          <w:szCs w:val="20"/>
        </w:rPr>
        <w:t>(1): 3868-3871.</w:t>
      </w:r>
    </w:p>
    <w:p w14:paraId="156AC2C1">
      <w:pPr>
        <w:spacing w:line="360" w:lineRule="auto"/>
        <w:ind w:left="720" w:hanging="720"/>
        <w:jc w:val="both"/>
        <w:rPr>
          <w:sz w:val="20"/>
          <w:szCs w:val="20"/>
        </w:rPr>
      </w:pPr>
      <w:r>
        <w:rPr>
          <w:sz w:val="20"/>
          <w:szCs w:val="20"/>
        </w:rPr>
        <w:t xml:space="preserve">Heiser, C.B. and Smith, P.G. (1953). The cultivated capsicum peppers. </w:t>
      </w:r>
      <w:r>
        <w:rPr>
          <w:i/>
          <w:iCs/>
          <w:sz w:val="20"/>
          <w:szCs w:val="20"/>
        </w:rPr>
        <w:t>Economic Botany.</w:t>
      </w:r>
      <w:r>
        <w:rPr>
          <w:sz w:val="20"/>
          <w:szCs w:val="20"/>
        </w:rPr>
        <w:t xml:space="preserve"> </w:t>
      </w:r>
      <w:r>
        <w:rPr>
          <w:b/>
          <w:bCs/>
          <w:sz w:val="20"/>
          <w:szCs w:val="20"/>
        </w:rPr>
        <w:t>7</w:t>
      </w:r>
      <w:r>
        <w:rPr>
          <w:sz w:val="20"/>
          <w:szCs w:val="20"/>
        </w:rPr>
        <w:t>: 214-227.</w:t>
      </w:r>
    </w:p>
    <w:p w14:paraId="3BBE2820">
      <w:pPr>
        <w:spacing w:line="360" w:lineRule="auto"/>
        <w:ind w:left="720" w:hanging="720"/>
        <w:jc w:val="both"/>
        <w:rPr>
          <w:sz w:val="20"/>
          <w:szCs w:val="20"/>
        </w:rPr>
      </w:pPr>
      <w:r>
        <w:rPr>
          <w:sz w:val="20"/>
          <w:szCs w:val="20"/>
        </w:rPr>
        <w:t>Ibrahim, A., Abdel-Razzak, H., Wahb-Allah, M., Alenazi, M., Alsadon, A. and Dewir, Y. H. (2019). Improvement in growth, yield, and fruit quality of three red sweet pepper cultivars by foliar application of humic and salicylic acids. </w:t>
      </w:r>
      <w:r>
        <w:rPr>
          <w:i/>
          <w:iCs/>
          <w:sz w:val="20"/>
          <w:szCs w:val="20"/>
        </w:rPr>
        <w:t>Horticulture Technology</w:t>
      </w:r>
      <w:r>
        <w:rPr>
          <w:sz w:val="20"/>
          <w:szCs w:val="20"/>
        </w:rPr>
        <w:t>, </w:t>
      </w:r>
      <w:r>
        <w:rPr>
          <w:b/>
          <w:bCs/>
          <w:sz w:val="20"/>
          <w:szCs w:val="20"/>
        </w:rPr>
        <w:t>29</w:t>
      </w:r>
      <w:r>
        <w:rPr>
          <w:sz w:val="20"/>
          <w:szCs w:val="20"/>
        </w:rPr>
        <w:t>(2): 170-178.</w:t>
      </w:r>
    </w:p>
    <w:p w14:paraId="09162E71">
      <w:pPr>
        <w:spacing w:line="360" w:lineRule="auto"/>
        <w:ind w:left="720" w:hanging="720"/>
        <w:jc w:val="both"/>
        <w:rPr>
          <w:sz w:val="20"/>
          <w:szCs w:val="20"/>
        </w:rPr>
      </w:pPr>
      <w:r>
        <w:rPr>
          <w:sz w:val="20"/>
          <w:szCs w:val="20"/>
        </w:rPr>
        <w:t>Jan, J.A., Nabi, G., Khan, M., Ahmad, S., Shah, P. S. and Hussain, S. (2020). Foliar application of humic acid improves growth and yield of chilli (</w:t>
      </w:r>
      <w:r>
        <w:rPr>
          <w:i/>
          <w:sz w:val="20"/>
          <w:szCs w:val="20"/>
        </w:rPr>
        <w:t>Capsicum annum</w:t>
      </w:r>
      <w:r>
        <w:rPr>
          <w:sz w:val="20"/>
          <w:szCs w:val="20"/>
        </w:rPr>
        <w:t xml:space="preserve"> L.) varieties. </w:t>
      </w:r>
      <w:r>
        <w:rPr>
          <w:i/>
          <w:iCs/>
          <w:sz w:val="20"/>
          <w:szCs w:val="20"/>
        </w:rPr>
        <w:t>Pakistan Journal of Agricultural Research</w:t>
      </w:r>
      <w:r>
        <w:rPr>
          <w:sz w:val="20"/>
          <w:szCs w:val="20"/>
        </w:rPr>
        <w:t>, </w:t>
      </w:r>
      <w:r>
        <w:rPr>
          <w:b/>
          <w:bCs/>
          <w:sz w:val="20"/>
          <w:szCs w:val="20"/>
        </w:rPr>
        <w:t>33</w:t>
      </w:r>
      <w:r>
        <w:rPr>
          <w:sz w:val="20"/>
          <w:szCs w:val="20"/>
        </w:rPr>
        <w:t>(3): 461.</w:t>
      </w:r>
    </w:p>
    <w:p w14:paraId="33005E39">
      <w:pPr>
        <w:spacing w:line="360" w:lineRule="auto"/>
        <w:ind w:left="720" w:hanging="720"/>
        <w:jc w:val="both"/>
        <w:rPr>
          <w:sz w:val="20"/>
          <w:szCs w:val="20"/>
        </w:rPr>
      </w:pPr>
      <w:r>
        <w:rPr>
          <w:sz w:val="20"/>
          <w:szCs w:val="20"/>
        </w:rPr>
        <w:t xml:space="preserve">Jayasinghe, P.S., Pahalawattaarachchi, V. and Ranaweera, K.K.D.S. (2016). Effect of seaweed liquid fertilizer on plant growth of </w:t>
      </w:r>
      <w:r>
        <w:rPr>
          <w:i/>
          <w:sz w:val="20"/>
          <w:szCs w:val="20"/>
        </w:rPr>
        <w:t>Capsicum annum.</w:t>
      </w:r>
      <w:r>
        <w:rPr>
          <w:sz w:val="20"/>
          <w:szCs w:val="20"/>
        </w:rPr>
        <w:t xml:space="preserve"> </w:t>
      </w:r>
      <w:r>
        <w:rPr>
          <w:i/>
          <w:sz w:val="20"/>
          <w:szCs w:val="20"/>
        </w:rPr>
        <w:t>Discovery</w:t>
      </w:r>
      <w:r>
        <w:rPr>
          <w:sz w:val="20"/>
          <w:szCs w:val="20"/>
        </w:rPr>
        <w:t xml:space="preserve">, </w:t>
      </w:r>
      <w:r>
        <w:rPr>
          <w:b/>
          <w:sz w:val="20"/>
          <w:szCs w:val="20"/>
        </w:rPr>
        <w:t>52</w:t>
      </w:r>
      <w:r>
        <w:rPr>
          <w:sz w:val="20"/>
          <w:szCs w:val="20"/>
        </w:rPr>
        <w:t>(244): 723-744.</w:t>
      </w:r>
    </w:p>
    <w:p w14:paraId="302B7AE3">
      <w:pPr>
        <w:spacing w:line="360" w:lineRule="auto"/>
        <w:ind w:left="720" w:hanging="720"/>
        <w:jc w:val="both"/>
        <w:rPr>
          <w:sz w:val="20"/>
          <w:szCs w:val="20"/>
        </w:rPr>
      </w:pPr>
      <w:r>
        <w:rPr>
          <w:sz w:val="20"/>
          <w:szCs w:val="20"/>
        </w:rPr>
        <w:t>Karakurt, Y., Unlu, H., Unlu, H. and Padem, H. (2009). The influence of foliar and soil fertilization of humic acid on yield and quality of pepper. </w:t>
      </w:r>
      <w:r>
        <w:rPr>
          <w:i/>
          <w:iCs/>
          <w:sz w:val="20"/>
          <w:szCs w:val="20"/>
        </w:rPr>
        <w:t>Acta Agriculturae Scandinavica Section B–Soil and Plant Science</w:t>
      </w:r>
      <w:r>
        <w:rPr>
          <w:sz w:val="20"/>
          <w:szCs w:val="20"/>
        </w:rPr>
        <w:t>, </w:t>
      </w:r>
      <w:r>
        <w:rPr>
          <w:b/>
          <w:iCs/>
          <w:sz w:val="20"/>
          <w:szCs w:val="20"/>
        </w:rPr>
        <w:t>59</w:t>
      </w:r>
      <w:r>
        <w:rPr>
          <w:sz w:val="20"/>
          <w:szCs w:val="20"/>
        </w:rPr>
        <w:t>(3): 233-237.</w:t>
      </w:r>
    </w:p>
    <w:p w14:paraId="0F162990">
      <w:pPr>
        <w:spacing w:line="360" w:lineRule="auto"/>
        <w:ind w:left="720" w:hanging="720"/>
        <w:jc w:val="both"/>
        <w:rPr>
          <w:sz w:val="20"/>
          <w:szCs w:val="20"/>
        </w:rPr>
      </w:pPr>
      <w:r>
        <w:rPr>
          <w:sz w:val="20"/>
          <w:szCs w:val="20"/>
        </w:rPr>
        <w:t>Kasperbauer, M.J. (1987). Far-red light reflection from green leaves and effects on phytochrome-mediated assimilate partitioning under field conditions. </w:t>
      </w:r>
      <w:r>
        <w:rPr>
          <w:i/>
          <w:iCs/>
          <w:sz w:val="20"/>
          <w:szCs w:val="20"/>
        </w:rPr>
        <w:t>Plant physiology</w:t>
      </w:r>
      <w:r>
        <w:rPr>
          <w:sz w:val="20"/>
          <w:szCs w:val="20"/>
        </w:rPr>
        <w:t>, </w:t>
      </w:r>
      <w:r>
        <w:rPr>
          <w:b/>
          <w:i/>
          <w:iCs/>
          <w:sz w:val="20"/>
          <w:szCs w:val="20"/>
        </w:rPr>
        <w:t>85</w:t>
      </w:r>
      <w:r>
        <w:rPr>
          <w:sz w:val="20"/>
          <w:szCs w:val="20"/>
        </w:rPr>
        <w:t>(2): 350-354.</w:t>
      </w:r>
    </w:p>
    <w:p w14:paraId="60453DA5">
      <w:pPr>
        <w:spacing w:line="360" w:lineRule="auto"/>
        <w:ind w:left="720" w:hanging="720"/>
        <w:jc w:val="both"/>
        <w:rPr>
          <w:sz w:val="20"/>
          <w:szCs w:val="20"/>
        </w:rPr>
      </w:pPr>
      <w:r>
        <w:rPr>
          <w:sz w:val="20"/>
          <w:szCs w:val="20"/>
        </w:rPr>
        <w:t>Kawthar, A.E., Rabie, H.H., Manaf, H., Hasnaa, A.H, Gouda, I., Shahat, I.M. (2010). Influence of compost and rock amendments on growth and active ingredients of safflower (</w:t>
      </w:r>
      <w:r>
        <w:rPr>
          <w:i/>
          <w:iCs/>
          <w:sz w:val="20"/>
          <w:szCs w:val="20"/>
        </w:rPr>
        <w:t>Carthamus tinctorius</w:t>
      </w:r>
      <w:r>
        <w:rPr>
          <w:sz w:val="20"/>
          <w:szCs w:val="20"/>
        </w:rPr>
        <w:t xml:space="preserve"> L.). </w:t>
      </w:r>
      <w:r>
        <w:rPr>
          <w:i/>
          <w:iCs/>
          <w:sz w:val="20"/>
          <w:szCs w:val="20"/>
        </w:rPr>
        <w:t>Australian Journal of Basic and Applied Science</w:t>
      </w:r>
      <w:r>
        <w:rPr>
          <w:sz w:val="20"/>
          <w:szCs w:val="20"/>
        </w:rPr>
        <w:t xml:space="preserve">, </w:t>
      </w:r>
      <w:r>
        <w:rPr>
          <w:b/>
          <w:bCs/>
          <w:sz w:val="20"/>
          <w:szCs w:val="20"/>
        </w:rPr>
        <w:t>4</w:t>
      </w:r>
      <w:r>
        <w:rPr>
          <w:sz w:val="20"/>
          <w:szCs w:val="20"/>
        </w:rPr>
        <w:t>(7):1626-1631.</w:t>
      </w:r>
    </w:p>
    <w:p w14:paraId="5B5AD5F4">
      <w:pPr>
        <w:spacing w:line="360" w:lineRule="auto"/>
        <w:ind w:left="720" w:hanging="720"/>
        <w:jc w:val="both"/>
        <w:rPr>
          <w:iCs/>
          <w:sz w:val="20"/>
          <w:szCs w:val="20"/>
        </w:rPr>
      </w:pPr>
      <w:r>
        <w:rPr>
          <w:iCs/>
          <w:sz w:val="20"/>
          <w:szCs w:val="20"/>
        </w:rPr>
        <w:t xml:space="preserve">Kazemi, M. (2014). Effect of foliar application of humic acid and calcium chloride on tomato growth. </w:t>
      </w:r>
      <w:r>
        <w:rPr>
          <w:i/>
          <w:iCs/>
          <w:sz w:val="20"/>
          <w:szCs w:val="20"/>
        </w:rPr>
        <w:t>Bulletin of Environment, Pharmacology and Life Sciences</w:t>
      </w:r>
      <w:r>
        <w:rPr>
          <w:iCs/>
          <w:sz w:val="20"/>
          <w:szCs w:val="20"/>
        </w:rPr>
        <w:t xml:space="preserve">, </w:t>
      </w:r>
      <w:r>
        <w:rPr>
          <w:b/>
          <w:bCs/>
          <w:iCs/>
          <w:sz w:val="20"/>
          <w:szCs w:val="20"/>
        </w:rPr>
        <w:t>3</w:t>
      </w:r>
      <w:r>
        <w:rPr>
          <w:iCs/>
          <w:sz w:val="20"/>
          <w:szCs w:val="20"/>
        </w:rPr>
        <w:t>(3): 41-46.</w:t>
      </w:r>
    </w:p>
    <w:p w14:paraId="46CEEAE0">
      <w:pPr>
        <w:spacing w:line="360" w:lineRule="auto"/>
        <w:ind w:left="720" w:hanging="720"/>
        <w:jc w:val="both"/>
        <w:rPr>
          <w:sz w:val="20"/>
          <w:szCs w:val="20"/>
        </w:rPr>
      </w:pPr>
      <w:r>
        <w:rPr>
          <w:sz w:val="20"/>
          <w:szCs w:val="20"/>
        </w:rPr>
        <w:t>Kazimi, R. and Saxena, D. (2023). Significance of chitosan foliar spraying on the growth and yield of vegetable crop under protected cultivation: A Review. </w:t>
      </w:r>
      <w:r>
        <w:rPr>
          <w:i/>
          <w:iCs/>
          <w:sz w:val="20"/>
          <w:szCs w:val="20"/>
        </w:rPr>
        <w:t>Plant Science Today</w:t>
      </w:r>
      <w:r>
        <w:rPr>
          <w:sz w:val="20"/>
          <w:szCs w:val="20"/>
        </w:rPr>
        <w:t>, </w:t>
      </w:r>
      <w:r>
        <w:rPr>
          <w:b/>
          <w:iCs/>
          <w:sz w:val="20"/>
          <w:szCs w:val="20"/>
        </w:rPr>
        <w:t>10</w:t>
      </w:r>
      <w:r>
        <w:rPr>
          <w:sz w:val="20"/>
          <w:szCs w:val="20"/>
        </w:rPr>
        <w:t>(3): 140-148.</w:t>
      </w:r>
    </w:p>
    <w:p w14:paraId="0B15692C">
      <w:pPr>
        <w:spacing w:line="360" w:lineRule="auto"/>
        <w:ind w:left="720" w:hanging="720"/>
        <w:jc w:val="both"/>
        <w:rPr>
          <w:sz w:val="20"/>
          <w:szCs w:val="20"/>
        </w:rPr>
      </w:pPr>
      <w:r>
        <w:rPr>
          <w:sz w:val="20"/>
          <w:szCs w:val="20"/>
        </w:rPr>
        <w:t>Khosroshahi, M.R.Z., Esna-Ashari, M. and Ershadi, A. (2007). Effect of exogenous putrescine on post-harvest life of strawberry (</w:t>
      </w:r>
      <w:r>
        <w:rPr>
          <w:i/>
          <w:iCs/>
          <w:sz w:val="20"/>
          <w:szCs w:val="20"/>
        </w:rPr>
        <w:t>Fragaria ananassa</w:t>
      </w:r>
      <w:r>
        <w:rPr>
          <w:sz w:val="20"/>
          <w:szCs w:val="20"/>
        </w:rPr>
        <w:t xml:space="preserve"> Duch.) fruit, cultivar Selva. </w:t>
      </w:r>
      <w:r>
        <w:rPr>
          <w:i/>
          <w:iCs/>
          <w:sz w:val="20"/>
          <w:szCs w:val="20"/>
        </w:rPr>
        <w:t>Scientia Horticulturae</w:t>
      </w:r>
      <w:r>
        <w:rPr>
          <w:sz w:val="20"/>
          <w:szCs w:val="20"/>
        </w:rPr>
        <w:t>, </w:t>
      </w:r>
      <w:r>
        <w:rPr>
          <w:b/>
          <w:bCs/>
          <w:sz w:val="20"/>
          <w:szCs w:val="20"/>
        </w:rPr>
        <w:t>114</w:t>
      </w:r>
      <w:r>
        <w:rPr>
          <w:sz w:val="20"/>
          <w:szCs w:val="20"/>
        </w:rPr>
        <w:t>(1): 27-32.</w:t>
      </w:r>
    </w:p>
    <w:p w14:paraId="4F706FA3">
      <w:pPr>
        <w:spacing w:line="360" w:lineRule="auto"/>
        <w:ind w:left="720" w:hanging="720"/>
        <w:jc w:val="both"/>
        <w:rPr>
          <w:sz w:val="20"/>
          <w:szCs w:val="20"/>
        </w:rPr>
      </w:pPr>
      <w:r>
        <w:rPr>
          <w:sz w:val="20"/>
          <w:szCs w:val="20"/>
        </w:rPr>
        <w:t>Kramchote, S. and Suwor, P. (2022). Preharvest chitosan effects on growth, yield and quality of ‘Super Hot’and ‘Num Khao’chili pepper (</w:t>
      </w:r>
      <w:r>
        <w:rPr>
          <w:i/>
          <w:iCs/>
          <w:sz w:val="20"/>
          <w:szCs w:val="20"/>
        </w:rPr>
        <w:t>Capsicum annuum</w:t>
      </w:r>
      <w:r>
        <w:rPr>
          <w:sz w:val="20"/>
          <w:szCs w:val="20"/>
        </w:rPr>
        <w:t xml:space="preserve"> L.). </w:t>
      </w:r>
      <w:r>
        <w:rPr>
          <w:i/>
          <w:iCs/>
          <w:sz w:val="20"/>
          <w:szCs w:val="20"/>
        </w:rPr>
        <w:t>The Horticulture Journal</w:t>
      </w:r>
      <w:r>
        <w:rPr>
          <w:sz w:val="20"/>
          <w:szCs w:val="20"/>
        </w:rPr>
        <w:t>,</w:t>
      </w:r>
      <w:r>
        <w:rPr>
          <w:b/>
          <w:bCs/>
          <w:sz w:val="20"/>
          <w:szCs w:val="20"/>
        </w:rPr>
        <w:t> 91</w:t>
      </w:r>
      <w:r>
        <w:rPr>
          <w:sz w:val="20"/>
          <w:szCs w:val="20"/>
        </w:rPr>
        <w:t>(4): 522-530.</w:t>
      </w:r>
    </w:p>
    <w:p w14:paraId="277791F7">
      <w:pPr>
        <w:spacing w:line="360" w:lineRule="auto"/>
        <w:ind w:left="720" w:hanging="720"/>
        <w:jc w:val="both"/>
        <w:rPr>
          <w:sz w:val="20"/>
          <w:szCs w:val="20"/>
        </w:rPr>
      </w:pPr>
      <w:r>
        <w:rPr>
          <w:sz w:val="20"/>
          <w:szCs w:val="20"/>
        </w:rPr>
        <w:t xml:space="preserve">Lal, S. and Kanaujia, S.P. (2013). Integrated nutrient management in capsicum under low-cost polyhouse condition. </w:t>
      </w:r>
      <w:r>
        <w:rPr>
          <w:i/>
          <w:iCs/>
          <w:sz w:val="20"/>
          <w:szCs w:val="20"/>
        </w:rPr>
        <w:t>Annals of Horticulture</w:t>
      </w:r>
      <w:r>
        <w:rPr>
          <w:sz w:val="20"/>
          <w:szCs w:val="20"/>
        </w:rPr>
        <w:t xml:space="preserve">, </w:t>
      </w:r>
      <w:r>
        <w:rPr>
          <w:b/>
          <w:bCs/>
          <w:sz w:val="20"/>
          <w:szCs w:val="20"/>
        </w:rPr>
        <w:t>6</w:t>
      </w:r>
      <w:r>
        <w:rPr>
          <w:sz w:val="20"/>
          <w:szCs w:val="20"/>
        </w:rPr>
        <w:t>(2): 170-177.</w:t>
      </w:r>
    </w:p>
    <w:p w14:paraId="31276ABA">
      <w:pPr>
        <w:spacing w:line="360" w:lineRule="auto"/>
        <w:ind w:left="720" w:hanging="720"/>
        <w:jc w:val="both"/>
        <w:rPr>
          <w:sz w:val="20"/>
          <w:szCs w:val="20"/>
        </w:rPr>
      </w:pPr>
      <w:r>
        <w:rPr>
          <w:sz w:val="20"/>
          <w:szCs w:val="20"/>
        </w:rPr>
        <w:t xml:space="preserve">Locher, J., Ombodi, A., Kassai, T., Dimney, J. (2003). Effects of black plastic mulch and raised bed on soil temperature and yield of sweet pepper. </w:t>
      </w:r>
      <w:r>
        <w:rPr>
          <w:i/>
          <w:iCs/>
          <w:sz w:val="20"/>
          <w:szCs w:val="20"/>
        </w:rPr>
        <w:t>International Journal of Horticulture Science</w:t>
      </w:r>
      <w:r>
        <w:rPr>
          <w:sz w:val="20"/>
          <w:szCs w:val="20"/>
        </w:rPr>
        <w:t xml:space="preserve">, </w:t>
      </w:r>
      <w:r>
        <w:rPr>
          <w:b/>
          <w:sz w:val="20"/>
          <w:szCs w:val="20"/>
        </w:rPr>
        <w:t>9</w:t>
      </w:r>
      <w:r>
        <w:rPr>
          <w:sz w:val="20"/>
          <w:szCs w:val="20"/>
        </w:rPr>
        <w:t>(3/4): 107-110.</w:t>
      </w:r>
    </w:p>
    <w:p w14:paraId="50362BAC">
      <w:pPr>
        <w:spacing w:line="360" w:lineRule="auto"/>
        <w:ind w:left="720" w:hanging="720"/>
        <w:jc w:val="both"/>
        <w:rPr>
          <w:sz w:val="20"/>
          <w:szCs w:val="20"/>
        </w:rPr>
      </w:pPr>
      <w:r>
        <w:rPr>
          <w:sz w:val="20"/>
          <w:szCs w:val="20"/>
        </w:rPr>
        <w:t>Lustriane, C., Dwivany, F.M., Suendo, V. and Reza, M. (2018). Effect of chitosan and chitosan-nanoparticles on post-harvest quality of banana fruits. </w:t>
      </w:r>
      <w:r>
        <w:rPr>
          <w:i/>
          <w:iCs/>
          <w:sz w:val="20"/>
          <w:szCs w:val="20"/>
        </w:rPr>
        <w:t>Journal of Plant Biotechnology</w:t>
      </w:r>
      <w:r>
        <w:rPr>
          <w:sz w:val="20"/>
          <w:szCs w:val="20"/>
        </w:rPr>
        <w:t>, </w:t>
      </w:r>
      <w:r>
        <w:rPr>
          <w:b/>
          <w:bCs/>
          <w:sz w:val="20"/>
          <w:szCs w:val="20"/>
        </w:rPr>
        <w:t>45</w:t>
      </w:r>
      <w:r>
        <w:rPr>
          <w:sz w:val="20"/>
          <w:szCs w:val="20"/>
        </w:rPr>
        <w:t>(1): 36-44.</w:t>
      </w:r>
    </w:p>
    <w:p w14:paraId="493657F9">
      <w:pPr>
        <w:spacing w:line="360" w:lineRule="auto"/>
        <w:ind w:left="720" w:hanging="720"/>
        <w:jc w:val="both"/>
        <w:rPr>
          <w:sz w:val="20"/>
          <w:szCs w:val="20"/>
        </w:rPr>
      </w:pPr>
      <w:r>
        <w:rPr>
          <w:sz w:val="20"/>
          <w:szCs w:val="20"/>
        </w:rPr>
        <w:t xml:space="preserve">Mahmood, N., Abbasi, N.A., Hafiz, I.A., Ali, I. and Zakia, S. (2017). Effect of biostimulants on growth, yield and quality of bell pepper </w:t>
      </w:r>
      <w:r>
        <w:rPr>
          <w:i/>
          <w:sz w:val="20"/>
          <w:szCs w:val="20"/>
        </w:rPr>
        <w:t>cv.</w:t>
      </w:r>
      <w:r>
        <w:rPr>
          <w:sz w:val="20"/>
          <w:szCs w:val="20"/>
        </w:rPr>
        <w:t xml:space="preserve"> yolo wonder. </w:t>
      </w:r>
      <w:r>
        <w:rPr>
          <w:i/>
          <w:iCs/>
          <w:sz w:val="20"/>
          <w:szCs w:val="20"/>
        </w:rPr>
        <w:t>Pakistan Journal of Agricultural Sciences</w:t>
      </w:r>
      <w:r>
        <w:rPr>
          <w:sz w:val="20"/>
          <w:szCs w:val="20"/>
        </w:rPr>
        <w:t xml:space="preserve">, </w:t>
      </w:r>
      <w:r>
        <w:rPr>
          <w:b/>
          <w:bCs/>
          <w:sz w:val="20"/>
          <w:szCs w:val="20"/>
        </w:rPr>
        <w:t>54</w:t>
      </w:r>
      <w:r>
        <w:rPr>
          <w:sz w:val="20"/>
          <w:szCs w:val="20"/>
        </w:rPr>
        <w:t>(2): 311-317.</w:t>
      </w:r>
    </w:p>
    <w:p w14:paraId="44D9DA47">
      <w:pPr>
        <w:spacing w:line="360" w:lineRule="auto"/>
        <w:ind w:left="720" w:hanging="720"/>
        <w:jc w:val="both"/>
        <w:rPr>
          <w:sz w:val="20"/>
          <w:szCs w:val="20"/>
        </w:rPr>
      </w:pPr>
      <w:r>
        <w:rPr>
          <w:sz w:val="20"/>
          <w:szCs w:val="20"/>
        </w:rPr>
        <w:t>Malerba, M. and Cerana, R. (2016). Chitosan effects on plant systems. </w:t>
      </w:r>
      <w:r>
        <w:rPr>
          <w:i/>
          <w:iCs/>
          <w:sz w:val="20"/>
          <w:szCs w:val="20"/>
        </w:rPr>
        <w:t>International Journal of Molecular Sciences</w:t>
      </w:r>
      <w:r>
        <w:rPr>
          <w:sz w:val="20"/>
          <w:szCs w:val="20"/>
        </w:rPr>
        <w:t>, </w:t>
      </w:r>
      <w:r>
        <w:rPr>
          <w:b/>
          <w:bCs/>
          <w:sz w:val="20"/>
          <w:szCs w:val="20"/>
        </w:rPr>
        <w:t>17</w:t>
      </w:r>
      <w:r>
        <w:rPr>
          <w:sz w:val="20"/>
          <w:szCs w:val="20"/>
        </w:rPr>
        <w:t>(7): 996.</w:t>
      </w:r>
    </w:p>
    <w:p w14:paraId="7497A211">
      <w:pPr>
        <w:spacing w:line="360" w:lineRule="auto"/>
        <w:ind w:left="720" w:hanging="720"/>
        <w:jc w:val="both"/>
        <w:rPr>
          <w:sz w:val="20"/>
          <w:szCs w:val="20"/>
        </w:rPr>
      </w:pPr>
      <w:r>
        <w:rPr>
          <w:sz w:val="20"/>
          <w:szCs w:val="20"/>
        </w:rPr>
        <w:t>Munshi, M.H., Issak, M., Kabir, K., Hosain, M.T., Bari, A.S.F., Rahman, M.S. and Tamanna, M. (2020). Enhancement of growth, yield and fruit quality of sweet pepper (</w:t>
      </w:r>
      <w:r>
        <w:rPr>
          <w:i/>
          <w:iCs/>
          <w:sz w:val="20"/>
          <w:szCs w:val="20"/>
        </w:rPr>
        <w:t>Capsicum annuum</w:t>
      </w:r>
      <w:r>
        <w:rPr>
          <w:sz w:val="20"/>
          <w:szCs w:val="20"/>
        </w:rPr>
        <w:t xml:space="preserve"> L.) by foliar application of salicylic acid</w:t>
      </w:r>
      <w:r>
        <w:rPr>
          <w:i/>
          <w:iCs/>
          <w:sz w:val="20"/>
          <w:szCs w:val="20"/>
        </w:rPr>
        <w:t>. International Journal of Bioscience</w:t>
      </w:r>
      <w:r>
        <w:rPr>
          <w:sz w:val="20"/>
          <w:szCs w:val="20"/>
        </w:rPr>
        <w:t xml:space="preserve">, </w:t>
      </w:r>
      <w:r>
        <w:rPr>
          <w:b/>
          <w:bCs/>
          <w:sz w:val="20"/>
          <w:szCs w:val="20"/>
        </w:rPr>
        <w:t>17</w:t>
      </w:r>
      <w:r>
        <w:rPr>
          <w:sz w:val="20"/>
          <w:szCs w:val="20"/>
        </w:rPr>
        <w:t>: 49-56.</w:t>
      </w:r>
    </w:p>
    <w:p w14:paraId="783162EE">
      <w:pPr>
        <w:spacing w:line="360" w:lineRule="auto"/>
        <w:ind w:left="720" w:hanging="720"/>
        <w:jc w:val="both"/>
        <w:rPr>
          <w:sz w:val="20"/>
          <w:szCs w:val="20"/>
        </w:rPr>
      </w:pPr>
      <w:r>
        <w:rPr>
          <w:sz w:val="20"/>
          <w:szCs w:val="20"/>
        </w:rPr>
        <w:t xml:space="preserve">Narayan, K., Dubey, P., Sharma, D., Katre, V.T. (2011). Rajhansa KC Effect of foliar application of water-soluble fertilizers on flowering, yield and quality attributes of tomato. </w:t>
      </w:r>
      <w:r>
        <w:rPr>
          <w:i/>
          <w:iCs/>
          <w:sz w:val="20"/>
          <w:szCs w:val="20"/>
        </w:rPr>
        <w:t>The Asian Journal of Horticulture</w:t>
      </w:r>
      <w:r>
        <w:rPr>
          <w:sz w:val="20"/>
          <w:szCs w:val="20"/>
        </w:rPr>
        <w:t xml:space="preserve">, </w:t>
      </w:r>
      <w:r>
        <w:rPr>
          <w:b/>
          <w:bCs/>
          <w:sz w:val="20"/>
          <w:szCs w:val="20"/>
        </w:rPr>
        <w:t>6</w:t>
      </w:r>
      <w:r>
        <w:rPr>
          <w:sz w:val="20"/>
          <w:szCs w:val="20"/>
        </w:rPr>
        <w:t>(1): 225-228.</w:t>
      </w:r>
    </w:p>
    <w:p w14:paraId="19AD2EF0">
      <w:pPr>
        <w:spacing w:line="360" w:lineRule="auto"/>
        <w:ind w:left="720" w:hanging="720"/>
        <w:jc w:val="both"/>
        <w:rPr>
          <w:sz w:val="20"/>
          <w:szCs w:val="20"/>
        </w:rPr>
      </w:pPr>
      <w:r>
        <w:rPr>
          <w:sz w:val="20"/>
          <w:szCs w:val="20"/>
        </w:rPr>
        <w:t xml:space="preserve">Neginahal, B.P., Revanappa, Patil, M.G., Halepyati, A.S. and Bheemanna, M. (2009). Effect of planting method and nutrient level on productivity and nutrient uptake of chilli. </w:t>
      </w:r>
      <w:r>
        <w:rPr>
          <w:i/>
          <w:iCs/>
          <w:sz w:val="20"/>
          <w:szCs w:val="20"/>
        </w:rPr>
        <w:t>Journal of Agricultural Sciences, Karnataka</w:t>
      </w:r>
      <w:r>
        <w:rPr>
          <w:sz w:val="20"/>
          <w:szCs w:val="20"/>
        </w:rPr>
        <w:t xml:space="preserve">, </w:t>
      </w:r>
      <w:r>
        <w:rPr>
          <w:b/>
          <w:bCs/>
          <w:sz w:val="20"/>
          <w:szCs w:val="20"/>
        </w:rPr>
        <w:t>22</w:t>
      </w:r>
      <w:r>
        <w:rPr>
          <w:sz w:val="20"/>
          <w:szCs w:val="20"/>
        </w:rPr>
        <w:t>: 392-394.</w:t>
      </w:r>
    </w:p>
    <w:p w14:paraId="23EE6503">
      <w:pPr>
        <w:spacing w:line="360" w:lineRule="auto"/>
        <w:ind w:left="720" w:hanging="720"/>
        <w:jc w:val="both"/>
        <w:rPr>
          <w:sz w:val="20"/>
          <w:szCs w:val="20"/>
        </w:rPr>
      </w:pPr>
      <w:r>
        <w:rPr>
          <w:sz w:val="20"/>
          <w:szCs w:val="20"/>
        </w:rPr>
        <w:t>Ozbay, N. and Demirkiran, A.R. (2019). Enhancement of growth in ornamental pepper (</w:t>
      </w:r>
      <w:r>
        <w:rPr>
          <w:i/>
          <w:sz w:val="20"/>
          <w:szCs w:val="20"/>
        </w:rPr>
        <w:t>Capsicum annuum</w:t>
      </w:r>
      <w:r>
        <w:rPr>
          <w:sz w:val="20"/>
          <w:szCs w:val="20"/>
        </w:rPr>
        <w:t xml:space="preserve"> L.) Plants with application of a commercial seaweed product, stimplex®. </w:t>
      </w:r>
      <w:r>
        <w:rPr>
          <w:i/>
          <w:iCs/>
          <w:sz w:val="20"/>
          <w:szCs w:val="20"/>
        </w:rPr>
        <w:t>Applied Ecology &amp; Environmental Research</w:t>
      </w:r>
      <w:r>
        <w:rPr>
          <w:sz w:val="20"/>
          <w:szCs w:val="20"/>
        </w:rPr>
        <w:t>, </w:t>
      </w:r>
      <w:r>
        <w:rPr>
          <w:b/>
          <w:iCs/>
          <w:sz w:val="20"/>
          <w:szCs w:val="20"/>
        </w:rPr>
        <w:t>17</w:t>
      </w:r>
      <w:r>
        <w:rPr>
          <w:sz w:val="20"/>
          <w:szCs w:val="20"/>
        </w:rPr>
        <w:t>(2).</w:t>
      </w:r>
    </w:p>
    <w:p w14:paraId="0BA5E3EF">
      <w:pPr>
        <w:spacing w:line="360" w:lineRule="auto"/>
        <w:ind w:left="720" w:hanging="720"/>
        <w:jc w:val="both"/>
        <w:rPr>
          <w:iCs/>
          <w:sz w:val="20"/>
          <w:szCs w:val="20"/>
        </w:rPr>
      </w:pPr>
      <w:r>
        <w:rPr>
          <w:iCs/>
          <w:sz w:val="20"/>
          <w:szCs w:val="20"/>
        </w:rPr>
        <w:t xml:space="preserve">Panse, V. G. and P. V. Sukhatme, (1967). Statistical Methods for Agricultural Workers. 2nd Endorsement, </w:t>
      </w:r>
      <w:r>
        <w:rPr>
          <w:i/>
          <w:iCs/>
          <w:sz w:val="20"/>
          <w:szCs w:val="20"/>
        </w:rPr>
        <w:t>ICAR Publication, New Delhi, India</w:t>
      </w:r>
      <w:r>
        <w:rPr>
          <w:iCs/>
          <w:sz w:val="20"/>
          <w:szCs w:val="20"/>
        </w:rPr>
        <w:t>, 381-384.</w:t>
      </w:r>
    </w:p>
    <w:p w14:paraId="7625F202">
      <w:pPr>
        <w:spacing w:line="360" w:lineRule="auto"/>
        <w:ind w:left="720" w:hanging="720"/>
        <w:jc w:val="both"/>
        <w:rPr>
          <w:sz w:val="20"/>
          <w:szCs w:val="20"/>
        </w:rPr>
      </w:pPr>
      <w:r>
        <w:rPr>
          <w:sz w:val="20"/>
          <w:szCs w:val="20"/>
        </w:rPr>
        <w:t>Rabbi, S. F., Rahman, M., Mondal, M. M. A., Bhowal, S. K. and Haque, A. (2016). Effect of chitosan application on plant characters, yield attributes and yield of mungbean. </w:t>
      </w:r>
      <w:r>
        <w:rPr>
          <w:i/>
          <w:iCs/>
          <w:sz w:val="20"/>
          <w:szCs w:val="20"/>
        </w:rPr>
        <w:t>Research Journal of Agricutural and Environmental Management,</w:t>
      </w:r>
      <w:r>
        <w:rPr>
          <w:sz w:val="20"/>
          <w:szCs w:val="20"/>
        </w:rPr>
        <w:t> </w:t>
      </w:r>
      <w:r>
        <w:rPr>
          <w:b/>
          <w:bCs/>
          <w:sz w:val="20"/>
          <w:szCs w:val="20"/>
        </w:rPr>
        <w:t>5</w:t>
      </w:r>
      <w:r>
        <w:rPr>
          <w:sz w:val="20"/>
          <w:szCs w:val="20"/>
        </w:rPr>
        <w:t>(3): 95-100.</w:t>
      </w:r>
    </w:p>
    <w:p w14:paraId="28C21AAF">
      <w:pPr>
        <w:spacing w:line="360" w:lineRule="auto"/>
        <w:ind w:left="720" w:hanging="720"/>
        <w:jc w:val="both"/>
        <w:rPr>
          <w:sz w:val="20"/>
          <w:szCs w:val="20"/>
        </w:rPr>
      </w:pPr>
      <w:r>
        <w:rPr>
          <w:sz w:val="20"/>
          <w:szCs w:val="20"/>
        </w:rPr>
        <w:t>Rahman, M. J., Mondol, A. T. M. A. I., Rahman, M. N., Begum, R. A. and Alam, M. K. (2007). Effect of irrigation and nitrogen on tomato yield in the grey terrace soil of Bangladesh. </w:t>
      </w:r>
      <w:r>
        <w:rPr>
          <w:i/>
          <w:iCs/>
          <w:sz w:val="20"/>
          <w:szCs w:val="20"/>
        </w:rPr>
        <w:t>Journal of Soil and Nature</w:t>
      </w:r>
      <w:r>
        <w:rPr>
          <w:sz w:val="20"/>
          <w:szCs w:val="20"/>
        </w:rPr>
        <w:t xml:space="preserve">, </w:t>
      </w:r>
      <w:r>
        <w:rPr>
          <w:b/>
          <w:sz w:val="20"/>
          <w:szCs w:val="20"/>
        </w:rPr>
        <w:t>1</w:t>
      </w:r>
      <w:r>
        <w:rPr>
          <w:sz w:val="20"/>
          <w:szCs w:val="20"/>
        </w:rPr>
        <w:t>(3): 1-4.</w:t>
      </w:r>
    </w:p>
    <w:p w14:paraId="39866B0A">
      <w:pPr>
        <w:spacing w:line="360" w:lineRule="auto"/>
        <w:ind w:left="720" w:hanging="720"/>
        <w:jc w:val="both"/>
        <w:rPr>
          <w:sz w:val="20"/>
          <w:szCs w:val="20"/>
        </w:rPr>
      </w:pPr>
      <w:r>
        <w:rPr>
          <w:sz w:val="20"/>
          <w:szCs w:val="20"/>
        </w:rPr>
        <w:t xml:space="preserve"> </w:t>
      </w:r>
    </w:p>
    <w:p w14:paraId="74C532B3">
      <w:pPr>
        <w:spacing w:line="360" w:lineRule="auto"/>
        <w:ind w:left="720" w:hanging="720"/>
        <w:jc w:val="both"/>
        <w:rPr>
          <w:sz w:val="20"/>
          <w:szCs w:val="20"/>
        </w:rPr>
      </w:pPr>
      <w:r>
        <w:rPr>
          <w:sz w:val="20"/>
          <w:szCs w:val="20"/>
        </w:rPr>
        <w:t>Ramani, S., Banu, A. and Ashwini, M.A. (2020). Effect of seaweed coating on quality characteristics and shelf life of tomato (</w:t>
      </w:r>
      <w:r>
        <w:rPr>
          <w:i/>
          <w:sz w:val="20"/>
          <w:szCs w:val="20"/>
        </w:rPr>
        <w:t>Lycopersicon esculentum</w:t>
      </w:r>
      <w:r>
        <w:rPr>
          <w:sz w:val="20"/>
          <w:szCs w:val="20"/>
        </w:rPr>
        <w:t xml:space="preserve"> Mill). </w:t>
      </w:r>
      <w:r>
        <w:rPr>
          <w:i/>
          <w:sz w:val="20"/>
          <w:szCs w:val="20"/>
        </w:rPr>
        <w:t>Food Science and Human Wellness,</w:t>
      </w:r>
      <w:r>
        <w:rPr>
          <w:sz w:val="20"/>
          <w:szCs w:val="20"/>
        </w:rPr>
        <w:t xml:space="preserve"> </w:t>
      </w:r>
      <w:r>
        <w:rPr>
          <w:b/>
          <w:sz w:val="20"/>
          <w:szCs w:val="20"/>
        </w:rPr>
        <w:t>9</w:t>
      </w:r>
      <w:r>
        <w:rPr>
          <w:sz w:val="20"/>
          <w:szCs w:val="20"/>
        </w:rPr>
        <w:t>(2): 176-183.</w:t>
      </w:r>
    </w:p>
    <w:p w14:paraId="4C36F596">
      <w:pPr>
        <w:spacing w:line="360" w:lineRule="auto"/>
        <w:ind w:left="720" w:hanging="720"/>
        <w:jc w:val="both"/>
        <w:rPr>
          <w:sz w:val="20"/>
          <w:szCs w:val="20"/>
        </w:rPr>
      </w:pPr>
      <w:r>
        <w:rPr>
          <w:sz w:val="20"/>
          <w:szCs w:val="20"/>
        </w:rPr>
        <w:t xml:space="preserve">Rana, V.S., Sharma, K. and Gudeta, K. (2023). Seaweed extract as a bio-stimulant agent to enhance the fruit growth, yield, and quality of kiwifruit. Horticulturae, </w:t>
      </w:r>
      <w:r>
        <w:rPr>
          <w:b/>
          <w:sz w:val="20"/>
          <w:szCs w:val="20"/>
        </w:rPr>
        <w:t>9</w:t>
      </w:r>
      <w:r>
        <w:rPr>
          <w:sz w:val="20"/>
          <w:szCs w:val="20"/>
        </w:rPr>
        <w:t>(4): 432-440.</w:t>
      </w:r>
    </w:p>
    <w:p w14:paraId="73785F5E">
      <w:pPr>
        <w:spacing w:line="360" w:lineRule="auto"/>
        <w:ind w:left="720" w:hanging="720"/>
        <w:jc w:val="both"/>
        <w:rPr>
          <w:sz w:val="20"/>
          <w:szCs w:val="20"/>
        </w:rPr>
      </w:pPr>
      <w:r>
        <w:rPr>
          <w:sz w:val="20"/>
          <w:szCs w:val="20"/>
        </w:rPr>
        <w:t>Saravanan, S., Thampithurai, D., Veeraragavatnatnam, S. and Sabbaia, A. (2003). Effect of seaweed extract and chlormequat on growth and fruit yield of tomato (</w:t>
      </w:r>
      <w:r>
        <w:rPr>
          <w:i/>
          <w:sz w:val="20"/>
          <w:szCs w:val="20"/>
        </w:rPr>
        <w:t>Lycoperscicon esculentum</w:t>
      </w:r>
      <w:r>
        <w:rPr>
          <w:sz w:val="20"/>
          <w:szCs w:val="20"/>
        </w:rPr>
        <w:t xml:space="preserve"> Mill.). </w:t>
      </w:r>
      <w:r>
        <w:rPr>
          <w:i/>
          <w:sz w:val="20"/>
          <w:szCs w:val="20"/>
        </w:rPr>
        <w:t>Indian Journal of Agriculture Research</w:t>
      </w:r>
      <w:r>
        <w:rPr>
          <w:sz w:val="20"/>
          <w:szCs w:val="20"/>
        </w:rPr>
        <w:t xml:space="preserve">, </w:t>
      </w:r>
      <w:r>
        <w:rPr>
          <w:b/>
          <w:sz w:val="20"/>
          <w:szCs w:val="20"/>
        </w:rPr>
        <w:t>37</w:t>
      </w:r>
      <w:r>
        <w:rPr>
          <w:sz w:val="20"/>
          <w:szCs w:val="20"/>
        </w:rPr>
        <w:t>(2): 79-87.</w:t>
      </w:r>
    </w:p>
    <w:p w14:paraId="6BEF9E38">
      <w:pPr>
        <w:spacing w:line="360" w:lineRule="auto"/>
        <w:ind w:left="720" w:hanging="720"/>
        <w:jc w:val="both"/>
        <w:rPr>
          <w:sz w:val="20"/>
          <w:szCs w:val="20"/>
        </w:rPr>
      </w:pPr>
      <w:r>
        <w:rPr>
          <w:sz w:val="20"/>
          <w:szCs w:val="20"/>
        </w:rPr>
        <w:t>Sarhan, T.Z., Ali, T. and Rasheed, S.M.S. (2011). Effect of bread yeast application and seaweed extract on cucumber (</w:t>
      </w:r>
      <w:r>
        <w:rPr>
          <w:i/>
          <w:sz w:val="20"/>
          <w:szCs w:val="20"/>
        </w:rPr>
        <w:t>Cucumis sativus</w:t>
      </w:r>
      <w:r>
        <w:rPr>
          <w:sz w:val="20"/>
          <w:szCs w:val="20"/>
        </w:rPr>
        <w:t xml:space="preserve"> L.) plant growth, yield and fruit quality. </w:t>
      </w:r>
      <w:r>
        <w:rPr>
          <w:i/>
          <w:sz w:val="20"/>
          <w:szCs w:val="20"/>
        </w:rPr>
        <w:t>Mesopotamia Journal of Agriculture,</w:t>
      </w:r>
      <w:r>
        <w:rPr>
          <w:sz w:val="20"/>
          <w:szCs w:val="20"/>
        </w:rPr>
        <w:t xml:space="preserve"> </w:t>
      </w:r>
      <w:r>
        <w:rPr>
          <w:b/>
          <w:sz w:val="20"/>
          <w:szCs w:val="20"/>
        </w:rPr>
        <w:t>11</w:t>
      </w:r>
      <w:r>
        <w:rPr>
          <w:sz w:val="20"/>
          <w:szCs w:val="20"/>
        </w:rPr>
        <w:t>: 26-34.</w:t>
      </w:r>
    </w:p>
    <w:p w14:paraId="6295BAF6">
      <w:pPr>
        <w:spacing w:line="360" w:lineRule="auto"/>
        <w:ind w:left="720" w:hanging="720"/>
        <w:jc w:val="both"/>
        <w:rPr>
          <w:sz w:val="20"/>
          <w:szCs w:val="20"/>
        </w:rPr>
      </w:pPr>
      <w:r>
        <w:rPr>
          <w:sz w:val="20"/>
          <w:szCs w:val="20"/>
        </w:rPr>
        <w:t>Segmen, E. and Ozdamar, Unlu, H. (2023). Effects of foliar applications of commercial seaweed and spirulina platensis extracts on yield and fruit quality in pepper (</w:t>
      </w:r>
      <w:r>
        <w:rPr>
          <w:i/>
          <w:sz w:val="20"/>
          <w:szCs w:val="20"/>
        </w:rPr>
        <w:t>Capsicum annuum</w:t>
      </w:r>
      <w:r>
        <w:rPr>
          <w:sz w:val="20"/>
          <w:szCs w:val="20"/>
        </w:rPr>
        <w:t xml:space="preserve"> L.). </w:t>
      </w:r>
      <w:r>
        <w:rPr>
          <w:i/>
          <w:iCs/>
          <w:sz w:val="20"/>
          <w:szCs w:val="20"/>
        </w:rPr>
        <w:t>Cogent Food &amp; Agriculture</w:t>
      </w:r>
      <w:r>
        <w:rPr>
          <w:sz w:val="20"/>
          <w:szCs w:val="20"/>
        </w:rPr>
        <w:t>, </w:t>
      </w:r>
      <w:r>
        <w:rPr>
          <w:b/>
          <w:iCs/>
          <w:sz w:val="20"/>
          <w:szCs w:val="20"/>
        </w:rPr>
        <w:t>9</w:t>
      </w:r>
      <w:r>
        <w:rPr>
          <w:sz w:val="20"/>
          <w:szCs w:val="20"/>
        </w:rPr>
        <w:t>(1): 2233733.</w:t>
      </w:r>
    </w:p>
    <w:p w14:paraId="25324982">
      <w:pPr>
        <w:spacing w:line="360" w:lineRule="auto"/>
        <w:ind w:left="720" w:hanging="720"/>
        <w:jc w:val="both"/>
        <w:rPr>
          <w:sz w:val="20"/>
          <w:szCs w:val="20"/>
        </w:rPr>
      </w:pPr>
      <w:r>
        <w:rPr>
          <w:sz w:val="20"/>
          <w:szCs w:val="20"/>
        </w:rPr>
        <w:t>Shabana, A.I., Shafeek, M.R., Ahmed, H.I. and Abdel-Al, F.S. (2020). Improving growth, fruit setting, total yield and fruit quality of sweet pepper plants (</w:t>
      </w:r>
      <w:r>
        <w:rPr>
          <w:i/>
          <w:sz w:val="20"/>
          <w:szCs w:val="20"/>
        </w:rPr>
        <w:t>Capsicum annum</w:t>
      </w:r>
      <w:r>
        <w:rPr>
          <w:sz w:val="20"/>
          <w:szCs w:val="20"/>
        </w:rPr>
        <w:t xml:space="preserve"> L.) by using antioxidant and seaweed extracts. </w:t>
      </w:r>
      <w:r>
        <w:rPr>
          <w:i/>
          <w:iCs/>
          <w:sz w:val="20"/>
          <w:szCs w:val="20"/>
        </w:rPr>
        <w:t>Middle East Journal of Agriculture Research</w:t>
      </w:r>
      <w:r>
        <w:rPr>
          <w:sz w:val="20"/>
          <w:szCs w:val="20"/>
        </w:rPr>
        <w:t xml:space="preserve">, </w:t>
      </w:r>
      <w:r>
        <w:rPr>
          <w:b/>
          <w:bCs/>
          <w:sz w:val="20"/>
          <w:szCs w:val="20"/>
        </w:rPr>
        <w:t>4</w:t>
      </w:r>
      <w:r>
        <w:rPr>
          <w:sz w:val="20"/>
          <w:szCs w:val="20"/>
        </w:rPr>
        <w:t xml:space="preserve">(2): 154-161. </w:t>
      </w:r>
    </w:p>
    <w:p w14:paraId="153AC769">
      <w:pPr>
        <w:spacing w:line="360" w:lineRule="auto"/>
        <w:ind w:left="720" w:hanging="720"/>
        <w:jc w:val="both"/>
        <w:rPr>
          <w:sz w:val="20"/>
          <w:szCs w:val="20"/>
        </w:rPr>
      </w:pPr>
      <w:r>
        <w:rPr>
          <w:sz w:val="20"/>
          <w:szCs w:val="20"/>
        </w:rPr>
        <w:t>Shanmugam, M., Karthikeyan, K. and Devika, R. (2016). Seaweed plant nutrients to enhance the population and health of earthworm eudrilus eugeniae along with crop betterment in chilli (</w:t>
      </w:r>
      <w:r>
        <w:rPr>
          <w:i/>
          <w:iCs/>
          <w:sz w:val="20"/>
          <w:szCs w:val="20"/>
        </w:rPr>
        <w:t>Capsicum annum</w:t>
      </w:r>
      <w:r>
        <w:rPr>
          <w:sz w:val="20"/>
          <w:szCs w:val="20"/>
        </w:rPr>
        <w:t xml:space="preserve"> </w:t>
      </w:r>
      <w:r>
        <w:rPr>
          <w:i/>
          <w:iCs/>
          <w:sz w:val="20"/>
          <w:szCs w:val="20"/>
        </w:rPr>
        <w:t>var</w:t>
      </w:r>
      <w:r>
        <w:rPr>
          <w:sz w:val="20"/>
          <w:szCs w:val="20"/>
        </w:rPr>
        <w:t>. Kkm-ch1) under pot culture. </w:t>
      </w:r>
      <w:r>
        <w:rPr>
          <w:i/>
          <w:iCs/>
          <w:sz w:val="20"/>
          <w:szCs w:val="20"/>
        </w:rPr>
        <w:t>Journal of Agriculture and Environment</w:t>
      </w:r>
      <w:r>
        <w:rPr>
          <w:sz w:val="20"/>
          <w:szCs w:val="20"/>
        </w:rPr>
        <w:t xml:space="preserve">, </w:t>
      </w:r>
      <w:r>
        <w:rPr>
          <w:b/>
          <w:sz w:val="20"/>
          <w:szCs w:val="20"/>
        </w:rPr>
        <w:t>2</w:t>
      </w:r>
      <w:r>
        <w:rPr>
          <w:sz w:val="20"/>
          <w:szCs w:val="20"/>
        </w:rPr>
        <w:t>(6).</w:t>
      </w:r>
    </w:p>
    <w:p w14:paraId="0B00D00E">
      <w:pPr>
        <w:spacing w:line="360" w:lineRule="auto"/>
        <w:ind w:left="720" w:hanging="720"/>
        <w:jc w:val="both"/>
        <w:rPr>
          <w:sz w:val="20"/>
          <w:szCs w:val="20"/>
        </w:rPr>
      </w:pPr>
      <w:r>
        <w:rPr>
          <w:sz w:val="20"/>
          <w:szCs w:val="20"/>
        </w:rPr>
        <w:t xml:space="preserve">Singh, D.P., Anand, N. and Deshpande, A.A. (1993). Improvement of bell pepper. In: KL Chadha and G Kalloo (eds.), Advances in Horticulture. New Delhi: MPH, </w:t>
      </w:r>
      <w:r>
        <w:rPr>
          <w:b/>
          <w:bCs/>
          <w:sz w:val="20"/>
          <w:szCs w:val="20"/>
        </w:rPr>
        <w:t>5</w:t>
      </w:r>
      <w:r>
        <w:rPr>
          <w:sz w:val="20"/>
          <w:szCs w:val="20"/>
        </w:rPr>
        <w:t>: 87-104.</w:t>
      </w:r>
    </w:p>
    <w:p w14:paraId="393A5272">
      <w:pPr>
        <w:spacing w:line="360" w:lineRule="auto"/>
        <w:ind w:left="720" w:hanging="720"/>
        <w:jc w:val="both"/>
        <w:rPr>
          <w:sz w:val="20"/>
          <w:szCs w:val="20"/>
        </w:rPr>
      </w:pPr>
      <w:r>
        <w:rPr>
          <w:sz w:val="20"/>
          <w:szCs w:val="20"/>
        </w:rPr>
        <w:t xml:space="preserve">Sridhar, S. and Rengasamy, R. (2012). The effects of Seaweed Liquid Fertilizer of Ulva lactuca on </w:t>
      </w:r>
      <w:r>
        <w:rPr>
          <w:i/>
          <w:sz w:val="20"/>
          <w:szCs w:val="20"/>
        </w:rPr>
        <w:t>Capsicum annum</w:t>
      </w:r>
      <w:r>
        <w:rPr>
          <w:sz w:val="20"/>
          <w:szCs w:val="20"/>
        </w:rPr>
        <w:t>. </w:t>
      </w:r>
      <w:r>
        <w:rPr>
          <w:i/>
          <w:iCs/>
          <w:sz w:val="20"/>
          <w:szCs w:val="20"/>
        </w:rPr>
        <w:t>Algological Studies</w:t>
      </w:r>
      <w:r>
        <w:rPr>
          <w:sz w:val="20"/>
          <w:szCs w:val="20"/>
        </w:rPr>
        <w:t>, </w:t>
      </w:r>
      <w:r>
        <w:rPr>
          <w:b/>
          <w:iCs/>
          <w:sz w:val="20"/>
          <w:szCs w:val="20"/>
        </w:rPr>
        <w:t>138</w:t>
      </w:r>
      <w:r>
        <w:rPr>
          <w:sz w:val="20"/>
          <w:szCs w:val="20"/>
        </w:rPr>
        <w:t>(1): 75.</w:t>
      </w:r>
    </w:p>
    <w:p w14:paraId="0D79C372">
      <w:pPr>
        <w:spacing w:line="360" w:lineRule="auto"/>
        <w:ind w:left="720" w:hanging="720"/>
        <w:jc w:val="both"/>
        <w:rPr>
          <w:sz w:val="20"/>
          <w:szCs w:val="20"/>
        </w:rPr>
      </w:pPr>
      <w:r>
        <w:rPr>
          <w:sz w:val="20"/>
          <w:szCs w:val="20"/>
        </w:rPr>
        <w:t>Sun, W. and Shahrajabian, M.H. (2023). The application of arbuscular mycorrhizal fungi as microbial biostimulant, sustainable approaches in modern agriculture. </w:t>
      </w:r>
      <w:r>
        <w:rPr>
          <w:i/>
          <w:iCs/>
          <w:sz w:val="20"/>
          <w:szCs w:val="20"/>
        </w:rPr>
        <w:t>Plants</w:t>
      </w:r>
      <w:r>
        <w:rPr>
          <w:sz w:val="20"/>
          <w:szCs w:val="20"/>
        </w:rPr>
        <w:t>, </w:t>
      </w:r>
      <w:r>
        <w:rPr>
          <w:b/>
          <w:iCs/>
          <w:sz w:val="20"/>
          <w:szCs w:val="20"/>
        </w:rPr>
        <w:t>12</w:t>
      </w:r>
      <w:r>
        <w:rPr>
          <w:sz w:val="20"/>
          <w:szCs w:val="20"/>
        </w:rPr>
        <w:t>(17): 3101.</w:t>
      </w:r>
    </w:p>
    <w:p w14:paraId="134BB2B3">
      <w:pPr>
        <w:spacing w:line="360" w:lineRule="auto"/>
        <w:ind w:left="720" w:hanging="720"/>
        <w:jc w:val="both"/>
        <w:rPr>
          <w:sz w:val="20"/>
          <w:szCs w:val="20"/>
        </w:rPr>
      </w:pPr>
      <w:r>
        <w:rPr>
          <w:sz w:val="20"/>
          <w:szCs w:val="20"/>
        </w:rPr>
        <w:t xml:space="preserve">Thivy, F. (1961). Seaweed manure for perfect soil and smiling fields. </w:t>
      </w:r>
      <w:r>
        <w:rPr>
          <w:i/>
          <w:iCs/>
          <w:sz w:val="20"/>
          <w:szCs w:val="20"/>
        </w:rPr>
        <w:t>Salt Research Industry</w:t>
      </w:r>
      <w:r>
        <w:rPr>
          <w:sz w:val="20"/>
          <w:szCs w:val="20"/>
        </w:rPr>
        <w:t xml:space="preserve">, </w:t>
      </w:r>
      <w:r>
        <w:rPr>
          <w:b/>
          <w:bCs/>
          <w:sz w:val="20"/>
          <w:szCs w:val="20"/>
        </w:rPr>
        <w:t>1</w:t>
      </w:r>
      <w:r>
        <w:rPr>
          <w:sz w:val="20"/>
          <w:szCs w:val="20"/>
        </w:rPr>
        <w:t xml:space="preserve">(17): 1-4. </w:t>
      </w:r>
    </w:p>
    <w:p w14:paraId="5A133F0A">
      <w:pPr>
        <w:spacing w:line="360" w:lineRule="auto"/>
        <w:ind w:left="720" w:hanging="720"/>
        <w:jc w:val="both"/>
        <w:rPr>
          <w:sz w:val="20"/>
          <w:szCs w:val="20"/>
        </w:rPr>
      </w:pPr>
      <w:r>
        <w:rPr>
          <w:sz w:val="20"/>
          <w:szCs w:val="20"/>
        </w:rPr>
        <w:t>Türkmen, Ö., Dursun, A., Turan, M. and Erdinç, Ç. (2004). Calcium and humic acid affect seed germination, growth, and nutrient content of tomato (</w:t>
      </w:r>
      <w:r>
        <w:rPr>
          <w:i/>
          <w:sz w:val="20"/>
          <w:szCs w:val="20"/>
        </w:rPr>
        <w:t>Lycopersicon esculentum</w:t>
      </w:r>
      <w:r>
        <w:rPr>
          <w:sz w:val="20"/>
          <w:szCs w:val="20"/>
        </w:rPr>
        <w:t xml:space="preserve"> L.) seedlings under saline soil conditions. </w:t>
      </w:r>
      <w:r>
        <w:rPr>
          <w:i/>
          <w:iCs/>
          <w:sz w:val="20"/>
          <w:szCs w:val="20"/>
        </w:rPr>
        <w:t>Acta Agriculturae Scandinavica, Section B-Soil &amp; Plant Science</w:t>
      </w:r>
      <w:r>
        <w:rPr>
          <w:sz w:val="20"/>
          <w:szCs w:val="20"/>
        </w:rPr>
        <w:t>, </w:t>
      </w:r>
      <w:r>
        <w:rPr>
          <w:b/>
          <w:iCs/>
          <w:sz w:val="20"/>
          <w:szCs w:val="20"/>
        </w:rPr>
        <w:t>54</w:t>
      </w:r>
      <w:r>
        <w:rPr>
          <w:sz w:val="20"/>
          <w:szCs w:val="20"/>
        </w:rPr>
        <w:t>(3): 168-174.</w:t>
      </w:r>
    </w:p>
    <w:p w14:paraId="2F663D72">
      <w:pPr>
        <w:spacing w:line="360" w:lineRule="auto"/>
        <w:ind w:left="720" w:hanging="720"/>
        <w:jc w:val="both"/>
        <w:rPr>
          <w:sz w:val="20"/>
          <w:szCs w:val="20"/>
        </w:rPr>
      </w:pPr>
      <w:r>
        <w:rPr>
          <w:sz w:val="20"/>
          <w:szCs w:val="20"/>
        </w:rPr>
        <w:t>Venkatesan, K. and Selvakumari, P. (2017). Seasonal influence of seaweed gel on growth and yield of tomato (</w:t>
      </w:r>
      <w:r>
        <w:rPr>
          <w:i/>
          <w:sz w:val="20"/>
          <w:szCs w:val="20"/>
        </w:rPr>
        <w:t>Solanum lycopersicum</w:t>
      </w:r>
      <w:r>
        <w:rPr>
          <w:sz w:val="20"/>
          <w:szCs w:val="20"/>
        </w:rPr>
        <w:t xml:space="preserve"> Mill.) Hybrid COTH 2. </w:t>
      </w:r>
      <w:r>
        <w:rPr>
          <w:i/>
          <w:iCs/>
          <w:sz w:val="20"/>
          <w:szCs w:val="20"/>
        </w:rPr>
        <w:t>International Journal of Current Microbiology and Applied Sciences</w:t>
      </w:r>
      <w:r>
        <w:rPr>
          <w:sz w:val="20"/>
          <w:szCs w:val="20"/>
        </w:rPr>
        <w:t>, </w:t>
      </w:r>
      <w:r>
        <w:rPr>
          <w:b/>
          <w:iCs/>
          <w:sz w:val="20"/>
          <w:szCs w:val="20"/>
        </w:rPr>
        <w:t>6</w:t>
      </w:r>
      <w:r>
        <w:rPr>
          <w:sz w:val="20"/>
          <w:szCs w:val="20"/>
        </w:rPr>
        <w:t>: 55-66.</w:t>
      </w:r>
      <w:r>
        <w:rPr>
          <w:rStyle w:val="19"/>
          <w:sz w:val="20"/>
          <w:szCs w:val="20"/>
          <w:bdr w:val="single" w:color="E5E7EB" w:sz="2" w:space="0"/>
        </w:rPr>
        <w:t xml:space="preserve"> </w:t>
      </w:r>
    </w:p>
    <w:p w14:paraId="00501DF4">
      <w:pPr>
        <w:spacing w:line="360" w:lineRule="auto"/>
        <w:ind w:left="720" w:hanging="720"/>
        <w:jc w:val="both"/>
        <w:rPr>
          <w:sz w:val="20"/>
          <w:szCs w:val="20"/>
        </w:rPr>
      </w:pPr>
      <w:r>
        <w:rPr>
          <w:sz w:val="20"/>
          <w:szCs w:val="20"/>
        </w:rPr>
        <w:t xml:space="preserve">Vijayakumar, S., Durgadevi, S., Arulmozhi, P., Rajalakshmi, S., Gopalakrishnan, T. and Parameswari, N. (2019). Effect of seaweed liquid fertilizer on yield and quality of </w:t>
      </w:r>
      <w:r>
        <w:rPr>
          <w:i/>
          <w:sz w:val="20"/>
          <w:szCs w:val="20"/>
        </w:rPr>
        <w:t>Capsicum annum</w:t>
      </w:r>
      <w:r>
        <w:rPr>
          <w:sz w:val="20"/>
          <w:szCs w:val="20"/>
        </w:rPr>
        <w:t xml:space="preserve"> L. </w:t>
      </w:r>
      <w:r>
        <w:rPr>
          <w:i/>
          <w:iCs/>
          <w:sz w:val="20"/>
          <w:szCs w:val="20"/>
        </w:rPr>
        <w:t>Acta Ecologica Sinica</w:t>
      </w:r>
      <w:r>
        <w:rPr>
          <w:sz w:val="20"/>
          <w:szCs w:val="20"/>
        </w:rPr>
        <w:t>, </w:t>
      </w:r>
      <w:r>
        <w:rPr>
          <w:b/>
          <w:iCs/>
          <w:sz w:val="20"/>
          <w:szCs w:val="20"/>
        </w:rPr>
        <w:t>39</w:t>
      </w:r>
      <w:r>
        <w:rPr>
          <w:sz w:val="20"/>
          <w:szCs w:val="20"/>
        </w:rPr>
        <w:t>(5): 406-410.</w:t>
      </w:r>
    </w:p>
    <w:p w14:paraId="1C99BD75">
      <w:pPr>
        <w:spacing w:line="360" w:lineRule="auto"/>
        <w:ind w:left="720" w:hanging="720"/>
        <w:jc w:val="both"/>
        <w:rPr>
          <w:sz w:val="20"/>
          <w:szCs w:val="20"/>
        </w:rPr>
      </w:pPr>
      <w:r>
        <w:rPr>
          <w:sz w:val="20"/>
          <w:szCs w:val="20"/>
        </w:rPr>
        <w:t xml:space="preserve">Yang, J., Zhang, J., Liu, K., Wang, Z. and Liu, L. (2007). Involvement of polyamines in the drought resistance of rice. </w:t>
      </w:r>
      <w:r>
        <w:rPr>
          <w:i/>
          <w:sz w:val="20"/>
          <w:szCs w:val="20"/>
        </w:rPr>
        <w:t>Journal of Experimental Botany</w:t>
      </w:r>
      <w:r>
        <w:rPr>
          <w:sz w:val="20"/>
          <w:szCs w:val="20"/>
        </w:rPr>
        <w:t xml:space="preserve">, </w:t>
      </w:r>
      <w:r>
        <w:rPr>
          <w:b/>
          <w:sz w:val="20"/>
          <w:szCs w:val="20"/>
        </w:rPr>
        <w:t>58</w:t>
      </w:r>
      <w:r>
        <w:rPr>
          <w:sz w:val="20"/>
          <w:szCs w:val="20"/>
        </w:rPr>
        <w:t>(6): 1545-1555.</w:t>
      </w:r>
    </w:p>
    <w:p w14:paraId="5106049A">
      <w:pPr>
        <w:spacing w:line="360" w:lineRule="auto"/>
        <w:ind w:left="720" w:hanging="720"/>
        <w:jc w:val="both"/>
        <w:rPr>
          <w:sz w:val="20"/>
          <w:szCs w:val="20"/>
        </w:rPr>
      </w:pPr>
      <w:r>
        <w:rPr>
          <w:sz w:val="20"/>
          <w:szCs w:val="20"/>
        </w:rPr>
        <w:t>Yao, Y., Wang, B., Chen, M., Zhang, S. and Ma, J. (2020). Seaweed extracts improved yields, leaf photosynthesis, ripening time, and net returns of tomato (</w:t>
      </w:r>
      <w:r>
        <w:rPr>
          <w:i/>
          <w:sz w:val="20"/>
          <w:szCs w:val="20"/>
        </w:rPr>
        <w:t>Solanum lycopersicum</w:t>
      </w:r>
      <w:r>
        <w:rPr>
          <w:sz w:val="20"/>
          <w:szCs w:val="20"/>
        </w:rPr>
        <w:t xml:space="preserve"> Mill.). </w:t>
      </w:r>
      <w:r>
        <w:rPr>
          <w:i/>
          <w:sz w:val="20"/>
          <w:szCs w:val="20"/>
        </w:rPr>
        <w:t>American Chemical Society Omega,</w:t>
      </w:r>
      <w:r>
        <w:rPr>
          <w:sz w:val="20"/>
          <w:szCs w:val="20"/>
        </w:rPr>
        <w:t xml:space="preserve"> </w:t>
      </w:r>
      <w:r>
        <w:rPr>
          <w:b/>
          <w:sz w:val="20"/>
          <w:szCs w:val="20"/>
        </w:rPr>
        <w:t>5</w:t>
      </w:r>
      <w:r>
        <w:rPr>
          <w:sz w:val="20"/>
          <w:szCs w:val="20"/>
        </w:rPr>
        <w:t>(8): 4242-4249.</w:t>
      </w:r>
    </w:p>
    <w:p w14:paraId="6EEB5AAA">
      <w:pPr>
        <w:spacing w:line="360" w:lineRule="auto"/>
        <w:ind w:left="720" w:hanging="720"/>
        <w:jc w:val="both"/>
        <w:rPr>
          <w:sz w:val="20"/>
          <w:szCs w:val="20"/>
        </w:rPr>
      </w:pPr>
      <w:r>
        <w:rPr>
          <w:sz w:val="20"/>
          <w:szCs w:val="20"/>
        </w:rPr>
        <w:t>Yildirim, E. (2007). Foliar and soil fertilization of humic acid affect productivity and quality of tomato. </w:t>
      </w:r>
      <w:r>
        <w:rPr>
          <w:i/>
          <w:iCs/>
          <w:sz w:val="20"/>
          <w:szCs w:val="20"/>
        </w:rPr>
        <w:t>Acta Agriculturae Scandinavica Section B-Soil and Plant Science</w:t>
      </w:r>
      <w:r>
        <w:rPr>
          <w:sz w:val="20"/>
          <w:szCs w:val="20"/>
        </w:rPr>
        <w:t>, </w:t>
      </w:r>
      <w:r>
        <w:rPr>
          <w:b/>
          <w:iCs/>
          <w:sz w:val="20"/>
          <w:szCs w:val="20"/>
        </w:rPr>
        <w:t>57</w:t>
      </w:r>
      <w:r>
        <w:rPr>
          <w:sz w:val="20"/>
          <w:szCs w:val="20"/>
        </w:rPr>
        <w:t>(2): 182-186.</w:t>
      </w:r>
    </w:p>
    <w:p w14:paraId="560219FA">
      <w:pPr>
        <w:spacing w:line="360" w:lineRule="auto"/>
        <w:ind w:left="720" w:hanging="720"/>
        <w:jc w:val="both"/>
        <w:rPr>
          <w:sz w:val="20"/>
          <w:szCs w:val="20"/>
        </w:rPr>
      </w:pPr>
      <w:r>
        <w:rPr>
          <w:sz w:val="20"/>
          <w:szCs w:val="20"/>
        </w:rPr>
        <w:t>Yusuf, R., Syakur, A., Awalni, F. and Kalaba, Y. (2021). Combinations of seaweed extract and NPK on vegetative growth of chili growing under glasshouse condition. In </w:t>
      </w:r>
      <w:r>
        <w:rPr>
          <w:i/>
          <w:iCs/>
          <w:sz w:val="20"/>
          <w:szCs w:val="20"/>
        </w:rPr>
        <w:t>IOP Conference Series: Earth and Environmental Science</w:t>
      </w:r>
      <w:r>
        <w:rPr>
          <w:sz w:val="20"/>
          <w:szCs w:val="20"/>
        </w:rPr>
        <w:t>, 694(1): 012034.</w:t>
      </w:r>
    </w:p>
    <w:p w14:paraId="29AB6D27">
      <w:pPr>
        <w:spacing w:line="360" w:lineRule="auto"/>
        <w:ind w:left="720" w:hanging="720"/>
        <w:jc w:val="both"/>
        <w:rPr>
          <w:sz w:val="20"/>
          <w:szCs w:val="20"/>
        </w:rPr>
      </w:pPr>
      <w:r>
        <w:rPr>
          <w:sz w:val="20"/>
          <w:szCs w:val="20"/>
        </w:rPr>
        <w:t>Zodape, S.T., Gupta, S.C., Bhandari, U.S., Rawat, D.R., Chaudhary, K., Eswaran, S. and Chikara, J. (2011). Foliar application of seaweed sap as bio-stimulant for enhancement of yield and quality of tomato (</w:t>
      </w:r>
      <w:r>
        <w:rPr>
          <w:i/>
          <w:sz w:val="20"/>
          <w:szCs w:val="20"/>
        </w:rPr>
        <w:t>Lycopersicon esculentum</w:t>
      </w:r>
      <w:r>
        <w:rPr>
          <w:sz w:val="20"/>
          <w:szCs w:val="20"/>
        </w:rPr>
        <w:t xml:space="preserve"> Mill.). </w:t>
      </w:r>
      <w:r>
        <w:rPr>
          <w:i/>
          <w:sz w:val="20"/>
          <w:szCs w:val="20"/>
        </w:rPr>
        <w:t>Journal of Scientific and Industrial Research,</w:t>
      </w:r>
      <w:r>
        <w:rPr>
          <w:sz w:val="20"/>
          <w:szCs w:val="20"/>
        </w:rPr>
        <w:t xml:space="preserve"> </w:t>
      </w:r>
      <w:r>
        <w:rPr>
          <w:b/>
          <w:sz w:val="20"/>
          <w:szCs w:val="20"/>
        </w:rPr>
        <w:t>70</w:t>
      </w:r>
      <w:r>
        <w:rPr>
          <w:sz w:val="20"/>
          <w:szCs w:val="20"/>
        </w:rPr>
        <w:t>: 215-219.</w:t>
      </w:r>
    </w:p>
    <w:p w14:paraId="30874923">
      <w:pPr>
        <w:spacing w:line="360" w:lineRule="auto"/>
        <w:ind w:firstLine="720"/>
        <w:jc w:val="both"/>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eter Olagbemide" w:date="2025-06-23T18:16:26Z" w:initials="">
    <w:p w14:paraId="5B7B27F8">
      <w:pPr>
        <w:pStyle w:val="10"/>
        <w:rPr>
          <w:rFonts w:hint="default"/>
          <w:lang w:val="en-US"/>
        </w:rPr>
      </w:pPr>
      <w:r>
        <w:rPr>
          <w:rFonts w:hint="default"/>
          <w:lang w:val="en-US"/>
        </w:rPr>
        <w:t>Define at first mention.</w:t>
      </w:r>
    </w:p>
  </w:comment>
  <w:comment w:id="1" w:author="Peter Olagbemide" w:date="2025-06-23T18:17:18Z" w:initials="">
    <w:p w14:paraId="1EB17250">
      <w:pPr>
        <w:pStyle w:val="10"/>
        <w:rPr>
          <w:rFonts w:hint="default"/>
          <w:lang w:val="en-US"/>
        </w:rPr>
      </w:pPr>
      <w:r>
        <w:rPr>
          <w:rFonts w:hint="default"/>
          <w:lang w:val="en-US"/>
        </w:rPr>
        <w:t>Define at first mention</w:t>
      </w:r>
    </w:p>
  </w:comment>
  <w:comment w:id="2" w:author="Peter Olagbemide" w:date="2025-06-23T18:54:53Z" w:initials="">
    <w:p w14:paraId="4021B070">
      <w:pPr>
        <w:pStyle w:val="10"/>
      </w:pPr>
      <w:r>
        <w:rPr>
          <w:bCs/>
          <w:sz w:val="22"/>
          <w:szCs w:val="22"/>
        </w:rPr>
        <w:t>1.5 mM</w:t>
      </w:r>
      <w:r>
        <w:rPr>
          <w:rFonts w:hint="default"/>
          <w:bCs/>
          <w:sz w:val="22"/>
          <w:szCs w:val="22"/>
          <w:lang w:val="en-US"/>
        </w:rPr>
        <w:t xml:space="preserve"> </w:t>
      </w:r>
      <w:r>
        <w:rPr>
          <w:bCs/>
          <w:sz w:val="22"/>
          <w:szCs w:val="22"/>
        </w:rPr>
        <w:t xml:space="preserve"> putrescine r</w:t>
      </w:r>
    </w:p>
  </w:comment>
  <w:comment w:id="3" w:author="Peter Olagbemide" w:date="2025-06-23T19:15:25Z" w:initials="">
    <w:p w14:paraId="727F2DB9">
      <w:pPr>
        <w:pStyle w:val="18"/>
        <w:spacing w:before="0" w:beforeAutospacing="0" w:after="0" w:afterAutospacing="0" w:line="360" w:lineRule="auto"/>
        <w:ind w:firstLine="720"/>
        <w:jc w:val="both"/>
      </w:pPr>
      <w:r>
        <w:rPr>
          <w:bCs/>
          <w:sz w:val="22"/>
          <w:szCs w:val="22"/>
        </w:rPr>
        <w:t>acid contents of the plant (</w:t>
      </w:r>
      <w:r>
        <w:rPr>
          <w:rFonts w:hint="default"/>
          <w:bCs/>
          <w:sz w:val="22"/>
          <w:szCs w:val="22"/>
          <w:lang w:val="en-US"/>
        </w:rPr>
        <w:t xml:space="preserve">  Reference is missing</w:t>
      </w:r>
      <w:r>
        <w:rPr>
          <w:bCs/>
          <w:sz w:val="22"/>
          <w:szCs w:val="22"/>
        </w:rPr>
        <w:t>).</w:t>
      </w:r>
    </w:p>
  </w:comment>
  <w:comment w:id="4" w:author="Peter Olagbemide" w:date="2025-06-23T19:25:33Z" w:initials="">
    <w:p w14:paraId="4D3D7D84">
      <w:pPr>
        <w:pStyle w:val="10"/>
        <w:rPr>
          <w:rFonts w:hint="default"/>
          <w:lang w:val="en-US"/>
        </w:rPr>
      </w:pPr>
      <w:r>
        <w:rPr>
          <w:rFonts w:hint="default"/>
          <w:lang w:val="en-US"/>
        </w:rPr>
        <w:t>Remove the red colour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7B27F8" w15:done="0"/>
  <w15:commentEx w15:paraId="1EB17250" w15:done="0"/>
  <w15:commentEx w15:paraId="4021B070" w15:done="0"/>
  <w15:commentEx w15:paraId="727F2DB9" w15:done="0"/>
  <w15:commentEx w15:paraId="4D3D7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D418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FA7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5CB3">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1D10">
    <w:pPr>
      <w:pStyle w:val="15"/>
    </w:pPr>
    <w:r>
      <w:pict>
        <v:shape id="PowerPlusWaterMarkObject366852877" o:spid="_x0000_s1027"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E65C">
    <w:pPr>
      <w:pStyle w:val="15"/>
    </w:pPr>
    <w:r>
      <w:pict>
        <v:shape id="PowerPlusWaterMarkObject366852876" o:spid="_x0000_s1026"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31D3">
    <w:pPr>
      <w:pStyle w:val="15"/>
    </w:pPr>
    <w:r>
      <w:pict>
        <v:shape id="PowerPlusWaterMarkObject366852875" o:spid="_x0000_s1025"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ter Olagbemide">
    <w15:presenceInfo w15:providerId="WPS Office" w15:userId="229565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50"/>
    <w:rsid w:val="001C5556"/>
    <w:rsid w:val="00267650"/>
    <w:rsid w:val="00524733"/>
    <w:rsid w:val="00864121"/>
    <w:rsid w:val="00B77F82"/>
    <w:rsid w:val="00EE6D0E"/>
    <w:rsid w:val="15315965"/>
    <w:rsid w:val="1CB4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link w:val="27"/>
    <w:qFormat/>
    <w:uiPriority w:val="9"/>
    <w:pPr>
      <w:ind w:left="676"/>
      <w:jc w:val="both"/>
      <w:outlineLvl w:val="0"/>
    </w:pPr>
    <w:rPr>
      <w:b/>
      <w:bCs/>
    </w:rPr>
  </w:style>
  <w:style w:type="paragraph" w:styleId="3">
    <w:name w:val="heading 2"/>
    <w:basedOn w:val="1"/>
    <w:next w:val="1"/>
    <w:link w:val="28"/>
    <w:semiHidden/>
    <w:unhideWhenUsed/>
    <w:qFormat/>
    <w:uiPriority w:val="9"/>
    <w:pPr>
      <w:keepNext/>
      <w:keepLines/>
      <w:widowControl/>
      <w:autoSpaceDE/>
      <w:autoSpaceDN/>
      <w:spacing w:before="200" w:line="276" w:lineRule="auto"/>
      <w:outlineLvl w:val="1"/>
    </w:pPr>
    <w:rPr>
      <w:rFonts w:ascii="Calibri Light" w:hAnsi="Calibri Light" w:eastAsia="SimSun" w:cs="SimSun"/>
      <w:b/>
      <w:bCs/>
      <w:color w:val="5B9BD5"/>
      <w:sz w:val="26"/>
      <w:szCs w:val="26"/>
      <w:lang w:val="en-IN"/>
    </w:rPr>
  </w:style>
  <w:style w:type="paragraph" w:styleId="4">
    <w:name w:val="heading 4"/>
    <w:basedOn w:val="1"/>
    <w:link w:val="29"/>
    <w:semiHidden/>
    <w:unhideWhenUsed/>
    <w:qFormat/>
    <w:uiPriority w:val="9"/>
    <w:pPr>
      <w:widowControl/>
      <w:autoSpaceDE/>
      <w:autoSpaceDN/>
      <w:spacing w:before="100" w:beforeAutospacing="1" w:after="100" w:afterAutospacing="1"/>
      <w:outlineLvl w:val="3"/>
    </w:pPr>
    <w:rPr>
      <w:b/>
      <w:bCs/>
      <w:sz w:val="24"/>
      <w:szCs w:val="24"/>
      <w:lang w:val="en-IN" w:eastAsia="en-IN"/>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7"/>
    <w:qFormat/>
    <w:uiPriority w:val="99"/>
    <w:pPr>
      <w:widowControl/>
      <w:autoSpaceDE/>
      <w:autoSpaceDN/>
    </w:pPr>
    <w:rPr>
      <w:rFonts w:ascii="Tahoma" w:hAnsi="Tahoma" w:eastAsia="Calibri" w:cs="Tahoma"/>
      <w:sz w:val="16"/>
      <w:szCs w:val="16"/>
    </w:rPr>
  </w:style>
  <w:style w:type="paragraph" w:styleId="8">
    <w:name w:val="Body Text"/>
    <w:basedOn w:val="1"/>
    <w:link w:val="30"/>
    <w:qFormat/>
    <w:uiPriority w:val="1"/>
    <w:pPr>
      <w:jc w:val="both"/>
    </w:pPr>
  </w:style>
  <w:style w:type="character" w:styleId="9">
    <w:name w:val="annotation reference"/>
    <w:basedOn w:val="5"/>
    <w:qFormat/>
    <w:uiPriority w:val="99"/>
    <w:rPr>
      <w:sz w:val="16"/>
      <w:szCs w:val="16"/>
    </w:rPr>
  </w:style>
  <w:style w:type="paragraph" w:styleId="10">
    <w:name w:val="annotation text"/>
    <w:basedOn w:val="1"/>
    <w:link w:val="40"/>
    <w:qFormat/>
    <w:uiPriority w:val="99"/>
    <w:pPr>
      <w:widowControl/>
      <w:autoSpaceDE/>
      <w:autoSpaceDN/>
      <w:spacing w:after="160"/>
    </w:pPr>
    <w:rPr>
      <w:rFonts w:ascii="Calibri" w:hAnsi="Calibri" w:eastAsia="Calibri" w:cs="SimSun"/>
      <w:kern w:val="2"/>
      <w:sz w:val="20"/>
      <w:szCs w:val="20"/>
      <w:lang w:val="en-IN"/>
    </w:rPr>
  </w:style>
  <w:style w:type="paragraph" w:styleId="11">
    <w:name w:val="annotation subject"/>
    <w:basedOn w:val="10"/>
    <w:next w:val="10"/>
    <w:link w:val="41"/>
    <w:uiPriority w:val="99"/>
    <w:rPr>
      <w:b/>
      <w:bCs/>
    </w:rPr>
  </w:style>
  <w:style w:type="character" w:styleId="12">
    <w:name w:val="Emphasis"/>
    <w:basedOn w:val="5"/>
    <w:qFormat/>
    <w:uiPriority w:val="20"/>
    <w:rPr>
      <w:i/>
      <w:iCs/>
    </w:rPr>
  </w:style>
  <w:style w:type="character" w:styleId="13">
    <w:name w:val="FollowedHyperlink"/>
    <w:basedOn w:val="5"/>
    <w:qFormat/>
    <w:uiPriority w:val="99"/>
    <w:rPr>
      <w:color w:val="954F72"/>
      <w:u w:val="single"/>
    </w:rPr>
  </w:style>
  <w:style w:type="paragraph" w:styleId="14">
    <w:name w:val="footer"/>
    <w:basedOn w:val="1"/>
    <w:link w:val="26"/>
    <w:uiPriority w:val="99"/>
    <w:pPr>
      <w:tabs>
        <w:tab w:val="center" w:pos="4680"/>
        <w:tab w:val="right" w:pos="9360"/>
      </w:tabs>
    </w:pPr>
  </w:style>
  <w:style w:type="paragraph" w:styleId="15">
    <w:name w:val="header"/>
    <w:basedOn w:val="1"/>
    <w:link w:val="25"/>
    <w:uiPriority w:val="99"/>
    <w:pPr>
      <w:tabs>
        <w:tab w:val="center" w:pos="4680"/>
        <w:tab w:val="right" w:pos="9360"/>
      </w:tabs>
    </w:pPr>
  </w:style>
  <w:style w:type="character" w:styleId="16">
    <w:name w:val="HTML Cite"/>
    <w:basedOn w:val="5"/>
    <w:uiPriority w:val="99"/>
    <w:rPr>
      <w:i/>
      <w:iCs/>
    </w:rPr>
  </w:style>
  <w:style w:type="character" w:styleId="17">
    <w:name w:val="Hyperlink"/>
    <w:basedOn w:val="5"/>
    <w:qFormat/>
    <w:uiPriority w:val="99"/>
    <w:rPr>
      <w:color w:val="0563C1"/>
      <w:u w:val="single"/>
    </w:rPr>
  </w:style>
  <w:style w:type="paragraph" w:styleId="18">
    <w:name w:val="Normal (Web)"/>
    <w:basedOn w:val="1"/>
    <w:qFormat/>
    <w:uiPriority w:val="99"/>
    <w:pPr>
      <w:widowControl/>
      <w:autoSpaceDE/>
      <w:autoSpaceDN/>
      <w:spacing w:before="100" w:beforeAutospacing="1" w:after="100" w:afterAutospacing="1"/>
    </w:pPr>
    <w:rPr>
      <w:sz w:val="24"/>
      <w:szCs w:val="24"/>
      <w:lang w:val="en-IN" w:eastAsia="en-IN"/>
    </w:rPr>
  </w:style>
  <w:style w:type="character" w:styleId="19">
    <w:name w:val="Strong"/>
    <w:basedOn w:val="5"/>
    <w:qFormat/>
    <w:uiPriority w:val="22"/>
    <w:rPr>
      <w:b/>
      <w:bCs/>
    </w:rPr>
  </w:style>
  <w:style w:type="table" w:styleId="20">
    <w:name w:val="Table Grid"/>
    <w:basedOn w:val="6"/>
    <w:qFormat/>
    <w:uiPriority w:val="39"/>
    <w:pPr>
      <w:spacing w:after="0" w:line="240" w:lineRule="auto"/>
    </w:pPr>
    <w:rPr>
      <w:kern w:val="2"/>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31"/>
    <w:qFormat/>
    <w:uiPriority w:val="10"/>
    <w:pPr>
      <w:spacing w:before="1"/>
      <w:ind w:left="504" w:right="504"/>
      <w:jc w:val="center"/>
    </w:pPr>
    <w:rPr>
      <w:b/>
      <w:bCs/>
      <w:sz w:val="56"/>
      <w:szCs w:val="56"/>
    </w:rPr>
  </w:style>
  <w:style w:type="paragraph" w:customStyle="1" w:styleId="22">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IN" w:eastAsia="en-US" w:bidi="ar-SA"/>
    </w:rPr>
  </w:style>
  <w:style w:type="paragraph" w:styleId="23">
    <w:name w:val="List Paragraph"/>
    <w:basedOn w:val="1"/>
    <w:qFormat/>
    <w:uiPriority w:val="34"/>
    <w:pPr>
      <w:ind w:left="676" w:hanging="497"/>
      <w:jc w:val="both"/>
    </w:pPr>
  </w:style>
  <w:style w:type="table" w:customStyle="1" w:styleId="24">
    <w:name w:val="TableGrid"/>
    <w:uiPriority w:val="0"/>
    <w:pPr>
      <w:spacing w:after="0" w:line="240" w:lineRule="auto"/>
    </w:pPr>
    <w:rPr>
      <w:rFonts w:eastAsia="SimSun"/>
    </w:rPr>
    <w:tblPr>
      <w:tblCellMar>
        <w:top w:w="0" w:type="dxa"/>
        <w:left w:w="0" w:type="dxa"/>
        <w:bottom w:w="0" w:type="dxa"/>
        <w:right w:w="0" w:type="dxa"/>
      </w:tblCellMar>
    </w:tblPr>
  </w:style>
  <w:style w:type="character" w:customStyle="1" w:styleId="25">
    <w:name w:val="Header Char"/>
    <w:basedOn w:val="5"/>
    <w:link w:val="15"/>
    <w:uiPriority w:val="99"/>
    <w:rPr>
      <w:rFonts w:ascii="Times New Roman" w:hAnsi="Times New Roman" w:eastAsia="Times New Roman" w:cs="Times New Roman"/>
    </w:rPr>
  </w:style>
  <w:style w:type="character" w:customStyle="1" w:styleId="26">
    <w:name w:val="Footer Char"/>
    <w:basedOn w:val="5"/>
    <w:link w:val="14"/>
    <w:uiPriority w:val="99"/>
    <w:rPr>
      <w:rFonts w:ascii="Times New Roman" w:hAnsi="Times New Roman" w:eastAsia="Times New Roman" w:cs="Times New Roman"/>
    </w:rPr>
  </w:style>
  <w:style w:type="character" w:customStyle="1" w:styleId="27">
    <w:name w:val="Heading 1 Char"/>
    <w:basedOn w:val="5"/>
    <w:link w:val="2"/>
    <w:uiPriority w:val="1"/>
    <w:rPr>
      <w:rFonts w:ascii="Times New Roman" w:hAnsi="Times New Roman" w:eastAsia="Times New Roman" w:cs="Times New Roman"/>
      <w:b/>
      <w:bCs/>
    </w:rPr>
  </w:style>
  <w:style w:type="character" w:customStyle="1" w:styleId="28">
    <w:name w:val="Heading 2 Char"/>
    <w:basedOn w:val="5"/>
    <w:link w:val="3"/>
    <w:uiPriority w:val="9"/>
    <w:rPr>
      <w:rFonts w:ascii="Calibri Light" w:hAnsi="Calibri Light" w:eastAsia="SimSun" w:cs="SimSun"/>
      <w:b/>
      <w:bCs/>
      <w:color w:val="5B9BD5"/>
      <w:sz w:val="26"/>
      <w:szCs w:val="26"/>
      <w:lang w:val="en-IN"/>
    </w:rPr>
  </w:style>
  <w:style w:type="character" w:customStyle="1" w:styleId="29">
    <w:name w:val="Heading 4 Char"/>
    <w:basedOn w:val="5"/>
    <w:link w:val="4"/>
    <w:uiPriority w:val="9"/>
    <w:rPr>
      <w:rFonts w:ascii="Times New Roman" w:hAnsi="Times New Roman" w:eastAsia="Times New Roman" w:cs="Times New Roman"/>
      <w:b/>
      <w:bCs/>
      <w:sz w:val="24"/>
      <w:szCs w:val="24"/>
      <w:lang w:val="en-IN" w:eastAsia="en-IN"/>
    </w:rPr>
  </w:style>
  <w:style w:type="character" w:customStyle="1" w:styleId="30">
    <w:name w:val="Body Text Char"/>
    <w:basedOn w:val="5"/>
    <w:link w:val="8"/>
    <w:uiPriority w:val="1"/>
    <w:rPr>
      <w:rFonts w:ascii="Times New Roman" w:hAnsi="Times New Roman" w:eastAsia="Times New Roman" w:cs="Times New Roman"/>
    </w:rPr>
  </w:style>
  <w:style w:type="character" w:customStyle="1" w:styleId="31">
    <w:name w:val="Title Char"/>
    <w:basedOn w:val="5"/>
    <w:link w:val="21"/>
    <w:uiPriority w:val="1"/>
    <w:rPr>
      <w:rFonts w:ascii="Times New Roman" w:hAnsi="Times New Roman" w:eastAsia="Times New Roman" w:cs="Times New Roman"/>
      <w:b/>
      <w:bCs/>
      <w:sz w:val="56"/>
      <w:szCs w:val="56"/>
    </w:rPr>
  </w:style>
  <w:style w:type="paragraph" w:customStyle="1" w:styleId="32">
    <w:name w:val="Table Paragraph"/>
    <w:basedOn w:val="1"/>
    <w:qFormat/>
    <w:uiPriority w:val="1"/>
    <w:pPr>
      <w:spacing w:before="17"/>
      <w:jc w:val="center"/>
    </w:pPr>
  </w:style>
  <w:style w:type="character" w:customStyle="1" w:styleId="33">
    <w:name w:val="Unresolved Mention1"/>
    <w:basedOn w:val="5"/>
    <w:uiPriority w:val="99"/>
    <w:rPr>
      <w:color w:val="605E5C"/>
      <w:shd w:val="clear" w:color="auto" w:fill="E1DFDD"/>
    </w:rPr>
  </w:style>
  <w:style w:type="character" w:customStyle="1" w:styleId="34">
    <w:name w:val="relative"/>
    <w:basedOn w:val="5"/>
    <w:uiPriority w:val="0"/>
  </w:style>
  <w:style w:type="character" w:customStyle="1" w:styleId="35">
    <w:name w:val="whitespace-nowrap"/>
    <w:basedOn w:val="5"/>
    <w:uiPriority w:val="0"/>
  </w:style>
  <w:style w:type="table" w:customStyle="1" w:styleId="36">
    <w:name w:val="Table Grid1"/>
    <w:basedOn w:val="6"/>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Balloon Text Char"/>
    <w:basedOn w:val="5"/>
    <w:link w:val="7"/>
    <w:uiPriority w:val="99"/>
    <w:rPr>
      <w:rFonts w:ascii="Tahoma" w:hAnsi="Tahoma" w:cs="Tahoma"/>
      <w:sz w:val="16"/>
      <w:szCs w:val="16"/>
    </w:rPr>
  </w:style>
  <w:style w:type="character" w:styleId="38">
    <w:name w:val="Placeholder Text"/>
    <w:basedOn w:val="5"/>
    <w:uiPriority w:val="99"/>
    <w:rPr>
      <w:color w:val="666666"/>
    </w:rPr>
  </w:style>
  <w:style w:type="character" w:customStyle="1" w:styleId="39">
    <w:name w:val="Unresolved Mention2"/>
    <w:basedOn w:val="5"/>
    <w:uiPriority w:val="99"/>
    <w:rPr>
      <w:color w:val="605E5C"/>
      <w:shd w:val="clear" w:color="auto" w:fill="E1DFDD"/>
    </w:rPr>
  </w:style>
  <w:style w:type="character" w:customStyle="1" w:styleId="40">
    <w:name w:val="Comment Text Char"/>
    <w:basedOn w:val="5"/>
    <w:link w:val="10"/>
    <w:uiPriority w:val="99"/>
    <w:rPr>
      <w:kern w:val="2"/>
      <w:sz w:val="20"/>
      <w:szCs w:val="20"/>
      <w:lang w:val="en-IN"/>
    </w:rPr>
  </w:style>
  <w:style w:type="character" w:customStyle="1" w:styleId="41">
    <w:name w:val="Comment Subject Char"/>
    <w:basedOn w:val="40"/>
    <w:link w:val="11"/>
    <w:uiPriority w:val="99"/>
    <w:rPr>
      <w:b/>
      <w:bCs/>
      <w:kern w:val="2"/>
      <w:sz w:val="20"/>
      <w:szCs w:val="20"/>
      <w:lang w:val="en-IN"/>
    </w:rPr>
  </w:style>
  <w:style w:type="character" w:customStyle="1" w:styleId="42">
    <w:name w:val="html-italic"/>
    <w:basedOn w:val="5"/>
    <w:uiPriority w:val="0"/>
  </w:style>
  <w:style w:type="character" w:customStyle="1" w:styleId="43">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6178</Words>
  <Characters>35215</Characters>
  <Lines>293</Lines>
  <Paragraphs>82</Paragraphs>
  <TotalTime>96</TotalTime>
  <ScaleCrop>false</ScaleCrop>
  <LinksUpToDate>false</LinksUpToDate>
  <CharactersWithSpaces>41311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2025-06-19T14:07:00Z</dcterms:created>
  <dc:creator>Hp</dc:creator>
  <cp:lastModifiedBy>Peter Olagbemide</cp:lastModifiedBy>
  <dcterms:modified xsi:type="dcterms:W3CDTF">2025-06-23T18:51:12Z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075FC3A8FDC446D1ACB4D174A5198DF5_13</vt:lpwstr>
  </property>
  <property fmtid="{D5CDD505-2E9C-101B-9397-08002B2CF9AE}" pid="3" name="KSOProductBuildVer">
    <vt:lpwstr>1033-12.2.0.21546</vt:lpwstr>
  </property>
</Properties>
</file>