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ECA6" w14:textId="6F98F5C8" w:rsidR="00D540C3" w:rsidRPr="00D540C3" w:rsidRDefault="00D540C3" w:rsidP="00FF0D9E">
      <w:pPr>
        <w:spacing w:line="360" w:lineRule="auto"/>
        <w:rPr>
          <w:rFonts w:ascii="Times New Roman" w:hAnsi="Times New Roman"/>
          <w:b/>
          <w:bCs/>
          <w:sz w:val="24"/>
          <w:szCs w:val="24"/>
          <w:u w:val="single"/>
        </w:rPr>
      </w:pPr>
      <w:r w:rsidRPr="00D540C3">
        <w:rPr>
          <w:rFonts w:ascii="Times New Roman" w:hAnsi="Times New Roman"/>
          <w:b/>
          <w:bCs/>
          <w:sz w:val="24"/>
          <w:szCs w:val="24"/>
          <w:u w:val="single"/>
        </w:rPr>
        <w:t>Original Research Article</w:t>
      </w:r>
    </w:p>
    <w:p w14:paraId="774895C4" w14:textId="3AAD2E60" w:rsidR="0055756F" w:rsidRDefault="0055756F" w:rsidP="0055756F">
      <w:pPr>
        <w:spacing w:line="360" w:lineRule="auto"/>
        <w:jc w:val="center"/>
        <w:rPr>
          <w:rFonts w:ascii="Times New Roman" w:hAnsi="Times New Roman"/>
          <w:b/>
          <w:bCs/>
          <w:sz w:val="24"/>
          <w:szCs w:val="24"/>
        </w:rPr>
      </w:pPr>
      <w:r w:rsidRPr="0055756F">
        <w:rPr>
          <w:rFonts w:ascii="Times New Roman" w:hAnsi="Times New Roman"/>
          <w:b/>
          <w:bCs/>
          <w:sz w:val="24"/>
          <w:szCs w:val="24"/>
        </w:rPr>
        <w:t>Effect of Nano</w:t>
      </w:r>
      <w:r w:rsidR="00E408DB">
        <w:rPr>
          <w:rFonts w:ascii="Times New Roman" w:hAnsi="Times New Roman"/>
          <w:b/>
          <w:bCs/>
          <w:sz w:val="24"/>
          <w:szCs w:val="24"/>
        </w:rPr>
        <w:t>-</w:t>
      </w:r>
      <w:r w:rsidRPr="0055756F">
        <w:rPr>
          <w:rFonts w:ascii="Times New Roman" w:hAnsi="Times New Roman"/>
          <w:b/>
          <w:bCs/>
          <w:sz w:val="24"/>
          <w:szCs w:val="24"/>
        </w:rPr>
        <w:t>Fertilizers on Growth and Yield Performance of Cauliflower (</w:t>
      </w:r>
      <w:r w:rsidRPr="0055756F">
        <w:rPr>
          <w:rFonts w:ascii="Times New Roman" w:hAnsi="Times New Roman"/>
          <w:b/>
          <w:bCs/>
          <w:i/>
          <w:sz w:val="24"/>
          <w:szCs w:val="24"/>
        </w:rPr>
        <w:t>Brassica oleracea</w:t>
      </w:r>
      <w:r w:rsidRPr="0055756F">
        <w:rPr>
          <w:rFonts w:ascii="Times New Roman" w:hAnsi="Times New Roman"/>
          <w:b/>
          <w:bCs/>
          <w:sz w:val="24"/>
          <w:szCs w:val="24"/>
        </w:rPr>
        <w:t xml:space="preserve"> var. </w:t>
      </w:r>
      <w:r w:rsidRPr="0055756F">
        <w:rPr>
          <w:rFonts w:ascii="Times New Roman" w:hAnsi="Times New Roman"/>
          <w:b/>
          <w:bCs/>
          <w:i/>
          <w:sz w:val="24"/>
          <w:szCs w:val="24"/>
        </w:rPr>
        <w:t>botrytis</w:t>
      </w:r>
      <w:r w:rsidRPr="0055756F">
        <w:rPr>
          <w:rFonts w:ascii="Times New Roman" w:hAnsi="Times New Roman"/>
          <w:b/>
          <w:bCs/>
          <w:sz w:val="24"/>
          <w:szCs w:val="24"/>
        </w:rPr>
        <w:t xml:space="preserve"> L.)</w:t>
      </w:r>
    </w:p>
    <w:p w14:paraId="384A0AE9" w14:textId="77777777" w:rsidR="00454938" w:rsidRPr="0066292B" w:rsidRDefault="00454938" w:rsidP="0055756F">
      <w:pPr>
        <w:spacing w:after="0" w:line="360" w:lineRule="auto"/>
        <w:jc w:val="center"/>
        <w:rPr>
          <w:rFonts w:ascii="Times New Roman" w:hAnsi="Times New Roman"/>
          <w:sz w:val="24"/>
          <w:szCs w:val="24"/>
        </w:rPr>
      </w:pPr>
    </w:p>
    <w:p w14:paraId="7B00F60B" w14:textId="77777777" w:rsidR="006923EC" w:rsidRDefault="006923EC" w:rsidP="00A55687">
      <w:pPr>
        <w:spacing w:line="360" w:lineRule="auto"/>
        <w:jc w:val="both"/>
        <w:rPr>
          <w:rFonts w:ascii="Times New Roman" w:hAnsi="Times New Roman"/>
          <w:b/>
          <w:bCs/>
          <w:sz w:val="24"/>
          <w:szCs w:val="24"/>
        </w:rPr>
      </w:pPr>
      <w:r>
        <w:rPr>
          <w:rFonts w:ascii="Times New Roman" w:hAnsi="Times New Roman"/>
          <w:b/>
          <w:bCs/>
          <w:sz w:val="24"/>
          <w:szCs w:val="24"/>
        </w:rPr>
        <w:t>ABSTRACT</w:t>
      </w:r>
    </w:p>
    <w:p w14:paraId="6EEC05C5" w14:textId="77777777" w:rsidR="00421274" w:rsidRPr="00421274" w:rsidRDefault="00421274" w:rsidP="00421274">
      <w:pPr>
        <w:spacing w:line="360" w:lineRule="auto"/>
        <w:ind w:firstLine="720"/>
        <w:jc w:val="both"/>
        <w:rPr>
          <w:rFonts w:ascii="Times New Roman" w:hAnsi="Times New Roman"/>
          <w:bCs/>
          <w:sz w:val="24"/>
          <w:szCs w:val="24"/>
        </w:rPr>
      </w:pPr>
      <w:r w:rsidRPr="00421274">
        <w:rPr>
          <w:rFonts w:ascii="Times New Roman" w:hAnsi="Times New Roman"/>
          <w:bCs/>
          <w:sz w:val="24"/>
          <w:szCs w:val="24"/>
        </w:rPr>
        <w:t xml:space="preserve">The study aimed to assess the influence of different nutrient regimes involving conventional and nano NPK fertilizers on key growth and yield parameters of cauliflower, including plant height, number of leaves per plant, leaf area, days to curd initiation, polar and equatorial curd diameters, gross and net curd weights, and overall yield. Conducted from September 2022 to March 2023 at the Experimental Farm of the Department of Soil Science and Water Management, Dr. Yashwant Singh Parmar University of Horticulture and Forestry, </w:t>
      </w:r>
      <w:proofErr w:type="spellStart"/>
      <w:r w:rsidRPr="00421274">
        <w:rPr>
          <w:rFonts w:ascii="Times New Roman" w:hAnsi="Times New Roman"/>
          <w:bCs/>
          <w:sz w:val="24"/>
          <w:szCs w:val="24"/>
        </w:rPr>
        <w:t>Nauni</w:t>
      </w:r>
      <w:proofErr w:type="spellEnd"/>
      <w:r w:rsidRPr="00421274">
        <w:rPr>
          <w:rFonts w:ascii="Times New Roman" w:hAnsi="Times New Roman"/>
          <w:bCs/>
          <w:sz w:val="24"/>
          <w:szCs w:val="24"/>
        </w:rPr>
        <w:t>, Solan (Himachal Pradesh), the experiment followed a Randomized Block Design (RBD) comprising 11 treatment combinations</w:t>
      </w:r>
      <w:commentRangeStart w:id="0"/>
      <w:r w:rsidRPr="00421274">
        <w:rPr>
          <w:rFonts w:ascii="Times New Roman" w:hAnsi="Times New Roman"/>
          <w:bCs/>
          <w:sz w:val="24"/>
          <w:szCs w:val="24"/>
        </w:rPr>
        <w:t xml:space="preserve">, each replicated thrice. </w:t>
      </w:r>
      <w:commentRangeEnd w:id="0"/>
      <w:r w:rsidR="00752C41">
        <w:rPr>
          <w:rStyle w:val="CommentReference"/>
          <w:rtl/>
        </w:rPr>
        <w:commentReference w:id="0"/>
      </w:r>
      <w:r w:rsidRPr="00421274">
        <w:rPr>
          <w:rFonts w:ascii="Times New Roman" w:hAnsi="Times New Roman"/>
          <w:bCs/>
          <w:sz w:val="24"/>
          <w:szCs w:val="24"/>
        </w:rPr>
        <w:t>The treatments included various combinations of recommended doses of conventional fertilizers (RDF) and foliar applications of nano</w:t>
      </w:r>
      <w:r w:rsidR="00E408DB">
        <w:rPr>
          <w:rFonts w:ascii="Times New Roman" w:hAnsi="Times New Roman"/>
          <w:bCs/>
          <w:sz w:val="24"/>
          <w:szCs w:val="24"/>
        </w:rPr>
        <w:t>-</w:t>
      </w:r>
      <w:r w:rsidRPr="00421274">
        <w:rPr>
          <w:rFonts w:ascii="Times New Roman" w:hAnsi="Times New Roman"/>
          <w:bCs/>
          <w:sz w:val="24"/>
          <w:szCs w:val="24"/>
        </w:rPr>
        <w:t>NPK fertilizers at concentrations of 0.25%, 0.5%, and 1.0%. The cauliflower cultivar used was Pusa Snowball K</w:t>
      </w:r>
      <w:r w:rsidR="00E408DB">
        <w:rPr>
          <w:rFonts w:ascii="Times New Roman" w:hAnsi="Times New Roman"/>
          <w:bCs/>
          <w:sz w:val="24"/>
          <w:szCs w:val="24"/>
        </w:rPr>
        <w:t>-</w:t>
      </w:r>
      <w:r w:rsidRPr="00421274">
        <w:rPr>
          <w:rFonts w:ascii="Times New Roman" w:hAnsi="Times New Roman"/>
          <w:bCs/>
          <w:sz w:val="24"/>
          <w:szCs w:val="24"/>
        </w:rPr>
        <w:t xml:space="preserve">1. Observations were recorded on vegetative growth parameters (plant height, </w:t>
      </w:r>
      <w:commentRangeStart w:id="1"/>
      <w:r w:rsidRPr="00421274">
        <w:rPr>
          <w:rFonts w:ascii="Times New Roman" w:hAnsi="Times New Roman"/>
          <w:bCs/>
          <w:sz w:val="24"/>
          <w:szCs w:val="24"/>
        </w:rPr>
        <w:t>number of leaves, and leaf area</w:t>
      </w:r>
      <w:commentRangeEnd w:id="1"/>
      <w:r w:rsidR="00752C41">
        <w:rPr>
          <w:rStyle w:val="CommentReference"/>
          <w:rtl/>
        </w:rPr>
        <w:commentReference w:id="1"/>
      </w:r>
      <w:r w:rsidRPr="00421274">
        <w:rPr>
          <w:rFonts w:ascii="Times New Roman" w:hAnsi="Times New Roman"/>
          <w:bCs/>
          <w:sz w:val="24"/>
          <w:szCs w:val="24"/>
        </w:rPr>
        <w:t xml:space="preserve">), physiological traits (days to curd initiation), </w:t>
      </w:r>
      <w:commentRangeStart w:id="2"/>
      <w:r w:rsidRPr="00421274">
        <w:rPr>
          <w:rFonts w:ascii="Times New Roman" w:hAnsi="Times New Roman"/>
          <w:bCs/>
          <w:sz w:val="24"/>
          <w:szCs w:val="24"/>
        </w:rPr>
        <w:t xml:space="preserve">curd development </w:t>
      </w:r>
      <w:commentRangeEnd w:id="2"/>
      <w:r w:rsidR="00752C41">
        <w:rPr>
          <w:rStyle w:val="CommentReference"/>
          <w:rtl/>
        </w:rPr>
        <w:commentReference w:id="2"/>
      </w:r>
      <w:r w:rsidRPr="00421274">
        <w:rPr>
          <w:rFonts w:ascii="Times New Roman" w:hAnsi="Times New Roman"/>
          <w:bCs/>
          <w:sz w:val="24"/>
          <w:szCs w:val="24"/>
        </w:rPr>
        <w:t>(polar and equatorial diameters), and yield components (gross and net curd weights, and total yield per plot and per hectare). Results revealed that the integrated application of 1.0% nano</w:t>
      </w:r>
      <w:r w:rsidR="00E408DB">
        <w:rPr>
          <w:rFonts w:ascii="Times New Roman" w:hAnsi="Times New Roman"/>
          <w:bCs/>
          <w:sz w:val="24"/>
          <w:szCs w:val="24"/>
        </w:rPr>
        <w:t>-</w:t>
      </w:r>
      <w:r w:rsidRPr="00421274">
        <w:rPr>
          <w:rFonts w:ascii="Times New Roman" w:hAnsi="Times New Roman"/>
          <w:bCs/>
          <w:sz w:val="24"/>
          <w:szCs w:val="24"/>
        </w:rPr>
        <w:t>NPK with 80% RDF (Treatment T7) significantly outperformed all other treatments, recording the highest values in all measured parameters: plant height (51.39 cm), number of leaves per plant (21.03), leaf area (1126.00 cm²), earliest curd initiation (88.91 days), curd diameters (13.50 cm and 15.06 cm), gross curd weight (1341.81 g), net curd weight (809.56 g), and yield (293.12 q ha⁻¹). In contrast, the absolute control (T11) consistently showed the lowest performance. The findings demonstrate that integrating nano</w:t>
      </w:r>
      <w:r w:rsidR="00E408DB">
        <w:rPr>
          <w:rFonts w:ascii="Times New Roman" w:hAnsi="Times New Roman"/>
          <w:bCs/>
          <w:sz w:val="24"/>
          <w:szCs w:val="24"/>
        </w:rPr>
        <w:t>-</w:t>
      </w:r>
      <w:r w:rsidRPr="00421274">
        <w:rPr>
          <w:rFonts w:ascii="Times New Roman" w:hAnsi="Times New Roman"/>
          <w:bCs/>
          <w:sz w:val="24"/>
          <w:szCs w:val="24"/>
        </w:rPr>
        <w:t>NPK with reduced levels of conventional fertilizers is an effective and sustainable nutrient management strategy for improving growth, curd development, and productivity in cauliflower, while enhancing nutrient</w:t>
      </w:r>
      <w:r w:rsidR="00E408DB">
        <w:rPr>
          <w:rFonts w:ascii="Times New Roman" w:hAnsi="Times New Roman"/>
          <w:bCs/>
          <w:sz w:val="24"/>
          <w:szCs w:val="24"/>
        </w:rPr>
        <w:t>-</w:t>
      </w:r>
      <w:r w:rsidRPr="00421274">
        <w:rPr>
          <w:rFonts w:ascii="Times New Roman" w:hAnsi="Times New Roman"/>
          <w:bCs/>
          <w:sz w:val="24"/>
          <w:szCs w:val="24"/>
        </w:rPr>
        <w:t>use efficiency and supporting environmentally sound agricultural practices.</w:t>
      </w:r>
    </w:p>
    <w:p w14:paraId="6FA6477B" w14:textId="77777777" w:rsidR="003F058C" w:rsidRPr="006923EC" w:rsidRDefault="003F058C" w:rsidP="006923EC">
      <w:pPr>
        <w:spacing w:line="360" w:lineRule="auto"/>
        <w:jc w:val="both"/>
        <w:rPr>
          <w:rFonts w:ascii="Times New Roman" w:hAnsi="Times New Roman"/>
          <w:bCs/>
          <w:sz w:val="24"/>
          <w:szCs w:val="24"/>
        </w:rPr>
      </w:pPr>
      <w:r w:rsidRPr="00061721">
        <w:rPr>
          <w:rFonts w:ascii="Times New Roman" w:hAnsi="Times New Roman"/>
          <w:b/>
          <w:sz w:val="24"/>
          <w:szCs w:val="24"/>
        </w:rPr>
        <w:t>Keywords:</w:t>
      </w:r>
      <w:r>
        <w:rPr>
          <w:rFonts w:ascii="Times New Roman" w:hAnsi="Times New Roman"/>
          <w:b/>
          <w:sz w:val="24"/>
          <w:szCs w:val="24"/>
        </w:rPr>
        <w:t xml:space="preserve"> </w:t>
      </w:r>
      <w:r w:rsidRPr="003F058C">
        <w:rPr>
          <w:rFonts w:ascii="Times New Roman" w:hAnsi="Times New Roman"/>
          <w:bCs/>
          <w:sz w:val="24"/>
          <w:szCs w:val="24"/>
        </w:rPr>
        <w:t>Cauliflower, Nano</w:t>
      </w:r>
      <w:r w:rsidR="00E408DB">
        <w:rPr>
          <w:rFonts w:ascii="Times New Roman" w:hAnsi="Times New Roman"/>
          <w:bCs/>
          <w:sz w:val="24"/>
          <w:szCs w:val="24"/>
        </w:rPr>
        <w:t>-</w:t>
      </w:r>
      <w:r w:rsidRPr="003F058C">
        <w:rPr>
          <w:rFonts w:ascii="Times New Roman" w:hAnsi="Times New Roman"/>
          <w:bCs/>
          <w:sz w:val="24"/>
          <w:szCs w:val="24"/>
        </w:rPr>
        <w:t>fertilizers, Conventional fertilizers, Growth parameters, Curd development, Sustainable vegetable production</w:t>
      </w:r>
    </w:p>
    <w:p w14:paraId="59112FB2" w14:textId="77777777" w:rsidR="006923EC" w:rsidRDefault="006923EC" w:rsidP="00A55687">
      <w:pPr>
        <w:spacing w:line="360" w:lineRule="auto"/>
        <w:jc w:val="both"/>
        <w:rPr>
          <w:rFonts w:ascii="Times New Roman" w:hAnsi="Times New Roman"/>
          <w:b/>
          <w:bCs/>
          <w:sz w:val="24"/>
          <w:szCs w:val="24"/>
        </w:rPr>
      </w:pPr>
      <w:r>
        <w:rPr>
          <w:rFonts w:ascii="Times New Roman" w:hAnsi="Times New Roman"/>
          <w:b/>
          <w:bCs/>
          <w:sz w:val="24"/>
          <w:szCs w:val="24"/>
        </w:rPr>
        <w:t>INTRODUCTION</w:t>
      </w:r>
    </w:p>
    <w:p w14:paraId="035F9CCE"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lastRenderedPageBreak/>
        <w:t xml:space="preserve">The increasing global demand for food amidst shrinking natural resources has posed a significant challenge to modern agriculture. Sustainable farming practices that enhance productivity while preserving environmental health have become imperative (Pretty and Bharucha, 2014). In India, where </w:t>
      </w:r>
      <w:commentRangeStart w:id="3"/>
      <w:r w:rsidRPr="006923EC">
        <w:rPr>
          <w:rFonts w:ascii="Times New Roman" w:hAnsi="Times New Roman"/>
          <w:bCs/>
          <w:sz w:val="24"/>
          <w:szCs w:val="24"/>
        </w:rPr>
        <w:t>vegetables form an essential component of the daily diet</w:t>
      </w:r>
      <w:commentRangeEnd w:id="3"/>
      <w:r w:rsidR="00752C41">
        <w:rPr>
          <w:rStyle w:val="CommentReference"/>
          <w:rtl/>
        </w:rPr>
        <w:commentReference w:id="3"/>
      </w:r>
      <w:r w:rsidRPr="006923EC">
        <w:rPr>
          <w:rFonts w:ascii="Times New Roman" w:hAnsi="Times New Roman"/>
          <w:bCs/>
          <w:sz w:val="24"/>
          <w:szCs w:val="24"/>
        </w:rPr>
        <w:t xml:space="preserve">, improving the efficiency of vegetable production </w:t>
      </w:r>
      <w:commentRangeStart w:id="4"/>
      <w:r w:rsidRPr="006923EC">
        <w:rPr>
          <w:rFonts w:ascii="Times New Roman" w:hAnsi="Times New Roman"/>
          <w:bCs/>
          <w:sz w:val="24"/>
          <w:szCs w:val="24"/>
        </w:rPr>
        <w:t xml:space="preserve">is not only vital for food security but also crucial for rural livelihoods and nutritional enhancement </w:t>
      </w:r>
      <w:commentRangeEnd w:id="4"/>
      <w:r w:rsidR="00402201">
        <w:rPr>
          <w:rStyle w:val="CommentReference"/>
          <w:rtl/>
        </w:rPr>
        <w:commentReference w:id="4"/>
      </w:r>
      <w:r w:rsidRPr="006923EC">
        <w:rPr>
          <w:rFonts w:ascii="Times New Roman" w:hAnsi="Times New Roman"/>
          <w:bCs/>
          <w:sz w:val="24"/>
          <w:szCs w:val="24"/>
        </w:rPr>
        <w:t>(</w:t>
      </w:r>
      <w:proofErr w:type="spellStart"/>
      <w:r w:rsidRPr="006923EC">
        <w:rPr>
          <w:rFonts w:ascii="Times New Roman" w:hAnsi="Times New Roman"/>
          <w:bCs/>
          <w:sz w:val="24"/>
          <w:szCs w:val="24"/>
        </w:rPr>
        <w:t>Karlund</w:t>
      </w:r>
      <w:proofErr w:type="spellEnd"/>
      <w:r w:rsidRPr="006923EC">
        <w:rPr>
          <w:rFonts w:ascii="Times New Roman" w:hAnsi="Times New Roman"/>
          <w:bCs/>
          <w:sz w:val="24"/>
          <w:szCs w:val="24"/>
        </w:rPr>
        <w:t xml:space="preserve"> et al., 2024).</w:t>
      </w:r>
      <w:r>
        <w:rPr>
          <w:rFonts w:ascii="Times New Roman" w:hAnsi="Times New Roman"/>
          <w:bCs/>
          <w:sz w:val="24"/>
          <w:szCs w:val="24"/>
        </w:rPr>
        <w:t xml:space="preserve"> </w:t>
      </w:r>
      <w:r w:rsidRPr="006923EC">
        <w:rPr>
          <w:rFonts w:ascii="Times New Roman" w:hAnsi="Times New Roman"/>
          <w:bCs/>
          <w:sz w:val="24"/>
          <w:szCs w:val="24"/>
        </w:rPr>
        <w:t xml:space="preserve">Among vegetables, cauliflower </w:t>
      </w:r>
      <w:r w:rsidRPr="006923EC">
        <w:rPr>
          <w:rFonts w:ascii="Times New Roman" w:hAnsi="Times New Roman"/>
          <w:bCs/>
          <w:i/>
          <w:sz w:val="24"/>
          <w:szCs w:val="24"/>
        </w:rPr>
        <w:t xml:space="preserve">(Brassica oleracea </w:t>
      </w:r>
      <w:r w:rsidRPr="006923EC">
        <w:rPr>
          <w:rFonts w:ascii="Times New Roman" w:hAnsi="Times New Roman"/>
          <w:bCs/>
          <w:sz w:val="24"/>
          <w:szCs w:val="24"/>
        </w:rPr>
        <w:t>var.</w:t>
      </w:r>
      <w:r w:rsidRPr="006923EC">
        <w:rPr>
          <w:rFonts w:ascii="Times New Roman" w:hAnsi="Times New Roman"/>
          <w:bCs/>
          <w:i/>
          <w:sz w:val="24"/>
          <w:szCs w:val="24"/>
        </w:rPr>
        <w:t xml:space="preserve"> botrytis</w:t>
      </w:r>
      <w:r w:rsidRPr="006923EC">
        <w:rPr>
          <w:rFonts w:ascii="Times New Roman" w:hAnsi="Times New Roman"/>
          <w:bCs/>
          <w:sz w:val="24"/>
          <w:szCs w:val="24"/>
        </w:rPr>
        <w:t>) is a highly valued crop grown extensively across India. It is an excellent source of essential nutrients, including vitamins C, A, K, and B</w:t>
      </w:r>
      <w:r w:rsidR="00E408DB">
        <w:rPr>
          <w:rFonts w:ascii="Times New Roman" w:hAnsi="Times New Roman"/>
          <w:bCs/>
          <w:sz w:val="24"/>
          <w:szCs w:val="24"/>
        </w:rPr>
        <w:t>-</w:t>
      </w:r>
      <w:r w:rsidRPr="006923EC">
        <w:rPr>
          <w:rFonts w:ascii="Times New Roman" w:hAnsi="Times New Roman"/>
          <w:bCs/>
          <w:sz w:val="24"/>
          <w:szCs w:val="24"/>
        </w:rPr>
        <w:t xml:space="preserve">complex, along with minerals like calcium, magnesium, potassium, and iron (Karthika et al., 2020). Due to its high nutritional content and wide consumer preference, cauliflower has become a key crop in diversified farming systems, especially in states like Himachal Pradesh, where </w:t>
      </w:r>
      <w:proofErr w:type="spellStart"/>
      <w:r w:rsidRPr="006923EC">
        <w:rPr>
          <w:rFonts w:ascii="Times New Roman" w:hAnsi="Times New Roman"/>
          <w:bCs/>
          <w:sz w:val="24"/>
          <w:szCs w:val="24"/>
        </w:rPr>
        <w:t>favorable</w:t>
      </w:r>
      <w:proofErr w:type="spellEnd"/>
      <w:r w:rsidRPr="006923EC">
        <w:rPr>
          <w:rFonts w:ascii="Times New Roman" w:hAnsi="Times New Roman"/>
          <w:bCs/>
          <w:sz w:val="24"/>
          <w:szCs w:val="24"/>
        </w:rPr>
        <w:t xml:space="preserve"> </w:t>
      </w:r>
      <w:proofErr w:type="spellStart"/>
      <w:r w:rsidRPr="006923EC">
        <w:rPr>
          <w:rFonts w:ascii="Times New Roman" w:hAnsi="Times New Roman"/>
          <w:bCs/>
          <w:sz w:val="24"/>
          <w:szCs w:val="24"/>
        </w:rPr>
        <w:t>agro</w:t>
      </w:r>
      <w:proofErr w:type="spellEnd"/>
      <w:r w:rsidR="00E408DB">
        <w:rPr>
          <w:rFonts w:ascii="Times New Roman" w:hAnsi="Times New Roman"/>
          <w:bCs/>
          <w:sz w:val="24"/>
          <w:szCs w:val="24"/>
        </w:rPr>
        <w:t>-</w:t>
      </w:r>
      <w:r w:rsidRPr="006923EC">
        <w:rPr>
          <w:rFonts w:ascii="Times New Roman" w:hAnsi="Times New Roman"/>
          <w:bCs/>
          <w:sz w:val="24"/>
          <w:szCs w:val="24"/>
        </w:rPr>
        <w:t>climatic conditions support year</w:t>
      </w:r>
      <w:r w:rsidR="00E408DB">
        <w:rPr>
          <w:rFonts w:ascii="Times New Roman" w:hAnsi="Times New Roman"/>
          <w:bCs/>
          <w:sz w:val="24"/>
          <w:szCs w:val="24"/>
        </w:rPr>
        <w:t>-</w:t>
      </w:r>
      <w:r w:rsidRPr="006923EC">
        <w:rPr>
          <w:rFonts w:ascii="Times New Roman" w:hAnsi="Times New Roman"/>
          <w:bCs/>
          <w:sz w:val="24"/>
          <w:szCs w:val="24"/>
        </w:rPr>
        <w:t>round vegetable cultivation.</w:t>
      </w:r>
      <w:r>
        <w:rPr>
          <w:rFonts w:ascii="Times New Roman" w:hAnsi="Times New Roman"/>
          <w:bCs/>
          <w:sz w:val="24"/>
          <w:szCs w:val="24"/>
        </w:rPr>
        <w:t xml:space="preserve"> </w:t>
      </w:r>
    </w:p>
    <w:p w14:paraId="060F35D9"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Despite advances in crop management, the actual yield of cauliflower remains below its potential due to various agronomic limitations, particularly low nutrient use efficiency. Conventional fertilization practices, while effective in enhancing productivity, are plagued by issues such as nutrient leaching, volatilization, and low absorption efficiency</w:t>
      </w:r>
      <w:r>
        <w:rPr>
          <w:rFonts w:ascii="Times New Roman" w:hAnsi="Times New Roman"/>
          <w:bCs/>
          <w:sz w:val="24"/>
          <w:szCs w:val="24"/>
        </w:rPr>
        <w:t xml:space="preserve">, </w:t>
      </w:r>
      <w:r w:rsidRPr="006923EC">
        <w:rPr>
          <w:rFonts w:ascii="Times New Roman" w:hAnsi="Times New Roman"/>
          <w:bCs/>
          <w:sz w:val="24"/>
          <w:szCs w:val="24"/>
        </w:rPr>
        <w:t xml:space="preserve">often resulting in reduced soil health, environmental pollution, and economic inefficiency (Kumar et al., 2020; </w:t>
      </w:r>
      <w:proofErr w:type="spellStart"/>
      <w:r w:rsidRPr="006923EC">
        <w:rPr>
          <w:rFonts w:ascii="Times New Roman" w:hAnsi="Times New Roman"/>
          <w:bCs/>
          <w:sz w:val="24"/>
          <w:szCs w:val="24"/>
        </w:rPr>
        <w:t>Panhwar</w:t>
      </w:r>
      <w:proofErr w:type="spellEnd"/>
      <w:r w:rsidRPr="006923EC">
        <w:rPr>
          <w:rFonts w:ascii="Times New Roman" w:hAnsi="Times New Roman"/>
          <w:bCs/>
          <w:sz w:val="24"/>
          <w:szCs w:val="24"/>
        </w:rPr>
        <w:t xml:space="preserve"> et al., 2019). </w:t>
      </w:r>
      <w:commentRangeStart w:id="5"/>
      <w:r w:rsidRPr="006923EC">
        <w:rPr>
          <w:rFonts w:ascii="Times New Roman" w:hAnsi="Times New Roman"/>
          <w:bCs/>
          <w:sz w:val="24"/>
          <w:szCs w:val="24"/>
        </w:rPr>
        <w:t xml:space="preserve">The nutrient use efficiency of nitrogen (N), phosphorus (P), and potassium (K) in conventional systems is estimated to be only 30–50%, </w:t>
      </w:r>
      <w:commentRangeEnd w:id="5"/>
      <w:r w:rsidR="00402201">
        <w:rPr>
          <w:rStyle w:val="CommentReference"/>
          <w:rtl/>
        </w:rPr>
        <w:commentReference w:id="5"/>
      </w:r>
      <w:r w:rsidRPr="006923EC">
        <w:rPr>
          <w:rFonts w:ascii="Times New Roman" w:hAnsi="Times New Roman"/>
          <w:bCs/>
          <w:sz w:val="24"/>
          <w:szCs w:val="24"/>
        </w:rPr>
        <w:t>contributing to both production losses and environmental concerns (Bihari et al., 2022).</w:t>
      </w:r>
    </w:p>
    <w:p w14:paraId="1091835A"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 xml:space="preserve">In recent years, nanotechnology has emerged as a promising tool for addressing these challenges. </w:t>
      </w:r>
      <w:commentRangeStart w:id="6"/>
      <w:r w:rsidRPr="006923EC">
        <w:rPr>
          <w:rFonts w:ascii="Times New Roman" w:hAnsi="Times New Roman"/>
          <w:bCs/>
          <w:sz w:val="24"/>
          <w:szCs w:val="24"/>
        </w:rPr>
        <w:t>Nano</w:t>
      </w:r>
      <w:r w:rsidR="00E408DB">
        <w:rPr>
          <w:rFonts w:ascii="Times New Roman" w:hAnsi="Times New Roman"/>
          <w:bCs/>
          <w:sz w:val="24"/>
          <w:szCs w:val="24"/>
        </w:rPr>
        <w:t>-</w:t>
      </w:r>
      <w:r w:rsidRPr="006923EC">
        <w:rPr>
          <w:rFonts w:ascii="Times New Roman" w:hAnsi="Times New Roman"/>
          <w:bCs/>
          <w:sz w:val="24"/>
          <w:szCs w:val="24"/>
        </w:rPr>
        <w:t>fertilizers, due to their extremely small size and high surface area, offer enhanced nutrient delivery and absorption efficiency, with reduced environmental losses</w:t>
      </w:r>
      <w:commentRangeEnd w:id="6"/>
      <w:r w:rsidR="00402201">
        <w:rPr>
          <w:rStyle w:val="CommentReference"/>
          <w:rtl/>
        </w:rPr>
        <w:commentReference w:id="6"/>
      </w:r>
      <w:r w:rsidRPr="006923EC">
        <w:rPr>
          <w:rFonts w:ascii="Times New Roman" w:hAnsi="Times New Roman"/>
          <w:bCs/>
          <w:sz w:val="24"/>
          <w:szCs w:val="24"/>
        </w:rPr>
        <w:t>. Their controlled release and targeted delivery allow for sustained nutrient availability during critical growth phases, which in turn can lead to improved vegetative development, early reproductive growth, and higher crop yields (Solanki et al., 2015; Jakhar et al., 2022). When used in conjunction with recommended doses of conventional fertilizers (RDF), nano</w:t>
      </w:r>
      <w:r w:rsidR="00E408DB">
        <w:rPr>
          <w:rFonts w:ascii="Times New Roman" w:hAnsi="Times New Roman"/>
          <w:bCs/>
          <w:sz w:val="24"/>
          <w:szCs w:val="24"/>
        </w:rPr>
        <w:t>-</w:t>
      </w:r>
      <w:r w:rsidRPr="006923EC">
        <w:rPr>
          <w:rFonts w:ascii="Times New Roman" w:hAnsi="Times New Roman"/>
          <w:bCs/>
          <w:sz w:val="24"/>
          <w:szCs w:val="24"/>
        </w:rPr>
        <w:t>fertilizers have shown synergistic effects in improving various plant growth and yield traits.</w:t>
      </w:r>
    </w:p>
    <w:p w14:paraId="3968CC0B"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 xml:space="preserve">For a crop like cauliflower, parameters such as plant height, number of leaves per plant, and leaf area are essential indicators of vegetative </w:t>
      </w:r>
      <w:proofErr w:type="spellStart"/>
      <w:r w:rsidRPr="006923EC">
        <w:rPr>
          <w:rFonts w:ascii="Times New Roman" w:hAnsi="Times New Roman"/>
          <w:bCs/>
          <w:sz w:val="24"/>
          <w:szCs w:val="24"/>
        </w:rPr>
        <w:t>vigor</w:t>
      </w:r>
      <w:proofErr w:type="spellEnd"/>
      <w:r w:rsidRPr="006923EC">
        <w:rPr>
          <w:rFonts w:ascii="Times New Roman" w:hAnsi="Times New Roman"/>
          <w:bCs/>
          <w:sz w:val="24"/>
          <w:szCs w:val="24"/>
        </w:rPr>
        <w:t xml:space="preserve"> and are directly influenced by nutrient availability and uptake. Enhanced leaf area and foliage density contribute to increased </w:t>
      </w:r>
      <w:r w:rsidRPr="006923EC">
        <w:rPr>
          <w:rFonts w:ascii="Times New Roman" w:hAnsi="Times New Roman"/>
          <w:bCs/>
          <w:sz w:val="24"/>
          <w:szCs w:val="24"/>
        </w:rPr>
        <w:lastRenderedPageBreak/>
        <w:t>photosynthetic efficiency, supporting better biomass accumulation and curd development. Timely curd initiation, another key physiological milestone, ensures the transition from vegetative to reproductive stages under optimal environmental and nutritional conditions. Furthermore, curd size attributes</w:t>
      </w:r>
      <w:r>
        <w:rPr>
          <w:rFonts w:ascii="Times New Roman" w:hAnsi="Times New Roman"/>
          <w:bCs/>
          <w:sz w:val="24"/>
          <w:szCs w:val="24"/>
        </w:rPr>
        <w:t xml:space="preserve"> like </w:t>
      </w:r>
      <w:commentRangeStart w:id="7"/>
      <w:r w:rsidRPr="006923EC">
        <w:rPr>
          <w:rFonts w:ascii="Times New Roman" w:hAnsi="Times New Roman"/>
          <w:bCs/>
          <w:sz w:val="24"/>
          <w:szCs w:val="24"/>
        </w:rPr>
        <w:t>polar and equatorial diameters</w:t>
      </w:r>
      <w:commentRangeEnd w:id="7"/>
      <w:r w:rsidR="00402201">
        <w:rPr>
          <w:rStyle w:val="CommentReference"/>
          <w:rtl/>
        </w:rPr>
        <w:commentReference w:id="7"/>
      </w:r>
      <w:r>
        <w:rPr>
          <w:rFonts w:ascii="Times New Roman" w:hAnsi="Times New Roman"/>
          <w:bCs/>
          <w:sz w:val="24"/>
          <w:szCs w:val="24"/>
        </w:rPr>
        <w:t>,</w:t>
      </w:r>
      <w:r w:rsidRPr="006923EC">
        <w:rPr>
          <w:rFonts w:ascii="Times New Roman" w:hAnsi="Times New Roman"/>
          <w:bCs/>
          <w:sz w:val="24"/>
          <w:szCs w:val="24"/>
        </w:rPr>
        <w:t xml:space="preserve"> along with gross and net curd weight serve as vital economic traits influencing marketability and profitability.</w:t>
      </w:r>
    </w:p>
    <w:p w14:paraId="04688C41" w14:textId="77777777" w:rsidR="006923EC" w:rsidRP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In this context, nano</w:t>
      </w:r>
      <w:r w:rsidR="00E408DB">
        <w:rPr>
          <w:rFonts w:ascii="Times New Roman" w:hAnsi="Times New Roman"/>
          <w:bCs/>
          <w:sz w:val="24"/>
          <w:szCs w:val="24"/>
        </w:rPr>
        <w:t>-</w:t>
      </w:r>
      <w:r w:rsidRPr="006923EC">
        <w:rPr>
          <w:rFonts w:ascii="Times New Roman" w:hAnsi="Times New Roman"/>
          <w:bCs/>
          <w:sz w:val="24"/>
          <w:szCs w:val="24"/>
        </w:rPr>
        <w:t>fertilizers, when applied via foliar routes, can support rapid and effective nutrient assimilation through leaf stomata, enhancing these morphological and physiological parameters. Improved nutrient dynamics under nano</w:t>
      </w:r>
      <w:r w:rsidR="00E408DB">
        <w:rPr>
          <w:rFonts w:ascii="Times New Roman" w:hAnsi="Times New Roman"/>
          <w:bCs/>
          <w:sz w:val="24"/>
          <w:szCs w:val="24"/>
        </w:rPr>
        <w:t>-</w:t>
      </w:r>
      <w:r w:rsidRPr="006923EC">
        <w:rPr>
          <w:rFonts w:ascii="Times New Roman" w:hAnsi="Times New Roman"/>
          <w:bCs/>
          <w:sz w:val="24"/>
          <w:szCs w:val="24"/>
        </w:rPr>
        <w:t>fertilizer regimes may therefore contribute not only to better curd formation and yield but also to shortened crop cycles, enabling efficient land use.</w:t>
      </w:r>
      <w:r>
        <w:rPr>
          <w:rFonts w:ascii="Times New Roman" w:hAnsi="Times New Roman"/>
          <w:bCs/>
          <w:sz w:val="24"/>
          <w:szCs w:val="24"/>
        </w:rPr>
        <w:t xml:space="preserve"> </w:t>
      </w:r>
      <w:r w:rsidRPr="006923EC">
        <w:rPr>
          <w:rFonts w:ascii="Times New Roman" w:hAnsi="Times New Roman"/>
          <w:bCs/>
          <w:sz w:val="24"/>
          <w:szCs w:val="24"/>
        </w:rPr>
        <w:t>Given the current need for sustainable intensification of vegetable production systems, the present study was undertaken to evaluate the effect of combined application of nano</w:t>
      </w:r>
      <w:r w:rsidR="00E408DB">
        <w:rPr>
          <w:rFonts w:ascii="Times New Roman" w:hAnsi="Times New Roman"/>
          <w:bCs/>
          <w:sz w:val="24"/>
          <w:szCs w:val="24"/>
        </w:rPr>
        <w:t>-</w:t>
      </w:r>
      <w:r w:rsidRPr="006923EC">
        <w:rPr>
          <w:rFonts w:ascii="Times New Roman" w:hAnsi="Times New Roman"/>
          <w:bCs/>
          <w:sz w:val="24"/>
          <w:szCs w:val="24"/>
        </w:rPr>
        <w:t>NPK and conventional fertilizers on the growth and yield parameters of cauliflower. Specifically, the study focused on quantifying improvements in plant height, leaf count, leaf area, curd initiation timing, curd dimensions, and curd weights. By assessing these indicators under varying treatment combinations, the research aims to provide insights into optimizing nutrient strategies for enhanced productivity, economic returns, and environmental sustainability in cauliflower cultivation.</w:t>
      </w:r>
    </w:p>
    <w:p w14:paraId="39D94D51" w14:textId="77777777" w:rsidR="00A55687" w:rsidRDefault="00A55687" w:rsidP="00A55687">
      <w:pPr>
        <w:spacing w:line="360" w:lineRule="auto"/>
        <w:jc w:val="both"/>
        <w:rPr>
          <w:rFonts w:ascii="Times New Roman" w:eastAsiaTheme="minorHAnsi" w:hAnsi="Times New Roman"/>
          <w:b/>
          <w:bCs/>
          <w:sz w:val="24"/>
          <w:szCs w:val="24"/>
        </w:rPr>
      </w:pPr>
      <w:r>
        <w:rPr>
          <w:rFonts w:ascii="Times New Roman" w:hAnsi="Times New Roman"/>
          <w:b/>
          <w:bCs/>
          <w:sz w:val="24"/>
          <w:szCs w:val="24"/>
        </w:rPr>
        <w:t>Materials and Methods</w:t>
      </w:r>
    </w:p>
    <w:p w14:paraId="6077DCA3" w14:textId="77777777" w:rsidR="00A55687" w:rsidRPr="00A55687" w:rsidRDefault="00A55687" w:rsidP="00A55687">
      <w:pPr>
        <w:spacing w:line="360" w:lineRule="auto"/>
        <w:jc w:val="both"/>
        <w:rPr>
          <w:rFonts w:ascii="Times New Roman" w:hAnsi="Times New Roman"/>
          <w:b/>
          <w:sz w:val="24"/>
          <w:szCs w:val="24"/>
        </w:rPr>
      </w:pPr>
      <w:r w:rsidRPr="00A55687">
        <w:rPr>
          <w:rFonts w:ascii="Times New Roman" w:hAnsi="Times New Roman"/>
          <w:b/>
          <w:sz w:val="24"/>
          <w:szCs w:val="24"/>
        </w:rPr>
        <w:t>Experimental Site and Climate</w:t>
      </w:r>
    </w:p>
    <w:p w14:paraId="71584C9A"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The field investigation was conducted during </w:t>
      </w:r>
      <w:r>
        <w:rPr>
          <w:rFonts w:ascii="Times New Roman" w:hAnsi="Times New Roman"/>
          <w:sz w:val="24"/>
          <w:szCs w:val="24"/>
        </w:rPr>
        <w:t xml:space="preserve">September </w:t>
      </w:r>
      <w:r w:rsidRPr="00A55687">
        <w:rPr>
          <w:rFonts w:ascii="Times New Roman" w:hAnsi="Times New Roman"/>
          <w:sz w:val="24"/>
          <w:szCs w:val="24"/>
        </w:rPr>
        <w:t>2022</w:t>
      </w:r>
      <w:r>
        <w:rPr>
          <w:rFonts w:ascii="Times New Roman" w:hAnsi="Times New Roman"/>
          <w:sz w:val="24"/>
          <w:szCs w:val="24"/>
        </w:rPr>
        <w:t xml:space="preserve"> to March </w:t>
      </w:r>
      <w:r w:rsidRPr="00A55687">
        <w:rPr>
          <w:rFonts w:ascii="Times New Roman" w:hAnsi="Times New Roman"/>
          <w:sz w:val="24"/>
          <w:szCs w:val="24"/>
        </w:rPr>
        <w:t>202</w:t>
      </w:r>
      <w:r>
        <w:rPr>
          <w:rFonts w:ascii="Times New Roman" w:hAnsi="Times New Roman"/>
          <w:sz w:val="24"/>
          <w:szCs w:val="24"/>
        </w:rPr>
        <w:t xml:space="preserve">3 </w:t>
      </w:r>
      <w:r w:rsidRPr="00A55687">
        <w:rPr>
          <w:rFonts w:ascii="Times New Roman" w:hAnsi="Times New Roman"/>
          <w:sz w:val="24"/>
          <w:szCs w:val="24"/>
        </w:rPr>
        <w:t xml:space="preserve">at the Experimental Farm of the Department of Soil Science and Water Management, Dr. Yashwant Singh Parmar University of Horticulture and Forestry, </w:t>
      </w:r>
      <w:proofErr w:type="spellStart"/>
      <w:r w:rsidRPr="00A55687">
        <w:rPr>
          <w:rFonts w:ascii="Times New Roman" w:hAnsi="Times New Roman"/>
          <w:sz w:val="24"/>
          <w:szCs w:val="24"/>
        </w:rPr>
        <w:t>Nauni</w:t>
      </w:r>
      <w:proofErr w:type="spellEnd"/>
      <w:r w:rsidRPr="00A55687">
        <w:rPr>
          <w:rFonts w:ascii="Times New Roman" w:hAnsi="Times New Roman"/>
          <w:sz w:val="24"/>
          <w:szCs w:val="24"/>
        </w:rPr>
        <w:t>, Solan, Himachal Pradesh. The site falls under the Zone II (sub</w:t>
      </w:r>
      <w:r w:rsidR="00E408DB">
        <w:rPr>
          <w:rFonts w:ascii="Times New Roman" w:hAnsi="Times New Roman"/>
          <w:sz w:val="24"/>
          <w:szCs w:val="24"/>
        </w:rPr>
        <w:t>-</w:t>
      </w:r>
      <w:r w:rsidRPr="00A55687">
        <w:rPr>
          <w:rFonts w:ascii="Times New Roman" w:hAnsi="Times New Roman"/>
          <w:sz w:val="24"/>
          <w:szCs w:val="24"/>
        </w:rPr>
        <w:t>temperate, sub</w:t>
      </w:r>
      <w:r w:rsidR="00E408DB">
        <w:rPr>
          <w:rFonts w:ascii="Times New Roman" w:hAnsi="Times New Roman"/>
          <w:sz w:val="24"/>
          <w:szCs w:val="24"/>
        </w:rPr>
        <w:t>-</w:t>
      </w:r>
      <w:r w:rsidRPr="00A55687">
        <w:rPr>
          <w:rFonts w:ascii="Times New Roman" w:hAnsi="Times New Roman"/>
          <w:sz w:val="24"/>
          <w:szCs w:val="24"/>
        </w:rPr>
        <w:t>humid) agro</w:t>
      </w:r>
      <w:r w:rsidR="00E408DB">
        <w:rPr>
          <w:rFonts w:ascii="Times New Roman" w:hAnsi="Times New Roman"/>
          <w:sz w:val="24"/>
          <w:szCs w:val="24"/>
        </w:rPr>
        <w:t>-</w:t>
      </w:r>
      <w:r w:rsidRPr="00A55687">
        <w:rPr>
          <w:rFonts w:ascii="Times New Roman" w:hAnsi="Times New Roman"/>
          <w:sz w:val="24"/>
          <w:szCs w:val="24"/>
        </w:rPr>
        <w:t>climatic zone of Himachal Pradesh. The region experiences an average annual rainfall of approximately 1150 mm, with most precipitation occurring during the monsoon season (June</w:t>
      </w:r>
      <w:r w:rsidR="00E408DB">
        <w:rPr>
          <w:rFonts w:ascii="Times New Roman" w:hAnsi="Times New Roman"/>
          <w:sz w:val="24"/>
          <w:szCs w:val="24"/>
        </w:rPr>
        <w:t>-</w:t>
      </w:r>
      <w:r w:rsidRPr="00A55687">
        <w:rPr>
          <w:rFonts w:ascii="Times New Roman" w:hAnsi="Times New Roman"/>
          <w:sz w:val="24"/>
          <w:szCs w:val="24"/>
        </w:rPr>
        <w:t xml:space="preserve">September). The soil at the experimental site </w:t>
      </w:r>
      <w:r w:rsidR="00421274">
        <w:rPr>
          <w:rFonts w:ascii="Times New Roman" w:hAnsi="Times New Roman"/>
          <w:sz w:val="24"/>
          <w:szCs w:val="24"/>
        </w:rPr>
        <w:t>was</w:t>
      </w:r>
      <w:r w:rsidRPr="00A55687">
        <w:rPr>
          <w:rFonts w:ascii="Times New Roman" w:hAnsi="Times New Roman"/>
          <w:sz w:val="24"/>
          <w:szCs w:val="24"/>
        </w:rPr>
        <w:t xml:space="preserve"> sandy clay loam </w:t>
      </w:r>
      <w:r w:rsidR="00421274">
        <w:rPr>
          <w:rFonts w:ascii="Times New Roman" w:hAnsi="Times New Roman"/>
          <w:sz w:val="24"/>
          <w:szCs w:val="24"/>
        </w:rPr>
        <w:t xml:space="preserve">in </w:t>
      </w:r>
      <w:r w:rsidRPr="00A55687">
        <w:rPr>
          <w:rFonts w:ascii="Times New Roman" w:hAnsi="Times New Roman"/>
          <w:sz w:val="24"/>
          <w:szCs w:val="24"/>
        </w:rPr>
        <w:t>texture,</w:t>
      </w:r>
      <w:r w:rsidR="00421274">
        <w:rPr>
          <w:rFonts w:ascii="Times New Roman" w:hAnsi="Times New Roman"/>
          <w:sz w:val="24"/>
          <w:szCs w:val="24"/>
        </w:rPr>
        <w:t xml:space="preserve"> and nearly neutral pH (6.68).</w:t>
      </w:r>
    </w:p>
    <w:p w14:paraId="637FA5A8" w14:textId="77777777" w:rsidR="00A55687" w:rsidRPr="00E3064E" w:rsidRDefault="00A55687" w:rsidP="00A55687">
      <w:pPr>
        <w:spacing w:line="360" w:lineRule="auto"/>
        <w:jc w:val="both"/>
        <w:rPr>
          <w:rFonts w:ascii="Times New Roman" w:hAnsi="Times New Roman"/>
          <w:b/>
          <w:sz w:val="24"/>
          <w:szCs w:val="24"/>
        </w:rPr>
      </w:pPr>
      <w:r w:rsidRPr="00E3064E">
        <w:rPr>
          <w:rFonts w:ascii="Times New Roman" w:hAnsi="Times New Roman"/>
          <w:b/>
          <w:sz w:val="24"/>
          <w:szCs w:val="24"/>
        </w:rPr>
        <w:t>Experimental Design and Treatments</w:t>
      </w:r>
    </w:p>
    <w:p w14:paraId="330305A8"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experiment was laid out in a Randomized Block Design (RBD) with 11 treatments and three replications. The treatment combinations included varying levels of conventional fertilizers (RDF) and foliar</w:t>
      </w:r>
      <w:r w:rsidR="00E408DB">
        <w:rPr>
          <w:rFonts w:ascii="Times New Roman" w:hAnsi="Times New Roman"/>
          <w:sz w:val="24"/>
          <w:szCs w:val="24"/>
        </w:rPr>
        <w:t>-</w:t>
      </w:r>
      <w:r w:rsidRPr="00A55687">
        <w:rPr>
          <w:rFonts w:ascii="Times New Roman" w:hAnsi="Times New Roman"/>
          <w:sz w:val="24"/>
          <w:szCs w:val="24"/>
        </w:rPr>
        <w:t>applied nano</w:t>
      </w:r>
      <w:r w:rsidR="00E408DB">
        <w:rPr>
          <w:rFonts w:ascii="Times New Roman" w:hAnsi="Times New Roman"/>
          <w:sz w:val="24"/>
          <w:szCs w:val="24"/>
        </w:rPr>
        <w:t>-</w:t>
      </w:r>
      <w:r w:rsidRPr="00A55687">
        <w:rPr>
          <w:rFonts w:ascii="Times New Roman" w:hAnsi="Times New Roman"/>
          <w:sz w:val="24"/>
          <w:szCs w:val="24"/>
        </w:rPr>
        <w:t xml:space="preserve">NPK fertilizers. Conventional nutrients were applied using urea (46% N), single super phosphate (16% P₂O₅), and muriate of potash (60% K₂O), </w:t>
      </w:r>
      <w:r w:rsidRPr="00A55687">
        <w:rPr>
          <w:rFonts w:ascii="Times New Roman" w:hAnsi="Times New Roman"/>
          <w:sz w:val="24"/>
          <w:szCs w:val="24"/>
        </w:rPr>
        <w:lastRenderedPageBreak/>
        <w:t>while nano</w:t>
      </w:r>
      <w:r w:rsidR="00E408DB">
        <w:rPr>
          <w:rFonts w:ascii="Times New Roman" w:hAnsi="Times New Roman"/>
          <w:sz w:val="24"/>
          <w:szCs w:val="24"/>
        </w:rPr>
        <w:t>-</w:t>
      </w:r>
      <w:r w:rsidRPr="00A55687">
        <w:rPr>
          <w:rFonts w:ascii="Times New Roman" w:hAnsi="Times New Roman"/>
          <w:sz w:val="24"/>
          <w:szCs w:val="24"/>
        </w:rPr>
        <w:t xml:space="preserve">fertilizers included nano urea, </w:t>
      </w:r>
      <w:proofErr w:type="spellStart"/>
      <w:r w:rsidRPr="00A55687">
        <w:rPr>
          <w:rFonts w:ascii="Times New Roman" w:hAnsi="Times New Roman"/>
          <w:sz w:val="24"/>
          <w:szCs w:val="24"/>
        </w:rPr>
        <w:t>divanophos</w:t>
      </w:r>
      <w:proofErr w:type="spellEnd"/>
      <w:r w:rsidRPr="00A55687">
        <w:rPr>
          <w:rFonts w:ascii="Times New Roman" w:hAnsi="Times New Roman"/>
          <w:sz w:val="24"/>
          <w:szCs w:val="24"/>
        </w:rPr>
        <w:t xml:space="preserve"> (nano</w:t>
      </w:r>
      <w:r w:rsidR="00E408DB">
        <w:rPr>
          <w:rFonts w:ascii="Times New Roman" w:hAnsi="Times New Roman"/>
          <w:sz w:val="24"/>
          <w:szCs w:val="24"/>
        </w:rPr>
        <w:t>-</w:t>
      </w:r>
      <w:r w:rsidRPr="00A55687">
        <w:rPr>
          <w:rFonts w:ascii="Times New Roman" w:hAnsi="Times New Roman"/>
          <w:sz w:val="24"/>
          <w:szCs w:val="24"/>
        </w:rPr>
        <w:t>P), and nano K (</w:t>
      </w:r>
      <w:proofErr w:type="spellStart"/>
      <w:r w:rsidRPr="00A55687">
        <w:rPr>
          <w:rFonts w:ascii="Times New Roman" w:hAnsi="Times New Roman"/>
          <w:sz w:val="24"/>
          <w:szCs w:val="24"/>
        </w:rPr>
        <w:t>Geolife</w:t>
      </w:r>
      <w:proofErr w:type="spellEnd"/>
      <w:r w:rsidRPr="00A55687">
        <w:rPr>
          <w:rFonts w:ascii="Times New Roman" w:hAnsi="Times New Roman"/>
          <w:sz w:val="24"/>
          <w:szCs w:val="24"/>
        </w:rPr>
        <w:t>). Nano</w:t>
      </w:r>
      <w:r w:rsidR="00E408DB">
        <w:rPr>
          <w:rFonts w:ascii="Times New Roman" w:hAnsi="Times New Roman"/>
          <w:sz w:val="24"/>
          <w:szCs w:val="24"/>
        </w:rPr>
        <w:t>-</w:t>
      </w:r>
      <w:r w:rsidRPr="00A55687">
        <w:rPr>
          <w:rFonts w:ascii="Times New Roman" w:hAnsi="Times New Roman"/>
          <w:sz w:val="24"/>
          <w:szCs w:val="24"/>
        </w:rPr>
        <w:t>NPK was applied as a foliar spray at 30 and 60 days after transplanting at concentrations of 0.25%, 0.5%, and 1.0%. Each treatment was calculated based on the plot size o</w:t>
      </w:r>
      <w:r w:rsidR="006923EC">
        <w:rPr>
          <w:rFonts w:ascii="Times New Roman" w:hAnsi="Times New Roman"/>
          <w:sz w:val="24"/>
          <w:szCs w:val="24"/>
        </w:rPr>
        <w:t xml:space="preserve">f 2.1 </w:t>
      </w:r>
      <w:r w:rsidRPr="00A55687">
        <w:rPr>
          <w:rFonts w:ascii="Times New Roman" w:hAnsi="Times New Roman"/>
          <w:sz w:val="24"/>
          <w:szCs w:val="24"/>
        </w:rPr>
        <w:t>m × 2.1 m.</w:t>
      </w:r>
    </w:p>
    <w:p w14:paraId="15FCDFE4"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cauliflower cultivar used was Pusa Snowball K</w:t>
      </w:r>
      <w:r w:rsidR="00E408DB">
        <w:rPr>
          <w:rFonts w:ascii="Times New Roman" w:hAnsi="Times New Roman"/>
          <w:sz w:val="24"/>
          <w:szCs w:val="24"/>
        </w:rPr>
        <w:t>-</w:t>
      </w:r>
      <w:r w:rsidR="007072F5">
        <w:rPr>
          <w:rFonts w:ascii="Times New Roman" w:hAnsi="Times New Roman"/>
          <w:sz w:val="24"/>
          <w:szCs w:val="24"/>
        </w:rPr>
        <w:t>1</w:t>
      </w:r>
      <w:r w:rsidRPr="00A55687">
        <w:rPr>
          <w:rFonts w:ascii="Times New Roman" w:hAnsi="Times New Roman"/>
          <w:sz w:val="24"/>
          <w:szCs w:val="24"/>
        </w:rPr>
        <w:t xml:space="preserve"> (PSBK</w:t>
      </w:r>
      <w:r w:rsidR="00E408DB">
        <w:rPr>
          <w:rFonts w:ascii="Times New Roman" w:hAnsi="Times New Roman"/>
          <w:sz w:val="24"/>
          <w:szCs w:val="24"/>
        </w:rPr>
        <w:t>-</w:t>
      </w:r>
      <w:r w:rsidR="007072F5">
        <w:rPr>
          <w:rFonts w:ascii="Times New Roman" w:hAnsi="Times New Roman"/>
          <w:sz w:val="24"/>
          <w:szCs w:val="24"/>
        </w:rPr>
        <w:t>1</w:t>
      </w:r>
      <w:r w:rsidRPr="00A55687">
        <w:rPr>
          <w:rFonts w:ascii="Times New Roman" w:hAnsi="Times New Roman"/>
          <w:sz w:val="24"/>
          <w:szCs w:val="24"/>
        </w:rPr>
        <w:t xml:space="preserve">). </w:t>
      </w:r>
      <w:r w:rsidR="006923EC">
        <w:rPr>
          <w:rFonts w:ascii="Times New Roman" w:hAnsi="Times New Roman"/>
          <w:sz w:val="24"/>
          <w:szCs w:val="24"/>
        </w:rPr>
        <w:t>H</w:t>
      </w:r>
      <w:r w:rsidRPr="00A55687">
        <w:rPr>
          <w:rFonts w:ascii="Times New Roman" w:hAnsi="Times New Roman"/>
          <w:sz w:val="24"/>
          <w:szCs w:val="24"/>
        </w:rPr>
        <w:t>ealthy, uniform one</w:t>
      </w:r>
      <w:r w:rsidR="00E408DB">
        <w:rPr>
          <w:rFonts w:ascii="Times New Roman" w:hAnsi="Times New Roman"/>
          <w:sz w:val="24"/>
          <w:szCs w:val="24"/>
        </w:rPr>
        <w:t>-</w:t>
      </w:r>
      <w:r w:rsidRPr="00A55687">
        <w:rPr>
          <w:rFonts w:ascii="Times New Roman" w:hAnsi="Times New Roman"/>
          <w:sz w:val="24"/>
          <w:szCs w:val="24"/>
        </w:rPr>
        <w:t>month</w:t>
      </w:r>
      <w:r w:rsidR="00E408DB">
        <w:rPr>
          <w:rFonts w:ascii="Times New Roman" w:hAnsi="Times New Roman"/>
          <w:sz w:val="24"/>
          <w:szCs w:val="24"/>
        </w:rPr>
        <w:t>-</w:t>
      </w:r>
      <w:r w:rsidRPr="00A55687">
        <w:rPr>
          <w:rFonts w:ascii="Times New Roman" w:hAnsi="Times New Roman"/>
          <w:sz w:val="24"/>
          <w:szCs w:val="24"/>
        </w:rPr>
        <w:t xml:space="preserve">old seedlings </w:t>
      </w:r>
      <w:r w:rsidR="006923EC">
        <w:rPr>
          <w:rFonts w:ascii="Times New Roman" w:hAnsi="Times New Roman"/>
          <w:sz w:val="24"/>
          <w:szCs w:val="24"/>
        </w:rPr>
        <w:t xml:space="preserve">of cauliflower </w:t>
      </w:r>
      <w:commentRangeStart w:id="8"/>
      <w:r w:rsidRPr="00A55687">
        <w:rPr>
          <w:rFonts w:ascii="Times New Roman" w:hAnsi="Times New Roman"/>
          <w:sz w:val="24"/>
          <w:szCs w:val="24"/>
        </w:rPr>
        <w:t>was</w:t>
      </w:r>
      <w:r w:rsidR="006923EC">
        <w:rPr>
          <w:rFonts w:ascii="Times New Roman" w:hAnsi="Times New Roman"/>
          <w:sz w:val="24"/>
          <w:szCs w:val="24"/>
        </w:rPr>
        <w:t xml:space="preserve"> transplanted </w:t>
      </w:r>
      <w:commentRangeEnd w:id="8"/>
      <w:r w:rsidR="00BD5973">
        <w:rPr>
          <w:rStyle w:val="CommentReference"/>
          <w:rtl/>
        </w:rPr>
        <w:commentReference w:id="8"/>
      </w:r>
      <w:r w:rsidR="006923EC">
        <w:rPr>
          <w:rFonts w:ascii="Times New Roman" w:hAnsi="Times New Roman"/>
          <w:sz w:val="24"/>
          <w:szCs w:val="24"/>
        </w:rPr>
        <w:t>at a spacing of 60 × 45 cm</w:t>
      </w:r>
      <w:r w:rsidRPr="00A55687">
        <w:rPr>
          <w:rFonts w:ascii="Times New Roman" w:hAnsi="Times New Roman"/>
          <w:sz w:val="24"/>
          <w:szCs w:val="24"/>
        </w:rPr>
        <w:t>, accommodating 21 plants per plot. Standard agronomic practices were followed throughout the cropping period.</w:t>
      </w:r>
    </w:p>
    <w:p w14:paraId="2125E9D9" w14:textId="77777777" w:rsidR="00A55687" w:rsidRPr="008D2643" w:rsidRDefault="00A55687" w:rsidP="00A55687">
      <w:pPr>
        <w:spacing w:line="360" w:lineRule="auto"/>
        <w:jc w:val="both"/>
        <w:rPr>
          <w:rFonts w:ascii="Times New Roman" w:hAnsi="Times New Roman"/>
          <w:b/>
          <w:sz w:val="24"/>
          <w:szCs w:val="24"/>
          <w:lang w:val="en-US"/>
        </w:rPr>
      </w:pPr>
      <w:r w:rsidRPr="00421274">
        <w:rPr>
          <w:rFonts w:ascii="Times New Roman" w:hAnsi="Times New Roman"/>
          <w:b/>
          <w:sz w:val="24"/>
          <w:szCs w:val="24"/>
        </w:rPr>
        <w:t>Plant Growth and Yield Parameters</w:t>
      </w:r>
    </w:p>
    <w:p w14:paraId="4688F044"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Observations were recorded from five randomly selected and tagged plants per plot for each of the following parameters:</w:t>
      </w:r>
    </w:p>
    <w:p w14:paraId="0E7630A8"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Plant Height (cm): Measured from the ground surface to the tip of the tallest leaf at harvest using a measuring scale.</w:t>
      </w:r>
    </w:p>
    <w:p w14:paraId="6735493D"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Number of Leaves per Plant: Counted manually at curd maturity from each selected plant, and the average was calculated.</w:t>
      </w:r>
    </w:p>
    <w:p w14:paraId="02478972" w14:textId="77777777" w:rsidR="00A55687" w:rsidRPr="00A55687" w:rsidRDefault="00421274" w:rsidP="00A55687">
      <w:pPr>
        <w:spacing w:line="360" w:lineRule="auto"/>
        <w:jc w:val="both"/>
        <w:rPr>
          <w:rFonts w:ascii="Times New Roman" w:hAnsi="Times New Roman"/>
          <w:sz w:val="24"/>
          <w:szCs w:val="24"/>
        </w:rPr>
      </w:pPr>
      <w:r>
        <w:rPr>
          <w:rFonts w:ascii="Times New Roman" w:hAnsi="Times New Roman"/>
          <w:sz w:val="24"/>
          <w:szCs w:val="24"/>
        </w:rPr>
        <w:t>Leaf Area (cm</w:t>
      </w:r>
      <w:r w:rsidRPr="00421274">
        <w:rPr>
          <w:rFonts w:ascii="Times New Roman" w:hAnsi="Times New Roman"/>
          <w:sz w:val="24"/>
          <w:szCs w:val="24"/>
          <w:vertAlign w:val="superscript"/>
        </w:rPr>
        <w:t>2</w:t>
      </w:r>
      <w:r w:rsidR="00A55687" w:rsidRPr="00A55687">
        <w:rPr>
          <w:rFonts w:ascii="Times New Roman" w:hAnsi="Times New Roman"/>
          <w:sz w:val="24"/>
          <w:szCs w:val="24"/>
        </w:rPr>
        <w:t>): Calculated by multiplying the average length and width of the largest leaves at the time of curd maturity.</w:t>
      </w:r>
    </w:p>
    <w:p w14:paraId="0D709D8E"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Days to Curd Initiation: Number of days taken from transplanting to visible curd formation was recorded and averaged for each treatment.</w:t>
      </w:r>
    </w:p>
    <w:p w14:paraId="3458FA79"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 xml:space="preserve">Curd Diameter (cm): Both polar (longitudinal) and equatorial (transverse) diameters were measured using a vernier </w:t>
      </w:r>
      <w:proofErr w:type="spellStart"/>
      <w:r w:rsidRPr="00A55687">
        <w:rPr>
          <w:rFonts w:ascii="Times New Roman" w:hAnsi="Times New Roman"/>
          <w:sz w:val="24"/>
          <w:szCs w:val="24"/>
        </w:rPr>
        <w:t>caliper</w:t>
      </w:r>
      <w:proofErr w:type="spellEnd"/>
      <w:r w:rsidRPr="00A55687">
        <w:rPr>
          <w:rFonts w:ascii="Times New Roman" w:hAnsi="Times New Roman"/>
          <w:sz w:val="24"/>
          <w:szCs w:val="24"/>
        </w:rPr>
        <w:t xml:space="preserve"> after cutting the curd appropriately.</w:t>
      </w:r>
    </w:p>
    <w:p w14:paraId="548DD30A"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Gross Curd Weight (g): Total weight of the harvested curd including non</w:t>
      </w:r>
      <w:r w:rsidR="00E408DB">
        <w:rPr>
          <w:rFonts w:ascii="Times New Roman" w:hAnsi="Times New Roman"/>
          <w:sz w:val="24"/>
          <w:szCs w:val="24"/>
        </w:rPr>
        <w:t>-</w:t>
      </w:r>
      <w:r w:rsidRPr="00A55687">
        <w:rPr>
          <w:rFonts w:ascii="Times New Roman" w:hAnsi="Times New Roman"/>
          <w:sz w:val="24"/>
          <w:szCs w:val="24"/>
        </w:rPr>
        <w:t>marketable outer leaves and stalk, recorded using a digital balance.</w:t>
      </w:r>
    </w:p>
    <w:p w14:paraId="5FE613BA" w14:textId="77777777" w:rsidR="00A55687" w:rsidRPr="00A55687" w:rsidRDefault="00A55687" w:rsidP="00A55687">
      <w:pPr>
        <w:spacing w:line="360" w:lineRule="auto"/>
        <w:jc w:val="both"/>
        <w:rPr>
          <w:rFonts w:ascii="Times New Roman" w:hAnsi="Times New Roman"/>
          <w:sz w:val="24"/>
          <w:szCs w:val="24"/>
        </w:rPr>
      </w:pPr>
      <w:commentRangeStart w:id="9"/>
      <w:r w:rsidRPr="00A55687">
        <w:rPr>
          <w:rFonts w:ascii="Times New Roman" w:hAnsi="Times New Roman"/>
          <w:sz w:val="24"/>
          <w:szCs w:val="24"/>
        </w:rPr>
        <w:t>Net Curd Weight (g): Weight of the marketable curd only (excluding leaves and stalk) at maturity</w:t>
      </w:r>
      <w:commentRangeEnd w:id="9"/>
      <w:r w:rsidR="008D2643">
        <w:rPr>
          <w:rStyle w:val="CommentReference"/>
        </w:rPr>
        <w:commentReference w:id="9"/>
      </w:r>
      <w:r w:rsidRPr="00A55687">
        <w:rPr>
          <w:rFonts w:ascii="Times New Roman" w:hAnsi="Times New Roman"/>
          <w:sz w:val="24"/>
          <w:szCs w:val="24"/>
        </w:rPr>
        <w:t>.</w:t>
      </w:r>
    </w:p>
    <w:p w14:paraId="188FB265" w14:textId="77777777" w:rsidR="00A55687" w:rsidRPr="00A55687" w:rsidRDefault="00A55687" w:rsidP="00A55687">
      <w:pPr>
        <w:spacing w:line="360" w:lineRule="auto"/>
        <w:jc w:val="both"/>
        <w:rPr>
          <w:rFonts w:ascii="Times New Roman" w:hAnsi="Times New Roman"/>
          <w:b/>
          <w:sz w:val="24"/>
          <w:szCs w:val="24"/>
        </w:rPr>
      </w:pPr>
      <w:r w:rsidRPr="00A55687">
        <w:rPr>
          <w:rFonts w:ascii="Times New Roman" w:hAnsi="Times New Roman"/>
          <w:b/>
          <w:sz w:val="24"/>
          <w:szCs w:val="24"/>
        </w:rPr>
        <w:t>Statistical Analysis</w:t>
      </w:r>
    </w:p>
    <w:p w14:paraId="5BBB8EC7"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The recorded data were statistically </w:t>
      </w:r>
      <w:proofErr w:type="spellStart"/>
      <w:r w:rsidRPr="00A55687">
        <w:rPr>
          <w:rFonts w:ascii="Times New Roman" w:hAnsi="Times New Roman"/>
          <w:sz w:val="24"/>
          <w:szCs w:val="24"/>
        </w:rPr>
        <w:t>analyzed</w:t>
      </w:r>
      <w:proofErr w:type="spellEnd"/>
      <w:r w:rsidRPr="00A55687">
        <w:rPr>
          <w:rFonts w:ascii="Times New Roman" w:hAnsi="Times New Roman"/>
          <w:sz w:val="24"/>
          <w:szCs w:val="24"/>
        </w:rPr>
        <w:t xml:space="preserve"> using analysis of variance (ANOVA) at a 5% level of significance, following the procedure outlined by Panse and </w:t>
      </w:r>
      <w:proofErr w:type="spellStart"/>
      <w:r w:rsidRPr="00A55687">
        <w:rPr>
          <w:rFonts w:ascii="Times New Roman" w:hAnsi="Times New Roman"/>
          <w:sz w:val="24"/>
          <w:szCs w:val="24"/>
        </w:rPr>
        <w:t>Sukhatme</w:t>
      </w:r>
      <w:proofErr w:type="spellEnd"/>
      <w:r w:rsidRPr="00A55687">
        <w:rPr>
          <w:rFonts w:ascii="Times New Roman" w:hAnsi="Times New Roman"/>
          <w:sz w:val="24"/>
          <w:szCs w:val="24"/>
        </w:rPr>
        <w:t xml:space="preserve"> (2000). </w:t>
      </w:r>
      <w:r w:rsidRPr="00A55687">
        <w:rPr>
          <w:rFonts w:ascii="Times New Roman" w:hAnsi="Times New Roman"/>
          <w:sz w:val="24"/>
          <w:szCs w:val="24"/>
        </w:rPr>
        <w:lastRenderedPageBreak/>
        <w:t>Mean comparisons were carried out using the OPSTAT statistical package, and treatment means were separated using CD (Critical Difference) at 0.05 probability level.</w:t>
      </w:r>
    </w:p>
    <w:p w14:paraId="45614A13" w14:textId="77777777" w:rsidR="004B4CDD" w:rsidRPr="004B4CDD" w:rsidRDefault="004B4CDD" w:rsidP="004B4CDD">
      <w:pPr>
        <w:spacing w:line="360" w:lineRule="auto"/>
        <w:jc w:val="both"/>
        <w:rPr>
          <w:rFonts w:ascii="Times New Roman" w:hAnsi="Times New Roman"/>
          <w:b/>
          <w:sz w:val="24"/>
          <w:szCs w:val="24"/>
        </w:rPr>
      </w:pPr>
      <w:r w:rsidRPr="004B4CDD">
        <w:rPr>
          <w:rFonts w:ascii="Times New Roman" w:hAnsi="Times New Roman"/>
          <w:b/>
          <w:sz w:val="24"/>
          <w:szCs w:val="24"/>
        </w:rPr>
        <w:t>RESULTS</w:t>
      </w:r>
    </w:p>
    <w:p w14:paraId="40639651" w14:textId="77777777" w:rsidR="004B4CDD" w:rsidRPr="004B4CDD" w:rsidRDefault="004B4CDD" w:rsidP="00421274">
      <w:pPr>
        <w:spacing w:line="360" w:lineRule="auto"/>
        <w:ind w:firstLine="720"/>
        <w:jc w:val="both"/>
        <w:rPr>
          <w:rFonts w:ascii="Times New Roman" w:hAnsi="Times New Roman"/>
          <w:sz w:val="24"/>
          <w:szCs w:val="24"/>
        </w:rPr>
      </w:pPr>
      <w:r w:rsidRPr="004B4CDD">
        <w:rPr>
          <w:rFonts w:ascii="Times New Roman" w:hAnsi="Times New Roman"/>
          <w:sz w:val="24"/>
          <w:szCs w:val="24"/>
        </w:rPr>
        <w:t>The data recorded during the study indicated significant differences among the treatments for plant growth and yield attributes of cauliflower.</w:t>
      </w:r>
    </w:p>
    <w:p w14:paraId="478A6BFB" w14:textId="77777777" w:rsidR="009942E1" w:rsidRPr="002A124A" w:rsidRDefault="009942E1" w:rsidP="009942E1">
      <w:pPr>
        <w:spacing w:line="360" w:lineRule="auto"/>
        <w:jc w:val="both"/>
        <w:rPr>
          <w:rFonts w:ascii="Times New Roman" w:hAnsi="Times New Roman"/>
          <w:b/>
          <w:sz w:val="24"/>
          <w:szCs w:val="24"/>
        </w:rPr>
      </w:pPr>
      <w:r w:rsidRPr="002A124A">
        <w:rPr>
          <w:rFonts w:ascii="Times New Roman" w:hAnsi="Times New Roman"/>
          <w:b/>
          <w:sz w:val="24"/>
          <w:szCs w:val="24"/>
        </w:rPr>
        <w:t>Plant Growth Parameters</w:t>
      </w:r>
    </w:p>
    <w:p w14:paraId="245D4BC2" w14:textId="77777777" w:rsidR="009942E1" w:rsidRDefault="009942E1" w:rsidP="00421274">
      <w:pPr>
        <w:spacing w:line="360" w:lineRule="auto"/>
        <w:ind w:firstLine="720"/>
        <w:jc w:val="both"/>
        <w:rPr>
          <w:rFonts w:ascii="Times New Roman" w:hAnsi="Times New Roman"/>
          <w:sz w:val="24"/>
          <w:szCs w:val="24"/>
        </w:rPr>
      </w:pPr>
      <w:r w:rsidRPr="009942E1">
        <w:rPr>
          <w:rFonts w:ascii="Times New Roman" w:hAnsi="Times New Roman"/>
          <w:sz w:val="24"/>
          <w:szCs w:val="24"/>
        </w:rPr>
        <w:t>The application of different combinations of conventional and nano</w:t>
      </w:r>
      <w:r w:rsidR="00E408DB">
        <w:rPr>
          <w:rFonts w:ascii="Times New Roman" w:hAnsi="Times New Roman"/>
          <w:sz w:val="24"/>
          <w:szCs w:val="24"/>
        </w:rPr>
        <w:t>-</w:t>
      </w:r>
      <w:r w:rsidRPr="009942E1">
        <w:rPr>
          <w:rFonts w:ascii="Times New Roman" w:hAnsi="Times New Roman"/>
          <w:sz w:val="24"/>
          <w:szCs w:val="24"/>
        </w:rPr>
        <w:t>fertilizers had a significant impact on plant growth attributes of cauliflower. Among all treatments, the tallest plants were recorded in T7, which attained a height of 51.39 cm, indicating vigorous vegetative growth under this nutrient regime</w:t>
      </w:r>
      <w:r w:rsidR="007072F5">
        <w:rPr>
          <w:rFonts w:ascii="Times New Roman" w:hAnsi="Times New Roman"/>
          <w:sz w:val="24"/>
          <w:szCs w:val="24"/>
        </w:rPr>
        <w:t xml:space="preserve"> (Figure 1)</w:t>
      </w:r>
      <w:r w:rsidRPr="009942E1">
        <w:rPr>
          <w:rFonts w:ascii="Times New Roman" w:hAnsi="Times New Roman"/>
          <w:sz w:val="24"/>
          <w:szCs w:val="24"/>
        </w:rPr>
        <w:t>. This was closely followed by T4 (50.94 cm) and T8 (50.72 cm). On the contrary, the shortest plants were observed in the unfertilized control treatment T11 (35.35 cm), which clearly highlights the importance of balanced and efficient nutrient management in enhancing plant stature.</w:t>
      </w:r>
    </w:p>
    <w:p w14:paraId="2A302792" w14:textId="77777777" w:rsidR="002A124A"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0F1C596" wp14:editId="6635D94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6ADA91"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1. </w:t>
      </w:r>
      <w:r w:rsidR="00421274" w:rsidRPr="00421274">
        <w:rPr>
          <w:rFonts w:ascii="Times New Roman" w:hAnsi="Times New Roman"/>
          <w:b/>
          <w:sz w:val="24"/>
          <w:szCs w:val="24"/>
        </w:rPr>
        <w:t>Influence of various nutrient treatments</w:t>
      </w:r>
      <w:r w:rsidR="00421274">
        <w:rPr>
          <w:rFonts w:ascii="Times New Roman" w:hAnsi="Times New Roman"/>
          <w:b/>
          <w:sz w:val="24"/>
          <w:szCs w:val="24"/>
        </w:rPr>
        <w:t xml:space="preserve"> </w:t>
      </w:r>
      <w:r w:rsidRPr="007072F5">
        <w:rPr>
          <w:rFonts w:ascii="Times New Roman" w:hAnsi="Times New Roman"/>
          <w:b/>
          <w:sz w:val="24"/>
          <w:szCs w:val="24"/>
        </w:rPr>
        <w:t>on plant height</w:t>
      </w:r>
      <w:r>
        <w:rPr>
          <w:rFonts w:ascii="Times New Roman" w:hAnsi="Times New Roman"/>
          <w:b/>
          <w:sz w:val="24"/>
          <w:szCs w:val="24"/>
        </w:rPr>
        <w:t xml:space="preserve"> of cauliflower</w:t>
      </w:r>
    </w:p>
    <w:p w14:paraId="624FADF0" w14:textId="77777777" w:rsidR="009942E1" w:rsidRDefault="009942E1" w:rsidP="00421274">
      <w:pPr>
        <w:spacing w:line="360" w:lineRule="auto"/>
        <w:ind w:firstLine="720"/>
        <w:jc w:val="both"/>
        <w:rPr>
          <w:rFonts w:ascii="Times New Roman" w:hAnsi="Times New Roman"/>
          <w:sz w:val="24"/>
          <w:szCs w:val="24"/>
        </w:rPr>
      </w:pPr>
      <w:r w:rsidRPr="009942E1">
        <w:rPr>
          <w:rFonts w:ascii="Times New Roman" w:hAnsi="Times New Roman"/>
          <w:sz w:val="24"/>
          <w:szCs w:val="24"/>
        </w:rPr>
        <w:t>The number of leaves per plant, a crucial vegetative parameter, also varied significantly across treatments</w:t>
      </w:r>
      <w:r w:rsidR="007072F5">
        <w:rPr>
          <w:rFonts w:ascii="Times New Roman" w:hAnsi="Times New Roman"/>
          <w:sz w:val="24"/>
          <w:szCs w:val="24"/>
        </w:rPr>
        <w:t xml:space="preserve"> as shown in Figure 2</w:t>
      </w:r>
      <w:r w:rsidRPr="009942E1">
        <w:rPr>
          <w:rFonts w:ascii="Times New Roman" w:hAnsi="Times New Roman"/>
          <w:sz w:val="24"/>
          <w:szCs w:val="24"/>
        </w:rPr>
        <w:t>. The maximum number of leaves was observed in T7 (21.03), which was statistically comparable to T4 (20.13) and T8 (19.17). These treatments demonstrated a substantial improvement in leaf production, possibly due to better nutrient uptake and assimilation through nano</w:t>
      </w:r>
      <w:r w:rsidR="00E408DB">
        <w:rPr>
          <w:rFonts w:ascii="Times New Roman" w:hAnsi="Times New Roman"/>
          <w:sz w:val="24"/>
          <w:szCs w:val="24"/>
        </w:rPr>
        <w:t>-</w:t>
      </w:r>
      <w:r w:rsidRPr="009942E1">
        <w:rPr>
          <w:rFonts w:ascii="Times New Roman" w:hAnsi="Times New Roman"/>
          <w:sz w:val="24"/>
          <w:szCs w:val="24"/>
        </w:rPr>
        <w:t xml:space="preserve">fertilizers. In contrast, the minimum number of leaves </w:t>
      </w:r>
      <w:r w:rsidRPr="009942E1">
        <w:rPr>
          <w:rFonts w:ascii="Times New Roman" w:hAnsi="Times New Roman"/>
          <w:sz w:val="24"/>
          <w:szCs w:val="24"/>
        </w:rPr>
        <w:lastRenderedPageBreak/>
        <w:t>was observed in T11 (14.08), further validating the critical role of nutrient inputs in supporting robust foliage development.</w:t>
      </w:r>
    </w:p>
    <w:p w14:paraId="25D0B20C" w14:textId="77777777" w:rsidR="002A124A" w:rsidRDefault="002A124A" w:rsidP="00E3064E">
      <w:pPr>
        <w:spacing w:line="360" w:lineRule="auto"/>
        <w:jc w:val="center"/>
        <w:rPr>
          <w:rFonts w:ascii="Times New Roman" w:hAnsi="Times New Roman"/>
          <w:sz w:val="24"/>
          <w:szCs w:val="24"/>
        </w:rPr>
      </w:pPr>
      <w:r>
        <w:rPr>
          <w:noProof/>
          <w:lang w:eastAsia="en-IN"/>
        </w:rPr>
        <w:drawing>
          <wp:inline distT="0" distB="0" distL="0" distR="0" wp14:anchorId="3ADCF45F" wp14:editId="4997C53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4B3260" w14:textId="77777777" w:rsidR="007072F5"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Fig</w:t>
      </w:r>
      <w:r>
        <w:rPr>
          <w:rFonts w:ascii="Times New Roman" w:hAnsi="Times New Roman"/>
          <w:b/>
          <w:sz w:val="24"/>
          <w:szCs w:val="24"/>
        </w:rPr>
        <w:t>ure 2</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 xml:space="preserve">number of leaves per plant </w:t>
      </w:r>
    </w:p>
    <w:p w14:paraId="29D879AC"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Leaf area, which directly correlates with the photosynthetic capacity of the plant, was significantly influenced by the treatment combinations</w:t>
      </w:r>
      <w:r w:rsidR="007072F5">
        <w:rPr>
          <w:rFonts w:ascii="Times New Roman" w:hAnsi="Times New Roman"/>
          <w:sz w:val="24"/>
          <w:szCs w:val="24"/>
        </w:rPr>
        <w:t xml:space="preserve"> as presented in Figure 3</w:t>
      </w:r>
      <w:r w:rsidRPr="009942E1">
        <w:rPr>
          <w:rFonts w:ascii="Times New Roman" w:hAnsi="Times New Roman"/>
          <w:sz w:val="24"/>
          <w:szCs w:val="24"/>
        </w:rPr>
        <w:t>. The largest leaf area was recorded in T7 (1126.00 cm²), followed closely by T4 (1123.70 cm²) and T8 (1102.33 cm²). These treatments led to the development of larger canopy structures, which are essential for effective light interception and photosynthesis. Conversely, T11 had the smallest leaf area (991.67 cm²), reflecting a restricted vegetative growth likely due to nutrient inadequacy.</w:t>
      </w:r>
    </w:p>
    <w:p w14:paraId="70C08B6E"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E75AD9D" wp14:editId="639249AF">
            <wp:extent cx="4572000" cy="2533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B1F3E6" w14:textId="77777777" w:rsidR="007072F5" w:rsidRPr="007072F5" w:rsidRDefault="007072F5" w:rsidP="007072F5">
      <w:pPr>
        <w:spacing w:line="360" w:lineRule="auto"/>
        <w:jc w:val="center"/>
        <w:rPr>
          <w:rFonts w:ascii="Times New Roman" w:hAnsi="Times New Roman"/>
          <w:b/>
          <w:sz w:val="24"/>
          <w:szCs w:val="24"/>
        </w:rPr>
      </w:pPr>
      <w:r w:rsidRPr="007072F5">
        <w:rPr>
          <w:rFonts w:ascii="Times New Roman" w:hAnsi="Times New Roman"/>
          <w:b/>
          <w:sz w:val="24"/>
          <w:szCs w:val="24"/>
        </w:rPr>
        <w:t xml:space="preserve">Figure </w:t>
      </w:r>
      <w:r>
        <w:rPr>
          <w:rFonts w:ascii="Times New Roman" w:hAnsi="Times New Roman"/>
          <w:b/>
          <w:sz w:val="24"/>
          <w:szCs w:val="24"/>
        </w:rPr>
        <w:t>3</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Pr="007072F5">
        <w:rPr>
          <w:rFonts w:ascii="Times New Roman" w:hAnsi="Times New Roman"/>
          <w:b/>
          <w:sz w:val="24"/>
          <w:szCs w:val="24"/>
        </w:rPr>
        <w:t xml:space="preserve"> on </w:t>
      </w:r>
      <w:r>
        <w:rPr>
          <w:rFonts w:ascii="Times New Roman" w:hAnsi="Times New Roman"/>
          <w:b/>
          <w:sz w:val="24"/>
          <w:szCs w:val="24"/>
        </w:rPr>
        <w:t>leaf area of cauliflower</w:t>
      </w:r>
    </w:p>
    <w:p w14:paraId="36E678A0" w14:textId="77777777" w:rsidR="009942E1" w:rsidRP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lastRenderedPageBreak/>
        <w:t>Curd Initiation and Development</w:t>
      </w:r>
    </w:p>
    <w:p w14:paraId="42AE6333"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 xml:space="preserve">The number of days taken for curd initiation was </w:t>
      </w:r>
      <w:r w:rsidR="007072F5">
        <w:rPr>
          <w:rFonts w:ascii="Times New Roman" w:hAnsi="Times New Roman"/>
          <w:sz w:val="24"/>
          <w:szCs w:val="24"/>
        </w:rPr>
        <w:t>significantly</w:t>
      </w:r>
      <w:r w:rsidRPr="009942E1">
        <w:rPr>
          <w:rFonts w:ascii="Times New Roman" w:hAnsi="Times New Roman"/>
          <w:sz w:val="24"/>
          <w:szCs w:val="24"/>
        </w:rPr>
        <w:t xml:space="preserve"> affected by nutrient treatments</w:t>
      </w:r>
      <w:r w:rsidR="007072F5">
        <w:rPr>
          <w:rFonts w:ascii="Times New Roman" w:hAnsi="Times New Roman"/>
          <w:sz w:val="24"/>
          <w:szCs w:val="24"/>
        </w:rPr>
        <w:t xml:space="preserve"> (Figure 4)</w:t>
      </w:r>
      <w:r w:rsidRPr="009942E1">
        <w:rPr>
          <w:rFonts w:ascii="Times New Roman" w:hAnsi="Times New Roman"/>
          <w:sz w:val="24"/>
          <w:szCs w:val="24"/>
        </w:rPr>
        <w:t>. The earliest curd formation was observed in T7 (88.91 days), followed closely by T4 (89.62 days) and T8 (90.61 days). These early curd initiation responses under nano</w:t>
      </w:r>
      <w:r w:rsidR="00E408DB">
        <w:rPr>
          <w:rFonts w:ascii="Times New Roman" w:hAnsi="Times New Roman"/>
          <w:sz w:val="24"/>
          <w:szCs w:val="24"/>
        </w:rPr>
        <w:t>-</w:t>
      </w:r>
      <w:r w:rsidRPr="009942E1">
        <w:rPr>
          <w:rFonts w:ascii="Times New Roman" w:hAnsi="Times New Roman"/>
          <w:sz w:val="24"/>
          <w:szCs w:val="24"/>
        </w:rPr>
        <w:t>fertilizer</w:t>
      </w:r>
      <w:r w:rsidR="00E408DB">
        <w:rPr>
          <w:rFonts w:ascii="Times New Roman" w:hAnsi="Times New Roman"/>
          <w:sz w:val="24"/>
          <w:szCs w:val="24"/>
        </w:rPr>
        <w:t>-</w:t>
      </w:r>
      <w:r w:rsidRPr="009942E1">
        <w:rPr>
          <w:rFonts w:ascii="Times New Roman" w:hAnsi="Times New Roman"/>
          <w:sz w:val="24"/>
          <w:szCs w:val="24"/>
        </w:rPr>
        <w:t>based treatments indicate enhanced physiological efficiency and faster developmental progression in the crop. In comparison, the control treatment T11 showed the most delayed curd initiation (104.72 days), emphasizing the retardation of developmental stages under nutrient</w:t>
      </w:r>
      <w:r w:rsidR="00E408DB">
        <w:rPr>
          <w:rFonts w:ascii="Times New Roman" w:hAnsi="Times New Roman"/>
          <w:sz w:val="24"/>
          <w:szCs w:val="24"/>
        </w:rPr>
        <w:t>-</w:t>
      </w:r>
      <w:r w:rsidRPr="009942E1">
        <w:rPr>
          <w:rFonts w:ascii="Times New Roman" w:hAnsi="Times New Roman"/>
          <w:sz w:val="24"/>
          <w:szCs w:val="24"/>
        </w:rPr>
        <w:t>limited conditions.</w:t>
      </w:r>
    </w:p>
    <w:p w14:paraId="37206389"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7E219CC1" wp14:editId="6A87A4A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974799" w14:textId="77777777" w:rsidR="007072F5"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w:t>
      </w:r>
      <w:r>
        <w:rPr>
          <w:rFonts w:ascii="Times New Roman" w:hAnsi="Times New Roman"/>
          <w:b/>
          <w:sz w:val="24"/>
          <w:szCs w:val="24"/>
        </w:rPr>
        <w:t>4</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Pr>
          <w:rFonts w:ascii="Times New Roman" w:hAnsi="Times New Roman"/>
          <w:b/>
          <w:sz w:val="24"/>
          <w:szCs w:val="24"/>
        </w:rPr>
        <w:t xml:space="preserve"> on </w:t>
      </w:r>
      <w:r>
        <w:rPr>
          <w:rFonts w:ascii="Times New Roman" w:hAnsi="Times New Roman"/>
          <w:b/>
          <w:sz w:val="24"/>
          <w:szCs w:val="24"/>
        </w:rPr>
        <w:t>days to curd initiation of cauliflower</w:t>
      </w:r>
    </w:p>
    <w:p w14:paraId="76A2A7B3"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The curd size, measured in terms of polar and equatorial diameters, also exhibited significant improvements in response to fertilizer treatments</w:t>
      </w:r>
      <w:r w:rsidR="007072F5">
        <w:rPr>
          <w:rFonts w:ascii="Times New Roman" w:hAnsi="Times New Roman"/>
          <w:sz w:val="24"/>
          <w:szCs w:val="24"/>
        </w:rPr>
        <w:t xml:space="preserve"> (Figure 5)</w:t>
      </w:r>
      <w:r w:rsidRPr="009942E1">
        <w:rPr>
          <w:rFonts w:ascii="Times New Roman" w:hAnsi="Times New Roman"/>
          <w:sz w:val="24"/>
          <w:szCs w:val="24"/>
        </w:rPr>
        <w:t>. The largest polar curd diameter was recorded in T7 (13.50 cm), followed by T4 (13.26 cm) and T8 (12.79 cm). Similarly, the equatorial diameter was also highest under T7 (15.06 cm), with T4 (14.96 cm) and T8 (14.79 cm) showing comparable results. These increases in curd dimensions are indicative of enhanced cellular expansion and curd compactness under nano</w:t>
      </w:r>
      <w:r w:rsidR="00E408DB">
        <w:rPr>
          <w:rFonts w:ascii="Times New Roman" w:hAnsi="Times New Roman"/>
          <w:sz w:val="24"/>
          <w:szCs w:val="24"/>
        </w:rPr>
        <w:t>-</w:t>
      </w:r>
      <w:r w:rsidRPr="009942E1">
        <w:rPr>
          <w:rFonts w:ascii="Times New Roman" w:hAnsi="Times New Roman"/>
          <w:sz w:val="24"/>
          <w:szCs w:val="24"/>
        </w:rPr>
        <w:t>fertilizer treatments. The smallest polar and equatorial diameters were recorded in T11 (6.70 cm and 9.04 cm, respectively), again illustrating the detrimental effect of nutrient deficiency on curd development.</w:t>
      </w:r>
    </w:p>
    <w:p w14:paraId="59086640" w14:textId="77777777" w:rsidR="002A124A" w:rsidRPr="009942E1" w:rsidRDefault="002A124A" w:rsidP="002A124A">
      <w:pPr>
        <w:spacing w:line="360" w:lineRule="auto"/>
        <w:jc w:val="center"/>
        <w:rPr>
          <w:rFonts w:ascii="Times New Roman" w:hAnsi="Times New Roman"/>
          <w:sz w:val="24"/>
          <w:szCs w:val="24"/>
        </w:rPr>
      </w:pPr>
      <w:r>
        <w:rPr>
          <w:noProof/>
          <w:lang w:eastAsia="en-IN"/>
        </w:rPr>
        <w:lastRenderedPageBreak/>
        <w:drawing>
          <wp:inline distT="0" distB="0" distL="0" distR="0" wp14:anchorId="70C577C2" wp14:editId="6290316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479891"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Fig</w:t>
      </w:r>
      <w:r>
        <w:rPr>
          <w:rFonts w:ascii="Times New Roman" w:hAnsi="Times New Roman"/>
          <w:b/>
          <w:sz w:val="24"/>
          <w:szCs w:val="24"/>
        </w:rPr>
        <w:t>ure 5</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 xml:space="preserve">curd diameter of cauliflower </w:t>
      </w:r>
    </w:p>
    <w:p w14:paraId="7FB4BB0E" w14:textId="77777777" w:rsidR="009942E1" w:rsidRP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Curd Weight and Yield</w:t>
      </w:r>
    </w:p>
    <w:p w14:paraId="5378F3C2"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Both gross and net curd weights demonstrated significant enhancement due to fertilizer application</w:t>
      </w:r>
      <w:r w:rsidR="007072F5">
        <w:rPr>
          <w:rFonts w:ascii="Times New Roman" w:hAnsi="Times New Roman"/>
          <w:sz w:val="24"/>
          <w:szCs w:val="24"/>
        </w:rPr>
        <w:t xml:space="preserve"> (Figure 6)</w:t>
      </w:r>
      <w:r w:rsidRPr="009942E1">
        <w:rPr>
          <w:rFonts w:ascii="Times New Roman" w:hAnsi="Times New Roman"/>
          <w:sz w:val="24"/>
          <w:szCs w:val="24"/>
        </w:rPr>
        <w:t>. Treatment T7 resulted in the highest gross curd weight (1341.81 g) and net curd weight (809.56 g), closely followed by T4 (1325.85 g gross, 791.81 g net) and T8 (1287.48 g gross, 776.55 g net). These results confirm that the integration of nano</w:t>
      </w:r>
      <w:r w:rsidR="00E408DB">
        <w:rPr>
          <w:rFonts w:ascii="Times New Roman" w:hAnsi="Times New Roman"/>
          <w:sz w:val="24"/>
          <w:szCs w:val="24"/>
        </w:rPr>
        <w:t>-</w:t>
      </w:r>
      <w:r w:rsidRPr="009942E1">
        <w:rPr>
          <w:rFonts w:ascii="Times New Roman" w:hAnsi="Times New Roman"/>
          <w:sz w:val="24"/>
          <w:szCs w:val="24"/>
        </w:rPr>
        <w:t>fertilizers led to increased biomass accumulation and better curd filling. On the other hand, the lowest gross and net weights were observed under control T11 (960.91 g and 453.43 g, respectively), underscoring the poor curd development in the absence of nutrient supplementation.</w:t>
      </w:r>
    </w:p>
    <w:p w14:paraId="622C3410"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0C52ECA" wp14:editId="37A0CF7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D63ACE"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w:t>
      </w:r>
      <w:r>
        <w:rPr>
          <w:rFonts w:ascii="Times New Roman" w:hAnsi="Times New Roman"/>
          <w:b/>
          <w:sz w:val="24"/>
          <w:szCs w:val="24"/>
        </w:rPr>
        <w:t>6</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curd weight of cauliflower</w:t>
      </w:r>
    </w:p>
    <w:p w14:paraId="399AC761" w14:textId="77777777" w:rsidR="00CB6811" w:rsidRDefault="009942E1" w:rsidP="009942E1">
      <w:pPr>
        <w:spacing w:line="360" w:lineRule="auto"/>
        <w:jc w:val="both"/>
        <w:rPr>
          <w:rFonts w:ascii="Times New Roman" w:hAnsi="Times New Roman"/>
          <w:sz w:val="24"/>
          <w:szCs w:val="24"/>
        </w:rPr>
      </w:pPr>
      <w:r w:rsidRPr="00CB6811">
        <w:rPr>
          <w:rFonts w:ascii="Times New Roman" w:hAnsi="Times New Roman"/>
          <w:b/>
          <w:sz w:val="24"/>
          <w:szCs w:val="24"/>
        </w:rPr>
        <w:lastRenderedPageBreak/>
        <w:t>Yield</w:t>
      </w:r>
      <w:r w:rsidRPr="009942E1">
        <w:rPr>
          <w:rFonts w:ascii="Times New Roman" w:hAnsi="Times New Roman"/>
          <w:sz w:val="24"/>
          <w:szCs w:val="24"/>
        </w:rPr>
        <w:t xml:space="preserve"> </w:t>
      </w:r>
    </w:p>
    <w:p w14:paraId="01DFA637" w14:textId="77777777" w:rsidR="009942E1" w:rsidRPr="009942E1" w:rsidRDefault="00CB6811" w:rsidP="009942E1">
      <w:pPr>
        <w:spacing w:line="360" w:lineRule="auto"/>
        <w:jc w:val="both"/>
        <w:rPr>
          <w:rFonts w:ascii="Times New Roman" w:hAnsi="Times New Roman"/>
          <w:sz w:val="24"/>
          <w:szCs w:val="24"/>
        </w:rPr>
      </w:pPr>
      <w:commentRangeStart w:id="10"/>
      <w:r w:rsidRPr="00CB6811">
        <w:rPr>
          <w:rFonts w:ascii="Times New Roman" w:hAnsi="Times New Roman"/>
          <w:sz w:val="24"/>
          <w:szCs w:val="24"/>
        </w:rPr>
        <w:t>The yield of cauliflower was significantly influenced by different nutrient treatment combinations (Figure 7). The maximum yield was recorded in T7 (291.28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w:t>
      </w:r>
      <w:commentRangeEnd w:id="10"/>
      <w:r w:rsidR="0054365C">
        <w:rPr>
          <w:rStyle w:val="CommentReference"/>
          <w:rtl/>
        </w:rPr>
        <w:commentReference w:id="10"/>
      </w:r>
      <w:r w:rsidRPr="00CB6811">
        <w:rPr>
          <w:rFonts w:ascii="Times New Roman" w:hAnsi="Times New Roman"/>
          <w:sz w:val="24"/>
          <w:szCs w:val="24"/>
        </w:rPr>
        <w:t>, which was statistical</w:t>
      </w:r>
      <w:r>
        <w:rPr>
          <w:rFonts w:ascii="Times New Roman" w:hAnsi="Times New Roman"/>
          <w:sz w:val="24"/>
          <w:szCs w:val="24"/>
        </w:rPr>
        <w:t>ly at par with T4 (280.76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 and T8 (276.70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w:t>
      </w:r>
      <w:r>
        <w:rPr>
          <w:rFonts w:ascii="Times New Roman" w:hAnsi="Times New Roman"/>
          <w:sz w:val="24"/>
          <w:szCs w:val="24"/>
        </w:rPr>
        <w:t>.</w:t>
      </w:r>
      <w:r w:rsidRPr="00CB6811">
        <w:rPr>
          <w:rFonts w:ascii="Times New Roman" w:hAnsi="Times New Roman"/>
          <w:sz w:val="24"/>
          <w:szCs w:val="24"/>
        </w:rPr>
        <w:t xml:space="preserve"> In contrast, the lowest yield was observed in the control treatment T11 (167.14 q ha⁻¹), reflecting the adverse effects of nutrient deficiency on crop productivity.</w:t>
      </w:r>
    </w:p>
    <w:p w14:paraId="7BF83483" w14:textId="77777777" w:rsidR="009942E1"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2F436757" wp14:editId="47E0320C">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03900E" w14:textId="77777777" w:rsidR="007072F5" w:rsidRDefault="007072F5" w:rsidP="007072F5">
      <w:pPr>
        <w:spacing w:line="360" w:lineRule="auto"/>
        <w:jc w:val="center"/>
        <w:rPr>
          <w:rFonts w:ascii="Times New Roman" w:hAnsi="Times New Roman"/>
          <w:b/>
          <w:sz w:val="24"/>
          <w:szCs w:val="24"/>
        </w:rPr>
      </w:pPr>
      <w:r w:rsidRPr="007072F5">
        <w:rPr>
          <w:rFonts w:ascii="Times New Roman" w:hAnsi="Times New Roman"/>
          <w:b/>
          <w:sz w:val="24"/>
          <w:szCs w:val="24"/>
        </w:rPr>
        <w:t xml:space="preserve">Figure </w:t>
      </w:r>
      <w:r>
        <w:rPr>
          <w:rFonts w:ascii="Times New Roman" w:hAnsi="Times New Roman"/>
          <w:b/>
          <w:sz w:val="24"/>
          <w:szCs w:val="24"/>
        </w:rPr>
        <w:t>7</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yield of cauliflower</w:t>
      </w:r>
    </w:p>
    <w:p w14:paraId="2FBA73C8" w14:textId="77777777" w:rsidR="009942E1" w:rsidRDefault="009942E1" w:rsidP="007072F5">
      <w:pPr>
        <w:spacing w:line="360" w:lineRule="auto"/>
        <w:jc w:val="both"/>
        <w:rPr>
          <w:rFonts w:ascii="Times New Roman" w:hAnsi="Times New Roman"/>
          <w:sz w:val="24"/>
          <w:szCs w:val="24"/>
        </w:rPr>
      </w:pPr>
      <w:r w:rsidRPr="009942E1">
        <w:rPr>
          <w:rFonts w:ascii="Times New Roman" w:hAnsi="Times New Roman"/>
          <w:sz w:val="24"/>
          <w:szCs w:val="24"/>
        </w:rPr>
        <w:t xml:space="preserve">The results from </w:t>
      </w:r>
      <w:r w:rsidR="007072F5">
        <w:rPr>
          <w:rFonts w:ascii="Times New Roman" w:hAnsi="Times New Roman"/>
          <w:sz w:val="24"/>
          <w:szCs w:val="24"/>
        </w:rPr>
        <w:t>the study</w:t>
      </w:r>
      <w:r w:rsidRPr="009942E1">
        <w:rPr>
          <w:rFonts w:ascii="Times New Roman" w:hAnsi="Times New Roman"/>
          <w:sz w:val="24"/>
          <w:szCs w:val="24"/>
        </w:rPr>
        <w:t xml:space="preserve"> clearly indicate that the application of nano</w:t>
      </w:r>
      <w:r w:rsidR="00E408DB">
        <w:rPr>
          <w:rFonts w:ascii="Times New Roman" w:hAnsi="Times New Roman"/>
          <w:sz w:val="24"/>
          <w:szCs w:val="24"/>
        </w:rPr>
        <w:t>-</w:t>
      </w:r>
      <w:r w:rsidRPr="009942E1">
        <w:rPr>
          <w:rFonts w:ascii="Times New Roman" w:hAnsi="Times New Roman"/>
          <w:sz w:val="24"/>
          <w:szCs w:val="24"/>
        </w:rPr>
        <w:t>fertilizers, particularly in treatment T7, significantly improved all growth and yield parameters of cauliflower. This treatment consistently outperformed others across plant height, leaf area, curd initiation, curd size, curd weight, and total yield. The study highlights the potential of nano</w:t>
      </w:r>
      <w:r w:rsidR="00E408DB">
        <w:rPr>
          <w:rFonts w:ascii="Times New Roman" w:hAnsi="Times New Roman"/>
          <w:sz w:val="24"/>
          <w:szCs w:val="24"/>
        </w:rPr>
        <w:t>-</w:t>
      </w:r>
      <w:r w:rsidRPr="009942E1">
        <w:rPr>
          <w:rFonts w:ascii="Times New Roman" w:hAnsi="Times New Roman"/>
          <w:sz w:val="24"/>
          <w:szCs w:val="24"/>
        </w:rPr>
        <w:t>fertilizers in improving nutrient efficiency and productivity, thereby offering a sustainable alternative to conventional fertilization practices.</w:t>
      </w:r>
    </w:p>
    <w:p w14:paraId="1EF87B87" w14:textId="77777777" w:rsidR="009942E1" w:rsidRPr="00421274" w:rsidRDefault="009942E1" w:rsidP="004B4CDD">
      <w:pPr>
        <w:spacing w:line="360" w:lineRule="auto"/>
        <w:jc w:val="both"/>
        <w:rPr>
          <w:rFonts w:ascii="Times New Roman" w:hAnsi="Times New Roman"/>
          <w:b/>
          <w:sz w:val="24"/>
          <w:szCs w:val="24"/>
        </w:rPr>
      </w:pPr>
      <w:r w:rsidRPr="00421274">
        <w:rPr>
          <w:rFonts w:ascii="Times New Roman" w:hAnsi="Times New Roman"/>
          <w:b/>
          <w:sz w:val="24"/>
          <w:szCs w:val="24"/>
        </w:rPr>
        <w:t>DISCUSSION</w:t>
      </w:r>
    </w:p>
    <w:p w14:paraId="3DA7A28A"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present study clearly demonstrates that the integrated application of nano</w:t>
      </w:r>
      <w:r w:rsidR="00E408DB">
        <w:rPr>
          <w:rFonts w:ascii="Times New Roman" w:hAnsi="Times New Roman"/>
          <w:sz w:val="24"/>
          <w:szCs w:val="24"/>
        </w:rPr>
        <w:t>-</w:t>
      </w:r>
      <w:r w:rsidRPr="00A55687">
        <w:rPr>
          <w:rFonts w:ascii="Times New Roman" w:hAnsi="Times New Roman"/>
          <w:sz w:val="24"/>
          <w:szCs w:val="24"/>
        </w:rPr>
        <w:t xml:space="preserve">NPK fertilizers along with the recommended dose of conventional fertilizers (RDF) significantly enhances the growth, physiological efficiency, yield, and quality parameters of cauliflower. </w:t>
      </w:r>
      <w:commentRangeStart w:id="11"/>
      <w:r w:rsidRPr="00A55687">
        <w:rPr>
          <w:rFonts w:ascii="Times New Roman" w:hAnsi="Times New Roman"/>
          <w:sz w:val="24"/>
          <w:szCs w:val="24"/>
        </w:rPr>
        <w:t>These improvements are largely attributed to the unique properties of nano</w:t>
      </w:r>
      <w:r w:rsidR="00E408DB">
        <w:rPr>
          <w:rFonts w:ascii="Times New Roman" w:hAnsi="Times New Roman"/>
          <w:sz w:val="24"/>
          <w:szCs w:val="24"/>
        </w:rPr>
        <w:t>-</w:t>
      </w:r>
      <w:r w:rsidRPr="00A55687">
        <w:rPr>
          <w:rFonts w:ascii="Times New Roman" w:hAnsi="Times New Roman"/>
          <w:sz w:val="24"/>
          <w:szCs w:val="24"/>
        </w:rPr>
        <w:t>fertilizers, particularly their high surface area, greater solubility, and targeted nutrient delivery mechanisms</w:t>
      </w:r>
      <w:commentRangeEnd w:id="11"/>
      <w:r w:rsidR="008D2643">
        <w:rPr>
          <w:rStyle w:val="CommentReference"/>
          <w:rtl/>
        </w:rPr>
        <w:commentReference w:id="11"/>
      </w:r>
      <w:r w:rsidRPr="00A55687">
        <w:rPr>
          <w:rFonts w:ascii="Times New Roman" w:hAnsi="Times New Roman"/>
          <w:sz w:val="24"/>
          <w:szCs w:val="24"/>
        </w:rPr>
        <w:t>.</w:t>
      </w:r>
    </w:p>
    <w:p w14:paraId="63136052" w14:textId="77777777" w:rsid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lastRenderedPageBreak/>
        <w:t>One of the most notable vegetative responses observed in the current study was the significant increase in the number of leaves per plant under nano</w:t>
      </w:r>
      <w:r w:rsidR="00E408DB">
        <w:rPr>
          <w:rFonts w:ascii="Times New Roman" w:hAnsi="Times New Roman"/>
          <w:sz w:val="24"/>
          <w:szCs w:val="24"/>
        </w:rPr>
        <w:t>-</w:t>
      </w:r>
      <w:r w:rsidRPr="00A55687">
        <w:rPr>
          <w:rFonts w:ascii="Times New Roman" w:hAnsi="Times New Roman"/>
          <w:sz w:val="24"/>
          <w:szCs w:val="24"/>
        </w:rPr>
        <w:t>NPK treatments, especially when combined with RDF. This enhancement can be primarily attributed to the increased availability and efficient uptake of nitrogen (N)</w:t>
      </w:r>
      <w:r>
        <w:rPr>
          <w:rFonts w:ascii="Times New Roman" w:hAnsi="Times New Roman"/>
          <w:sz w:val="24"/>
          <w:szCs w:val="24"/>
        </w:rPr>
        <w:t xml:space="preserve">, </w:t>
      </w:r>
      <w:r w:rsidRPr="00A55687">
        <w:rPr>
          <w:rFonts w:ascii="Times New Roman" w:hAnsi="Times New Roman"/>
          <w:sz w:val="24"/>
          <w:szCs w:val="24"/>
        </w:rPr>
        <w:t>a key macronutrient responsible for chlorophyll synthesis, protein formation, and vigorous vegetative growth. As supported by Amanullah et al. (2014), nitrogen promotes chlorophyll content and photosynthetic efficiency, which in turn enhances cell division and leaf proliferation. The foliar application of nano</w:t>
      </w:r>
      <w:r w:rsidR="00E408DB">
        <w:rPr>
          <w:rFonts w:ascii="Times New Roman" w:hAnsi="Times New Roman"/>
          <w:sz w:val="24"/>
          <w:szCs w:val="24"/>
        </w:rPr>
        <w:t>-</w:t>
      </w:r>
      <w:r w:rsidRPr="00A55687">
        <w:rPr>
          <w:rFonts w:ascii="Times New Roman" w:hAnsi="Times New Roman"/>
          <w:sz w:val="24"/>
          <w:szCs w:val="24"/>
        </w:rPr>
        <w:t xml:space="preserve">NPK ensures a sustained and continuous nutrient supply during the early vegetative stages, leading to a denser and more efficient canopy structure. </w:t>
      </w:r>
      <w:commentRangeStart w:id="12"/>
      <w:r w:rsidRPr="00A55687">
        <w:rPr>
          <w:rFonts w:ascii="Times New Roman" w:hAnsi="Times New Roman"/>
          <w:sz w:val="24"/>
          <w:szCs w:val="24"/>
        </w:rPr>
        <w:t>This finding is consistent with previous research by Abdel</w:t>
      </w:r>
      <w:r w:rsidR="00E408DB">
        <w:rPr>
          <w:rFonts w:ascii="Times New Roman" w:hAnsi="Times New Roman"/>
          <w:sz w:val="24"/>
          <w:szCs w:val="24"/>
        </w:rPr>
        <w:t>-</w:t>
      </w:r>
      <w:r w:rsidRPr="00A55687">
        <w:rPr>
          <w:rFonts w:ascii="Times New Roman" w:hAnsi="Times New Roman"/>
          <w:sz w:val="24"/>
          <w:szCs w:val="24"/>
        </w:rPr>
        <w:t>Aziz et al. (2016), El</w:t>
      </w:r>
      <w:r w:rsidR="00E408DB">
        <w:rPr>
          <w:rFonts w:ascii="Times New Roman" w:hAnsi="Times New Roman"/>
          <w:sz w:val="24"/>
          <w:szCs w:val="24"/>
        </w:rPr>
        <w:t>-</w:t>
      </w:r>
      <w:proofErr w:type="spellStart"/>
      <w:r w:rsidRPr="00A55687">
        <w:rPr>
          <w:rFonts w:ascii="Times New Roman" w:hAnsi="Times New Roman"/>
          <w:sz w:val="24"/>
          <w:szCs w:val="24"/>
        </w:rPr>
        <w:t>Henawy</w:t>
      </w:r>
      <w:proofErr w:type="spellEnd"/>
      <w:r w:rsidRPr="00A55687">
        <w:rPr>
          <w:rFonts w:ascii="Times New Roman" w:hAnsi="Times New Roman"/>
          <w:sz w:val="24"/>
          <w:szCs w:val="24"/>
        </w:rPr>
        <w:t xml:space="preserve"> et al. (2018), Panda et al. (2020), Abdelkader et al. (2024), and Rahman et al. (2021b)</w:t>
      </w:r>
      <w:commentRangeEnd w:id="12"/>
      <w:r w:rsidR="0054365C">
        <w:rPr>
          <w:rStyle w:val="CommentReference"/>
          <w:rtl/>
        </w:rPr>
        <w:commentReference w:id="12"/>
      </w:r>
      <w:r w:rsidRPr="00A55687">
        <w:rPr>
          <w:rFonts w:ascii="Times New Roman" w:hAnsi="Times New Roman"/>
          <w:sz w:val="24"/>
          <w:szCs w:val="24"/>
        </w:rPr>
        <w:t>, who also reported a significant increase in leaf number in response to nano</w:t>
      </w:r>
      <w:r w:rsidR="00E408DB">
        <w:rPr>
          <w:rFonts w:ascii="Times New Roman" w:hAnsi="Times New Roman"/>
          <w:sz w:val="24"/>
          <w:szCs w:val="24"/>
        </w:rPr>
        <w:t>-</w:t>
      </w:r>
      <w:r w:rsidRPr="00A55687">
        <w:rPr>
          <w:rFonts w:ascii="Times New Roman" w:hAnsi="Times New Roman"/>
          <w:sz w:val="24"/>
          <w:szCs w:val="24"/>
        </w:rPr>
        <w:t>fertilizer application.</w:t>
      </w:r>
    </w:p>
    <w:p w14:paraId="796321F9"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reduction in the number of days required for curd initiation observed in the study under nano</w:t>
      </w:r>
      <w:r w:rsidR="00E408DB">
        <w:rPr>
          <w:rFonts w:ascii="Times New Roman" w:hAnsi="Times New Roman"/>
          <w:sz w:val="24"/>
          <w:szCs w:val="24"/>
        </w:rPr>
        <w:t>-</w:t>
      </w:r>
      <w:r w:rsidRPr="00A55687">
        <w:rPr>
          <w:rFonts w:ascii="Times New Roman" w:hAnsi="Times New Roman"/>
          <w:sz w:val="24"/>
          <w:szCs w:val="24"/>
        </w:rPr>
        <w:t>NPK treatments is another significant outcome. This early initiation is likely the result of precise and timely delivery of critical nutrients, particularly phosphorus (P) and potassium (K). Phosphorus is involved in energy transfer and root development, while potassium plays a role in enzyme activation and water regulation. Together, they promote faster physiological and reproductive transitions, leading to early curd development (Amanullah et al., 2014; Abdel</w:t>
      </w:r>
      <w:r w:rsidR="00E408DB">
        <w:rPr>
          <w:rFonts w:ascii="Times New Roman" w:hAnsi="Times New Roman"/>
          <w:sz w:val="24"/>
          <w:szCs w:val="24"/>
        </w:rPr>
        <w:t>-</w:t>
      </w:r>
      <w:r w:rsidRPr="00A55687">
        <w:rPr>
          <w:rFonts w:ascii="Times New Roman" w:hAnsi="Times New Roman"/>
          <w:sz w:val="24"/>
          <w:szCs w:val="24"/>
        </w:rPr>
        <w:t>Aziz et al., 2016). The findings align with those of Pooja et al. (2022) and Salman and Razzaq (2022), who reported similar outcomes in broccoli with the application of nano</w:t>
      </w:r>
      <w:r w:rsidR="00E408DB">
        <w:rPr>
          <w:rFonts w:ascii="Times New Roman" w:hAnsi="Times New Roman"/>
          <w:sz w:val="24"/>
          <w:szCs w:val="24"/>
        </w:rPr>
        <w:t>-</w:t>
      </w:r>
      <w:r w:rsidRPr="00A55687">
        <w:rPr>
          <w:rFonts w:ascii="Times New Roman" w:hAnsi="Times New Roman"/>
          <w:sz w:val="24"/>
          <w:szCs w:val="24"/>
        </w:rPr>
        <w:t>fertilizers.</w:t>
      </w:r>
    </w:p>
    <w:p w14:paraId="6B1B34C8"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Cauliflower curd </w:t>
      </w:r>
      <w:commentRangeStart w:id="13"/>
      <w:r w:rsidRPr="00A55687">
        <w:rPr>
          <w:rFonts w:ascii="Times New Roman" w:hAnsi="Times New Roman"/>
          <w:sz w:val="24"/>
          <w:szCs w:val="24"/>
        </w:rPr>
        <w:t>size</w:t>
      </w:r>
      <w:r w:rsidR="00E408DB">
        <w:rPr>
          <w:rFonts w:ascii="Times New Roman" w:hAnsi="Times New Roman"/>
          <w:sz w:val="24"/>
          <w:szCs w:val="24"/>
        </w:rPr>
        <w:t>-</w:t>
      </w:r>
      <w:r w:rsidRPr="00A55687">
        <w:rPr>
          <w:rFonts w:ascii="Times New Roman" w:hAnsi="Times New Roman"/>
          <w:sz w:val="24"/>
          <w:szCs w:val="24"/>
        </w:rPr>
        <w:t>evaluated through polar and equatorial diameters</w:t>
      </w:r>
      <w:r w:rsidR="00E408DB">
        <w:rPr>
          <w:rFonts w:ascii="Times New Roman" w:hAnsi="Times New Roman"/>
          <w:sz w:val="24"/>
          <w:szCs w:val="24"/>
        </w:rPr>
        <w:t>-</w:t>
      </w:r>
      <w:r w:rsidRPr="00A55687">
        <w:rPr>
          <w:rFonts w:ascii="Times New Roman" w:hAnsi="Times New Roman"/>
          <w:sz w:val="24"/>
          <w:szCs w:val="24"/>
        </w:rPr>
        <w:t xml:space="preserve">showed </w:t>
      </w:r>
      <w:commentRangeEnd w:id="13"/>
      <w:r w:rsidR="008D2643">
        <w:rPr>
          <w:rStyle w:val="CommentReference"/>
          <w:rtl/>
        </w:rPr>
        <w:commentReference w:id="13"/>
      </w:r>
      <w:r w:rsidRPr="00A55687">
        <w:rPr>
          <w:rFonts w:ascii="Times New Roman" w:hAnsi="Times New Roman"/>
          <w:sz w:val="24"/>
          <w:szCs w:val="24"/>
        </w:rPr>
        <w:t>a marked improvement under nano</w:t>
      </w:r>
      <w:r w:rsidR="00E408DB">
        <w:rPr>
          <w:rFonts w:ascii="Times New Roman" w:hAnsi="Times New Roman"/>
          <w:sz w:val="24"/>
          <w:szCs w:val="24"/>
        </w:rPr>
        <w:t>-</w:t>
      </w:r>
      <w:r w:rsidRPr="00A55687">
        <w:rPr>
          <w:rFonts w:ascii="Times New Roman" w:hAnsi="Times New Roman"/>
          <w:sz w:val="24"/>
          <w:szCs w:val="24"/>
        </w:rPr>
        <w:t>NPK treatments. The controlled release and high nutrient</w:t>
      </w:r>
      <w:r w:rsidR="00E408DB">
        <w:rPr>
          <w:rFonts w:ascii="Times New Roman" w:hAnsi="Times New Roman"/>
          <w:sz w:val="24"/>
          <w:szCs w:val="24"/>
        </w:rPr>
        <w:t>-</w:t>
      </w:r>
      <w:r w:rsidRPr="00A55687">
        <w:rPr>
          <w:rFonts w:ascii="Times New Roman" w:hAnsi="Times New Roman"/>
          <w:sz w:val="24"/>
          <w:szCs w:val="24"/>
        </w:rPr>
        <w:t>use efficiency provided by nano</w:t>
      </w:r>
      <w:r w:rsidR="00E408DB">
        <w:rPr>
          <w:rFonts w:ascii="Times New Roman" w:hAnsi="Times New Roman"/>
          <w:sz w:val="24"/>
          <w:szCs w:val="24"/>
        </w:rPr>
        <w:t>-</w:t>
      </w:r>
      <w:r w:rsidRPr="00A55687">
        <w:rPr>
          <w:rFonts w:ascii="Times New Roman" w:hAnsi="Times New Roman"/>
          <w:sz w:val="24"/>
          <w:szCs w:val="24"/>
        </w:rPr>
        <w:t>NPK ensures a sustained supply of essential nutrients during the curd development phase. Nitrogen supports vegetative growth and photosynthate production, while potassium maintains turgor pressure and regulates stomatal function, enabling cell expansion and curd enlargement. Phosphorus, in turn, enhances metabolic energy transfer, contributing to rapid tissue differentiation and c</w:t>
      </w:r>
      <w:r w:rsidR="00C65901">
        <w:rPr>
          <w:rFonts w:ascii="Times New Roman" w:hAnsi="Times New Roman"/>
          <w:sz w:val="24"/>
          <w:szCs w:val="24"/>
        </w:rPr>
        <w:t>urd growth (Tarafdar et al., 2014</w:t>
      </w:r>
      <w:r w:rsidRPr="00A55687">
        <w:rPr>
          <w:rFonts w:ascii="Times New Roman" w:hAnsi="Times New Roman"/>
          <w:sz w:val="24"/>
          <w:szCs w:val="24"/>
        </w:rPr>
        <w:t xml:space="preserve">; Upadhyaya et al., 2017; </w:t>
      </w:r>
      <w:proofErr w:type="spellStart"/>
      <w:r w:rsidRPr="00A55687">
        <w:rPr>
          <w:rFonts w:ascii="Times New Roman" w:hAnsi="Times New Roman"/>
          <w:sz w:val="24"/>
          <w:szCs w:val="24"/>
        </w:rPr>
        <w:t>Sohair</w:t>
      </w:r>
      <w:proofErr w:type="spellEnd"/>
      <w:r w:rsidRPr="00A55687">
        <w:rPr>
          <w:rFonts w:ascii="Times New Roman" w:hAnsi="Times New Roman"/>
          <w:sz w:val="24"/>
          <w:szCs w:val="24"/>
        </w:rPr>
        <w:t xml:space="preserve"> et al., 2018). These mechanisms culminate in larger, more compact, and market</w:t>
      </w:r>
      <w:r w:rsidR="00E408DB">
        <w:rPr>
          <w:rFonts w:ascii="Times New Roman" w:hAnsi="Times New Roman"/>
          <w:sz w:val="24"/>
          <w:szCs w:val="24"/>
        </w:rPr>
        <w:t>-</w:t>
      </w:r>
      <w:r w:rsidRPr="00A55687">
        <w:rPr>
          <w:rFonts w:ascii="Times New Roman" w:hAnsi="Times New Roman"/>
          <w:sz w:val="24"/>
          <w:szCs w:val="24"/>
        </w:rPr>
        <w:t xml:space="preserve">preferred curds. The results of this study corroborate earlier findings by Ibraheem et al. (2021), </w:t>
      </w:r>
      <w:proofErr w:type="spellStart"/>
      <w:r w:rsidRPr="00A55687">
        <w:rPr>
          <w:rFonts w:ascii="Times New Roman" w:hAnsi="Times New Roman"/>
          <w:sz w:val="24"/>
          <w:szCs w:val="24"/>
        </w:rPr>
        <w:t>Durgude</w:t>
      </w:r>
      <w:proofErr w:type="spellEnd"/>
      <w:r w:rsidRPr="00A55687">
        <w:rPr>
          <w:rFonts w:ascii="Times New Roman" w:hAnsi="Times New Roman"/>
          <w:sz w:val="24"/>
          <w:szCs w:val="24"/>
        </w:rPr>
        <w:t xml:space="preserve"> et al. (2022), Pooja et al. (2022), and Kumar et al. (2023), who observed similar improvements in curd dimensions in response to nano</w:t>
      </w:r>
      <w:r w:rsidR="00E408DB">
        <w:rPr>
          <w:rFonts w:ascii="Times New Roman" w:hAnsi="Times New Roman"/>
          <w:sz w:val="24"/>
          <w:szCs w:val="24"/>
        </w:rPr>
        <w:t>-</w:t>
      </w:r>
      <w:r w:rsidRPr="00A55687">
        <w:rPr>
          <w:rFonts w:ascii="Times New Roman" w:hAnsi="Times New Roman"/>
          <w:sz w:val="24"/>
          <w:szCs w:val="24"/>
        </w:rPr>
        <w:t>fertilizer application.</w:t>
      </w:r>
    </w:p>
    <w:p w14:paraId="0DC4C915"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lastRenderedPageBreak/>
        <w:t>The application of nano</w:t>
      </w:r>
      <w:r w:rsidR="00E408DB">
        <w:rPr>
          <w:rFonts w:ascii="Times New Roman" w:hAnsi="Times New Roman"/>
          <w:sz w:val="24"/>
          <w:szCs w:val="24"/>
        </w:rPr>
        <w:t>-</w:t>
      </w:r>
      <w:r w:rsidRPr="00A55687">
        <w:rPr>
          <w:rFonts w:ascii="Times New Roman" w:hAnsi="Times New Roman"/>
          <w:sz w:val="24"/>
          <w:szCs w:val="24"/>
        </w:rPr>
        <w:t>NPK in combination with RDF also led to a significant increase in both gross and net curd weight, a crucial determinant of cauliflower yield and market value. This improvement stems from improved nutrient absorption, translocation, and assimilation resulting from the nano</w:t>
      </w:r>
      <w:r w:rsidR="00E408DB">
        <w:rPr>
          <w:rFonts w:ascii="Times New Roman" w:hAnsi="Times New Roman"/>
          <w:sz w:val="24"/>
          <w:szCs w:val="24"/>
        </w:rPr>
        <w:t>-</w:t>
      </w:r>
      <w:r w:rsidRPr="00A55687">
        <w:rPr>
          <w:rFonts w:ascii="Times New Roman" w:hAnsi="Times New Roman"/>
          <w:sz w:val="24"/>
          <w:szCs w:val="24"/>
        </w:rPr>
        <w:t>formulation’s ability to penetrate plant tissues efficiently—especially via stomata and cuticular pathways. The quick absorption and systemic movement of nutrients ensures that photosynthates are preferentially directed toward curd development, enhancing both structural and biochemical components (</w:t>
      </w:r>
      <w:proofErr w:type="spellStart"/>
      <w:r w:rsidRPr="00A55687">
        <w:rPr>
          <w:rFonts w:ascii="Times New Roman" w:hAnsi="Times New Roman"/>
          <w:sz w:val="24"/>
          <w:szCs w:val="24"/>
        </w:rPr>
        <w:t>Elemike</w:t>
      </w:r>
      <w:proofErr w:type="spellEnd"/>
      <w:r w:rsidRPr="00A55687">
        <w:rPr>
          <w:rFonts w:ascii="Times New Roman" w:hAnsi="Times New Roman"/>
          <w:sz w:val="24"/>
          <w:szCs w:val="24"/>
        </w:rPr>
        <w:t xml:space="preserve"> et al., 2019; Kumar et al., 2020). The synergistic effects of N, P, and K support higher metabolic activity, </w:t>
      </w:r>
      <w:commentRangeStart w:id="14"/>
      <w:r w:rsidRPr="00A55687">
        <w:rPr>
          <w:rFonts w:ascii="Times New Roman" w:hAnsi="Times New Roman"/>
          <w:sz w:val="24"/>
          <w:szCs w:val="24"/>
        </w:rPr>
        <w:t>leading to denser and heavier curds.</w:t>
      </w:r>
      <w:commentRangeEnd w:id="14"/>
      <w:r w:rsidR="006D12EB">
        <w:rPr>
          <w:rStyle w:val="CommentReference"/>
          <w:rtl/>
        </w:rPr>
        <w:commentReference w:id="14"/>
      </w:r>
      <w:r w:rsidRPr="00A55687">
        <w:rPr>
          <w:rFonts w:ascii="Times New Roman" w:hAnsi="Times New Roman"/>
          <w:sz w:val="24"/>
          <w:szCs w:val="24"/>
        </w:rPr>
        <w:t xml:space="preserve"> Similar observations were reported in studies on cauliflower and broccoli by Pooja et al. (2022), Salman and Razzaq (2022), and Kumar et al. (2023).</w:t>
      </w:r>
    </w:p>
    <w:p w14:paraId="5162D7CF" w14:textId="77777777" w:rsid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most impactful outcome of nano</w:t>
      </w:r>
      <w:r w:rsidR="00E408DB">
        <w:rPr>
          <w:rFonts w:ascii="Times New Roman" w:hAnsi="Times New Roman"/>
          <w:sz w:val="24"/>
          <w:szCs w:val="24"/>
        </w:rPr>
        <w:t>-</w:t>
      </w:r>
      <w:r w:rsidRPr="00A55687">
        <w:rPr>
          <w:rFonts w:ascii="Times New Roman" w:hAnsi="Times New Roman"/>
          <w:sz w:val="24"/>
          <w:szCs w:val="24"/>
        </w:rPr>
        <w:t>NPK and RDF integration was the significant improvement in total cauliflower yield per plot and per hectare. The increase in yield can be linked to several factors: enhanced nutrient</w:t>
      </w:r>
      <w:r w:rsidR="00E408DB">
        <w:rPr>
          <w:rFonts w:ascii="Times New Roman" w:hAnsi="Times New Roman"/>
          <w:sz w:val="24"/>
          <w:szCs w:val="24"/>
        </w:rPr>
        <w:t>-</w:t>
      </w:r>
      <w:r w:rsidRPr="00A55687">
        <w:rPr>
          <w:rFonts w:ascii="Times New Roman" w:hAnsi="Times New Roman"/>
          <w:sz w:val="24"/>
          <w:szCs w:val="24"/>
        </w:rPr>
        <w:t>use efficiency, improved root architecture, and better nutrient partitioning towards economically important sink tissues (Verma et al., 2022). Nano</w:t>
      </w:r>
      <w:r w:rsidR="00E408DB">
        <w:rPr>
          <w:rFonts w:ascii="Times New Roman" w:hAnsi="Times New Roman"/>
          <w:sz w:val="24"/>
          <w:szCs w:val="24"/>
        </w:rPr>
        <w:t>-</w:t>
      </w:r>
      <w:r w:rsidRPr="00A55687">
        <w:rPr>
          <w:rFonts w:ascii="Times New Roman" w:hAnsi="Times New Roman"/>
          <w:sz w:val="24"/>
          <w:szCs w:val="24"/>
        </w:rPr>
        <w:t xml:space="preserve">fertilizers facilitate slow and controlled nutrient release, preventing leaching and volatilization losses, and ensuring a steady nutrient supply throughout the crop’s lifecycle (Tarafdar et al., 2014; Subramanian and Thirunavukkarasu, 2017). The consistent nutrient availability supports optimal vegetative and reproductive growth, ultimately leading to higher marketable yields. These findings are in close agreement with those of </w:t>
      </w:r>
      <w:proofErr w:type="spellStart"/>
      <w:r w:rsidRPr="00A55687">
        <w:rPr>
          <w:rFonts w:ascii="Times New Roman" w:hAnsi="Times New Roman"/>
          <w:sz w:val="24"/>
          <w:szCs w:val="24"/>
        </w:rPr>
        <w:t>Mariush</w:t>
      </w:r>
      <w:proofErr w:type="spellEnd"/>
      <w:r w:rsidRPr="00A55687">
        <w:rPr>
          <w:rFonts w:ascii="Times New Roman" w:hAnsi="Times New Roman"/>
          <w:sz w:val="24"/>
          <w:szCs w:val="24"/>
        </w:rPr>
        <w:t xml:space="preserve"> and Al</w:t>
      </w:r>
      <w:r w:rsidR="00E408DB">
        <w:rPr>
          <w:rFonts w:ascii="Times New Roman" w:hAnsi="Times New Roman"/>
          <w:sz w:val="24"/>
          <w:szCs w:val="24"/>
        </w:rPr>
        <w:t>-</w:t>
      </w:r>
      <w:proofErr w:type="spellStart"/>
      <w:r w:rsidRPr="00A55687">
        <w:rPr>
          <w:rFonts w:ascii="Times New Roman" w:hAnsi="Times New Roman"/>
          <w:sz w:val="24"/>
          <w:szCs w:val="24"/>
        </w:rPr>
        <w:t>Mharib</w:t>
      </w:r>
      <w:proofErr w:type="spellEnd"/>
      <w:r w:rsidRPr="00A55687">
        <w:rPr>
          <w:rFonts w:ascii="Times New Roman" w:hAnsi="Times New Roman"/>
          <w:sz w:val="24"/>
          <w:szCs w:val="24"/>
        </w:rPr>
        <w:t xml:space="preserve"> (2020), and Javed et al. (2022), all of whom reported significant increases in yield with nano</w:t>
      </w:r>
      <w:r w:rsidR="00E408DB">
        <w:rPr>
          <w:rFonts w:ascii="Times New Roman" w:hAnsi="Times New Roman"/>
          <w:sz w:val="24"/>
          <w:szCs w:val="24"/>
        </w:rPr>
        <w:t>-</w:t>
      </w:r>
      <w:r w:rsidRPr="00A55687">
        <w:rPr>
          <w:rFonts w:ascii="Times New Roman" w:hAnsi="Times New Roman"/>
          <w:sz w:val="24"/>
          <w:szCs w:val="24"/>
        </w:rPr>
        <w:t xml:space="preserve">fertilizer applications </w:t>
      </w:r>
      <w:r>
        <w:rPr>
          <w:rFonts w:ascii="Times New Roman" w:hAnsi="Times New Roman"/>
          <w:sz w:val="24"/>
          <w:szCs w:val="24"/>
        </w:rPr>
        <w:t xml:space="preserve">across various crops. </w:t>
      </w:r>
      <w:r w:rsidRPr="00A55687">
        <w:rPr>
          <w:rFonts w:ascii="Times New Roman" w:hAnsi="Times New Roman"/>
          <w:sz w:val="24"/>
          <w:szCs w:val="24"/>
        </w:rPr>
        <w:t>Collectively, the results emphasize that the conjunctive use of nano</w:t>
      </w:r>
      <w:r w:rsidR="00E408DB">
        <w:rPr>
          <w:rFonts w:ascii="Times New Roman" w:hAnsi="Times New Roman"/>
          <w:sz w:val="24"/>
          <w:szCs w:val="24"/>
        </w:rPr>
        <w:t>-</w:t>
      </w:r>
      <w:r w:rsidRPr="00A55687">
        <w:rPr>
          <w:rFonts w:ascii="Times New Roman" w:hAnsi="Times New Roman"/>
          <w:sz w:val="24"/>
          <w:szCs w:val="24"/>
        </w:rPr>
        <w:t>NPK with conventional RDF is a superior strategy for enhancing cauliflower growth, curd development, and yield. The nano</w:t>
      </w:r>
      <w:r w:rsidR="00E408DB">
        <w:rPr>
          <w:rFonts w:ascii="Times New Roman" w:hAnsi="Times New Roman"/>
          <w:sz w:val="24"/>
          <w:szCs w:val="24"/>
        </w:rPr>
        <w:t>-</w:t>
      </w:r>
      <w:r w:rsidRPr="00A55687">
        <w:rPr>
          <w:rFonts w:ascii="Times New Roman" w:hAnsi="Times New Roman"/>
          <w:sz w:val="24"/>
          <w:szCs w:val="24"/>
        </w:rPr>
        <w:t>fertilizer technology not only improves nutrient delivery and efficiency but also aligns with sustainable agricultural practices by minimizing nutrient losses and maximizing productivity. The consistency of these findings with prior research across crops further validates the potential of nano</w:t>
      </w:r>
      <w:r w:rsidR="00E408DB">
        <w:rPr>
          <w:rFonts w:ascii="Times New Roman" w:hAnsi="Times New Roman"/>
          <w:sz w:val="24"/>
          <w:szCs w:val="24"/>
        </w:rPr>
        <w:t>-</w:t>
      </w:r>
      <w:r w:rsidRPr="00A55687">
        <w:rPr>
          <w:rFonts w:ascii="Times New Roman" w:hAnsi="Times New Roman"/>
          <w:sz w:val="24"/>
          <w:szCs w:val="24"/>
        </w:rPr>
        <w:t>fertilizers in modern horticulture.</w:t>
      </w:r>
    </w:p>
    <w:p w14:paraId="57FE0E58" w14:textId="77777777" w:rsidR="000978DF" w:rsidRDefault="000978DF" w:rsidP="00A55687">
      <w:pPr>
        <w:spacing w:line="360" w:lineRule="auto"/>
        <w:jc w:val="both"/>
        <w:rPr>
          <w:rFonts w:ascii="Times New Roman" w:hAnsi="Times New Roman"/>
          <w:b/>
          <w:sz w:val="24"/>
          <w:szCs w:val="24"/>
        </w:rPr>
      </w:pPr>
      <w:r w:rsidRPr="000978DF">
        <w:rPr>
          <w:rFonts w:ascii="Times New Roman" w:hAnsi="Times New Roman"/>
          <w:b/>
          <w:sz w:val="24"/>
          <w:szCs w:val="24"/>
        </w:rPr>
        <w:t>CONCLUSION</w:t>
      </w:r>
    </w:p>
    <w:p w14:paraId="48792042" w14:textId="77777777" w:rsidR="000978DF" w:rsidRDefault="000978DF" w:rsidP="00421274">
      <w:pPr>
        <w:spacing w:line="360" w:lineRule="auto"/>
        <w:ind w:firstLine="720"/>
        <w:jc w:val="both"/>
        <w:rPr>
          <w:rFonts w:ascii="Times New Roman" w:hAnsi="Times New Roman"/>
          <w:sz w:val="24"/>
          <w:szCs w:val="24"/>
        </w:rPr>
      </w:pPr>
      <w:commentRangeStart w:id="15"/>
      <w:r w:rsidRPr="000978DF">
        <w:rPr>
          <w:rFonts w:ascii="Times New Roman" w:hAnsi="Times New Roman"/>
          <w:sz w:val="24"/>
          <w:szCs w:val="24"/>
        </w:rPr>
        <w:t>The study clearly demonstrated that the integrated application of nano</w:t>
      </w:r>
      <w:r w:rsidR="00E408DB">
        <w:rPr>
          <w:rFonts w:ascii="Times New Roman" w:hAnsi="Times New Roman"/>
          <w:sz w:val="24"/>
          <w:szCs w:val="24"/>
        </w:rPr>
        <w:t>-</w:t>
      </w:r>
      <w:r w:rsidRPr="000978DF">
        <w:rPr>
          <w:rFonts w:ascii="Times New Roman" w:hAnsi="Times New Roman"/>
          <w:sz w:val="24"/>
          <w:szCs w:val="24"/>
        </w:rPr>
        <w:t>NPK fertilizers with reduced doses of conventional fertilizers significantly improved the growth and yield attributes of cauliflower</w:t>
      </w:r>
      <w:commentRangeEnd w:id="15"/>
      <w:r w:rsidR="006D12EB">
        <w:rPr>
          <w:rStyle w:val="CommentReference"/>
          <w:rtl/>
        </w:rPr>
        <w:commentReference w:id="15"/>
      </w:r>
      <w:r w:rsidRPr="000978DF">
        <w:rPr>
          <w:rFonts w:ascii="Times New Roman" w:hAnsi="Times New Roman"/>
          <w:sz w:val="24"/>
          <w:szCs w:val="24"/>
        </w:rPr>
        <w:t>. Treatment T7 (80% RDF + 1.0% nano</w:t>
      </w:r>
      <w:r w:rsidR="00E408DB">
        <w:rPr>
          <w:rFonts w:ascii="Times New Roman" w:hAnsi="Times New Roman"/>
          <w:sz w:val="24"/>
          <w:szCs w:val="24"/>
        </w:rPr>
        <w:t>-</w:t>
      </w:r>
      <w:r w:rsidRPr="000978DF">
        <w:rPr>
          <w:rFonts w:ascii="Times New Roman" w:hAnsi="Times New Roman"/>
          <w:sz w:val="24"/>
          <w:szCs w:val="24"/>
        </w:rPr>
        <w:t xml:space="preserve">NPK) consistently outperformed all others in terms of plant height, leaf development, early curd initiation, curd </w:t>
      </w:r>
      <w:r w:rsidRPr="000978DF">
        <w:rPr>
          <w:rFonts w:ascii="Times New Roman" w:hAnsi="Times New Roman"/>
          <w:sz w:val="24"/>
          <w:szCs w:val="24"/>
        </w:rPr>
        <w:lastRenderedPageBreak/>
        <w:t>size, and yield. The enhanced nutrient</w:t>
      </w:r>
      <w:r w:rsidR="00E408DB">
        <w:rPr>
          <w:rFonts w:ascii="Times New Roman" w:hAnsi="Times New Roman"/>
          <w:sz w:val="24"/>
          <w:szCs w:val="24"/>
        </w:rPr>
        <w:t>-</w:t>
      </w:r>
      <w:r w:rsidRPr="000978DF">
        <w:rPr>
          <w:rFonts w:ascii="Times New Roman" w:hAnsi="Times New Roman"/>
          <w:sz w:val="24"/>
          <w:szCs w:val="24"/>
        </w:rPr>
        <w:t>use efficiency and targeted nutrient delivery of nano</w:t>
      </w:r>
      <w:r w:rsidR="00E408DB">
        <w:rPr>
          <w:rFonts w:ascii="Times New Roman" w:hAnsi="Times New Roman"/>
          <w:sz w:val="24"/>
          <w:szCs w:val="24"/>
        </w:rPr>
        <w:t>-</w:t>
      </w:r>
      <w:r w:rsidRPr="000978DF">
        <w:rPr>
          <w:rFonts w:ascii="Times New Roman" w:hAnsi="Times New Roman"/>
          <w:sz w:val="24"/>
          <w:szCs w:val="24"/>
        </w:rPr>
        <w:t>fertilizers contributed to better physiological and developmental outcomes. These findings support the adoption of nano</w:t>
      </w:r>
      <w:r w:rsidR="00E408DB">
        <w:rPr>
          <w:rFonts w:ascii="Times New Roman" w:hAnsi="Times New Roman"/>
          <w:sz w:val="24"/>
          <w:szCs w:val="24"/>
        </w:rPr>
        <w:t>-</w:t>
      </w:r>
      <w:r w:rsidRPr="000978DF">
        <w:rPr>
          <w:rFonts w:ascii="Times New Roman" w:hAnsi="Times New Roman"/>
          <w:sz w:val="24"/>
          <w:szCs w:val="24"/>
        </w:rPr>
        <w:t>fertilizer technology as a sustainable approach to maximize productivity while minimizing environmental impact. Integrating nano</w:t>
      </w:r>
      <w:r w:rsidR="00E408DB">
        <w:rPr>
          <w:rFonts w:ascii="Times New Roman" w:hAnsi="Times New Roman"/>
          <w:sz w:val="24"/>
          <w:szCs w:val="24"/>
        </w:rPr>
        <w:t>-</w:t>
      </w:r>
      <w:r w:rsidRPr="000978DF">
        <w:rPr>
          <w:rFonts w:ascii="Times New Roman" w:hAnsi="Times New Roman"/>
          <w:sz w:val="24"/>
          <w:szCs w:val="24"/>
        </w:rPr>
        <w:t xml:space="preserve">fertilizers into standard nutrient management </w:t>
      </w:r>
      <w:commentRangeStart w:id="16"/>
      <w:r w:rsidRPr="000978DF">
        <w:rPr>
          <w:rFonts w:ascii="Times New Roman" w:hAnsi="Times New Roman"/>
          <w:sz w:val="24"/>
          <w:szCs w:val="24"/>
        </w:rPr>
        <w:t xml:space="preserve">can play a pivotal role in improving cauliflower cultivation in diverse </w:t>
      </w:r>
      <w:proofErr w:type="spellStart"/>
      <w:r w:rsidRPr="000978DF">
        <w:rPr>
          <w:rFonts w:ascii="Times New Roman" w:hAnsi="Times New Roman"/>
          <w:sz w:val="24"/>
          <w:szCs w:val="24"/>
        </w:rPr>
        <w:t>agro</w:t>
      </w:r>
      <w:proofErr w:type="spellEnd"/>
      <w:r w:rsidR="00E408DB">
        <w:rPr>
          <w:rFonts w:ascii="Times New Roman" w:hAnsi="Times New Roman"/>
          <w:sz w:val="24"/>
          <w:szCs w:val="24"/>
        </w:rPr>
        <w:t>-</w:t>
      </w:r>
      <w:r w:rsidRPr="000978DF">
        <w:rPr>
          <w:rFonts w:ascii="Times New Roman" w:hAnsi="Times New Roman"/>
          <w:sz w:val="24"/>
          <w:szCs w:val="24"/>
        </w:rPr>
        <w:t>climatic regions.</w:t>
      </w:r>
      <w:commentRangeEnd w:id="16"/>
      <w:r w:rsidR="006D12EB">
        <w:rPr>
          <w:rStyle w:val="CommentReference"/>
          <w:rtl/>
        </w:rPr>
        <w:commentReference w:id="16"/>
      </w:r>
    </w:p>
    <w:p w14:paraId="60CB73DC" w14:textId="77777777" w:rsidR="000978DF" w:rsidRDefault="000978DF" w:rsidP="000978DF">
      <w:pPr>
        <w:spacing w:line="360" w:lineRule="auto"/>
        <w:jc w:val="both"/>
        <w:rPr>
          <w:rFonts w:ascii="Times New Roman" w:hAnsi="Times New Roman"/>
          <w:b/>
          <w:sz w:val="24"/>
          <w:szCs w:val="24"/>
        </w:rPr>
      </w:pPr>
      <w:r>
        <w:rPr>
          <w:rFonts w:ascii="Times New Roman" w:hAnsi="Times New Roman"/>
          <w:b/>
          <w:sz w:val="24"/>
          <w:szCs w:val="24"/>
        </w:rPr>
        <w:t>References:</w:t>
      </w:r>
    </w:p>
    <w:p w14:paraId="78289BE8" w14:textId="77777777" w:rsidR="00CB6811" w:rsidRDefault="00CB6811" w:rsidP="00CB6811">
      <w:pPr>
        <w:pStyle w:val="NormalWeb"/>
      </w:pPr>
      <w:r>
        <w:t>Abdel</w:t>
      </w:r>
      <w:r w:rsidR="00E408DB">
        <w:t>-</w:t>
      </w:r>
      <w:r>
        <w:t xml:space="preserve">Aziz, H. M., </w:t>
      </w:r>
      <w:proofErr w:type="spellStart"/>
      <w:r>
        <w:t>Hasaneen</w:t>
      </w:r>
      <w:proofErr w:type="spellEnd"/>
      <w:r>
        <w:t xml:space="preserve">, M. N., &amp; Omer, A. M. (2016). </w:t>
      </w:r>
      <w:proofErr w:type="spellStart"/>
      <w:r>
        <w:t>Nanochitosan</w:t>
      </w:r>
      <w:proofErr w:type="spellEnd"/>
      <w:r w:rsidR="00E408DB">
        <w:t>-</w:t>
      </w:r>
      <w:r>
        <w:t xml:space="preserve">NPK fertilizer enhances the growth and productivity of wheat plants grown in sandy soil. </w:t>
      </w:r>
      <w:r>
        <w:rPr>
          <w:rStyle w:val="Emphasis"/>
        </w:rPr>
        <w:t>Spanish Journal of Agricultural Research</w:t>
      </w:r>
      <w:r>
        <w:t>, 14(1), 902.</w:t>
      </w:r>
    </w:p>
    <w:p w14:paraId="48F1FD14" w14:textId="77777777" w:rsidR="00CB6811" w:rsidRDefault="00CB6811" w:rsidP="00CB6811">
      <w:pPr>
        <w:pStyle w:val="NormalWeb"/>
      </w:pPr>
      <w:r>
        <w:t>Abdelkader, M., Zargar, M., Bayat, M., Pakina, E., Shehata, A. S., &amp; Suliman, A. A. (2024). Biogenic nano</w:t>
      </w:r>
      <w:r w:rsidR="00E408DB">
        <w:t>-</w:t>
      </w:r>
      <w:r>
        <w:t xml:space="preserve">fertilizers as a sustainable approach to alleviate nitrate accumulation and enrich quality traits of vegetable crops. </w:t>
      </w:r>
      <w:proofErr w:type="spellStart"/>
      <w:r>
        <w:rPr>
          <w:rStyle w:val="Emphasis"/>
        </w:rPr>
        <w:t>Horticulturae</w:t>
      </w:r>
      <w:proofErr w:type="spellEnd"/>
      <w:r>
        <w:t>, 10(8), 789.</w:t>
      </w:r>
    </w:p>
    <w:p w14:paraId="0686D464" w14:textId="77777777" w:rsidR="00CB6811" w:rsidRDefault="00CB6811" w:rsidP="00CB6811">
      <w:pPr>
        <w:pStyle w:val="NormalWeb"/>
      </w:pPr>
      <w:r>
        <w:t>Amanullah, Kakar, K. M., Khan, A., Khan, I., Shah, Z., &amp; Hussain, Z. (2014). Growth and yield response of maize (</w:t>
      </w:r>
      <w:proofErr w:type="spellStart"/>
      <w:r>
        <w:t>Zea</w:t>
      </w:r>
      <w:proofErr w:type="spellEnd"/>
      <w:r>
        <w:t xml:space="preserve"> mays L.) to foliar NPK fertilizers under moisture stress condition. </w:t>
      </w:r>
      <w:r>
        <w:rPr>
          <w:rStyle w:val="Emphasis"/>
        </w:rPr>
        <w:t>Soil and Environment</w:t>
      </w:r>
      <w:r>
        <w:t>, 33(2), 116–123.</w:t>
      </w:r>
    </w:p>
    <w:p w14:paraId="7D8EB7EC" w14:textId="77777777" w:rsidR="00CB6811" w:rsidRDefault="00CB6811" w:rsidP="00CB6811">
      <w:pPr>
        <w:pStyle w:val="NormalWeb"/>
      </w:pPr>
      <w:r>
        <w:t>Bihari, B., Singh, Y. K., Shambhavi, S., Mandal, J., Kumar, S., &amp; Kumar, R. (2022). Nutrient use efficiency indices of N, P, and K under rice</w:t>
      </w:r>
      <w:r w:rsidR="00E408DB">
        <w:t>-</w:t>
      </w:r>
      <w:r>
        <w:t xml:space="preserve">wheat cropping system in LTFE after 34th crop cycle. </w:t>
      </w:r>
      <w:r>
        <w:rPr>
          <w:rStyle w:val="Emphasis"/>
        </w:rPr>
        <w:t>Journal of Plant Nutrition</w:t>
      </w:r>
      <w:r>
        <w:t>, 45(1), 123–140.</w:t>
      </w:r>
    </w:p>
    <w:p w14:paraId="6732D065" w14:textId="77777777" w:rsidR="00CB6811" w:rsidRDefault="00CB6811" w:rsidP="00CB6811">
      <w:pPr>
        <w:pStyle w:val="NormalWeb"/>
      </w:pPr>
      <w:proofErr w:type="spellStart"/>
      <w:r>
        <w:t>Durgude</w:t>
      </w:r>
      <w:proofErr w:type="spellEnd"/>
      <w:r>
        <w:t xml:space="preserve">, S. A., Ram, S., &amp; Himani, K. (2022). Impact of fortified nano zinc and iron composite capsules on growth, yields, and nutrient accumulation in cabbage (Brassica oleracea var. capitata L.) and cauliflower (Brassica oleracea var. botrytis L.). </w:t>
      </w:r>
      <w:r>
        <w:rPr>
          <w:rStyle w:val="Emphasis"/>
        </w:rPr>
        <w:t>Asian Journal of Soil Science and Plant Nutrition</w:t>
      </w:r>
      <w:r>
        <w:t>, 8(3), 16–28.</w:t>
      </w:r>
    </w:p>
    <w:p w14:paraId="23718FAE" w14:textId="77777777" w:rsidR="00CB6811" w:rsidRDefault="00CB6811" w:rsidP="00CB6811">
      <w:pPr>
        <w:pStyle w:val="NormalWeb"/>
      </w:pPr>
      <w:proofErr w:type="spellStart"/>
      <w:r>
        <w:t>Elemike</w:t>
      </w:r>
      <w:proofErr w:type="spellEnd"/>
      <w:r>
        <w:t xml:space="preserve">, E. E., Uzoh, I. M., </w:t>
      </w:r>
      <w:proofErr w:type="spellStart"/>
      <w:r>
        <w:t>Onwudiwe</w:t>
      </w:r>
      <w:proofErr w:type="spellEnd"/>
      <w:r>
        <w:t xml:space="preserve">, D. C., &amp; Babalola, O. O. (2019). The role of nanotechnology in the fortification of plant nutrients and improvement of crop production. </w:t>
      </w:r>
      <w:r>
        <w:rPr>
          <w:rStyle w:val="Emphasis"/>
        </w:rPr>
        <w:t>Applied Sciences</w:t>
      </w:r>
      <w:r>
        <w:t>, 9(3), 499.</w:t>
      </w:r>
    </w:p>
    <w:p w14:paraId="56A1C9A5" w14:textId="77777777" w:rsidR="00CB6811" w:rsidRDefault="00CB6811" w:rsidP="00CB6811">
      <w:pPr>
        <w:pStyle w:val="NormalWeb"/>
      </w:pPr>
      <w:r>
        <w:t>El</w:t>
      </w:r>
      <w:r w:rsidR="00E408DB">
        <w:t>-</w:t>
      </w:r>
      <w:proofErr w:type="spellStart"/>
      <w:r>
        <w:t>Henawy</w:t>
      </w:r>
      <w:proofErr w:type="spellEnd"/>
      <w:r>
        <w:t>, A., El</w:t>
      </w:r>
      <w:r w:rsidR="00E408DB">
        <w:t>-</w:t>
      </w:r>
      <w:r>
        <w:t xml:space="preserve">Sheikh, I., Hassan, A., </w:t>
      </w:r>
      <w:proofErr w:type="spellStart"/>
      <w:r>
        <w:t>Madein</w:t>
      </w:r>
      <w:proofErr w:type="spellEnd"/>
      <w:r>
        <w:t>, A., El</w:t>
      </w:r>
      <w:r w:rsidR="00E408DB">
        <w:t>-</w:t>
      </w:r>
      <w:r>
        <w:t>Sheikh, A., El</w:t>
      </w:r>
      <w:r w:rsidR="00E408DB">
        <w:t>-</w:t>
      </w:r>
      <w:proofErr w:type="spellStart"/>
      <w:r>
        <w:t>Yamany</w:t>
      </w:r>
      <w:proofErr w:type="spellEnd"/>
      <w:r>
        <w:t xml:space="preserve">, A., Radwan, A., Mohamed, F., </w:t>
      </w:r>
      <w:proofErr w:type="spellStart"/>
      <w:r>
        <w:t>Khamees</w:t>
      </w:r>
      <w:proofErr w:type="spellEnd"/>
      <w:r>
        <w:t>, M., Ramadan, M., &amp; Abdelhamid, M. (2018). Response of cultivated broccoli and red cabbage crops to mineral, organic, and nano</w:t>
      </w:r>
      <w:r w:rsidR="00E408DB">
        <w:t>-</w:t>
      </w:r>
      <w:r>
        <w:t xml:space="preserve">fertilizers. </w:t>
      </w:r>
      <w:r>
        <w:rPr>
          <w:rStyle w:val="Emphasis"/>
        </w:rPr>
        <w:t>Environment, Biodiversity and Soil Security</w:t>
      </w:r>
      <w:r>
        <w:t>, 2, 221–231. https://doi.org/10.21608/JENVBS.2019.6797.1046</w:t>
      </w:r>
    </w:p>
    <w:p w14:paraId="17C1AB11" w14:textId="77777777" w:rsidR="00CB6811" w:rsidRDefault="00CB6811" w:rsidP="00CB6811">
      <w:pPr>
        <w:pStyle w:val="NormalWeb"/>
      </w:pPr>
      <w:r>
        <w:t>Ibraheem, F. F., Kahlel, A. S., &amp; Al</w:t>
      </w:r>
      <w:r w:rsidR="00E408DB">
        <w:t>-</w:t>
      </w:r>
      <w:proofErr w:type="spellStart"/>
      <w:r>
        <w:t>Kawaz</w:t>
      </w:r>
      <w:proofErr w:type="spellEnd"/>
      <w:r>
        <w:t xml:space="preserve">, A. A. (2021). Improvement of growth and yield characteristics of two broccoli varieties using </w:t>
      </w:r>
      <w:proofErr w:type="spellStart"/>
      <w:r>
        <w:t>nanofertilizer</w:t>
      </w:r>
      <w:proofErr w:type="spellEnd"/>
      <w:r>
        <w:t xml:space="preserve"> technology. </w:t>
      </w:r>
      <w:r>
        <w:rPr>
          <w:rStyle w:val="Emphasis"/>
        </w:rPr>
        <w:t>Plant Cell Biotechnology and Molecular Biology</w:t>
      </w:r>
      <w:r>
        <w:t>, 22, 21–29.</w:t>
      </w:r>
    </w:p>
    <w:p w14:paraId="7BCC62C5" w14:textId="77777777" w:rsidR="00CB6811" w:rsidRDefault="00CB6811" w:rsidP="00CB6811">
      <w:pPr>
        <w:pStyle w:val="NormalWeb"/>
      </w:pPr>
      <w:r>
        <w:t xml:space="preserve">Jakhar, A. M., Aziz, I., </w:t>
      </w:r>
      <w:proofErr w:type="spellStart"/>
      <w:r>
        <w:t>Kaleri</w:t>
      </w:r>
      <w:proofErr w:type="spellEnd"/>
      <w:r>
        <w:t>, A. R., Hasnain, M., Haider, G., Ma, J., &amp; Abideen, Z. (2022). Nano</w:t>
      </w:r>
      <w:r w:rsidR="00E408DB">
        <w:t>-</w:t>
      </w:r>
      <w:r>
        <w:t xml:space="preserve">fertilizers: A sustainable technology for improving crop nutrition and food security. </w:t>
      </w:r>
      <w:proofErr w:type="spellStart"/>
      <w:r>
        <w:rPr>
          <w:rStyle w:val="Emphasis"/>
        </w:rPr>
        <w:t>NanoImpact</w:t>
      </w:r>
      <w:proofErr w:type="spellEnd"/>
      <w:r>
        <w:t>, 27, 100411.</w:t>
      </w:r>
    </w:p>
    <w:p w14:paraId="6AF61739" w14:textId="77777777" w:rsidR="00CB6811" w:rsidRDefault="00CB6811" w:rsidP="00CB6811">
      <w:pPr>
        <w:pStyle w:val="NormalWeb"/>
      </w:pPr>
      <w:r>
        <w:lastRenderedPageBreak/>
        <w:t xml:space="preserve">Javed, T., Singhal, R. K., Shabbir, R., Shah, A. N., Kumar, P., Jinger, D., </w:t>
      </w:r>
      <w:proofErr w:type="spellStart"/>
      <w:r>
        <w:t>Dharmappa</w:t>
      </w:r>
      <w:proofErr w:type="spellEnd"/>
      <w:r>
        <w:t>, P. M., Shad, M. A., Saha, D., &amp; Anuragi, H. (2022). Recent advances in agronomic and physio</w:t>
      </w:r>
      <w:r w:rsidR="00E408DB">
        <w:t>-</w:t>
      </w:r>
      <w:r>
        <w:t xml:space="preserve">molecular approaches for improving nitrogen use efficiency in crop plants. </w:t>
      </w:r>
      <w:r>
        <w:rPr>
          <w:rStyle w:val="Emphasis"/>
        </w:rPr>
        <w:t>Frontiers in Plant Science</w:t>
      </w:r>
      <w:r>
        <w:t>, 13, 877544.</w:t>
      </w:r>
    </w:p>
    <w:p w14:paraId="7DE5E90E" w14:textId="77777777" w:rsidR="00CB6811" w:rsidRDefault="00CB6811" w:rsidP="00CB6811">
      <w:pPr>
        <w:pStyle w:val="NormalWeb"/>
      </w:pPr>
      <w:proofErr w:type="spellStart"/>
      <w:r>
        <w:t>Karlund</w:t>
      </w:r>
      <w:proofErr w:type="spellEnd"/>
      <w:r>
        <w:t>, A., Kytta, V., Pellinen, T., Tuomisto, H. L., Pajari, A. M., Kolehmainen, M., &amp; Saarinen, M. (2024). Validating nutrient selection for product</w:t>
      </w:r>
      <w:r w:rsidR="00E408DB">
        <w:t>-</w:t>
      </w:r>
      <w:r>
        <w:t>group</w:t>
      </w:r>
      <w:r w:rsidR="00E408DB">
        <w:t>-</w:t>
      </w:r>
      <w:r>
        <w:t xml:space="preserve">specific nutrient indices for use as functional units in life cycle assessment of foods. </w:t>
      </w:r>
      <w:r>
        <w:rPr>
          <w:rStyle w:val="Emphasis"/>
        </w:rPr>
        <w:t>British Journal of Nutrition</w:t>
      </w:r>
      <w:r>
        <w:t>, 1–9.</w:t>
      </w:r>
    </w:p>
    <w:p w14:paraId="782AA7F5" w14:textId="77777777" w:rsidR="00CB6811" w:rsidRDefault="00CB6811" w:rsidP="00CB6811">
      <w:pPr>
        <w:pStyle w:val="NormalWeb"/>
      </w:pPr>
      <w:r>
        <w:t xml:space="preserve">Karthika, K. S., Philip, P. S., &amp; Neenu, S. (2020). Brassicaceae plants response and tolerance to nutrient deficiencies. In </w:t>
      </w:r>
      <w:r>
        <w:rPr>
          <w:rStyle w:val="Emphasis"/>
        </w:rPr>
        <w:t>The Plant Family Brassicaceae: Biology and Physiological Responses to Environmental Stresses</w:t>
      </w:r>
      <w:r>
        <w:t xml:space="preserve"> (pp. 337–362).</w:t>
      </w:r>
    </w:p>
    <w:p w14:paraId="177A552C" w14:textId="77777777" w:rsidR="00CB6811" w:rsidRDefault="00CB6811" w:rsidP="00CB6811">
      <w:pPr>
        <w:pStyle w:val="NormalWeb"/>
      </w:pPr>
      <w:r>
        <w:t>Kumar, A., Singh, K., Sharma, S., Mishra, J. P., Sharmila, J. S., Kumar, Y., Lakshmanan, A., Singh, T., Panwar, A., &amp; Sivashankari, L. (2023). Effect of organic manure, bio</w:t>
      </w:r>
      <w:r w:rsidR="00E408DB">
        <w:t>-</w:t>
      </w:r>
      <w:r>
        <w:t>fertilizer, and nano</w:t>
      </w:r>
      <w:r w:rsidR="00E408DB">
        <w:t>-</w:t>
      </w:r>
      <w:r>
        <w:t xml:space="preserve">fertilizer on yield and economics of different vegetable crops and soil nutrient status. </w:t>
      </w:r>
      <w:r>
        <w:rPr>
          <w:rStyle w:val="Emphasis"/>
        </w:rPr>
        <w:t>Research Square</w:t>
      </w:r>
      <w:r>
        <w:t xml:space="preserve">. </w:t>
      </w:r>
      <w:hyperlink r:id="rId17" w:tgtFrame="_new" w:history="1">
        <w:r>
          <w:rPr>
            <w:rStyle w:val="Hyperlink"/>
          </w:rPr>
          <w:t>https://doi.org/10.21203/rs.3.rs</w:t>
        </w:r>
        <w:r w:rsidR="00E408DB">
          <w:rPr>
            <w:rStyle w:val="Hyperlink"/>
          </w:rPr>
          <w:t>-</w:t>
        </w:r>
        <w:r>
          <w:rPr>
            <w:rStyle w:val="Hyperlink"/>
          </w:rPr>
          <w:t>2960032/v2</w:t>
        </w:r>
      </w:hyperlink>
    </w:p>
    <w:p w14:paraId="4B223381" w14:textId="77777777" w:rsidR="00CB6811" w:rsidRDefault="00CB6811" w:rsidP="00CB6811">
      <w:pPr>
        <w:pStyle w:val="NormalWeb"/>
      </w:pPr>
      <w:r>
        <w:t xml:space="preserve">Kumar, Y., Tiwari, K. N., Singh, T., Sain, N. K., Laxmi, S., Verma, R., Sharma, G. C., &amp; Raliya, R. (2020). </w:t>
      </w:r>
      <w:proofErr w:type="spellStart"/>
      <w:r>
        <w:t>Nanofertilizers</w:t>
      </w:r>
      <w:proofErr w:type="spellEnd"/>
      <w:r>
        <w:t xml:space="preserve"> for enhancing nutrient use efficiency, crop productivity, and economic returns in winter season crops of Rajasthan. </w:t>
      </w:r>
      <w:r>
        <w:rPr>
          <w:rStyle w:val="Emphasis"/>
        </w:rPr>
        <w:t>Annals of Plant and Soil Research</w:t>
      </w:r>
      <w:r>
        <w:t>, 22(4), 324–335.</w:t>
      </w:r>
    </w:p>
    <w:p w14:paraId="7A1EB061" w14:textId="77777777" w:rsidR="00CB6811" w:rsidRDefault="00CB6811" w:rsidP="00CB6811">
      <w:pPr>
        <w:pStyle w:val="NormalWeb"/>
      </w:pPr>
      <w:proofErr w:type="spellStart"/>
      <w:r>
        <w:t>Mariush</w:t>
      </w:r>
      <w:proofErr w:type="spellEnd"/>
      <w:r>
        <w:t>, A. H., &amp; Al</w:t>
      </w:r>
      <w:r w:rsidR="00E408DB">
        <w:t>-</w:t>
      </w:r>
      <w:proofErr w:type="spellStart"/>
      <w:r>
        <w:t>Mharib</w:t>
      </w:r>
      <w:proofErr w:type="spellEnd"/>
      <w:r>
        <w:t>, M. Z. (2020). Effect of nano</w:t>
      </w:r>
      <w:r w:rsidR="00E408DB">
        <w:t>-</w:t>
      </w:r>
      <w:r>
        <w:t xml:space="preserve">fertilizers and amino acids on the growth and yield of broccoli. </w:t>
      </w:r>
      <w:r>
        <w:rPr>
          <w:rStyle w:val="Emphasis"/>
        </w:rPr>
        <w:t>International Journal of Agricultural &amp; Statistical Sciences</w:t>
      </w:r>
      <w:r>
        <w:t>, 16, 56–62.</w:t>
      </w:r>
    </w:p>
    <w:p w14:paraId="06617540" w14:textId="77777777" w:rsidR="00CB6811" w:rsidRDefault="00CB6811" w:rsidP="00CB6811">
      <w:pPr>
        <w:pStyle w:val="NormalWeb"/>
      </w:pPr>
      <w:r>
        <w:t xml:space="preserve">Panda, J., Nandi, A., Mishra, S. P., Pal, A. K., </w:t>
      </w:r>
      <w:proofErr w:type="spellStart"/>
      <w:r>
        <w:t>Pattnaik</w:t>
      </w:r>
      <w:proofErr w:type="spellEnd"/>
      <w:r>
        <w:t xml:space="preserve">, A. K., &amp; Jena, N. K. (2020). Effects of nano fertilizer on yield, yield attributes, and economics in tomato (Solanum </w:t>
      </w:r>
      <w:proofErr w:type="spellStart"/>
      <w:r>
        <w:t>lycopersicum</w:t>
      </w:r>
      <w:proofErr w:type="spellEnd"/>
      <w:r>
        <w:t xml:space="preserve"> L.). </w:t>
      </w:r>
      <w:r>
        <w:rPr>
          <w:rStyle w:val="Emphasis"/>
        </w:rPr>
        <w:t>International Journal of Current Microbiology and Applied Sciences</w:t>
      </w:r>
      <w:r>
        <w:t xml:space="preserve">, 9(5), 2583–2591. </w:t>
      </w:r>
      <w:hyperlink r:id="rId18" w:tgtFrame="_new" w:history="1">
        <w:r>
          <w:rPr>
            <w:rStyle w:val="Hyperlink"/>
          </w:rPr>
          <w:t>https://doi.org/10.20546/ijcmas.2020.903.230</w:t>
        </w:r>
      </w:hyperlink>
    </w:p>
    <w:p w14:paraId="63DBBD0A" w14:textId="77777777" w:rsidR="00CB6811" w:rsidRDefault="00CB6811" w:rsidP="00CB6811">
      <w:pPr>
        <w:pStyle w:val="NormalWeb"/>
      </w:pPr>
      <w:proofErr w:type="spellStart"/>
      <w:r>
        <w:t>Panhwar</w:t>
      </w:r>
      <w:proofErr w:type="spellEnd"/>
      <w:r>
        <w:t xml:space="preserve">, Q. A., Ali, A., Naher, U. A., &amp; Memon, M. Y. (2019). Fertilizer management strategies for enhancing nutrient use efficiency and sustainable wheat production. In </w:t>
      </w:r>
      <w:r>
        <w:rPr>
          <w:rStyle w:val="Emphasis"/>
        </w:rPr>
        <w:t>Organic Farming</w:t>
      </w:r>
      <w:r>
        <w:t xml:space="preserve"> (pp. 17–39). Woodhead Publishing.</w:t>
      </w:r>
    </w:p>
    <w:p w14:paraId="7FF00996" w14:textId="77777777" w:rsidR="00CB6811" w:rsidRDefault="00CB6811" w:rsidP="00CB6811">
      <w:pPr>
        <w:pStyle w:val="NormalWeb"/>
      </w:pPr>
      <w:r>
        <w:t xml:space="preserve">Panse, V. G., &amp; </w:t>
      </w:r>
      <w:proofErr w:type="spellStart"/>
      <w:r>
        <w:t>Sukhatme</w:t>
      </w:r>
      <w:proofErr w:type="spellEnd"/>
      <w:r>
        <w:t xml:space="preserve">, P. V. (2000). </w:t>
      </w:r>
      <w:r>
        <w:rPr>
          <w:rStyle w:val="Emphasis"/>
        </w:rPr>
        <w:t>Statistical methods for agricultural workers</w:t>
      </w:r>
      <w:r>
        <w:t xml:space="preserve"> (359 p.). ICAR, New Delhi.</w:t>
      </w:r>
    </w:p>
    <w:p w14:paraId="36ACC158" w14:textId="77777777" w:rsidR="00CB6811" w:rsidRDefault="00CB6811" w:rsidP="00CB6811">
      <w:pPr>
        <w:pStyle w:val="NormalWeb"/>
      </w:pPr>
      <w:r>
        <w:t xml:space="preserve">Pooja, S. S., Bahadur, V., &amp; </w:t>
      </w:r>
      <w:proofErr w:type="spellStart"/>
      <w:r>
        <w:t>Kerkketta</w:t>
      </w:r>
      <w:proofErr w:type="spellEnd"/>
      <w:r>
        <w:t xml:space="preserve">, A. (2022). Effect of nano fertilizer on growth, yield, and quality of broccoli (Brassica oleracea var. italica). </w:t>
      </w:r>
      <w:r>
        <w:rPr>
          <w:rStyle w:val="Emphasis"/>
        </w:rPr>
        <w:t>International Journal of Plant and Soil Science</w:t>
      </w:r>
      <w:r>
        <w:t>, 34, 328–335.</w:t>
      </w:r>
    </w:p>
    <w:p w14:paraId="1C821E91" w14:textId="77777777" w:rsidR="00CB6811" w:rsidRDefault="00CB6811" w:rsidP="00CB6811">
      <w:pPr>
        <w:pStyle w:val="NormalWeb"/>
      </w:pPr>
      <w:r>
        <w:t xml:space="preserve">Pretty, J., &amp; Bharucha, Z. P. (2014). Sustainable intensification in agricultural systems. </w:t>
      </w:r>
      <w:r>
        <w:rPr>
          <w:rStyle w:val="Emphasis"/>
        </w:rPr>
        <w:t>Annals of Botany</w:t>
      </w:r>
      <w:r>
        <w:t>, 114(8), 1571–1596.</w:t>
      </w:r>
    </w:p>
    <w:p w14:paraId="46DB7319" w14:textId="77777777" w:rsidR="00CB6811" w:rsidRDefault="00CB6811" w:rsidP="00CB6811">
      <w:pPr>
        <w:pStyle w:val="NormalWeb"/>
      </w:pPr>
      <w:r>
        <w:t xml:space="preserve">Salman, A. D., &amp; Razzaq, A. A. (2022). Effect of cultivation dates and different sources of soil fertilization on vegetative characteristics, quality, and yield of broccoli. </w:t>
      </w:r>
      <w:r>
        <w:rPr>
          <w:rStyle w:val="Emphasis"/>
        </w:rPr>
        <w:t>International Journal of Agricultural Statistics</w:t>
      </w:r>
      <w:r>
        <w:t>, 18(1), 165–171.</w:t>
      </w:r>
    </w:p>
    <w:p w14:paraId="6BDB586D" w14:textId="77777777" w:rsidR="00CB6811" w:rsidRDefault="00CB6811" w:rsidP="00CB6811">
      <w:pPr>
        <w:pStyle w:val="NormalWeb"/>
      </w:pPr>
      <w:proofErr w:type="spellStart"/>
      <w:r>
        <w:lastRenderedPageBreak/>
        <w:t>Sohair</w:t>
      </w:r>
      <w:proofErr w:type="spellEnd"/>
      <w:r>
        <w:t>, E. E., Abdall, A. A., Amany, A. M., &amp; Faruque, H. R. (2018). Evaluation of nitrogen, phosphorus, and potassium nano</w:t>
      </w:r>
      <w:r w:rsidR="00E408DB">
        <w:t>-</w:t>
      </w:r>
      <w:r>
        <w:t xml:space="preserve">fertilizers on yield, yield components, and </w:t>
      </w:r>
      <w:proofErr w:type="spellStart"/>
      <w:r>
        <w:t>fiber</w:t>
      </w:r>
      <w:proofErr w:type="spellEnd"/>
      <w:r>
        <w:t xml:space="preserve"> properties of Egyptian cotton (Gossypium barbadense L.). </w:t>
      </w:r>
      <w:r>
        <w:rPr>
          <w:rStyle w:val="Emphasis"/>
        </w:rPr>
        <w:t>Journal of Plant Science and Crop Protection</w:t>
      </w:r>
      <w:r>
        <w:t>, 1(2), 208.</w:t>
      </w:r>
    </w:p>
    <w:p w14:paraId="58DC3F56" w14:textId="77777777" w:rsidR="00CB6811" w:rsidRDefault="00CB6811" w:rsidP="00CB6811">
      <w:pPr>
        <w:pStyle w:val="NormalWeb"/>
      </w:pPr>
      <w:r>
        <w:t xml:space="preserve">Solanki, P., Bhargava, A., </w:t>
      </w:r>
      <w:proofErr w:type="spellStart"/>
      <w:r>
        <w:t>Chhipa</w:t>
      </w:r>
      <w:proofErr w:type="spellEnd"/>
      <w:r>
        <w:t>, H., Jain, N., &amp; Panwar, J. (2015). Nano</w:t>
      </w:r>
      <w:r w:rsidR="00E408DB">
        <w:t>-</w:t>
      </w:r>
      <w:r>
        <w:t xml:space="preserve">fertilizers and their smart delivery system. In </w:t>
      </w:r>
      <w:r>
        <w:rPr>
          <w:rStyle w:val="Emphasis"/>
        </w:rPr>
        <w:t>Nanotechnologies in Food and Agriculture</w:t>
      </w:r>
      <w:r>
        <w:t xml:space="preserve"> (pp. 81</w:t>
      </w:r>
      <w:r w:rsidR="00E408DB">
        <w:t>-</w:t>
      </w:r>
      <w:r>
        <w:t>101).</w:t>
      </w:r>
    </w:p>
    <w:p w14:paraId="1476BC42" w14:textId="77777777" w:rsidR="00CB6811" w:rsidRDefault="00CB6811" w:rsidP="00CB6811">
      <w:pPr>
        <w:pStyle w:val="NormalWeb"/>
      </w:pPr>
      <w:r>
        <w:t>Subramanian, K. S., &amp; Thirunavukkarasu, M. (2017). Nano</w:t>
      </w:r>
      <w:r w:rsidR="00E408DB">
        <w:t>-</w:t>
      </w:r>
      <w:r>
        <w:t xml:space="preserve">fertilizers and nutrient transformations in soil. In </w:t>
      </w:r>
      <w:r>
        <w:rPr>
          <w:rStyle w:val="Emphasis"/>
        </w:rPr>
        <w:t>Nanoscience and Plant–Soil Systems</w:t>
      </w:r>
      <w:r>
        <w:t xml:space="preserve"> (pp. 305</w:t>
      </w:r>
      <w:r w:rsidR="00E408DB">
        <w:t>-</w:t>
      </w:r>
      <w:r>
        <w:t>319).</w:t>
      </w:r>
    </w:p>
    <w:p w14:paraId="2A20E6AD" w14:textId="77777777" w:rsidR="00CB6811" w:rsidRDefault="00CB6811" w:rsidP="00CB6811">
      <w:pPr>
        <w:pStyle w:val="NormalWeb"/>
      </w:pPr>
      <w:r>
        <w:t xml:space="preserve">Tarafdar, J. C., Raliya, R., </w:t>
      </w:r>
      <w:proofErr w:type="spellStart"/>
      <w:r>
        <w:t>Mahawar</w:t>
      </w:r>
      <w:proofErr w:type="spellEnd"/>
      <w:r>
        <w:t xml:space="preserve">, H., &amp; Rathore, I. (2014). Development of zinc </w:t>
      </w:r>
      <w:proofErr w:type="spellStart"/>
      <w:r>
        <w:t>nanofertilizer</w:t>
      </w:r>
      <w:proofErr w:type="spellEnd"/>
      <w:r>
        <w:t xml:space="preserve"> to enhance crop production in pearl millet (Pennisetum americanum). </w:t>
      </w:r>
      <w:r>
        <w:rPr>
          <w:rStyle w:val="Emphasis"/>
        </w:rPr>
        <w:t>Agricultural Research</w:t>
      </w:r>
      <w:r>
        <w:t>, 3(3), 1–6.</w:t>
      </w:r>
    </w:p>
    <w:p w14:paraId="4B3E4540" w14:textId="77777777" w:rsidR="00CB6811" w:rsidRDefault="00CB6811" w:rsidP="00CB6811">
      <w:pPr>
        <w:pStyle w:val="NormalWeb"/>
      </w:pPr>
      <w:r>
        <w:t xml:space="preserve">Upadhyaya, H., Begum, L., Dey, B., Nath, P. K., &amp; Panda, S. K. (2017). Impact of calcium phosphate nanoparticles on rice plant. </w:t>
      </w:r>
      <w:r>
        <w:rPr>
          <w:rStyle w:val="Emphasis"/>
        </w:rPr>
        <w:t>Journal of Plant Science and Phytopathology</w:t>
      </w:r>
      <w:r>
        <w:t>, 1(1), 1</w:t>
      </w:r>
      <w:r w:rsidR="00E408DB">
        <w:t>-</w:t>
      </w:r>
      <w:r>
        <w:t>10.</w:t>
      </w:r>
    </w:p>
    <w:p w14:paraId="2EF39040" w14:textId="77777777" w:rsidR="00CB6811" w:rsidRDefault="00CB6811" w:rsidP="00CB6811">
      <w:pPr>
        <w:pStyle w:val="NormalWeb"/>
      </w:pPr>
      <w:r>
        <w:t xml:space="preserve">Verma, K. K., Song, X. P., Singh, M., Huang, H. R., Bhatt, R., Xu, L., Kumar, V., &amp; Li, Y. R. (2022). Influence of </w:t>
      </w:r>
      <w:proofErr w:type="spellStart"/>
      <w:r>
        <w:t>nanosilicon</w:t>
      </w:r>
      <w:proofErr w:type="spellEnd"/>
      <w:r>
        <w:t xml:space="preserve"> on drought tolerance in plants: An overview. </w:t>
      </w:r>
      <w:r>
        <w:rPr>
          <w:rStyle w:val="Emphasis"/>
        </w:rPr>
        <w:t>Frontiers in Plant Science</w:t>
      </w:r>
      <w:r>
        <w:t xml:space="preserve">, 13, 1014816. </w:t>
      </w:r>
      <w:hyperlink r:id="rId19" w:tgtFrame="_new" w:history="1">
        <w:r>
          <w:rPr>
            <w:rStyle w:val="Hyperlink"/>
          </w:rPr>
          <w:t>https://doi.org/10.3389/fpls.2022.1014816</w:t>
        </w:r>
      </w:hyperlink>
    </w:p>
    <w:sectPr w:rsidR="00CB681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NOOR" w:date="2025-06-19T18:30:00Z" w:initials="AN">
    <w:p w14:paraId="3F5210B8" w14:textId="4D17E52E" w:rsidR="00752C41" w:rsidRDefault="00752C41">
      <w:pPr>
        <w:pStyle w:val="CommentText"/>
      </w:pPr>
      <w:r>
        <w:rPr>
          <w:rStyle w:val="CommentReference"/>
        </w:rPr>
        <w:annotationRef/>
      </w:r>
      <w:r w:rsidRPr="00752C41">
        <w:t>each replicated three times</w:t>
      </w:r>
    </w:p>
  </w:comment>
  <w:comment w:id="1" w:author="AL-NOOR" w:date="2025-06-19T18:33:00Z" w:initials="AN">
    <w:p w14:paraId="28BFF8D8" w14:textId="04795317" w:rsidR="00752C41" w:rsidRDefault="00752C41">
      <w:pPr>
        <w:pStyle w:val="CommentText"/>
      </w:pPr>
      <w:r>
        <w:rPr>
          <w:rStyle w:val="CommentReference"/>
        </w:rPr>
        <w:annotationRef/>
      </w:r>
      <w:r w:rsidRPr="00752C41">
        <w:t>number of leaves, leaf area)</w:t>
      </w:r>
    </w:p>
  </w:comment>
  <w:comment w:id="2" w:author="AL-NOOR" w:date="2025-06-19T18:34:00Z" w:initials="AN">
    <w:p w14:paraId="3D755945" w14:textId="528DD38A" w:rsidR="00752C41" w:rsidRDefault="00752C41">
      <w:pPr>
        <w:pStyle w:val="CommentText"/>
      </w:pPr>
      <w:r>
        <w:rPr>
          <w:rStyle w:val="CommentReference"/>
        </w:rPr>
        <w:annotationRef/>
      </w:r>
      <w:r w:rsidRPr="00752C41">
        <w:t>curd development parameters</w:t>
      </w:r>
    </w:p>
  </w:comment>
  <w:comment w:id="3" w:author="AL-NOOR" w:date="2025-06-19T18:38:00Z" w:initials="AN">
    <w:p w14:paraId="25F9478D" w14:textId="653B37F7" w:rsidR="00752C41" w:rsidRDefault="00752C41">
      <w:pPr>
        <w:pStyle w:val="CommentText"/>
      </w:pPr>
      <w:r>
        <w:rPr>
          <w:rStyle w:val="CommentReference"/>
        </w:rPr>
        <w:annotationRef/>
      </w:r>
      <w:r w:rsidRPr="00752C41">
        <w:t>Vegetables are an essential component of the daily diet</w:t>
      </w:r>
    </w:p>
  </w:comment>
  <w:comment w:id="4" w:author="AL-NOOR" w:date="2025-06-19T18:40:00Z" w:initials="AN">
    <w:p w14:paraId="2AA72213" w14:textId="50C87919" w:rsidR="00402201" w:rsidRDefault="00402201">
      <w:pPr>
        <w:pStyle w:val="CommentText"/>
      </w:pPr>
      <w:r>
        <w:rPr>
          <w:rStyle w:val="CommentReference"/>
        </w:rPr>
        <w:annotationRef/>
      </w:r>
      <w:r w:rsidRPr="00402201">
        <w:t>is vital not only for food security but also for enhancing rural livelihoods and nutrition."</w:t>
      </w:r>
    </w:p>
  </w:comment>
  <w:comment w:id="5" w:author="AL-NOOR" w:date="2025-06-19T18:43:00Z" w:initials="AN">
    <w:p w14:paraId="35DA89BA" w14:textId="5A872D2E" w:rsidR="00402201" w:rsidRDefault="00402201">
      <w:pPr>
        <w:pStyle w:val="CommentText"/>
      </w:pPr>
      <w:r>
        <w:rPr>
          <w:rStyle w:val="CommentReference"/>
        </w:rPr>
        <w:annotationRef/>
      </w:r>
      <w:r w:rsidRPr="00402201">
        <w:t>This percentage is general and may vary depending on the agricultural system and crop type; it is advisable to specify the source or the scope of application precisely.</w:t>
      </w:r>
    </w:p>
  </w:comment>
  <w:comment w:id="6" w:author="AL-NOOR" w:date="2025-06-19T18:45:00Z" w:initials="AN">
    <w:p w14:paraId="0EDD15AE" w14:textId="0039A7CE" w:rsidR="00402201" w:rsidRDefault="00402201">
      <w:pPr>
        <w:pStyle w:val="CommentText"/>
      </w:pPr>
      <w:r>
        <w:rPr>
          <w:rStyle w:val="CommentReference"/>
        </w:rPr>
        <w:annotationRef/>
      </w:r>
      <w:r w:rsidRPr="00402201">
        <w:t>Nano-fertilizers, owing to their extremely small particle size and high surface area, improve nutrient delivery and uptake efficiency, thereby reducing environmental nutrient losses."</w:t>
      </w:r>
    </w:p>
  </w:comment>
  <w:comment w:id="7" w:author="AL-NOOR" w:date="2025-06-19T18:49:00Z" w:initials="AN">
    <w:p w14:paraId="081F0637" w14:textId="77777777" w:rsidR="00402201" w:rsidRDefault="00402201" w:rsidP="00402201">
      <w:pPr>
        <w:pStyle w:val="CommentText"/>
      </w:pPr>
      <w:r>
        <w:rPr>
          <w:rStyle w:val="CommentReference"/>
        </w:rPr>
        <w:annotationRef/>
      </w:r>
      <w:r>
        <w:t>It is better to briefly clarify "Polar and equatorial diameters" for non-specialist readers, for example:</w:t>
      </w:r>
    </w:p>
    <w:p w14:paraId="3EE73E49" w14:textId="293E2048" w:rsidR="00402201" w:rsidRDefault="00402201" w:rsidP="00402201">
      <w:pPr>
        <w:pStyle w:val="CommentText"/>
      </w:pPr>
      <w:r>
        <w:t>"Polar (longitudinal) and equatorial (transverse) diameters" to make it clear from the start.</w:t>
      </w:r>
    </w:p>
  </w:comment>
  <w:comment w:id="8" w:author="AL-NOOR" w:date="2025-06-19T18:59:00Z" w:initials="AN">
    <w:p w14:paraId="3A9DC413" w14:textId="7E1058BE" w:rsidR="00BD5973" w:rsidRDefault="00BD5973">
      <w:pPr>
        <w:pStyle w:val="CommentText"/>
      </w:pPr>
      <w:r>
        <w:rPr>
          <w:rStyle w:val="CommentReference"/>
        </w:rPr>
        <w:annotationRef/>
      </w:r>
      <w:r w:rsidRPr="00BD5973">
        <w:t>were transplanted</w:t>
      </w:r>
    </w:p>
  </w:comment>
  <w:comment w:id="9" w:author="AL-NOOR" w:date="2025-06-19T19:25:00Z" w:initials="AN">
    <w:p w14:paraId="296ABF8D" w14:textId="4FA20B53" w:rsidR="008D2643" w:rsidRPr="008D2643" w:rsidRDefault="008D2643" w:rsidP="008D2643">
      <w:pPr>
        <w:rPr>
          <w:sz w:val="20"/>
          <w:szCs w:val="20"/>
        </w:rPr>
      </w:pPr>
      <w:r>
        <w:rPr>
          <w:rStyle w:val="CommentReference"/>
        </w:rPr>
        <w:annotationRef/>
      </w:r>
      <w:r w:rsidRPr="008D2643">
        <w:rPr>
          <w:sz w:val="20"/>
          <w:szCs w:val="20"/>
        </w:rPr>
        <w:t>Net Curd Weight refers to the weight of the edible, marketable portion of the curd, excluding non-edible parts such as leaves and stalk.</w:t>
      </w:r>
    </w:p>
    <w:p w14:paraId="1BC1E95A" w14:textId="7F433D3D" w:rsidR="008D2643" w:rsidRDefault="008D2643">
      <w:pPr>
        <w:pStyle w:val="CommentText"/>
      </w:pPr>
    </w:p>
  </w:comment>
  <w:comment w:id="10" w:author="AL-NOOR" w:date="2025-06-19T19:43:00Z" w:initials="AN">
    <w:p w14:paraId="692B403D" w14:textId="77777777" w:rsidR="0054365C" w:rsidRDefault="0054365C" w:rsidP="0054365C">
      <w:pPr>
        <w:pStyle w:val="CommentText"/>
      </w:pPr>
      <w:r>
        <w:rPr>
          <w:rStyle w:val="CommentReference"/>
        </w:rPr>
        <w:annotationRef/>
      </w:r>
      <w:r>
        <w:t>Inconsistent use of superscript or formatting in units (should be "ha⁻¹").</w:t>
      </w:r>
    </w:p>
    <w:p w14:paraId="3B4C4112" w14:textId="77777777" w:rsidR="0054365C" w:rsidRDefault="0054365C" w:rsidP="0054365C">
      <w:pPr>
        <w:pStyle w:val="CommentText"/>
      </w:pPr>
    </w:p>
    <w:p w14:paraId="7769325E" w14:textId="77777777" w:rsidR="0054365C" w:rsidRDefault="0054365C" w:rsidP="0054365C">
      <w:pPr>
        <w:pStyle w:val="CommentText"/>
      </w:pPr>
      <w:r>
        <w:t>Correction: Ensure all units use consistent notation:</w:t>
      </w:r>
    </w:p>
    <w:p w14:paraId="19BE3065" w14:textId="77777777" w:rsidR="0054365C" w:rsidRDefault="0054365C" w:rsidP="0054365C">
      <w:pPr>
        <w:pStyle w:val="CommentText"/>
      </w:pPr>
    </w:p>
    <w:p w14:paraId="20AAEAF1" w14:textId="30534A11" w:rsidR="0054365C" w:rsidRDefault="0054365C" w:rsidP="0054365C">
      <w:pPr>
        <w:pStyle w:val="CommentText"/>
      </w:pPr>
      <w:r>
        <w:t>"...291.28 q ha⁻¹..."</w:t>
      </w:r>
    </w:p>
  </w:comment>
  <w:comment w:id="11" w:author="AL-NOOR" w:date="2025-06-19T19:35:00Z" w:initials="AN">
    <w:p w14:paraId="09C7B703" w14:textId="01644592" w:rsidR="008D2643" w:rsidRDefault="008D2643">
      <w:pPr>
        <w:pStyle w:val="CommentText"/>
      </w:pPr>
      <w:r>
        <w:rPr>
          <w:rStyle w:val="CommentReference"/>
        </w:rPr>
        <w:annotationRef/>
      </w:r>
      <w:r w:rsidRPr="008D2643">
        <w:t>This statement repeats content already mentioned in the introduction and results.</w:t>
      </w:r>
    </w:p>
  </w:comment>
  <w:comment w:id="12" w:author="AL-NOOR" w:date="2025-06-19T19:37:00Z" w:initials="AN">
    <w:p w14:paraId="060DA0E3" w14:textId="77777777" w:rsidR="0054365C" w:rsidRDefault="0054365C" w:rsidP="0054365C">
      <w:pPr>
        <w:pStyle w:val="CommentText"/>
      </w:pPr>
      <w:r>
        <w:rPr>
          <w:rStyle w:val="CommentReference"/>
        </w:rPr>
        <w:annotationRef/>
      </w:r>
      <w:r>
        <w:t>Too many citations clustered in one sentence can overwhelm the reader and dilute clarity.</w:t>
      </w:r>
    </w:p>
    <w:p w14:paraId="53E1D9AA" w14:textId="77777777" w:rsidR="0054365C" w:rsidRDefault="0054365C" w:rsidP="0054365C">
      <w:pPr>
        <w:pStyle w:val="CommentText"/>
      </w:pPr>
    </w:p>
    <w:p w14:paraId="1A682740" w14:textId="77777777" w:rsidR="0054365C" w:rsidRDefault="0054365C" w:rsidP="0054365C">
      <w:pPr>
        <w:pStyle w:val="CommentText"/>
      </w:pPr>
      <w:r>
        <w:t>Suggested revision: Distribute references across multiple related points or consolidate:</w:t>
      </w:r>
    </w:p>
    <w:p w14:paraId="28B68995" w14:textId="77777777" w:rsidR="0054365C" w:rsidRDefault="0054365C" w:rsidP="0054365C">
      <w:pPr>
        <w:pStyle w:val="CommentText"/>
      </w:pPr>
    </w:p>
    <w:p w14:paraId="22F63C71" w14:textId="7DC8EFF8" w:rsidR="0054365C" w:rsidRDefault="0054365C" w:rsidP="0054365C">
      <w:pPr>
        <w:pStyle w:val="CommentText"/>
      </w:pPr>
      <w:r>
        <w:t>“This trend is supported by various studies (e.g., Abdel-Aziz et al., 2016; Panda et al., 2020</w:t>
      </w:r>
    </w:p>
  </w:comment>
  <w:comment w:id="13" w:author="AL-NOOR" w:date="2025-06-19T19:31:00Z" w:initials="AN">
    <w:p w14:paraId="76BB1555" w14:textId="5599D686" w:rsidR="008D2643" w:rsidRDefault="008D2643">
      <w:pPr>
        <w:pStyle w:val="CommentText"/>
      </w:pPr>
      <w:r>
        <w:rPr>
          <w:rStyle w:val="CommentReference"/>
        </w:rPr>
        <w:annotationRef/>
      </w:r>
      <w:r w:rsidRPr="008D2643">
        <w:t>...size, evaluated through polar and equatorial diameters, showed</w:t>
      </w:r>
    </w:p>
  </w:comment>
  <w:comment w:id="14" w:author="AL-NOOR" w:date="2025-06-19T19:49:00Z" w:initials="AN">
    <w:p w14:paraId="1C44A31F" w14:textId="54C5A6D0" w:rsidR="006D12EB" w:rsidRDefault="006D12EB" w:rsidP="006D12EB">
      <w:pPr>
        <w:pStyle w:val="CommentText"/>
      </w:pPr>
      <w:r>
        <w:rPr>
          <w:rStyle w:val="CommentReference"/>
        </w:rPr>
        <w:annotationRef/>
      </w:r>
      <w:r>
        <w:t xml:space="preserve"> The sentence assumes causality without direct experimental proof.</w:t>
      </w:r>
    </w:p>
    <w:p w14:paraId="10329D01" w14:textId="77777777" w:rsidR="006D12EB" w:rsidRDefault="006D12EB" w:rsidP="006D12EB">
      <w:pPr>
        <w:pStyle w:val="CommentText"/>
      </w:pPr>
    </w:p>
    <w:p w14:paraId="00BDE072" w14:textId="77777777" w:rsidR="006D12EB" w:rsidRDefault="006D12EB" w:rsidP="006D12EB">
      <w:pPr>
        <w:pStyle w:val="CommentText"/>
      </w:pPr>
      <w:r>
        <w:t>Suggestion: Use cautious language:</w:t>
      </w:r>
    </w:p>
    <w:p w14:paraId="0F5827EB" w14:textId="77777777" w:rsidR="006D12EB" w:rsidRDefault="006D12EB" w:rsidP="006D12EB">
      <w:pPr>
        <w:pStyle w:val="CommentText"/>
      </w:pPr>
    </w:p>
    <w:p w14:paraId="6412500A" w14:textId="4400262F" w:rsidR="006D12EB" w:rsidRDefault="006D12EB" w:rsidP="006D12EB">
      <w:pPr>
        <w:pStyle w:val="CommentText"/>
      </w:pPr>
      <w:r>
        <w:t>“...which may contribute to denser and heavier curds.”</w:t>
      </w:r>
    </w:p>
  </w:comment>
  <w:comment w:id="15" w:author="AL-NOOR" w:date="2025-06-19T19:52:00Z" w:initials="AN">
    <w:p w14:paraId="5F8BE549" w14:textId="77777777" w:rsidR="006D12EB" w:rsidRDefault="006D12EB" w:rsidP="006D12EB">
      <w:pPr>
        <w:pStyle w:val="CommentText"/>
      </w:pPr>
      <w:r>
        <w:rPr>
          <w:rStyle w:val="CommentReference"/>
        </w:rPr>
        <w:annotationRef/>
      </w:r>
      <w:r>
        <w:t>This reiterates content already stated earlier without adding new insight.</w:t>
      </w:r>
    </w:p>
    <w:p w14:paraId="14E7F990" w14:textId="77777777" w:rsidR="006D12EB" w:rsidRDefault="006D12EB" w:rsidP="006D12EB">
      <w:pPr>
        <w:pStyle w:val="CommentText"/>
      </w:pPr>
    </w:p>
    <w:p w14:paraId="225DCD33" w14:textId="77777777" w:rsidR="006D12EB" w:rsidRDefault="006D12EB" w:rsidP="006D12EB">
      <w:pPr>
        <w:pStyle w:val="CommentText"/>
      </w:pPr>
      <w:r>
        <w:t>Suggested revision: Shorten and sharpen:</w:t>
      </w:r>
    </w:p>
    <w:p w14:paraId="0395E6BC" w14:textId="77777777" w:rsidR="006D12EB" w:rsidRDefault="006D12EB" w:rsidP="006D12EB">
      <w:pPr>
        <w:pStyle w:val="CommentText"/>
      </w:pPr>
    </w:p>
    <w:p w14:paraId="3D9D5187" w14:textId="28C17F88" w:rsidR="006D12EB" w:rsidRDefault="006D12EB" w:rsidP="006D12EB">
      <w:pPr>
        <w:pStyle w:val="CommentText"/>
      </w:pPr>
      <w:r>
        <w:t>“Integrated nano-NPK application with reduced conventional fertilizers improved cauliflower growth and yield.”</w:t>
      </w:r>
    </w:p>
  </w:comment>
  <w:comment w:id="16" w:author="AL-NOOR" w:date="2025-06-19T19:53:00Z" w:initials="AN">
    <w:p w14:paraId="76CE3776" w14:textId="77777777" w:rsidR="006D12EB" w:rsidRDefault="006D12EB" w:rsidP="006D12EB">
      <w:pPr>
        <w:pStyle w:val="CommentText"/>
      </w:pPr>
      <w:r>
        <w:rPr>
          <w:rStyle w:val="CommentReference"/>
        </w:rPr>
        <w:annotationRef/>
      </w:r>
      <w:r>
        <w:t>Overgeneralization. Results were specific to Himachal Pradesh; it’s risky to generalize without further trials.</w:t>
      </w:r>
    </w:p>
    <w:p w14:paraId="603296A9" w14:textId="77777777" w:rsidR="006D12EB" w:rsidRDefault="006D12EB" w:rsidP="006D12EB">
      <w:pPr>
        <w:pStyle w:val="CommentText"/>
      </w:pPr>
    </w:p>
    <w:p w14:paraId="0FCAC7B6" w14:textId="77777777" w:rsidR="006D12EB" w:rsidRDefault="006D12EB" w:rsidP="006D12EB">
      <w:pPr>
        <w:pStyle w:val="CommentText"/>
      </w:pPr>
      <w:r>
        <w:t>Suggested revision:</w:t>
      </w:r>
    </w:p>
    <w:p w14:paraId="715C3D52" w14:textId="77777777" w:rsidR="006D12EB" w:rsidRDefault="006D12EB" w:rsidP="006D12EB">
      <w:pPr>
        <w:pStyle w:val="CommentText"/>
      </w:pPr>
    </w:p>
    <w:p w14:paraId="224657F4" w14:textId="7AA9796F" w:rsidR="006D12EB" w:rsidRDefault="006D12EB" w:rsidP="006D12EB">
      <w:pPr>
        <w:pStyle w:val="CommentText"/>
      </w:pPr>
      <w:r>
        <w:t xml:space="preserve">“...may contribute to improved cauliflower cultivation under similar </w:t>
      </w:r>
      <w:proofErr w:type="spellStart"/>
      <w:r>
        <w:t>agro</w:t>
      </w:r>
      <w:proofErr w:type="spellEnd"/>
      <w:r>
        <w:t>-climatic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5210B8" w15:done="0"/>
  <w15:commentEx w15:paraId="28BFF8D8" w15:done="0"/>
  <w15:commentEx w15:paraId="3D755945" w15:done="0"/>
  <w15:commentEx w15:paraId="25F9478D" w15:done="0"/>
  <w15:commentEx w15:paraId="2AA72213" w15:done="0"/>
  <w15:commentEx w15:paraId="35DA89BA" w15:done="0"/>
  <w15:commentEx w15:paraId="0EDD15AE" w15:done="0"/>
  <w15:commentEx w15:paraId="3EE73E49" w15:done="0"/>
  <w15:commentEx w15:paraId="3A9DC413" w15:done="0"/>
  <w15:commentEx w15:paraId="1BC1E95A" w15:done="0"/>
  <w15:commentEx w15:paraId="20AAEAF1" w15:done="0"/>
  <w15:commentEx w15:paraId="09C7B703" w15:done="0"/>
  <w15:commentEx w15:paraId="22F63C71" w15:done="0"/>
  <w15:commentEx w15:paraId="76BB1555" w15:done="0"/>
  <w15:commentEx w15:paraId="6412500A" w15:done="0"/>
  <w15:commentEx w15:paraId="3D9D5187" w15:done="0"/>
  <w15:commentEx w15:paraId="22465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EAEDE7" w16cex:dateUtc="2025-06-19T15:30:00Z"/>
  <w16cex:commentExtensible w16cex:durableId="44A97F2B" w16cex:dateUtc="2025-06-19T15:33:00Z"/>
  <w16cex:commentExtensible w16cex:durableId="1821C017" w16cex:dateUtc="2025-06-19T15:34:00Z"/>
  <w16cex:commentExtensible w16cex:durableId="5D488F61" w16cex:dateUtc="2025-06-19T15:38:00Z"/>
  <w16cex:commentExtensible w16cex:durableId="3E5BF8B4" w16cex:dateUtc="2025-06-19T15:40:00Z"/>
  <w16cex:commentExtensible w16cex:durableId="04B88E06" w16cex:dateUtc="2025-06-19T15:43:00Z"/>
  <w16cex:commentExtensible w16cex:durableId="6A701F00" w16cex:dateUtc="2025-06-19T15:45:00Z"/>
  <w16cex:commentExtensible w16cex:durableId="53070EA7" w16cex:dateUtc="2025-06-19T15:49:00Z"/>
  <w16cex:commentExtensible w16cex:durableId="588D7510" w16cex:dateUtc="2025-06-19T15:59:00Z"/>
  <w16cex:commentExtensible w16cex:durableId="0BC6CA4F" w16cex:dateUtc="2025-06-19T16:25:00Z"/>
  <w16cex:commentExtensible w16cex:durableId="44E93E65" w16cex:dateUtc="2025-06-19T16:43:00Z"/>
  <w16cex:commentExtensible w16cex:durableId="2EE0133C" w16cex:dateUtc="2025-06-19T16:35:00Z"/>
  <w16cex:commentExtensible w16cex:durableId="21EF93B3" w16cex:dateUtc="2025-06-19T16:37:00Z"/>
  <w16cex:commentExtensible w16cex:durableId="148C2627" w16cex:dateUtc="2025-06-19T16:31:00Z"/>
  <w16cex:commentExtensible w16cex:durableId="2646F8BB" w16cex:dateUtc="2025-06-19T16:49:00Z"/>
  <w16cex:commentExtensible w16cex:durableId="0DDCD03D" w16cex:dateUtc="2025-06-19T16:52:00Z"/>
  <w16cex:commentExtensible w16cex:durableId="5F810922" w16cex:dateUtc="2025-06-19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5210B8" w16cid:durableId="08EAEDE7"/>
  <w16cid:commentId w16cid:paraId="28BFF8D8" w16cid:durableId="44A97F2B"/>
  <w16cid:commentId w16cid:paraId="3D755945" w16cid:durableId="1821C017"/>
  <w16cid:commentId w16cid:paraId="25F9478D" w16cid:durableId="5D488F61"/>
  <w16cid:commentId w16cid:paraId="2AA72213" w16cid:durableId="3E5BF8B4"/>
  <w16cid:commentId w16cid:paraId="35DA89BA" w16cid:durableId="04B88E06"/>
  <w16cid:commentId w16cid:paraId="0EDD15AE" w16cid:durableId="6A701F00"/>
  <w16cid:commentId w16cid:paraId="3EE73E49" w16cid:durableId="53070EA7"/>
  <w16cid:commentId w16cid:paraId="3A9DC413" w16cid:durableId="588D7510"/>
  <w16cid:commentId w16cid:paraId="1BC1E95A" w16cid:durableId="0BC6CA4F"/>
  <w16cid:commentId w16cid:paraId="20AAEAF1" w16cid:durableId="44E93E65"/>
  <w16cid:commentId w16cid:paraId="09C7B703" w16cid:durableId="2EE0133C"/>
  <w16cid:commentId w16cid:paraId="22F63C71" w16cid:durableId="21EF93B3"/>
  <w16cid:commentId w16cid:paraId="76BB1555" w16cid:durableId="148C2627"/>
  <w16cid:commentId w16cid:paraId="6412500A" w16cid:durableId="2646F8BB"/>
  <w16cid:commentId w16cid:paraId="3D9D5187" w16cid:durableId="0DDCD03D"/>
  <w16cid:commentId w16cid:paraId="224657F4" w16cid:durableId="5F810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5C1B" w14:textId="77777777" w:rsidR="00091024" w:rsidRDefault="00091024" w:rsidP="00866E56">
      <w:pPr>
        <w:spacing w:after="0" w:line="240" w:lineRule="auto"/>
      </w:pPr>
      <w:r>
        <w:separator/>
      </w:r>
    </w:p>
  </w:endnote>
  <w:endnote w:type="continuationSeparator" w:id="0">
    <w:p w14:paraId="33BB4745" w14:textId="77777777" w:rsidR="00091024" w:rsidRDefault="00091024" w:rsidP="0086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931B" w14:textId="77777777" w:rsidR="00866E56" w:rsidRDefault="0086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0036" w14:textId="77777777" w:rsidR="00866E56" w:rsidRDefault="0086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4914" w14:textId="77777777" w:rsidR="00866E56" w:rsidRDefault="008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A6F6" w14:textId="77777777" w:rsidR="00091024" w:rsidRDefault="00091024" w:rsidP="00866E56">
      <w:pPr>
        <w:spacing w:after="0" w:line="240" w:lineRule="auto"/>
      </w:pPr>
      <w:r>
        <w:separator/>
      </w:r>
    </w:p>
  </w:footnote>
  <w:footnote w:type="continuationSeparator" w:id="0">
    <w:p w14:paraId="3D79184B" w14:textId="77777777" w:rsidR="00091024" w:rsidRDefault="00091024" w:rsidP="0086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48E2" w14:textId="220E117B" w:rsidR="00866E56" w:rsidRDefault="00000000">
    <w:pPr>
      <w:pStyle w:val="Header"/>
    </w:pPr>
    <w:r>
      <w:rPr>
        <w:noProof/>
      </w:rPr>
      <w:pict w14:anchorId="2DB8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125B" w14:textId="4D0CE4C4" w:rsidR="00866E56" w:rsidRDefault="00000000">
    <w:pPr>
      <w:pStyle w:val="Header"/>
    </w:pPr>
    <w:r>
      <w:rPr>
        <w:noProof/>
      </w:rPr>
      <w:pict w14:anchorId="616D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1E1F" w14:textId="492CA820" w:rsidR="00866E56" w:rsidRDefault="00000000">
    <w:pPr>
      <w:pStyle w:val="Header"/>
    </w:pPr>
    <w:r>
      <w:rPr>
        <w:noProof/>
      </w:rPr>
      <w:pict w14:anchorId="1DCC7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NOOR">
    <w15:presenceInfo w15:providerId="None" w15:userId="AL-NO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B3"/>
    <w:rsid w:val="00091024"/>
    <w:rsid w:val="000978DF"/>
    <w:rsid w:val="001865B8"/>
    <w:rsid w:val="00187A02"/>
    <w:rsid w:val="001F08B3"/>
    <w:rsid w:val="002A124A"/>
    <w:rsid w:val="00347872"/>
    <w:rsid w:val="00392A2B"/>
    <w:rsid w:val="003A2F42"/>
    <w:rsid w:val="003F058C"/>
    <w:rsid w:val="00402201"/>
    <w:rsid w:val="00421274"/>
    <w:rsid w:val="00454938"/>
    <w:rsid w:val="004B4CDD"/>
    <w:rsid w:val="0054365C"/>
    <w:rsid w:val="0055756F"/>
    <w:rsid w:val="006923EC"/>
    <w:rsid w:val="006D12EB"/>
    <w:rsid w:val="007072F5"/>
    <w:rsid w:val="00752C41"/>
    <w:rsid w:val="007915D2"/>
    <w:rsid w:val="008605FB"/>
    <w:rsid w:val="00866E56"/>
    <w:rsid w:val="008D2643"/>
    <w:rsid w:val="009942E1"/>
    <w:rsid w:val="009B23BA"/>
    <w:rsid w:val="00A55687"/>
    <w:rsid w:val="00BD5973"/>
    <w:rsid w:val="00BF6888"/>
    <w:rsid w:val="00C65901"/>
    <w:rsid w:val="00CA55F9"/>
    <w:rsid w:val="00CB6811"/>
    <w:rsid w:val="00D540C3"/>
    <w:rsid w:val="00E3064E"/>
    <w:rsid w:val="00E408DB"/>
    <w:rsid w:val="00FF0D9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308D"/>
  <w15:chartTrackingRefBased/>
  <w15:docId w15:val="{FA3A99D9-F416-4EA9-AD47-E1560F7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B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8B3"/>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0978DF"/>
    <w:rPr>
      <w:i/>
      <w:iCs/>
    </w:rPr>
  </w:style>
  <w:style w:type="character" w:styleId="Strong">
    <w:name w:val="Strong"/>
    <w:basedOn w:val="DefaultParagraphFont"/>
    <w:uiPriority w:val="22"/>
    <w:qFormat/>
    <w:rsid w:val="000978DF"/>
    <w:rPr>
      <w:b/>
      <w:bCs/>
    </w:rPr>
  </w:style>
  <w:style w:type="character" w:styleId="Hyperlink">
    <w:name w:val="Hyperlink"/>
    <w:uiPriority w:val="99"/>
    <w:unhideWhenUsed/>
    <w:rsid w:val="00C65901"/>
    <w:rPr>
      <w:color w:val="0563C1"/>
      <w:u w:val="single"/>
    </w:rPr>
  </w:style>
  <w:style w:type="character" w:styleId="UnresolvedMention">
    <w:name w:val="Unresolved Mention"/>
    <w:basedOn w:val="DefaultParagraphFont"/>
    <w:uiPriority w:val="99"/>
    <w:semiHidden/>
    <w:unhideWhenUsed/>
    <w:rsid w:val="00454938"/>
    <w:rPr>
      <w:color w:val="605E5C"/>
      <w:shd w:val="clear" w:color="auto" w:fill="E1DFDD"/>
    </w:rPr>
  </w:style>
  <w:style w:type="paragraph" w:styleId="Header">
    <w:name w:val="header"/>
    <w:basedOn w:val="Normal"/>
    <w:link w:val="HeaderChar"/>
    <w:uiPriority w:val="99"/>
    <w:unhideWhenUsed/>
    <w:rsid w:val="0086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56"/>
    <w:rPr>
      <w:rFonts w:ascii="Calibri" w:eastAsia="Calibri" w:hAnsi="Calibri" w:cs="Times New Roman"/>
    </w:rPr>
  </w:style>
  <w:style w:type="paragraph" w:styleId="Footer">
    <w:name w:val="footer"/>
    <w:basedOn w:val="Normal"/>
    <w:link w:val="FooterChar"/>
    <w:uiPriority w:val="99"/>
    <w:unhideWhenUsed/>
    <w:rsid w:val="0086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56"/>
    <w:rPr>
      <w:rFonts w:ascii="Calibri" w:eastAsia="Calibri" w:hAnsi="Calibri" w:cs="Times New Roman"/>
    </w:rPr>
  </w:style>
  <w:style w:type="character" w:styleId="CommentReference">
    <w:name w:val="annotation reference"/>
    <w:basedOn w:val="DefaultParagraphFont"/>
    <w:uiPriority w:val="99"/>
    <w:semiHidden/>
    <w:unhideWhenUsed/>
    <w:rsid w:val="00752C41"/>
    <w:rPr>
      <w:sz w:val="16"/>
      <w:szCs w:val="16"/>
    </w:rPr>
  </w:style>
  <w:style w:type="paragraph" w:styleId="CommentText">
    <w:name w:val="annotation text"/>
    <w:basedOn w:val="Normal"/>
    <w:link w:val="CommentTextChar"/>
    <w:uiPriority w:val="99"/>
    <w:semiHidden/>
    <w:unhideWhenUsed/>
    <w:rsid w:val="00752C41"/>
    <w:pPr>
      <w:spacing w:line="240" w:lineRule="auto"/>
    </w:pPr>
    <w:rPr>
      <w:sz w:val="20"/>
      <w:szCs w:val="20"/>
    </w:rPr>
  </w:style>
  <w:style w:type="character" w:customStyle="1" w:styleId="CommentTextChar">
    <w:name w:val="Comment Text Char"/>
    <w:basedOn w:val="DefaultParagraphFont"/>
    <w:link w:val="CommentText"/>
    <w:uiPriority w:val="99"/>
    <w:semiHidden/>
    <w:rsid w:val="00752C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2C41"/>
    <w:rPr>
      <w:b/>
      <w:bCs/>
    </w:rPr>
  </w:style>
  <w:style w:type="character" w:customStyle="1" w:styleId="CommentSubjectChar">
    <w:name w:val="Comment Subject Char"/>
    <w:basedOn w:val="CommentTextChar"/>
    <w:link w:val="CommentSubject"/>
    <w:uiPriority w:val="99"/>
    <w:semiHidden/>
    <w:rsid w:val="00752C4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7200">
      <w:bodyDiv w:val="1"/>
      <w:marLeft w:val="0"/>
      <w:marRight w:val="0"/>
      <w:marTop w:val="0"/>
      <w:marBottom w:val="0"/>
      <w:divBdr>
        <w:top w:val="none" w:sz="0" w:space="0" w:color="auto"/>
        <w:left w:val="none" w:sz="0" w:space="0" w:color="auto"/>
        <w:bottom w:val="none" w:sz="0" w:space="0" w:color="auto"/>
        <w:right w:val="none" w:sz="0" w:space="0" w:color="auto"/>
      </w:divBdr>
    </w:div>
    <w:div w:id="69278224">
      <w:bodyDiv w:val="1"/>
      <w:marLeft w:val="0"/>
      <w:marRight w:val="0"/>
      <w:marTop w:val="0"/>
      <w:marBottom w:val="0"/>
      <w:divBdr>
        <w:top w:val="none" w:sz="0" w:space="0" w:color="auto"/>
        <w:left w:val="none" w:sz="0" w:space="0" w:color="auto"/>
        <w:bottom w:val="none" w:sz="0" w:space="0" w:color="auto"/>
        <w:right w:val="none" w:sz="0" w:space="0" w:color="auto"/>
      </w:divBdr>
    </w:div>
    <w:div w:id="74134527">
      <w:bodyDiv w:val="1"/>
      <w:marLeft w:val="0"/>
      <w:marRight w:val="0"/>
      <w:marTop w:val="0"/>
      <w:marBottom w:val="0"/>
      <w:divBdr>
        <w:top w:val="none" w:sz="0" w:space="0" w:color="auto"/>
        <w:left w:val="none" w:sz="0" w:space="0" w:color="auto"/>
        <w:bottom w:val="none" w:sz="0" w:space="0" w:color="auto"/>
        <w:right w:val="none" w:sz="0" w:space="0" w:color="auto"/>
      </w:divBdr>
    </w:div>
    <w:div w:id="107164045">
      <w:bodyDiv w:val="1"/>
      <w:marLeft w:val="0"/>
      <w:marRight w:val="0"/>
      <w:marTop w:val="0"/>
      <w:marBottom w:val="0"/>
      <w:divBdr>
        <w:top w:val="none" w:sz="0" w:space="0" w:color="auto"/>
        <w:left w:val="none" w:sz="0" w:space="0" w:color="auto"/>
        <w:bottom w:val="none" w:sz="0" w:space="0" w:color="auto"/>
        <w:right w:val="none" w:sz="0" w:space="0" w:color="auto"/>
      </w:divBdr>
    </w:div>
    <w:div w:id="166016741">
      <w:bodyDiv w:val="1"/>
      <w:marLeft w:val="0"/>
      <w:marRight w:val="0"/>
      <w:marTop w:val="0"/>
      <w:marBottom w:val="0"/>
      <w:divBdr>
        <w:top w:val="none" w:sz="0" w:space="0" w:color="auto"/>
        <w:left w:val="none" w:sz="0" w:space="0" w:color="auto"/>
        <w:bottom w:val="none" w:sz="0" w:space="0" w:color="auto"/>
        <w:right w:val="none" w:sz="0" w:space="0" w:color="auto"/>
      </w:divBdr>
    </w:div>
    <w:div w:id="181476901">
      <w:bodyDiv w:val="1"/>
      <w:marLeft w:val="0"/>
      <w:marRight w:val="0"/>
      <w:marTop w:val="0"/>
      <w:marBottom w:val="0"/>
      <w:divBdr>
        <w:top w:val="none" w:sz="0" w:space="0" w:color="auto"/>
        <w:left w:val="none" w:sz="0" w:space="0" w:color="auto"/>
        <w:bottom w:val="none" w:sz="0" w:space="0" w:color="auto"/>
        <w:right w:val="none" w:sz="0" w:space="0" w:color="auto"/>
      </w:divBdr>
    </w:div>
    <w:div w:id="480655427">
      <w:bodyDiv w:val="1"/>
      <w:marLeft w:val="0"/>
      <w:marRight w:val="0"/>
      <w:marTop w:val="0"/>
      <w:marBottom w:val="0"/>
      <w:divBdr>
        <w:top w:val="none" w:sz="0" w:space="0" w:color="auto"/>
        <w:left w:val="none" w:sz="0" w:space="0" w:color="auto"/>
        <w:bottom w:val="none" w:sz="0" w:space="0" w:color="auto"/>
        <w:right w:val="none" w:sz="0" w:space="0" w:color="auto"/>
      </w:divBdr>
    </w:div>
    <w:div w:id="495808499">
      <w:bodyDiv w:val="1"/>
      <w:marLeft w:val="0"/>
      <w:marRight w:val="0"/>
      <w:marTop w:val="0"/>
      <w:marBottom w:val="0"/>
      <w:divBdr>
        <w:top w:val="none" w:sz="0" w:space="0" w:color="auto"/>
        <w:left w:val="none" w:sz="0" w:space="0" w:color="auto"/>
        <w:bottom w:val="none" w:sz="0" w:space="0" w:color="auto"/>
        <w:right w:val="none" w:sz="0" w:space="0" w:color="auto"/>
      </w:divBdr>
    </w:div>
    <w:div w:id="525486276">
      <w:bodyDiv w:val="1"/>
      <w:marLeft w:val="0"/>
      <w:marRight w:val="0"/>
      <w:marTop w:val="0"/>
      <w:marBottom w:val="0"/>
      <w:divBdr>
        <w:top w:val="none" w:sz="0" w:space="0" w:color="auto"/>
        <w:left w:val="none" w:sz="0" w:space="0" w:color="auto"/>
        <w:bottom w:val="none" w:sz="0" w:space="0" w:color="auto"/>
        <w:right w:val="none" w:sz="0" w:space="0" w:color="auto"/>
      </w:divBdr>
    </w:div>
    <w:div w:id="571358102">
      <w:bodyDiv w:val="1"/>
      <w:marLeft w:val="0"/>
      <w:marRight w:val="0"/>
      <w:marTop w:val="0"/>
      <w:marBottom w:val="0"/>
      <w:divBdr>
        <w:top w:val="none" w:sz="0" w:space="0" w:color="auto"/>
        <w:left w:val="none" w:sz="0" w:space="0" w:color="auto"/>
        <w:bottom w:val="none" w:sz="0" w:space="0" w:color="auto"/>
        <w:right w:val="none" w:sz="0" w:space="0" w:color="auto"/>
      </w:divBdr>
    </w:div>
    <w:div w:id="572810868">
      <w:bodyDiv w:val="1"/>
      <w:marLeft w:val="0"/>
      <w:marRight w:val="0"/>
      <w:marTop w:val="0"/>
      <w:marBottom w:val="0"/>
      <w:divBdr>
        <w:top w:val="none" w:sz="0" w:space="0" w:color="auto"/>
        <w:left w:val="none" w:sz="0" w:space="0" w:color="auto"/>
        <w:bottom w:val="none" w:sz="0" w:space="0" w:color="auto"/>
        <w:right w:val="none" w:sz="0" w:space="0" w:color="auto"/>
      </w:divBdr>
    </w:div>
    <w:div w:id="736822979">
      <w:bodyDiv w:val="1"/>
      <w:marLeft w:val="0"/>
      <w:marRight w:val="0"/>
      <w:marTop w:val="0"/>
      <w:marBottom w:val="0"/>
      <w:divBdr>
        <w:top w:val="none" w:sz="0" w:space="0" w:color="auto"/>
        <w:left w:val="none" w:sz="0" w:space="0" w:color="auto"/>
        <w:bottom w:val="none" w:sz="0" w:space="0" w:color="auto"/>
        <w:right w:val="none" w:sz="0" w:space="0" w:color="auto"/>
      </w:divBdr>
    </w:div>
    <w:div w:id="741173799">
      <w:bodyDiv w:val="1"/>
      <w:marLeft w:val="0"/>
      <w:marRight w:val="0"/>
      <w:marTop w:val="0"/>
      <w:marBottom w:val="0"/>
      <w:divBdr>
        <w:top w:val="none" w:sz="0" w:space="0" w:color="auto"/>
        <w:left w:val="none" w:sz="0" w:space="0" w:color="auto"/>
        <w:bottom w:val="none" w:sz="0" w:space="0" w:color="auto"/>
        <w:right w:val="none" w:sz="0" w:space="0" w:color="auto"/>
      </w:divBdr>
    </w:div>
    <w:div w:id="766463126">
      <w:bodyDiv w:val="1"/>
      <w:marLeft w:val="0"/>
      <w:marRight w:val="0"/>
      <w:marTop w:val="0"/>
      <w:marBottom w:val="0"/>
      <w:divBdr>
        <w:top w:val="none" w:sz="0" w:space="0" w:color="auto"/>
        <w:left w:val="none" w:sz="0" w:space="0" w:color="auto"/>
        <w:bottom w:val="none" w:sz="0" w:space="0" w:color="auto"/>
        <w:right w:val="none" w:sz="0" w:space="0" w:color="auto"/>
      </w:divBdr>
    </w:div>
    <w:div w:id="876895603">
      <w:bodyDiv w:val="1"/>
      <w:marLeft w:val="0"/>
      <w:marRight w:val="0"/>
      <w:marTop w:val="0"/>
      <w:marBottom w:val="0"/>
      <w:divBdr>
        <w:top w:val="none" w:sz="0" w:space="0" w:color="auto"/>
        <w:left w:val="none" w:sz="0" w:space="0" w:color="auto"/>
        <w:bottom w:val="none" w:sz="0" w:space="0" w:color="auto"/>
        <w:right w:val="none" w:sz="0" w:space="0" w:color="auto"/>
      </w:divBdr>
    </w:div>
    <w:div w:id="929777429">
      <w:bodyDiv w:val="1"/>
      <w:marLeft w:val="0"/>
      <w:marRight w:val="0"/>
      <w:marTop w:val="0"/>
      <w:marBottom w:val="0"/>
      <w:divBdr>
        <w:top w:val="none" w:sz="0" w:space="0" w:color="auto"/>
        <w:left w:val="none" w:sz="0" w:space="0" w:color="auto"/>
        <w:bottom w:val="none" w:sz="0" w:space="0" w:color="auto"/>
        <w:right w:val="none" w:sz="0" w:space="0" w:color="auto"/>
      </w:divBdr>
      <w:divsChild>
        <w:div w:id="1656378395">
          <w:marLeft w:val="0"/>
          <w:marRight w:val="0"/>
          <w:marTop w:val="0"/>
          <w:marBottom w:val="0"/>
          <w:divBdr>
            <w:top w:val="none" w:sz="0" w:space="0" w:color="auto"/>
            <w:left w:val="none" w:sz="0" w:space="0" w:color="auto"/>
            <w:bottom w:val="none" w:sz="0" w:space="0" w:color="auto"/>
            <w:right w:val="none" w:sz="0" w:space="0" w:color="auto"/>
          </w:divBdr>
          <w:divsChild>
            <w:div w:id="175652841">
              <w:marLeft w:val="0"/>
              <w:marRight w:val="0"/>
              <w:marTop w:val="0"/>
              <w:marBottom w:val="0"/>
              <w:divBdr>
                <w:top w:val="none" w:sz="0" w:space="0" w:color="auto"/>
                <w:left w:val="none" w:sz="0" w:space="0" w:color="auto"/>
                <w:bottom w:val="none" w:sz="0" w:space="0" w:color="auto"/>
                <w:right w:val="none" w:sz="0" w:space="0" w:color="auto"/>
              </w:divBdr>
              <w:divsChild>
                <w:div w:id="1739403474">
                  <w:marLeft w:val="0"/>
                  <w:marRight w:val="0"/>
                  <w:marTop w:val="0"/>
                  <w:marBottom w:val="0"/>
                  <w:divBdr>
                    <w:top w:val="none" w:sz="0" w:space="0" w:color="auto"/>
                    <w:left w:val="none" w:sz="0" w:space="0" w:color="auto"/>
                    <w:bottom w:val="none" w:sz="0" w:space="0" w:color="auto"/>
                    <w:right w:val="none" w:sz="0" w:space="0" w:color="auto"/>
                  </w:divBdr>
                  <w:divsChild>
                    <w:div w:id="1238981628">
                      <w:marLeft w:val="0"/>
                      <w:marRight w:val="0"/>
                      <w:marTop w:val="0"/>
                      <w:marBottom w:val="0"/>
                      <w:divBdr>
                        <w:top w:val="none" w:sz="0" w:space="0" w:color="auto"/>
                        <w:left w:val="none" w:sz="0" w:space="0" w:color="auto"/>
                        <w:bottom w:val="none" w:sz="0" w:space="0" w:color="auto"/>
                        <w:right w:val="none" w:sz="0" w:space="0" w:color="auto"/>
                      </w:divBdr>
                      <w:divsChild>
                        <w:div w:id="1866672980">
                          <w:marLeft w:val="0"/>
                          <w:marRight w:val="0"/>
                          <w:marTop w:val="0"/>
                          <w:marBottom w:val="0"/>
                          <w:divBdr>
                            <w:top w:val="none" w:sz="0" w:space="0" w:color="auto"/>
                            <w:left w:val="none" w:sz="0" w:space="0" w:color="auto"/>
                            <w:bottom w:val="none" w:sz="0" w:space="0" w:color="auto"/>
                            <w:right w:val="none" w:sz="0" w:space="0" w:color="auto"/>
                          </w:divBdr>
                          <w:divsChild>
                            <w:div w:id="27225559">
                              <w:marLeft w:val="0"/>
                              <w:marRight w:val="0"/>
                              <w:marTop w:val="0"/>
                              <w:marBottom w:val="0"/>
                              <w:divBdr>
                                <w:top w:val="none" w:sz="0" w:space="0" w:color="auto"/>
                                <w:left w:val="none" w:sz="0" w:space="0" w:color="auto"/>
                                <w:bottom w:val="none" w:sz="0" w:space="0" w:color="auto"/>
                                <w:right w:val="none" w:sz="0" w:space="0" w:color="auto"/>
                              </w:divBdr>
                              <w:divsChild>
                                <w:div w:id="606350953">
                                  <w:marLeft w:val="0"/>
                                  <w:marRight w:val="0"/>
                                  <w:marTop w:val="0"/>
                                  <w:marBottom w:val="0"/>
                                  <w:divBdr>
                                    <w:top w:val="none" w:sz="0" w:space="0" w:color="auto"/>
                                    <w:left w:val="none" w:sz="0" w:space="0" w:color="auto"/>
                                    <w:bottom w:val="none" w:sz="0" w:space="0" w:color="auto"/>
                                    <w:right w:val="none" w:sz="0" w:space="0" w:color="auto"/>
                                  </w:divBdr>
                                  <w:divsChild>
                                    <w:div w:id="16583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119669">
      <w:bodyDiv w:val="1"/>
      <w:marLeft w:val="0"/>
      <w:marRight w:val="0"/>
      <w:marTop w:val="0"/>
      <w:marBottom w:val="0"/>
      <w:divBdr>
        <w:top w:val="none" w:sz="0" w:space="0" w:color="auto"/>
        <w:left w:val="none" w:sz="0" w:space="0" w:color="auto"/>
        <w:bottom w:val="none" w:sz="0" w:space="0" w:color="auto"/>
        <w:right w:val="none" w:sz="0" w:space="0" w:color="auto"/>
      </w:divBdr>
    </w:div>
    <w:div w:id="1057902539">
      <w:bodyDiv w:val="1"/>
      <w:marLeft w:val="0"/>
      <w:marRight w:val="0"/>
      <w:marTop w:val="0"/>
      <w:marBottom w:val="0"/>
      <w:divBdr>
        <w:top w:val="none" w:sz="0" w:space="0" w:color="auto"/>
        <w:left w:val="none" w:sz="0" w:space="0" w:color="auto"/>
        <w:bottom w:val="none" w:sz="0" w:space="0" w:color="auto"/>
        <w:right w:val="none" w:sz="0" w:space="0" w:color="auto"/>
      </w:divBdr>
    </w:div>
    <w:div w:id="1069353435">
      <w:bodyDiv w:val="1"/>
      <w:marLeft w:val="0"/>
      <w:marRight w:val="0"/>
      <w:marTop w:val="0"/>
      <w:marBottom w:val="0"/>
      <w:divBdr>
        <w:top w:val="none" w:sz="0" w:space="0" w:color="auto"/>
        <w:left w:val="none" w:sz="0" w:space="0" w:color="auto"/>
        <w:bottom w:val="none" w:sz="0" w:space="0" w:color="auto"/>
        <w:right w:val="none" w:sz="0" w:space="0" w:color="auto"/>
      </w:divBdr>
    </w:div>
    <w:div w:id="1103116109">
      <w:bodyDiv w:val="1"/>
      <w:marLeft w:val="0"/>
      <w:marRight w:val="0"/>
      <w:marTop w:val="0"/>
      <w:marBottom w:val="0"/>
      <w:divBdr>
        <w:top w:val="none" w:sz="0" w:space="0" w:color="auto"/>
        <w:left w:val="none" w:sz="0" w:space="0" w:color="auto"/>
        <w:bottom w:val="none" w:sz="0" w:space="0" w:color="auto"/>
        <w:right w:val="none" w:sz="0" w:space="0" w:color="auto"/>
      </w:divBdr>
    </w:div>
    <w:div w:id="1110785546">
      <w:bodyDiv w:val="1"/>
      <w:marLeft w:val="0"/>
      <w:marRight w:val="0"/>
      <w:marTop w:val="0"/>
      <w:marBottom w:val="0"/>
      <w:divBdr>
        <w:top w:val="none" w:sz="0" w:space="0" w:color="auto"/>
        <w:left w:val="none" w:sz="0" w:space="0" w:color="auto"/>
        <w:bottom w:val="none" w:sz="0" w:space="0" w:color="auto"/>
        <w:right w:val="none" w:sz="0" w:space="0" w:color="auto"/>
      </w:divBdr>
    </w:div>
    <w:div w:id="1121802062">
      <w:bodyDiv w:val="1"/>
      <w:marLeft w:val="0"/>
      <w:marRight w:val="0"/>
      <w:marTop w:val="0"/>
      <w:marBottom w:val="0"/>
      <w:divBdr>
        <w:top w:val="none" w:sz="0" w:space="0" w:color="auto"/>
        <w:left w:val="none" w:sz="0" w:space="0" w:color="auto"/>
        <w:bottom w:val="none" w:sz="0" w:space="0" w:color="auto"/>
        <w:right w:val="none" w:sz="0" w:space="0" w:color="auto"/>
      </w:divBdr>
    </w:div>
    <w:div w:id="1127553371">
      <w:bodyDiv w:val="1"/>
      <w:marLeft w:val="0"/>
      <w:marRight w:val="0"/>
      <w:marTop w:val="0"/>
      <w:marBottom w:val="0"/>
      <w:divBdr>
        <w:top w:val="none" w:sz="0" w:space="0" w:color="auto"/>
        <w:left w:val="none" w:sz="0" w:space="0" w:color="auto"/>
        <w:bottom w:val="none" w:sz="0" w:space="0" w:color="auto"/>
        <w:right w:val="none" w:sz="0" w:space="0" w:color="auto"/>
      </w:divBdr>
    </w:div>
    <w:div w:id="1151872499">
      <w:bodyDiv w:val="1"/>
      <w:marLeft w:val="0"/>
      <w:marRight w:val="0"/>
      <w:marTop w:val="0"/>
      <w:marBottom w:val="0"/>
      <w:divBdr>
        <w:top w:val="none" w:sz="0" w:space="0" w:color="auto"/>
        <w:left w:val="none" w:sz="0" w:space="0" w:color="auto"/>
        <w:bottom w:val="none" w:sz="0" w:space="0" w:color="auto"/>
        <w:right w:val="none" w:sz="0" w:space="0" w:color="auto"/>
      </w:divBdr>
    </w:div>
    <w:div w:id="1163475605">
      <w:bodyDiv w:val="1"/>
      <w:marLeft w:val="0"/>
      <w:marRight w:val="0"/>
      <w:marTop w:val="0"/>
      <w:marBottom w:val="0"/>
      <w:divBdr>
        <w:top w:val="none" w:sz="0" w:space="0" w:color="auto"/>
        <w:left w:val="none" w:sz="0" w:space="0" w:color="auto"/>
        <w:bottom w:val="none" w:sz="0" w:space="0" w:color="auto"/>
        <w:right w:val="none" w:sz="0" w:space="0" w:color="auto"/>
      </w:divBdr>
    </w:div>
    <w:div w:id="1169056795">
      <w:bodyDiv w:val="1"/>
      <w:marLeft w:val="0"/>
      <w:marRight w:val="0"/>
      <w:marTop w:val="0"/>
      <w:marBottom w:val="0"/>
      <w:divBdr>
        <w:top w:val="none" w:sz="0" w:space="0" w:color="auto"/>
        <w:left w:val="none" w:sz="0" w:space="0" w:color="auto"/>
        <w:bottom w:val="none" w:sz="0" w:space="0" w:color="auto"/>
        <w:right w:val="none" w:sz="0" w:space="0" w:color="auto"/>
      </w:divBdr>
    </w:div>
    <w:div w:id="1256209467">
      <w:bodyDiv w:val="1"/>
      <w:marLeft w:val="0"/>
      <w:marRight w:val="0"/>
      <w:marTop w:val="0"/>
      <w:marBottom w:val="0"/>
      <w:divBdr>
        <w:top w:val="none" w:sz="0" w:space="0" w:color="auto"/>
        <w:left w:val="none" w:sz="0" w:space="0" w:color="auto"/>
        <w:bottom w:val="none" w:sz="0" w:space="0" w:color="auto"/>
        <w:right w:val="none" w:sz="0" w:space="0" w:color="auto"/>
      </w:divBdr>
    </w:div>
    <w:div w:id="1271859846">
      <w:bodyDiv w:val="1"/>
      <w:marLeft w:val="0"/>
      <w:marRight w:val="0"/>
      <w:marTop w:val="0"/>
      <w:marBottom w:val="0"/>
      <w:divBdr>
        <w:top w:val="none" w:sz="0" w:space="0" w:color="auto"/>
        <w:left w:val="none" w:sz="0" w:space="0" w:color="auto"/>
        <w:bottom w:val="none" w:sz="0" w:space="0" w:color="auto"/>
        <w:right w:val="none" w:sz="0" w:space="0" w:color="auto"/>
      </w:divBdr>
    </w:div>
    <w:div w:id="1420248261">
      <w:bodyDiv w:val="1"/>
      <w:marLeft w:val="0"/>
      <w:marRight w:val="0"/>
      <w:marTop w:val="0"/>
      <w:marBottom w:val="0"/>
      <w:divBdr>
        <w:top w:val="none" w:sz="0" w:space="0" w:color="auto"/>
        <w:left w:val="none" w:sz="0" w:space="0" w:color="auto"/>
        <w:bottom w:val="none" w:sz="0" w:space="0" w:color="auto"/>
        <w:right w:val="none" w:sz="0" w:space="0" w:color="auto"/>
      </w:divBdr>
    </w:div>
    <w:div w:id="1429040631">
      <w:bodyDiv w:val="1"/>
      <w:marLeft w:val="0"/>
      <w:marRight w:val="0"/>
      <w:marTop w:val="0"/>
      <w:marBottom w:val="0"/>
      <w:divBdr>
        <w:top w:val="none" w:sz="0" w:space="0" w:color="auto"/>
        <w:left w:val="none" w:sz="0" w:space="0" w:color="auto"/>
        <w:bottom w:val="none" w:sz="0" w:space="0" w:color="auto"/>
        <w:right w:val="none" w:sz="0" w:space="0" w:color="auto"/>
      </w:divBdr>
    </w:div>
    <w:div w:id="1435057446">
      <w:bodyDiv w:val="1"/>
      <w:marLeft w:val="0"/>
      <w:marRight w:val="0"/>
      <w:marTop w:val="0"/>
      <w:marBottom w:val="0"/>
      <w:divBdr>
        <w:top w:val="none" w:sz="0" w:space="0" w:color="auto"/>
        <w:left w:val="none" w:sz="0" w:space="0" w:color="auto"/>
        <w:bottom w:val="none" w:sz="0" w:space="0" w:color="auto"/>
        <w:right w:val="none" w:sz="0" w:space="0" w:color="auto"/>
      </w:divBdr>
    </w:div>
    <w:div w:id="1455975812">
      <w:bodyDiv w:val="1"/>
      <w:marLeft w:val="0"/>
      <w:marRight w:val="0"/>
      <w:marTop w:val="0"/>
      <w:marBottom w:val="0"/>
      <w:divBdr>
        <w:top w:val="none" w:sz="0" w:space="0" w:color="auto"/>
        <w:left w:val="none" w:sz="0" w:space="0" w:color="auto"/>
        <w:bottom w:val="none" w:sz="0" w:space="0" w:color="auto"/>
        <w:right w:val="none" w:sz="0" w:space="0" w:color="auto"/>
      </w:divBdr>
    </w:div>
    <w:div w:id="1492480816">
      <w:bodyDiv w:val="1"/>
      <w:marLeft w:val="0"/>
      <w:marRight w:val="0"/>
      <w:marTop w:val="0"/>
      <w:marBottom w:val="0"/>
      <w:divBdr>
        <w:top w:val="none" w:sz="0" w:space="0" w:color="auto"/>
        <w:left w:val="none" w:sz="0" w:space="0" w:color="auto"/>
        <w:bottom w:val="none" w:sz="0" w:space="0" w:color="auto"/>
        <w:right w:val="none" w:sz="0" w:space="0" w:color="auto"/>
      </w:divBdr>
    </w:div>
    <w:div w:id="1495339931">
      <w:bodyDiv w:val="1"/>
      <w:marLeft w:val="0"/>
      <w:marRight w:val="0"/>
      <w:marTop w:val="0"/>
      <w:marBottom w:val="0"/>
      <w:divBdr>
        <w:top w:val="none" w:sz="0" w:space="0" w:color="auto"/>
        <w:left w:val="none" w:sz="0" w:space="0" w:color="auto"/>
        <w:bottom w:val="none" w:sz="0" w:space="0" w:color="auto"/>
        <w:right w:val="none" w:sz="0" w:space="0" w:color="auto"/>
      </w:divBdr>
    </w:div>
    <w:div w:id="1520772764">
      <w:bodyDiv w:val="1"/>
      <w:marLeft w:val="0"/>
      <w:marRight w:val="0"/>
      <w:marTop w:val="0"/>
      <w:marBottom w:val="0"/>
      <w:divBdr>
        <w:top w:val="none" w:sz="0" w:space="0" w:color="auto"/>
        <w:left w:val="none" w:sz="0" w:space="0" w:color="auto"/>
        <w:bottom w:val="none" w:sz="0" w:space="0" w:color="auto"/>
        <w:right w:val="none" w:sz="0" w:space="0" w:color="auto"/>
      </w:divBdr>
    </w:div>
    <w:div w:id="1537691081">
      <w:bodyDiv w:val="1"/>
      <w:marLeft w:val="0"/>
      <w:marRight w:val="0"/>
      <w:marTop w:val="0"/>
      <w:marBottom w:val="0"/>
      <w:divBdr>
        <w:top w:val="none" w:sz="0" w:space="0" w:color="auto"/>
        <w:left w:val="none" w:sz="0" w:space="0" w:color="auto"/>
        <w:bottom w:val="none" w:sz="0" w:space="0" w:color="auto"/>
        <w:right w:val="none" w:sz="0" w:space="0" w:color="auto"/>
      </w:divBdr>
    </w:div>
    <w:div w:id="1552762221">
      <w:bodyDiv w:val="1"/>
      <w:marLeft w:val="0"/>
      <w:marRight w:val="0"/>
      <w:marTop w:val="0"/>
      <w:marBottom w:val="0"/>
      <w:divBdr>
        <w:top w:val="none" w:sz="0" w:space="0" w:color="auto"/>
        <w:left w:val="none" w:sz="0" w:space="0" w:color="auto"/>
        <w:bottom w:val="none" w:sz="0" w:space="0" w:color="auto"/>
        <w:right w:val="none" w:sz="0" w:space="0" w:color="auto"/>
      </w:divBdr>
    </w:div>
    <w:div w:id="1662540580">
      <w:bodyDiv w:val="1"/>
      <w:marLeft w:val="0"/>
      <w:marRight w:val="0"/>
      <w:marTop w:val="0"/>
      <w:marBottom w:val="0"/>
      <w:divBdr>
        <w:top w:val="none" w:sz="0" w:space="0" w:color="auto"/>
        <w:left w:val="none" w:sz="0" w:space="0" w:color="auto"/>
        <w:bottom w:val="none" w:sz="0" w:space="0" w:color="auto"/>
        <w:right w:val="none" w:sz="0" w:space="0" w:color="auto"/>
      </w:divBdr>
    </w:div>
    <w:div w:id="1670475919">
      <w:bodyDiv w:val="1"/>
      <w:marLeft w:val="0"/>
      <w:marRight w:val="0"/>
      <w:marTop w:val="0"/>
      <w:marBottom w:val="0"/>
      <w:divBdr>
        <w:top w:val="none" w:sz="0" w:space="0" w:color="auto"/>
        <w:left w:val="none" w:sz="0" w:space="0" w:color="auto"/>
        <w:bottom w:val="none" w:sz="0" w:space="0" w:color="auto"/>
        <w:right w:val="none" w:sz="0" w:space="0" w:color="auto"/>
      </w:divBdr>
    </w:div>
    <w:div w:id="1732653629">
      <w:bodyDiv w:val="1"/>
      <w:marLeft w:val="0"/>
      <w:marRight w:val="0"/>
      <w:marTop w:val="0"/>
      <w:marBottom w:val="0"/>
      <w:divBdr>
        <w:top w:val="none" w:sz="0" w:space="0" w:color="auto"/>
        <w:left w:val="none" w:sz="0" w:space="0" w:color="auto"/>
        <w:bottom w:val="none" w:sz="0" w:space="0" w:color="auto"/>
        <w:right w:val="none" w:sz="0" w:space="0" w:color="auto"/>
      </w:divBdr>
    </w:div>
    <w:div w:id="1757435325">
      <w:bodyDiv w:val="1"/>
      <w:marLeft w:val="0"/>
      <w:marRight w:val="0"/>
      <w:marTop w:val="0"/>
      <w:marBottom w:val="0"/>
      <w:divBdr>
        <w:top w:val="none" w:sz="0" w:space="0" w:color="auto"/>
        <w:left w:val="none" w:sz="0" w:space="0" w:color="auto"/>
        <w:bottom w:val="none" w:sz="0" w:space="0" w:color="auto"/>
        <w:right w:val="none" w:sz="0" w:space="0" w:color="auto"/>
      </w:divBdr>
    </w:div>
    <w:div w:id="1781801048">
      <w:bodyDiv w:val="1"/>
      <w:marLeft w:val="0"/>
      <w:marRight w:val="0"/>
      <w:marTop w:val="0"/>
      <w:marBottom w:val="0"/>
      <w:divBdr>
        <w:top w:val="none" w:sz="0" w:space="0" w:color="auto"/>
        <w:left w:val="none" w:sz="0" w:space="0" w:color="auto"/>
        <w:bottom w:val="none" w:sz="0" w:space="0" w:color="auto"/>
        <w:right w:val="none" w:sz="0" w:space="0" w:color="auto"/>
      </w:divBdr>
    </w:div>
    <w:div w:id="1862737531">
      <w:bodyDiv w:val="1"/>
      <w:marLeft w:val="0"/>
      <w:marRight w:val="0"/>
      <w:marTop w:val="0"/>
      <w:marBottom w:val="0"/>
      <w:divBdr>
        <w:top w:val="none" w:sz="0" w:space="0" w:color="auto"/>
        <w:left w:val="none" w:sz="0" w:space="0" w:color="auto"/>
        <w:bottom w:val="none" w:sz="0" w:space="0" w:color="auto"/>
        <w:right w:val="none" w:sz="0" w:space="0" w:color="auto"/>
      </w:divBdr>
    </w:div>
    <w:div w:id="1864584878">
      <w:bodyDiv w:val="1"/>
      <w:marLeft w:val="0"/>
      <w:marRight w:val="0"/>
      <w:marTop w:val="0"/>
      <w:marBottom w:val="0"/>
      <w:divBdr>
        <w:top w:val="none" w:sz="0" w:space="0" w:color="auto"/>
        <w:left w:val="none" w:sz="0" w:space="0" w:color="auto"/>
        <w:bottom w:val="none" w:sz="0" w:space="0" w:color="auto"/>
        <w:right w:val="none" w:sz="0" w:space="0" w:color="auto"/>
      </w:divBdr>
    </w:div>
    <w:div w:id="1878858855">
      <w:bodyDiv w:val="1"/>
      <w:marLeft w:val="0"/>
      <w:marRight w:val="0"/>
      <w:marTop w:val="0"/>
      <w:marBottom w:val="0"/>
      <w:divBdr>
        <w:top w:val="none" w:sz="0" w:space="0" w:color="auto"/>
        <w:left w:val="none" w:sz="0" w:space="0" w:color="auto"/>
        <w:bottom w:val="none" w:sz="0" w:space="0" w:color="auto"/>
        <w:right w:val="none" w:sz="0" w:space="0" w:color="auto"/>
      </w:divBdr>
    </w:div>
    <w:div w:id="1902404221">
      <w:bodyDiv w:val="1"/>
      <w:marLeft w:val="0"/>
      <w:marRight w:val="0"/>
      <w:marTop w:val="0"/>
      <w:marBottom w:val="0"/>
      <w:divBdr>
        <w:top w:val="none" w:sz="0" w:space="0" w:color="auto"/>
        <w:left w:val="none" w:sz="0" w:space="0" w:color="auto"/>
        <w:bottom w:val="none" w:sz="0" w:space="0" w:color="auto"/>
        <w:right w:val="none" w:sz="0" w:space="0" w:color="auto"/>
      </w:divBdr>
    </w:div>
    <w:div w:id="1967274387">
      <w:bodyDiv w:val="1"/>
      <w:marLeft w:val="0"/>
      <w:marRight w:val="0"/>
      <w:marTop w:val="0"/>
      <w:marBottom w:val="0"/>
      <w:divBdr>
        <w:top w:val="none" w:sz="0" w:space="0" w:color="auto"/>
        <w:left w:val="none" w:sz="0" w:space="0" w:color="auto"/>
        <w:bottom w:val="none" w:sz="0" w:space="0" w:color="auto"/>
        <w:right w:val="none" w:sz="0" w:space="0" w:color="auto"/>
      </w:divBdr>
    </w:div>
    <w:div w:id="1978560007">
      <w:bodyDiv w:val="1"/>
      <w:marLeft w:val="0"/>
      <w:marRight w:val="0"/>
      <w:marTop w:val="0"/>
      <w:marBottom w:val="0"/>
      <w:divBdr>
        <w:top w:val="none" w:sz="0" w:space="0" w:color="auto"/>
        <w:left w:val="none" w:sz="0" w:space="0" w:color="auto"/>
        <w:bottom w:val="none" w:sz="0" w:space="0" w:color="auto"/>
        <w:right w:val="none" w:sz="0" w:space="0" w:color="auto"/>
      </w:divBdr>
    </w:div>
    <w:div w:id="2007588225">
      <w:bodyDiv w:val="1"/>
      <w:marLeft w:val="0"/>
      <w:marRight w:val="0"/>
      <w:marTop w:val="0"/>
      <w:marBottom w:val="0"/>
      <w:divBdr>
        <w:top w:val="none" w:sz="0" w:space="0" w:color="auto"/>
        <w:left w:val="none" w:sz="0" w:space="0" w:color="auto"/>
        <w:bottom w:val="none" w:sz="0" w:space="0" w:color="auto"/>
        <w:right w:val="none" w:sz="0" w:space="0" w:color="auto"/>
      </w:divBdr>
    </w:div>
    <w:div w:id="2015574826">
      <w:bodyDiv w:val="1"/>
      <w:marLeft w:val="0"/>
      <w:marRight w:val="0"/>
      <w:marTop w:val="0"/>
      <w:marBottom w:val="0"/>
      <w:divBdr>
        <w:top w:val="none" w:sz="0" w:space="0" w:color="auto"/>
        <w:left w:val="none" w:sz="0" w:space="0" w:color="auto"/>
        <w:bottom w:val="none" w:sz="0" w:space="0" w:color="auto"/>
        <w:right w:val="none" w:sz="0" w:space="0" w:color="auto"/>
      </w:divBdr>
    </w:div>
    <w:div w:id="2065250757">
      <w:bodyDiv w:val="1"/>
      <w:marLeft w:val="0"/>
      <w:marRight w:val="0"/>
      <w:marTop w:val="0"/>
      <w:marBottom w:val="0"/>
      <w:divBdr>
        <w:top w:val="none" w:sz="0" w:space="0" w:color="auto"/>
        <w:left w:val="none" w:sz="0" w:space="0" w:color="auto"/>
        <w:bottom w:val="none" w:sz="0" w:space="0" w:color="auto"/>
        <w:right w:val="none" w:sz="0" w:space="0" w:color="auto"/>
      </w:divBdr>
    </w:div>
    <w:div w:id="2092001831">
      <w:bodyDiv w:val="1"/>
      <w:marLeft w:val="0"/>
      <w:marRight w:val="0"/>
      <w:marTop w:val="0"/>
      <w:marBottom w:val="0"/>
      <w:divBdr>
        <w:top w:val="none" w:sz="0" w:space="0" w:color="auto"/>
        <w:left w:val="none" w:sz="0" w:space="0" w:color="auto"/>
        <w:bottom w:val="none" w:sz="0" w:space="0" w:color="auto"/>
        <w:right w:val="none" w:sz="0" w:space="0" w:color="auto"/>
      </w:divBdr>
    </w:div>
    <w:div w:id="2093550854">
      <w:bodyDiv w:val="1"/>
      <w:marLeft w:val="0"/>
      <w:marRight w:val="0"/>
      <w:marTop w:val="0"/>
      <w:marBottom w:val="0"/>
      <w:divBdr>
        <w:top w:val="none" w:sz="0" w:space="0" w:color="auto"/>
        <w:left w:val="none" w:sz="0" w:space="0" w:color="auto"/>
        <w:bottom w:val="none" w:sz="0" w:space="0" w:color="auto"/>
        <w:right w:val="none" w:sz="0" w:space="0" w:color="auto"/>
      </w:divBdr>
    </w:div>
    <w:div w:id="2100056251">
      <w:bodyDiv w:val="1"/>
      <w:marLeft w:val="0"/>
      <w:marRight w:val="0"/>
      <w:marTop w:val="0"/>
      <w:marBottom w:val="0"/>
      <w:divBdr>
        <w:top w:val="none" w:sz="0" w:space="0" w:color="auto"/>
        <w:left w:val="none" w:sz="0" w:space="0" w:color="auto"/>
        <w:bottom w:val="none" w:sz="0" w:space="0" w:color="auto"/>
        <w:right w:val="none" w:sz="0" w:space="0" w:color="auto"/>
      </w:divBdr>
      <w:divsChild>
        <w:div w:id="1824003170">
          <w:marLeft w:val="0"/>
          <w:marRight w:val="0"/>
          <w:marTop w:val="0"/>
          <w:marBottom w:val="0"/>
          <w:divBdr>
            <w:top w:val="none" w:sz="0" w:space="0" w:color="auto"/>
            <w:left w:val="none" w:sz="0" w:space="0" w:color="auto"/>
            <w:bottom w:val="none" w:sz="0" w:space="0" w:color="auto"/>
            <w:right w:val="none" w:sz="0" w:space="0" w:color="auto"/>
          </w:divBdr>
          <w:divsChild>
            <w:div w:id="1901554335">
              <w:marLeft w:val="0"/>
              <w:marRight w:val="0"/>
              <w:marTop w:val="0"/>
              <w:marBottom w:val="0"/>
              <w:divBdr>
                <w:top w:val="none" w:sz="0" w:space="0" w:color="auto"/>
                <w:left w:val="none" w:sz="0" w:space="0" w:color="auto"/>
                <w:bottom w:val="none" w:sz="0" w:space="0" w:color="auto"/>
                <w:right w:val="none" w:sz="0" w:space="0" w:color="auto"/>
              </w:divBdr>
              <w:divsChild>
                <w:div w:id="481237904">
                  <w:marLeft w:val="0"/>
                  <w:marRight w:val="0"/>
                  <w:marTop w:val="0"/>
                  <w:marBottom w:val="0"/>
                  <w:divBdr>
                    <w:top w:val="none" w:sz="0" w:space="0" w:color="auto"/>
                    <w:left w:val="none" w:sz="0" w:space="0" w:color="auto"/>
                    <w:bottom w:val="none" w:sz="0" w:space="0" w:color="auto"/>
                    <w:right w:val="none" w:sz="0" w:space="0" w:color="auto"/>
                  </w:divBdr>
                  <w:divsChild>
                    <w:div w:id="430660655">
                      <w:marLeft w:val="0"/>
                      <w:marRight w:val="0"/>
                      <w:marTop w:val="0"/>
                      <w:marBottom w:val="0"/>
                      <w:divBdr>
                        <w:top w:val="none" w:sz="0" w:space="0" w:color="auto"/>
                        <w:left w:val="none" w:sz="0" w:space="0" w:color="auto"/>
                        <w:bottom w:val="none" w:sz="0" w:space="0" w:color="auto"/>
                        <w:right w:val="none" w:sz="0" w:space="0" w:color="auto"/>
                      </w:divBdr>
                      <w:divsChild>
                        <w:div w:id="365326922">
                          <w:marLeft w:val="0"/>
                          <w:marRight w:val="0"/>
                          <w:marTop w:val="0"/>
                          <w:marBottom w:val="0"/>
                          <w:divBdr>
                            <w:top w:val="none" w:sz="0" w:space="0" w:color="auto"/>
                            <w:left w:val="none" w:sz="0" w:space="0" w:color="auto"/>
                            <w:bottom w:val="none" w:sz="0" w:space="0" w:color="auto"/>
                            <w:right w:val="none" w:sz="0" w:space="0" w:color="auto"/>
                          </w:divBdr>
                          <w:divsChild>
                            <w:div w:id="550775575">
                              <w:marLeft w:val="0"/>
                              <w:marRight w:val="0"/>
                              <w:marTop w:val="0"/>
                              <w:marBottom w:val="0"/>
                              <w:divBdr>
                                <w:top w:val="none" w:sz="0" w:space="0" w:color="auto"/>
                                <w:left w:val="none" w:sz="0" w:space="0" w:color="auto"/>
                                <w:bottom w:val="none" w:sz="0" w:space="0" w:color="auto"/>
                                <w:right w:val="none" w:sz="0" w:space="0" w:color="auto"/>
                              </w:divBdr>
                              <w:divsChild>
                                <w:div w:id="53823924">
                                  <w:marLeft w:val="0"/>
                                  <w:marRight w:val="0"/>
                                  <w:marTop w:val="0"/>
                                  <w:marBottom w:val="0"/>
                                  <w:divBdr>
                                    <w:top w:val="none" w:sz="0" w:space="0" w:color="auto"/>
                                    <w:left w:val="none" w:sz="0" w:space="0" w:color="auto"/>
                                    <w:bottom w:val="none" w:sz="0" w:space="0" w:color="auto"/>
                                    <w:right w:val="none" w:sz="0" w:space="0" w:color="auto"/>
                                  </w:divBdr>
                                  <w:divsChild>
                                    <w:div w:id="13842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4.xml"/><Relationship Id="rId18" Type="http://schemas.openxmlformats.org/officeDocument/2006/relationships/hyperlink" Target="https://doi.org/10.20546/ijcmas.2020.903.23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hyperlink" Target="https://doi.org/10.21203/rs.3.rs-2960032/v2"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3389/fpls.2022.1014816"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5.xm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Sheet1!$M$4</c:f>
              <c:strCache>
                <c:ptCount val="1"/>
                <c:pt idx="0">
                  <c:v>Plant height (cm)</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Sheet1!$L$5:$L$16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Sheet1!$M$5:$M$16</c:f>
              <c:numCache>
                <c:formatCode>General</c:formatCode>
                <c:ptCount val="12"/>
                <c:pt idx="1">
                  <c:v>50.15</c:v>
                </c:pt>
                <c:pt idx="2">
                  <c:v>49.75</c:v>
                </c:pt>
                <c:pt idx="3">
                  <c:v>48.72</c:v>
                </c:pt>
                <c:pt idx="4">
                  <c:v>50.94</c:v>
                </c:pt>
                <c:pt idx="5">
                  <c:v>49.96</c:v>
                </c:pt>
                <c:pt idx="6">
                  <c:v>48.84</c:v>
                </c:pt>
                <c:pt idx="7">
                  <c:v>51.39</c:v>
                </c:pt>
                <c:pt idx="8">
                  <c:v>50.72</c:v>
                </c:pt>
                <c:pt idx="9">
                  <c:v>48.21</c:v>
                </c:pt>
                <c:pt idx="10">
                  <c:v>49.55</c:v>
                </c:pt>
                <c:pt idx="11">
                  <c:v>35.35</c:v>
                </c:pt>
              </c:numCache>
            </c:numRef>
          </c:val>
          <c:extLst>
            <c:ext xmlns:c16="http://schemas.microsoft.com/office/drawing/2014/chart" uri="{C3380CC4-5D6E-409C-BE32-E72D297353CC}">
              <c16:uniqueId val="{00000000-C38B-4A10-8F8C-4C62E9C878E8}"/>
            </c:ext>
          </c:extLst>
        </c:ser>
        <c:dLbls>
          <c:showLegendKey val="0"/>
          <c:showVal val="0"/>
          <c:showCatName val="0"/>
          <c:showSerName val="0"/>
          <c:showPercent val="0"/>
          <c:showBubbleSize val="0"/>
        </c:dLbls>
        <c:gapWidth val="219"/>
        <c:axId val="1798596112"/>
        <c:axId val="1798597360"/>
      </c:barChart>
      <c:catAx>
        <c:axId val="1798596112"/>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7360"/>
        <c:crosses val="autoZero"/>
        <c:auto val="1"/>
        <c:lblAlgn val="ctr"/>
        <c:lblOffset val="100"/>
        <c:noMultiLvlLbl val="0"/>
      </c:catAx>
      <c:valAx>
        <c:axId val="1798597360"/>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Plant height (cm)</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Sheet1!$P$4:$P$5</c:f>
              <c:strCache>
                <c:ptCount val="2"/>
                <c:pt idx="0">
                  <c:v>No. of leaves per plant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Sheet1!$O$6:$O$16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Sheet1!$P$6:$P$16</c:f>
              <c:numCache>
                <c:formatCode>General</c:formatCode>
                <c:ptCount val="11"/>
                <c:pt idx="0">
                  <c:v>18.07</c:v>
                </c:pt>
                <c:pt idx="1">
                  <c:v>17.100000000000001</c:v>
                </c:pt>
                <c:pt idx="2">
                  <c:v>15.17</c:v>
                </c:pt>
                <c:pt idx="3">
                  <c:v>20.13</c:v>
                </c:pt>
                <c:pt idx="4">
                  <c:v>17.37</c:v>
                </c:pt>
                <c:pt idx="5">
                  <c:v>15.27</c:v>
                </c:pt>
                <c:pt idx="6">
                  <c:v>21.03</c:v>
                </c:pt>
                <c:pt idx="7">
                  <c:v>19.170000000000002</c:v>
                </c:pt>
                <c:pt idx="8">
                  <c:v>16.18</c:v>
                </c:pt>
                <c:pt idx="9">
                  <c:v>16.82</c:v>
                </c:pt>
                <c:pt idx="10">
                  <c:v>14.08</c:v>
                </c:pt>
              </c:numCache>
            </c:numRef>
          </c:val>
          <c:extLst>
            <c:ext xmlns:c16="http://schemas.microsoft.com/office/drawing/2014/chart" uri="{C3380CC4-5D6E-409C-BE32-E72D297353CC}">
              <c16:uniqueId val="{00000000-BDF6-49C8-910E-98A2B3555454}"/>
            </c:ext>
          </c:extLst>
        </c:ser>
        <c:dLbls>
          <c:showLegendKey val="0"/>
          <c:showVal val="0"/>
          <c:showCatName val="0"/>
          <c:showSerName val="0"/>
          <c:showPercent val="0"/>
          <c:showBubbleSize val="0"/>
        </c:dLbls>
        <c:gapWidth val="219"/>
        <c:overlap val="-27"/>
        <c:axId val="1798599024"/>
        <c:axId val="1798599440"/>
      </c:barChart>
      <c:catAx>
        <c:axId val="17985990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9440"/>
        <c:crosses val="autoZero"/>
        <c:auto val="1"/>
        <c:lblAlgn val="ctr"/>
        <c:lblOffset val="100"/>
        <c:noMultiLvlLbl val="0"/>
      </c:catAx>
      <c:valAx>
        <c:axId val="17985994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No. of leaves per 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Sheet1!$S$4</c:f>
              <c:strCache>
                <c:ptCount val="1"/>
                <c:pt idx="0">
                  <c:v>Leaf area (cm2)</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Sheet1!$R$5:$R$16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Sheet1!$S$5:$S$16</c:f>
              <c:numCache>
                <c:formatCode>General</c:formatCode>
                <c:ptCount val="12"/>
                <c:pt idx="1">
                  <c:v>1070.67</c:v>
                </c:pt>
                <c:pt idx="2">
                  <c:v>1062.33</c:v>
                </c:pt>
                <c:pt idx="3">
                  <c:v>1017</c:v>
                </c:pt>
                <c:pt idx="4">
                  <c:v>1123.7</c:v>
                </c:pt>
                <c:pt idx="5">
                  <c:v>1082.33</c:v>
                </c:pt>
                <c:pt idx="6">
                  <c:v>1026</c:v>
                </c:pt>
                <c:pt idx="7">
                  <c:v>1126</c:v>
                </c:pt>
                <c:pt idx="8">
                  <c:v>1102.33</c:v>
                </c:pt>
                <c:pt idx="9">
                  <c:v>1027.67</c:v>
                </c:pt>
                <c:pt idx="10">
                  <c:v>1043</c:v>
                </c:pt>
                <c:pt idx="11">
                  <c:v>991.67</c:v>
                </c:pt>
              </c:numCache>
            </c:numRef>
          </c:val>
          <c:extLst>
            <c:ext xmlns:c16="http://schemas.microsoft.com/office/drawing/2014/chart" uri="{C3380CC4-5D6E-409C-BE32-E72D297353CC}">
              <c16:uniqueId val="{00000000-1FF9-46CF-B520-D0AD0B004BE0}"/>
            </c:ext>
          </c:extLst>
        </c:ser>
        <c:dLbls>
          <c:showLegendKey val="0"/>
          <c:showVal val="0"/>
          <c:showCatName val="0"/>
          <c:showSerName val="0"/>
          <c:showPercent val="0"/>
          <c:showBubbleSize val="0"/>
        </c:dLbls>
        <c:gapWidth val="150"/>
        <c:overlap val="100"/>
        <c:axId val="1798600688"/>
        <c:axId val="1798594032"/>
      </c:barChart>
      <c:catAx>
        <c:axId val="17986006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4032"/>
        <c:crosses val="autoZero"/>
        <c:auto val="1"/>
        <c:lblAlgn val="ctr"/>
        <c:lblOffset val="100"/>
        <c:noMultiLvlLbl val="0"/>
      </c:catAx>
      <c:valAx>
        <c:axId val="179859403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Leaf area (cm2)</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60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Sheet1!$V$4</c:f>
              <c:strCache>
                <c:ptCount val="1"/>
                <c:pt idx="0">
                  <c:v>No. of days to curd initiation</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Sheet1!$U$5:$U$16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Sheet1!$V$5:$V$16</c:f>
              <c:numCache>
                <c:formatCode>General</c:formatCode>
                <c:ptCount val="12"/>
                <c:pt idx="1">
                  <c:v>93.63</c:v>
                </c:pt>
                <c:pt idx="2">
                  <c:v>95.42</c:v>
                </c:pt>
                <c:pt idx="3">
                  <c:v>98.29</c:v>
                </c:pt>
                <c:pt idx="4">
                  <c:v>89.62</c:v>
                </c:pt>
                <c:pt idx="5">
                  <c:v>94.28</c:v>
                </c:pt>
                <c:pt idx="6">
                  <c:v>98.56</c:v>
                </c:pt>
                <c:pt idx="7">
                  <c:v>88.91</c:v>
                </c:pt>
                <c:pt idx="8">
                  <c:v>90.61</c:v>
                </c:pt>
                <c:pt idx="9">
                  <c:v>98.25</c:v>
                </c:pt>
                <c:pt idx="10">
                  <c:v>96.19</c:v>
                </c:pt>
                <c:pt idx="11">
                  <c:v>104.72</c:v>
                </c:pt>
              </c:numCache>
            </c:numRef>
          </c:val>
          <c:extLst>
            <c:ext xmlns:c16="http://schemas.microsoft.com/office/drawing/2014/chart" uri="{C3380CC4-5D6E-409C-BE32-E72D297353CC}">
              <c16:uniqueId val="{00000000-415C-4A3A-8FD6-4DA4CD2B2D4B}"/>
            </c:ext>
          </c:extLst>
        </c:ser>
        <c:dLbls>
          <c:showLegendKey val="0"/>
          <c:showVal val="0"/>
          <c:showCatName val="0"/>
          <c:showSerName val="0"/>
          <c:showPercent val="0"/>
          <c:showBubbleSize val="0"/>
        </c:dLbls>
        <c:gapWidth val="150"/>
        <c:overlap val="100"/>
        <c:axId val="1800569168"/>
        <c:axId val="1800574160"/>
      </c:barChart>
      <c:catAx>
        <c:axId val="18005691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layout>
            <c:manualLayout>
              <c:xMode val="edge"/>
              <c:yMode val="edge"/>
              <c:x val="0.49495013123359582"/>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574160"/>
        <c:crosses val="autoZero"/>
        <c:auto val="1"/>
        <c:lblAlgn val="ctr"/>
        <c:lblOffset val="100"/>
        <c:noMultiLvlLbl val="0"/>
      </c:catAx>
      <c:valAx>
        <c:axId val="1800574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Days to curd initiation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56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4928258967629062E-2"/>
          <c:y val="5.0925925925925923E-2"/>
          <c:w val="0.87451618547681542"/>
          <c:h val="0.79500729075532228"/>
        </c:manualLayout>
      </c:layout>
      <c:barChart>
        <c:barDir val="col"/>
        <c:grouping val="clustered"/>
        <c:varyColors val="0"/>
        <c:ser>
          <c:idx val="0"/>
          <c:order val="0"/>
          <c:tx>
            <c:strRef>
              <c:f>Sheet1!$Y$4:$Y$5</c:f>
              <c:strCache>
                <c:ptCount val="2"/>
                <c:pt idx="0">
                  <c:v>Polar curd diameter</c:v>
                </c:pt>
                <c:pt idx="1">
                  <c:v>(cm)</c:v>
                </c:pt>
              </c:strCache>
            </c:strRef>
          </c:tx>
          <c:spPr>
            <a:solidFill>
              <a:schemeClr val="accent1">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Sheet1!$X$6:$X$16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Sheet1!$Y$6:$Y$16</c:f>
              <c:numCache>
                <c:formatCode>General</c:formatCode>
                <c:ptCount val="11"/>
                <c:pt idx="0">
                  <c:v>12.65</c:v>
                </c:pt>
                <c:pt idx="1">
                  <c:v>12.23</c:v>
                </c:pt>
                <c:pt idx="2">
                  <c:v>11.58</c:v>
                </c:pt>
                <c:pt idx="3">
                  <c:v>13.26</c:v>
                </c:pt>
                <c:pt idx="4">
                  <c:v>12.48</c:v>
                </c:pt>
                <c:pt idx="5">
                  <c:v>11.76</c:v>
                </c:pt>
                <c:pt idx="6">
                  <c:v>13.5</c:v>
                </c:pt>
                <c:pt idx="7">
                  <c:v>12.79</c:v>
                </c:pt>
                <c:pt idx="8">
                  <c:v>11.98</c:v>
                </c:pt>
                <c:pt idx="9">
                  <c:v>12.08</c:v>
                </c:pt>
                <c:pt idx="10">
                  <c:v>6.7</c:v>
                </c:pt>
              </c:numCache>
            </c:numRef>
          </c:val>
          <c:extLst>
            <c:ext xmlns:c16="http://schemas.microsoft.com/office/drawing/2014/chart" uri="{C3380CC4-5D6E-409C-BE32-E72D297353CC}">
              <c16:uniqueId val="{00000000-57A4-4882-A8FD-076F9D1A6094}"/>
            </c:ext>
          </c:extLst>
        </c:ser>
        <c:ser>
          <c:idx val="1"/>
          <c:order val="1"/>
          <c:tx>
            <c:strRef>
              <c:f>Sheet1!$Z$4:$Z$5</c:f>
              <c:strCache>
                <c:ptCount val="2"/>
                <c:pt idx="0">
                  <c:v>Equatorial curd diameter</c:v>
                </c:pt>
                <c:pt idx="1">
                  <c:v>(cm)</c:v>
                </c:pt>
              </c:strCache>
            </c:strRef>
          </c:tx>
          <c:spPr>
            <a:solidFill>
              <a:schemeClr val="accent1">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Sheet1!$X$6:$X$16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Sheet1!$Z$6:$Z$16</c:f>
              <c:numCache>
                <c:formatCode>General</c:formatCode>
                <c:ptCount val="11"/>
                <c:pt idx="0">
                  <c:v>14.46</c:v>
                </c:pt>
                <c:pt idx="1">
                  <c:v>14.27</c:v>
                </c:pt>
                <c:pt idx="2">
                  <c:v>13.96</c:v>
                </c:pt>
                <c:pt idx="3">
                  <c:v>14.96</c:v>
                </c:pt>
                <c:pt idx="4">
                  <c:v>14.69</c:v>
                </c:pt>
                <c:pt idx="5">
                  <c:v>13.71</c:v>
                </c:pt>
                <c:pt idx="6">
                  <c:v>15.06</c:v>
                </c:pt>
                <c:pt idx="7">
                  <c:v>14.79</c:v>
                </c:pt>
                <c:pt idx="8">
                  <c:v>13.98</c:v>
                </c:pt>
                <c:pt idx="9">
                  <c:v>14.08</c:v>
                </c:pt>
                <c:pt idx="10">
                  <c:v>9.0399999999999991</c:v>
                </c:pt>
              </c:numCache>
            </c:numRef>
          </c:val>
          <c:extLst>
            <c:ext xmlns:c16="http://schemas.microsoft.com/office/drawing/2014/chart" uri="{C3380CC4-5D6E-409C-BE32-E72D297353CC}">
              <c16:uniqueId val="{00000001-57A4-4882-A8FD-076F9D1A6094}"/>
            </c:ext>
          </c:extLst>
        </c:ser>
        <c:dLbls>
          <c:showLegendKey val="0"/>
          <c:showVal val="0"/>
          <c:showCatName val="0"/>
          <c:showSerName val="0"/>
          <c:showPercent val="0"/>
          <c:showBubbleSize val="0"/>
        </c:dLbls>
        <c:gapWidth val="219"/>
        <c:overlap val="-27"/>
        <c:axId val="1895599984"/>
        <c:axId val="1895591248"/>
      </c:barChart>
      <c:catAx>
        <c:axId val="18955999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5591248"/>
        <c:crosses val="autoZero"/>
        <c:auto val="1"/>
        <c:lblAlgn val="ctr"/>
        <c:lblOffset val="100"/>
        <c:noMultiLvlLbl val="0"/>
      </c:catAx>
      <c:valAx>
        <c:axId val="18955912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Curd diameter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5599984"/>
        <c:crosses val="autoZero"/>
        <c:crossBetween val="between"/>
      </c:valAx>
      <c:spPr>
        <a:noFill/>
        <a:ln>
          <a:noFill/>
        </a:ln>
        <a:effectLst/>
      </c:spPr>
    </c:plotArea>
    <c:legend>
      <c:legendPos val="b"/>
      <c:layout>
        <c:manualLayout>
          <c:xMode val="edge"/>
          <c:yMode val="edge"/>
          <c:x val="0.13176859142607175"/>
          <c:y val="5.2077865266841224E-3"/>
          <c:w val="0.80328302712160971"/>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026159230096238"/>
          <c:y val="5.0925925925925923E-2"/>
          <c:w val="0.8491828521434821"/>
          <c:h val="0.76259988334791473"/>
        </c:manualLayout>
      </c:layout>
      <c:barChart>
        <c:barDir val="col"/>
        <c:grouping val="clustered"/>
        <c:varyColors val="0"/>
        <c:ser>
          <c:idx val="0"/>
          <c:order val="0"/>
          <c:tx>
            <c:strRef>
              <c:f>Sheet1!$AC$4</c:f>
              <c:strCache>
                <c:ptCount val="1"/>
                <c:pt idx="0">
                  <c:v>Gross curd weight (g)</c:v>
                </c:pt>
              </c:strCache>
            </c:strRef>
          </c:tx>
          <c:spPr>
            <a:solidFill>
              <a:schemeClr val="accent5">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Sheet1!$AB$5:$AB$16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Sheet1!$AC$5:$AC$16</c:f>
              <c:numCache>
                <c:formatCode>General</c:formatCode>
                <c:ptCount val="12"/>
                <c:pt idx="1">
                  <c:v>1260.8399999999999</c:v>
                </c:pt>
                <c:pt idx="2">
                  <c:v>1214.58</c:v>
                </c:pt>
                <c:pt idx="3">
                  <c:v>1142.98</c:v>
                </c:pt>
                <c:pt idx="4">
                  <c:v>1325.85</c:v>
                </c:pt>
                <c:pt idx="5">
                  <c:v>1240.9100000000001</c:v>
                </c:pt>
                <c:pt idx="6">
                  <c:v>1135.46</c:v>
                </c:pt>
                <c:pt idx="7">
                  <c:v>1341.81</c:v>
                </c:pt>
                <c:pt idx="8">
                  <c:v>1287.48</c:v>
                </c:pt>
                <c:pt idx="9">
                  <c:v>1165.46</c:v>
                </c:pt>
                <c:pt idx="10">
                  <c:v>1170.8800000000001</c:v>
                </c:pt>
                <c:pt idx="11">
                  <c:v>960.91</c:v>
                </c:pt>
              </c:numCache>
            </c:numRef>
          </c:val>
          <c:extLst>
            <c:ext xmlns:c16="http://schemas.microsoft.com/office/drawing/2014/chart" uri="{C3380CC4-5D6E-409C-BE32-E72D297353CC}">
              <c16:uniqueId val="{00000000-CF95-4F7F-AE69-58D676F302E5}"/>
            </c:ext>
          </c:extLst>
        </c:ser>
        <c:ser>
          <c:idx val="1"/>
          <c:order val="1"/>
          <c:tx>
            <c:strRef>
              <c:f>Sheet1!$AD$4</c:f>
              <c:strCache>
                <c:ptCount val="1"/>
                <c:pt idx="0">
                  <c:v>Net curd weight (g)</c:v>
                </c:pt>
              </c:strCache>
            </c:strRef>
          </c:tx>
          <c:spPr>
            <a:solidFill>
              <a:schemeClr val="accent5">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Sheet1!$AB$5:$AB$16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Sheet1!$AD$5:$AD$16</c:f>
              <c:numCache>
                <c:formatCode>General</c:formatCode>
                <c:ptCount val="12"/>
                <c:pt idx="1">
                  <c:v>752.54</c:v>
                </c:pt>
                <c:pt idx="2">
                  <c:v>697.64</c:v>
                </c:pt>
                <c:pt idx="3">
                  <c:v>642.66</c:v>
                </c:pt>
                <c:pt idx="4">
                  <c:v>791.81</c:v>
                </c:pt>
                <c:pt idx="5">
                  <c:v>718.91</c:v>
                </c:pt>
                <c:pt idx="6">
                  <c:v>641.19000000000005</c:v>
                </c:pt>
                <c:pt idx="7">
                  <c:v>809.56</c:v>
                </c:pt>
                <c:pt idx="8">
                  <c:v>776.55</c:v>
                </c:pt>
                <c:pt idx="9">
                  <c:v>627.94000000000005</c:v>
                </c:pt>
                <c:pt idx="10">
                  <c:v>670.69</c:v>
                </c:pt>
                <c:pt idx="11">
                  <c:v>453.43</c:v>
                </c:pt>
              </c:numCache>
            </c:numRef>
          </c:val>
          <c:extLst>
            <c:ext xmlns:c16="http://schemas.microsoft.com/office/drawing/2014/chart" uri="{C3380CC4-5D6E-409C-BE32-E72D297353CC}">
              <c16:uniqueId val="{00000001-CF95-4F7F-AE69-58D676F302E5}"/>
            </c:ext>
          </c:extLst>
        </c:ser>
        <c:dLbls>
          <c:showLegendKey val="0"/>
          <c:showVal val="0"/>
          <c:showCatName val="0"/>
          <c:showSerName val="0"/>
          <c:showPercent val="0"/>
          <c:showBubbleSize val="0"/>
        </c:dLbls>
        <c:gapWidth val="219"/>
        <c:overlap val="-27"/>
        <c:axId val="1892185904"/>
        <c:axId val="1892182160"/>
      </c:barChart>
      <c:catAx>
        <c:axId val="18921859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layout>
            <c:manualLayout>
              <c:xMode val="edge"/>
              <c:yMode val="edge"/>
              <c:x val="0.48600568678915135"/>
              <c:y val="0.888517789442986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82160"/>
        <c:crosses val="autoZero"/>
        <c:auto val="1"/>
        <c:lblAlgn val="ctr"/>
        <c:lblOffset val="100"/>
        <c:noMultiLvlLbl val="0"/>
      </c:catAx>
      <c:valAx>
        <c:axId val="1892182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Curd weight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85904"/>
        <c:crosses val="autoZero"/>
        <c:crossBetween val="between"/>
      </c:valAx>
      <c:spPr>
        <a:noFill/>
        <a:ln>
          <a:noFill/>
        </a:ln>
        <a:effectLst/>
      </c:spPr>
    </c:plotArea>
    <c:legend>
      <c:legendPos val="b"/>
      <c:layout>
        <c:manualLayout>
          <c:xMode val="edge"/>
          <c:yMode val="edge"/>
          <c:x val="0.24497681539807525"/>
          <c:y val="4.6874453193350839E-2"/>
          <c:w val="0.55792475940507436"/>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Sheet1!$AH$5</c:f>
              <c:strCache>
                <c:ptCount val="1"/>
                <c:pt idx="0">
                  <c:v>Yield ( q/ha)</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Sheet1!$AG$6:$AG$16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Sheet1!$AH$6:$AH$16</c:f>
              <c:numCache>
                <c:formatCode>General</c:formatCode>
                <c:ptCount val="11"/>
                <c:pt idx="0">
                  <c:v>258.56</c:v>
                </c:pt>
                <c:pt idx="1">
                  <c:v>251.01</c:v>
                </c:pt>
                <c:pt idx="2">
                  <c:v>221.62</c:v>
                </c:pt>
                <c:pt idx="3">
                  <c:v>280.76</c:v>
                </c:pt>
                <c:pt idx="4">
                  <c:v>254.33</c:v>
                </c:pt>
                <c:pt idx="5">
                  <c:v>225.73</c:v>
                </c:pt>
                <c:pt idx="6">
                  <c:v>291.27999999999997</c:v>
                </c:pt>
                <c:pt idx="7">
                  <c:v>276.7</c:v>
                </c:pt>
                <c:pt idx="8">
                  <c:v>229.6</c:v>
                </c:pt>
                <c:pt idx="9">
                  <c:v>239.52</c:v>
                </c:pt>
                <c:pt idx="10">
                  <c:v>167.14</c:v>
                </c:pt>
              </c:numCache>
            </c:numRef>
          </c:val>
          <c:extLst>
            <c:ext xmlns:c16="http://schemas.microsoft.com/office/drawing/2014/chart" uri="{C3380CC4-5D6E-409C-BE32-E72D297353CC}">
              <c16:uniqueId val="{00000000-CCD2-4339-90DD-511B7A4AA3E3}"/>
            </c:ext>
          </c:extLst>
        </c:ser>
        <c:dLbls>
          <c:showLegendKey val="0"/>
          <c:showVal val="0"/>
          <c:showCatName val="0"/>
          <c:showSerName val="0"/>
          <c:showPercent val="0"/>
          <c:showBubbleSize val="0"/>
        </c:dLbls>
        <c:gapWidth val="219"/>
        <c:overlap val="100"/>
        <c:axId val="1892176752"/>
        <c:axId val="1892177584"/>
      </c:barChart>
      <c:catAx>
        <c:axId val="18921767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77584"/>
        <c:crosses val="autoZero"/>
        <c:auto val="1"/>
        <c:lblAlgn val="ctr"/>
        <c:lblOffset val="100"/>
        <c:noMultiLvlLbl val="0"/>
      </c:catAx>
      <c:valAx>
        <c:axId val="18921775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Yield ( q/ha)</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7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shradha</dc:creator>
  <cp:keywords/>
  <dc:description/>
  <cp:lastModifiedBy>AL-NOOR</cp:lastModifiedBy>
  <cp:revision>2</cp:revision>
  <dcterms:created xsi:type="dcterms:W3CDTF">2025-06-19T17:32:00Z</dcterms:created>
  <dcterms:modified xsi:type="dcterms:W3CDTF">2025-06-19T17:32:00Z</dcterms:modified>
</cp:coreProperties>
</file>