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AD" w:rsidRPr="005B0440" w:rsidRDefault="00F861AD">
      <w:pPr>
        <w:rPr>
          <w:rFonts w:ascii="Times New Roman" w:hAnsi="Times New Roman" w:cs="Times New Roman"/>
        </w:rPr>
      </w:pPr>
    </w:p>
    <w:p w:rsidR="003D6EB4" w:rsidRDefault="003D6EB4" w:rsidP="003D6EB4">
      <w:pPr>
        <w:spacing w:after="0" w:line="240" w:lineRule="auto"/>
        <w:jc w:val="center"/>
        <w:rPr>
          <w:rFonts w:ascii="Times New Roman" w:hAnsi="Times New Roman" w:cs="Times New Roman"/>
          <w:b/>
          <w:bCs/>
          <w:sz w:val="28"/>
          <w:szCs w:val="28"/>
        </w:rPr>
      </w:pPr>
      <w:r w:rsidRPr="003D6EB4">
        <w:rPr>
          <w:rFonts w:ascii="Times New Roman" w:hAnsi="Times New Roman" w:cs="Times New Roman"/>
          <w:b/>
          <w:bCs/>
          <w:sz w:val="28"/>
          <w:szCs w:val="28"/>
        </w:rPr>
        <w:t xml:space="preserve">Economic Evaluation of </w:t>
      </w:r>
      <w:proofErr w:type="spellStart"/>
      <w:r w:rsidRPr="005B0440">
        <w:rPr>
          <w:rFonts w:ascii="Times New Roman" w:hAnsi="Times New Roman" w:cs="Times New Roman"/>
          <w:b/>
          <w:bCs/>
          <w:sz w:val="28"/>
          <w:szCs w:val="28"/>
        </w:rPr>
        <w:t>Mungbean</w:t>
      </w:r>
      <w:proofErr w:type="spellEnd"/>
      <w:r w:rsidRPr="005B0440">
        <w:rPr>
          <w:rFonts w:ascii="Times New Roman" w:hAnsi="Times New Roman" w:cs="Times New Roman"/>
          <w:b/>
          <w:bCs/>
          <w:sz w:val="28"/>
          <w:szCs w:val="28"/>
        </w:rPr>
        <w:t xml:space="preserve"> (</w:t>
      </w:r>
      <w:proofErr w:type="spellStart"/>
      <w:r w:rsidRPr="005B0440">
        <w:rPr>
          <w:rFonts w:ascii="Times New Roman" w:hAnsi="Times New Roman" w:cs="Times New Roman"/>
          <w:b/>
          <w:bCs/>
          <w:i/>
          <w:iCs/>
          <w:sz w:val="28"/>
          <w:szCs w:val="28"/>
        </w:rPr>
        <w:t>Vigna</w:t>
      </w:r>
      <w:proofErr w:type="spellEnd"/>
      <w:r w:rsidRPr="005B0440">
        <w:rPr>
          <w:rFonts w:ascii="Times New Roman" w:hAnsi="Times New Roman" w:cs="Times New Roman"/>
          <w:b/>
          <w:bCs/>
          <w:i/>
          <w:iCs/>
          <w:sz w:val="28"/>
          <w:szCs w:val="28"/>
        </w:rPr>
        <w:t xml:space="preserve"> </w:t>
      </w:r>
      <w:commentRangeStart w:id="0"/>
      <w:proofErr w:type="spellStart"/>
      <w:r w:rsidRPr="005B0440">
        <w:rPr>
          <w:rFonts w:ascii="Times New Roman" w:hAnsi="Times New Roman" w:cs="Times New Roman"/>
          <w:b/>
          <w:bCs/>
          <w:i/>
          <w:iCs/>
          <w:sz w:val="28"/>
          <w:szCs w:val="28"/>
        </w:rPr>
        <w:t>redita</w:t>
      </w:r>
      <w:proofErr w:type="spellEnd"/>
      <w:r w:rsidRPr="005B0440">
        <w:rPr>
          <w:rFonts w:ascii="Times New Roman" w:hAnsi="Times New Roman" w:cs="Times New Roman"/>
          <w:b/>
          <w:bCs/>
          <w:sz w:val="28"/>
          <w:szCs w:val="28"/>
        </w:rPr>
        <w:t xml:space="preserve">. L) </w:t>
      </w:r>
      <w:commentRangeEnd w:id="0"/>
      <w:r w:rsidR="009650BF">
        <w:rPr>
          <w:rStyle w:val="CommentReference"/>
        </w:rPr>
        <w:commentReference w:id="0"/>
      </w:r>
      <w:r w:rsidR="001A3860">
        <w:rPr>
          <w:rFonts w:ascii="Times New Roman" w:hAnsi="Times New Roman" w:cs="Times New Roman"/>
          <w:b/>
          <w:bCs/>
          <w:sz w:val="28"/>
          <w:szCs w:val="28"/>
        </w:rPr>
        <w:t>Under</w:t>
      </w:r>
      <w:r w:rsidR="003F4719">
        <w:rPr>
          <w:rFonts w:ascii="Times New Roman" w:hAnsi="Times New Roman" w:cs="Times New Roman"/>
          <w:b/>
          <w:bCs/>
          <w:sz w:val="28"/>
          <w:szCs w:val="28"/>
        </w:rPr>
        <w:t xml:space="preserve"> </w:t>
      </w:r>
      <w:r w:rsidRPr="005B0440">
        <w:rPr>
          <w:rFonts w:ascii="Times New Roman" w:hAnsi="Times New Roman" w:cs="Times New Roman"/>
          <w:b/>
          <w:bCs/>
          <w:sz w:val="28"/>
          <w:szCs w:val="28"/>
        </w:rPr>
        <w:t>Citrus (</w:t>
      </w:r>
      <w:r w:rsidR="00CB24F0">
        <w:rPr>
          <w:rFonts w:ascii="Times New Roman" w:hAnsi="Times New Roman" w:cs="Times New Roman"/>
          <w:b/>
          <w:bCs/>
          <w:i/>
          <w:iCs/>
          <w:sz w:val="28"/>
          <w:szCs w:val="28"/>
        </w:rPr>
        <w:t xml:space="preserve">Citrus </w:t>
      </w:r>
      <w:bookmarkStart w:id="1" w:name="_GoBack"/>
      <w:r w:rsidR="00CB24F0">
        <w:rPr>
          <w:rFonts w:ascii="Times New Roman" w:hAnsi="Times New Roman" w:cs="Times New Roman"/>
          <w:b/>
          <w:bCs/>
          <w:i/>
          <w:iCs/>
          <w:sz w:val="28"/>
          <w:szCs w:val="28"/>
        </w:rPr>
        <w:t>spp</w:t>
      </w:r>
      <w:bookmarkEnd w:id="1"/>
      <w:r w:rsidRPr="005B0440">
        <w:rPr>
          <w:rFonts w:ascii="Times New Roman" w:hAnsi="Times New Roman" w:cs="Times New Roman"/>
          <w:b/>
          <w:bCs/>
          <w:i/>
          <w:iCs/>
          <w:sz w:val="28"/>
          <w:szCs w:val="28"/>
        </w:rPr>
        <w:t>.</w:t>
      </w:r>
      <w:r>
        <w:rPr>
          <w:rFonts w:ascii="Times New Roman" w:hAnsi="Times New Roman" w:cs="Times New Roman"/>
          <w:b/>
          <w:bCs/>
          <w:sz w:val="28"/>
          <w:szCs w:val="28"/>
        </w:rPr>
        <w:t xml:space="preserve"> L.) based </w:t>
      </w:r>
      <w:proofErr w:type="spellStart"/>
      <w:r>
        <w:rPr>
          <w:rFonts w:ascii="Times New Roman" w:hAnsi="Times New Roman" w:cs="Times New Roman"/>
          <w:b/>
          <w:bCs/>
          <w:sz w:val="28"/>
          <w:szCs w:val="28"/>
        </w:rPr>
        <w:t>Agri-horti</w:t>
      </w:r>
      <w:proofErr w:type="spellEnd"/>
      <w:r>
        <w:rPr>
          <w:rFonts w:ascii="Times New Roman" w:hAnsi="Times New Roman" w:cs="Times New Roman"/>
          <w:b/>
          <w:bCs/>
          <w:sz w:val="28"/>
          <w:szCs w:val="28"/>
        </w:rPr>
        <w:t xml:space="preserve"> </w:t>
      </w:r>
      <w:r w:rsidRPr="003D6EB4">
        <w:rPr>
          <w:rFonts w:ascii="Times New Roman" w:hAnsi="Times New Roman" w:cs="Times New Roman"/>
          <w:b/>
          <w:bCs/>
          <w:sz w:val="28"/>
          <w:szCs w:val="28"/>
        </w:rPr>
        <w:t xml:space="preserve">System in Semi-arid Region of </w:t>
      </w:r>
      <w:r>
        <w:rPr>
          <w:rFonts w:ascii="Times New Roman" w:hAnsi="Times New Roman" w:cs="Times New Roman"/>
          <w:b/>
          <w:bCs/>
          <w:sz w:val="28"/>
          <w:szCs w:val="28"/>
        </w:rPr>
        <w:t>Prayagraj</w:t>
      </w:r>
      <w:r w:rsidRPr="003D6EB4">
        <w:rPr>
          <w:rFonts w:ascii="Times New Roman" w:hAnsi="Times New Roman" w:cs="Times New Roman"/>
          <w:b/>
          <w:bCs/>
          <w:sz w:val="28"/>
          <w:szCs w:val="28"/>
        </w:rPr>
        <w:t>, India</w:t>
      </w:r>
    </w:p>
    <w:p w:rsidR="003F4719" w:rsidRPr="003D6EB4" w:rsidRDefault="003F4719" w:rsidP="003D6EB4">
      <w:pPr>
        <w:spacing w:after="0" w:line="240" w:lineRule="auto"/>
        <w:jc w:val="center"/>
        <w:rPr>
          <w:rFonts w:ascii="Times New Roman" w:hAnsi="Times New Roman" w:cs="Times New Roman"/>
          <w:b/>
          <w:bCs/>
          <w:sz w:val="28"/>
          <w:szCs w:val="28"/>
        </w:rPr>
      </w:pPr>
    </w:p>
    <w:p w:rsidR="00F112A6" w:rsidRPr="00F03FC8" w:rsidRDefault="00F112A6" w:rsidP="005B0440">
      <w:pPr>
        <w:spacing w:line="360" w:lineRule="auto"/>
        <w:jc w:val="both"/>
        <w:rPr>
          <w:rFonts w:ascii="Times New Roman" w:hAnsi="Times New Roman" w:cs="Times New Roman"/>
          <w:b/>
          <w:bCs/>
        </w:rPr>
      </w:pPr>
      <w:r w:rsidRPr="00F03FC8">
        <w:rPr>
          <w:rFonts w:ascii="Times New Roman" w:hAnsi="Times New Roman" w:cs="Times New Roman"/>
          <w:b/>
          <w:bCs/>
        </w:rPr>
        <w:t>Abstract</w:t>
      </w:r>
    </w:p>
    <w:p w:rsidR="00011455" w:rsidRDefault="00011455" w:rsidP="005B0440">
      <w:pPr>
        <w:pStyle w:val="NormalWeb"/>
        <w:spacing w:line="360" w:lineRule="auto"/>
        <w:jc w:val="both"/>
        <w:rPr>
          <w:sz w:val="22"/>
          <w:szCs w:val="22"/>
        </w:rPr>
      </w:pPr>
      <w:r w:rsidRPr="00011455">
        <w:rPr>
          <w:sz w:val="22"/>
          <w:szCs w:val="22"/>
        </w:rPr>
        <w:t xml:space="preserve">The present study was conducted to evaluate the impact of Integrated Nutrient Management (INM) on root nodulation and economic performance of </w:t>
      </w:r>
      <w:proofErr w:type="spellStart"/>
      <w:r w:rsidRPr="00011455">
        <w:rPr>
          <w:sz w:val="22"/>
          <w:szCs w:val="22"/>
        </w:rPr>
        <w:t>mungbean</w:t>
      </w:r>
      <w:proofErr w:type="spellEnd"/>
      <w:r w:rsidRPr="00011455">
        <w:rPr>
          <w:sz w:val="22"/>
          <w:szCs w:val="22"/>
        </w:rPr>
        <w:t xml:space="preserve"> (</w:t>
      </w:r>
      <w:proofErr w:type="spellStart"/>
      <w:r w:rsidRPr="00011455">
        <w:rPr>
          <w:i/>
          <w:iCs/>
          <w:sz w:val="22"/>
          <w:szCs w:val="22"/>
        </w:rPr>
        <w:t>Vigna</w:t>
      </w:r>
      <w:proofErr w:type="spellEnd"/>
      <w:r w:rsidRPr="00011455">
        <w:rPr>
          <w:i/>
          <w:iCs/>
          <w:sz w:val="22"/>
          <w:szCs w:val="22"/>
        </w:rPr>
        <w:t xml:space="preserve"> </w:t>
      </w:r>
      <w:proofErr w:type="spellStart"/>
      <w:r w:rsidRPr="00011455">
        <w:rPr>
          <w:i/>
          <w:iCs/>
          <w:sz w:val="22"/>
          <w:szCs w:val="22"/>
        </w:rPr>
        <w:t>radiata</w:t>
      </w:r>
      <w:proofErr w:type="spellEnd"/>
      <w:r w:rsidRPr="00011455">
        <w:rPr>
          <w:sz w:val="22"/>
          <w:szCs w:val="22"/>
        </w:rPr>
        <w:t xml:space="preserve"> L. </w:t>
      </w:r>
      <w:proofErr w:type="spellStart"/>
      <w:r w:rsidRPr="00011455">
        <w:rPr>
          <w:sz w:val="22"/>
          <w:szCs w:val="22"/>
        </w:rPr>
        <w:t>Wilczek</w:t>
      </w:r>
      <w:proofErr w:type="spellEnd"/>
      <w:r w:rsidRPr="00011455">
        <w:rPr>
          <w:sz w:val="22"/>
          <w:szCs w:val="22"/>
        </w:rPr>
        <w:t xml:space="preserve">) under a citrus-based </w:t>
      </w:r>
      <w:proofErr w:type="spellStart"/>
      <w:r w:rsidRPr="00011455">
        <w:rPr>
          <w:sz w:val="22"/>
          <w:szCs w:val="22"/>
        </w:rPr>
        <w:t>agri-horti</w:t>
      </w:r>
      <w:proofErr w:type="spellEnd"/>
      <w:r w:rsidRPr="00011455">
        <w:rPr>
          <w:sz w:val="22"/>
          <w:szCs w:val="22"/>
        </w:rPr>
        <w:t xml:space="preserve"> system. </w:t>
      </w:r>
      <w:commentRangeStart w:id="2"/>
      <w:r w:rsidRPr="00011455">
        <w:rPr>
          <w:sz w:val="22"/>
          <w:szCs w:val="22"/>
        </w:rPr>
        <w:t xml:space="preserve">The experiment was carried out during the </w:t>
      </w:r>
      <w:r w:rsidRPr="00011455">
        <w:rPr>
          <w:i/>
          <w:iCs/>
          <w:sz w:val="22"/>
          <w:szCs w:val="22"/>
        </w:rPr>
        <w:t>Kharif</w:t>
      </w:r>
      <w:r w:rsidRPr="00011455">
        <w:rPr>
          <w:sz w:val="22"/>
          <w:szCs w:val="22"/>
        </w:rPr>
        <w:t xml:space="preserve"> season of 2023–24 at the College of Forestry, SHUATS, Prayagraj, employing thirteen nutrient management treatments combining various proportions of recommended dose of fertilizers (RDF) with organic amendments such as farmyard manure (FYM), vermicompost, press mud, and poultry manure. The treatments were assessed under two cropping conditions: agroforestry (AF) and open field. </w:t>
      </w:r>
      <w:commentRangeEnd w:id="2"/>
      <w:r w:rsidR="006F27A7">
        <w:rPr>
          <w:rStyle w:val="CommentReference"/>
          <w:rFonts w:asciiTheme="minorHAnsi" w:eastAsiaTheme="minorEastAsia" w:hAnsiTheme="minorHAnsi" w:cstheme="minorBidi"/>
          <w:lang w:bidi="ar-SA"/>
        </w:rPr>
        <w:commentReference w:id="2"/>
      </w:r>
      <w:r w:rsidRPr="00011455">
        <w:rPr>
          <w:sz w:val="22"/>
          <w:szCs w:val="22"/>
        </w:rPr>
        <w:t xml:space="preserve">Results indicated that INM practices significantly </w:t>
      </w:r>
      <w:r w:rsidR="000F3046" w:rsidRPr="00011455">
        <w:rPr>
          <w:sz w:val="22"/>
          <w:szCs w:val="22"/>
        </w:rPr>
        <w:t xml:space="preserve">influenced </w:t>
      </w:r>
      <w:r w:rsidR="000F3046">
        <w:rPr>
          <w:sz w:val="22"/>
          <w:szCs w:val="22"/>
        </w:rPr>
        <w:t>yield</w:t>
      </w:r>
      <w:r>
        <w:rPr>
          <w:sz w:val="22"/>
          <w:szCs w:val="22"/>
        </w:rPr>
        <w:t xml:space="preserve"> </w:t>
      </w:r>
      <w:r w:rsidRPr="00011455">
        <w:rPr>
          <w:sz w:val="22"/>
          <w:szCs w:val="22"/>
        </w:rPr>
        <w:t>with Treatment T9 consistently outperforming others by recording the highest economic returns, including a ma</w:t>
      </w:r>
      <w:r w:rsidR="000F3046">
        <w:rPr>
          <w:sz w:val="22"/>
          <w:szCs w:val="22"/>
        </w:rPr>
        <w:t>ximum benefit-cost (B</w:t>
      </w:r>
      <w:proofErr w:type="gramStart"/>
      <w:r w:rsidR="000F3046">
        <w:rPr>
          <w:sz w:val="22"/>
          <w:szCs w:val="22"/>
        </w:rPr>
        <w:t>:C</w:t>
      </w:r>
      <w:proofErr w:type="gramEnd"/>
      <w:r w:rsidR="000F3046">
        <w:rPr>
          <w:sz w:val="22"/>
          <w:szCs w:val="22"/>
        </w:rPr>
        <w:t xml:space="preserve">) ratio </w:t>
      </w:r>
      <w:r w:rsidRPr="00011455">
        <w:rPr>
          <w:sz w:val="22"/>
          <w:szCs w:val="22"/>
        </w:rPr>
        <w:t xml:space="preserve">emphasizing the effectiveness of integrated nutrient strategies over single-source applications. Conversely, treatments with moderate yields but lower net returns highlighted the critical role of input efficiency in determining profitability. </w:t>
      </w:r>
      <w:r w:rsidR="000F3046">
        <w:rPr>
          <w:sz w:val="22"/>
          <w:szCs w:val="22"/>
        </w:rPr>
        <w:t>T</w:t>
      </w:r>
      <w:r w:rsidRPr="00011455">
        <w:rPr>
          <w:sz w:val="22"/>
          <w:szCs w:val="22"/>
        </w:rPr>
        <w:t xml:space="preserve">he findings underscore that INM not only enhances biological nitrogen fixation and crop productivity but also improves economic sustainability, making it a viable nutrient management approach for legume-based intercropping systems, particularly in citrus-based </w:t>
      </w:r>
      <w:proofErr w:type="spellStart"/>
      <w:r w:rsidRPr="00011455">
        <w:rPr>
          <w:sz w:val="22"/>
          <w:szCs w:val="22"/>
        </w:rPr>
        <w:t>agri-horti</w:t>
      </w:r>
      <w:proofErr w:type="spellEnd"/>
      <w:r w:rsidRPr="00011455">
        <w:rPr>
          <w:sz w:val="22"/>
          <w:szCs w:val="22"/>
        </w:rPr>
        <w:t xml:space="preserve"> </w:t>
      </w:r>
      <w:commentRangeStart w:id="3"/>
      <w:r w:rsidRPr="00011455">
        <w:rPr>
          <w:sz w:val="22"/>
          <w:szCs w:val="22"/>
        </w:rPr>
        <w:t>models</w:t>
      </w:r>
      <w:commentRangeEnd w:id="3"/>
      <w:r w:rsidR="00AB08B0">
        <w:rPr>
          <w:rStyle w:val="CommentReference"/>
          <w:rFonts w:asciiTheme="minorHAnsi" w:eastAsiaTheme="minorEastAsia" w:hAnsiTheme="minorHAnsi" w:cstheme="minorBidi"/>
          <w:lang w:bidi="ar-SA"/>
        </w:rPr>
        <w:commentReference w:id="3"/>
      </w:r>
      <w:r w:rsidRPr="00011455">
        <w:rPr>
          <w:sz w:val="22"/>
          <w:szCs w:val="22"/>
        </w:rPr>
        <w:t>.</w:t>
      </w:r>
    </w:p>
    <w:p w:rsidR="00103E3C" w:rsidRPr="00F03FC8" w:rsidRDefault="00103E3C" w:rsidP="005B0440">
      <w:pPr>
        <w:pStyle w:val="NormalWeb"/>
        <w:spacing w:line="360" w:lineRule="auto"/>
        <w:jc w:val="both"/>
        <w:rPr>
          <w:sz w:val="22"/>
          <w:szCs w:val="22"/>
        </w:rPr>
      </w:pPr>
      <w:r w:rsidRPr="00F03FC8">
        <w:rPr>
          <w:sz w:val="22"/>
          <w:szCs w:val="22"/>
        </w:rPr>
        <w:t xml:space="preserve">Keywords: </w:t>
      </w:r>
      <w:proofErr w:type="spellStart"/>
      <w:r w:rsidRPr="00F03FC8">
        <w:rPr>
          <w:sz w:val="22"/>
          <w:szCs w:val="22"/>
        </w:rPr>
        <w:t>Mungbean</w:t>
      </w:r>
      <w:proofErr w:type="spellEnd"/>
      <w:r w:rsidRPr="00F03FC8">
        <w:rPr>
          <w:sz w:val="22"/>
          <w:szCs w:val="22"/>
        </w:rPr>
        <w:t xml:space="preserve">, </w:t>
      </w:r>
      <w:commentRangeStart w:id="4"/>
      <w:r w:rsidRPr="00F03FC8">
        <w:rPr>
          <w:sz w:val="22"/>
          <w:szCs w:val="22"/>
        </w:rPr>
        <w:t>organic and inorganic nutrient sources</w:t>
      </w:r>
      <w:commentRangeEnd w:id="4"/>
      <w:r w:rsidR="009650BF">
        <w:rPr>
          <w:rStyle w:val="CommentReference"/>
          <w:rFonts w:asciiTheme="minorHAnsi" w:eastAsiaTheme="minorEastAsia" w:hAnsiTheme="minorHAnsi" w:cstheme="minorBidi"/>
          <w:lang w:bidi="ar-SA"/>
        </w:rPr>
        <w:commentReference w:id="4"/>
      </w:r>
      <w:r w:rsidRPr="00F03FC8">
        <w:rPr>
          <w:sz w:val="22"/>
          <w:szCs w:val="22"/>
        </w:rPr>
        <w:t xml:space="preserve">, </w:t>
      </w:r>
      <w:r w:rsidR="00011455">
        <w:rPr>
          <w:sz w:val="22"/>
          <w:szCs w:val="22"/>
        </w:rPr>
        <w:t>economics</w:t>
      </w:r>
      <w:r w:rsidRPr="00F03FC8">
        <w:rPr>
          <w:sz w:val="22"/>
          <w:szCs w:val="22"/>
        </w:rPr>
        <w:t xml:space="preserve">, </w:t>
      </w:r>
      <w:proofErr w:type="spellStart"/>
      <w:r w:rsidRPr="00F03FC8">
        <w:rPr>
          <w:sz w:val="22"/>
          <w:szCs w:val="22"/>
        </w:rPr>
        <w:t>agri-horti</w:t>
      </w:r>
      <w:proofErr w:type="spellEnd"/>
      <w:r w:rsidRPr="00F03FC8">
        <w:rPr>
          <w:sz w:val="22"/>
          <w:szCs w:val="22"/>
        </w:rPr>
        <w:t xml:space="preserve"> systems</w:t>
      </w:r>
    </w:p>
    <w:p w:rsidR="00850896" w:rsidRPr="00F03FC8" w:rsidRDefault="00F112A6" w:rsidP="005B0440">
      <w:pPr>
        <w:spacing w:line="360" w:lineRule="auto"/>
        <w:jc w:val="both"/>
        <w:rPr>
          <w:rFonts w:ascii="Times New Roman" w:hAnsi="Times New Roman" w:cs="Times New Roman"/>
          <w:b/>
          <w:bCs/>
        </w:rPr>
      </w:pPr>
      <w:r w:rsidRPr="00F03FC8">
        <w:rPr>
          <w:rFonts w:ascii="Times New Roman" w:hAnsi="Times New Roman" w:cs="Times New Roman"/>
          <w:b/>
          <w:bCs/>
        </w:rPr>
        <w:t xml:space="preserve">Introduction </w:t>
      </w:r>
    </w:p>
    <w:p w:rsidR="00773B27" w:rsidRPr="00773B27" w:rsidRDefault="00773B27" w:rsidP="00773B27">
      <w:pPr>
        <w:spacing w:line="360" w:lineRule="auto"/>
        <w:jc w:val="both"/>
        <w:rPr>
          <w:rFonts w:ascii="Times New Roman" w:hAnsi="Times New Roman" w:cs="Times New Roman"/>
        </w:rPr>
      </w:pP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w:t>
      </w:r>
      <w:commentRangeStart w:id="5"/>
      <w:proofErr w:type="spellStart"/>
      <w:r w:rsidRPr="00773B27">
        <w:rPr>
          <w:rFonts w:ascii="Times New Roman" w:hAnsi="Times New Roman" w:cs="Times New Roman"/>
        </w:rPr>
        <w:t>Vigna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radiata</w:t>
      </w:r>
      <w:proofErr w:type="spellEnd"/>
      <w:r w:rsidRPr="00773B27">
        <w:rPr>
          <w:rFonts w:ascii="Times New Roman" w:hAnsi="Times New Roman" w:cs="Times New Roman"/>
        </w:rPr>
        <w:t xml:space="preserve"> </w:t>
      </w:r>
      <w:commentRangeEnd w:id="5"/>
      <w:r w:rsidR="007D590C">
        <w:rPr>
          <w:rStyle w:val="CommentReference"/>
        </w:rPr>
        <w:commentReference w:id="5"/>
      </w:r>
      <w:r w:rsidRPr="00773B27">
        <w:rPr>
          <w:rFonts w:ascii="Times New Roman" w:hAnsi="Times New Roman" w:cs="Times New Roman"/>
        </w:rPr>
        <w:t xml:space="preserve">L. </w:t>
      </w:r>
      <w:proofErr w:type="spellStart"/>
      <w:r w:rsidRPr="00773B27">
        <w:rPr>
          <w:rFonts w:ascii="Times New Roman" w:hAnsi="Times New Roman" w:cs="Times New Roman"/>
        </w:rPr>
        <w:t>Wilczek</w:t>
      </w:r>
      <w:proofErr w:type="spellEnd"/>
      <w:r w:rsidRPr="00773B27">
        <w:rPr>
          <w:rFonts w:ascii="Times New Roman" w:hAnsi="Times New Roman" w:cs="Times New Roman"/>
        </w:rPr>
        <w:t>) is an important pulse crop in India, valued for its nutritional, agronomic, and ecological attributes. As a staple in vegetarian diets, it provides a highly digestible protein content of 24–26%, along with essential amino acids such as lysine and tryptophan, and is rich in vitamins like ascorbic acid, thiamine, and riboflavin, particularly in its sprouted form (</w:t>
      </w:r>
      <w:proofErr w:type="spellStart"/>
      <w:r w:rsidRPr="00773B27">
        <w:rPr>
          <w:rFonts w:ascii="Times New Roman" w:hAnsi="Times New Roman" w:cs="Times New Roman"/>
        </w:rPr>
        <w:t>Khandaker</w:t>
      </w:r>
      <w:proofErr w:type="spellEnd"/>
      <w:r w:rsidRPr="00773B27">
        <w:rPr>
          <w:rFonts w:ascii="Times New Roman" w:hAnsi="Times New Roman" w:cs="Times New Roman"/>
        </w:rPr>
        <w:t xml:space="preserve"> et al., 2016). Indigenous to the Indian subcontinent,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is well adapted to tropical and subtropical climates and is traditionally grown during the kharif season. However, the development of early-maturing and photo-insensitive varieties has enabled its successful cultivation during spring and summer seasons, enhancing its role as a short-duration or catch crop (Ali &amp; Mishra, 2000).</w:t>
      </w:r>
      <w:r>
        <w:rPr>
          <w:rFonts w:ascii="Times New Roman" w:hAnsi="Times New Roman" w:cs="Times New Roman"/>
        </w:rPr>
        <w:t xml:space="preserve"> </w:t>
      </w:r>
      <w:r w:rsidRPr="00773B27">
        <w:rPr>
          <w:rFonts w:ascii="Times New Roman" w:hAnsi="Times New Roman" w:cs="Times New Roman"/>
        </w:rPr>
        <w:t xml:space="preserve">Despite its multifaceted advantages,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productivity in India remains below potential, constrained by poor soil fertility, imbalanced fertilizer use, and the persistence of traditional farming practices (Chaudhary et al., 2003). </w:t>
      </w:r>
      <w:r w:rsidRPr="00773B27">
        <w:rPr>
          <w:rFonts w:ascii="Times New Roman" w:hAnsi="Times New Roman" w:cs="Times New Roman"/>
        </w:rPr>
        <w:lastRenderedPageBreak/>
        <w:t xml:space="preserve">Although the Green Revolution significantly boosted food production, it also brought ecological challenges such as nutrient imbalances, soil degradation, and increased pollution due to excessive use of chemical fertilizers and pesticides (Sharma et al., 2010). Consequently, there has been a paradigm shift toward sustainable nutrient </w:t>
      </w:r>
      <w:r>
        <w:rPr>
          <w:rFonts w:ascii="Times New Roman" w:hAnsi="Times New Roman" w:cs="Times New Roman"/>
        </w:rPr>
        <w:t xml:space="preserve">management approaches, </w:t>
      </w:r>
      <w:r w:rsidRPr="00773B27">
        <w:rPr>
          <w:rFonts w:ascii="Times New Roman" w:hAnsi="Times New Roman" w:cs="Times New Roman"/>
        </w:rPr>
        <w:t xml:space="preserve">most notably, Integrated Nutrient Management (INM). INM emphasizes the judicious combination of organic manures, biofertilizers, and inorganic fertilizers to enhance nutrient-use efficiency, maintain soil health, and ensure long-term agricultural sustainability (Meena et al., 2015; </w:t>
      </w:r>
      <w:proofErr w:type="spellStart"/>
      <w:r w:rsidRPr="00773B27">
        <w:rPr>
          <w:rFonts w:ascii="Times New Roman" w:hAnsi="Times New Roman" w:cs="Times New Roman"/>
        </w:rPr>
        <w:t>Dhakal</w:t>
      </w:r>
      <w:proofErr w:type="spellEnd"/>
      <w:r w:rsidRPr="00773B27">
        <w:rPr>
          <w:rFonts w:ascii="Times New Roman" w:hAnsi="Times New Roman" w:cs="Times New Roman"/>
        </w:rPr>
        <w:t xml:space="preserve"> et al., 2016).</w:t>
      </w:r>
      <w:r>
        <w:rPr>
          <w:rFonts w:ascii="Times New Roman" w:hAnsi="Times New Roman" w:cs="Times New Roman"/>
        </w:rPr>
        <w:t xml:space="preserve"> </w:t>
      </w:r>
      <w:r w:rsidRPr="00773B27">
        <w:rPr>
          <w:rFonts w:ascii="Times New Roman" w:hAnsi="Times New Roman" w:cs="Times New Roman"/>
        </w:rPr>
        <w:t>Organic inputs like farmyard manure, poultry manure, press mud, and vermicompost are increasingly recognized for their role in improving soil structure, water retention, microbial biomass, and enzymatic activity. Among them, vermicompost stands out due to its richness in beneficial microbes and plant-growth-promoting substances that enhance nutrient mineralization and plant uptake (</w:t>
      </w:r>
      <w:proofErr w:type="spellStart"/>
      <w:r w:rsidRPr="00773B27">
        <w:rPr>
          <w:rFonts w:ascii="Times New Roman" w:hAnsi="Times New Roman" w:cs="Times New Roman"/>
        </w:rPr>
        <w:t>Rajkhowa</w:t>
      </w:r>
      <w:proofErr w:type="spellEnd"/>
      <w:r w:rsidRPr="00773B27">
        <w:rPr>
          <w:rFonts w:ascii="Times New Roman" w:hAnsi="Times New Roman" w:cs="Times New Roman"/>
        </w:rPr>
        <w:t xml:space="preserve"> et al., 2017; Sutaria et al., 2010). When integrated with biofertilizers such as Rhizobium and phosphate-solubilizing bacteria (PSB), these organic amendments significantly improve nitrogen fixation and phosphorus availability, which are vital for legume performance (</w:t>
      </w:r>
      <w:proofErr w:type="spellStart"/>
      <w:r w:rsidRPr="00773B27">
        <w:rPr>
          <w:rFonts w:ascii="Times New Roman" w:hAnsi="Times New Roman" w:cs="Times New Roman"/>
        </w:rPr>
        <w:t>Vessey</w:t>
      </w:r>
      <w:proofErr w:type="spellEnd"/>
      <w:r w:rsidRPr="00773B27">
        <w:rPr>
          <w:rFonts w:ascii="Times New Roman" w:hAnsi="Times New Roman" w:cs="Times New Roman"/>
        </w:rPr>
        <w:t xml:space="preserve">, 2003; Bhatt et al., 2013). Phosphorus, in particular, is essential for root elongation and effective nodule formation, and its deficiency often limits nitrogen fixation in legume crops. Research has shown that PSB can solubilize bound phosphates in the soil, making them more accessible to plants and thereby enhancing nodulation and productivity in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Bhuiyan</w:t>
      </w:r>
      <w:proofErr w:type="spellEnd"/>
      <w:r w:rsidRPr="00773B27">
        <w:rPr>
          <w:rFonts w:ascii="Times New Roman" w:hAnsi="Times New Roman" w:cs="Times New Roman"/>
        </w:rPr>
        <w:t xml:space="preserve"> et al., 2008; </w:t>
      </w:r>
      <w:proofErr w:type="spellStart"/>
      <w:r w:rsidRPr="00773B27">
        <w:rPr>
          <w:rFonts w:ascii="Times New Roman" w:hAnsi="Times New Roman" w:cs="Times New Roman"/>
        </w:rPr>
        <w:t>Kalaiyarasi</w:t>
      </w:r>
      <w:proofErr w:type="spellEnd"/>
      <w:r w:rsidRPr="00773B27">
        <w:rPr>
          <w:rFonts w:ascii="Times New Roman" w:hAnsi="Times New Roman" w:cs="Times New Roman"/>
        </w:rPr>
        <w:t xml:space="preserve"> et al., 2019).</w:t>
      </w:r>
    </w:p>
    <w:p w:rsidR="00773B27" w:rsidRPr="00773B27" w:rsidRDefault="00773B27" w:rsidP="00773B27">
      <w:pPr>
        <w:spacing w:line="360" w:lineRule="auto"/>
        <w:jc w:val="both"/>
        <w:rPr>
          <w:rFonts w:ascii="Times New Roman" w:hAnsi="Times New Roman" w:cs="Times New Roman"/>
        </w:rPr>
      </w:pPr>
      <w:r w:rsidRPr="00773B27">
        <w:rPr>
          <w:rFonts w:ascii="Times New Roman" w:hAnsi="Times New Roman" w:cs="Times New Roman"/>
        </w:rPr>
        <w:t>In semi-arid regions, such as those found in parts of Uttar Pradesh, erratic rainfall and poor soil conditions frequently lead to crop failures (</w:t>
      </w:r>
      <w:proofErr w:type="spellStart"/>
      <w:r w:rsidRPr="00773B27">
        <w:rPr>
          <w:rFonts w:ascii="Times New Roman" w:hAnsi="Times New Roman" w:cs="Times New Roman"/>
        </w:rPr>
        <w:t>Parasriya</w:t>
      </w:r>
      <w:proofErr w:type="spellEnd"/>
      <w:r w:rsidRPr="00773B27">
        <w:rPr>
          <w:rFonts w:ascii="Times New Roman" w:hAnsi="Times New Roman" w:cs="Times New Roman"/>
        </w:rPr>
        <w:t xml:space="preserve"> et al., 2022; Patel &amp; </w:t>
      </w:r>
      <w:proofErr w:type="spellStart"/>
      <w:r w:rsidRPr="00773B27">
        <w:rPr>
          <w:rFonts w:ascii="Times New Roman" w:hAnsi="Times New Roman" w:cs="Times New Roman"/>
        </w:rPr>
        <w:t>Gangwar</w:t>
      </w:r>
      <w:proofErr w:type="spellEnd"/>
      <w:r w:rsidRPr="00773B27">
        <w:rPr>
          <w:rFonts w:ascii="Times New Roman" w:hAnsi="Times New Roman" w:cs="Times New Roman"/>
        </w:rPr>
        <w:t>, 2023). This has prompted a growing interest in agroforestry systems, which provide ecological and economic resilience by integrating trees with crops. In the Prayagraj region, species such as teak (</w:t>
      </w:r>
      <w:commentRangeStart w:id="6"/>
      <w:proofErr w:type="spellStart"/>
      <w:r w:rsidRPr="00773B27">
        <w:rPr>
          <w:rFonts w:ascii="Times New Roman" w:hAnsi="Times New Roman" w:cs="Times New Roman"/>
        </w:rPr>
        <w:t>Tectona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grandis</w:t>
      </w:r>
      <w:commentRangeEnd w:id="6"/>
      <w:proofErr w:type="spellEnd"/>
      <w:r w:rsidR="0073198C">
        <w:rPr>
          <w:rStyle w:val="CommentReference"/>
        </w:rPr>
        <w:commentReference w:id="6"/>
      </w:r>
      <w:r w:rsidRPr="00773B27">
        <w:rPr>
          <w:rFonts w:ascii="Times New Roman" w:hAnsi="Times New Roman" w:cs="Times New Roman"/>
        </w:rPr>
        <w:t xml:space="preserve">), </w:t>
      </w:r>
      <w:proofErr w:type="spellStart"/>
      <w:r w:rsidRPr="00773B27">
        <w:rPr>
          <w:rFonts w:ascii="Times New Roman" w:hAnsi="Times New Roman" w:cs="Times New Roman"/>
        </w:rPr>
        <w:t>babool</w:t>
      </w:r>
      <w:proofErr w:type="spellEnd"/>
      <w:r w:rsidRPr="00773B27">
        <w:rPr>
          <w:rFonts w:ascii="Times New Roman" w:hAnsi="Times New Roman" w:cs="Times New Roman"/>
        </w:rPr>
        <w:t xml:space="preserve"> (</w:t>
      </w:r>
      <w:commentRangeStart w:id="7"/>
      <w:r w:rsidRPr="00773B27">
        <w:rPr>
          <w:rFonts w:ascii="Times New Roman" w:hAnsi="Times New Roman" w:cs="Times New Roman"/>
        </w:rPr>
        <w:t xml:space="preserve">Acacia </w:t>
      </w:r>
      <w:proofErr w:type="spellStart"/>
      <w:r w:rsidRPr="00773B27">
        <w:rPr>
          <w:rFonts w:ascii="Times New Roman" w:hAnsi="Times New Roman" w:cs="Times New Roman"/>
        </w:rPr>
        <w:t>nilotica</w:t>
      </w:r>
      <w:commentRangeEnd w:id="7"/>
      <w:proofErr w:type="spellEnd"/>
      <w:r w:rsidR="0073198C">
        <w:rPr>
          <w:rStyle w:val="CommentReference"/>
        </w:rPr>
        <w:commentReference w:id="7"/>
      </w:r>
      <w:r w:rsidRPr="00773B27">
        <w:rPr>
          <w:rFonts w:ascii="Times New Roman" w:hAnsi="Times New Roman" w:cs="Times New Roman"/>
        </w:rPr>
        <w:t xml:space="preserve">), </w:t>
      </w:r>
      <w:proofErr w:type="spellStart"/>
      <w:r w:rsidRPr="00773B27">
        <w:rPr>
          <w:rFonts w:ascii="Times New Roman" w:hAnsi="Times New Roman" w:cs="Times New Roman"/>
        </w:rPr>
        <w:t>sissoo</w:t>
      </w:r>
      <w:proofErr w:type="spellEnd"/>
      <w:r w:rsidRPr="00773B27">
        <w:rPr>
          <w:rFonts w:ascii="Times New Roman" w:hAnsi="Times New Roman" w:cs="Times New Roman"/>
        </w:rPr>
        <w:t xml:space="preserve"> </w:t>
      </w:r>
      <w:commentRangeStart w:id="8"/>
      <w:r w:rsidRPr="00773B27">
        <w:rPr>
          <w:rFonts w:ascii="Times New Roman" w:hAnsi="Times New Roman" w:cs="Times New Roman"/>
        </w:rPr>
        <w:t>(</w:t>
      </w:r>
      <w:proofErr w:type="spellStart"/>
      <w:r w:rsidRPr="00773B27">
        <w:rPr>
          <w:rFonts w:ascii="Times New Roman" w:hAnsi="Times New Roman" w:cs="Times New Roman"/>
        </w:rPr>
        <w:t>Dalbergia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sissoo</w:t>
      </w:r>
      <w:proofErr w:type="spellEnd"/>
      <w:r w:rsidRPr="00773B27">
        <w:rPr>
          <w:rFonts w:ascii="Times New Roman" w:hAnsi="Times New Roman" w:cs="Times New Roman"/>
        </w:rPr>
        <w:t xml:space="preserve">), </w:t>
      </w:r>
      <w:commentRangeEnd w:id="8"/>
      <w:r w:rsidR="0073198C">
        <w:rPr>
          <w:rStyle w:val="CommentReference"/>
        </w:rPr>
        <w:commentReference w:id="8"/>
      </w:r>
      <w:proofErr w:type="spellStart"/>
      <w:r w:rsidRPr="00773B27">
        <w:rPr>
          <w:rFonts w:ascii="Times New Roman" w:hAnsi="Times New Roman" w:cs="Times New Roman"/>
        </w:rPr>
        <w:t>palash</w:t>
      </w:r>
      <w:proofErr w:type="spellEnd"/>
      <w:r w:rsidRPr="00773B27">
        <w:rPr>
          <w:rFonts w:ascii="Times New Roman" w:hAnsi="Times New Roman" w:cs="Times New Roman"/>
        </w:rPr>
        <w:t xml:space="preserve"> (</w:t>
      </w:r>
      <w:commentRangeStart w:id="9"/>
      <w:proofErr w:type="spellStart"/>
      <w:r w:rsidRPr="00773B27">
        <w:rPr>
          <w:rFonts w:ascii="Times New Roman" w:hAnsi="Times New Roman" w:cs="Times New Roman"/>
        </w:rPr>
        <w:t>Butea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monosperma</w:t>
      </w:r>
      <w:commentRangeEnd w:id="9"/>
      <w:proofErr w:type="spellEnd"/>
      <w:r w:rsidR="0073198C">
        <w:rPr>
          <w:rStyle w:val="CommentReference"/>
        </w:rPr>
        <w:commentReference w:id="9"/>
      </w:r>
      <w:r w:rsidRPr="00773B27">
        <w:rPr>
          <w:rFonts w:ascii="Times New Roman" w:hAnsi="Times New Roman" w:cs="Times New Roman"/>
        </w:rPr>
        <w:t xml:space="preserve">), </w:t>
      </w:r>
      <w:proofErr w:type="spellStart"/>
      <w:r w:rsidRPr="00773B27">
        <w:rPr>
          <w:rFonts w:ascii="Times New Roman" w:hAnsi="Times New Roman" w:cs="Times New Roman"/>
        </w:rPr>
        <w:t>tendu</w:t>
      </w:r>
      <w:proofErr w:type="spellEnd"/>
      <w:r w:rsidRPr="00773B27">
        <w:rPr>
          <w:rFonts w:ascii="Times New Roman" w:hAnsi="Times New Roman" w:cs="Times New Roman"/>
        </w:rPr>
        <w:t xml:space="preserve"> </w:t>
      </w:r>
      <w:commentRangeStart w:id="10"/>
      <w:r w:rsidRPr="00773B27">
        <w:rPr>
          <w:rFonts w:ascii="Times New Roman" w:hAnsi="Times New Roman" w:cs="Times New Roman"/>
        </w:rPr>
        <w:t>(</w:t>
      </w:r>
      <w:proofErr w:type="spellStart"/>
      <w:r w:rsidRPr="00773B27">
        <w:rPr>
          <w:rFonts w:ascii="Times New Roman" w:hAnsi="Times New Roman" w:cs="Times New Roman"/>
        </w:rPr>
        <w:t>Diospyros</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melanoxylon</w:t>
      </w:r>
      <w:commentRangeEnd w:id="10"/>
      <w:proofErr w:type="spellEnd"/>
      <w:r w:rsidR="0073198C">
        <w:rPr>
          <w:rStyle w:val="CommentReference"/>
        </w:rPr>
        <w:commentReference w:id="10"/>
      </w:r>
      <w:r w:rsidRPr="00773B27">
        <w:rPr>
          <w:rFonts w:ascii="Times New Roman" w:hAnsi="Times New Roman" w:cs="Times New Roman"/>
        </w:rPr>
        <w:t xml:space="preserve">), </w:t>
      </w:r>
      <w:proofErr w:type="spellStart"/>
      <w:r w:rsidRPr="00773B27">
        <w:rPr>
          <w:rFonts w:ascii="Times New Roman" w:hAnsi="Times New Roman" w:cs="Times New Roman"/>
        </w:rPr>
        <w:t>harad</w:t>
      </w:r>
      <w:proofErr w:type="spellEnd"/>
      <w:r w:rsidRPr="00773B27">
        <w:rPr>
          <w:rFonts w:ascii="Times New Roman" w:hAnsi="Times New Roman" w:cs="Times New Roman"/>
        </w:rPr>
        <w:t xml:space="preserve"> (</w:t>
      </w:r>
      <w:commentRangeStart w:id="11"/>
      <w:proofErr w:type="spellStart"/>
      <w:r w:rsidRPr="00773B27">
        <w:rPr>
          <w:rFonts w:ascii="Times New Roman" w:hAnsi="Times New Roman" w:cs="Times New Roman"/>
        </w:rPr>
        <w:t>Terminalia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chebula</w:t>
      </w:r>
      <w:commentRangeEnd w:id="11"/>
      <w:proofErr w:type="spellEnd"/>
      <w:r w:rsidR="0073198C">
        <w:rPr>
          <w:rStyle w:val="CommentReference"/>
        </w:rPr>
        <w:commentReference w:id="11"/>
      </w:r>
      <w:r w:rsidRPr="00773B27">
        <w:rPr>
          <w:rFonts w:ascii="Times New Roman" w:hAnsi="Times New Roman" w:cs="Times New Roman"/>
        </w:rPr>
        <w:t xml:space="preserve">), and </w:t>
      </w:r>
      <w:proofErr w:type="spellStart"/>
      <w:r w:rsidRPr="00773B27">
        <w:rPr>
          <w:rFonts w:ascii="Times New Roman" w:hAnsi="Times New Roman" w:cs="Times New Roman"/>
        </w:rPr>
        <w:t>bahera</w:t>
      </w:r>
      <w:proofErr w:type="spellEnd"/>
      <w:r w:rsidRPr="00773B27">
        <w:rPr>
          <w:rFonts w:ascii="Times New Roman" w:hAnsi="Times New Roman" w:cs="Times New Roman"/>
        </w:rPr>
        <w:t xml:space="preserve"> (</w:t>
      </w:r>
      <w:commentRangeStart w:id="12"/>
      <w:proofErr w:type="spellStart"/>
      <w:r w:rsidRPr="00773B27">
        <w:rPr>
          <w:rFonts w:ascii="Times New Roman" w:hAnsi="Times New Roman" w:cs="Times New Roman"/>
        </w:rPr>
        <w:t>Terminalia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bellirica</w:t>
      </w:r>
      <w:commentRangeEnd w:id="12"/>
      <w:proofErr w:type="spellEnd"/>
      <w:r w:rsidR="0073198C">
        <w:rPr>
          <w:rStyle w:val="CommentReference"/>
        </w:rPr>
        <w:commentReference w:id="12"/>
      </w:r>
      <w:r w:rsidRPr="00773B27">
        <w:rPr>
          <w:rFonts w:ascii="Times New Roman" w:hAnsi="Times New Roman" w:cs="Times New Roman"/>
        </w:rPr>
        <w:t xml:space="preserve">) are commonly used in various agroforestry models. Fast-growing tree species are being increasingly promoted under such systems to support food security, livelihoods, and environmental sustainability (Zahoor et al., 2021; Patel &amp; </w:t>
      </w:r>
      <w:proofErr w:type="spellStart"/>
      <w:r w:rsidRPr="00773B27">
        <w:rPr>
          <w:rFonts w:ascii="Times New Roman" w:hAnsi="Times New Roman" w:cs="Times New Roman"/>
        </w:rPr>
        <w:t>Gangwar</w:t>
      </w:r>
      <w:proofErr w:type="spellEnd"/>
      <w:r w:rsidRPr="00773B27">
        <w:rPr>
          <w:rFonts w:ascii="Times New Roman" w:hAnsi="Times New Roman" w:cs="Times New Roman"/>
        </w:rPr>
        <w:t>, 2023; Jordan, 2024).</w:t>
      </w:r>
      <w:r>
        <w:rPr>
          <w:rFonts w:ascii="Times New Roman" w:hAnsi="Times New Roman" w:cs="Times New Roman"/>
        </w:rPr>
        <w:t xml:space="preserve"> </w:t>
      </w:r>
      <w:r w:rsidRPr="00773B27">
        <w:rPr>
          <w:rFonts w:ascii="Times New Roman" w:hAnsi="Times New Roman" w:cs="Times New Roman"/>
        </w:rPr>
        <w:t xml:space="preserve">Among the emerging approaches, integrating legumes like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into </w:t>
      </w:r>
      <w:proofErr w:type="spellStart"/>
      <w:r w:rsidRPr="00773B27">
        <w:rPr>
          <w:rFonts w:ascii="Times New Roman" w:hAnsi="Times New Roman" w:cs="Times New Roman"/>
        </w:rPr>
        <w:t>agri-horti</w:t>
      </w:r>
      <w:proofErr w:type="spellEnd"/>
      <w:r w:rsidRPr="00773B27">
        <w:rPr>
          <w:rFonts w:ascii="Times New Roman" w:hAnsi="Times New Roman" w:cs="Times New Roman"/>
        </w:rPr>
        <w:t xml:space="preserve"> systems has shown promise as a climate-resilient and economically viable model, particularly in the Vindhyan and other semi-arid regions of India. These systems commonly feature fruit trees such as </w:t>
      </w:r>
      <w:proofErr w:type="spellStart"/>
      <w:r w:rsidRPr="00773B27">
        <w:rPr>
          <w:rFonts w:ascii="Times New Roman" w:hAnsi="Times New Roman" w:cs="Times New Roman"/>
        </w:rPr>
        <w:t>aonla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Emblica</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officinalis</w:t>
      </w:r>
      <w:proofErr w:type="spellEnd"/>
      <w:r w:rsidRPr="00773B27">
        <w:rPr>
          <w:rFonts w:ascii="Times New Roman" w:hAnsi="Times New Roman" w:cs="Times New Roman"/>
        </w:rPr>
        <w:t>), guava (</w:t>
      </w:r>
      <w:proofErr w:type="spellStart"/>
      <w:r w:rsidRPr="00773B27">
        <w:rPr>
          <w:rFonts w:ascii="Times New Roman" w:hAnsi="Times New Roman" w:cs="Times New Roman"/>
        </w:rPr>
        <w:t>Psidium</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guajava</w:t>
      </w:r>
      <w:proofErr w:type="spellEnd"/>
      <w:r w:rsidRPr="00773B27">
        <w:rPr>
          <w:rFonts w:ascii="Times New Roman" w:hAnsi="Times New Roman" w:cs="Times New Roman"/>
        </w:rPr>
        <w:t xml:space="preserve">), citrus (Citrus spp.), </w:t>
      </w:r>
      <w:proofErr w:type="spellStart"/>
      <w:r w:rsidRPr="00773B27">
        <w:rPr>
          <w:rFonts w:ascii="Times New Roman" w:hAnsi="Times New Roman" w:cs="Times New Roman"/>
        </w:rPr>
        <w:t>ber</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Ziziphus</w:t>
      </w:r>
      <w:proofErr w:type="spellEnd"/>
      <w:r w:rsidRPr="00773B27">
        <w:rPr>
          <w:rFonts w:ascii="Times New Roman" w:hAnsi="Times New Roman" w:cs="Times New Roman"/>
        </w:rPr>
        <w:t xml:space="preserve"> </w:t>
      </w:r>
      <w:proofErr w:type="spellStart"/>
      <w:r w:rsidRPr="00773B27">
        <w:rPr>
          <w:rFonts w:ascii="Times New Roman" w:hAnsi="Times New Roman" w:cs="Times New Roman"/>
        </w:rPr>
        <w:t>mauritiana</w:t>
      </w:r>
      <w:proofErr w:type="spellEnd"/>
      <w:r w:rsidRPr="00773B27">
        <w:rPr>
          <w:rFonts w:ascii="Times New Roman" w:hAnsi="Times New Roman" w:cs="Times New Roman"/>
        </w:rPr>
        <w:t xml:space="preserve">), and custard apple (Annona squamosa), intercropped with legumes during the juvenile phase of orchard establishment (Gill &amp; </w:t>
      </w:r>
      <w:proofErr w:type="spellStart"/>
      <w:r w:rsidRPr="00773B27">
        <w:rPr>
          <w:rFonts w:ascii="Times New Roman" w:hAnsi="Times New Roman" w:cs="Times New Roman"/>
        </w:rPr>
        <w:t>Bisaria</w:t>
      </w:r>
      <w:proofErr w:type="spellEnd"/>
      <w:r w:rsidRPr="00773B27">
        <w:rPr>
          <w:rFonts w:ascii="Times New Roman" w:hAnsi="Times New Roman" w:cs="Times New Roman"/>
        </w:rPr>
        <w:t xml:space="preserve">, 1995; Pal et al., 2014). Such integrative approaches not only optimize land-use efficiency and farm income but also promote soil fertility, biodiversity, and favorable microclimates. However, the </w:t>
      </w:r>
      <w:r w:rsidRPr="00773B27">
        <w:rPr>
          <w:rFonts w:ascii="Times New Roman" w:hAnsi="Times New Roman" w:cs="Times New Roman"/>
        </w:rPr>
        <w:lastRenderedPageBreak/>
        <w:t xml:space="preserve">performance of legumes in these systems is influenced by complex ecological interactions, including light competition, root interference, and altered nutrient dynamics, which necessitate targeted nutrient management interventions (Sharma &amp; </w:t>
      </w:r>
      <w:proofErr w:type="spellStart"/>
      <w:r w:rsidRPr="00773B27">
        <w:rPr>
          <w:rFonts w:ascii="Times New Roman" w:hAnsi="Times New Roman" w:cs="Times New Roman"/>
        </w:rPr>
        <w:t>Guled</w:t>
      </w:r>
      <w:proofErr w:type="spellEnd"/>
      <w:r w:rsidRPr="00773B27">
        <w:rPr>
          <w:rFonts w:ascii="Times New Roman" w:hAnsi="Times New Roman" w:cs="Times New Roman"/>
        </w:rPr>
        <w:t xml:space="preserve">, 2012; </w:t>
      </w:r>
      <w:proofErr w:type="spellStart"/>
      <w:r w:rsidRPr="00773B27">
        <w:rPr>
          <w:rFonts w:ascii="Times New Roman" w:hAnsi="Times New Roman" w:cs="Times New Roman"/>
        </w:rPr>
        <w:t>Tyagi</w:t>
      </w:r>
      <w:proofErr w:type="spellEnd"/>
      <w:r w:rsidRPr="00773B27">
        <w:rPr>
          <w:rFonts w:ascii="Times New Roman" w:hAnsi="Times New Roman" w:cs="Times New Roman"/>
        </w:rPr>
        <w:t xml:space="preserve"> et al., 2014).</w:t>
      </w:r>
      <w:r>
        <w:rPr>
          <w:rFonts w:ascii="Times New Roman" w:hAnsi="Times New Roman" w:cs="Times New Roman"/>
        </w:rPr>
        <w:t xml:space="preserve"> </w:t>
      </w:r>
      <w:r w:rsidRPr="00773B27">
        <w:rPr>
          <w:rFonts w:ascii="Times New Roman" w:hAnsi="Times New Roman" w:cs="Times New Roman"/>
        </w:rPr>
        <w:t>Recent studies have documented the beneficial impacts of INM on green gram productivity, nodulation, and soil nutrient status under agroforestry and open field conditions (</w:t>
      </w:r>
      <w:proofErr w:type="spellStart"/>
      <w:r w:rsidRPr="00773B27">
        <w:rPr>
          <w:rFonts w:ascii="Times New Roman" w:hAnsi="Times New Roman" w:cs="Times New Roman"/>
        </w:rPr>
        <w:t>Gorade</w:t>
      </w:r>
      <w:proofErr w:type="spellEnd"/>
      <w:r w:rsidRPr="00773B27">
        <w:rPr>
          <w:rFonts w:ascii="Times New Roman" w:hAnsi="Times New Roman" w:cs="Times New Roman"/>
        </w:rPr>
        <w:t xml:space="preserve"> et al., 2014; </w:t>
      </w:r>
      <w:proofErr w:type="spellStart"/>
      <w:r w:rsidRPr="00773B27">
        <w:rPr>
          <w:rFonts w:ascii="Times New Roman" w:hAnsi="Times New Roman" w:cs="Times New Roman"/>
        </w:rPr>
        <w:t>Saha</w:t>
      </w:r>
      <w:proofErr w:type="spellEnd"/>
      <w:r w:rsidRPr="00773B27">
        <w:rPr>
          <w:rFonts w:ascii="Times New Roman" w:hAnsi="Times New Roman" w:cs="Times New Roman"/>
        </w:rPr>
        <w:t xml:space="preserve"> et al., 2017). Notably, combinations involving vermicompost and biofertilizers such as Rhizobium and PSB have significantly enhanced biological nitrogen fixation and phosphorus uptake in legumes like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and cowpea (</w:t>
      </w:r>
      <w:proofErr w:type="spellStart"/>
      <w:r w:rsidRPr="00773B27">
        <w:rPr>
          <w:rFonts w:ascii="Times New Roman" w:hAnsi="Times New Roman" w:cs="Times New Roman"/>
        </w:rPr>
        <w:t>Kumari</w:t>
      </w:r>
      <w:proofErr w:type="spellEnd"/>
      <w:r w:rsidRPr="00773B27">
        <w:rPr>
          <w:rFonts w:ascii="Times New Roman" w:hAnsi="Times New Roman" w:cs="Times New Roman"/>
        </w:rPr>
        <w:t xml:space="preserve"> &amp; Kumari, 2002; Khan et al., 2017). Furthermore, bio-organic and inorganic nutrient combinations not only support higher crop yields but also contribute to long-term soil sustainability (Meena et al., 2013; </w:t>
      </w:r>
      <w:proofErr w:type="spellStart"/>
      <w:r w:rsidRPr="00773B27">
        <w:rPr>
          <w:rFonts w:ascii="Times New Roman" w:hAnsi="Times New Roman" w:cs="Times New Roman"/>
        </w:rPr>
        <w:t>Dhakal</w:t>
      </w:r>
      <w:proofErr w:type="spellEnd"/>
      <w:r w:rsidRPr="00773B27">
        <w:rPr>
          <w:rFonts w:ascii="Times New Roman" w:hAnsi="Times New Roman" w:cs="Times New Roman"/>
        </w:rPr>
        <w:t xml:space="preserve"> et al., 2016).</w:t>
      </w:r>
      <w:r>
        <w:rPr>
          <w:rFonts w:ascii="Times New Roman" w:hAnsi="Times New Roman" w:cs="Times New Roman"/>
        </w:rPr>
        <w:t xml:space="preserve"> </w:t>
      </w:r>
      <w:r w:rsidRPr="00773B27">
        <w:rPr>
          <w:rFonts w:ascii="Times New Roman" w:hAnsi="Times New Roman" w:cs="Times New Roman"/>
        </w:rPr>
        <w:t xml:space="preserve">In this context, the present investigation was undertaken to evaluate the influence of integrated nutrient management involving chemical fertilizers, organic manures, and biofertilizers on the </w:t>
      </w:r>
      <w:r>
        <w:rPr>
          <w:rFonts w:ascii="Times New Roman" w:hAnsi="Times New Roman" w:cs="Times New Roman"/>
        </w:rPr>
        <w:t xml:space="preserve">yield </w:t>
      </w:r>
      <w:r w:rsidRPr="00773B27">
        <w:rPr>
          <w:rFonts w:ascii="Times New Roman" w:hAnsi="Times New Roman" w:cs="Times New Roman"/>
        </w:rPr>
        <w:t xml:space="preserve">and economic performance of </w:t>
      </w:r>
      <w:proofErr w:type="spellStart"/>
      <w:r w:rsidRPr="00773B27">
        <w:rPr>
          <w:rFonts w:ascii="Times New Roman" w:hAnsi="Times New Roman" w:cs="Times New Roman"/>
        </w:rPr>
        <w:t>mungbean</w:t>
      </w:r>
      <w:proofErr w:type="spellEnd"/>
      <w:r w:rsidRPr="00773B27">
        <w:rPr>
          <w:rFonts w:ascii="Times New Roman" w:hAnsi="Times New Roman" w:cs="Times New Roman"/>
        </w:rPr>
        <w:t xml:space="preserve"> cultivated under a citrus-based </w:t>
      </w:r>
      <w:proofErr w:type="spellStart"/>
      <w:r w:rsidRPr="00773B27">
        <w:rPr>
          <w:rFonts w:ascii="Times New Roman" w:hAnsi="Times New Roman" w:cs="Times New Roman"/>
        </w:rPr>
        <w:t>agri-horti</w:t>
      </w:r>
      <w:proofErr w:type="spellEnd"/>
      <w:r w:rsidRPr="00773B27">
        <w:rPr>
          <w:rFonts w:ascii="Times New Roman" w:hAnsi="Times New Roman" w:cs="Times New Roman"/>
        </w:rPr>
        <w:t xml:space="preserve"> system. Specifically, the study aims to assess the comparative efficacy of these treatments in both agroforestry and open field conditions to guide sustainable nutrient management practices in legume-based intercropping systems.</w:t>
      </w:r>
    </w:p>
    <w:p w:rsidR="00F112A6" w:rsidRPr="00F03FC8" w:rsidRDefault="00F112A6" w:rsidP="005B0440">
      <w:pPr>
        <w:spacing w:line="360" w:lineRule="auto"/>
        <w:jc w:val="both"/>
        <w:rPr>
          <w:rFonts w:ascii="Times New Roman" w:hAnsi="Times New Roman" w:cs="Times New Roman"/>
          <w:b/>
          <w:bCs/>
        </w:rPr>
      </w:pPr>
      <w:r w:rsidRPr="00F03FC8">
        <w:rPr>
          <w:rFonts w:ascii="Times New Roman" w:hAnsi="Times New Roman" w:cs="Times New Roman"/>
          <w:b/>
          <w:bCs/>
        </w:rPr>
        <w:t>Materials and Methods</w:t>
      </w:r>
    </w:p>
    <w:p w:rsidR="002E2719" w:rsidRPr="00F03FC8" w:rsidRDefault="002E2719" w:rsidP="002E2719">
      <w:pPr>
        <w:spacing w:after="115" w:line="360" w:lineRule="auto"/>
        <w:ind w:right="9"/>
        <w:jc w:val="both"/>
        <w:rPr>
          <w:rFonts w:ascii="Times New Roman" w:eastAsia="Times New Roman" w:hAnsi="Times New Roman" w:cs="Times New Roman"/>
          <w:lang w:bidi="hi-IN"/>
        </w:rPr>
      </w:pPr>
      <w:r w:rsidRPr="00F03FC8">
        <w:rPr>
          <w:rFonts w:ascii="Times New Roman" w:eastAsia="Times New Roman" w:hAnsi="Times New Roman" w:cs="Times New Roman"/>
          <w:lang w:bidi="hi-IN"/>
        </w:rPr>
        <w:t>Present experiment was conducted during the Kharif season of 2023–24 at the Research Farm of the College of Forestry, SHUATS, Prayagraj, situated at 25°24′30″N latitude and 81°51′10″E longitude, with an elevation of 98 meters above sea level. The site lies within the subtropical climatic zone of southeastern Uttar Pradesh, characterized by hot summers with temperatures rising up to 46–48°C and mild winters with occasional temperature drops to 4–5°C. The region receives an average annual rainfall of approximately 1100 mm, with relative humidity ranging from 20% to 94%. The experiment was laid out in a factorial randomized block design (FRBD), incorporati</w:t>
      </w:r>
      <w:r w:rsidR="00421610" w:rsidRPr="00F03FC8">
        <w:rPr>
          <w:rFonts w:ascii="Times New Roman" w:eastAsia="Times New Roman" w:hAnsi="Times New Roman" w:cs="Times New Roman"/>
          <w:lang w:bidi="hi-IN"/>
        </w:rPr>
        <w:t xml:space="preserve">ng two environmental conditions viz. 10 year old citrus orchard  as </w:t>
      </w:r>
      <w:r w:rsidRPr="00F03FC8">
        <w:rPr>
          <w:rFonts w:ascii="Times New Roman" w:eastAsia="Times New Roman" w:hAnsi="Times New Roman" w:cs="Times New Roman"/>
          <w:lang w:bidi="hi-IN"/>
        </w:rPr>
        <w:t>agroforestry (AF) and open-field (Open)—as main factors, along with thirteen integrated nutrient management (INM) treatments, each replicated three times. The treatments comprised different combinations of recommended doses of fertilizers (RDF: 20:40:20 kg N</w:t>
      </w:r>
      <w:proofErr w:type="gramStart"/>
      <w:r w:rsidRPr="00F03FC8">
        <w:rPr>
          <w:rFonts w:ascii="Times New Roman" w:eastAsia="Times New Roman" w:hAnsi="Times New Roman" w:cs="Times New Roman"/>
          <w:lang w:bidi="hi-IN"/>
        </w:rPr>
        <w:t>:P:K</w:t>
      </w:r>
      <w:proofErr w:type="gramEnd"/>
      <w:r w:rsidRPr="00F03FC8">
        <w:rPr>
          <w:rFonts w:ascii="Times New Roman" w:eastAsia="Times New Roman" w:hAnsi="Times New Roman" w:cs="Times New Roman"/>
          <w:lang w:bidi="hi-IN"/>
        </w:rPr>
        <w:t>/ha) and organic nutrient sources such as farmyard manure (FYM), vermicompost, press mud, and poultry manure, applied either individually or in integrated forms with RDF.</w:t>
      </w:r>
      <w:r w:rsidR="00421610" w:rsidRPr="00F03FC8">
        <w:rPr>
          <w:rFonts w:ascii="Times New Roman" w:eastAsia="Times New Roman" w:hAnsi="Times New Roman" w:cs="Times New Roman"/>
          <w:lang w:bidi="hi-IN"/>
        </w:rPr>
        <w:t xml:space="preserve"> </w:t>
      </w:r>
      <w:r w:rsidRPr="00F03FC8">
        <w:rPr>
          <w:rFonts w:ascii="Times New Roman" w:eastAsia="Times New Roman" w:hAnsi="Times New Roman" w:cs="Times New Roman"/>
          <w:lang w:bidi="hi-IN"/>
        </w:rPr>
        <w:t xml:space="preserve">Seeds of </w:t>
      </w:r>
      <w:commentRangeStart w:id="13"/>
      <w:proofErr w:type="spellStart"/>
      <w:r w:rsidRPr="00F03FC8">
        <w:rPr>
          <w:rFonts w:ascii="Times New Roman" w:eastAsia="Times New Roman" w:hAnsi="Times New Roman" w:cs="Times New Roman"/>
          <w:lang w:bidi="hi-IN"/>
        </w:rPr>
        <w:t>mungbean</w:t>
      </w:r>
      <w:commentRangeEnd w:id="13"/>
      <w:proofErr w:type="spellEnd"/>
      <w:r w:rsidR="0036611A">
        <w:rPr>
          <w:rStyle w:val="CommentReference"/>
        </w:rPr>
        <w:commentReference w:id="13"/>
      </w:r>
      <w:r w:rsidRPr="00F03FC8">
        <w:rPr>
          <w:rFonts w:ascii="Times New Roman" w:eastAsia="Times New Roman" w:hAnsi="Times New Roman" w:cs="Times New Roman"/>
          <w:lang w:bidi="hi-IN"/>
        </w:rPr>
        <w:t xml:space="preserve"> </w:t>
      </w:r>
      <w:r w:rsidR="00421610" w:rsidRPr="00F03FC8">
        <w:rPr>
          <w:rFonts w:ascii="Times New Roman" w:eastAsia="Times New Roman" w:hAnsi="Times New Roman" w:cs="Times New Roman"/>
          <w:lang w:bidi="hi-IN"/>
        </w:rPr>
        <w:t>(</w:t>
      </w:r>
      <w:r w:rsidRPr="00F03FC8">
        <w:rPr>
          <w:rFonts w:ascii="Times New Roman" w:eastAsia="Times New Roman" w:hAnsi="Times New Roman" w:cs="Times New Roman"/>
          <w:lang w:bidi="hi-IN"/>
        </w:rPr>
        <w:t xml:space="preserve">var. Samrat) were used and inoculated with Rhizobium and phosphate-solubilizing bacteria (PSB) prior to sowing to enhance biological nitrogen fixation and phosphorus availability. The seeds were sown at a spacing of 30 cm between rows and 10 cm between plants. Organic manures were thoroughly incorporated into the soil two weeks before sowing as per the treatment design, while chemical fertilizers were applied at sowing time </w:t>
      </w:r>
      <w:r w:rsidRPr="00F03FC8">
        <w:rPr>
          <w:rFonts w:ascii="Times New Roman" w:eastAsia="Times New Roman" w:hAnsi="Times New Roman" w:cs="Times New Roman"/>
          <w:lang w:bidi="hi-IN"/>
        </w:rPr>
        <w:lastRenderedPageBreak/>
        <w:t>in the designated treatments. Standard agronomic practices, including timely irrigation, weed control, pest and disease management, and harvesting, were uniformly followed to ensure optimal crop growth.</w:t>
      </w:r>
    </w:p>
    <w:p w:rsidR="002E2719" w:rsidRPr="00F03FC8" w:rsidRDefault="002E2719" w:rsidP="002E2719">
      <w:pPr>
        <w:spacing w:after="115" w:line="360" w:lineRule="auto"/>
        <w:ind w:right="9"/>
        <w:jc w:val="both"/>
        <w:rPr>
          <w:rFonts w:ascii="Times New Roman" w:eastAsia="Times New Roman" w:hAnsi="Times New Roman" w:cs="Times New Roman"/>
          <w:lang w:bidi="hi-IN"/>
        </w:rPr>
      </w:pPr>
      <w:r w:rsidRPr="00F03FC8">
        <w:rPr>
          <w:rFonts w:ascii="Times New Roman" w:eastAsia="Times New Roman" w:hAnsi="Times New Roman" w:cs="Times New Roman"/>
          <w:lang w:bidi="hi-IN"/>
        </w:rPr>
        <w:t xml:space="preserve">The cost of cultivation was estimated by incorporating input prices prevailing at the time of application for each treatment, including costs related to citrus plantation management. The calculation included labor charges, expenses for field operations such as land preparation, sowing, irrigation, and harvesting, and the cost of inputs like seeds, fertilizers, pesticides, fungicides, herbicides, and bio-inoculants used on a per hectare basis. Gross returns were calculated by summing the monetary value of grain yield, </w:t>
      </w:r>
      <w:proofErr w:type="spellStart"/>
      <w:r w:rsidRPr="00F03FC8">
        <w:rPr>
          <w:rFonts w:ascii="Times New Roman" w:eastAsia="Times New Roman" w:hAnsi="Times New Roman" w:cs="Times New Roman"/>
          <w:lang w:bidi="hi-IN"/>
        </w:rPr>
        <w:t>stover</w:t>
      </w:r>
      <w:proofErr w:type="spellEnd"/>
      <w:r w:rsidRPr="00F03FC8">
        <w:rPr>
          <w:rFonts w:ascii="Times New Roman" w:eastAsia="Times New Roman" w:hAnsi="Times New Roman" w:cs="Times New Roman"/>
          <w:lang w:bidi="hi-IN"/>
        </w:rPr>
        <w:t xml:space="preserve"> yield, and citrus fruit yield using current local market prices. Net returns were computed by deducting the total cost of cultivation from the gross returns. The benefit-to-cost (B:C) ratio for each treatment was calculated by dividing the gross return by the total cost of cultivation, thereby providing a comprehensive assessment of the economic viability of each nutrient management strategy under both agroforestry and open-field conditions.</w:t>
      </w:r>
    </w:p>
    <w:p w:rsidR="002D1FA5" w:rsidRPr="00F03FC8" w:rsidRDefault="00E03E97" w:rsidP="005B0440">
      <w:pPr>
        <w:spacing w:after="115" w:line="360" w:lineRule="auto"/>
        <w:ind w:right="9"/>
        <w:jc w:val="both"/>
        <w:rPr>
          <w:rFonts w:ascii="Times New Roman" w:hAnsi="Times New Roman" w:cs="Times New Roman"/>
          <w:b/>
          <w:bCs/>
        </w:rPr>
      </w:pPr>
      <w:r w:rsidRPr="00F03FC8">
        <w:rPr>
          <w:rFonts w:ascii="Times New Roman" w:hAnsi="Times New Roman" w:cs="Times New Roman"/>
          <w:b/>
          <w:bCs/>
        </w:rPr>
        <w:t>Results and discussion</w:t>
      </w:r>
    </w:p>
    <w:p w:rsidR="00E2573F" w:rsidRPr="00F03FC8" w:rsidRDefault="00E03E97" w:rsidP="00E2573F">
      <w:pPr>
        <w:spacing w:after="115" w:line="360" w:lineRule="auto"/>
        <w:ind w:right="9"/>
        <w:jc w:val="both"/>
        <w:rPr>
          <w:rFonts w:ascii="Times New Roman" w:hAnsi="Times New Roman" w:cs="Times New Roman"/>
        </w:rPr>
      </w:pPr>
      <w:r w:rsidRPr="00F03FC8">
        <w:rPr>
          <w:rFonts w:ascii="Times New Roman" w:hAnsi="Times New Roman" w:cs="Times New Roman"/>
        </w:rPr>
        <w:t>The data pres</w:t>
      </w:r>
      <w:r w:rsidR="00E2573F" w:rsidRPr="00F03FC8">
        <w:rPr>
          <w:rFonts w:ascii="Times New Roman" w:hAnsi="Times New Roman" w:cs="Times New Roman"/>
        </w:rPr>
        <w:t>ented in Tables</w:t>
      </w:r>
      <w:r w:rsidR="00E41072">
        <w:rPr>
          <w:rFonts w:ascii="Times New Roman" w:hAnsi="Times New Roman" w:cs="Times New Roman"/>
        </w:rPr>
        <w:t xml:space="preserve"> </w:t>
      </w:r>
      <w:r w:rsidR="00E2573F" w:rsidRPr="00F03FC8">
        <w:rPr>
          <w:rFonts w:ascii="Times New Roman" w:hAnsi="Times New Roman" w:cs="Times New Roman"/>
        </w:rPr>
        <w:t>1</w:t>
      </w:r>
      <w:r w:rsidR="008D1AA9" w:rsidRPr="00F03FC8">
        <w:rPr>
          <w:rFonts w:ascii="Times New Roman" w:hAnsi="Times New Roman" w:cs="Times New Roman"/>
        </w:rPr>
        <w:t xml:space="preserve"> and 2</w:t>
      </w:r>
      <w:r w:rsidRPr="00F03FC8">
        <w:rPr>
          <w:rFonts w:ascii="Times New Roman" w:hAnsi="Times New Roman" w:cs="Times New Roman"/>
        </w:rPr>
        <w:t xml:space="preserve"> indicate significant variations in </w:t>
      </w:r>
      <w:r w:rsidR="00FB5D68" w:rsidRPr="00F03FC8">
        <w:rPr>
          <w:rFonts w:ascii="Times New Roman" w:hAnsi="Times New Roman" w:cs="Times New Roman"/>
        </w:rPr>
        <w:t xml:space="preserve">benefit-cost (B:C) ratio </w:t>
      </w:r>
      <w:r w:rsidRPr="00F03FC8">
        <w:rPr>
          <w:rFonts w:ascii="Times New Roman" w:hAnsi="Times New Roman" w:cs="Times New Roman"/>
        </w:rPr>
        <w:t xml:space="preserve">of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as influenced by different integrated nutrient management (INM) treatments across both agroforestry (AF) and open field conditions. </w:t>
      </w:r>
      <w:r w:rsidR="00E2573F" w:rsidRPr="00F03FC8">
        <w:rPr>
          <w:rFonts w:ascii="Times New Roman" w:hAnsi="Times New Roman" w:cs="Times New Roman"/>
        </w:rPr>
        <w:t xml:space="preserve">The B:C ratio, a critical indicator of profitability, ranged from 2.79 (T10) to 3.42 (T9), highlighting the influence of nutrient combinations on overall economic viability. Treatment T9, which likely involved a balanced integration of organic and inorganic nutrient sources, recorded the highest grain yield (14.95 q/ha) and </w:t>
      </w:r>
      <w:proofErr w:type="spellStart"/>
      <w:r w:rsidR="00E2573F" w:rsidRPr="00F03FC8">
        <w:rPr>
          <w:rFonts w:ascii="Times New Roman" w:hAnsi="Times New Roman" w:cs="Times New Roman"/>
        </w:rPr>
        <w:t>stover</w:t>
      </w:r>
      <w:proofErr w:type="spellEnd"/>
      <w:r w:rsidR="00E2573F" w:rsidRPr="00F03FC8">
        <w:rPr>
          <w:rFonts w:ascii="Times New Roman" w:hAnsi="Times New Roman" w:cs="Times New Roman"/>
        </w:rPr>
        <w:t xml:space="preserve"> yield (26.64 q/ha), resulting in the maximum gross return of Rs. 1,58,483/ha and a net return of Rs. 1,12,183/ha. This translated into the highest B:C ratio of 3.42, indicating superior cost-effectiveness compared to other treatments. This suggests that T9 provides an optimal nutrient environment for </w:t>
      </w:r>
      <w:proofErr w:type="spellStart"/>
      <w:r w:rsidR="00E2573F" w:rsidRPr="00F03FC8">
        <w:rPr>
          <w:rFonts w:ascii="Times New Roman" w:hAnsi="Times New Roman" w:cs="Times New Roman"/>
        </w:rPr>
        <w:t>mungbean</w:t>
      </w:r>
      <w:proofErr w:type="spellEnd"/>
      <w:r w:rsidR="00E2573F" w:rsidRPr="00F03FC8">
        <w:rPr>
          <w:rFonts w:ascii="Times New Roman" w:hAnsi="Times New Roman" w:cs="Times New Roman"/>
        </w:rPr>
        <w:t xml:space="preserve"> productivity and profitability in </w:t>
      </w:r>
      <w:proofErr w:type="spellStart"/>
      <w:r w:rsidR="00E2573F" w:rsidRPr="00F03FC8">
        <w:rPr>
          <w:rFonts w:ascii="Times New Roman" w:hAnsi="Times New Roman" w:cs="Times New Roman"/>
        </w:rPr>
        <w:t>agri-horti</w:t>
      </w:r>
      <w:proofErr w:type="spellEnd"/>
      <w:r w:rsidR="00E2573F" w:rsidRPr="00F03FC8">
        <w:rPr>
          <w:rFonts w:ascii="Times New Roman" w:hAnsi="Times New Roman" w:cs="Times New Roman"/>
        </w:rPr>
        <w:t xml:space="preserve"> systems. Close behind, T8 also demonstrated a high economic return with a B:C ratio of 3.23, primarily driven by a relatively high grain yield (13.46 q/ha) and stable </w:t>
      </w:r>
      <w:proofErr w:type="spellStart"/>
      <w:r w:rsidR="00E2573F" w:rsidRPr="00F03FC8">
        <w:rPr>
          <w:rFonts w:ascii="Times New Roman" w:hAnsi="Times New Roman" w:cs="Times New Roman"/>
        </w:rPr>
        <w:t>stover</w:t>
      </w:r>
      <w:proofErr w:type="spellEnd"/>
      <w:r w:rsidR="00E2573F" w:rsidRPr="00F03FC8">
        <w:rPr>
          <w:rFonts w:ascii="Times New Roman" w:hAnsi="Times New Roman" w:cs="Times New Roman"/>
        </w:rPr>
        <w:t xml:space="preserve"> production. Treatments T4 and T5 were similarly profitable, each showing a B:C ratio of 3.28, reinforcing the importance of adequate but not excessive nutrient input. In contrast, treatments T10, T11, and T12 recorded lower net returns and B:C ratios (2.79–2.95), despite having moderately high yields. These results could be attributed to higher cultivation costs or suboptimal nutrient efficiency under those regimes. The lowest B:C ratio of 2.79 in T10 emphasizes that yield alone does not determine profitability; rather, the balance between input cost and output value is crucial. T1, considered as the control or baseline, also performed well with a B:C ratio of 3.11, underscoring the effectiveness of minimal but targeted nutrient use in enhancing </w:t>
      </w:r>
      <w:proofErr w:type="spellStart"/>
      <w:r w:rsidR="00E2573F" w:rsidRPr="00F03FC8">
        <w:rPr>
          <w:rFonts w:ascii="Times New Roman" w:hAnsi="Times New Roman" w:cs="Times New Roman"/>
        </w:rPr>
        <w:t>mungbean</w:t>
      </w:r>
      <w:proofErr w:type="spellEnd"/>
      <w:r w:rsidR="00E2573F" w:rsidRPr="00F03FC8">
        <w:rPr>
          <w:rFonts w:ascii="Times New Roman" w:hAnsi="Times New Roman" w:cs="Times New Roman"/>
        </w:rPr>
        <w:t xml:space="preserve"> profitability in agroforestry systems. Overall, the data </w:t>
      </w:r>
      <w:commentRangeStart w:id="14"/>
      <w:r w:rsidR="00E2573F" w:rsidRPr="00F03FC8">
        <w:rPr>
          <w:rFonts w:ascii="Times New Roman" w:hAnsi="Times New Roman" w:cs="Times New Roman"/>
        </w:rPr>
        <w:t xml:space="preserve">support </w:t>
      </w:r>
      <w:commentRangeEnd w:id="14"/>
      <w:r w:rsidR="00034748">
        <w:rPr>
          <w:rStyle w:val="CommentReference"/>
        </w:rPr>
        <w:commentReference w:id="14"/>
      </w:r>
      <w:r w:rsidR="00E2573F" w:rsidRPr="00F03FC8">
        <w:rPr>
          <w:rFonts w:ascii="Times New Roman" w:hAnsi="Times New Roman" w:cs="Times New Roman"/>
        </w:rPr>
        <w:t xml:space="preserve"> that integrated nutrient management combining both organic and inorganic sources significantly improves the economic </w:t>
      </w:r>
      <w:proofErr w:type="gramStart"/>
      <w:r w:rsidR="00E2573F" w:rsidRPr="00F03FC8">
        <w:rPr>
          <w:rFonts w:ascii="Times New Roman" w:hAnsi="Times New Roman" w:cs="Times New Roman"/>
        </w:rPr>
        <w:lastRenderedPageBreak/>
        <w:t>returns</w:t>
      </w:r>
      <w:proofErr w:type="gramEnd"/>
      <w:r w:rsidR="00E2573F" w:rsidRPr="00F03FC8">
        <w:rPr>
          <w:rFonts w:ascii="Times New Roman" w:hAnsi="Times New Roman" w:cs="Times New Roman"/>
        </w:rPr>
        <w:t xml:space="preserve"> of </w:t>
      </w:r>
      <w:proofErr w:type="spellStart"/>
      <w:r w:rsidR="00E2573F" w:rsidRPr="00F03FC8">
        <w:rPr>
          <w:rFonts w:ascii="Times New Roman" w:hAnsi="Times New Roman" w:cs="Times New Roman"/>
        </w:rPr>
        <w:t>mungbean</w:t>
      </w:r>
      <w:proofErr w:type="spellEnd"/>
      <w:r w:rsidR="00E2573F" w:rsidRPr="00F03FC8">
        <w:rPr>
          <w:rFonts w:ascii="Times New Roman" w:hAnsi="Times New Roman" w:cs="Times New Roman"/>
        </w:rPr>
        <w:t xml:space="preserve"> when grown under citrus-based </w:t>
      </w:r>
      <w:proofErr w:type="spellStart"/>
      <w:r w:rsidR="00E2573F" w:rsidRPr="00F03FC8">
        <w:rPr>
          <w:rFonts w:ascii="Times New Roman" w:hAnsi="Times New Roman" w:cs="Times New Roman"/>
        </w:rPr>
        <w:t>agri-horti</w:t>
      </w:r>
      <w:proofErr w:type="spellEnd"/>
      <w:r w:rsidR="00E2573F" w:rsidRPr="00F03FC8">
        <w:rPr>
          <w:rFonts w:ascii="Times New Roman" w:hAnsi="Times New Roman" w:cs="Times New Roman"/>
        </w:rPr>
        <w:t xml:space="preserve"> systems. This is in line with previous studies that advocate the use of integrated nutrient strategies for improving resource use efficiency, yield sustainability, and farmer income (Kumar et al., 2020; Singh et al., 2022).</w:t>
      </w:r>
    </w:p>
    <w:p w:rsidR="00F112A6" w:rsidRPr="003D3DB1" w:rsidRDefault="003D3DB1" w:rsidP="00F112A6">
      <w:pPr>
        <w:rPr>
          <w:rFonts w:ascii="Times New Roman" w:hAnsi="Times New Roman" w:cs="Times New Roman"/>
          <w:b/>
          <w:bCs/>
          <w:sz w:val="20"/>
          <w:szCs w:val="20"/>
        </w:rPr>
      </w:pPr>
      <w:proofErr w:type="gramStart"/>
      <w:r w:rsidRPr="003D3DB1">
        <w:rPr>
          <w:rFonts w:ascii="Times New Roman" w:hAnsi="Times New Roman" w:cs="Times New Roman"/>
          <w:b/>
          <w:bCs/>
          <w:sz w:val="20"/>
          <w:szCs w:val="20"/>
        </w:rPr>
        <w:t xml:space="preserve">Table 1: </w:t>
      </w:r>
      <w:r w:rsidR="00E574FC">
        <w:rPr>
          <w:rFonts w:ascii="Times New Roman" w:hAnsi="Times New Roman" w:cs="Times New Roman"/>
          <w:b/>
          <w:bCs/>
          <w:sz w:val="20"/>
          <w:szCs w:val="20"/>
        </w:rPr>
        <w:t>Effect</w:t>
      </w:r>
      <w:r w:rsidRPr="003D3DB1">
        <w:rPr>
          <w:rFonts w:ascii="Times New Roman" w:hAnsi="Times New Roman" w:cs="Times New Roman"/>
          <w:b/>
          <w:bCs/>
          <w:sz w:val="20"/>
          <w:szCs w:val="20"/>
        </w:rPr>
        <w:t xml:space="preserve"> of Organic and Inorganic nutrient sources on </w:t>
      </w:r>
      <w:r w:rsidR="00E574FC">
        <w:rPr>
          <w:rFonts w:ascii="Times New Roman" w:hAnsi="Times New Roman" w:cs="Times New Roman"/>
          <w:b/>
          <w:bCs/>
          <w:sz w:val="20"/>
          <w:szCs w:val="20"/>
        </w:rPr>
        <w:t>economic return of</w:t>
      </w:r>
      <w:r w:rsidRPr="003D3DB1">
        <w:rPr>
          <w:rFonts w:ascii="Times New Roman" w:hAnsi="Times New Roman" w:cs="Times New Roman"/>
          <w:b/>
          <w:bCs/>
          <w:sz w:val="20"/>
          <w:szCs w:val="20"/>
        </w:rPr>
        <w:t xml:space="preserve"> </w:t>
      </w:r>
      <w:proofErr w:type="spellStart"/>
      <w:r w:rsidRPr="003D3DB1">
        <w:rPr>
          <w:rFonts w:ascii="Times New Roman" w:hAnsi="Times New Roman" w:cs="Times New Roman"/>
          <w:b/>
          <w:bCs/>
          <w:sz w:val="20"/>
          <w:szCs w:val="20"/>
        </w:rPr>
        <w:t>Mungbean</w:t>
      </w:r>
      <w:proofErr w:type="spellEnd"/>
      <w:r w:rsidRPr="003D3DB1">
        <w:rPr>
          <w:rFonts w:ascii="Times New Roman" w:hAnsi="Times New Roman" w:cs="Times New Roman"/>
          <w:b/>
          <w:bCs/>
          <w:sz w:val="20"/>
          <w:szCs w:val="20"/>
        </w:rPr>
        <w:t xml:space="preserve"> (</w:t>
      </w:r>
      <w:proofErr w:type="spellStart"/>
      <w:r w:rsidRPr="003D3DB1">
        <w:rPr>
          <w:rFonts w:ascii="Times New Roman" w:hAnsi="Times New Roman" w:cs="Times New Roman"/>
          <w:b/>
          <w:bCs/>
          <w:i/>
          <w:iCs/>
          <w:sz w:val="20"/>
          <w:szCs w:val="20"/>
        </w:rPr>
        <w:t>Vigna</w:t>
      </w:r>
      <w:proofErr w:type="spellEnd"/>
      <w:r w:rsidRPr="003D3DB1">
        <w:rPr>
          <w:rFonts w:ascii="Times New Roman" w:hAnsi="Times New Roman" w:cs="Times New Roman"/>
          <w:b/>
          <w:bCs/>
          <w:i/>
          <w:iCs/>
          <w:sz w:val="20"/>
          <w:szCs w:val="20"/>
        </w:rPr>
        <w:t xml:space="preserve"> </w:t>
      </w:r>
      <w:commentRangeStart w:id="15"/>
      <w:proofErr w:type="spellStart"/>
      <w:r w:rsidRPr="003D3DB1">
        <w:rPr>
          <w:rFonts w:ascii="Times New Roman" w:hAnsi="Times New Roman" w:cs="Times New Roman"/>
          <w:b/>
          <w:bCs/>
          <w:i/>
          <w:iCs/>
          <w:sz w:val="20"/>
          <w:szCs w:val="20"/>
        </w:rPr>
        <w:t>redita</w:t>
      </w:r>
      <w:proofErr w:type="spellEnd"/>
      <w:r w:rsidRPr="003D3DB1">
        <w:rPr>
          <w:rFonts w:ascii="Times New Roman" w:hAnsi="Times New Roman" w:cs="Times New Roman"/>
          <w:b/>
          <w:bCs/>
          <w:sz w:val="20"/>
          <w:szCs w:val="20"/>
        </w:rPr>
        <w:t>.</w:t>
      </w:r>
      <w:commentRangeEnd w:id="15"/>
      <w:proofErr w:type="gramEnd"/>
      <w:r w:rsidR="00034748">
        <w:rPr>
          <w:rStyle w:val="CommentReference"/>
        </w:rPr>
        <w:commentReference w:id="15"/>
      </w:r>
      <w:r w:rsidRPr="003D3DB1">
        <w:rPr>
          <w:rFonts w:ascii="Times New Roman" w:hAnsi="Times New Roman" w:cs="Times New Roman"/>
          <w:b/>
          <w:bCs/>
          <w:sz w:val="20"/>
          <w:szCs w:val="20"/>
        </w:rPr>
        <w:t xml:space="preserve"> L) Under Citrus (</w:t>
      </w:r>
      <w:r w:rsidRPr="003D3DB1">
        <w:rPr>
          <w:rFonts w:ascii="Times New Roman" w:hAnsi="Times New Roman" w:cs="Times New Roman"/>
          <w:b/>
          <w:bCs/>
          <w:i/>
          <w:iCs/>
          <w:sz w:val="20"/>
          <w:szCs w:val="20"/>
        </w:rPr>
        <w:t xml:space="preserve">Citrus </w:t>
      </w:r>
      <w:proofErr w:type="spellStart"/>
      <w:r w:rsidRPr="003D3DB1">
        <w:rPr>
          <w:rFonts w:ascii="Times New Roman" w:hAnsi="Times New Roman" w:cs="Times New Roman"/>
          <w:b/>
          <w:bCs/>
          <w:i/>
          <w:iCs/>
          <w:sz w:val="20"/>
          <w:szCs w:val="20"/>
        </w:rPr>
        <w:t>sps</w:t>
      </w:r>
      <w:proofErr w:type="spellEnd"/>
      <w:r w:rsidRPr="003D3DB1">
        <w:rPr>
          <w:rFonts w:ascii="Times New Roman" w:hAnsi="Times New Roman" w:cs="Times New Roman"/>
          <w:b/>
          <w:bCs/>
          <w:i/>
          <w:iCs/>
          <w:sz w:val="20"/>
          <w:szCs w:val="20"/>
        </w:rPr>
        <w:t>.</w:t>
      </w:r>
      <w:r w:rsidRPr="003D3DB1">
        <w:rPr>
          <w:rFonts w:ascii="Times New Roman" w:hAnsi="Times New Roman" w:cs="Times New Roman"/>
          <w:b/>
          <w:bCs/>
          <w:sz w:val="20"/>
          <w:szCs w:val="20"/>
        </w:rPr>
        <w:t xml:space="preserve"> L.) based </w:t>
      </w:r>
      <w:proofErr w:type="spellStart"/>
      <w:r w:rsidRPr="003D3DB1">
        <w:rPr>
          <w:rFonts w:ascii="Times New Roman" w:hAnsi="Times New Roman" w:cs="Times New Roman"/>
          <w:b/>
          <w:bCs/>
          <w:sz w:val="20"/>
          <w:szCs w:val="20"/>
        </w:rPr>
        <w:t>Agri-horti</w:t>
      </w:r>
      <w:proofErr w:type="spellEnd"/>
      <w:r w:rsidRPr="003D3DB1">
        <w:rPr>
          <w:rFonts w:ascii="Times New Roman" w:hAnsi="Times New Roman" w:cs="Times New Roman"/>
          <w:b/>
          <w:bCs/>
          <w:sz w:val="20"/>
          <w:szCs w:val="20"/>
        </w:rPr>
        <w:t xml:space="preserve"> systems</w:t>
      </w:r>
    </w:p>
    <w:tbl>
      <w:tblPr>
        <w:tblW w:w="10602" w:type="dxa"/>
        <w:tblInd w:w="-522" w:type="dxa"/>
        <w:tblLook w:val="04A0" w:firstRow="1" w:lastRow="0" w:firstColumn="1" w:lastColumn="0" w:noHBand="0" w:noVBand="1"/>
      </w:tblPr>
      <w:tblGrid>
        <w:gridCol w:w="1067"/>
        <w:gridCol w:w="666"/>
        <w:gridCol w:w="666"/>
        <w:gridCol w:w="736"/>
        <w:gridCol w:w="702"/>
        <w:gridCol w:w="666"/>
        <w:gridCol w:w="736"/>
        <w:gridCol w:w="683"/>
        <w:gridCol w:w="756"/>
        <w:gridCol w:w="736"/>
        <w:gridCol w:w="777"/>
        <w:gridCol w:w="1011"/>
        <w:gridCol w:w="771"/>
        <w:gridCol w:w="629"/>
      </w:tblGrid>
      <w:tr w:rsidR="004A1DA0" w:rsidRPr="004A1DA0" w:rsidTr="004A1DA0">
        <w:trPr>
          <w:trHeight w:val="300"/>
        </w:trPr>
        <w:tc>
          <w:tcPr>
            <w:tcW w:w="1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Treatments</w:t>
            </w:r>
          </w:p>
        </w:tc>
        <w:tc>
          <w:tcPr>
            <w:tcW w:w="9496" w:type="dxa"/>
            <w:gridSpan w:val="13"/>
            <w:tcBorders>
              <w:top w:val="single" w:sz="8" w:space="0" w:color="000000"/>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Economics Rs./ha (</w:t>
            </w:r>
            <w:r w:rsidRPr="004A1DA0">
              <w:rPr>
                <w:rFonts w:ascii="Times New Roman" w:hAnsi="Times New Roman" w:cs="Times New Roman"/>
                <w:sz w:val="18"/>
                <w:szCs w:val="18"/>
              </w:rPr>
              <w:t xml:space="preserve">Citrus based </w:t>
            </w:r>
            <w:proofErr w:type="spellStart"/>
            <w:r w:rsidRPr="004A1DA0">
              <w:rPr>
                <w:rFonts w:ascii="Times New Roman" w:hAnsi="Times New Roman" w:cs="Times New Roman"/>
                <w:sz w:val="18"/>
                <w:szCs w:val="18"/>
              </w:rPr>
              <w:t>Agri-horti</w:t>
            </w:r>
            <w:proofErr w:type="spellEnd"/>
            <w:r w:rsidRPr="004A1DA0">
              <w:rPr>
                <w:rFonts w:ascii="Times New Roman" w:hAnsi="Times New Roman" w:cs="Times New Roman"/>
                <w:sz w:val="18"/>
                <w:szCs w:val="18"/>
              </w:rPr>
              <w:t xml:space="preserve"> systems</w:t>
            </w:r>
            <w:r w:rsidRPr="004A1DA0">
              <w:rPr>
                <w:rFonts w:ascii="Times New Roman" w:eastAsia="Times New Roman" w:hAnsi="Times New Roman" w:cs="Times New Roman"/>
                <w:color w:val="000000"/>
                <w:sz w:val="18"/>
                <w:szCs w:val="18"/>
                <w:lang w:bidi="hi-IN"/>
              </w:rPr>
              <w:t>)</w:t>
            </w:r>
          </w:p>
        </w:tc>
      </w:tr>
      <w:tr w:rsidR="00DB6B36" w:rsidRPr="004A1DA0" w:rsidTr="004A1DA0">
        <w:trPr>
          <w:trHeight w:val="700"/>
        </w:trPr>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A1DA0" w:rsidRPr="004A1DA0" w:rsidRDefault="004A1DA0" w:rsidP="004A1DA0">
            <w:pPr>
              <w:spacing w:after="0" w:line="240" w:lineRule="auto"/>
              <w:rPr>
                <w:rFonts w:ascii="Times New Roman" w:eastAsia="Times New Roman" w:hAnsi="Times New Roman" w:cs="Times New Roman"/>
                <w:color w:val="000000"/>
                <w:sz w:val="18"/>
                <w:szCs w:val="18"/>
                <w:lang w:bidi="hi-IN"/>
              </w:rPr>
            </w:pPr>
          </w:p>
        </w:tc>
        <w:tc>
          <w:tcPr>
            <w:tcW w:w="686" w:type="dxa"/>
            <w:tcBorders>
              <w:top w:val="nil"/>
              <w:left w:val="nil"/>
              <w:bottom w:val="nil"/>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Grain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602"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/q)</w:t>
            </w:r>
          </w:p>
        </w:tc>
        <w:tc>
          <w:tcPr>
            <w:tcW w:w="76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grain </w:t>
            </w:r>
            <w:r>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Rs</w:t>
            </w:r>
            <w:r>
              <w:rPr>
                <w:rFonts w:ascii="Times New Roman" w:eastAsia="Times New Roman" w:hAnsi="Times New Roman" w:cs="Times New Roman"/>
                <w:color w:val="000000"/>
                <w:sz w:val="18"/>
                <w:szCs w:val="18"/>
                <w:lang w:bidi="hi-IN"/>
              </w:rPr>
              <w:t>)</w:t>
            </w:r>
          </w:p>
        </w:tc>
        <w:tc>
          <w:tcPr>
            <w:tcW w:w="719" w:type="dxa"/>
            <w:tcBorders>
              <w:top w:val="nil"/>
              <w:left w:val="nil"/>
              <w:bottom w:val="nil"/>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Stover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60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/q)</w:t>
            </w:r>
          </w:p>
        </w:tc>
        <w:tc>
          <w:tcPr>
            <w:tcW w:w="76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w:t>
            </w:r>
            <w:proofErr w:type="spellStart"/>
            <w:r w:rsidRPr="004A1DA0">
              <w:rPr>
                <w:rFonts w:ascii="Times New Roman" w:eastAsia="Times New Roman" w:hAnsi="Times New Roman" w:cs="Times New Roman"/>
                <w:color w:val="000000"/>
                <w:sz w:val="18"/>
                <w:szCs w:val="18"/>
                <w:lang w:bidi="hi-IN"/>
              </w:rPr>
              <w:t>stover</w:t>
            </w:r>
            <w:proofErr w:type="spellEnd"/>
            <w:r w:rsidRPr="004A1DA0">
              <w:rPr>
                <w:rFonts w:ascii="Times New Roman" w:eastAsia="Times New Roman" w:hAnsi="Times New Roman" w:cs="Times New Roman"/>
                <w:color w:val="000000"/>
                <w:sz w:val="18"/>
                <w:szCs w:val="18"/>
                <w:lang w:bidi="hi-IN"/>
              </w:rPr>
              <w:t xml:space="preserve"> </w:t>
            </w:r>
            <w:r w:rsidR="00DB6B36">
              <w:rPr>
                <w:rFonts w:ascii="Times New Roman" w:eastAsia="Times New Roman" w:hAnsi="Times New Roman" w:cs="Times New Roman"/>
                <w:color w:val="000000"/>
                <w:sz w:val="18"/>
                <w:szCs w:val="18"/>
                <w:lang w:bidi="hi-IN"/>
              </w:rPr>
              <w:t>(</w:t>
            </w:r>
            <w:proofErr w:type="spellStart"/>
            <w:r w:rsidR="00DB6B36" w:rsidRPr="004A1DA0">
              <w:rPr>
                <w:rFonts w:ascii="Times New Roman" w:eastAsia="Times New Roman" w:hAnsi="Times New Roman" w:cs="Times New Roman"/>
                <w:color w:val="000000"/>
                <w:sz w:val="18"/>
                <w:szCs w:val="18"/>
                <w:lang w:bidi="hi-IN"/>
              </w:rPr>
              <w:t>Rs</w:t>
            </w:r>
            <w:proofErr w:type="spellEnd"/>
            <w:r w:rsidR="00DB6B36">
              <w:rPr>
                <w:rFonts w:ascii="Times New Roman" w:eastAsia="Times New Roman" w:hAnsi="Times New Roman" w:cs="Times New Roman"/>
                <w:color w:val="000000"/>
                <w:sz w:val="18"/>
                <w:szCs w:val="18"/>
                <w:lang w:bidi="hi-IN"/>
              </w:rPr>
              <w:t>)</w:t>
            </w:r>
          </w:p>
        </w:tc>
        <w:tc>
          <w:tcPr>
            <w:tcW w:w="710"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Citrus  yield  </w:t>
            </w:r>
            <w:r w:rsidR="00DB6B36">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kg</w:t>
            </w:r>
            <w:r w:rsidR="00DB6B36">
              <w:rPr>
                <w:rFonts w:ascii="Times New Roman" w:eastAsia="Times New Roman" w:hAnsi="Times New Roman" w:cs="Times New Roman"/>
                <w:color w:val="000000"/>
                <w:sz w:val="18"/>
                <w:szCs w:val="18"/>
                <w:lang w:bidi="hi-IN"/>
              </w:rPr>
              <w:t>)</w:t>
            </w:r>
          </w:p>
        </w:tc>
        <w:tc>
          <w:tcPr>
            <w:tcW w:w="60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of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/kg)</w:t>
            </w:r>
          </w:p>
        </w:tc>
        <w:tc>
          <w:tcPr>
            <w:tcW w:w="76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citrus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w:t>
            </w:r>
          </w:p>
        </w:tc>
        <w:tc>
          <w:tcPr>
            <w:tcW w:w="799"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Gross Return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w:t>
            </w:r>
          </w:p>
        </w:tc>
        <w:tc>
          <w:tcPr>
            <w:tcW w:w="1037" w:type="dxa"/>
            <w:tcBorders>
              <w:top w:val="nil"/>
              <w:left w:val="nil"/>
              <w:bottom w:val="single" w:sz="8" w:space="0" w:color="000000"/>
              <w:right w:val="single" w:sz="8" w:space="0" w:color="000000"/>
            </w:tcBorders>
            <w:shd w:val="clear" w:color="auto" w:fill="auto"/>
            <w:vAlign w:val="center"/>
            <w:hideMark/>
          </w:tcPr>
          <w:p w:rsid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Cost of cultivation</w:t>
            </w:r>
          </w:p>
          <w:p w:rsidR="00C2586C" w:rsidRPr="004A1DA0" w:rsidRDefault="00C2586C" w:rsidP="004A1DA0">
            <w:pPr>
              <w:spacing w:after="0" w:line="240" w:lineRule="auto"/>
              <w:jc w:val="center"/>
              <w:rPr>
                <w:rFonts w:ascii="Times New Roman" w:eastAsia="Times New Roman" w:hAnsi="Times New Roman" w:cs="Times New Roman"/>
                <w:color w:val="000000"/>
                <w:sz w:val="18"/>
                <w:szCs w:val="18"/>
                <w:lang w:bidi="hi-IN"/>
              </w:rPr>
            </w:pPr>
            <w:r>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Rs</w:t>
            </w:r>
            <w:r>
              <w:rPr>
                <w:rFonts w:ascii="Times New Roman" w:eastAsia="Times New Roman" w:hAnsi="Times New Roman" w:cs="Times New Roman"/>
                <w:color w:val="000000"/>
                <w:sz w:val="18"/>
                <w:szCs w:val="18"/>
                <w:lang w:bidi="hi-IN"/>
              </w:rPr>
              <w:t>)</w:t>
            </w:r>
          </w:p>
        </w:tc>
        <w:tc>
          <w:tcPr>
            <w:tcW w:w="78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Net returns </w:t>
            </w:r>
            <w:r w:rsidR="00DB6B36">
              <w:rPr>
                <w:rFonts w:ascii="Times New Roman" w:eastAsia="Times New Roman" w:hAnsi="Times New Roman" w:cs="Times New Roman"/>
                <w:color w:val="000000"/>
                <w:sz w:val="18"/>
                <w:szCs w:val="18"/>
                <w:lang w:bidi="hi-IN"/>
              </w:rPr>
              <w:t>(</w:t>
            </w:r>
            <w:r w:rsidR="00DB6B36" w:rsidRPr="004A1DA0">
              <w:rPr>
                <w:rFonts w:ascii="Times New Roman" w:eastAsia="Times New Roman" w:hAnsi="Times New Roman" w:cs="Times New Roman"/>
                <w:color w:val="000000"/>
                <w:sz w:val="18"/>
                <w:szCs w:val="18"/>
                <w:lang w:bidi="hi-IN"/>
              </w:rPr>
              <w:t>Rs</w:t>
            </w:r>
            <w:r w:rsidR="00DB6B36">
              <w:rPr>
                <w:rFonts w:ascii="Times New Roman" w:eastAsia="Times New Roman" w:hAnsi="Times New Roman" w:cs="Times New Roman"/>
                <w:color w:val="000000"/>
                <w:sz w:val="18"/>
                <w:szCs w:val="18"/>
                <w:lang w:bidi="hi-IN"/>
              </w:rPr>
              <w:t>)</w:t>
            </w:r>
          </w:p>
        </w:tc>
        <w:tc>
          <w:tcPr>
            <w:tcW w:w="65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B:C Ratio</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w:t>
            </w:r>
          </w:p>
        </w:tc>
        <w:tc>
          <w:tcPr>
            <w:tcW w:w="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9.19</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59747</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20.37</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16297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116045</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37300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78745</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3.11</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T2</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10.29</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66855</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21.55</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17237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124092</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38300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85792</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3.24</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T3</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10.44</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67844</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21.83</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17461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125306</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81006</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2.83</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T4</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10.90</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70835</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22.76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18211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129046</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39300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89746</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3.28</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T5</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11.29</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73390</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23.62</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18897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132288</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91988</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3.28</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T6</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11.81</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76795</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24.93</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19941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136736</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91436</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3.02</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T7</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11.45</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74453</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23.40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18719</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133171</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88871</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3.01</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T8</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13.46</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87483</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23.68</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18940</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146423</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101123</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3.23</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T9</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14.95</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97169</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26.64</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21315</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158483</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112183</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FF0000"/>
                <w:sz w:val="18"/>
                <w:szCs w:val="18"/>
                <w:lang w:bidi="hi-IN"/>
              </w:rPr>
            </w:pPr>
            <w:r w:rsidRPr="004A1DA0">
              <w:rPr>
                <w:rFonts w:ascii="Times New Roman" w:eastAsia="Times New Roman" w:hAnsi="Times New Roman" w:cs="Times New Roman"/>
                <w:color w:val="000000" w:themeColor="text1"/>
                <w:sz w:val="18"/>
                <w:szCs w:val="18"/>
                <w:lang w:bidi="hi-IN"/>
              </w:rPr>
              <w:t>3.42</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T10</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11.32</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73562</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23.16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18527</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132089</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47300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84789</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2.79</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T11</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11.47</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74552</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23.47</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18779</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133330</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87030</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2.88</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T12</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11.51</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74816</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18924</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133740</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88440</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2.95</w:t>
            </w:r>
          </w:p>
        </w:tc>
      </w:tr>
      <w:tr w:rsidR="00DB6B36" w:rsidRPr="004A1DA0" w:rsidTr="004A1DA0">
        <w:trPr>
          <w:trHeight w:val="300"/>
        </w:trPr>
        <w:tc>
          <w:tcPr>
            <w:tcW w:w="1106" w:type="dxa"/>
            <w:tcBorders>
              <w:top w:val="nil"/>
              <w:left w:val="single" w:sz="8" w:space="0" w:color="000000"/>
              <w:bottom w:val="single" w:sz="8" w:space="0" w:color="000000"/>
              <w:right w:val="nil"/>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T13</w:t>
            </w:r>
          </w:p>
        </w:tc>
        <w:tc>
          <w:tcPr>
            <w:tcW w:w="686"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11.58</w:t>
            </w:r>
          </w:p>
        </w:tc>
        <w:tc>
          <w:tcPr>
            <w:tcW w:w="60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766" w:type="dxa"/>
            <w:tcBorders>
              <w:top w:val="nil"/>
              <w:left w:val="nil"/>
              <w:bottom w:val="single" w:sz="8" w:space="0" w:color="000000"/>
              <w:right w:val="nil"/>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75299</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4A1DA0" w:rsidRPr="004A1DA0" w:rsidRDefault="004A1DA0" w:rsidP="004A1DA0">
            <w:pPr>
              <w:spacing w:after="0" w:line="240" w:lineRule="auto"/>
              <w:jc w:val="right"/>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23.76</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19011</w:t>
            </w:r>
          </w:p>
        </w:tc>
        <w:tc>
          <w:tcPr>
            <w:tcW w:w="710"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2000</w:t>
            </w:r>
          </w:p>
        </w:tc>
        <w:tc>
          <w:tcPr>
            <w:tcW w:w="60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w:t>
            </w:r>
          </w:p>
        </w:tc>
        <w:tc>
          <w:tcPr>
            <w:tcW w:w="76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40000</w:t>
            </w:r>
          </w:p>
        </w:tc>
        <w:tc>
          <w:tcPr>
            <w:tcW w:w="79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134310</w:t>
            </w:r>
          </w:p>
        </w:tc>
        <w:tc>
          <w:tcPr>
            <w:tcW w:w="1037"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78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90010</w:t>
            </w:r>
          </w:p>
        </w:tc>
        <w:tc>
          <w:tcPr>
            <w:tcW w:w="65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3.03</w:t>
            </w:r>
          </w:p>
        </w:tc>
      </w:tr>
    </w:tbl>
    <w:p w:rsidR="00F112A6" w:rsidRPr="005B0440" w:rsidRDefault="00F112A6" w:rsidP="00F112A6">
      <w:pPr>
        <w:jc w:val="center"/>
        <w:rPr>
          <w:rFonts w:ascii="Times New Roman" w:hAnsi="Times New Roman" w:cs="Times New Roman"/>
          <w:sz w:val="20"/>
          <w:szCs w:val="20"/>
        </w:rPr>
      </w:pPr>
    </w:p>
    <w:p w:rsidR="00F112A6" w:rsidRPr="005B0440" w:rsidRDefault="003D3DB1" w:rsidP="00F112A6">
      <w:pPr>
        <w:jc w:val="center"/>
        <w:rPr>
          <w:rFonts w:ascii="Times New Roman" w:hAnsi="Times New Roman" w:cs="Times New Roman"/>
          <w:sz w:val="20"/>
          <w:szCs w:val="20"/>
        </w:rPr>
      </w:pPr>
      <w:proofErr w:type="gramStart"/>
      <w:r w:rsidRPr="003D3DB1">
        <w:rPr>
          <w:rFonts w:ascii="Times New Roman" w:hAnsi="Times New Roman" w:cs="Times New Roman"/>
          <w:b/>
          <w:bCs/>
          <w:sz w:val="20"/>
          <w:szCs w:val="20"/>
        </w:rPr>
        <w:t xml:space="preserve">Table </w:t>
      </w:r>
      <w:r>
        <w:rPr>
          <w:rFonts w:ascii="Times New Roman" w:hAnsi="Times New Roman" w:cs="Times New Roman"/>
          <w:b/>
          <w:bCs/>
          <w:sz w:val="20"/>
          <w:szCs w:val="20"/>
        </w:rPr>
        <w:t>2</w:t>
      </w:r>
      <w:r w:rsidRPr="003D3DB1">
        <w:rPr>
          <w:rFonts w:ascii="Times New Roman" w:hAnsi="Times New Roman" w:cs="Times New Roman"/>
          <w:b/>
          <w:bCs/>
          <w:sz w:val="20"/>
          <w:szCs w:val="20"/>
        </w:rPr>
        <w:t xml:space="preserve">: </w:t>
      </w:r>
      <w:r w:rsidR="00E574FC">
        <w:rPr>
          <w:rFonts w:ascii="Times New Roman" w:hAnsi="Times New Roman" w:cs="Times New Roman"/>
          <w:b/>
          <w:bCs/>
          <w:sz w:val="20"/>
          <w:szCs w:val="20"/>
        </w:rPr>
        <w:t xml:space="preserve">Effect </w:t>
      </w:r>
      <w:r w:rsidR="00E574FC" w:rsidRPr="003D3DB1">
        <w:rPr>
          <w:rFonts w:ascii="Times New Roman" w:hAnsi="Times New Roman" w:cs="Times New Roman"/>
          <w:b/>
          <w:bCs/>
          <w:sz w:val="20"/>
          <w:szCs w:val="20"/>
        </w:rPr>
        <w:t xml:space="preserve">of Organic and Inorganic nutrient sources on </w:t>
      </w:r>
      <w:r w:rsidR="00E574FC">
        <w:rPr>
          <w:rFonts w:ascii="Times New Roman" w:hAnsi="Times New Roman" w:cs="Times New Roman"/>
          <w:b/>
          <w:bCs/>
          <w:sz w:val="20"/>
          <w:szCs w:val="20"/>
        </w:rPr>
        <w:t>economic return of</w:t>
      </w:r>
      <w:r w:rsidR="00E574FC" w:rsidRPr="003D3DB1">
        <w:rPr>
          <w:rFonts w:ascii="Times New Roman" w:hAnsi="Times New Roman" w:cs="Times New Roman"/>
          <w:b/>
          <w:bCs/>
          <w:sz w:val="20"/>
          <w:szCs w:val="20"/>
        </w:rPr>
        <w:t xml:space="preserve"> </w:t>
      </w:r>
      <w:proofErr w:type="spellStart"/>
      <w:r w:rsidR="00E574FC" w:rsidRPr="003D3DB1">
        <w:rPr>
          <w:rFonts w:ascii="Times New Roman" w:hAnsi="Times New Roman" w:cs="Times New Roman"/>
          <w:b/>
          <w:bCs/>
          <w:sz w:val="20"/>
          <w:szCs w:val="20"/>
        </w:rPr>
        <w:t>Mungbean</w:t>
      </w:r>
      <w:proofErr w:type="spellEnd"/>
      <w:r w:rsidR="00E574FC" w:rsidRPr="003D3DB1">
        <w:rPr>
          <w:rFonts w:ascii="Times New Roman" w:hAnsi="Times New Roman" w:cs="Times New Roman"/>
          <w:b/>
          <w:bCs/>
          <w:sz w:val="20"/>
          <w:szCs w:val="20"/>
        </w:rPr>
        <w:t xml:space="preserve"> (</w:t>
      </w:r>
      <w:proofErr w:type="spellStart"/>
      <w:r w:rsidR="00E574FC" w:rsidRPr="003D3DB1">
        <w:rPr>
          <w:rFonts w:ascii="Times New Roman" w:hAnsi="Times New Roman" w:cs="Times New Roman"/>
          <w:b/>
          <w:bCs/>
          <w:i/>
          <w:iCs/>
          <w:sz w:val="20"/>
          <w:szCs w:val="20"/>
        </w:rPr>
        <w:t>Vigna</w:t>
      </w:r>
      <w:proofErr w:type="spellEnd"/>
      <w:r w:rsidR="00E574FC" w:rsidRPr="003D3DB1">
        <w:rPr>
          <w:rFonts w:ascii="Times New Roman" w:hAnsi="Times New Roman" w:cs="Times New Roman"/>
          <w:b/>
          <w:bCs/>
          <w:i/>
          <w:iCs/>
          <w:sz w:val="20"/>
          <w:szCs w:val="20"/>
        </w:rPr>
        <w:t xml:space="preserve"> </w:t>
      </w:r>
      <w:commentRangeStart w:id="16"/>
      <w:proofErr w:type="spellStart"/>
      <w:r w:rsidR="00E574FC" w:rsidRPr="003D3DB1">
        <w:rPr>
          <w:rFonts w:ascii="Times New Roman" w:hAnsi="Times New Roman" w:cs="Times New Roman"/>
          <w:b/>
          <w:bCs/>
          <w:i/>
          <w:iCs/>
          <w:sz w:val="20"/>
          <w:szCs w:val="20"/>
        </w:rPr>
        <w:t>redita</w:t>
      </w:r>
      <w:proofErr w:type="spellEnd"/>
      <w:r w:rsidR="00E574FC" w:rsidRPr="003D3DB1">
        <w:rPr>
          <w:rFonts w:ascii="Times New Roman" w:hAnsi="Times New Roman" w:cs="Times New Roman"/>
          <w:b/>
          <w:bCs/>
          <w:sz w:val="20"/>
          <w:szCs w:val="20"/>
        </w:rPr>
        <w:t>.</w:t>
      </w:r>
      <w:commentRangeEnd w:id="16"/>
      <w:proofErr w:type="gramEnd"/>
      <w:r w:rsidR="000654FB">
        <w:rPr>
          <w:rStyle w:val="CommentReference"/>
        </w:rPr>
        <w:commentReference w:id="16"/>
      </w:r>
      <w:r w:rsidR="00E574FC" w:rsidRPr="003D3DB1">
        <w:rPr>
          <w:rFonts w:ascii="Times New Roman" w:hAnsi="Times New Roman" w:cs="Times New Roman"/>
          <w:b/>
          <w:bCs/>
          <w:sz w:val="20"/>
          <w:szCs w:val="20"/>
        </w:rPr>
        <w:t xml:space="preserve"> L) </w:t>
      </w:r>
      <w:r w:rsidR="00C2586C">
        <w:rPr>
          <w:rFonts w:ascii="Times New Roman" w:hAnsi="Times New Roman" w:cs="Times New Roman"/>
          <w:b/>
          <w:bCs/>
          <w:sz w:val="20"/>
          <w:szCs w:val="20"/>
        </w:rPr>
        <w:t>In</w:t>
      </w:r>
      <w:r w:rsidR="00E574FC">
        <w:rPr>
          <w:rFonts w:ascii="Times New Roman" w:hAnsi="Times New Roman" w:cs="Times New Roman"/>
          <w:b/>
          <w:bCs/>
          <w:sz w:val="20"/>
          <w:szCs w:val="20"/>
        </w:rPr>
        <w:t xml:space="preserve"> open condition</w:t>
      </w:r>
    </w:p>
    <w:tbl>
      <w:tblPr>
        <w:tblW w:w="10727" w:type="dxa"/>
        <w:tblInd w:w="-432" w:type="dxa"/>
        <w:tblLook w:val="04A0" w:firstRow="1" w:lastRow="0" w:firstColumn="1" w:lastColumn="0" w:noHBand="0" w:noVBand="1"/>
      </w:tblPr>
      <w:tblGrid>
        <w:gridCol w:w="1089"/>
        <w:gridCol w:w="922"/>
        <w:gridCol w:w="913"/>
        <w:gridCol w:w="1236"/>
        <w:gridCol w:w="925"/>
        <w:gridCol w:w="913"/>
        <w:gridCol w:w="929"/>
        <w:gridCol w:w="929"/>
        <w:gridCol w:w="1021"/>
        <w:gridCol w:w="931"/>
        <w:gridCol w:w="919"/>
      </w:tblGrid>
      <w:tr w:rsidR="004A1DA0" w:rsidRPr="004A1DA0" w:rsidTr="004A1DA0">
        <w:trPr>
          <w:trHeight w:val="251"/>
        </w:trPr>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Treatments</w:t>
            </w:r>
          </w:p>
        </w:tc>
        <w:tc>
          <w:tcPr>
            <w:tcW w:w="9638" w:type="dxa"/>
            <w:gridSpan w:val="10"/>
            <w:tcBorders>
              <w:top w:val="single" w:sz="8" w:space="0" w:color="000000"/>
              <w:left w:val="nil"/>
              <w:bottom w:val="single" w:sz="8" w:space="0" w:color="000000"/>
              <w:right w:val="single" w:sz="8" w:space="0" w:color="000000"/>
            </w:tcBorders>
            <w:shd w:val="clear" w:color="auto" w:fill="auto"/>
            <w:vAlign w:val="center"/>
            <w:hideMark/>
          </w:tcPr>
          <w:p w:rsidR="004A1DA0" w:rsidRPr="004A1DA0" w:rsidRDefault="00C2586C" w:rsidP="004A1DA0">
            <w:pPr>
              <w:spacing w:after="0" w:line="240" w:lineRule="auto"/>
              <w:jc w:val="center"/>
              <w:rPr>
                <w:rFonts w:ascii="Times New Roman" w:eastAsia="Times New Roman" w:hAnsi="Times New Roman" w:cs="Times New Roman"/>
                <w:color w:val="000000"/>
                <w:sz w:val="18"/>
                <w:szCs w:val="18"/>
                <w:lang w:bidi="hi-IN"/>
              </w:rPr>
            </w:pPr>
            <w:r>
              <w:rPr>
                <w:rFonts w:ascii="Times New Roman" w:eastAsia="Times New Roman" w:hAnsi="Times New Roman" w:cs="Times New Roman"/>
                <w:color w:val="000000"/>
                <w:sz w:val="18"/>
                <w:szCs w:val="18"/>
                <w:lang w:bidi="hi-IN"/>
              </w:rPr>
              <w:t>Economics Rs</w:t>
            </w:r>
            <w:r w:rsidR="004A1DA0" w:rsidRPr="004A1DA0">
              <w:rPr>
                <w:rFonts w:ascii="Times New Roman" w:eastAsia="Times New Roman" w:hAnsi="Times New Roman" w:cs="Times New Roman"/>
                <w:color w:val="000000"/>
                <w:sz w:val="18"/>
                <w:szCs w:val="18"/>
                <w:lang w:bidi="hi-IN"/>
              </w:rPr>
              <w:t>/ha (open)</w:t>
            </w:r>
          </w:p>
        </w:tc>
      </w:tr>
      <w:tr w:rsidR="004A1DA0" w:rsidRPr="00C2586C" w:rsidTr="004A1DA0">
        <w:trPr>
          <w:trHeight w:val="585"/>
        </w:trPr>
        <w:tc>
          <w:tcPr>
            <w:tcW w:w="1089" w:type="dxa"/>
            <w:vMerge/>
            <w:tcBorders>
              <w:top w:val="single" w:sz="8" w:space="0" w:color="000000"/>
              <w:left w:val="single" w:sz="8" w:space="0" w:color="000000"/>
              <w:bottom w:val="single" w:sz="8" w:space="0" w:color="000000"/>
              <w:right w:val="single" w:sz="8" w:space="0" w:color="000000"/>
            </w:tcBorders>
            <w:vAlign w:val="center"/>
            <w:hideMark/>
          </w:tcPr>
          <w:p w:rsidR="004A1DA0" w:rsidRPr="004A1DA0" w:rsidRDefault="004A1DA0" w:rsidP="004A1DA0">
            <w:pPr>
              <w:spacing w:after="0" w:line="240" w:lineRule="auto"/>
              <w:rPr>
                <w:rFonts w:ascii="Times New Roman" w:eastAsia="Times New Roman" w:hAnsi="Times New Roman" w:cs="Times New Roman"/>
                <w:color w:val="000000"/>
                <w:sz w:val="18"/>
                <w:szCs w:val="18"/>
                <w:lang w:bidi="hi-IN"/>
              </w:rPr>
            </w:pPr>
          </w:p>
        </w:tc>
        <w:tc>
          <w:tcPr>
            <w:tcW w:w="922"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Grain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91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C2586C">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C2586C" w:rsidRPr="00C2586C">
              <w:rPr>
                <w:rFonts w:ascii="Times New Roman" w:eastAsia="Times New Roman" w:hAnsi="Times New Roman" w:cs="Times New Roman"/>
                <w:color w:val="000000"/>
                <w:sz w:val="18"/>
                <w:szCs w:val="18"/>
                <w:lang w:bidi="hi-IN"/>
              </w:rPr>
              <w:t>(Rs/q)</w:t>
            </w:r>
          </w:p>
        </w:tc>
        <w:tc>
          <w:tcPr>
            <w:tcW w:w="1236"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grain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w:t>
            </w:r>
          </w:p>
        </w:tc>
        <w:tc>
          <w:tcPr>
            <w:tcW w:w="925"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Stover yield </w:t>
            </w:r>
            <w:r w:rsidR="00C2586C">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q/ha</w:t>
            </w:r>
            <w:r w:rsidR="00C2586C">
              <w:rPr>
                <w:rFonts w:ascii="Times New Roman" w:eastAsia="Times New Roman" w:hAnsi="Times New Roman" w:cs="Times New Roman"/>
                <w:color w:val="000000"/>
                <w:sz w:val="18"/>
                <w:szCs w:val="18"/>
                <w:lang w:bidi="hi-IN"/>
              </w:rPr>
              <w:t>)</w:t>
            </w:r>
          </w:p>
        </w:tc>
        <w:tc>
          <w:tcPr>
            <w:tcW w:w="913"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Rate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/q)</w:t>
            </w:r>
          </w:p>
        </w:tc>
        <w:tc>
          <w:tcPr>
            <w:tcW w:w="929"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Return from </w:t>
            </w:r>
            <w:proofErr w:type="spellStart"/>
            <w:r w:rsidRPr="004A1DA0">
              <w:rPr>
                <w:rFonts w:ascii="Times New Roman" w:eastAsia="Times New Roman" w:hAnsi="Times New Roman" w:cs="Times New Roman"/>
                <w:color w:val="000000"/>
                <w:sz w:val="18"/>
                <w:szCs w:val="18"/>
                <w:lang w:bidi="hi-IN"/>
              </w:rPr>
              <w:t>stover</w:t>
            </w:r>
            <w:proofErr w:type="spellEnd"/>
            <w:r w:rsidRPr="004A1DA0">
              <w:rPr>
                <w:rFonts w:ascii="Times New Roman" w:eastAsia="Times New Roman" w:hAnsi="Times New Roman" w:cs="Times New Roman"/>
                <w:color w:val="000000"/>
                <w:sz w:val="18"/>
                <w:szCs w:val="18"/>
                <w:lang w:bidi="hi-IN"/>
              </w:rPr>
              <w:t xml:space="preserve"> </w:t>
            </w:r>
            <w:r w:rsidR="00C2586C">
              <w:rPr>
                <w:rFonts w:ascii="Times New Roman" w:eastAsia="Times New Roman" w:hAnsi="Times New Roman" w:cs="Times New Roman"/>
                <w:color w:val="000000"/>
                <w:sz w:val="18"/>
                <w:szCs w:val="18"/>
                <w:lang w:bidi="hi-IN"/>
              </w:rPr>
              <w:t>(</w:t>
            </w:r>
            <w:proofErr w:type="spellStart"/>
            <w:r w:rsidR="00C2586C" w:rsidRPr="004A1DA0">
              <w:rPr>
                <w:rFonts w:ascii="Times New Roman" w:eastAsia="Times New Roman" w:hAnsi="Times New Roman" w:cs="Times New Roman"/>
                <w:color w:val="000000"/>
                <w:sz w:val="18"/>
                <w:szCs w:val="18"/>
                <w:lang w:bidi="hi-IN"/>
              </w:rPr>
              <w:t>Rs</w:t>
            </w:r>
            <w:proofErr w:type="spellEnd"/>
            <w:r w:rsidR="00C2586C">
              <w:rPr>
                <w:rFonts w:ascii="Times New Roman" w:eastAsia="Times New Roman" w:hAnsi="Times New Roman" w:cs="Times New Roman"/>
                <w:color w:val="000000"/>
                <w:sz w:val="18"/>
                <w:szCs w:val="18"/>
                <w:lang w:bidi="hi-IN"/>
              </w:rPr>
              <w:t>)</w:t>
            </w:r>
          </w:p>
        </w:tc>
        <w:tc>
          <w:tcPr>
            <w:tcW w:w="929"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Gross Return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w:t>
            </w:r>
          </w:p>
        </w:tc>
        <w:tc>
          <w:tcPr>
            <w:tcW w:w="1021" w:type="dxa"/>
            <w:tcBorders>
              <w:top w:val="nil"/>
              <w:left w:val="nil"/>
              <w:bottom w:val="single" w:sz="8" w:space="0" w:color="000000"/>
              <w:right w:val="single" w:sz="8" w:space="0" w:color="000000"/>
            </w:tcBorders>
            <w:shd w:val="clear" w:color="auto" w:fill="auto"/>
            <w:vAlign w:val="center"/>
            <w:hideMark/>
          </w:tcPr>
          <w:p w:rsid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Cost of cultivation</w:t>
            </w:r>
          </w:p>
          <w:p w:rsidR="00C2586C" w:rsidRPr="004A1DA0" w:rsidRDefault="00C2586C" w:rsidP="004A1DA0">
            <w:pPr>
              <w:spacing w:after="0" w:line="240" w:lineRule="auto"/>
              <w:jc w:val="center"/>
              <w:rPr>
                <w:rFonts w:ascii="Times New Roman" w:eastAsia="Times New Roman" w:hAnsi="Times New Roman" w:cs="Times New Roman"/>
                <w:color w:val="000000"/>
                <w:sz w:val="18"/>
                <w:szCs w:val="18"/>
                <w:lang w:bidi="hi-IN"/>
              </w:rPr>
            </w:pPr>
            <w:r>
              <w:rPr>
                <w:rFonts w:ascii="Times New Roman" w:eastAsia="Times New Roman" w:hAnsi="Times New Roman" w:cs="Times New Roman"/>
                <w:color w:val="000000"/>
                <w:sz w:val="18"/>
                <w:szCs w:val="18"/>
                <w:lang w:bidi="hi-IN"/>
              </w:rPr>
              <w:t>(</w:t>
            </w:r>
            <w:r w:rsidRPr="004A1DA0">
              <w:rPr>
                <w:rFonts w:ascii="Times New Roman" w:eastAsia="Times New Roman" w:hAnsi="Times New Roman" w:cs="Times New Roman"/>
                <w:color w:val="000000"/>
                <w:sz w:val="18"/>
                <w:szCs w:val="18"/>
                <w:lang w:bidi="hi-IN"/>
              </w:rPr>
              <w:t>Rs</w:t>
            </w:r>
            <w:r>
              <w:rPr>
                <w:rFonts w:ascii="Times New Roman" w:eastAsia="Times New Roman" w:hAnsi="Times New Roman" w:cs="Times New Roman"/>
                <w:color w:val="000000"/>
                <w:sz w:val="18"/>
                <w:szCs w:val="18"/>
                <w:lang w:bidi="hi-IN"/>
              </w:rPr>
              <w:t>)</w:t>
            </w:r>
          </w:p>
        </w:tc>
        <w:tc>
          <w:tcPr>
            <w:tcW w:w="931"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 xml:space="preserve">Net returns </w:t>
            </w:r>
            <w:r w:rsidR="00C2586C">
              <w:rPr>
                <w:rFonts w:ascii="Times New Roman" w:eastAsia="Times New Roman" w:hAnsi="Times New Roman" w:cs="Times New Roman"/>
                <w:color w:val="000000"/>
                <w:sz w:val="18"/>
                <w:szCs w:val="18"/>
                <w:lang w:bidi="hi-IN"/>
              </w:rPr>
              <w:t>(</w:t>
            </w:r>
            <w:r w:rsidR="00C2586C" w:rsidRPr="004A1DA0">
              <w:rPr>
                <w:rFonts w:ascii="Times New Roman" w:eastAsia="Times New Roman" w:hAnsi="Times New Roman" w:cs="Times New Roman"/>
                <w:color w:val="000000"/>
                <w:sz w:val="18"/>
                <w:szCs w:val="18"/>
                <w:lang w:bidi="hi-IN"/>
              </w:rPr>
              <w:t>Rs</w:t>
            </w:r>
            <w:r w:rsidR="00C2586C">
              <w:rPr>
                <w:rFonts w:ascii="Times New Roman" w:eastAsia="Times New Roman" w:hAnsi="Times New Roman" w:cs="Times New Roman"/>
                <w:color w:val="000000"/>
                <w:sz w:val="18"/>
                <w:szCs w:val="18"/>
                <w:lang w:bidi="hi-IN"/>
              </w:rPr>
              <w:t>)</w:t>
            </w:r>
          </w:p>
        </w:tc>
        <w:tc>
          <w:tcPr>
            <w:tcW w:w="918" w:type="dxa"/>
            <w:tcBorders>
              <w:top w:val="nil"/>
              <w:left w:val="nil"/>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B:C Ratio</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10.23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66517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22.58</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18067</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84583</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37300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47283</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T2</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11.58</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75292</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24.05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19240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94532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38300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56232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T3</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11.70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76050</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24.82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19853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95903</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51603</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2.16</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T4</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82767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25.65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20520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103287</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39300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63987</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2.63</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T5</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12.42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80708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25.52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20413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101122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40300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60822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2.51</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T6</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13.33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86667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26.95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21560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108227</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62927</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2.39</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T7</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82875</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25.83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20667</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103542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59242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2.34</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T8</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16.32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106058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28.15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22520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128578</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83278</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2.84</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T9</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20.90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135850</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32.45</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25960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161810</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115510</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FF0000"/>
                <w:sz w:val="18"/>
                <w:szCs w:val="18"/>
                <w:lang w:bidi="hi-IN"/>
              </w:rPr>
            </w:pPr>
            <w:r w:rsidRPr="004A1DA0">
              <w:rPr>
                <w:rFonts w:ascii="Times New Roman" w:eastAsia="Times New Roman" w:hAnsi="Times New Roman" w:cs="Times New Roman"/>
                <w:color w:val="000000" w:themeColor="text1"/>
                <w:sz w:val="18"/>
                <w:szCs w:val="18"/>
                <w:lang w:bidi="hi-IN"/>
              </w:rPr>
              <w:t>3.49</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T10</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82658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25.02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20013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102672</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47300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55372</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T11</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13.52</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87858</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26.38</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21107</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108965</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46300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62665</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2.35</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T12</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12.70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82550</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25.57</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20453</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103003</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45300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57703</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2.27</w:t>
            </w:r>
          </w:p>
        </w:tc>
      </w:tr>
      <w:tr w:rsidR="004A1DA0" w:rsidRPr="00C2586C" w:rsidTr="004A1DA0">
        <w:trPr>
          <w:trHeight w:val="251"/>
        </w:trPr>
        <w:tc>
          <w:tcPr>
            <w:tcW w:w="1089" w:type="dxa"/>
            <w:tcBorders>
              <w:top w:val="nil"/>
              <w:left w:val="single" w:sz="8" w:space="0" w:color="000000"/>
              <w:bottom w:val="single" w:sz="8" w:space="0" w:color="000000"/>
              <w:right w:val="single" w:sz="8" w:space="0" w:color="000000"/>
            </w:tcBorders>
            <w:shd w:val="clear" w:color="auto" w:fill="auto"/>
            <w:vAlign w:val="center"/>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lastRenderedPageBreak/>
              <w:t>T13</w:t>
            </w:r>
          </w:p>
        </w:tc>
        <w:tc>
          <w:tcPr>
            <w:tcW w:w="922"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12.93</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6500</w:t>
            </w:r>
          </w:p>
        </w:tc>
        <w:tc>
          <w:tcPr>
            <w:tcW w:w="1236"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84067</w:t>
            </w:r>
          </w:p>
        </w:tc>
        <w:tc>
          <w:tcPr>
            <w:tcW w:w="925"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25.70</w:t>
            </w:r>
          </w:p>
        </w:tc>
        <w:tc>
          <w:tcPr>
            <w:tcW w:w="913"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800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20560</w:t>
            </w:r>
          </w:p>
        </w:tc>
        <w:tc>
          <w:tcPr>
            <w:tcW w:w="929"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104627</w:t>
            </w:r>
          </w:p>
        </w:tc>
        <w:tc>
          <w:tcPr>
            <w:tcW w:w="102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44300</w:t>
            </w:r>
          </w:p>
        </w:tc>
        <w:tc>
          <w:tcPr>
            <w:tcW w:w="931"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60327</w:t>
            </w:r>
          </w:p>
        </w:tc>
        <w:tc>
          <w:tcPr>
            <w:tcW w:w="918" w:type="dxa"/>
            <w:tcBorders>
              <w:top w:val="nil"/>
              <w:left w:val="nil"/>
              <w:bottom w:val="single" w:sz="8" w:space="0" w:color="000000"/>
              <w:right w:val="single" w:sz="8" w:space="0" w:color="000000"/>
            </w:tcBorders>
            <w:shd w:val="clear" w:color="auto" w:fill="auto"/>
            <w:vAlign w:val="bottom"/>
            <w:hideMark/>
          </w:tcPr>
          <w:p w:rsidR="004A1DA0" w:rsidRPr="004A1DA0" w:rsidRDefault="004A1DA0" w:rsidP="004A1DA0">
            <w:pPr>
              <w:spacing w:after="0" w:line="240" w:lineRule="auto"/>
              <w:jc w:val="center"/>
              <w:rPr>
                <w:rFonts w:ascii="Times New Roman" w:eastAsia="Times New Roman" w:hAnsi="Times New Roman" w:cs="Times New Roman"/>
                <w:color w:val="000000"/>
                <w:sz w:val="18"/>
                <w:szCs w:val="18"/>
                <w:lang w:bidi="hi-IN"/>
              </w:rPr>
            </w:pPr>
            <w:r w:rsidRPr="004A1DA0">
              <w:rPr>
                <w:rFonts w:ascii="Times New Roman" w:eastAsia="Times New Roman" w:hAnsi="Times New Roman" w:cs="Times New Roman"/>
                <w:color w:val="000000"/>
                <w:sz w:val="18"/>
                <w:szCs w:val="18"/>
                <w:lang w:bidi="hi-IN"/>
              </w:rPr>
              <w:t>2.36</w:t>
            </w:r>
          </w:p>
        </w:tc>
      </w:tr>
    </w:tbl>
    <w:p w:rsidR="00F112A6" w:rsidRDefault="00F112A6" w:rsidP="00F112A6">
      <w:pPr>
        <w:rPr>
          <w:rFonts w:ascii="Times New Roman" w:hAnsi="Times New Roman" w:cs="Times New Roman"/>
          <w:sz w:val="20"/>
          <w:szCs w:val="20"/>
        </w:rPr>
      </w:pPr>
    </w:p>
    <w:p w:rsidR="00401543" w:rsidRPr="00F03FC8" w:rsidRDefault="00401543" w:rsidP="00401543">
      <w:pPr>
        <w:jc w:val="both"/>
        <w:rPr>
          <w:rFonts w:ascii="Times New Roman" w:hAnsi="Times New Roman" w:cs="Times New Roman"/>
        </w:rPr>
      </w:pPr>
      <w:r w:rsidRPr="00F03FC8">
        <w:rPr>
          <w:rFonts w:ascii="Times New Roman" w:hAnsi="Times New Roman" w:cs="Times New Roman"/>
        </w:rPr>
        <w:t xml:space="preserve">The data presented in Table 2 indicate substantial differences in the economic performance of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w:t>
      </w:r>
      <w:commentRangeStart w:id="17"/>
      <w:proofErr w:type="spellStart"/>
      <w:r w:rsidRPr="00F03FC8">
        <w:rPr>
          <w:rFonts w:ascii="Times New Roman" w:hAnsi="Times New Roman" w:cs="Times New Roman"/>
        </w:rPr>
        <w:t>Vigna</w:t>
      </w:r>
      <w:proofErr w:type="spellEnd"/>
      <w:r w:rsidRPr="00F03FC8">
        <w:rPr>
          <w:rFonts w:ascii="Times New Roman" w:hAnsi="Times New Roman" w:cs="Times New Roman"/>
        </w:rPr>
        <w:t xml:space="preserve"> </w:t>
      </w:r>
      <w:proofErr w:type="spellStart"/>
      <w:r w:rsidRPr="00F03FC8">
        <w:rPr>
          <w:rFonts w:ascii="Times New Roman" w:hAnsi="Times New Roman" w:cs="Times New Roman"/>
        </w:rPr>
        <w:t>radiata</w:t>
      </w:r>
      <w:proofErr w:type="spellEnd"/>
      <w:r w:rsidRPr="00F03FC8">
        <w:rPr>
          <w:rFonts w:ascii="Times New Roman" w:hAnsi="Times New Roman" w:cs="Times New Roman"/>
        </w:rPr>
        <w:t xml:space="preserve"> </w:t>
      </w:r>
      <w:commentRangeEnd w:id="17"/>
      <w:r w:rsidR="00AB08B0">
        <w:rPr>
          <w:rStyle w:val="CommentReference"/>
        </w:rPr>
        <w:commentReference w:id="17"/>
      </w:r>
      <w:r w:rsidRPr="00F03FC8">
        <w:rPr>
          <w:rFonts w:ascii="Times New Roman" w:hAnsi="Times New Roman" w:cs="Times New Roman"/>
        </w:rPr>
        <w:t xml:space="preserve">L.) grown under open field conditions in response to various integrated nutrient management (INM) treatments. The benefit-to-cost (B:C) ratio, a key indicator of profitability, ranged from 2.16 (T3) to 3.49 (T9), illustrating the economic significance of combining organic and inorganic nutrient sources.  Among all treatments, T9 recorded the highest grain yield (20.90 q/ha) and </w:t>
      </w:r>
      <w:proofErr w:type="spellStart"/>
      <w:r w:rsidRPr="00F03FC8">
        <w:rPr>
          <w:rFonts w:ascii="Times New Roman" w:hAnsi="Times New Roman" w:cs="Times New Roman"/>
        </w:rPr>
        <w:t>stover</w:t>
      </w:r>
      <w:proofErr w:type="spellEnd"/>
      <w:r w:rsidRPr="00F03FC8">
        <w:rPr>
          <w:rFonts w:ascii="Times New Roman" w:hAnsi="Times New Roman" w:cs="Times New Roman"/>
        </w:rPr>
        <w:t xml:space="preserve"> yield (32.45 q/ha), which led into the maximum gross return of Rs. 1,61,810/ha and a net return of Rs. 1,15,510/ha. The superior profitability of T9, with a B:C ratio of 3.49, can be attributed to enhanced nutrient availability and efficient resource utilization, which collectively boosted biomass production and marketable yield. This result underscores the effectiveness of integrated nutrient application in maximizing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productivity and economic return in open environments. Treatment T8 also performed well, yielding 16.32 q/ha of grain and 28.15 q/ha of </w:t>
      </w:r>
      <w:proofErr w:type="spellStart"/>
      <w:r w:rsidRPr="00F03FC8">
        <w:rPr>
          <w:rFonts w:ascii="Times New Roman" w:hAnsi="Times New Roman" w:cs="Times New Roman"/>
        </w:rPr>
        <w:t>stover</w:t>
      </w:r>
      <w:proofErr w:type="spellEnd"/>
      <w:r w:rsidRPr="00F03FC8">
        <w:rPr>
          <w:rFonts w:ascii="Times New Roman" w:hAnsi="Times New Roman" w:cs="Times New Roman"/>
        </w:rPr>
        <w:t xml:space="preserve">, leading to a gross return of Rs. 1,28,578/ha, net return of Rs. 83,278/ha, and a B:C ratio of 2.84. The consistently higher yields and returns observed in T8 and T9 suggest that the synergy between organic and inorganic nutrient inputs plays a crucial role in enhancing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profitability under open field conditions. Moderately high economic returns were observed in treatments T4, T5, and T6, with B:C ratios of 2.63, 2.51, and 2.39, respectively. These treatments likely provided a balanced nutrient supply, supporting healthy crop growth and reasonable profit margins. On the other hand, treatments such as T3 and T10 showed relatively lower B:C ratios of 2.16 and 2.17, respectively, despite achieving decent yields. This could be attributed to higher cultivation costs or less efficient nutrient use compared to other treatments. The control treatment T1, which may have received minimal or no nutrient supplementation beyond baseline inputs, exhibited the lowest net return (Rs. 47,283/ha) and a B:C ratio of 2.27, underscoring the limited economic potential of nutrient-deficient management strategies. Overall, the results demonstrate that the use of integrated nutrient management practices significantly influences the economic returns of </w:t>
      </w:r>
      <w:proofErr w:type="spellStart"/>
      <w:r w:rsidRPr="00F03FC8">
        <w:rPr>
          <w:rFonts w:ascii="Times New Roman" w:hAnsi="Times New Roman" w:cs="Times New Roman"/>
        </w:rPr>
        <w:t>mungbean</w:t>
      </w:r>
      <w:proofErr w:type="spellEnd"/>
      <w:r w:rsidRPr="00F03FC8">
        <w:rPr>
          <w:rFonts w:ascii="Times New Roman" w:hAnsi="Times New Roman" w:cs="Times New Roman"/>
        </w:rPr>
        <w:t xml:space="preserve"> cultivation under open field conditions. Treatments incorporating both organic and inorganic sources consistently outperformed those with singular input strategies in terms of yield and profitability. These findings are consistent with previous studies (Singh et al., 2021; Kumar et al., 2022), which advocate for integrated nutrient approaches to enhance crop performance and economic sustainability in legume-based farming systems.</w:t>
      </w:r>
    </w:p>
    <w:p w:rsidR="00F112A6" w:rsidRPr="00F03FC8" w:rsidRDefault="00D261F5">
      <w:pPr>
        <w:rPr>
          <w:rFonts w:ascii="Times New Roman" w:hAnsi="Times New Roman" w:cs="Times New Roman"/>
          <w:b/>
          <w:bCs/>
        </w:rPr>
      </w:pPr>
      <w:r w:rsidRPr="00F03FC8">
        <w:rPr>
          <w:rFonts w:ascii="Times New Roman" w:hAnsi="Times New Roman" w:cs="Times New Roman"/>
          <w:b/>
          <w:bCs/>
        </w:rPr>
        <w:t>Conclusion</w:t>
      </w:r>
    </w:p>
    <w:p w:rsidR="00C3455C" w:rsidRPr="00F03FC8" w:rsidRDefault="00D261F5" w:rsidP="00C3455C">
      <w:pPr>
        <w:jc w:val="both"/>
        <w:rPr>
          <w:rFonts w:ascii="Times New Roman" w:hAnsi="Times New Roman" w:cs="Times New Roman"/>
        </w:rPr>
      </w:pPr>
      <w:r w:rsidRPr="00F03FC8">
        <w:rPr>
          <w:rFonts w:ascii="Times New Roman" w:hAnsi="Times New Roman" w:cs="Times New Roman"/>
        </w:rPr>
        <w:t xml:space="preserve">Present study </w:t>
      </w:r>
      <w:r w:rsidR="00C3455C" w:rsidRPr="00F03FC8">
        <w:rPr>
          <w:rFonts w:ascii="Times New Roman" w:hAnsi="Times New Roman" w:cs="Times New Roman"/>
        </w:rPr>
        <w:t xml:space="preserve">concludes that integrated nutrient management (INM) plays a vital role in enhancing the economic viability of </w:t>
      </w:r>
      <w:proofErr w:type="spellStart"/>
      <w:r w:rsidR="00C3455C" w:rsidRPr="00F03FC8">
        <w:rPr>
          <w:rFonts w:ascii="Times New Roman" w:hAnsi="Times New Roman" w:cs="Times New Roman"/>
        </w:rPr>
        <w:t>mungbean</w:t>
      </w:r>
      <w:proofErr w:type="spellEnd"/>
      <w:r w:rsidR="00C3455C" w:rsidRPr="00F03FC8">
        <w:rPr>
          <w:rFonts w:ascii="Times New Roman" w:hAnsi="Times New Roman" w:cs="Times New Roman"/>
        </w:rPr>
        <w:t xml:space="preserve"> cultivation under both citrus-based agroforestry and open field systems. The consistent superior performance of Treatment T9, reflected through the highest B:C ratios, gross and net returns, emphasizes the importance of balanced nutrient inputs combining organic and inorganic sources. Treatments such as T8, T4, and T5 further reinforce that strategic nutrient integration rather than reliance on a single source can significantly boost profitability. On the other hand, treatments with lower returns despite moderate yields indicate that input cost-efficiency is as critical as yield in determining economic success. Therefore, adopting INM practices not only supports higher productivity but also ensures sustainable income generation for farmers, particularly in integrated farming systems like citrus-based </w:t>
      </w:r>
      <w:proofErr w:type="spellStart"/>
      <w:r w:rsidR="00C3455C" w:rsidRPr="00F03FC8">
        <w:rPr>
          <w:rFonts w:ascii="Times New Roman" w:hAnsi="Times New Roman" w:cs="Times New Roman"/>
        </w:rPr>
        <w:t>agri-horti</w:t>
      </w:r>
      <w:proofErr w:type="spellEnd"/>
      <w:r w:rsidR="00C3455C" w:rsidRPr="00F03FC8">
        <w:rPr>
          <w:rFonts w:ascii="Times New Roman" w:hAnsi="Times New Roman" w:cs="Times New Roman"/>
        </w:rPr>
        <w:t xml:space="preserve"> models. These findings provide strong evidence for promoting INM as a practical, efficient, and sustainable nutrient management approach in legume-based cropping </w:t>
      </w:r>
      <w:commentRangeStart w:id="18"/>
      <w:r w:rsidR="00C3455C" w:rsidRPr="00F03FC8">
        <w:rPr>
          <w:rFonts w:ascii="Times New Roman" w:hAnsi="Times New Roman" w:cs="Times New Roman"/>
        </w:rPr>
        <w:t>systems</w:t>
      </w:r>
      <w:commentRangeEnd w:id="18"/>
      <w:r w:rsidR="00AB08B0">
        <w:rPr>
          <w:rStyle w:val="CommentReference"/>
        </w:rPr>
        <w:commentReference w:id="18"/>
      </w:r>
      <w:r w:rsidR="00C3455C" w:rsidRPr="00F03FC8">
        <w:rPr>
          <w:rFonts w:ascii="Times New Roman" w:hAnsi="Times New Roman" w:cs="Times New Roman"/>
        </w:rPr>
        <w:t>.</w:t>
      </w:r>
    </w:p>
    <w:p w:rsidR="00997CDD" w:rsidRPr="00F03FC8" w:rsidRDefault="00997CDD" w:rsidP="00C3455C">
      <w:pPr>
        <w:jc w:val="both"/>
        <w:rPr>
          <w:rFonts w:ascii="Times New Roman" w:hAnsi="Times New Roman" w:cs="Times New Roman"/>
          <w:b/>
          <w:bCs/>
        </w:rPr>
      </w:pPr>
      <w:r w:rsidRPr="00F03FC8">
        <w:rPr>
          <w:rFonts w:ascii="Times New Roman" w:hAnsi="Times New Roman" w:cs="Times New Roman"/>
          <w:b/>
          <w:bCs/>
        </w:rPr>
        <w:lastRenderedPageBreak/>
        <w:t>References</w:t>
      </w:r>
    </w:p>
    <w:p w:rsidR="003D6EB4" w:rsidRDefault="003D6EB4" w:rsidP="003D3DB1">
      <w:pPr>
        <w:ind w:left="900" w:hanging="900"/>
        <w:jc w:val="both"/>
        <w:rPr>
          <w:rFonts w:ascii="Times New Roman" w:hAnsi="Times New Roman" w:cs="Times New Roman"/>
        </w:rPr>
      </w:pP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 xml:space="preserve">Ali, M., &amp; Mishra, J. P. (2000). Genetic improvement of </w:t>
      </w:r>
      <w:proofErr w:type="spellStart"/>
      <w:r w:rsidRPr="005B0440">
        <w:rPr>
          <w:rFonts w:ascii="Times New Roman" w:hAnsi="Times New Roman" w:cs="Times New Roman"/>
        </w:rPr>
        <w:t>mungbean</w:t>
      </w:r>
      <w:proofErr w:type="spellEnd"/>
      <w:r w:rsidRPr="005B0440">
        <w:rPr>
          <w:rFonts w:ascii="Times New Roman" w:hAnsi="Times New Roman" w:cs="Times New Roman"/>
        </w:rPr>
        <w:t xml:space="preserve"> and </w:t>
      </w:r>
      <w:proofErr w:type="spellStart"/>
      <w:r w:rsidRPr="005B0440">
        <w:rPr>
          <w:rFonts w:ascii="Times New Roman" w:hAnsi="Times New Roman" w:cs="Times New Roman"/>
        </w:rPr>
        <w:t>urdbean</w:t>
      </w:r>
      <w:proofErr w:type="spellEnd"/>
      <w:r w:rsidRPr="005B0440">
        <w:rPr>
          <w:rFonts w:ascii="Times New Roman" w:hAnsi="Times New Roman" w:cs="Times New Roman"/>
        </w:rPr>
        <w:t xml:space="preserve"> – Present status and future strategies. Indian Journal of Pulses Research, 13(1), 1–19.</w:t>
      </w:r>
    </w:p>
    <w:p w:rsidR="00D9469F" w:rsidRPr="005B0440" w:rsidRDefault="00D9469F" w:rsidP="00D9469F">
      <w:pPr>
        <w:pStyle w:val="NormalWeb"/>
        <w:ind w:left="900" w:hanging="900"/>
        <w:jc w:val="both"/>
      </w:pPr>
      <w:r w:rsidRPr="005B0440">
        <w:t xml:space="preserve">Bhatnagar, M., Choudhary, R. K., &amp; Sharma, A. (2007). Effect of land utilization techniques on crop productivity under intercropping system. </w:t>
      </w:r>
      <w:r w:rsidRPr="005B0440">
        <w:rPr>
          <w:rStyle w:val="Emphasis"/>
        </w:rPr>
        <w:t>Agricultural Science Digest</w:t>
      </w:r>
      <w:r w:rsidRPr="005B0440">
        <w:t xml:space="preserve">, </w:t>
      </w:r>
      <w:r w:rsidRPr="005B0440">
        <w:rPr>
          <w:rStyle w:val="Strong"/>
          <w:rFonts w:eastAsiaTheme="minorEastAsia"/>
          <w:b w:val="0"/>
          <w:bCs w:val="0"/>
        </w:rPr>
        <w:t>27</w:t>
      </w:r>
      <w:r w:rsidRPr="005B0440">
        <w:t>(2), 120–123.</w:t>
      </w: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 xml:space="preserve">Bhatt, B., Chandra, R., &amp; Pant, K. (2013). Effect of integrated nutrient management on soil properties and productivity of rice under rice–wheat cropping system in </w:t>
      </w:r>
      <w:proofErr w:type="spellStart"/>
      <w:r w:rsidRPr="005B0440">
        <w:rPr>
          <w:rFonts w:ascii="Times New Roman" w:hAnsi="Times New Roman" w:cs="Times New Roman"/>
        </w:rPr>
        <w:t>Mollisols</w:t>
      </w:r>
      <w:proofErr w:type="spellEnd"/>
      <w:r w:rsidRPr="005B0440">
        <w:rPr>
          <w:rFonts w:ascii="Times New Roman" w:hAnsi="Times New Roman" w:cs="Times New Roman"/>
        </w:rPr>
        <w:t xml:space="preserve"> of </w:t>
      </w:r>
      <w:proofErr w:type="spellStart"/>
      <w:r w:rsidRPr="005B0440">
        <w:rPr>
          <w:rFonts w:ascii="Times New Roman" w:hAnsi="Times New Roman" w:cs="Times New Roman"/>
        </w:rPr>
        <w:t>Uttarakhand</w:t>
      </w:r>
      <w:proofErr w:type="spellEnd"/>
      <w:r w:rsidRPr="005B0440">
        <w:rPr>
          <w:rFonts w:ascii="Times New Roman" w:hAnsi="Times New Roman" w:cs="Times New Roman"/>
        </w:rPr>
        <w:t>. Journal of the Indian Society of Soil Science, 61(2), 116–120.</w:t>
      </w:r>
    </w:p>
    <w:p w:rsidR="00D9469F" w:rsidRPr="005B0440" w:rsidRDefault="00D9469F" w:rsidP="00D9469F">
      <w:pPr>
        <w:pStyle w:val="NormalWeb"/>
        <w:ind w:left="900" w:hanging="900"/>
        <w:jc w:val="both"/>
      </w:pPr>
      <w:r w:rsidRPr="005B0440">
        <w:t xml:space="preserve">Bhuiyan, M. A. H., Rahman, M. H., </w:t>
      </w:r>
      <w:proofErr w:type="spellStart"/>
      <w:r w:rsidRPr="005B0440">
        <w:t>Afroze</w:t>
      </w:r>
      <w:proofErr w:type="spellEnd"/>
      <w:r w:rsidRPr="005B0440">
        <w:t xml:space="preserve">, F., &amp; </w:t>
      </w:r>
      <w:proofErr w:type="spellStart"/>
      <w:r w:rsidRPr="005B0440">
        <w:t>Alam</w:t>
      </w:r>
      <w:proofErr w:type="spellEnd"/>
      <w:r w:rsidRPr="005B0440">
        <w:t xml:space="preserve">, M. J. (2008). Effect of phosphorus, molybdenum and rhizobium inoculation on growth and nodulation of </w:t>
      </w:r>
      <w:proofErr w:type="spellStart"/>
      <w:r w:rsidRPr="005B0440">
        <w:t>mungbean</w:t>
      </w:r>
      <w:proofErr w:type="spellEnd"/>
      <w:r w:rsidRPr="005B0440">
        <w:t xml:space="preserve">. </w:t>
      </w:r>
      <w:r w:rsidRPr="005B0440">
        <w:rPr>
          <w:rStyle w:val="Emphasis"/>
        </w:rPr>
        <w:t>Journal of Soil and Nature</w:t>
      </w:r>
      <w:r w:rsidRPr="005B0440">
        <w:t xml:space="preserve">, </w:t>
      </w:r>
      <w:r w:rsidRPr="005B0440">
        <w:rPr>
          <w:rStyle w:val="Strong"/>
          <w:rFonts w:eastAsiaTheme="minorEastAsia"/>
          <w:b w:val="0"/>
          <w:bCs w:val="0"/>
        </w:rPr>
        <w:t>2</w:t>
      </w:r>
      <w:r w:rsidRPr="005B0440">
        <w:t>(1), 25–30.</w:t>
      </w:r>
    </w:p>
    <w:p w:rsidR="00D9469F" w:rsidRPr="005B0440" w:rsidRDefault="00D9469F" w:rsidP="00D9469F">
      <w:pPr>
        <w:pStyle w:val="NormalWeb"/>
        <w:ind w:left="900" w:hanging="900"/>
        <w:jc w:val="both"/>
      </w:pPr>
      <w:r w:rsidRPr="005B0440">
        <w:t xml:space="preserve">Chaudhary, R. P., Sharma, S. K., &amp; </w:t>
      </w:r>
      <w:proofErr w:type="spellStart"/>
      <w:r w:rsidRPr="005B0440">
        <w:t>Dahama</w:t>
      </w:r>
      <w:proofErr w:type="spellEnd"/>
      <w:r w:rsidRPr="005B0440">
        <w:t xml:space="preserve">, A. K. (2003). Yield components of </w:t>
      </w:r>
      <w:proofErr w:type="spellStart"/>
      <w:r w:rsidRPr="005B0440">
        <w:t>mungbean</w:t>
      </w:r>
      <w:proofErr w:type="spellEnd"/>
      <w:r w:rsidRPr="005B0440">
        <w:t xml:space="preserve"> (</w:t>
      </w:r>
      <w:proofErr w:type="spellStart"/>
      <w:r w:rsidRPr="005B0440">
        <w:rPr>
          <w:rStyle w:val="Emphasis"/>
        </w:rPr>
        <w:t>Vigna</w:t>
      </w:r>
      <w:proofErr w:type="spellEnd"/>
      <w:r w:rsidRPr="005B0440">
        <w:rPr>
          <w:rStyle w:val="Emphasis"/>
        </w:rPr>
        <w:t xml:space="preserve"> </w:t>
      </w:r>
      <w:proofErr w:type="spellStart"/>
      <w:r w:rsidRPr="005B0440">
        <w:rPr>
          <w:rStyle w:val="Emphasis"/>
        </w:rPr>
        <w:t>radiata</w:t>
      </w:r>
      <w:proofErr w:type="spellEnd"/>
      <w:r w:rsidRPr="005B0440">
        <w:t xml:space="preserve"> L. </w:t>
      </w:r>
      <w:proofErr w:type="spellStart"/>
      <w:r w:rsidRPr="005B0440">
        <w:t>Wilczek</w:t>
      </w:r>
      <w:proofErr w:type="spellEnd"/>
      <w:r w:rsidRPr="005B0440">
        <w:t xml:space="preserve">) as influenced by phosphorus and thiourea. </w:t>
      </w:r>
      <w:r w:rsidRPr="005B0440">
        <w:rPr>
          <w:rStyle w:val="Emphasis"/>
        </w:rPr>
        <w:t>Annals of Agricultural Research</w:t>
      </w:r>
      <w:r w:rsidRPr="005B0440">
        <w:t xml:space="preserve">, </w:t>
      </w:r>
      <w:r w:rsidRPr="005B0440">
        <w:rPr>
          <w:rStyle w:val="Strong"/>
          <w:rFonts w:eastAsiaTheme="minorEastAsia"/>
          <w:b w:val="0"/>
          <w:bCs w:val="0"/>
        </w:rPr>
        <w:t>24</w:t>
      </w:r>
      <w:r w:rsidRPr="005B0440">
        <w:t>, 203–204.</w:t>
      </w:r>
    </w:p>
    <w:p w:rsidR="00D9469F" w:rsidRPr="005B0440" w:rsidRDefault="00D9469F" w:rsidP="00D9469F">
      <w:pPr>
        <w:pStyle w:val="NormalWeb"/>
        <w:ind w:left="900" w:hanging="900"/>
        <w:jc w:val="both"/>
      </w:pPr>
      <w:r w:rsidRPr="005B0440">
        <w:t xml:space="preserve">Cochran, W. G., &amp; Cox, G. M. (1957). </w:t>
      </w:r>
      <w:r w:rsidRPr="005B0440">
        <w:rPr>
          <w:rStyle w:val="Emphasis"/>
        </w:rPr>
        <w:t>Experimental designs</w:t>
      </w:r>
      <w:r w:rsidRPr="005B0440">
        <w:t xml:space="preserve"> (2nd ed.). New York: Wiley.</w:t>
      </w:r>
    </w:p>
    <w:p w:rsidR="00D9469F" w:rsidRPr="005B0440" w:rsidRDefault="00D9469F" w:rsidP="00D9469F">
      <w:pPr>
        <w:pStyle w:val="NormalWeb"/>
        <w:ind w:left="900" w:hanging="900"/>
        <w:jc w:val="both"/>
      </w:pPr>
      <w:proofErr w:type="spellStart"/>
      <w:r w:rsidRPr="005B0440">
        <w:t>Dhakal</w:t>
      </w:r>
      <w:proofErr w:type="spellEnd"/>
      <w:r w:rsidRPr="005B0440">
        <w:t xml:space="preserve">, Y., Meena, R. S., &amp; Kumar, S. (2016). Effect of INM on nodulation, yield, quality and available nutrient status in soil after harvest of green gram. </w:t>
      </w:r>
      <w:r w:rsidRPr="005B0440">
        <w:rPr>
          <w:rStyle w:val="Emphasis"/>
        </w:rPr>
        <w:t>Legume Research: An International Journal</w:t>
      </w:r>
      <w:r w:rsidRPr="005B0440">
        <w:t xml:space="preserve">, </w:t>
      </w:r>
      <w:r w:rsidRPr="005B0440">
        <w:rPr>
          <w:rStyle w:val="Strong"/>
          <w:rFonts w:eastAsiaTheme="minorEastAsia"/>
          <w:b w:val="0"/>
          <w:bCs w:val="0"/>
        </w:rPr>
        <w:t>39</w:t>
      </w:r>
      <w:r w:rsidRPr="005B0440">
        <w:t>(4), 590–594.</w:t>
      </w: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 xml:space="preserve">Ghosh, P. K., Ramesh, P., Bandyopadhyay, K. K., Tripathi, A. K., </w:t>
      </w:r>
      <w:proofErr w:type="spellStart"/>
      <w:r w:rsidRPr="005B0440">
        <w:rPr>
          <w:rFonts w:ascii="Times New Roman" w:hAnsi="Times New Roman" w:cs="Times New Roman"/>
        </w:rPr>
        <w:t>Hati</w:t>
      </w:r>
      <w:proofErr w:type="spellEnd"/>
      <w:r w:rsidRPr="005B0440">
        <w:rPr>
          <w:rFonts w:ascii="Times New Roman" w:hAnsi="Times New Roman" w:cs="Times New Roman"/>
        </w:rPr>
        <w:t xml:space="preserve">, K. M., &amp; </w:t>
      </w:r>
      <w:proofErr w:type="spellStart"/>
      <w:r w:rsidRPr="005B0440">
        <w:rPr>
          <w:rFonts w:ascii="Times New Roman" w:hAnsi="Times New Roman" w:cs="Times New Roman"/>
        </w:rPr>
        <w:t>Misra</w:t>
      </w:r>
      <w:proofErr w:type="spellEnd"/>
      <w:r w:rsidRPr="005B0440">
        <w:rPr>
          <w:rFonts w:ascii="Times New Roman" w:hAnsi="Times New Roman" w:cs="Times New Roman"/>
        </w:rPr>
        <w:t xml:space="preserve">, A. K. (2004). Comparative effectiveness of cattle manure, poultry manure, </w:t>
      </w:r>
      <w:proofErr w:type="spellStart"/>
      <w:r w:rsidRPr="005B0440">
        <w:rPr>
          <w:rFonts w:ascii="Times New Roman" w:hAnsi="Times New Roman" w:cs="Times New Roman"/>
        </w:rPr>
        <w:t>phosphocompost</w:t>
      </w:r>
      <w:proofErr w:type="spellEnd"/>
      <w:r w:rsidRPr="005B0440">
        <w:rPr>
          <w:rFonts w:ascii="Times New Roman" w:hAnsi="Times New Roman" w:cs="Times New Roman"/>
        </w:rPr>
        <w:t xml:space="preserve"> and fertilizer-NPK on three cropping systems in </w:t>
      </w:r>
      <w:proofErr w:type="spellStart"/>
      <w:r w:rsidRPr="005B0440">
        <w:rPr>
          <w:rFonts w:ascii="Times New Roman" w:hAnsi="Times New Roman" w:cs="Times New Roman"/>
        </w:rPr>
        <w:t>vertisols</w:t>
      </w:r>
      <w:proofErr w:type="spellEnd"/>
      <w:r w:rsidRPr="005B0440">
        <w:rPr>
          <w:rFonts w:ascii="Times New Roman" w:hAnsi="Times New Roman" w:cs="Times New Roman"/>
        </w:rPr>
        <w:t xml:space="preserve"> of semi-arid tropics. Bioresource Technology, 95(1), 77–83.</w:t>
      </w:r>
    </w:p>
    <w:p w:rsidR="00D9469F" w:rsidRPr="005B0440" w:rsidRDefault="00D9469F" w:rsidP="00D9469F">
      <w:pPr>
        <w:pStyle w:val="NormalWeb"/>
        <w:ind w:left="900" w:hanging="900"/>
        <w:jc w:val="both"/>
      </w:pPr>
      <w:r w:rsidRPr="005B0440">
        <w:t xml:space="preserve">Gill, A. S., &amp; </w:t>
      </w:r>
      <w:proofErr w:type="spellStart"/>
      <w:r w:rsidRPr="005B0440">
        <w:t>Bisaria</w:t>
      </w:r>
      <w:proofErr w:type="spellEnd"/>
      <w:r w:rsidRPr="005B0440">
        <w:t xml:space="preserve">, A. K. (1995). </w:t>
      </w:r>
      <w:proofErr w:type="spellStart"/>
      <w:r w:rsidRPr="005B0440">
        <w:t>Agri-horti</w:t>
      </w:r>
      <w:proofErr w:type="spellEnd"/>
      <w:r w:rsidRPr="005B0440">
        <w:t xml:space="preserve"> system: An effective way of utilizing the marginal land. </w:t>
      </w:r>
      <w:r w:rsidRPr="005B0440">
        <w:rPr>
          <w:rStyle w:val="Emphasis"/>
        </w:rPr>
        <w:t>Indian Journal of Agroforestry</w:t>
      </w:r>
      <w:r w:rsidRPr="005B0440">
        <w:t xml:space="preserve">, </w:t>
      </w:r>
      <w:r w:rsidRPr="005B0440">
        <w:rPr>
          <w:rStyle w:val="Strong"/>
          <w:rFonts w:eastAsiaTheme="minorEastAsia"/>
          <w:b w:val="0"/>
          <w:bCs w:val="0"/>
        </w:rPr>
        <w:t>1</w:t>
      </w:r>
      <w:r w:rsidRPr="005B0440">
        <w:t>(2), 155–159.</w:t>
      </w:r>
    </w:p>
    <w:p w:rsidR="00D9469F" w:rsidRPr="005B0440" w:rsidRDefault="00D9469F" w:rsidP="00D9469F">
      <w:pPr>
        <w:pStyle w:val="NormalWeb"/>
        <w:ind w:left="900" w:hanging="900"/>
        <w:jc w:val="both"/>
      </w:pPr>
      <w:proofErr w:type="spellStart"/>
      <w:r w:rsidRPr="005B0440">
        <w:t>Gorade</w:t>
      </w:r>
      <w:proofErr w:type="spellEnd"/>
      <w:r w:rsidRPr="005B0440">
        <w:t xml:space="preserve">, V. N., Chavan, L. S., Jagtap, D. N., &amp; </w:t>
      </w:r>
      <w:proofErr w:type="spellStart"/>
      <w:r w:rsidRPr="005B0440">
        <w:t>Kolekar</w:t>
      </w:r>
      <w:proofErr w:type="spellEnd"/>
      <w:r w:rsidRPr="005B0440">
        <w:t>, A. B. (2014). Response of green gram (</w:t>
      </w:r>
      <w:r w:rsidRPr="005B0440">
        <w:rPr>
          <w:rStyle w:val="Emphasis"/>
        </w:rPr>
        <w:t>Vigna radiata</w:t>
      </w:r>
      <w:r w:rsidRPr="005B0440">
        <w:t xml:space="preserve"> L.) varieties to integrated nutrient management in summer season. </w:t>
      </w:r>
      <w:r w:rsidRPr="005B0440">
        <w:rPr>
          <w:rStyle w:val="Emphasis"/>
        </w:rPr>
        <w:t>Agricultural Science Digest</w:t>
      </w:r>
      <w:r w:rsidRPr="005B0440">
        <w:t xml:space="preserve">, </w:t>
      </w:r>
      <w:r w:rsidRPr="005B0440">
        <w:rPr>
          <w:rStyle w:val="Strong"/>
          <w:rFonts w:eastAsiaTheme="minorEastAsia"/>
          <w:b w:val="0"/>
          <w:bCs w:val="0"/>
        </w:rPr>
        <w:t>34</w:t>
      </w:r>
      <w:r w:rsidRPr="005B0440">
        <w:t>(1), 36–40.</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Jordan, C. F. (2024). Socioeconomics of Agroforestry for Coffee Production: Economic and Environmental Implications. In </w:t>
      </w:r>
      <w:r w:rsidRPr="00D9469F">
        <w:rPr>
          <w:rFonts w:ascii="Times New Roman" w:hAnsi="Times New Roman" w:cs="Times New Roman"/>
          <w:i/>
          <w:iCs/>
          <w:color w:val="222222"/>
          <w:shd w:val="clear" w:color="auto" w:fill="FFFFFF"/>
        </w:rPr>
        <w:t>Integrating Landscapes: Agroforestry for Biodiversity Conservation and Food Sovereignty</w:t>
      </w:r>
      <w:r w:rsidRPr="00D9469F">
        <w:rPr>
          <w:rFonts w:ascii="Times New Roman" w:hAnsi="Times New Roman" w:cs="Times New Roman"/>
          <w:color w:val="222222"/>
          <w:shd w:val="clear" w:color="auto" w:fill="FFFFFF"/>
        </w:rPr>
        <w:t> (pp. 307-319). Cham: Springer International Publishing.</w:t>
      </w:r>
    </w:p>
    <w:p w:rsidR="00D9469F" w:rsidRPr="005B0440" w:rsidRDefault="00D9469F" w:rsidP="00D9469F">
      <w:pPr>
        <w:pStyle w:val="NormalWeb"/>
        <w:ind w:left="900" w:hanging="900"/>
        <w:jc w:val="both"/>
      </w:pPr>
      <w:proofErr w:type="spellStart"/>
      <w:r w:rsidRPr="005B0440">
        <w:lastRenderedPageBreak/>
        <w:t>Kalaiyarasi</w:t>
      </w:r>
      <w:proofErr w:type="spellEnd"/>
      <w:r w:rsidRPr="005B0440">
        <w:t xml:space="preserve">, S., </w:t>
      </w:r>
      <w:proofErr w:type="spellStart"/>
      <w:r w:rsidRPr="005B0440">
        <w:t>Avudaithai</w:t>
      </w:r>
      <w:proofErr w:type="spellEnd"/>
      <w:r w:rsidRPr="005B0440">
        <w:t xml:space="preserve">, S., Somasundaram, S., &amp; Sundar, M. (2019). Effect of INM on chemical properties of soil, nutrient uptake and yield of green gram in sodic soil. </w:t>
      </w:r>
      <w:r w:rsidRPr="005B0440">
        <w:rPr>
          <w:rStyle w:val="Emphasis"/>
        </w:rPr>
        <w:t>International Journal of Chemical Studies</w:t>
      </w:r>
      <w:r w:rsidRPr="005B0440">
        <w:t xml:space="preserve">, </w:t>
      </w:r>
      <w:r w:rsidRPr="005B0440">
        <w:rPr>
          <w:rStyle w:val="Strong"/>
          <w:rFonts w:eastAsiaTheme="minorEastAsia"/>
          <w:b w:val="0"/>
          <w:bCs w:val="0"/>
        </w:rPr>
        <w:t>7</w:t>
      </w:r>
      <w:r w:rsidRPr="005B0440">
        <w:t>(3), 2053–2055.</w:t>
      </w:r>
    </w:p>
    <w:p w:rsidR="00D9469F" w:rsidRPr="005B0440" w:rsidRDefault="00D9469F" w:rsidP="00D9469F">
      <w:pPr>
        <w:pStyle w:val="NormalWeb"/>
        <w:ind w:left="900" w:hanging="900"/>
        <w:jc w:val="both"/>
      </w:pPr>
      <w:r w:rsidRPr="005B0440">
        <w:t xml:space="preserve">Khan, V. M., </w:t>
      </w:r>
      <w:proofErr w:type="spellStart"/>
      <w:r w:rsidRPr="005B0440">
        <w:t>Ahamad</w:t>
      </w:r>
      <w:proofErr w:type="spellEnd"/>
      <w:r w:rsidRPr="005B0440">
        <w:t>, A., Yadav, B. L., &amp; Irfan, M. (2017). Effect of vermicompost and bio-fertilizers on yield attributes and nutrient content and its uptake of cowpea (</w:t>
      </w:r>
      <w:proofErr w:type="spellStart"/>
      <w:r w:rsidRPr="005B0440">
        <w:rPr>
          <w:rStyle w:val="Emphasis"/>
        </w:rPr>
        <w:t>Vigna</w:t>
      </w:r>
      <w:proofErr w:type="spellEnd"/>
      <w:r w:rsidRPr="005B0440">
        <w:rPr>
          <w:rStyle w:val="Emphasis"/>
        </w:rPr>
        <w:t xml:space="preserve"> </w:t>
      </w:r>
      <w:proofErr w:type="spellStart"/>
      <w:r w:rsidRPr="005B0440">
        <w:rPr>
          <w:rStyle w:val="Emphasis"/>
        </w:rPr>
        <w:t>unguiculata</w:t>
      </w:r>
      <w:proofErr w:type="spellEnd"/>
      <w:r w:rsidRPr="005B0440">
        <w:t xml:space="preserve"> L. </w:t>
      </w:r>
      <w:proofErr w:type="spellStart"/>
      <w:r w:rsidRPr="005B0440">
        <w:t>Walp</w:t>
      </w:r>
      <w:proofErr w:type="spellEnd"/>
      <w:r w:rsidRPr="005B0440">
        <w:t xml:space="preserve">.). </w:t>
      </w:r>
      <w:r w:rsidRPr="005B0440">
        <w:rPr>
          <w:rStyle w:val="Emphasis"/>
        </w:rPr>
        <w:t>International Journal of Current Microbiology and Applied Sciences</w:t>
      </w:r>
      <w:r w:rsidRPr="005B0440">
        <w:t xml:space="preserve">, </w:t>
      </w:r>
      <w:r w:rsidRPr="005B0440">
        <w:rPr>
          <w:rStyle w:val="Strong"/>
          <w:rFonts w:eastAsiaTheme="minorEastAsia"/>
          <w:b w:val="0"/>
          <w:bCs w:val="0"/>
        </w:rPr>
        <w:t>6</w:t>
      </w:r>
      <w:r w:rsidRPr="005B0440">
        <w:t>(6), 1045–1050.</w:t>
      </w:r>
    </w:p>
    <w:p w:rsidR="00D9469F" w:rsidRPr="005B0440" w:rsidRDefault="00D9469F" w:rsidP="00D9469F">
      <w:pPr>
        <w:ind w:left="900" w:hanging="900"/>
        <w:jc w:val="both"/>
        <w:rPr>
          <w:rFonts w:ascii="Times New Roman" w:hAnsi="Times New Roman" w:cs="Times New Roman"/>
        </w:rPr>
      </w:pPr>
      <w:proofErr w:type="spellStart"/>
      <w:r w:rsidRPr="005B0440">
        <w:rPr>
          <w:rFonts w:ascii="Times New Roman" w:hAnsi="Times New Roman" w:cs="Times New Roman"/>
        </w:rPr>
        <w:t>Khandaker</w:t>
      </w:r>
      <w:proofErr w:type="spellEnd"/>
      <w:r w:rsidRPr="005B0440">
        <w:rPr>
          <w:rFonts w:ascii="Times New Roman" w:hAnsi="Times New Roman" w:cs="Times New Roman"/>
        </w:rPr>
        <w:t xml:space="preserve">, M. M., Boyce, A. N., &amp; Osman, N. (2016). Nutritional and medicinal aspects of </w:t>
      </w:r>
      <w:proofErr w:type="spellStart"/>
      <w:r w:rsidRPr="005B0440">
        <w:rPr>
          <w:rFonts w:ascii="Times New Roman" w:hAnsi="Times New Roman" w:cs="Times New Roman"/>
        </w:rPr>
        <w:t>mungbean</w:t>
      </w:r>
      <w:proofErr w:type="spellEnd"/>
      <w:r w:rsidRPr="005B0440">
        <w:rPr>
          <w:rFonts w:ascii="Times New Roman" w:hAnsi="Times New Roman" w:cs="Times New Roman"/>
        </w:rPr>
        <w:t>: A review. Journal of Food Science and Nutrition, 4(2), 1–8.</w:t>
      </w:r>
    </w:p>
    <w:p w:rsidR="00D9469F" w:rsidRPr="005B0440" w:rsidRDefault="00D9469F" w:rsidP="00D9469F">
      <w:pPr>
        <w:pStyle w:val="NormalWeb"/>
        <w:ind w:left="900" w:hanging="900"/>
        <w:jc w:val="both"/>
      </w:pPr>
      <w:r w:rsidRPr="005B0440">
        <w:t>Kumari, M. S., &amp; Kumari, U. K. (2002). Effect of vermicompost enriched with rock phosphate on the yield and uptake of nutrients in cowpea (</w:t>
      </w:r>
      <w:proofErr w:type="spellStart"/>
      <w:r w:rsidRPr="005B0440">
        <w:rPr>
          <w:rStyle w:val="Emphasis"/>
        </w:rPr>
        <w:t>Vigna</w:t>
      </w:r>
      <w:proofErr w:type="spellEnd"/>
      <w:r w:rsidRPr="005B0440">
        <w:rPr>
          <w:rStyle w:val="Emphasis"/>
        </w:rPr>
        <w:t xml:space="preserve"> </w:t>
      </w:r>
      <w:proofErr w:type="spellStart"/>
      <w:r w:rsidRPr="005B0440">
        <w:rPr>
          <w:rStyle w:val="Emphasis"/>
        </w:rPr>
        <w:t>unguiculata</w:t>
      </w:r>
      <w:proofErr w:type="spellEnd"/>
      <w:r w:rsidRPr="005B0440">
        <w:t xml:space="preserve"> L. </w:t>
      </w:r>
      <w:proofErr w:type="spellStart"/>
      <w:r w:rsidRPr="005B0440">
        <w:t>Walp</w:t>
      </w:r>
      <w:proofErr w:type="spellEnd"/>
      <w:r w:rsidRPr="005B0440">
        <w:t xml:space="preserve">.). </w:t>
      </w:r>
      <w:r w:rsidRPr="005B0440">
        <w:rPr>
          <w:rStyle w:val="Emphasis"/>
        </w:rPr>
        <w:t>Journal of Tropical Agriculture</w:t>
      </w:r>
      <w:r w:rsidRPr="005B0440">
        <w:t xml:space="preserve">, </w:t>
      </w:r>
      <w:r w:rsidRPr="005B0440">
        <w:rPr>
          <w:rStyle w:val="Strong"/>
          <w:rFonts w:eastAsiaTheme="minorEastAsia"/>
          <w:b w:val="0"/>
          <w:bCs w:val="0"/>
        </w:rPr>
        <w:t>40</w:t>
      </w:r>
      <w:r w:rsidRPr="005B0440">
        <w:t>, 27–30.</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spellStart"/>
      <w:r w:rsidRPr="00D9469F">
        <w:rPr>
          <w:rFonts w:ascii="Times New Roman" w:hAnsi="Times New Roman" w:cs="Times New Roman"/>
          <w:color w:val="222222"/>
          <w:shd w:val="clear" w:color="auto" w:fill="FFFFFF"/>
        </w:rPr>
        <w:t>Lucena</w:t>
      </w:r>
      <w:proofErr w:type="spellEnd"/>
      <w:r w:rsidRPr="00D9469F">
        <w:rPr>
          <w:rFonts w:ascii="Times New Roman" w:hAnsi="Times New Roman" w:cs="Times New Roman"/>
          <w:color w:val="222222"/>
          <w:shd w:val="clear" w:color="auto" w:fill="FFFFFF"/>
        </w:rPr>
        <w:t xml:space="preserve">, F. R., de Andrade, J. R., Santos, C. F., Pinheiro, M. V. M., Barroso, D. G., Braun, H., ... &amp; de </w:t>
      </w:r>
      <w:proofErr w:type="spellStart"/>
      <w:r w:rsidRPr="00D9469F">
        <w:rPr>
          <w:rFonts w:ascii="Times New Roman" w:hAnsi="Times New Roman" w:cs="Times New Roman"/>
          <w:color w:val="222222"/>
          <w:shd w:val="clear" w:color="auto" w:fill="FFFFFF"/>
        </w:rPr>
        <w:t>Assis</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Figueiredo</w:t>
      </w:r>
      <w:proofErr w:type="spellEnd"/>
      <w:r w:rsidRPr="00D9469F">
        <w:rPr>
          <w:rFonts w:ascii="Times New Roman" w:hAnsi="Times New Roman" w:cs="Times New Roman"/>
          <w:color w:val="222222"/>
          <w:shd w:val="clear" w:color="auto" w:fill="FFFFFF"/>
        </w:rPr>
        <w:t xml:space="preserve">, F. A. M. M. (2024). Agroforestry systems with </w:t>
      </w:r>
      <w:proofErr w:type="spellStart"/>
      <w:r w:rsidRPr="00D9469F">
        <w:rPr>
          <w:rFonts w:ascii="Times New Roman" w:hAnsi="Times New Roman" w:cs="Times New Roman"/>
          <w:color w:val="222222"/>
          <w:shd w:val="clear" w:color="auto" w:fill="FFFFFF"/>
        </w:rPr>
        <w:t>Khaya</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ivorensis</w:t>
      </w:r>
      <w:proofErr w:type="spellEnd"/>
      <w:r w:rsidRPr="00D9469F">
        <w:rPr>
          <w:rFonts w:ascii="Times New Roman" w:hAnsi="Times New Roman" w:cs="Times New Roman"/>
          <w:color w:val="222222"/>
          <w:shd w:val="clear" w:color="auto" w:fill="FFFFFF"/>
        </w:rPr>
        <w:t xml:space="preserve"> provide improved tree growth and economic benefits to rural producers. </w:t>
      </w:r>
      <w:r w:rsidRPr="00D9469F">
        <w:rPr>
          <w:rFonts w:ascii="Times New Roman" w:hAnsi="Times New Roman" w:cs="Times New Roman"/>
          <w:i/>
          <w:iCs/>
          <w:color w:val="222222"/>
          <w:shd w:val="clear" w:color="auto" w:fill="FFFFFF"/>
        </w:rPr>
        <w:t>Agroforestry Systems</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98</w:t>
      </w:r>
      <w:r w:rsidRPr="00D9469F">
        <w:rPr>
          <w:rFonts w:ascii="Times New Roman" w:hAnsi="Times New Roman" w:cs="Times New Roman"/>
          <w:color w:val="222222"/>
          <w:shd w:val="clear" w:color="auto" w:fill="FFFFFF"/>
        </w:rPr>
        <w:t>(5), 1211-1224.</w:t>
      </w:r>
    </w:p>
    <w:p w:rsidR="00D9469F" w:rsidRPr="005B0440" w:rsidRDefault="00D9469F" w:rsidP="00D9469F">
      <w:pPr>
        <w:pStyle w:val="NormalWeb"/>
        <w:ind w:left="900" w:hanging="900"/>
        <w:jc w:val="both"/>
      </w:pPr>
      <w:r w:rsidRPr="005B0440">
        <w:t xml:space="preserve">Meena, R. S., </w:t>
      </w:r>
      <w:proofErr w:type="spellStart"/>
      <w:r w:rsidRPr="005B0440">
        <w:t>Dhakal</w:t>
      </w:r>
      <w:proofErr w:type="spellEnd"/>
      <w:r w:rsidRPr="005B0440">
        <w:t xml:space="preserve">, Y., Bohra, J. S., Singh, S. P., Singh, M. K., &amp; </w:t>
      </w:r>
      <w:proofErr w:type="spellStart"/>
      <w:r w:rsidRPr="005B0440">
        <w:t>Sanodiya</w:t>
      </w:r>
      <w:proofErr w:type="spellEnd"/>
      <w:r w:rsidRPr="005B0440">
        <w:t xml:space="preserve">, P. (2015). Influence of bioinorganic combinations on yield, quality and economics of </w:t>
      </w:r>
      <w:proofErr w:type="spellStart"/>
      <w:r w:rsidRPr="005B0440">
        <w:t>mungbean</w:t>
      </w:r>
      <w:proofErr w:type="spellEnd"/>
      <w:r w:rsidRPr="005B0440">
        <w:t xml:space="preserve">. </w:t>
      </w:r>
      <w:r w:rsidRPr="005B0440">
        <w:rPr>
          <w:rStyle w:val="Emphasis"/>
        </w:rPr>
        <w:t>American Journal of Experimental Agriculture</w:t>
      </w:r>
      <w:r w:rsidRPr="005B0440">
        <w:t xml:space="preserve">, </w:t>
      </w:r>
      <w:r w:rsidRPr="005B0440">
        <w:rPr>
          <w:rStyle w:val="Strong"/>
          <w:rFonts w:eastAsiaTheme="minorEastAsia"/>
          <w:b w:val="0"/>
          <w:bCs w:val="0"/>
        </w:rPr>
        <w:t>8</w:t>
      </w:r>
      <w:r w:rsidRPr="005B0440">
        <w:t>, 159–166.</w:t>
      </w:r>
    </w:p>
    <w:p w:rsidR="00D9469F" w:rsidRPr="005B0440" w:rsidRDefault="00D9469F" w:rsidP="00D9469F">
      <w:pPr>
        <w:pStyle w:val="NormalWeb"/>
        <w:ind w:left="900" w:hanging="900"/>
        <w:jc w:val="both"/>
      </w:pPr>
      <w:r w:rsidRPr="005B0440">
        <w:t xml:space="preserve">Meena, R. S., </w:t>
      </w:r>
      <w:proofErr w:type="spellStart"/>
      <w:r w:rsidRPr="005B0440">
        <w:t>Ramawatar</w:t>
      </w:r>
      <w:proofErr w:type="spellEnd"/>
      <w:r w:rsidRPr="005B0440">
        <w:t xml:space="preserve">, K., Meena, V. S., &amp; Ram, K. (2013). Effect of organic and inorganic sources of nutrients on yield, nutrient uptake and nutrient status of soil after harvest of green gram. </w:t>
      </w:r>
      <w:r w:rsidRPr="005B0440">
        <w:rPr>
          <w:rStyle w:val="Emphasis"/>
        </w:rPr>
        <w:t>An Asian Journal of Soil Science</w:t>
      </w:r>
      <w:r w:rsidRPr="005B0440">
        <w:t xml:space="preserve">, </w:t>
      </w:r>
      <w:r w:rsidRPr="005B0440">
        <w:rPr>
          <w:rStyle w:val="Strong"/>
          <w:rFonts w:eastAsiaTheme="minorEastAsia"/>
          <w:b w:val="0"/>
          <w:bCs w:val="0"/>
        </w:rPr>
        <w:t>8</w:t>
      </w:r>
      <w:r w:rsidRPr="005B0440">
        <w:t>, 80–83.</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spellStart"/>
      <w:r w:rsidRPr="00D9469F">
        <w:rPr>
          <w:rFonts w:ascii="Times New Roman" w:hAnsi="Times New Roman" w:cs="Times New Roman"/>
          <w:color w:val="222222"/>
          <w:shd w:val="clear" w:color="auto" w:fill="FFFFFF"/>
        </w:rPr>
        <w:t>Nadi</w:t>
      </w:r>
      <w:proofErr w:type="spellEnd"/>
      <w:r w:rsidRPr="00D9469F">
        <w:rPr>
          <w:rFonts w:ascii="Times New Roman" w:hAnsi="Times New Roman" w:cs="Times New Roman"/>
          <w:color w:val="222222"/>
          <w:shd w:val="clear" w:color="auto" w:fill="FFFFFF"/>
        </w:rPr>
        <w:t>, F. (2023). Presenting a new approach for energy-exergy-environmental-economic evaluation of agroecosystems: a case study of the mung bean crop rotation. </w:t>
      </w:r>
      <w:r w:rsidRPr="00D9469F">
        <w:rPr>
          <w:rFonts w:ascii="Times New Roman" w:hAnsi="Times New Roman" w:cs="Times New Roman"/>
          <w:i/>
          <w:iCs/>
          <w:color w:val="222222"/>
          <w:shd w:val="clear" w:color="auto" w:fill="FFFFFF"/>
        </w:rPr>
        <w:t>Clean Technologies and Environmental Policy</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25</w:t>
      </w:r>
      <w:r w:rsidRPr="00D9469F">
        <w:rPr>
          <w:rFonts w:ascii="Times New Roman" w:hAnsi="Times New Roman" w:cs="Times New Roman"/>
          <w:color w:val="222222"/>
          <w:shd w:val="clear" w:color="auto" w:fill="FFFFFF"/>
        </w:rPr>
        <w:t>(10), 3437-3450.</w:t>
      </w: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Pal, S. K., Kumar, R., &amp; Singh, P. (2014). Agroforestry practices and soil quality in Vindhyan region of Uttar Pradesh. Indian Journal of Agroforestry, 16(2), 87–92.</w:t>
      </w:r>
    </w:p>
    <w:p w:rsidR="00D9469F" w:rsidRPr="005B0440" w:rsidRDefault="00D9469F" w:rsidP="00D9469F">
      <w:pPr>
        <w:pStyle w:val="NormalWeb"/>
        <w:ind w:left="900" w:hanging="900"/>
        <w:jc w:val="both"/>
      </w:pPr>
      <w:r w:rsidRPr="005B0440">
        <w:t xml:space="preserve">Pal, S., Das, A., Kumar, A., &amp; Munda, G. C. (2014). Productivity and profitability of </w:t>
      </w:r>
      <w:proofErr w:type="spellStart"/>
      <w:r w:rsidRPr="005B0440">
        <w:t>agri</w:t>
      </w:r>
      <w:proofErr w:type="spellEnd"/>
      <w:r w:rsidRPr="005B0440">
        <w:t xml:space="preserve">-horticultural systems in eastern plateau and hill region of India. </w:t>
      </w:r>
      <w:r w:rsidRPr="005B0440">
        <w:rPr>
          <w:rStyle w:val="Emphasis"/>
        </w:rPr>
        <w:t>Indian Journal of Agroforestry</w:t>
      </w:r>
      <w:r w:rsidRPr="005B0440">
        <w:t xml:space="preserve">, </w:t>
      </w:r>
      <w:r w:rsidRPr="005B0440">
        <w:rPr>
          <w:rStyle w:val="Strong"/>
          <w:rFonts w:eastAsiaTheme="minorEastAsia"/>
          <w:b w:val="0"/>
          <w:bCs w:val="0"/>
        </w:rPr>
        <w:t>16</w:t>
      </w:r>
      <w:r w:rsidRPr="005B0440">
        <w:t>(1), 75–79.</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proofErr w:type="spellStart"/>
      <w:r w:rsidRPr="00D9469F">
        <w:rPr>
          <w:rFonts w:ascii="Times New Roman" w:hAnsi="Times New Roman" w:cs="Times New Roman"/>
          <w:color w:val="222222"/>
          <w:shd w:val="clear" w:color="auto" w:fill="FFFFFF"/>
        </w:rPr>
        <w:t>Parasriya</w:t>
      </w:r>
      <w:proofErr w:type="spellEnd"/>
      <w:r w:rsidRPr="00D9469F">
        <w:rPr>
          <w:rFonts w:ascii="Times New Roman" w:hAnsi="Times New Roman" w:cs="Times New Roman"/>
          <w:color w:val="222222"/>
          <w:shd w:val="clear" w:color="auto" w:fill="FFFFFF"/>
        </w:rPr>
        <w:t xml:space="preserve">, R., Tiwari, P., </w:t>
      </w:r>
      <w:proofErr w:type="spellStart"/>
      <w:r w:rsidRPr="00D9469F">
        <w:rPr>
          <w:rFonts w:ascii="Times New Roman" w:hAnsi="Times New Roman" w:cs="Times New Roman"/>
          <w:color w:val="222222"/>
          <w:shd w:val="clear" w:color="auto" w:fill="FFFFFF"/>
        </w:rPr>
        <w:t>Dobriyal</w:t>
      </w:r>
      <w:proofErr w:type="spellEnd"/>
      <w:r w:rsidRPr="00D9469F">
        <w:rPr>
          <w:rFonts w:ascii="Times New Roman" w:hAnsi="Times New Roman" w:cs="Times New Roman"/>
          <w:color w:val="222222"/>
          <w:shd w:val="clear" w:color="auto" w:fill="FFFFFF"/>
        </w:rPr>
        <w:t xml:space="preserve">, M. J., Yadav, R. P., Kumar, N., Gautam, S. K., &amp; Behera, S. (2022). Effect of planting geometry on growth and yield parameters of mung bean (Vigna radiata L.) </w:t>
      </w:r>
      <w:r w:rsidRPr="00D9469F">
        <w:rPr>
          <w:rFonts w:ascii="Times New Roman" w:hAnsi="Times New Roman" w:cs="Times New Roman"/>
          <w:color w:val="222222"/>
          <w:shd w:val="clear" w:color="auto" w:fill="FFFFFF"/>
        </w:rPr>
        <w:lastRenderedPageBreak/>
        <w:t xml:space="preserve">under Malabar </w:t>
      </w:r>
      <w:proofErr w:type="spellStart"/>
      <w:r w:rsidRPr="00D9469F">
        <w:rPr>
          <w:rFonts w:ascii="Times New Roman" w:hAnsi="Times New Roman" w:cs="Times New Roman"/>
          <w:color w:val="222222"/>
          <w:shd w:val="clear" w:color="auto" w:fill="FFFFFF"/>
        </w:rPr>
        <w:t>Neem</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Melia</w:t>
      </w:r>
      <w:proofErr w:type="spellEnd"/>
      <w:r w:rsidRPr="00D9469F">
        <w:rPr>
          <w:rFonts w:ascii="Times New Roman" w:hAnsi="Times New Roman" w:cs="Times New Roman"/>
          <w:color w:val="222222"/>
          <w:shd w:val="clear" w:color="auto" w:fill="FFFFFF"/>
        </w:rPr>
        <w:t xml:space="preserve"> </w:t>
      </w:r>
      <w:proofErr w:type="spellStart"/>
      <w:r w:rsidRPr="00D9469F">
        <w:rPr>
          <w:rFonts w:ascii="Times New Roman" w:hAnsi="Times New Roman" w:cs="Times New Roman"/>
          <w:color w:val="222222"/>
          <w:shd w:val="clear" w:color="auto" w:fill="FFFFFF"/>
        </w:rPr>
        <w:t>dubia</w:t>
      </w:r>
      <w:proofErr w:type="spellEnd"/>
      <w:r w:rsidRPr="00D9469F">
        <w:rPr>
          <w:rFonts w:ascii="Times New Roman" w:hAnsi="Times New Roman" w:cs="Times New Roman"/>
          <w:color w:val="222222"/>
          <w:shd w:val="clear" w:color="auto" w:fill="FFFFFF"/>
        </w:rPr>
        <w:t xml:space="preserve"> Cav.) based agroforestry systems in semiarid regions of Bundelkhand. </w:t>
      </w:r>
      <w:r w:rsidRPr="00D9469F">
        <w:rPr>
          <w:rFonts w:ascii="Times New Roman" w:hAnsi="Times New Roman" w:cs="Times New Roman"/>
          <w:i/>
          <w:iCs/>
          <w:color w:val="222222"/>
          <w:shd w:val="clear" w:color="auto" w:fill="FFFFFF"/>
        </w:rPr>
        <w:t>Climate Change and Environmental Sustainability</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10</w:t>
      </w:r>
      <w:r w:rsidRPr="00D9469F">
        <w:rPr>
          <w:rFonts w:ascii="Times New Roman" w:hAnsi="Times New Roman" w:cs="Times New Roman"/>
          <w:color w:val="222222"/>
          <w:shd w:val="clear" w:color="auto" w:fill="FFFFFF"/>
        </w:rPr>
        <w:t>(2), 159-164.</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Patel, M., &amp; </w:t>
      </w:r>
      <w:proofErr w:type="spellStart"/>
      <w:r w:rsidRPr="00D9469F">
        <w:rPr>
          <w:rFonts w:ascii="Times New Roman" w:hAnsi="Times New Roman" w:cs="Times New Roman"/>
          <w:color w:val="222222"/>
          <w:shd w:val="clear" w:color="auto" w:fill="FFFFFF"/>
        </w:rPr>
        <w:t>Gangwar</w:t>
      </w:r>
      <w:proofErr w:type="spellEnd"/>
      <w:r w:rsidRPr="00D9469F">
        <w:rPr>
          <w:rFonts w:ascii="Times New Roman" w:hAnsi="Times New Roman" w:cs="Times New Roman"/>
          <w:color w:val="222222"/>
          <w:shd w:val="clear" w:color="auto" w:fill="FFFFFF"/>
        </w:rPr>
        <w:t>, B. (2023). Effect of organic nutrient management on growth and yield of Green Gram (Vigna radiata L.,) under Semi-arid Region. </w:t>
      </w:r>
      <w:r w:rsidRPr="00D9469F">
        <w:rPr>
          <w:rFonts w:ascii="Times New Roman" w:hAnsi="Times New Roman" w:cs="Times New Roman"/>
          <w:i/>
          <w:iCs/>
          <w:color w:val="222222"/>
          <w:shd w:val="clear" w:color="auto" w:fill="FFFFFF"/>
        </w:rPr>
        <w:t>Int. J. Plant Soil Sci</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35</w:t>
      </w:r>
      <w:r w:rsidRPr="00D9469F">
        <w:rPr>
          <w:rFonts w:ascii="Times New Roman" w:hAnsi="Times New Roman" w:cs="Times New Roman"/>
          <w:color w:val="222222"/>
          <w:shd w:val="clear" w:color="auto" w:fill="FFFFFF"/>
        </w:rPr>
        <w:t>(19), 514-523.</w:t>
      </w:r>
    </w:p>
    <w:p w:rsidR="00D9469F" w:rsidRPr="005B0440" w:rsidRDefault="00D9469F" w:rsidP="00D9469F">
      <w:pPr>
        <w:pStyle w:val="NormalWeb"/>
        <w:ind w:left="900" w:hanging="900"/>
        <w:jc w:val="both"/>
      </w:pPr>
      <w:proofErr w:type="spellStart"/>
      <w:r w:rsidRPr="005B0440">
        <w:t>Rajkhowa</w:t>
      </w:r>
      <w:proofErr w:type="spellEnd"/>
      <w:r w:rsidRPr="005B0440">
        <w:t xml:space="preserve">, D. J., Sharma, A. K., Mahanta, K., </w:t>
      </w:r>
      <w:proofErr w:type="spellStart"/>
      <w:r w:rsidRPr="005B0440">
        <w:t>Saikia</w:t>
      </w:r>
      <w:proofErr w:type="spellEnd"/>
      <w:r w:rsidRPr="005B0440">
        <w:t xml:space="preserve">, U. S., &amp; Krishnappa, R. (2017). Effect of vermicompost on green gram productivity and soil health under hilly ecosystem of North East India. </w:t>
      </w:r>
      <w:r w:rsidRPr="005B0440">
        <w:rPr>
          <w:rStyle w:val="Emphasis"/>
        </w:rPr>
        <w:t>Journal of Environmental Biology</w:t>
      </w:r>
      <w:r w:rsidRPr="005B0440">
        <w:t xml:space="preserve">, </w:t>
      </w:r>
      <w:r w:rsidRPr="005B0440">
        <w:rPr>
          <w:rStyle w:val="Strong"/>
          <w:rFonts w:eastAsiaTheme="minorEastAsia"/>
          <w:b w:val="0"/>
          <w:bCs w:val="0"/>
        </w:rPr>
        <w:t>37</w:t>
      </w:r>
      <w:r w:rsidRPr="005B0440">
        <w:t>(1), 15–19.</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Rathore, S. S., </w:t>
      </w:r>
      <w:proofErr w:type="spellStart"/>
      <w:r w:rsidRPr="00D9469F">
        <w:rPr>
          <w:rFonts w:ascii="Times New Roman" w:hAnsi="Times New Roman" w:cs="Times New Roman"/>
          <w:color w:val="222222"/>
          <w:shd w:val="clear" w:color="auto" w:fill="FFFFFF"/>
        </w:rPr>
        <w:t>Babu</w:t>
      </w:r>
      <w:proofErr w:type="spellEnd"/>
      <w:r w:rsidRPr="00D9469F">
        <w:rPr>
          <w:rFonts w:ascii="Times New Roman" w:hAnsi="Times New Roman" w:cs="Times New Roman"/>
          <w:color w:val="222222"/>
          <w:shd w:val="clear" w:color="auto" w:fill="FFFFFF"/>
        </w:rPr>
        <w:t>, S., El-</w:t>
      </w:r>
      <w:proofErr w:type="spellStart"/>
      <w:r w:rsidRPr="00D9469F">
        <w:rPr>
          <w:rFonts w:ascii="Times New Roman" w:hAnsi="Times New Roman" w:cs="Times New Roman"/>
          <w:color w:val="222222"/>
          <w:shd w:val="clear" w:color="auto" w:fill="FFFFFF"/>
        </w:rPr>
        <w:t>Sappah</w:t>
      </w:r>
      <w:proofErr w:type="spellEnd"/>
      <w:r w:rsidRPr="00D9469F">
        <w:rPr>
          <w:rFonts w:ascii="Times New Roman" w:hAnsi="Times New Roman" w:cs="Times New Roman"/>
          <w:color w:val="222222"/>
          <w:shd w:val="clear" w:color="auto" w:fill="FFFFFF"/>
        </w:rPr>
        <w:t xml:space="preserve">, A. H., </w:t>
      </w:r>
      <w:proofErr w:type="spellStart"/>
      <w:r w:rsidRPr="00D9469F">
        <w:rPr>
          <w:rFonts w:ascii="Times New Roman" w:hAnsi="Times New Roman" w:cs="Times New Roman"/>
          <w:color w:val="222222"/>
          <w:shd w:val="clear" w:color="auto" w:fill="FFFFFF"/>
        </w:rPr>
        <w:t>Shekhawat</w:t>
      </w:r>
      <w:proofErr w:type="spellEnd"/>
      <w:r w:rsidRPr="00D9469F">
        <w:rPr>
          <w:rFonts w:ascii="Times New Roman" w:hAnsi="Times New Roman" w:cs="Times New Roman"/>
          <w:color w:val="222222"/>
          <w:shd w:val="clear" w:color="auto" w:fill="FFFFFF"/>
        </w:rPr>
        <w:t>, K., Singh, V. K., Singh, R. K., ... &amp; Singh, R. (2022). Integrated agroforestry systems improve soil carbon storage, water productivity, and economic returns in the marginal land of the semi-arid region. </w:t>
      </w:r>
      <w:r w:rsidRPr="00D9469F">
        <w:rPr>
          <w:rFonts w:ascii="Times New Roman" w:hAnsi="Times New Roman" w:cs="Times New Roman"/>
          <w:i/>
          <w:iCs/>
          <w:color w:val="222222"/>
          <w:shd w:val="clear" w:color="auto" w:fill="FFFFFF"/>
        </w:rPr>
        <w:t>Saudi Journal of Biological Sciences</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29</w:t>
      </w:r>
      <w:r w:rsidRPr="00D9469F">
        <w:rPr>
          <w:rFonts w:ascii="Times New Roman" w:hAnsi="Times New Roman" w:cs="Times New Roman"/>
          <w:color w:val="222222"/>
          <w:shd w:val="clear" w:color="auto" w:fill="FFFFFF"/>
        </w:rPr>
        <w:t>(10), 103427.</w:t>
      </w:r>
    </w:p>
    <w:p w:rsidR="00D9469F" w:rsidRPr="005B0440" w:rsidRDefault="00D9469F" w:rsidP="00D9469F">
      <w:pPr>
        <w:pStyle w:val="NormalWeb"/>
        <w:ind w:left="900" w:hanging="900"/>
        <w:jc w:val="both"/>
      </w:pPr>
      <w:proofErr w:type="spellStart"/>
      <w:r w:rsidRPr="005B0440">
        <w:t>Saha</w:t>
      </w:r>
      <w:proofErr w:type="spellEnd"/>
      <w:r w:rsidRPr="005B0440">
        <w:t xml:space="preserve">, A., Sinha, A. C., &amp; </w:t>
      </w:r>
      <w:proofErr w:type="spellStart"/>
      <w:r w:rsidRPr="005B0440">
        <w:t>Samanta</w:t>
      </w:r>
      <w:proofErr w:type="spellEnd"/>
      <w:r w:rsidRPr="005B0440">
        <w:t xml:space="preserve">, S. (2017). Response of integrated nutrient management on nutrient content as well as uptake of buckwheat varieties and its residual effect on </w:t>
      </w:r>
      <w:proofErr w:type="spellStart"/>
      <w:r w:rsidRPr="005B0440">
        <w:t>mungbean</w:t>
      </w:r>
      <w:proofErr w:type="spellEnd"/>
      <w:r w:rsidRPr="005B0440">
        <w:t xml:space="preserve"> under </w:t>
      </w:r>
      <w:proofErr w:type="spellStart"/>
      <w:r w:rsidRPr="005B0440">
        <w:t>Terai</w:t>
      </w:r>
      <w:proofErr w:type="spellEnd"/>
      <w:r w:rsidRPr="005B0440">
        <w:t xml:space="preserve"> Region of West Bengal, India. </w:t>
      </w:r>
      <w:r w:rsidRPr="005B0440">
        <w:rPr>
          <w:rStyle w:val="Emphasis"/>
        </w:rPr>
        <w:t>International Journal of Current Microbiology and Applied Sciences</w:t>
      </w:r>
      <w:r w:rsidRPr="005B0440">
        <w:t xml:space="preserve">, </w:t>
      </w:r>
      <w:r w:rsidRPr="005B0440">
        <w:rPr>
          <w:rStyle w:val="Strong"/>
          <w:rFonts w:eastAsiaTheme="minorEastAsia"/>
          <w:b w:val="0"/>
          <w:bCs w:val="0"/>
        </w:rPr>
        <w:t>6</w:t>
      </w:r>
      <w:r w:rsidRPr="005B0440">
        <w:t>(11), 3613–3620.</w:t>
      </w:r>
    </w:p>
    <w:p w:rsidR="00D9469F" w:rsidRPr="005B0440" w:rsidRDefault="00D9469F" w:rsidP="00D9469F">
      <w:pPr>
        <w:ind w:left="900" w:hanging="900"/>
        <w:jc w:val="both"/>
        <w:rPr>
          <w:rFonts w:ascii="Times New Roman" w:hAnsi="Times New Roman" w:cs="Times New Roman"/>
        </w:rPr>
      </w:pPr>
      <w:r w:rsidRPr="005B0440">
        <w:rPr>
          <w:rFonts w:ascii="Times New Roman" w:hAnsi="Times New Roman" w:cs="Times New Roman"/>
        </w:rPr>
        <w:t xml:space="preserve">Sharma, A. R., Sharma, U. C., &amp; </w:t>
      </w:r>
      <w:proofErr w:type="spellStart"/>
      <w:r w:rsidRPr="005B0440">
        <w:rPr>
          <w:rFonts w:ascii="Times New Roman" w:hAnsi="Times New Roman" w:cs="Times New Roman"/>
        </w:rPr>
        <w:t>Dhyani</w:t>
      </w:r>
      <w:proofErr w:type="spellEnd"/>
      <w:r w:rsidRPr="005B0440">
        <w:rPr>
          <w:rFonts w:ascii="Times New Roman" w:hAnsi="Times New Roman" w:cs="Times New Roman"/>
        </w:rPr>
        <w:t>, S. K. (2010). Agroforestry systems for sustainable land use. Indian Journal of Agroforestry, 12(1), 1–9.</w:t>
      </w:r>
    </w:p>
    <w:p w:rsidR="00D9469F" w:rsidRPr="00D9469F" w:rsidRDefault="00D9469F" w:rsidP="00D9469F">
      <w:pPr>
        <w:pStyle w:val="NormalWeb"/>
        <w:ind w:left="900" w:hanging="900"/>
        <w:jc w:val="both"/>
        <w:rPr>
          <w:sz w:val="22"/>
          <w:szCs w:val="22"/>
        </w:rPr>
      </w:pPr>
      <w:r w:rsidRPr="005B0440">
        <w:t xml:space="preserve">Sharma, A., &amp; </w:t>
      </w:r>
      <w:proofErr w:type="spellStart"/>
      <w:r w:rsidRPr="005B0440">
        <w:t>Guled</w:t>
      </w:r>
      <w:proofErr w:type="spellEnd"/>
      <w:r w:rsidRPr="005B0440">
        <w:t xml:space="preserve">, M. B. (2012). Effect of set-furrow method of cultivation in </w:t>
      </w:r>
      <w:proofErr w:type="spellStart"/>
      <w:r w:rsidRPr="005B0440">
        <w:t>pigeonpea</w:t>
      </w:r>
      <w:proofErr w:type="spellEnd"/>
      <w:r w:rsidRPr="005B0440">
        <w:t xml:space="preserve"> + green gram intercropping system in medium deep black soil under rainfed conditions. </w:t>
      </w:r>
      <w:r w:rsidRPr="00D9469F">
        <w:rPr>
          <w:rStyle w:val="Emphasis"/>
          <w:sz w:val="22"/>
          <w:szCs w:val="22"/>
        </w:rPr>
        <w:t>Karnataka Journal of Agricultural Sciences</w:t>
      </w:r>
      <w:r w:rsidRPr="00D9469F">
        <w:rPr>
          <w:sz w:val="22"/>
          <w:szCs w:val="22"/>
        </w:rPr>
        <w:t xml:space="preserve">, </w:t>
      </w:r>
      <w:r w:rsidRPr="00D9469F">
        <w:rPr>
          <w:rStyle w:val="Strong"/>
          <w:rFonts w:eastAsiaTheme="minorEastAsia"/>
          <w:b w:val="0"/>
          <w:bCs w:val="0"/>
          <w:sz w:val="22"/>
          <w:szCs w:val="22"/>
        </w:rPr>
        <w:t>25</w:t>
      </w:r>
      <w:r w:rsidRPr="00D9469F">
        <w:rPr>
          <w:sz w:val="22"/>
          <w:szCs w:val="22"/>
        </w:rPr>
        <w:t>(1), 18–24.</w:t>
      </w:r>
    </w:p>
    <w:p w:rsidR="00D9469F" w:rsidRPr="00D9469F" w:rsidRDefault="00D9469F" w:rsidP="00D9469F">
      <w:pPr>
        <w:pStyle w:val="NormalWeb"/>
        <w:ind w:left="900" w:hanging="900"/>
        <w:jc w:val="both"/>
        <w:rPr>
          <w:sz w:val="22"/>
          <w:szCs w:val="22"/>
        </w:rPr>
      </w:pPr>
      <w:r w:rsidRPr="00D9469F">
        <w:rPr>
          <w:sz w:val="22"/>
          <w:szCs w:val="22"/>
        </w:rPr>
        <w:t xml:space="preserve">Sutaria, G. S., Akbari, K. N., Vora, V. D., </w:t>
      </w:r>
      <w:proofErr w:type="spellStart"/>
      <w:r w:rsidRPr="00D9469F">
        <w:rPr>
          <w:sz w:val="22"/>
          <w:szCs w:val="22"/>
        </w:rPr>
        <w:t>Hirpara</w:t>
      </w:r>
      <w:proofErr w:type="spellEnd"/>
      <w:r w:rsidRPr="00D9469F">
        <w:rPr>
          <w:sz w:val="22"/>
          <w:szCs w:val="22"/>
        </w:rPr>
        <w:t xml:space="preserve">, D. S., &amp; </w:t>
      </w:r>
      <w:proofErr w:type="spellStart"/>
      <w:r w:rsidRPr="00D9469F">
        <w:rPr>
          <w:sz w:val="22"/>
          <w:szCs w:val="22"/>
        </w:rPr>
        <w:t>Padmani</w:t>
      </w:r>
      <w:proofErr w:type="spellEnd"/>
      <w:r w:rsidRPr="00D9469F">
        <w:rPr>
          <w:sz w:val="22"/>
          <w:szCs w:val="22"/>
        </w:rPr>
        <w:t xml:space="preserve">, D. R. (2010). Response of legume crops to enriched compost and </w:t>
      </w:r>
      <w:proofErr w:type="spellStart"/>
      <w:r w:rsidRPr="00D9469F">
        <w:rPr>
          <w:sz w:val="22"/>
          <w:szCs w:val="22"/>
        </w:rPr>
        <w:t>vermicompost</w:t>
      </w:r>
      <w:proofErr w:type="spellEnd"/>
      <w:r w:rsidRPr="00D9469F">
        <w:rPr>
          <w:sz w:val="22"/>
          <w:szCs w:val="22"/>
        </w:rPr>
        <w:t xml:space="preserve"> on </w:t>
      </w:r>
      <w:proofErr w:type="spellStart"/>
      <w:r w:rsidRPr="00D9469F">
        <w:rPr>
          <w:sz w:val="22"/>
          <w:szCs w:val="22"/>
        </w:rPr>
        <w:t>Vertic</w:t>
      </w:r>
      <w:proofErr w:type="spellEnd"/>
      <w:r w:rsidRPr="00D9469F">
        <w:rPr>
          <w:sz w:val="22"/>
          <w:szCs w:val="22"/>
        </w:rPr>
        <w:t xml:space="preserve"> </w:t>
      </w:r>
      <w:proofErr w:type="spellStart"/>
      <w:r w:rsidRPr="00D9469F">
        <w:rPr>
          <w:sz w:val="22"/>
          <w:szCs w:val="22"/>
        </w:rPr>
        <w:t>Ustochrept</w:t>
      </w:r>
      <w:proofErr w:type="spellEnd"/>
      <w:r w:rsidRPr="00D9469F">
        <w:rPr>
          <w:sz w:val="22"/>
          <w:szCs w:val="22"/>
        </w:rPr>
        <w:t xml:space="preserve"> under </w:t>
      </w:r>
      <w:proofErr w:type="spellStart"/>
      <w:r w:rsidRPr="00D9469F">
        <w:rPr>
          <w:sz w:val="22"/>
          <w:szCs w:val="22"/>
        </w:rPr>
        <w:t>rainfed</w:t>
      </w:r>
      <w:proofErr w:type="spellEnd"/>
      <w:r w:rsidRPr="00D9469F">
        <w:rPr>
          <w:sz w:val="22"/>
          <w:szCs w:val="22"/>
        </w:rPr>
        <w:t xml:space="preserve"> agriculture. </w:t>
      </w:r>
      <w:r w:rsidRPr="00D9469F">
        <w:rPr>
          <w:rStyle w:val="Emphasis"/>
          <w:sz w:val="22"/>
          <w:szCs w:val="22"/>
        </w:rPr>
        <w:t>Legume Research: An International Journal</w:t>
      </w:r>
      <w:r w:rsidRPr="00D9469F">
        <w:rPr>
          <w:sz w:val="22"/>
          <w:szCs w:val="22"/>
        </w:rPr>
        <w:t xml:space="preserve">, </w:t>
      </w:r>
      <w:r w:rsidRPr="00D9469F">
        <w:rPr>
          <w:rStyle w:val="Strong"/>
          <w:rFonts w:eastAsiaTheme="minorEastAsia"/>
          <w:b w:val="0"/>
          <w:bCs w:val="0"/>
          <w:sz w:val="22"/>
          <w:szCs w:val="22"/>
        </w:rPr>
        <w:t>33</w:t>
      </w:r>
      <w:r w:rsidRPr="00D9469F">
        <w:rPr>
          <w:sz w:val="22"/>
          <w:szCs w:val="22"/>
        </w:rPr>
        <w:t>(2), 128–130.</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Thakur, C. L., Bhardwaj, D. R., &amp; Bhatia, A. K. (2022). Bio-Economic Appraisal of </w:t>
      </w:r>
      <w:proofErr w:type="spellStart"/>
      <w:r w:rsidRPr="00D9469F">
        <w:rPr>
          <w:rFonts w:ascii="Times New Roman" w:hAnsi="Times New Roman" w:cs="Times New Roman"/>
          <w:color w:val="222222"/>
          <w:shd w:val="clear" w:color="auto" w:fill="FFFFFF"/>
        </w:rPr>
        <w:t>Phaseolus</w:t>
      </w:r>
      <w:proofErr w:type="spellEnd"/>
      <w:r w:rsidRPr="00D9469F">
        <w:rPr>
          <w:rFonts w:ascii="Times New Roman" w:hAnsi="Times New Roman" w:cs="Times New Roman"/>
          <w:color w:val="222222"/>
          <w:shd w:val="clear" w:color="auto" w:fill="FFFFFF"/>
        </w:rPr>
        <w:t xml:space="preserve"> Vulgaris under </w:t>
      </w:r>
      <w:proofErr w:type="spellStart"/>
      <w:r w:rsidRPr="00D9469F">
        <w:rPr>
          <w:rFonts w:ascii="Times New Roman" w:hAnsi="Times New Roman" w:cs="Times New Roman"/>
          <w:color w:val="222222"/>
          <w:shd w:val="clear" w:color="auto" w:fill="FFFFFF"/>
        </w:rPr>
        <w:t>Morus</w:t>
      </w:r>
      <w:proofErr w:type="spellEnd"/>
      <w:r w:rsidRPr="00D9469F">
        <w:rPr>
          <w:rFonts w:ascii="Times New Roman" w:hAnsi="Times New Roman" w:cs="Times New Roman"/>
          <w:color w:val="222222"/>
          <w:shd w:val="clear" w:color="auto" w:fill="FFFFFF"/>
        </w:rPr>
        <w:t xml:space="preserve"> alba-based </w:t>
      </w:r>
      <w:proofErr w:type="spellStart"/>
      <w:r w:rsidRPr="00D9469F">
        <w:rPr>
          <w:rFonts w:ascii="Times New Roman" w:hAnsi="Times New Roman" w:cs="Times New Roman"/>
          <w:color w:val="222222"/>
          <w:shd w:val="clear" w:color="auto" w:fill="FFFFFF"/>
        </w:rPr>
        <w:t>agri-silvicultural</w:t>
      </w:r>
      <w:proofErr w:type="spellEnd"/>
      <w:r w:rsidRPr="00D9469F">
        <w:rPr>
          <w:rFonts w:ascii="Times New Roman" w:hAnsi="Times New Roman" w:cs="Times New Roman"/>
          <w:color w:val="222222"/>
          <w:shd w:val="clear" w:color="auto" w:fill="FFFFFF"/>
        </w:rPr>
        <w:t xml:space="preserve"> system.</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Thakur, C. L., Bhardwaj, D. R., &amp; Bhatia, A. K. (2022). Bio-Economic Appraisal of </w:t>
      </w:r>
      <w:proofErr w:type="spellStart"/>
      <w:r w:rsidRPr="00D9469F">
        <w:rPr>
          <w:rFonts w:ascii="Times New Roman" w:hAnsi="Times New Roman" w:cs="Times New Roman"/>
          <w:color w:val="222222"/>
          <w:shd w:val="clear" w:color="auto" w:fill="FFFFFF"/>
        </w:rPr>
        <w:t>Phaseolus</w:t>
      </w:r>
      <w:proofErr w:type="spellEnd"/>
      <w:r w:rsidRPr="00D9469F">
        <w:rPr>
          <w:rFonts w:ascii="Times New Roman" w:hAnsi="Times New Roman" w:cs="Times New Roman"/>
          <w:color w:val="222222"/>
          <w:shd w:val="clear" w:color="auto" w:fill="FFFFFF"/>
        </w:rPr>
        <w:t xml:space="preserve"> Vulgaris under </w:t>
      </w:r>
      <w:proofErr w:type="spellStart"/>
      <w:r w:rsidRPr="00D9469F">
        <w:rPr>
          <w:rFonts w:ascii="Times New Roman" w:hAnsi="Times New Roman" w:cs="Times New Roman"/>
          <w:color w:val="222222"/>
          <w:shd w:val="clear" w:color="auto" w:fill="FFFFFF"/>
        </w:rPr>
        <w:t>Morus</w:t>
      </w:r>
      <w:proofErr w:type="spellEnd"/>
      <w:r w:rsidRPr="00D9469F">
        <w:rPr>
          <w:rFonts w:ascii="Times New Roman" w:hAnsi="Times New Roman" w:cs="Times New Roman"/>
          <w:color w:val="222222"/>
          <w:shd w:val="clear" w:color="auto" w:fill="FFFFFF"/>
        </w:rPr>
        <w:t xml:space="preserve"> alba-based </w:t>
      </w:r>
      <w:proofErr w:type="spellStart"/>
      <w:r w:rsidRPr="00D9469F">
        <w:rPr>
          <w:rFonts w:ascii="Times New Roman" w:hAnsi="Times New Roman" w:cs="Times New Roman"/>
          <w:color w:val="222222"/>
          <w:shd w:val="clear" w:color="auto" w:fill="FFFFFF"/>
        </w:rPr>
        <w:t>agri-silvicultural</w:t>
      </w:r>
      <w:proofErr w:type="spellEnd"/>
      <w:r w:rsidRPr="00D9469F">
        <w:rPr>
          <w:rFonts w:ascii="Times New Roman" w:hAnsi="Times New Roman" w:cs="Times New Roman"/>
          <w:color w:val="222222"/>
          <w:shd w:val="clear" w:color="auto" w:fill="FFFFFF"/>
        </w:rPr>
        <w:t xml:space="preserve"> system.</w:t>
      </w:r>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Tiwari, S. (2024). </w:t>
      </w:r>
      <w:r w:rsidRPr="00D9469F">
        <w:rPr>
          <w:rFonts w:ascii="Times New Roman" w:hAnsi="Times New Roman" w:cs="Times New Roman"/>
          <w:i/>
          <w:iCs/>
          <w:color w:val="222222"/>
          <w:shd w:val="clear" w:color="auto" w:fill="FFFFFF"/>
        </w:rPr>
        <w:t>Assessing the Economic Viability and Determinants of Producer Adoption for Mung Bean Cultivation</w:t>
      </w:r>
      <w:r w:rsidRPr="00D9469F">
        <w:rPr>
          <w:rFonts w:ascii="Times New Roman" w:hAnsi="Times New Roman" w:cs="Times New Roman"/>
          <w:color w:val="222222"/>
          <w:shd w:val="clear" w:color="auto" w:fill="FFFFFF"/>
        </w:rPr>
        <w:t> (Master's thesis, Tennessee State University).</w:t>
      </w:r>
    </w:p>
    <w:p w:rsidR="00D9469F" w:rsidRPr="00D9469F" w:rsidRDefault="00D9469F" w:rsidP="00D9469F">
      <w:pPr>
        <w:pStyle w:val="NormalWeb"/>
        <w:ind w:left="900" w:hanging="900"/>
        <w:jc w:val="both"/>
        <w:rPr>
          <w:sz w:val="22"/>
          <w:szCs w:val="22"/>
        </w:rPr>
      </w:pPr>
      <w:r w:rsidRPr="00D9469F">
        <w:rPr>
          <w:sz w:val="22"/>
          <w:szCs w:val="22"/>
        </w:rPr>
        <w:t xml:space="preserve">Tyagi, P. K., Upadhyay, A. K., &amp; </w:t>
      </w:r>
      <w:proofErr w:type="spellStart"/>
      <w:r w:rsidRPr="00D9469F">
        <w:rPr>
          <w:sz w:val="22"/>
          <w:szCs w:val="22"/>
        </w:rPr>
        <w:t>Raikwar</w:t>
      </w:r>
      <w:proofErr w:type="spellEnd"/>
      <w:r w:rsidRPr="00D9469F">
        <w:rPr>
          <w:sz w:val="22"/>
          <w:szCs w:val="22"/>
        </w:rPr>
        <w:t xml:space="preserve">, R. S. (2014). Integrated approach in nutrient management of summer green gram. </w:t>
      </w:r>
      <w:r w:rsidRPr="00D9469F">
        <w:rPr>
          <w:rStyle w:val="Emphasis"/>
          <w:sz w:val="22"/>
          <w:szCs w:val="22"/>
        </w:rPr>
        <w:t>The Bioscan</w:t>
      </w:r>
      <w:r w:rsidRPr="00D9469F">
        <w:rPr>
          <w:sz w:val="22"/>
          <w:szCs w:val="22"/>
        </w:rPr>
        <w:t xml:space="preserve">, </w:t>
      </w:r>
      <w:r w:rsidRPr="00D9469F">
        <w:rPr>
          <w:rStyle w:val="Strong"/>
          <w:rFonts w:eastAsiaTheme="minorEastAsia"/>
          <w:b w:val="0"/>
          <w:bCs w:val="0"/>
          <w:sz w:val="22"/>
          <w:szCs w:val="22"/>
        </w:rPr>
        <w:t>9</w:t>
      </w:r>
      <w:r w:rsidRPr="00D9469F">
        <w:rPr>
          <w:sz w:val="22"/>
          <w:szCs w:val="22"/>
        </w:rPr>
        <w:t>(4), 1529–1533.</w:t>
      </w:r>
    </w:p>
    <w:p w:rsidR="00D9469F" w:rsidRPr="00D9469F" w:rsidRDefault="00D9469F" w:rsidP="00D9469F">
      <w:pPr>
        <w:pStyle w:val="NormalWeb"/>
        <w:ind w:left="900" w:hanging="900"/>
        <w:jc w:val="both"/>
        <w:rPr>
          <w:sz w:val="22"/>
          <w:szCs w:val="22"/>
        </w:rPr>
      </w:pPr>
      <w:proofErr w:type="spellStart"/>
      <w:r w:rsidRPr="00D9469F">
        <w:rPr>
          <w:sz w:val="22"/>
          <w:szCs w:val="22"/>
        </w:rPr>
        <w:lastRenderedPageBreak/>
        <w:t>Vessey</w:t>
      </w:r>
      <w:proofErr w:type="spellEnd"/>
      <w:r w:rsidRPr="00D9469F">
        <w:rPr>
          <w:sz w:val="22"/>
          <w:szCs w:val="22"/>
        </w:rPr>
        <w:t xml:space="preserve">, J. K. (2003). Plant growth promoting rhizobacteria as biofertilizers. </w:t>
      </w:r>
      <w:r w:rsidRPr="00D9469F">
        <w:rPr>
          <w:rStyle w:val="Emphasis"/>
          <w:sz w:val="22"/>
          <w:szCs w:val="22"/>
        </w:rPr>
        <w:t>Plant and Soil</w:t>
      </w:r>
      <w:r w:rsidRPr="00D9469F">
        <w:rPr>
          <w:sz w:val="22"/>
          <w:szCs w:val="22"/>
        </w:rPr>
        <w:t xml:space="preserve">, </w:t>
      </w:r>
      <w:r w:rsidRPr="00D9469F">
        <w:rPr>
          <w:rStyle w:val="Strong"/>
          <w:rFonts w:eastAsiaTheme="minorEastAsia"/>
          <w:b w:val="0"/>
          <w:bCs w:val="0"/>
          <w:sz w:val="22"/>
          <w:szCs w:val="22"/>
        </w:rPr>
        <w:t>255</w:t>
      </w:r>
      <w:r w:rsidRPr="00D9469F">
        <w:rPr>
          <w:sz w:val="22"/>
          <w:szCs w:val="22"/>
        </w:rPr>
        <w:t xml:space="preserve">, 571–586. </w:t>
      </w:r>
      <w:hyperlink r:id="rId8" w:history="1">
        <w:r w:rsidRPr="00D9469F">
          <w:rPr>
            <w:rStyle w:val="Hyperlink"/>
            <w:sz w:val="22"/>
            <w:szCs w:val="22"/>
          </w:rPr>
          <w:t>https://doi.org/10.1023/A:1026037216893</w:t>
        </w:r>
      </w:hyperlink>
    </w:p>
    <w:p w:rsidR="00D9469F" w:rsidRPr="00D9469F" w:rsidRDefault="00D9469F" w:rsidP="00D9469F">
      <w:pPr>
        <w:spacing w:line="360" w:lineRule="auto"/>
        <w:ind w:left="900" w:hanging="900"/>
        <w:jc w:val="both"/>
        <w:rPr>
          <w:rFonts w:ascii="Times New Roman" w:hAnsi="Times New Roman" w:cs="Times New Roman"/>
          <w:color w:val="222222"/>
          <w:shd w:val="clear" w:color="auto" w:fill="FFFFFF"/>
        </w:rPr>
      </w:pPr>
      <w:r w:rsidRPr="00D9469F">
        <w:rPr>
          <w:rFonts w:ascii="Times New Roman" w:hAnsi="Times New Roman" w:cs="Times New Roman"/>
          <w:color w:val="222222"/>
          <w:shd w:val="clear" w:color="auto" w:fill="FFFFFF"/>
        </w:rPr>
        <w:t xml:space="preserve">Zahoor, S., </w:t>
      </w:r>
      <w:proofErr w:type="spellStart"/>
      <w:r w:rsidRPr="00D9469F">
        <w:rPr>
          <w:rFonts w:ascii="Times New Roman" w:hAnsi="Times New Roman" w:cs="Times New Roman"/>
          <w:color w:val="222222"/>
          <w:shd w:val="clear" w:color="auto" w:fill="FFFFFF"/>
        </w:rPr>
        <w:t>Dutt</w:t>
      </w:r>
      <w:proofErr w:type="spellEnd"/>
      <w:r w:rsidRPr="00D9469F">
        <w:rPr>
          <w:rFonts w:ascii="Times New Roman" w:hAnsi="Times New Roman" w:cs="Times New Roman"/>
          <w:color w:val="222222"/>
          <w:shd w:val="clear" w:color="auto" w:fill="FFFFFF"/>
        </w:rPr>
        <w:t>, V., Mughal, A. H., Pala, N. A., Rashid, M., Qaisar, K. N., &amp; Khan, P. A. (2021). Economics and productivity of apple-based agroforestry system for livelihood generation in North Western Himalaya, India. </w:t>
      </w:r>
      <w:r w:rsidRPr="00D9469F">
        <w:rPr>
          <w:rFonts w:ascii="Times New Roman" w:hAnsi="Times New Roman" w:cs="Times New Roman"/>
          <w:i/>
          <w:iCs/>
          <w:color w:val="222222"/>
          <w:shd w:val="clear" w:color="auto" w:fill="FFFFFF"/>
        </w:rPr>
        <w:t>Indian Journal of Agroforestry</w:t>
      </w:r>
      <w:r w:rsidRPr="00D9469F">
        <w:rPr>
          <w:rFonts w:ascii="Times New Roman" w:hAnsi="Times New Roman" w:cs="Times New Roman"/>
          <w:color w:val="222222"/>
          <w:shd w:val="clear" w:color="auto" w:fill="FFFFFF"/>
        </w:rPr>
        <w:t>, </w:t>
      </w:r>
      <w:r w:rsidRPr="00D9469F">
        <w:rPr>
          <w:rFonts w:ascii="Times New Roman" w:hAnsi="Times New Roman" w:cs="Times New Roman"/>
          <w:i/>
          <w:iCs/>
          <w:color w:val="222222"/>
          <w:shd w:val="clear" w:color="auto" w:fill="FFFFFF"/>
        </w:rPr>
        <w:t>23</w:t>
      </w:r>
      <w:r w:rsidRPr="00D9469F">
        <w:rPr>
          <w:rFonts w:ascii="Times New Roman" w:hAnsi="Times New Roman" w:cs="Times New Roman"/>
          <w:color w:val="222222"/>
          <w:shd w:val="clear" w:color="auto" w:fill="FFFFFF"/>
        </w:rPr>
        <w:t>(1), 74-81.</w:t>
      </w:r>
    </w:p>
    <w:p w:rsidR="00D9469F" w:rsidRPr="005B0440" w:rsidRDefault="00D9469F" w:rsidP="003D3DB1">
      <w:pPr>
        <w:pStyle w:val="NormalWeb"/>
        <w:ind w:left="900" w:hanging="900"/>
        <w:jc w:val="both"/>
      </w:pPr>
    </w:p>
    <w:p w:rsidR="009C7BF6" w:rsidRPr="005B0440" w:rsidRDefault="009C7BF6" w:rsidP="00997CDD">
      <w:pPr>
        <w:rPr>
          <w:rFonts w:ascii="Times New Roman" w:hAnsi="Times New Roman" w:cs="Times New Roman"/>
        </w:rPr>
      </w:pPr>
    </w:p>
    <w:sectPr w:rsidR="009C7BF6" w:rsidRPr="005B04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lian" w:date="2025-06-17T16:46:00Z" w:initials="L">
    <w:p w:rsidR="009650BF" w:rsidRDefault="009650BF">
      <w:pPr>
        <w:pStyle w:val="CommentText"/>
      </w:pPr>
      <w:r>
        <w:rPr>
          <w:rStyle w:val="CommentReference"/>
        </w:rPr>
        <w:annotationRef/>
      </w:r>
      <w:proofErr w:type="spellStart"/>
      <w:proofErr w:type="gramStart"/>
      <w:r>
        <w:t>radiata</w:t>
      </w:r>
      <w:proofErr w:type="spellEnd"/>
      <w:proofErr w:type="gramEnd"/>
    </w:p>
  </w:comment>
  <w:comment w:id="2" w:author="Lilian" w:date="2025-06-17T16:53:00Z" w:initials="L">
    <w:p w:rsidR="006F27A7" w:rsidRDefault="006F27A7">
      <w:pPr>
        <w:pStyle w:val="CommentText"/>
      </w:pPr>
      <w:r>
        <w:rPr>
          <w:rStyle w:val="CommentReference"/>
        </w:rPr>
        <w:annotationRef/>
      </w:r>
      <w:r>
        <w:t>What was the experiment design used?</w:t>
      </w:r>
    </w:p>
  </w:comment>
  <w:comment w:id="3" w:author="Lilian" w:date="2025-06-17T17:07:00Z" w:initials="L">
    <w:p w:rsidR="00AB08B0" w:rsidRDefault="00AB08B0">
      <w:pPr>
        <w:pStyle w:val="CommentText"/>
      </w:pPr>
      <w:r>
        <w:rPr>
          <w:rStyle w:val="CommentReference"/>
        </w:rPr>
        <w:annotationRef/>
      </w:r>
      <w:r>
        <w:t>Future research area?</w:t>
      </w:r>
    </w:p>
  </w:comment>
  <w:comment w:id="4" w:author="Lilian" w:date="2025-06-17T16:50:00Z" w:initials="L">
    <w:p w:rsidR="009650BF" w:rsidRDefault="009650BF">
      <w:pPr>
        <w:pStyle w:val="CommentText"/>
      </w:pPr>
      <w:r>
        <w:rPr>
          <w:rStyle w:val="CommentReference"/>
        </w:rPr>
        <w:annotationRef/>
      </w:r>
      <w:proofErr w:type="gramStart"/>
      <w:r>
        <w:t>can</w:t>
      </w:r>
      <w:proofErr w:type="gramEnd"/>
      <w:r>
        <w:t xml:space="preserve"> separate the two</w:t>
      </w:r>
    </w:p>
  </w:comment>
  <w:comment w:id="5" w:author="Lilian" w:date="2025-06-17T16:51:00Z" w:initials="L">
    <w:p w:rsidR="007D590C" w:rsidRDefault="007D590C">
      <w:pPr>
        <w:pStyle w:val="CommentText"/>
      </w:pPr>
      <w:r>
        <w:rPr>
          <w:rStyle w:val="CommentReference"/>
        </w:rPr>
        <w:annotationRef/>
      </w:r>
      <w:proofErr w:type="gramStart"/>
      <w:r>
        <w:t>to</w:t>
      </w:r>
      <w:proofErr w:type="gramEnd"/>
      <w:r>
        <w:t xml:space="preserve"> be in Italics</w:t>
      </w:r>
    </w:p>
  </w:comment>
  <w:comment w:id="6" w:author="Lilian" w:date="2025-06-17T16:56:00Z" w:initials="L">
    <w:p w:rsidR="0073198C" w:rsidRDefault="0073198C">
      <w:pPr>
        <w:pStyle w:val="CommentText"/>
      </w:pPr>
      <w:r>
        <w:rPr>
          <w:rStyle w:val="CommentReference"/>
        </w:rPr>
        <w:annotationRef/>
      </w:r>
      <w:proofErr w:type="gramStart"/>
      <w:r>
        <w:t>italics</w:t>
      </w:r>
      <w:proofErr w:type="gramEnd"/>
    </w:p>
  </w:comment>
  <w:comment w:id="7" w:author="Lilian" w:date="2025-06-17T16:56:00Z" w:initials="L">
    <w:p w:rsidR="0073198C" w:rsidRDefault="0073198C">
      <w:pPr>
        <w:pStyle w:val="CommentText"/>
      </w:pPr>
      <w:r>
        <w:rPr>
          <w:rStyle w:val="CommentReference"/>
        </w:rPr>
        <w:annotationRef/>
      </w:r>
      <w:proofErr w:type="spellStart"/>
      <w:proofErr w:type="gramStart"/>
      <w:r>
        <w:t>italize</w:t>
      </w:r>
      <w:proofErr w:type="spellEnd"/>
      <w:proofErr w:type="gramEnd"/>
    </w:p>
  </w:comment>
  <w:comment w:id="8" w:author="Lilian" w:date="2025-06-17T16:57:00Z" w:initials="L">
    <w:p w:rsidR="0073198C" w:rsidRDefault="0073198C">
      <w:pPr>
        <w:pStyle w:val="CommentText"/>
      </w:pPr>
      <w:r>
        <w:rPr>
          <w:rStyle w:val="CommentReference"/>
        </w:rPr>
        <w:annotationRef/>
      </w:r>
      <w:proofErr w:type="spellStart"/>
      <w:proofErr w:type="gramStart"/>
      <w:r>
        <w:t>italize</w:t>
      </w:r>
      <w:proofErr w:type="spellEnd"/>
      <w:proofErr w:type="gramEnd"/>
    </w:p>
  </w:comment>
  <w:comment w:id="9" w:author="Lilian" w:date="2025-06-17T16:57:00Z" w:initials="L">
    <w:p w:rsidR="0073198C" w:rsidRDefault="0073198C">
      <w:pPr>
        <w:pStyle w:val="CommentText"/>
      </w:pPr>
      <w:r>
        <w:rPr>
          <w:rStyle w:val="CommentReference"/>
        </w:rPr>
        <w:annotationRef/>
      </w:r>
      <w:proofErr w:type="spellStart"/>
      <w:proofErr w:type="gramStart"/>
      <w:r>
        <w:t>italize</w:t>
      </w:r>
      <w:proofErr w:type="spellEnd"/>
      <w:proofErr w:type="gramEnd"/>
    </w:p>
  </w:comment>
  <w:comment w:id="10" w:author="Lilian" w:date="2025-06-17T16:57:00Z" w:initials="L">
    <w:p w:rsidR="0073198C" w:rsidRDefault="0073198C">
      <w:pPr>
        <w:pStyle w:val="CommentText"/>
      </w:pPr>
      <w:r>
        <w:rPr>
          <w:rStyle w:val="CommentReference"/>
        </w:rPr>
        <w:annotationRef/>
      </w:r>
      <w:proofErr w:type="gramStart"/>
      <w:r>
        <w:t>italics</w:t>
      </w:r>
      <w:proofErr w:type="gramEnd"/>
    </w:p>
  </w:comment>
  <w:comment w:id="11" w:author="Lilian" w:date="2025-06-17T16:57:00Z" w:initials="L">
    <w:p w:rsidR="0073198C" w:rsidRDefault="0073198C">
      <w:pPr>
        <w:pStyle w:val="CommentText"/>
      </w:pPr>
      <w:r>
        <w:rPr>
          <w:rStyle w:val="CommentReference"/>
        </w:rPr>
        <w:annotationRef/>
      </w:r>
      <w:proofErr w:type="gramStart"/>
      <w:r>
        <w:t>italics</w:t>
      </w:r>
      <w:proofErr w:type="gramEnd"/>
    </w:p>
  </w:comment>
  <w:comment w:id="12" w:author="Lilian" w:date="2025-06-17T16:58:00Z" w:initials="L">
    <w:p w:rsidR="0073198C" w:rsidRDefault="0073198C">
      <w:pPr>
        <w:pStyle w:val="CommentText"/>
      </w:pPr>
      <w:r>
        <w:rPr>
          <w:rStyle w:val="CommentReference"/>
        </w:rPr>
        <w:annotationRef/>
      </w:r>
      <w:proofErr w:type="gramStart"/>
      <w:r>
        <w:t>italics</w:t>
      </w:r>
      <w:proofErr w:type="gramEnd"/>
      <w:r>
        <w:t>, Do for all botanical names</w:t>
      </w:r>
    </w:p>
  </w:comment>
  <w:comment w:id="13" w:author="Lilian" w:date="2025-06-17T17:00:00Z" w:initials="L">
    <w:p w:rsidR="0036611A" w:rsidRDefault="0036611A">
      <w:pPr>
        <w:pStyle w:val="CommentText"/>
      </w:pPr>
      <w:r>
        <w:rPr>
          <w:rStyle w:val="CommentReference"/>
        </w:rPr>
        <w:annotationRef/>
      </w:r>
      <w:proofErr w:type="gramStart"/>
      <w:r>
        <w:t>delete</w:t>
      </w:r>
      <w:proofErr w:type="gramEnd"/>
      <w:r>
        <w:t xml:space="preserve"> space</w:t>
      </w:r>
    </w:p>
  </w:comment>
  <w:comment w:id="14" w:author="Lilian" w:date="2025-06-17T17:02:00Z" w:initials="L">
    <w:p w:rsidR="00034748" w:rsidRDefault="00034748">
      <w:pPr>
        <w:pStyle w:val="CommentText"/>
      </w:pPr>
      <w:r>
        <w:rPr>
          <w:rStyle w:val="CommentReference"/>
        </w:rPr>
        <w:annotationRef/>
      </w:r>
      <w:proofErr w:type="gramStart"/>
      <w:r>
        <w:t>delete</w:t>
      </w:r>
      <w:proofErr w:type="gramEnd"/>
      <w:r>
        <w:t xml:space="preserve"> space</w:t>
      </w:r>
    </w:p>
  </w:comment>
  <w:comment w:id="15" w:author="Lilian" w:date="2025-06-17T17:03:00Z" w:initials="L">
    <w:p w:rsidR="00034748" w:rsidRDefault="00034748">
      <w:pPr>
        <w:pStyle w:val="CommentText"/>
      </w:pPr>
      <w:r>
        <w:rPr>
          <w:rStyle w:val="CommentReference"/>
        </w:rPr>
        <w:annotationRef/>
      </w:r>
      <w:proofErr w:type="spellStart"/>
      <w:proofErr w:type="gramStart"/>
      <w:r>
        <w:t>radiata</w:t>
      </w:r>
      <w:proofErr w:type="spellEnd"/>
      <w:proofErr w:type="gramEnd"/>
    </w:p>
  </w:comment>
  <w:comment w:id="16" w:author="Lilian" w:date="2025-06-17T17:04:00Z" w:initials="L">
    <w:p w:rsidR="000654FB" w:rsidRDefault="000654FB">
      <w:pPr>
        <w:pStyle w:val="CommentText"/>
      </w:pPr>
      <w:r>
        <w:rPr>
          <w:rStyle w:val="CommentReference"/>
        </w:rPr>
        <w:annotationRef/>
      </w:r>
      <w:proofErr w:type="spellStart"/>
      <w:proofErr w:type="gramStart"/>
      <w:r>
        <w:t>radiata</w:t>
      </w:r>
      <w:proofErr w:type="spellEnd"/>
      <w:proofErr w:type="gramEnd"/>
    </w:p>
  </w:comment>
  <w:comment w:id="17" w:author="Lilian" w:date="2025-06-17T17:04:00Z" w:initials="L">
    <w:p w:rsidR="00AB08B0" w:rsidRDefault="00AB08B0">
      <w:pPr>
        <w:pStyle w:val="CommentText"/>
      </w:pPr>
      <w:r>
        <w:rPr>
          <w:rStyle w:val="CommentReference"/>
        </w:rPr>
        <w:annotationRef/>
      </w:r>
      <w:proofErr w:type="gramStart"/>
      <w:r>
        <w:t>italics</w:t>
      </w:r>
      <w:proofErr w:type="gramEnd"/>
    </w:p>
  </w:comment>
  <w:comment w:id="18" w:author="Lilian" w:date="2025-06-17T17:06:00Z" w:initials="L">
    <w:p w:rsidR="00AB08B0" w:rsidRDefault="00AB08B0">
      <w:pPr>
        <w:pStyle w:val="CommentText"/>
      </w:pPr>
      <w:r>
        <w:rPr>
          <w:rStyle w:val="CommentReference"/>
        </w:rPr>
        <w:annotationRef/>
      </w:r>
      <w:r>
        <w:t>Tell us also about future research area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EC" w:rsidRDefault="006E5DEC" w:rsidP="00424B1A">
      <w:pPr>
        <w:spacing w:after="0" w:line="240" w:lineRule="auto"/>
      </w:pPr>
      <w:r>
        <w:separator/>
      </w:r>
    </w:p>
  </w:endnote>
  <w:endnote w:type="continuationSeparator" w:id="0">
    <w:p w:rsidR="006E5DEC" w:rsidRDefault="006E5DEC" w:rsidP="0042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42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424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42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EC" w:rsidRDefault="006E5DEC" w:rsidP="00424B1A">
      <w:pPr>
        <w:spacing w:after="0" w:line="240" w:lineRule="auto"/>
      </w:pPr>
      <w:r>
        <w:separator/>
      </w:r>
    </w:p>
  </w:footnote>
  <w:footnote w:type="continuationSeparator" w:id="0">
    <w:p w:rsidR="006E5DEC" w:rsidRDefault="006E5DEC" w:rsidP="0042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6E5D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6E5D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A" w:rsidRDefault="006E5D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8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A6"/>
    <w:rsid w:val="00011455"/>
    <w:rsid w:val="00015035"/>
    <w:rsid w:val="00034748"/>
    <w:rsid w:val="000654FB"/>
    <w:rsid w:val="000D2DFA"/>
    <w:rsid w:val="000F3046"/>
    <w:rsid w:val="00103E3C"/>
    <w:rsid w:val="001A3860"/>
    <w:rsid w:val="00224EC9"/>
    <w:rsid w:val="002D1FA5"/>
    <w:rsid w:val="002D3741"/>
    <w:rsid w:val="002E2719"/>
    <w:rsid w:val="00357846"/>
    <w:rsid w:val="00360DBF"/>
    <w:rsid w:val="0036611A"/>
    <w:rsid w:val="003D3DB1"/>
    <w:rsid w:val="003D6EB4"/>
    <w:rsid w:val="003F4719"/>
    <w:rsid w:val="00401543"/>
    <w:rsid w:val="00421610"/>
    <w:rsid w:val="00424B1A"/>
    <w:rsid w:val="00443A30"/>
    <w:rsid w:val="004A1DA0"/>
    <w:rsid w:val="00555505"/>
    <w:rsid w:val="005B0440"/>
    <w:rsid w:val="006E5DEC"/>
    <w:rsid w:val="006F27A7"/>
    <w:rsid w:val="00726FCB"/>
    <w:rsid w:val="0073198C"/>
    <w:rsid w:val="00773B27"/>
    <w:rsid w:val="007D590C"/>
    <w:rsid w:val="00850896"/>
    <w:rsid w:val="008D1AA9"/>
    <w:rsid w:val="009650BF"/>
    <w:rsid w:val="00997CDD"/>
    <w:rsid w:val="009A5D8A"/>
    <w:rsid w:val="009C7BF6"/>
    <w:rsid w:val="009F6E22"/>
    <w:rsid w:val="00A11CB2"/>
    <w:rsid w:val="00AB08B0"/>
    <w:rsid w:val="00AB39F1"/>
    <w:rsid w:val="00AD5600"/>
    <w:rsid w:val="00C2586C"/>
    <w:rsid w:val="00C3455C"/>
    <w:rsid w:val="00CB24F0"/>
    <w:rsid w:val="00D261F5"/>
    <w:rsid w:val="00D9469F"/>
    <w:rsid w:val="00DB6B36"/>
    <w:rsid w:val="00E03E97"/>
    <w:rsid w:val="00E2573F"/>
    <w:rsid w:val="00E41072"/>
    <w:rsid w:val="00E574FC"/>
    <w:rsid w:val="00EB643F"/>
    <w:rsid w:val="00EC41A6"/>
    <w:rsid w:val="00F03FC8"/>
    <w:rsid w:val="00F112A6"/>
    <w:rsid w:val="00F861AD"/>
    <w:rsid w:val="00FA7BE4"/>
    <w:rsid w:val="00FB5D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A6"/>
    <w:rPr>
      <w:rFonts w:eastAsiaTheme="minorEastAsia"/>
      <w:szCs w:val="22"/>
      <w:lang w:bidi="ar-SA"/>
    </w:rPr>
  </w:style>
  <w:style w:type="paragraph" w:styleId="Heading2">
    <w:name w:val="heading 2"/>
    <w:basedOn w:val="Normal"/>
    <w:next w:val="Normal"/>
    <w:link w:val="Heading2Char"/>
    <w:uiPriority w:val="9"/>
    <w:semiHidden/>
    <w:unhideWhenUsed/>
    <w:qFormat/>
    <w:rsid w:val="003D6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0D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C7BF6"/>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2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2A6"/>
    <w:rPr>
      <w:rFonts w:ascii="Tahoma" w:eastAsiaTheme="minorEastAsia" w:hAnsi="Tahoma" w:cs="Tahoma"/>
      <w:sz w:val="16"/>
      <w:szCs w:val="16"/>
      <w:lang w:bidi="ar-SA"/>
    </w:rPr>
  </w:style>
  <w:style w:type="paragraph" w:styleId="NoSpacing">
    <w:name w:val="No Spacing"/>
    <w:basedOn w:val="Normal"/>
    <w:link w:val="NoSpacingChar"/>
    <w:uiPriority w:val="1"/>
    <w:qFormat/>
    <w:rsid w:val="00F112A6"/>
    <w:pPr>
      <w:spacing w:after="0" w:line="240" w:lineRule="auto"/>
    </w:pPr>
    <w:rPr>
      <w:rFonts w:ascii="Calibri" w:eastAsia="Calibri" w:hAnsi="Calibri" w:cs="Mangal"/>
      <w:lang w:val="en-IN"/>
    </w:rPr>
  </w:style>
  <w:style w:type="character" w:customStyle="1" w:styleId="NoSpacingChar">
    <w:name w:val="No Spacing Char"/>
    <w:link w:val="NoSpacing"/>
    <w:uiPriority w:val="1"/>
    <w:rsid w:val="00F112A6"/>
    <w:rPr>
      <w:rFonts w:ascii="Calibri" w:eastAsia="Calibri" w:hAnsi="Calibri" w:cs="Mangal"/>
      <w:szCs w:val="22"/>
      <w:lang w:val="en-IN" w:bidi="ar-SA"/>
    </w:rPr>
  </w:style>
  <w:style w:type="paragraph" w:styleId="NormalWeb">
    <w:name w:val="Normal (Web)"/>
    <w:basedOn w:val="Normal"/>
    <w:uiPriority w:val="99"/>
    <w:semiHidden/>
    <w:unhideWhenUsed/>
    <w:rsid w:val="008508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850896"/>
    <w:rPr>
      <w:i/>
      <w:iCs/>
    </w:rPr>
  </w:style>
  <w:style w:type="character" w:styleId="Strong">
    <w:name w:val="Strong"/>
    <w:basedOn w:val="DefaultParagraphFont"/>
    <w:uiPriority w:val="22"/>
    <w:qFormat/>
    <w:rsid w:val="00850896"/>
    <w:rPr>
      <w:b/>
      <w:bCs/>
    </w:rPr>
  </w:style>
  <w:style w:type="character" w:customStyle="1" w:styleId="Heading4Char">
    <w:name w:val="Heading 4 Char"/>
    <w:basedOn w:val="DefaultParagraphFont"/>
    <w:link w:val="Heading4"/>
    <w:uiPriority w:val="9"/>
    <w:rsid w:val="009C7BF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D6EB4"/>
    <w:rPr>
      <w:rFonts w:asciiTheme="majorHAnsi" w:eastAsiaTheme="majorEastAsia" w:hAnsiTheme="majorHAnsi" w:cstheme="majorBidi"/>
      <w:b/>
      <w:bCs/>
      <w:color w:val="4F81BD" w:themeColor="accent1"/>
      <w:sz w:val="26"/>
      <w:szCs w:val="26"/>
      <w:lang w:bidi="ar-SA"/>
    </w:rPr>
  </w:style>
  <w:style w:type="character" w:styleId="Hyperlink">
    <w:name w:val="Hyperlink"/>
    <w:basedOn w:val="DefaultParagraphFont"/>
    <w:uiPriority w:val="99"/>
    <w:unhideWhenUsed/>
    <w:rsid w:val="00D9469F"/>
    <w:rPr>
      <w:color w:val="0000FF" w:themeColor="hyperlink"/>
      <w:u w:val="single"/>
    </w:rPr>
  </w:style>
  <w:style w:type="character" w:customStyle="1" w:styleId="UnresolvedMention">
    <w:name w:val="Unresolved Mention"/>
    <w:basedOn w:val="DefaultParagraphFont"/>
    <w:uiPriority w:val="99"/>
    <w:semiHidden/>
    <w:unhideWhenUsed/>
    <w:rsid w:val="00360DBF"/>
    <w:rPr>
      <w:color w:val="605E5C"/>
      <w:shd w:val="clear" w:color="auto" w:fill="E1DFDD"/>
    </w:rPr>
  </w:style>
  <w:style w:type="character" w:customStyle="1" w:styleId="Heading3Char">
    <w:name w:val="Heading 3 Char"/>
    <w:basedOn w:val="DefaultParagraphFont"/>
    <w:link w:val="Heading3"/>
    <w:uiPriority w:val="9"/>
    <w:semiHidden/>
    <w:rsid w:val="00360DBF"/>
    <w:rPr>
      <w:rFonts w:asciiTheme="majorHAnsi" w:eastAsiaTheme="majorEastAsia" w:hAnsiTheme="majorHAnsi" w:cstheme="majorBidi"/>
      <w:color w:val="243F60" w:themeColor="accent1" w:themeShade="7F"/>
      <w:sz w:val="24"/>
      <w:szCs w:val="24"/>
      <w:lang w:bidi="ar-SA"/>
    </w:rPr>
  </w:style>
  <w:style w:type="paragraph" w:styleId="Header">
    <w:name w:val="header"/>
    <w:basedOn w:val="Normal"/>
    <w:link w:val="HeaderChar"/>
    <w:uiPriority w:val="99"/>
    <w:unhideWhenUsed/>
    <w:rsid w:val="0042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1A"/>
    <w:rPr>
      <w:rFonts w:eastAsiaTheme="minorEastAsia"/>
      <w:szCs w:val="22"/>
      <w:lang w:bidi="ar-SA"/>
    </w:rPr>
  </w:style>
  <w:style w:type="paragraph" w:styleId="Footer">
    <w:name w:val="footer"/>
    <w:basedOn w:val="Normal"/>
    <w:link w:val="FooterChar"/>
    <w:uiPriority w:val="99"/>
    <w:unhideWhenUsed/>
    <w:rsid w:val="0042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1A"/>
    <w:rPr>
      <w:rFonts w:eastAsiaTheme="minorEastAsia"/>
      <w:szCs w:val="22"/>
      <w:lang w:bidi="ar-SA"/>
    </w:rPr>
  </w:style>
  <w:style w:type="character" w:styleId="CommentReference">
    <w:name w:val="annotation reference"/>
    <w:basedOn w:val="DefaultParagraphFont"/>
    <w:uiPriority w:val="99"/>
    <w:semiHidden/>
    <w:unhideWhenUsed/>
    <w:rsid w:val="009650BF"/>
    <w:rPr>
      <w:sz w:val="16"/>
      <w:szCs w:val="16"/>
    </w:rPr>
  </w:style>
  <w:style w:type="paragraph" w:styleId="CommentText">
    <w:name w:val="annotation text"/>
    <w:basedOn w:val="Normal"/>
    <w:link w:val="CommentTextChar"/>
    <w:uiPriority w:val="99"/>
    <w:semiHidden/>
    <w:unhideWhenUsed/>
    <w:rsid w:val="009650BF"/>
    <w:pPr>
      <w:spacing w:line="240" w:lineRule="auto"/>
    </w:pPr>
    <w:rPr>
      <w:sz w:val="20"/>
      <w:szCs w:val="20"/>
    </w:rPr>
  </w:style>
  <w:style w:type="character" w:customStyle="1" w:styleId="CommentTextChar">
    <w:name w:val="Comment Text Char"/>
    <w:basedOn w:val="DefaultParagraphFont"/>
    <w:link w:val="CommentText"/>
    <w:uiPriority w:val="99"/>
    <w:semiHidden/>
    <w:rsid w:val="009650BF"/>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9650BF"/>
    <w:rPr>
      <w:b/>
      <w:bCs/>
    </w:rPr>
  </w:style>
  <w:style w:type="character" w:customStyle="1" w:styleId="CommentSubjectChar">
    <w:name w:val="Comment Subject Char"/>
    <w:basedOn w:val="CommentTextChar"/>
    <w:link w:val="CommentSubject"/>
    <w:uiPriority w:val="99"/>
    <w:semiHidden/>
    <w:rsid w:val="009650BF"/>
    <w:rPr>
      <w:rFonts w:eastAsiaTheme="minorEastAsia"/>
      <w:b/>
      <w:bCs/>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A6"/>
    <w:rPr>
      <w:rFonts w:eastAsiaTheme="minorEastAsia"/>
      <w:szCs w:val="22"/>
      <w:lang w:bidi="ar-SA"/>
    </w:rPr>
  </w:style>
  <w:style w:type="paragraph" w:styleId="Heading2">
    <w:name w:val="heading 2"/>
    <w:basedOn w:val="Normal"/>
    <w:next w:val="Normal"/>
    <w:link w:val="Heading2Char"/>
    <w:uiPriority w:val="9"/>
    <w:semiHidden/>
    <w:unhideWhenUsed/>
    <w:qFormat/>
    <w:rsid w:val="003D6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0D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C7BF6"/>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2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2A6"/>
    <w:rPr>
      <w:rFonts w:ascii="Tahoma" w:eastAsiaTheme="minorEastAsia" w:hAnsi="Tahoma" w:cs="Tahoma"/>
      <w:sz w:val="16"/>
      <w:szCs w:val="16"/>
      <w:lang w:bidi="ar-SA"/>
    </w:rPr>
  </w:style>
  <w:style w:type="paragraph" w:styleId="NoSpacing">
    <w:name w:val="No Spacing"/>
    <w:basedOn w:val="Normal"/>
    <w:link w:val="NoSpacingChar"/>
    <w:uiPriority w:val="1"/>
    <w:qFormat/>
    <w:rsid w:val="00F112A6"/>
    <w:pPr>
      <w:spacing w:after="0" w:line="240" w:lineRule="auto"/>
    </w:pPr>
    <w:rPr>
      <w:rFonts w:ascii="Calibri" w:eastAsia="Calibri" w:hAnsi="Calibri" w:cs="Mangal"/>
      <w:lang w:val="en-IN"/>
    </w:rPr>
  </w:style>
  <w:style w:type="character" w:customStyle="1" w:styleId="NoSpacingChar">
    <w:name w:val="No Spacing Char"/>
    <w:link w:val="NoSpacing"/>
    <w:uiPriority w:val="1"/>
    <w:rsid w:val="00F112A6"/>
    <w:rPr>
      <w:rFonts w:ascii="Calibri" w:eastAsia="Calibri" w:hAnsi="Calibri" w:cs="Mangal"/>
      <w:szCs w:val="22"/>
      <w:lang w:val="en-IN" w:bidi="ar-SA"/>
    </w:rPr>
  </w:style>
  <w:style w:type="paragraph" w:styleId="NormalWeb">
    <w:name w:val="Normal (Web)"/>
    <w:basedOn w:val="Normal"/>
    <w:uiPriority w:val="99"/>
    <w:semiHidden/>
    <w:unhideWhenUsed/>
    <w:rsid w:val="0085089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850896"/>
    <w:rPr>
      <w:i/>
      <w:iCs/>
    </w:rPr>
  </w:style>
  <w:style w:type="character" w:styleId="Strong">
    <w:name w:val="Strong"/>
    <w:basedOn w:val="DefaultParagraphFont"/>
    <w:uiPriority w:val="22"/>
    <w:qFormat/>
    <w:rsid w:val="00850896"/>
    <w:rPr>
      <w:b/>
      <w:bCs/>
    </w:rPr>
  </w:style>
  <w:style w:type="character" w:customStyle="1" w:styleId="Heading4Char">
    <w:name w:val="Heading 4 Char"/>
    <w:basedOn w:val="DefaultParagraphFont"/>
    <w:link w:val="Heading4"/>
    <w:uiPriority w:val="9"/>
    <w:rsid w:val="009C7BF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D6EB4"/>
    <w:rPr>
      <w:rFonts w:asciiTheme="majorHAnsi" w:eastAsiaTheme="majorEastAsia" w:hAnsiTheme="majorHAnsi" w:cstheme="majorBidi"/>
      <w:b/>
      <w:bCs/>
      <w:color w:val="4F81BD" w:themeColor="accent1"/>
      <w:sz w:val="26"/>
      <w:szCs w:val="26"/>
      <w:lang w:bidi="ar-SA"/>
    </w:rPr>
  </w:style>
  <w:style w:type="character" w:styleId="Hyperlink">
    <w:name w:val="Hyperlink"/>
    <w:basedOn w:val="DefaultParagraphFont"/>
    <w:uiPriority w:val="99"/>
    <w:unhideWhenUsed/>
    <w:rsid w:val="00D9469F"/>
    <w:rPr>
      <w:color w:val="0000FF" w:themeColor="hyperlink"/>
      <w:u w:val="single"/>
    </w:rPr>
  </w:style>
  <w:style w:type="character" w:customStyle="1" w:styleId="UnresolvedMention">
    <w:name w:val="Unresolved Mention"/>
    <w:basedOn w:val="DefaultParagraphFont"/>
    <w:uiPriority w:val="99"/>
    <w:semiHidden/>
    <w:unhideWhenUsed/>
    <w:rsid w:val="00360DBF"/>
    <w:rPr>
      <w:color w:val="605E5C"/>
      <w:shd w:val="clear" w:color="auto" w:fill="E1DFDD"/>
    </w:rPr>
  </w:style>
  <w:style w:type="character" w:customStyle="1" w:styleId="Heading3Char">
    <w:name w:val="Heading 3 Char"/>
    <w:basedOn w:val="DefaultParagraphFont"/>
    <w:link w:val="Heading3"/>
    <w:uiPriority w:val="9"/>
    <w:semiHidden/>
    <w:rsid w:val="00360DBF"/>
    <w:rPr>
      <w:rFonts w:asciiTheme="majorHAnsi" w:eastAsiaTheme="majorEastAsia" w:hAnsiTheme="majorHAnsi" w:cstheme="majorBidi"/>
      <w:color w:val="243F60" w:themeColor="accent1" w:themeShade="7F"/>
      <w:sz w:val="24"/>
      <w:szCs w:val="24"/>
      <w:lang w:bidi="ar-SA"/>
    </w:rPr>
  </w:style>
  <w:style w:type="paragraph" w:styleId="Header">
    <w:name w:val="header"/>
    <w:basedOn w:val="Normal"/>
    <w:link w:val="HeaderChar"/>
    <w:uiPriority w:val="99"/>
    <w:unhideWhenUsed/>
    <w:rsid w:val="0042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1A"/>
    <w:rPr>
      <w:rFonts w:eastAsiaTheme="minorEastAsia"/>
      <w:szCs w:val="22"/>
      <w:lang w:bidi="ar-SA"/>
    </w:rPr>
  </w:style>
  <w:style w:type="paragraph" w:styleId="Footer">
    <w:name w:val="footer"/>
    <w:basedOn w:val="Normal"/>
    <w:link w:val="FooterChar"/>
    <w:uiPriority w:val="99"/>
    <w:unhideWhenUsed/>
    <w:rsid w:val="0042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1A"/>
    <w:rPr>
      <w:rFonts w:eastAsiaTheme="minorEastAsia"/>
      <w:szCs w:val="22"/>
      <w:lang w:bidi="ar-SA"/>
    </w:rPr>
  </w:style>
  <w:style w:type="character" w:styleId="CommentReference">
    <w:name w:val="annotation reference"/>
    <w:basedOn w:val="DefaultParagraphFont"/>
    <w:uiPriority w:val="99"/>
    <w:semiHidden/>
    <w:unhideWhenUsed/>
    <w:rsid w:val="009650BF"/>
    <w:rPr>
      <w:sz w:val="16"/>
      <w:szCs w:val="16"/>
    </w:rPr>
  </w:style>
  <w:style w:type="paragraph" w:styleId="CommentText">
    <w:name w:val="annotation text"/>
    <w:basedOn w:val="Normal"/>
    <w:link w:val="CommentTextChar"/>
    <w:uiPriority w:val="99"/>
    <w:semiHidden/>
    <w:unhideWhenUsed/>
    <w:rsid w:val="009650BF"/>
    <w:pPr>
      <w:spacing w:line="240" w:lineRule="auto"/>
    </w:pPr>
    <w:rPr>
      <w:sz w:val="20"/>
      <w:szCs w:val="20"/>
    </w:rPr>
  </w:style>
  <w:style w:type="character" w:customStyle="1" w:styleId="CommentTextChar">
    <w:name w:val="Comment Text Char"/>
    <w:basedOn w:val="DefaultParagraphFont"/>
    <w:link w:val="CommentText"/>
    <w:uiPriority w:val="99"/>
    <w:semiHidden/>
    <w:rsid w:val="009650BF"/>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9650BF"/>
    <w:rPr>
      <w:b/>
      <w:bCs/>
    </w:rPr>
  </w:style>
  <w:style w:type="character" w:customStyle="1" w:styleId="CommentSubjectChar">
    <w:name w:val="Comment Subject Char"/>
    <w:basedOn w:val="CommentTextChar"/>
    <w:link w:val="CommentSubject"/>
    <w:uiPriority w:val="99"/>
    <w:semiHidden/>
    <w:rsid w:val="009650BF"/>
    <w:rPr>
      <w:rFonts w:eastAsiaTheme="minorEastAsia"/>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767">
      <w:bodyDiv w:val="1"/>
      <w:marLeft w:val="0"/>
      <w:marRight w:val="0"/>
      <w:marTop w:val="0"/>
      <w:marBottom w:val="0"/>
      <w:divBdr>
        <w:top w:val="none" w:sz="0" w:space="0" w:color="auto"/>
        <w:left w:val="none" w:sz="0" w:space="0" w:color="auto"/>
        <w:bottom w:val="none" w:sz="0" w:space="0" w:color="auto"/>
        <w:right w:val="none" w:sz="0" w:space="0" w:color="auto"/>
      </w:divBdr>
    </w:div>
    <w:div w:id="200939079">
      <w:bodyDiv w:val="1"/>
      <w:marLeft w:val="0"/>
      <w:marRight w:val="0"/>
      <w:marTop w:val="0"/>
      <w:marBottom w:val="0"/>
      <w:divBdr>
        <w:top w:val="none" w:sz="0" w:space="0" w:color="auto"/>
        <w:left w:val="none" w:sz="0" w:space="0" w:color="auto"/>
        <w:bottom w:val="none" w:sz="0" w:space="0" w:color="auto"/>
        <w:right w:val="none" w:sz="0" w:space="0" w:color="auto"/>
      </w:divBdr>
    </w:div>
    <w:div w:id="245113479">
      <w:bodyDiv w:val="1"/>
      <w:marLeft w:val="0"/>
      <w:marRight w:val="0"/>
      <w:marTop w:val="0"/>
      <w:marBottom w:val="0"/>
      <w:divBdr>
        <w:top w:val="none" w:sz="0" w:space="0" w:color="auto"/>
        <w:left w:val="none" w:sz="0" w:space="0" w:color="auto"/>
        <w:bottom w:val="none" w:sz="0" w:space="0" w:color="auto"/>
        <w:right w:val="none" w:sz="0" w:space="0" w:color="auto"/>
      </w:divBdr>
    </w:div>
    <w:div w:id="300306658">
      <w:bodyDiv w:val="1"/>
      <w:marLeft w:val="0"/>
      <w:marRight w:val="0"/>
      <w:marTop w:val="0"/>
      <w:marBottom w:val="0"/>
      <w:divBdr>
        <w:top w:val="none" w:sz="0" w:space="0" w:color="auto"/>
        <w:left w:val="none" w:sz="0" w:space="0" w:color="auto"/>
        <w:bottom w:val="none" w:sz="0" w:space="0" w:color="auto"/>
        <w:right w:val="none" w:sz="0" w:space="0" w:color="auto"/>
      </w:divBdr>
    </w:div>
    <w:div w:id="325478549">
      <w:bodyDiv w:val="1"/>
      <w:marLeft w:val="0"/>
      <w:marRight w:val="0"/>
      <w:marTop w:val="0"/>
      <w:marBottom w:val="0"/>
      <w:divBdr>
        <w:top w:val="none" w:sz="0" w:space="0" w:color="auto"/>
        <w:left w:val="none" w:sz="0" w:space="0" w:color="auto"/>
        <w:bottom w:val="none" w:sz="0" w:space="0" w:color="auto"/>
        <w:right w:val="none" w:sz="0" w:space="0" w:color="auto"/>
      </w:divBdr>
    </w:div>
    <w:div w:id="381486081">
      <w:bodyDiv w:val="1"/>
      <w:marLeft w:val="0"/>
      <w:marRight w:val="0"/>
      <w:marTop w:val="0"/>
      <w:marBottom w:val="0"/>
      <w:divBdr>
        <w:top w:val="none" w:sz="0" w:space="0" w:color="auto"/>
        <w:left w:val="none" w:sz="0" w:space="0" w:color="auto"/>
        <w:bottom w:val="none" w:sz="0" w:space="0" w:color="auto"/>
        <w:right w:val="none" w:sz="0" w:space="0" w:color="auto"/>
      </w:divBdr>
    </w:div>
    <w:div w:id="648481467">
      <w:bodyDiv w:val="1"/>
      <w:marLeft w:val="0"/>
      <w:marRight w:val="0"/>
      <w:marTop w:val="0"/>
      <w:marBottom w:val="0"/>
      <w:divBdr>
        <w:top w:val="none" w:sz="0" w:space="0" w:color="auto"/>
        <w:left w:val="none" w:sz="0" w:space="0" w:color="auto"/>
        <w:bottom w:val="none" w:sz="0" w:space="0" w:color="auto"/>
        <w:right w:val="none" w:sz="0" w:space="0" w:color="auto"/>
      </w:divBdr>
    </w:div>
    <w:div w:id="718479974">
      <w:bodyDiv w:val="1"/>
      <w:marLeft w:val="0"/>
      <w:marRight w:val="0"/>
      <w:marTop w:val="0"/>
      <w:marBottom w:val="0"/>
      <w:divBdr>
        <w:top w:val="none" w:sz="0" w:space="0" w:color="auto"/>
        <w:left w:val="none" w:sz="0" w:space="0" w:color="auto"/>
        <w:bottom w:val="none" w:sz="0" w:space="0" w:color="auto"/>
        <w:right w:val="none" w:sz="0" w:space="0" w:color="auto"/>
      </w:divBdr>
    </w:div>
    <w:div w:id="921841551">
      <w:bodyDiv w:val="1"/>
      <w:marLeft w:val="0"/>
      <w:marRight w:val="0"/>
      <w:marTop w:val="0"/>
      <w:marBottom w:val="0"/>
      <w:divBdr>
        <w:top w:val="none" w:sz="0" w:space="0" w:color="auto"/>
        <w:left w:val="none" w:sz="0" w:space="0" w:color="auto"/>
        <w:bottom w:val="none" w:sz="0" w:space="0" w:color="auto"/>
        <w:right w:val="none" w:sz="0" w:space="0" w:color="auto"/>
      </w:divBdr>
    </w:div>
    <w:div w:id="1174608799">
      <w:bodyDiv w:val="1"/>
      <w:marLeft w:val="0"/>
      <w:marRight w:val="0"/>
      <w:marTop w:val="0"/>
      <w:marBottom w:val="0"/>
      <w:divBdr>
        <w:top w:val="none" w:sz="0" w:space="0" w:color="auto"/>
        <w:left w:val="none" w:sz="0" w:space="0" w:color="auto"/>
        <w:bottom w:val="none" w:sz="0" w:space="0" w:color="auto"/>
        <w:right w:val="none" w:sz="0" w:space="0" w:color="auto"/>
      </w:divBdr>
    </w:div>
    <w:div w:id="1391538838">
      <w:bodyDiv w:val="1"/>
      <w:marLeft w:val="0"/>
      <w:marRight w:val="0"/>
      <w:marTop w:val="0"/>
      <w:marBottom w:val="0"/>
      <w:divBdr>
        <w:top w:val="none" w:sz="0" w:space="0" w:color="auto"/>
        <w:left w:val="none" w:sz="0" w:space="0" w:color="auto"/>
        <w:bottom w:val="none" w:sz="0" w:space="0" w:color="auto"/>
        <w:right w:val="none" w:sz="0" w:space="0" w:color="auto"/>
      </w:divBdr>
    </w:div>
    <w:div w:id="1546405815">
      <w:bodyDiv w:val="1"/>
      <w:marLeft w:val="0"/>
      <w:marRight w:val="0"/>
      <w:marTop w:val="0"/>
      <w:marBottom w:val="0"/>
      <w:divBdr>
        <w:top w:val="none" w:sz="0" w:space="0" w:color="auto"/>
        <w:left w:val="none" w:sz="0" w:space="0" w:color="auto"/>
        <w:bottom w:val="none" w:sz="0" w:space="0" w:color="auto"/>
        <w:right w:val="none" w:sz="0" w:space="0" w:color="auto"/>
      </w:divBdr>
    </w:div>
    <w:div w:id="1581282788">
      <w:bodyDiv w:val="1"/>
      <w:marLeft w:val="0"/>
      <w:marRight w:val="0"/>
      <w:marTop w:val="0"/>
      <w:marBottom w:val="0"/>
      <w:divBdr>
        <w:top w:val="none" w:sz="0" w:space="0" w:color="auto"/>
        <w:left w:val="none" w:sz="0" w:space="0" w:color="auto"/>
        <w:bottom w:val="none" w:sz="0" w:space="0" w:color="auto"/>
        <w:right w:val="none" w:sz="0" w:space="0" w:color="auto"/>
      </w:divBdr>
    </w:div>
    <w:div w:id="1655067818">
      <w:bodyDiv w:val="1"/>
      <w:marLeft w:val="0"/>
      <w:marRight w:val="0"/>
      <w:marTop w:val="0"/>
      <w:marBottom w:val="0"/>
      <w:divBdr>
        <w:top w:val="none" w:sz="0" w:space="0" w:color="auto"/>
        <w:left w:val="none" w:sz="0" w:space="0" w:color="auto"/>
        <w:bottom w:val="none" w:sz="0" w:space="0" w:color="auto"/>
        <w:right w:val="none" w:sz="0" w:space="0" w:color="auto"/>
      </w:divBdr>
    </w:div>
    <w:div w:id="1962571238">
      <w:bodyDiv w:val="1"/>
      <w:marLeft w:val="0"/>
      <w:marRight w:val="0"/>
      <w:marTop w:val="0"/>
      <w:marBottom w:val="0"/>
      <w:divBdr>
        <w:top w:val="none" w:sz="0" w:space="0" w:color="auto"/>
        <w:left w:val="none" w:sz="0" w:space="0" w:color="auto"/>
        <w:bottom w:val="none" w:sz="0" w:space="0" w:color="auto"/>
        <w:right w:val="none" w:sz="0" w:space="0" w:color="auto"/>
      </w:divBdr>
    </w:div>
    <w:div w:id="19820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3/A:102603721689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Lilian</cp:lastModifiedBy>
  <cp:revision>11</cp:revision>
  <dcterms:created xsi:type="dcterms:W3CDTF">2025-06-17T13:24:00Z</dcterms:created>
  <dcterms:modified xsi:type="dcterms:W3CDTF">2025-06-17T14:45:00Z</dcterms:modified>
</cp:coreProperties>
</file>