
<file path=[Content_Types].xml><?xml version="1.0" encoding="utf-8"?>
<Types xmlns="http://schemas.openxmlformats.org/package/2006/content-types">
  <Override PartName="/word/footnotes.xml" ContentType="application/vnd.openxmlformats-officedocument.wordprocessingml.footnotes+xml"/>
  <Override PartName="/word/webextensions/taskpanes.xml" ContentType="application/vnd.ms-office.webextensiontaskpan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extensions/webextension1.xml" ContentType="application/vnd.ms-office.webextension+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658" w:rsidRPr="00C35658" w:rsidRDefault="00C35658" w:rsidP="00C35658">
      <w:pPr>
        <w:rPr>
          <w:rFonts w:ascii="Arial" w:hAnsi="Arial" w:cs="Arial"/>
          <w:b/>
          <w:i/>
          <w:iCs/>
          <w:color w:val="000000" w:themeColor="text1"/>
          <w:sz w:val="28"/>
          <w:szCs w:val="24"/>
          <w:u w:val="single"/>
        </w:rPr>
      </w:pPr>
      <w:bookmarkStart w:id="0" w:name="_GoBack"/>
      <w:bookmarkEnd w:id="0"/>
      <w:r w:rsidRPr="00C35658">
        <w:rPr>
          <w:rFonts w:ascii="Arial" w:hAnsi="Arial" w:cs="Arial"/>
          <w:b/>
          <w:i/>
          <w:iCs/>
          <w:color w:val="000000" w:themeColor="text1"/>
          <w:sz w:val="28"/>
          <w:szCs w:val="24"/>
          <w:u w:val="single"/>
        </w:rPr>
        <w:t>Original Research Article</w:t>
      </w:r>
    </w:p>
    <w:p w:rsidR="00010573" w:rsidRPr="00D404AB" w:rsidRDefault="00010573" w:rsidP="00010573">
      <w:pPr>
        <w:jc w:val="center"/>
        <w:rPr>
          <w:rFonts w:ascii="Arial" w:hAnsi="Arial" w:cs="Arial"/>
          <w:b/>
          <w:i/>
          <w:color w:val="000000" w:themeColor="text1"/>
          <w:sz w:val="36"/>
          <w:szCs w:val="32"/>
        </w:rPr>
      </w:pPr>
      <w:r w:rsidRPr="00D404AB">
        <w:rPr>
          <w:rFonts w:ascii="Arial" w:hAnsi="Arial" w:cs="Arial"/>
          <w:b/>
          <w:color w:val="000000" w:themeColor="text1"/>
          <w:sz w:val="36"/>
          <w:szCs w:val="32"/>
        </w:rPr>
        <w:t xml:space="preserve">IDENTIFICATION OF CRITICAL PHOSPHORUS LEVEL CHANGE IN RED SOIL BY INFLUENCE OF DIFFERENT ORGANIC MATERIAL IN BLACK GRAM </w:t>
      </w:r>
      <w:r w:rsidRPr="00D404AB">
        <w:rPr>
          <w:rFonts w:ascii="Arial" w:hAnsi="Arial" w:cs="Arial"/>
          <w:b/>
          <w:i/>
          <w:color w:val="000000" w:themeColor="text1"/>
          <w:sz w:val="36"/>
          <w:szCs w:val="32"/>
        </w:rPr>
        <w:t>(Vigna mungo L.)</w:t>
      </w:r>
    </w:p>
    <w:p w:rsidR="009F7487" w:rsidRPr="00D404AB" w:rsidRDefault="009F7487" w:rsidP="009754C7">
      <w:pPr>
        <w:rPr>
          <w:rFonts w:ascii="Arial" w:hAnsi="Arial" w:cs="Arial"/>
          <w:b/>
          <w:color w:val="000000" w:themeColor="text1"/>
          <w:sz w:val="24"/>
          <w:szCs w:val="32"/>
        </w:rPr>
      </w:pPr>
    </w:p>
    <w:p w:rsidR="00B876E1" w:rsidRPr="00B876E1" w:rsidRDefault="00B876E1" w:rsidP="00B876E1">
      <w:pPr>
        <w:spacing w:after="120"/>
        <w:ind w:left="-180"/>
        <w:rPr>
          <w:rFonts w:ascii="Arial" w:hAnsi="Arial" w:cs="Arial"/>
          <w:b/>
          <w:color w:val="000000" w:themeColor="text1"/>
          <w:szCs w:val="32"/>
        </w:rPr>
      </w:pPr>
      <w:r w:rsidRPr="00B876E1">
        <w:rPr>
          <w:rFonts w:ascii="Arial" w:hAnsi="Arial" w:cs="Arial"/>
          <w:b/>
          <w:color w:val="000000" w:themeColor="text1"/>
          <w:szCs w:val="32"/>
        </w:rPr>
        <w:t>ABSTRACT</w:t>
      </w:r>
    </w:p>
    <w:p w:rsidR="00E15FE3" w:rsidRPr="003E3E73" w:rsidRDefault="009E27A8" w:rsidP="00E15FE3">
      <w:pPr>
        <w:spacing w:after="120"/>
        <w:ind w:left="-180"/>
        <w:jc w:val="both"/>
        <w:rPr>
          <w:rFonts w:ascii="Times New Roman" w:hAnsi="Times New Roman"/>
          <w:color w:val="FF0000"/>
          <w:sz w:val="24"/>
          <w:szCs w:val="24"/>
        </w:rPr>
      </w:pPr>
      <w:r w:rsidRPr="00AB4665">
        <w:rPr>
          <w:rFonts w:ascii="Times New Roman" w:hAnsi="Times New Roman" w:cs="Times New Roman"/>
          <w:sz w:val="24"/>
          <w:szCs w:val="24"/>
        </w:rPr>
        <w:t xml:space="preserve">Phosphorus fixation refers to the process by which phosphorus (P) becomes unavailable for plant </w:t>
      </w:r>
      <w:r>
        <w:rPr>
          <w:rFonts w:ascii="Times New Roman" w:hAnsi="Times New Roman" w:cs="Times New Roman"/>
          <w:sz w:val="24"/>
          <w:szCs w:val="24"/>
        </w:rPr>
        <w:t>uptake</w:t>
      </w:r>
      <w:r w:rsidRPr="00AB4665">
        <w:rPr>
          <w:rFonts w:ascii="Times New Roman" w:hAnsi="Times New Roman" w:cs="Times New Roman"/>
          <w:sz w:val="24"/>
          <w:szCs w:val="24"/>
        </w:rPr>
        <w:t xml:space="preserve"> by reacting with soil minerals. In soils, phosphorus is primar</w:t>
      </w:r>
      <w:r>
        <w:rPr>
          <w:rFonts w:ascii="Times New Roman" w:hAnsi="Times New Roman" w:cs="Times New Roman"/>
          <w:sz w:val="24"/>
          <w:szCs w:val="24"/>
        </w:rPr>
        <w:t>ily fixed by forming insoluble compounds</w:t>
      </w:r>
      <w:r w:rsidRPr="00AB4665">
        <w:rPr>
          <w:rFonts w:ascii="Times New Roman" w:hAnsi="Times New Roman" w:cs="Times New Roman"/>
          <w:sz w:val="24"/>
          <w:szCs w:val="24"/>
        </w:rPr>
        <w:t xml:space="preserve"> with aluminum (Al) and iron (Fe) in acidic soils, or with calciu</w:t>
      </w:r>
      <w:r>
        <w:rPr>
          <w:rFonts w:ascii="Times New Roman" w:hAnsi="Times New Roman" w:cs="Times New Roman"/>
          <w:sz w:val="24"/>
          <w:szCs w:val="24"/>
        </w:rPr>
        <w:t xml:space="preserve">m (Ca) in alkaline soils. This </w:t>
      </w:r>
      <w:r w:rsidRPr="00AB4665">
        <w:rPr>
          <w:rFonts w:ascii="Times New Roman" w:hAnsi="Times New Roman" w:cs="Times New Roman"/>
          <w:sz w:val="24"/>
          <w:szCs w:val="24"/>
        </w:rPr>
        <w:t xml:space="preserve">process reduces the effectiveness of phosphorus fertilizers because </w:t>
      </w:r>
      <w:r>
        <w:rPr>
          <w:rFonts w:ascii="Times New Roman" w:hAnsi="Times New Roman" w:cs="Times New Roman"/>
          <w:sz w:val="24"/>
          <w:szCs w:val="24"/>
        </w:rPr>
        <w:t xml:space="preserve">the fixed phosphorus cannot be </w:t>
      </w:r>
      <w:r w:rsidRPr="00AB4665">
        <w:rPr>
          <w:rFonts w:ascii="Times New Roman" w:hAnsi="Times New Roman" w:cs="Times New Roman"/>
          <w:sz w:val="24"/>
          <w:szCs w:val="24"/>
        </w:rPr>
        <w:t>easily taken up by plants. Laterite soils are ri</w:t>
      </w:r>
      <w:r>
        <w:rPr>
          <w:rFonts w:ascii="Times New Roman" w:hAnsi="Times New Roman" w:cs="Times New Roman"/>
          <w:sz w:val="24"/>
          <w:szCs w:val="24"/>
        </w:rPr>
        <w:t xml:space="preserve">ch in iron and aluminum oxides. Phosphorus reacts with </w:t>
      </w:r>
      <w:r w:rsidRPr="00AB4665">
        <w:rPr>
          <w:rFonts w:ascii="Times New Roman" w:hAnsi="Times New Roman" w:cs="Times New Roman"/>
          <w:sz w:val="24"/>
          <w:szCs w:val="24"/>
        </w:rPr>
        <w:t>these oxides to form insoluble compounds like iron phosphate (FePO</w:t>
      </w:r>
      <w:r w:rsidRPr="00AB4665">
        <w:rPr>
          <w:rFonts w:ascii="Cambria Math" w:hAnsi="Cambria Math" w:cs="Cambria Math"/>
          <w:sz w:val="24"/>
          <w:szCs w:val="24"/>
        </w:rPr>
        <w:t>₄</w:t>
      </w:r>
      <w:r>
        <w:rPr>
          <w:rFonts w:ascii="Times New Roman" w:hAnsi="Times New Roman" w:cs="Times New Roman"/>
          <w:sz w:val="24"/>
          <w:szCs w:val="24"/>
        </w:rPr>
        <w:t xml:space="preserve">) and aluminum phosphate </w:t>
      </w:r>
      <w:r w:rsidRPr="00AB4665">
        <w:rPr>
          <w:rFonts w:ascii="Times New Roman" w:hAnsi="Times New Roman" w:cs="Times New Roman"/>
          <w:sz w:val="24"/>
          <w:szCs w:val="24"/>
        </w:rPr>
        <w:t>(AlPO</w:t>
      </w:r>
      <w:r w:rsidRPr="00AB4665">
        <w:rPr>
          <w:rFonts w:ascii="Cambria Math" w:hAnsi="Cambria Math" w:cs="Cambria Math"/>
          <w:sz w:val="24"/>
          <w:szCs w:val="24"/>
        </w:rPr>
        <w:t>₄</w:t>
      </w:r>
      <w:r w:rsidRPr="00AB4665">
        <w:rPr>
          <w:rFonts w:ascii="Times New Roman" w:hAnsi="Times New Roman" w:cs="Times New Roman"/>
          <w:sz w:val="24"/>
          <w:szCs w:val="24"/>
        </w:rPr>
        <w:t>), making phosphorus unavailable to plants. Laterite soils are oft</w:t>
      </w:r>
      <w:r>
        <w:rPr>
          <w:rFonts w:ascii="Times New Roman" w:hAnsi="Times New Roman" w:cs="Times New Roman"/>
          <w:sz w:val="24"/>
          <w:szCs w:val="24"/>
        </w:rPr>
        <w:t>en acidic, which increases the solubility</w:t>
      </w:r>
      <w:r w:rsidRPr="00AB4665">
        <w:rPr>
          <w:rFonts w:ascii="Times New Roman" w:hAnsi="Times New Roman" w:cs="Times New Roman"/>
          <w:sz w:val="24"/>
          <w:szCs w:val="24"/>
        </w:rPr>
        <w:t xml:space="preserve"> of iron and aluminum, promoting the formation of insoluble</w:t>
      </w:r>
      <w:r>
        <w:rPr>
          <w:rFonts w:ascii="Times New Roman" w:hAnsi="Times New Roman" w:cs="Times New Roman"/>
          <w:sz w:val="24"/>
          <w:szCs w:val="24"/>
        </w:rPr>
        <w:t xml:space="preserve"> phosphorus compounds. Organic </w:t>
      </w:r>
      <w:r w:rsidRPr="00AB4665">
        <w:rPr>
          <w:rFonts w:ascii="Times New Roman" w:hAnsi="Times New Roman" w:cs="Times New Roman"/>
          <w:sz w:val="24"/>
          <w:szCs w:val="24"/>
        </w:rPr>
        <w:t>matters like vermicompost, poultry manure, cow dung manure etc.  are c</w:t>
      </w:r>
      <w:r>
        <w:rPr>
          <w:rFonts w:ascii="Times New Roman" w:hAnsi="Times New Roman" w:cs="Times New Roman"/>
          <w:sz w:val="24"/>
          <w:szCs w:val="24"/>
        </w:rPr>
        <w:t xml:space="preserve">onverting insoluble phosphorus </w:t>
      </w:r>
      <w:r w:rsidRPr="00AB4665">
        <w:rPr>
          <w:rFonts w:ascii="Times New Roman" w:hAnsi="Times New Roman" w:cs="Times New Roman"/>
          <w:sz w:val="24"/>
          <w:szCs w:val="24"/>
        </w:rPr>
        <w:t>to soluble phosphorus   by soil microorganisms through mineralizati</w:t>
      </w:r>
      <w:r>
        <w:rPr>
          <w:rFonts w:ascii="Times New Roman" w:hAnsi="Times New Roman" w:cs="Times New Roman"/>
          <w:sz w:val="24"/>
          <w:szCs w:val="24"/>
        </w:rPr>
        <w:t xml:space="preserve">on, influenced by temperature, </w:t>
      </w:r>
      <w:r w:rsidRPr="00AB4665">
        <w:rPr>
          <w:rFonts w:ascii="Times New Roman" w:hAnsi="Times New Roman" w:cs="Times New Roman"/>
          <w:sz w:val="24"/>
          <w:szCs w:val="24"/>
        </w:rPr>
        <w:t xml:space="preserve">moisture, and microbial activity. The release rate depends on the </w:t>
      </w:r>
      <w:r>
        <w:rPr>
          <w:rFonts w:ascii="Times New Roman" w:hAnsi="Times New Roman" w:cs="Times New Roman"/>
          <w:sz w:val="24"/>
          <w:szCs w:val="24"/>
        </w:rPr>
        <w:t xml:space="preserve">type of organic matter and its </w:t>
      </w:r>
      <w:r w:rsidRPr="00AB4665">
        <w:rPr>
          <w:rFonts w:ascii="Times New Roman" w:hAnsi="Times New Roman" w:cs="Times New Roman"/>
          <w:sz w:val="24"/>
          <w:szCs w:val="24"/>
        </w:rPr>
        <w:t>decomposition rate. Organic materials with low carbon content min</w:t>
      </w:r>
      <w:r>
        <w:rPr>
          <w:rFonts w:ascii="Times New Roman" w:hAnsi="Times New Roman" w:cs="Times New Roman"/>
          <w:sz w:val="24"/>
          <w:szCs w:val="24"/>
        </w:rPr>
        <w:t xml:space="preserve">eralize more quickly. Compost, </w:t>
      </w:r>
      <w:r w:rsidRPr="00AB4665">
        <w:rPr>
          <w:rFonts w:ascii="Times New Roman" w:hAnsi="Times New Roman" w:cs="Times New Roman"/>
          <w:sz w:val="24"/>
          <w:szCs w:val="24"/>
        </w:rPr>
        <w:t xml:space="preserve">manure, and biochar are types of organic matter that provide steady </w:t>
      </w:r>
      <w:r>
        <w:rPr>
          <w:rFonts w:ascii="Times New Roman" w:hAnsi="Times New Roman" w:cs="Times New Roman"/>
          <w:sz w:val="24"/>
          <w:szCs w:val="24"/>
        </w:rPr>
        <w:t xml:space="preserve">phosphorus release and improve </w:t>
      </w:r>
      <w:r w:rsidRPr="00AB4665">
        <w:rPr>
          <w:rFonts w:ascii="Times New Roman" w:hAnsi="Times New Roman" w:cs="Times New Roman"/>
          <w:sz w:val="24"/>
          <w:szCs w:val="24"/>
        </w:rPr>
        <w:t>soil physical properties.</w:t>
      </w:r>
      <w:r w:rsidRPr="003E3E73">
        <w:rPr>
          <w:rFonts w:ascii="Times New Roman" w:hAnsi="Times New Roman"/>
          <w:color w:val="FF0000"/>
          <w:sz w:val="24"/>
          <w:szCs w:val="24"/>
        </w:rPr>
        <w:t>A field experiment was carried out at the Campus Farm of M. S. Swaminathan School of Agriculture, Centurion University of Technology and Management, Paralakhemundi, during the summer of 2025.</w:t>
      </w:r>
      <w:r w:rsidR="003E3E73">
        <w:rPr>
          <w:rFonts w:ascii="Times New Roman" w:hAnsi="Times New Roman"/>
          <w:color w:val="FF0000"/>
          <w:sz w:val="24"/>
          <w:szCs w:val="24"/>
        </w:rPr>
        <w:t>( the sentance go to abstract beginning) what about treatment details and best treatment indicate the abstract.</w:t>
      </w:r>
    </w:p>
    <w:p w:rsidR="006B4CE1" w:rsidRDefault="00E15FE3" w:rsidP="006B4CE1">
      <w:pPr>
        <w:spacing w:after="120"/>
        <w:ind w:left="-180"/>
        <w:rPr>
          <w:rFonts w:ascii="Arial" w:eastAsia="Times New Roman" w:hAnsi="Arial" w:cs="Arial"/>
          <w:i/>
          <w:sz w:val="20"/>
          <w:szCs w:val="24"/>
          <w:lang w:val="en-IN" w:eastAsia="en-IN"/>
        </w:rPr>
      </w:pPr>
      <w:r w:rsidRPr="00B876E1">
        <w:rPr>
          <w:rFonts w:ascii="Arial" w:eastAsia="Times New Roman" w:hAnsi="Arial" w:cs="Arial"/>
          <w:b/>
          <w:i/>
          <w:sz w:val="20"/>
          <w:szCs w:val="24"/>
          <w:lang w:val="en-IN" w:eastAsia="en-IN"/>
        </w:rPr>
        <w:t>Keywords</w:t>
      </w:r>
      <w:r w:rsidRPr="00B876E1">
        <w:rPr>
          <w:rFonts w:ascii="Arial" w:eastAsia="Times New Roman" w:hAnsi="Arial" w:cs="Arial"/>
          <w:b/>
          <w:sz w:val="20"/>
          <w:szCs w:val="24"/>
          <w:lang w:val="en-IN" w:eastAsia="en-IN"/>
        </w:rPr>
        <w:t>:</w:t>
      </w:r>
      <w:r w:rsidRPr="00B876E1">
        <w:rPr>
          <w:rFonts w:ascii="Arial" w:eastAsia="Times New Roman" w:hAnsi="Arial" w:cs="Arial"/>
          <w:i/>
          <w:sz w:val="20"/>
          <w:szCs w:val="24"/>
          <w:lang w:val="en-IN" w:eastAsia="en-IN"/>
        </w:rPr>
        <w:t>Phosphorus level</w:t>
      </w:r>
      <w:r w:rsidR="00B876E1" w:rsidRPr="00B876E1">
        <w:rPr>
          <w:rFonts w:ascii="Arial" w:eastAsia="Times New Roman" w:hAnsi="Arial" w:cs="Arial"/>
          <w:i/>
          <w:sz w:val="20"/>
          <w:szCs w:val="24"/>
          <w:lang w:val="en-IN" w:eastAsia="en-IN"/>
        </w:rPr>
        <w:t>;</w:t>
      </w:r>
      <w:r w:rsidRPr="00B876E1">
        <w:rPr>
          <w:rFonts w:ascii="Arial" w:eastAsia="Times New Roman" w:hAnsi="Arial" w:cs="Arial"/>
          <w:i/>
          <w:sz w:val="20"/>
          <w:szCs w:val="24"/>
          <w:lang w:val="en-IN" w:eastAsia="en-IN"/>
        </w:rPr>
        <w:t xml:space="preserve"> Crop growth rate</w:t>
      </w:r>
      <w:r w:rsidR="00B876E1" w:rsidRPr="00B876E1">
        <w:rPr>
          <w:rFonts w:ascii="Arial" w:eastAsia="Times New Roman" w:hAnsi="Arial" w:cs="Arial"/>
          <w:i/>
          <w:sz w:val="20"/>
          <w:szCs w:val="24"/>
          <w:lang w:val="en-IN" w:eastAsia="en-IN"/>
        </w:rPr>
        <w:t xml:space="preserve">; </w:t>
      </w:r>
      <w:r w:rsidRPr="00B876E1">
        <w:rPr>
          <w:rFonts w:ascii="Arial" w:eastAsia="Times New Roman" w:hAnsi="Arial" w:cs="Arial"/>
          <w:i/>
          <w:sz w:val="20"/>
          <w:szCs w:val="24"/>
          <w:lang w:val="en-IN" w:eastAsia="en-IN"/>
        </w:rPr>
        <w:t>Red soil</w:t>
      </w:r>
      <w:r w:rsidR="00B876E1" w:rsidRPr="00B876E1">
        <w:rPr>
          <w:rFonts w:ascii="Arial" w:eastAsia="Times New Roman" w:hAnsi="Arial" w:cs="Arial"/>
          <w:i/>
          <w:sz w:val="20"/>
          <w:szCs w:val="24"/>
          <w:lang w:val="en-IN" w:eastAsia="en-IN"/>
        </w:rPr>
        <w:t>;</w:t>
      </w:r>
      <w:r w:rsidRPr="00B876E1">
        <w:rPr>
          <w:rFonts w:ascii="Arial" w:eastAsia="Times New Roman" w:hAnsi="Arial" w:cs="Arial"/>
          <w:i/>
          <w:sz w:val="20"/>
          <w:szCs w:val="24"/>
          <w:lang w:val="en-IN" w:eastAsia="en-IN"/>
        </w:rPr>
        <w:t xml:space="preserve"> Black gram cultivation</w:t>
      </w:r>
      <w:r w:rsidR="00B876E1" w:rsidRPr="00B876E1">
        <w:rPr>
          <w:rFonts w:ascii="Arial" w:eastAsia="Times New Roman" w:hAnsi="Arial" w:cs="Arial"/>
          <w:i/>
          <w:sz w:val="20"/>
          <w:szCs w:val="24"/>
          <w:lang w:val="en-IN" w:eastAsia="en-IN"/>
        </w:rPr>
        <w:t>;</w:t>
      </w:r>
      <w:r w:rsidRPr="00B876E1">
        <w:rPr>
          <w:rFonts w:ascii="Arial" w:eastAsia="Times New Roman" w:hAnsi="Arial" w:cs="Arial"/>
          <w:i/>
          <w:sz w:val="20"/>
          <w:szCs w:val="24"/>
          <w:lang w:val="en-IN" w:eastAsia="en-IN"/>
        </w:rPr>
        <w:t xml:space="preserve"> Organic material.</w:t>
      </w:r>
    </w:p>
    <w:p w:rsidR="00B90D93" w:rsidRDefault="00B90D93" w:rsidP="006B4CE1">
      <w:pPr>
        <w:spacing w:after="120"/>
        <w:ind w:left="-180"/>
        <w:rPr>
          <w:rFonts w:ascii="Arial" w:eastAsia="Times New Roman" w:hAnsi="Arial" w:cs="Arial"/>
          <w:i/>
          <w:sz w:val="20"/>
          <w:szCs w:val="24"/>
          <w:lang w:val="en-IN" w:eastAsia="en-IN"/>
        </w:rPr>
      </w:pPr>
    </w:p>
    <w:p w:rsidR="00B90D93" w:rsidRDefault="00B90D93" w:rsidP="006B4CE1">
      <w:pPr>
        <w:spacing w:after="120"/>
        <w:ind w:left="-180"/>
        <w:rPr>
          <w:rFonts w:ascii="Arial" w:eastAsia="Times New Roman" w:hAnsi="Arial" w:cs="Arial"/>
          <w:i/>
          <w:sz w:val="20"/>
          <w:szCs w:val="24"/>
          <w:lang w:val="en-IN" w:eastAsia="en-IN"/>
        </w:rPr>
      </w:pPr>
    </w:p>
    <w:p w:rsidR="00E15FE3" w:rsidRPr="006B4CE1" w:rsidRDefault="00B876E1" w:rsidP="006B4CE1">
      <w:pPr>
        <w:pStyle w:val="ListParagraph"/>
        <w:numPr>
          <w:ilvl w:val="0"/>
          <w:numId w:val="5"/>
        </w:numPr>
        <w:spacing w:after="120"/>
        <w:rPr>
          <w:rFonts w:ascii="Arial" w:eastAsia="Times New Roman" w:hAnsi="Arial" w:cs="Arial"/>
          <w:i/>
          <w:sz w:val="20"/>
          <w:szCs w:val="24"/>
          <w:lang w:val="en-IN" w:eastAsia="en-IN"/>
        </w:rPr>
      </w:pPr>
      <w:r w:rsidRPr="006B4CE1">
        <w:rPr>
          <w:rFonts w:ascii="Arial" w:hAnsi="Arial" w:cs="Arial"/>
          <w:b/>
          <w:szCs w:val="24"/>
        </w:rPr>
        <w:t xml:space="preserve">INTRODUCTION </w:t>
      </w:r>
    </w:p>
    <w:p w:rsidR="00E15FE3" w:rsidRPr="006B4CE1" w:rsidRDefault="00E15FE3" w:rsidP="006B4CE1">
      <w:pPr>
        <w:tabs>
          <w:tab w:val="left" w:pos="1134"/>
        </w:tabs>
        <w:jc w:val="both"/>
        <w:rPr>
          <w:rFonts w:ascii="Arial" w:hAnsi="Arial" w:cs="Arial"/>
          <w:color w:val="000000"/>
          <w:sz w:val="20"/>
          <w:szCs w:val="20"/>
        </w:rPr>
      </w:pPr>
      <w:r w:rsidRPr="006B4CE1">
        <w:rPr>
          <w:rFonts w:ascii="Arial" w:hAnsi="Arial" w:cs="Arial"/>
          <w:sz w:val="20"/>
          <w:szCs w:val="20"/>
        </w:rPr>
        <w:t>Soil provides water, nutrients, and favorable conditions for plant growth.  It maintains biodiversity, yields crop, partitions water, filters and buffers, and cycles nutrients</w:t>
      </w:r>
      <w:sdt>
        <w:sdtPr>
          <w:rPr>
            <w:rFonts w:ascii="Arial" w:hAnsi="Arial" w:cs="Arial"/>
            <w:color w:val="000000"/>
            <w:sz w:val="20"/>
            <w:szCs w:val="20"/>
          </w:rPr>
          <w:tag w:val="MENDELEY_CITATION_v3_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"/>
          <w:id w:val="1744069267"/>
          <w:placeholder>
            <w:docPart w:val="109A677E133C48C1BEB7DD562463236E"/>
          </w:placeholder>
        </w:sdtPr>
        <w:sdtContent>
          <w:r w:rsidR="00D13D03" w:rsidRPr="006B4CE1">
            <w:rPr>
              <w:rFonts w:ascii="Arial" w:eastAsia="Times New Roman" w:hAnsi="Arial" w:cs="Arial"/>
              <w:color w:val="000000"/>
              <w:sz w:val="20"/>
              <w:szCs w:val="20"/>
            </w:rPr>
            <w:t>(</w:t>
          </w:r>
          <w:r w:rsidR="00F44692" w:rsidRPr="006B4CE1">
            <w:rPr>
              <w:rFonts w:ascii="Arial" w:eastAsia="Times New Roman" w:hAnsi="Arial" w:cs="Arial"/>
              <w:color w:val="000000"/>
              <w:sz w:val="20"/>
              <w:szCs w:val="20"/>
            </w:rPr>
            <w:t xml:space="preserve">Pal et al., 2020, </w:t>
          </w:r>
          <w:r w:rsidR="00D13D03" w:rsidRPr="006B4CE1">
            <w:rPr>
              <w:rFonts w:ascii="Arial" w:eastAsia="Times New Roman" w:hAnsi="Arial" w:cs="Arial"/>
              <w:color w:val="000000"/>
              <w:sz w:val="20"/>
              <w:szCs w:val="20"/>
            </w:rPr>
            <w:t>Doran &amp; Zeiss, 2000)</w:t>
          </w:r>
        </w:sdtContent>
      </w:sdt>
      <w:r w:rsidRPr="006B4CE1">
        <w:rPr>
          <w:rFonts w:ascii="Arial" w:hAnsi="Arial" w:cs="Arial"/>
          <w:color w:val="000000"/>
          <w:sz w:val="20"/>
          <w:szCs w:val="20"/>
        </w:rPr>
        <w:t xml:space="preserve">.Red soil can be red, yellow, grey, or even black. Weathering of old crystalline and metamorphic rocks, such as acid granites and gneisses, quartzitic, results in its formation. </w:t>
      </w:r>
      <w:r w:rsidRPr="006B4CE1">
        <w:rPr>
          <w:rFonts w:ascii="Arial" w:eastAsia="Times New Roman" w:hAnsi="Arial" w:cs="Arial"/>
          <w:sz w:val="20"/>
          <w:szCs w:val="20"/>
          <w:lang w:val="en-IN" w:eastAsia="en-IN"/>
        </w:rPr>
        <w:t xml:space="preserve">It is aluminous and siliceous with loose quartz used as sand. It is strong in potassium and has a loamy texture. </w:t>
      </w:r>
      <w:r w:rsidRPr="006B4CE1">
        <w:rPr>
          <w:rFonts w:ascii="Arial" w:hAnsi="Arial" w:cs="Arial"/>
          <w:color w:val="000000"/>
          <w:sz w:val="20"/>
          <w:szCs w:val="20"/>
        </w:rPr>
        <w:t xml:space="preserve">It has a dark, rich lower layer and a sandy, porous upper layer. It covers 10.6% of India's land area, including Tamil Nadu, Uttar Pradesh Karnataka, Maharashtra, eastern Andhra Pradesh and Madhya Pradesh, Orissa, Chhattisgarh, West </w:t>
      </w:r>
      <w:r w:rsidRPr="006B4CE1">
        <w:rPr>
          <w:rFonts w:ascii="Arial" w:hAnsi="Arial" w:cs="Arial"/>
          <w:color w:val="000000"/>
          <w:sz w:val="20"/>
          <w:szCs w:val="20"/>
        </w:rPr>
        <w:lastRenderedPageBreak/>
        <w:t xml:space="preserve">Bengal, Jharkhand, south Bihar, eastern </w:t>
      </w:r>
      <w:r w:rsidR="003E3E73" w:rsidRPr="006B4CE1">
        <w:rPr>
          <w:rFonts w:ascii="Arial" w:hAnsi="Arial" w:cs="Arial"/>
          <w:color w:val="000000"/>
          <w:sz w:val="20"/>
          <w:szCs w:val="20"/>
        </w:rPr>
        <w:t>Rajasthan</w:t>
      </w:r>
      <w:r w:rsidRPr="006B4CE1">
        <w:rPr>
          <w:rFonts w:ascii="Arial" w:hAnsi="Arial" w:cs="Arial"/>
          <w:color w:val="000000"/>
          <w:sz w:val="20"/>
          <w:szCs w:val="20"/>
        </w:rPr>
        <w:t xml:space="preserve">, Manipur, Assam, Nagaland, Mizoram and Tripura. </w:t>
      </w:r>
      <w:r w:rsidRPr="006B4CE1">
        <w:rPr>
          <w:rFonts w:ascii="Arial" w:hAnsi="Arial" w:cs="Arial"/>
          <w:sz w:val="20"/>
          <w:szCs w:val="20"/>
        </w:rPr>
        <w:t xml:space="preserve">Red soils are considered as essential in soil categorization systems due to their extensive coverage in many parts of the world and the numerous opportunities for agricultural output. </w:t>
      </w:r>
      <w:r w:rsidRPr="006B4CE1">
        <w:rPr>
          <w:rFonts w:ascii="Arial" w:eastAsia="Times New Roman" w:hAnsi="Arial" w:cs="Arial"/>
          <w:sz w:val="20"/>
          <w:szCs w:val="20"/>
          <w:lang w:val="en-IN" w:eastAsia="en-IN"/>
        </w:rPr>
        <w:t>This type of soil, which covers 61.5 million hectares, is mostly found in the southern and semi-arid parts of India. They are mostly classified as Rhodustalfs (Luvisols) that are constituents of the Alfisol order. It has characteristics marked by high clay content and typically occurs in karstic surroundings</w:t>
      </w:r>
      <w:sdt>
        <w:sdtPr>
          <w:rPr>
            <w:rFonts w:ascii="Arial" w:hAnsi="Arial" w:cs="Arial"/>
            <w:color w:val="000000"/>
            <w:sz w:val="20"/>
            <w:szCs w:val="20"/>
          </w:rPr>
          <w:tag w:val="MENDELEY_CITATION_v3_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"/>
          <w:id w:val="12574316"/>
          <w:placeholder>
            <w:docPart w:val="F08A5AF66AB1477DA566B0D0A7FAA45A"/>
          </w:placeholder>
        </w:sdtPr>
        <w:sdtContent>
          <w:r w:rsidR="00D13D03" w:rsidRPr="006B4CE1">
            <w:rPr>
              <w:rFonts w:ascii="Arial" w:hAnsi="Arial" w:cs="Arial"/>
              <w:color w:val="000000"/>
              <w:sz w:val="20"/>
              <w:szCs w:val="20"/>
            </w:rPr>
            <w:t>(</w:t>
          </w:r>
          <w:r w:rsidR="00F44692" w:rsidRPr="006B4CE1">
            <w:rPr>
              <w:rFonts w:ascii="Arial" w:hAnsi="Arial" w:cs="Arial"/>
              <w:color w:val="000000"/>
              <w:sz w:val="20"/>
              <w:szCs w:val="20"/>
            </w:rPr>
            <w:t xml:space="preserve"> Adhikary et al., 2016 &amp; 2021, </w:t>
          </w:r>
          <w:r w:rsidR="00D13D03" w:rsidRPr="006B4CE1">
            <w:rPr>
              <w:rFonts w:ascii="Arial" w:hAnsi="Arial" w:cs="Arial"/>
              <w:color w:val="000000"/>
              <w:sz w:val="20"/>
              <w:szCs w:val="20"/>
            </w:rPr>
            <w:t>Liankai et al., 2020)</w:t>
          </w:r>
        </w:sdtContent>
      </w:sdt>
      <w:r w:rsidRPr="006B4CE1">
        <w:rPr>
          <w:rFonts w:ascii="Arial" w:hAnsi="Arial" w:cs="Arial"/>
          <w:color w:val="000000"/>
          <w:sz w:val="20"/>
          <w:szCs w:val="20"/>
        </w:rPr>
        <w:t>.</w:t>
      </w:r>
    </w:p>
    <w:p w:rsidR="00E15FE3" w:rsidRPr="006B4CE1" w:rsidRDefault="00E15FE3" w:rsidP="006B4CE1">
      <w:pPr>
        <w:tabs>
          <w:tab w:val="left" w:pos="1134"/>
        </w:tabs>
        <w:jc w:val="both"/>
        <w:rPr>
          <w:rFonts w:ascii="Arial" w:hAnsi="Arial" w:cs="Arial"/>
          <w:color w:val="000000"/>
          <w:sz w:val="20"/>
          <w:szCs w:val="20"/>
        </w:rPr>
      </w:pPr>
      <w:r w:rsidRPr="006B4CE1">
        <w:rPr>
          <w:rFonts w:ascii="Arial" w:eastAsia="Times New Roman" w:hAnsi="Arial" w:cs="Arial"/>
          <w:sz w:val="20"/>
          <w:szCs w:val="20"/>
          <w:lang w:val="en-IN" w:eastAsia="en-IN"/>
        </w:rPr>
        <w:t>It is evident that the soils have a low CEC and little organic matter</w:t>
      </w:r>
      <w:r w:rsidRPr="006B4CE1">
        <w:rPr>
          <w:rFonts w:ascii="Arial" w:hAnsi="Arial" w:cs="Arial"/>
          <w:sz w:val="20"/>
          <w:szCs w:val="20"/>
        </w:rPr>
        <w:t xml:space="preserve">. </w:t>
      </w:r>
      <w:r w:rsidRPr="006B4CE1">
        <w:rPr>
          <w:rFonts w:ascii="Arial" w:eastAsia="Times New Roman" w:hAnsi="Arial" w:cs="Arial"/>
          <w:sz w:val="20"/>
          <w:szCs w:val="20"/>
          <w:lang w:val="en-IN" w:eastAsia="en-IN"/>
        </w:rPr>
        <w:t xml:space="preserve">The soils may turn lateritic increasing depth. This indicates that when exposed to alternating soaking and drying, the highly iron-enriched subsoil becomes sufficiently hard to form bricks. </w:t>
      </w:r>
      <w:r w:rsidRPr="006B4CE1">
        <w:rPr>
          <w:rFonts w:ascii="Arial" w:hAnsi="Arial" w:cs="Arial"/>
          <w:sz w:val="20"/>
          <w:szCs w:val="20"/>
        </w:rPr>
        <w:t>Red soil contains a wide variety of microorganisms, including beneficial bacteria and fungus, which can aid to enhance soil structure and nutrient availability for plants. These soils frequently experience significant water erosion and loss of nutrients as a result of heavy rainfall. Key limitations for farming on these soils include: significant soil erosion resulting in nutrient loss, poor water retention which causes regular drought situations, lack of N, P, and K, limited P availability due to high P fixation</w:t>
      </w:r>
      <w:sdt>
        <w:sdtPr>
          <w:rPr>
            <w:rFonts w:ascii="Arial" w:hAnsi="Arial" w:cs="Arial"/>
            <w:color w:val="000000"/>
            <w:sz w:val="20"/>
            <w:szCs w:val="20"/>
          </w:rPr>
          <w:tag w:val="MENDELEY_CITATION_v3_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"/>
          <w:id w:val="1103756641"/>
          <w:placeholder>
            <w:docPart w:val="B0F99C484E6A4E05BD23E14DAC579FFD"/>
          </w:placeholder>
        </w:sdtPr>
        <w:sdtContent>
          <w:r w:rsidR="00D13D03" w:rsidRPr="006B4CE1">
            <w:rPr>
              <w:rFonts w:ascii="Arial" w:hAnsi="Arial" w:cs="Arial"/>
              <w:color w:val="000000"/>
              <w:sz w:val="20"/>
              <w:szCs w:val="20"/>
            </w:rPr>
            <w:t>(Wilson, 2004)</w:t>
          </w:r>
        </w:sdtContent>
      </w:sdt>
      <w:r w:rsidRPr="006B4CE1">
        <w:rPr>
          <w:rFonts w:ascii="Arial" w:hAnsi="Arial" w:cs="Arial"/>
          <w:color w:val="000000"/>
          <w:sz w:val="20"/>
          <w:szCs w:val="20"/>
        </w:rPr>
        <w:t>.</w:t>
      </w:r>
    </w:p>
    <w:p w:rsidR="002E35E0" w:rsidRPr="006B4CE1" w:rsidRDefault="002E35E0" w:rsidP="006B4CE1">
      <w:pPr>
        <w:tabs>
          <w:tab w:val="left" w:pos="1134"/>
        </w:tabs>
        <w:jc w:val="both"/>
        <w:rPr>
          <w:rFonts w:ascii="Arial" w:hAnsi="Arial" w:cs="Arial"/>
          <w:color w:val="000000"/>
          <w:sz w:val="20"/>
          <w:szCs w:val="20"/>
        </w:rPr>
      </w:pPr>
      <w:r w:rsidRPr="006B4CE1">
        <w:rPr>
          <w:rFonts w:ascii="Arial" w:eastAsia="Times New Roman" w:hAnsi="Arial" w:cs="Arial"/>
          <w:sz w:val="20"/>
          <w:szCs w:val="20"/>
          <w:lang w:val="en-IN" w:eastAsia="en-IN"/>
        </w:rPr>
        <w:t xml:space="preserve">This kind of soil that usually grows under warm, moist climates. </w:t>
      </w:r>
      <w:r w:rsidRPr="006B4CE1">
        <w:rPr>
          <w:rFonts w:ascii="Arial" w:hAnsi="Arial" w:cs="Arial"/>
          <w:sz w:val="20"/>
          <w:szCs w:val="20"/>
        </w:rPr>
        <w:t>They grow in deciduous conditions and are generally found in mixed forests (Dewangan et al., 2022</w:t>
      </w:r>
      <w:r w:rsidR="00F44692" w:rsidRPr="006B4CE1">
        <w:rPr>
          <w:rFonts w:ascii="Arial" w:hAnsi="Arial" w:cs="Arial"/>
          <w:sz w:val="20"/>
          <w:szCs w:val="20"/>
        </w:rPr>
        <w:t>&amp; Adhikary et al., 2019</w:t>
      </w:r>
      <w:r w:rsidRPr="006B4CE1">
        <w:rPr>
          <w:rFonts w:ascii="Arial" w:hAnsi="Arial" w:cs="Arial"/>
          <w:sz w:val="20"/>
          <w:szCs w:val="20"/>
        </w:rPr>
        <w:t>)</w:t>
      </w:r>
      <w:r w:rsidRPr="006B4CE1">
        <w:rPr>
          <w:rFonts w:ascii="Arial" w:hAnsi="Arial" w:cs="Arial"/>
          <w:color w:val="000000"/>
          <w:sz w:val="20"/>
          <w:szCs w:val="20"/>
        </w:rPr>
        <w:t>.</w:t>
      </w:r>
    </w:p>
    <w:p w:rsidR="00B16ABA" w:rsidRPr="006B4CE1" w:rsidRDefault="00605A8B" w:rsidP="006B4CE1">
      <w:pPr>
        <w:tabs>
          <w:tab w:val="left" w:pos="1134"/>
        </w:tabs>
        <w:jc w:val="both"/>
        <w:rPr>
          <w:rFonts w:ascii="Arial" w:eastAsia="Times New Roman" w:hAnsi="Arial" w:cs="Arial"/>
          <w:color w:val="000000"/>
          <w:sz w:val="20"/>
          <w:szCs w:val="20"/>
          <w:lang w:val="en-IN" w:eastAsia="en-IN"/>
        </w:rPr>
      </w:pPr>
      <w:r w:rsidRPr="006B4CE1">
        <w:rPr>
          <w:rFonts w:ascii="Arial" w:hAnsi="Arial" w:cs="Arial"/>
          <w:sz w:val="20"/>
          <w:szCs w:val="20"/>
        </w:rPr>
        <w:t>As a leading cause of decreased crop yields, soil acidification poses a grave danger to terrestrial ecosystems around the world</w:t>
      </w:r>
      <w:sdt>
        <w:sdtPr>
          <w:rPr>
            <w:rFonts w:ascii="Arial" w:hAnsi="Arial" w:cs="Arial"/>
            <w:color w:val="000000"/>
            <w:sz w:val="20"/>
            <w:szCs w:val="20"/>
          </w:rPr>
          <w:tag w:val="MENDELEY_CITATION_v3_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"/>
          <w:id w:val="-2126147705"/>
          <w:placeholder>
            <w:docPart w:val="E394FAF7CA954ECA8539B0F7A06A8DB1"/>
          </w:placeholder>
        </w:sdtPr>
        <w:sdtContent>
          <w:r w:rsidR="00D13D03" w:rsidRPr="006B4CE1">
            <w:rPr>
              <w:rFonts w:ascii="Arial" w:hAnsi="Arial" w:cs="Arial"/>
              <w:color w:val="000000"/>
              <w:sz w:val="20"/>
              <w:szCs w:val="20"/>
            </w:rPr>
            <w:t>(Hao et al., 2019)</w:t>
          </w:r>
        </w:sdtContent>
      </w:sdt>
      <w:r w:rsidRPr="006B4CE1">
        <w:rPr>
          <w:rFonts w:ascii="Arial" w:hAnsi="Arial" w:cs="Arial"/>
          <w:color w:val="000000"/>
          <w:sz w:val="20"/>
          <w:szCs w:val="20"/>
        </w:rPr>
        <w:t xml:space="preserve">. </w:t>
      </w:r>
      <w:r w:rsidRPr="006B4CE1">
        <w:rPr>
          <w:rFonts w:ascii="Arial" w:hAnsi="Arial" w:cs="Arial"/>
          <w:sz w:val="20"/>
          <w:szCs w:val="20"/>
        </w:rPr>
        <w:t xml:space="preserve">More than 50% of the world's </w:t>
      </w:r>
      <w:r w:rsidRPr="006B4CE1">
        <w:rPr>
          <w:rFonts w:ascii="Arial" w:hAnsi="Arial" w:cs="Arial"/>
          <w:color w:val="000000"/>
          <w:sz w:val="20"/>
          <w:szCs w:val="20"/>
        </w:rPr>
        <w:t>arable land is located on acidic soils, which make up around 30% of the entire land region</w:t>
      </w:r>
      <w:sdt>
        <w:sdtPr>
          <w:rPr>
            <w:rFonts w:ascii="Arial" w:hAnsi="Arial" w:cs="Arial"/>
            <w:color w:val="000000"/>
            <w:sz w:val="20"/>
            <w:szCs w:val="20"/>
          </w:rPr>
          <w:tag w:val="MENDELEY_CITATION_v3_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"/>
          <w:id w:val="87510664"/>
          <w:placeholder>
            <w:docPart w:val="B91B5659EBFC46FF85D08F5F95EA090A"/>
          </w:placeholder>
        </w:sdtPr>
        <w:sdtContent>
          <w:r w:rsidR="00D13D03" w:rsidRPr="006B4CE1">
            <w:rPr>
              <w:rFonts w:ascii="Arial" w:hAnsi="Arial" w:cs="Arial"/>
              <w:color w:val="000000"/>
              <w:sz w:val="20"/>
              <w:szCs w:val="20"/>
            </w:rPr>
            <w:t>(Kochian et al., 2015)</w:t>
          </w:r>
        </w:sdtContent>
      </w:sdt>
      <w:r w:rsidRPr="006B4CE1">
        <w:rPr>
          <w:rFonts w:ascii="Arial" w:hAnsi="Arial" w:cs="Arial"/>
          <w:color w:val="000000"/>
          <w:sz w:val="20"/>
          <w:szCs w:val="20"/>
        </w:rPr>
        <w:t xml:space="preserve">. </w:t>
      </w:r>
      <w:r w:rsidR="00B16ABA" w:rsidRPr="006B4CE1">
        <w:rPr>
          <w:rFonts w:ascii="Arial" w:hAnsi="Arial" w:cs="Arial"/>
          <w:color w:val="000000"/>
          <w:sz w:val="20"/>
          <w:szCs w:val="20"/>
        </w:rPr>
        <w:t>An essential agricultural practice that lime can neutralize soil acidity, raise soil pH, improve nutrient availability, add calcium (Ca2+) for plants to absorb, and reduce the elemental toxicity of some minerals, particularly in topsoil</w:t>
      </w:r>
      <w:sdt>
        <w:sdtPr>
          <w:rPr>
            <w:rFonts w:ascii="Arial" w:hAnsi="Arial" w:cs="Arial"/>
            <w:color w:val="000000"/>
            <w:sz w:val="20"/>
            <w:szCs w:val="20"/>
          </w:rPr>
          <w:tag w:val="MENDELEY_CITATION_v3_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"/>
          <w:id w:val="-72130844"/>
          <w:placeholder>
            <w:docPart w:val="C0C896C97E7D4185AB91E0FDA5343B3E"/>
          </w:placeholder>
        </w:sdtPr>
        <w:sdtContent>
          <w:r w:rsidR="00D13D03" w:rsidRPr="006B4CE1">
            <w:rPr>
              <w:rFonts w:ascii="Arial" w:hAnsi="Arial" w:cs="Arial"/>
              <w:color w:val="000000"/>
              <w:sz w:val="20"/>
              <w:szCs w:val="20"/>
            </w:rPr>
            <w:t>(Li et al., 2019)</w:t>
          </w:r>
        </w:sdtContent>
      </w:sdt>
      <w:r w:rsidR="00B16ABA" w:rsidRPr="006B4CE1">
        <w:rPr>
          <w:rFonts w:ascii="Arial" w:hAnsi="Arial" w:cs="Arial"/>
          <w:color w:val="000000"/>
          <w:sz w:val="20"/>
          <w:szCs w:val="20"/>
        </w:rPr>
        <w:t xml:space="preserve">. </w:t>
      </w:r>
      <w:r w:rsidR="00B16ABA" w:rsidRPr="006B4CE1">
        <w:rPr>
          <w:rFonts w:ascii="Arial" w:eastAsia="Times New Roman" w:hAnsi="Arial" w:cs="Arial"/>
          <w:sz w:val="20"/>
          <w:szCs w:val="20"/>
          <w:lang w:val="en-IN" w:eastAsia="en-IN"/>
        </w:rPr>
        <w:t>Soil pH reflects several chemical features of the soil. It significantly affects soil element conversion, microbial activity, nutrient availability, and crop growth</w:t>
      </w:r>
      <w:sdt>
        <w:sdtPr>
          <w:rPr>
            <w:rFonts w:ascii="Arial" w:eastAsia="Times New Roman" w:hAnsi="Arial" w:cs="Arial"/>
            <w:color w:val="000000"/>
            <w:sz w:val="20"/>
            <w:szCs w:val="20"/>
            <w:lang w:val="en-IN" w:eastAsia="en-IN"/>
          </w:rPr>
          <w:tag w:val="MENDELEY_CITATION_v3_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"/>
          <w:id w:val="-1079212061"/>
          <w:placeholder>
            <w:docPart w:val="616605729A3B4A6595F4174FCFD6F377"/>
          </w:placeholder>
        </w:sdtPr>
        <w:sdtContent>
          <w:r w:rsidR="00D13D03" w:rsidRPr="006B4CE1">
            <w:rPr>
              <w:rFonts w:ascii="Arial" w:eastAsia="Times New Roman" w:hAnsi="Arial" w:cs="Arial"/>
              <w:color w:val="000000"/>
              <w:sz w:val="20"/>
              <w:szCs w:val="20"/>
            </w:rPr>
            <w:t>(AciegoPietri&amp; Brookes, 2008)</w:t>
          </w:r>
        </w:sdtContent>
      </w:sdt>
      <w:r w:rsidR="00B16ABA" w:rsidRPr="006B4CE1">
        <w:rPr>
          <w:rFonts w:ascii="Arial" w:eastAsia="Times New Roman" w:hAnsi="Arial" w:cs="Arial"/>
          <w:color w:val="000000"/>
          <w:sz w:val="20"/>
          <w:szCs w:val="20"/>
          <w:lang w:val="en-IN" w:eastAsia="en-IN"/>
        </w:rPr>
        <w:t>. Soil acidification is a major issue in modern high-input, high-output agriculture, limiting local production and negatively impacting environmental quality</w:t>
      </w:r>
      <w:sdt>
        <w:sdtPr>
          <w:rPr>
            <w:rFonts w:ascii="Arial" w:eastAsia="Times New Roman" w:hAnsi="Arial" w:cs="Arial"/>
            <w:color w:val="000000"/>
            <w:sz w:val="20"/>
            <w:szCs w:val="20"/>
            <w:lang w:val="en-IN" w:eastAsia="en-IN"/>
          </w:rPr>
          <w:tag w:val="MENDELEY_CITATION_v3_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"/>
          <w:id w:val="-717809346"/>
          <w:placeholder>
            <w:docPart w:val="FCA796042E584F71AD0D88572C6F4D3E"/>
          </w:placeholder>
        </w:sdtPr>
        <w:sdtContent>
          <w:r w:rsidR="00D13D03" w:rsidRPr="006B4CE1">
            <w:rPr>
              <w:rFonts w:ascii="Arial" w:eastAsia="Times New Roman" w:hAnsi="Arial" w:cs="Arial"/>
              <w:color w:val="000000"/>
              <w:sz w:val="20"/>
              <w:szCs w:val="20"/>
              <w:lang w:val="en-IN" w:eastAsia="en-IN"/>
            </w:rPr>
            <w:t>(Xie et al., 2019)</w:t>
          </w:r>
        </w:sdtContent>
      </w:sdt>
      <w:r w:rsidR="00B16ABA" w:rsidRPr="006B4CE1">
        <w:rPr>
          <w:rFonts w:ascii="Arial" w:eastAsia="Times New Roman" w:hAnsi="Arial" w:cs="Arial"/>
          <w:color w:val="000000"/>
          <w:sz w:val="20"/>
          <w:szCs w:val="20"/>
          <w:lang w:val="en-IN" w:eastAsia="en-IN"/>
        </w:rPr>
        <w:t>. Excessive sulphur dioxide and nitrogen oxide emissions have caused soil acidification</w:t>
      </w:r>
      <w:sdt>
        <w:sdtPr>
          <w:rPr>
            <w:rFonts w:ascii="Arial" w:eastAsia="Times New Roman" w:hAnsi="Arial" w:cs="Arial"/>
            <w:color w:val="000000"/>
            <w:sz w:val="20"/>
            <w:szCs w:val="20"/>
            <w:lang w:val="en-IN" w:eastAsia="en-IN"/>
          </w:rPr>
          <w:tag w:val="MENDELEY_CITATION_v3_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"/>
          <w:id w:val="1983883217"/>
          <w:placeholder>
            <w:docPart w:val="5E5CD24FF09046D980FF15D67D86118C"/>
          </w:placeholder>
        </w:sdtPr>
        <w:sdtContent>
          <w:r w:rsidR="00D13D03" w:rsidRPr="006B4CE1">
            <w:rPr>
              <w:rFonts w:ascii="Arial" w:eastAsia="Times New Roman" w:hAnsi="Arial" w:cs="Arial"/>
              <w:color w:val="000000"/>
              <w:sz w:val="20"/>
              <w:szCs w:val="20"/>
              <w:lang w:val="en-IN" w:eastAsia="en-IN"/>
            </w:rPr>
            <w:t>(Čakmak et al., 2014)</w:t>
          </w:r>
        </w:sdtContent>
      </w:sdt>
      <w:r w:rsidR="00B16ABA" w:rsidRPr="006B4CE1">
        <w:rPr>
          <w:rFonts w:ascii="Arial" w:eastAsia="Times New Roman" w:hAnsi="Arial" w:cs="Arial"/>
          <w:color w:val="000000"/>
          <w:sz w:val="20"/>
          <w:szCs w:val="20"/>
          <w:lang w:val="en-IN" w:eastAsia="en-IN"/>
        </w:rPr>
        <w:t xml:space="preserve">. </w:t>
      </w:r>
      <w:r w:rsidR="00B16ABA" w:rsidRPr="006B4CE1">
        <w:rPr>
          <w:rFonts w:ascii="Arial" w:eastAsia="Times New Roman" w:hAnsi="Arial" w:cs="Arial"/>
          <w:sz w:val="20"/>
          <w:szCs w:val="20"/>
          <w:lang w:val="en-IN" w:eastAsia="en-IN"/>
        </w:rPr>
        <w:t>The quantity of decaying matter in soil affects its acid buffer capacity</w:t>
      </w:r>
      <w:sdt>
        <w:sdtPr>
          <w:rPr>
            <w:rFonts w:ascii="Arial" w:eastAsia="Times New Roman" w:hAnsi="Arial" w:cs="Arial"/>
            <w:color w:val="000000"/>
            <w:sz w:val="20"/>
            <w:szCs w:val="20"/>
            <w:lang w:val="en-IN" w:eastAsia="en-IN"/>
          </w:rPr>
          <w:tag w:val="MENDELEY_CITATION_v3_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"/>
          <w:id w:val="-936986091"/>
          <w:placeholder>
            <w:docPart w:val="5150E6AB3ED74FCC8F239E094517F538"/>
          </w:placeholder>
        </w:sdtPr>
        <w:sdtContent>
          <w:r w:rsidR="00D13D03" w:rsidRPr="006B4CE1">
            <w:rPr>
              <w:rFonts w:ascii="Arial" w:eastAsia="Times New Roman" w:hAnsi="Arial" w:cs="Arial"/>
              <w:color w:val="000000"/>
              <w:sz w:val="20"/>
              <w:szCs w:val="20"/>
              <w:lang w:val="en-IN" w:eastAsia="en-IN"/>
            </w:rPr>
            <w:t>(Shen et al., 2021)</w:t>
          </w:r>
        </w:sdtContent>
      </w:sdt>
      <w:r w:rsidR="00B16ABA" w:rsidRPr="006B4CE1">
        <w:rPr>
          <w:rFonts w:ascii="Arial" w:eastAsia="Times New Roman" w:hAnsi="Arial" w:cs="Arial"/>
          <w:color w:val="000000"/>
          <w:sz w:val="20"/>
          <w:szCs w:val="20"/>
          <w:lang w:val="en-IN" w:eastAsia="en-IN"/>
        </w:rPr>
        <w:t xml:space="preserve">. </w:t>
      </w:r>
    </w:p>
    <w:p w:rsidR="000376B0" w:rsidRPr="006B4CE1" w:rsidRDefault="006B2C70" w:rsidP="006B4CE1">
      <w:pPr>
        <w:tabs>
          <w:tab w:val="left" w:pos="1134"/>
        </w:tabs>
        <w:jc w:val="both"/>
        <w:rPr>
          <w:rFonts w:ascii="Arial" w:hAnsi="Arial" w:cs="Arial"/>
          <w:color w:val="000000"/>
          <w:sz w:val="20"/>
          <w:szCs w:val="20"/>
        </w:rPr>
      </w:pPr>
      <w:r w:rsidRPr="006B4CE1">
        <w:rPr>
          <w:rFonts w:ascii="Arial" w:hAnsi="Arial" w:cs="Arial"/>
          <w:sz w:val="20"/>
          <w:szCs w:val="20"/>
        </w:rPr>
        <w:t>Excessive P accumulation in soil has expanded soil P pools, and soil P has become an environmental hazard, producing eutrophication of surface water systems. Soil P fractions vary depending on mineral composition, particle size, and cultivation level</w:t>
      </w:r>
      <w:sdt>
        <w:sdtPr>
          <w:rPr>
            <w:rFonts w:ascii="Arial" w:hAnsi="Arial" w:cs="Arial"/>
            <w:color w:val="000000"/>
            <w:sz w:val="20"/>
            <w:szCs w:val="20"/>
          </w:rPr>
          <w:tag w:val="MENDELEY_CITATION_v3_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"/>
          <w:id w:val="-1734000204"/>
          <w:placeholder>
            <w:docPart w:val="80EDD347CBAC4620B89ED57AF1FDB2E2"/>
          </w:placeholder>
        </w:sdtPr>
        <w:sdtContent>
          <w:r w:rsidR="00D13D03" w:rsidRPr="006B4CE1">
            <w:rPr>
              <w:rFonts w:ascii="Arial" w:hAnsi="Arial" w:cs="Arial"/>
              <w:color w:val="000000"/>
              <w:sz w:val="20"/>
              <w:szCs w:val="20"/>
            </w:rPr>
            <w:t>(Yan et al., 2020)</w:t>
          </w:r>
        </w:sdtContent>
      </w:sdt>
      <w:r w:rsidRPr="006B4CE1">
        <w:rPr>
          <w:rFonts w:ascii="Arial" w:hAnsi="Arial" w:cs="Arial"/>
          <w:color w:val="000000"/>
          <w:sz w:val="20"/>
          <w:szCs w:val="20"/>
        </w:rPr>
        <w:t>.</w:t>
      </w:r>
      <w:r w:rsidR="00BD7CC0" w:rsidRPr="006B4CE1">
        <w:rPr>
          <w:rFonts w:ascii="Arial" w:hAnsi="Arial" w:cs="Arial"/>
          <w:sz w:val="20"/>
          <w:szCs w:val="20"/>
        </w:rPr>
        <w:t>In order to make sure crops have enough phosphorus, farmers often use too much fertilizer, which can lead to serious eutrophication by extract into lower ground and surface of water. Instead than continuously applying excess quantity of P fertilizer, it would be more sustainable to boost crops' ability to gather soil P efficiently</w:t>
      </w:r>
      <w:sdt>
        <w:sdtPr>
          <w:rPr>
            <w:rFonts w:ascii="Arial" w:hAnsi="Arial" w:cs="Arial"/>
            <w:color w:val="000000"/>
            <w:sz w:val="20"/>
            <w:szCs w:val="20"/>
          </w:rPr>
          <w:tag w:val="MENDELEY_CITATION_v3_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"/>
          <w:id w:val="-914082925"/>
          <w:placeholder>
            <w:docPart w:val="9BE1177F085049568851E0EE40FB21AD"/>
          </w:placeholder>
        </w:sdtPr>
        <w:sdtContent>
          <w:r w:rsidR="00D13D03" w:rsidRPr="006B4CE1">
            <w:rPr>
              <w:rFonts w:ascii="Arial" w:hAnsi="Arial" w:cs="Arial"/>
              <w:color w:val="000000"/>
              <w:sz w:val="20"/>
              <w:szCs w:val="20"/>
            </w:rPr>
            <w:t>(Ao et al., 2014)</w:t>
          </w:r>
        </w:sdtContent>
      </w:sdt>
      <w:r w:rsidR="00BD7CC0" w:rsidRPr="006B4CE1">
        <w:rPr>
          <w:rFonts w:ascii="Arial" w:hAnsi="Arial" w:cs="Arial"/>
          <w:color w:val="000000"/>
          <w:sz w:val="20"/>
          <w:szCs w:val="20"/>
        </w:rPr>
        <w:t>.</w:t>
      </w:r>
      <w:r w:rsidR="007022CA" w:rsidRPr="006B4CE1">
        <w:rPr>
          <w:rFonts w:ascii="Arial" w:hAnsi="Arial" w:cs="Arial"/>
          <w:sz w:val="20"/>
          <w:szCs w:val="20"/>
        </w:rPr>
        <w:t xml:space="preserve">Applying farm manure, also known as green manure, is a proven strategy for restoring agricultural production on these soils by enhancing their physical, chemical, and biological qualities. Phosphorus insufficiency is a major constraint on agricultural productivity in red soil regions. Improving the chemical and biochemical measure of </w:t>
      </w:r>
      <w:r w:rsidR="000376B0" w:rsidRPr="006B4CE1">
        <w:rPr>
          <w:rFonts w:ascii="Arial" w:hAnsi="Arial" w:cs="Arial"/>
          <w:sz w:val="20"/>
          <w:szCs w:val="20"/>
        </w:rPr>
        <w:t>P</w:t>
      </w:r>
      <w:r w:rsidR="007022CA" w:rsidRPr="006B4CE1">
        <w:rPr>
          <w:rFonts w:ascii="Arial" w:hAnsi="Arial" w:cs="Arial"/>
          <w:sz w:val="20"/>
          <w:szCs w:val="20"/>
        </w:rPr>
        <w:t xml:space="preserve"> availability is crucial for increasing crop productivity on red soils. Soil microbial biomass stores more phosphorus than above-ground plant biomass</w:t>
      </w:r>
      <w:sdt>
        <w:sdtPr>
          <w:rPr>
            <w:rFonts w:ascii="Arial" w:hAnsi="Arial" w:cs="Arial"/>
            <w:color w:val="000000"/>
            <w:sz w:val="20"/>
            <w:szCs w:val="20"/>
          </w:rPr>
          <w:tag w:val="MENDELEY_CITATION_v3_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"/>
          <w:id w:val="-652451868"/>
          <w:placeholder>
            <w:docPart w:val="BC574DAC69C94B58A69B9A1644576A87"/>
          </w:placeholder>
        </w:sdtPr>
        <w:sdtContent>
          <w:r w:rsidR="00D13D03" w:rsidRPr="006B4CE1">
            <w:rPr>
              <w:rFonts w:ascii="Arial" w:hAnsi="Arial" w:cs="Arial"/>
              <w:color w:val="000000"/>
              <w:sz w:val="20"/>
              <w:szCs w:val="20"/>
            </w:rPr>
            <w:t>(Chen et al., 2000).</w:t>
          </w:r>
        </w:sdtContent>
      </w:sdt>
      <w:r w:rsidR="00796932" w:rsidRPr="006B4CE1">
        <w:rPr>
          <w:rFonts w:ascii="Arial" w:hAnsi="Arial" w:cs="Arial"/>
          <w:sz w:val="20"/>
          <w:szCs w:val="20"/>
        </w:rPr>
        <w:t>Under acidic circumstances, soil minerals such as iron oxides, aluminum oxides, and kaolinite fix P, making it unavailable for crops. Therefore, it's crucial to study the impact of soil acidity on P availability. Metal ions, organic materials, and clays can all bind to soil phosphate</w:t>
      </w:r>
      <w:sdt>
        <w:sdtPr>
          <w:rPr>
            <w:rFonts w:ascii="Arial" w:hAnsi="Arial" w:cs="Arial"/>
            <w:color w:val="000000"/>
            <w:sz w:val="20"/>
            <w:szCs w:val="20"/>
          </w:rPr>
          <w:tag w:val="MENDELEY_CITATION_v3_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"/>
          <w:id w:val="1817459713"/>
          <w:placeholder>
            <w:docPart w:val="49965030BB954A01B825E18A2A2D5835"/>
          </w:placeholder>
        </w:sdtPr>
        <w:sdtContent>
          <w:r w:rsidR="00D13D03" w:rsidRPr="006B4CE1">
            <w:rPr>
              <w:rFonts w:ascii="Arial" w:hAnsi="Arial" w:cs="Arial"/>
              <w:color w:val="000000"/>
              <w:sz w:val="20"/>
              <w:szCs w:val="20"/>
            </w:rPr>
            <w:t>(Zhou et al., 2018)</w:t>
          </w:r>
        </w:sdtContent>
      </w:sdt>
      <w:r w:rsidR="00796932" w:rsidRPr="006B4CE1">
        <w:rPr>
          <w:rFonts w:ascii="Arial" w:hAnsi="Arial" w:cs="Arial"/>
          <w:color w:val="000000"/>
          <w:sz w:val="20"/>
          <w:szCs w:val="20"/>
        </w:rPr>
        <w:t>.</w:t>
      </w:r>
    </w:p>
    <w:p w:rsidR="00852974" w:rsidRPr="006B4CE1" w:rsidRDefault="00967033" w:rsidP="006B4CE1">
      <w:pPr>
        <w:tabs>
          <w:tab w:val="left" w:pos="1134"/>
        </w:tabs>
        <w:jc w:val="both"/>
        <w:rPr>
          <w:rFonts w:ascii="Arial" w:hAnsi="Arial" w:cs="Arial"/>
          <w:sz w:val="20"/>
          <w:szCs w:val="20"/>
        </w:rPr>
      </w:pPr>
      <w:r w:rsidRPr="006B4CE1">
        <w:rPr>
          <w:rFonts w:ascii="Arial" w:hAnsi="Arial" w:cs="Arial"/>
          <w:sz w:val="20"/>
          <w:szCs w:val="20"/>
        </w:rPr>
        <w:t xml:space="preserve">The leaching of red soil, desiliconization, and iron-rich aluminisation have a significant fixing effect on phosphorus, lowering its bioavailability. The red soil region has 35% greater phosphorus fertilizer application rates than the national average. Excessive use of chemical fertilizers poses a significant </w:t>
      </w:r>
      <w:r w:rsidRPr="006B4CE1">
        <w:rPr>
          <w:rFonts w:ascii="Arial" w:hAnsi="Arial" w:cs="Arial"/>
          <w:sz w:val="20"/>
          <w:szCs w:val="20"/>
        </w:rPr>
        <w:lastRenderedPageBreak/>
        <w:t xml:space="preserve">environmental risk and raises production costs. The use of green manure in crop cultivation is critical for securing food availability, benefiting the natural environment and conserving energy. Green manure addition dramatically enhances accessible phosphorus levels in arable soils. </w:t>
      </w:r>
      <w:r w:rsidR="00852974" w:rsidRPr="006B4CE1">
        <w:rPr>
          <w:rFonts w:ascii="Arial" w:eastAsia="Times New Roman" w:hAnsi="Arial" w:cs="Arial"/>
          <w:sz w:val="20"/>
          <w:szCs w:val="20"/>
          <w:lang w:val="en-IN" w:eastAsia="en-IN"/>
        </w:rPr>
        <w:t xml:space="preserve">By adding organic matter and nitrogen, the crops improve the fertility and health of the soil. </w:t>
      </w:r>
    </w:p>
    <w:p w:rsidR="008D0648" w:rsidRPr="006B4CE1" w:rsidRDefault="00852974" w:rsidP="006B4CE1">
      <w:pPr>
        <w:tabs>
          <w:tab w:val="left" w:pos="1134"/>
        </w:tabs>
        <w:spacing w:after="240"/>
        <w:jc w:val="both"/>
        <w:rPr>
          <w:rFonts w:ascii="Arial" w:eastAsia="Times New Roman" w:hAnsi="Arial" w:cs="Arial"/>
          <w:color w:val="000000"/>
          <w:sz w:val="20"/>
          <w:szCs w:val="20"/>
          <w:lang w:val="en-IN" w:eastAsia="en-IN"/>
        </w:rPr>
      </w:pPr>
      <w:r w:rsidRPr="006B4CE1">
        <w:rPr>
          <w:rFonts w:ascii="Arial" w:eastAsia="Times New Roman" w:hAnsi="Arial" w:cs="Arial"/>
          <w:sz w:val="20"/>
          <w:szCs w:val="20"/>
          <w:lang w:val="en-IN" w:eastAsia="en-IN"/>
        </w:rPr>
        <w:t>Comparing black gram with several other legume crops, the yield is low. There are numerous reasons why black gram yields are lower, but one of the most important ones is fertilizer management, which affects both growth and output. The addition of sufficient and balanced nutrients can have a significant impact on the development, growth, and production of this crop, depending on soil fertility and quality</w:t>
      </w:r>
      <w:sdt>
        <w:sdtPr>
          <w:rPr>
            <w:rFonts w:ascii="Arial" w:eastAsia="Times New Roman" w:hAnsi="Arial" w:cs="Arial"/>
            <w:color w:val="000000"/>
            <w:sz w:val="20"/>
            <w:szCs w:val="20"/>
            <w:lang w:val="en-IN" w:eastAsia="en-IN"/>
          </w:rPr>
          <w:tag w:val="MENDELEY_CITATION_v3_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"/>
          <w:id w:val="-476219050"/>
          <w:placeholder>
            <w:docPart w:val="2D0547D42AF44D55A96A6E9771435AEA"/>
          </w:placeholder>
        </w:sdtPr>
        <w:sdtContent>
          <w:r w:rsidR="00D13D03" w:rsidRPr="006B4CE1">
            <w:rPr>
              <w:rFonts w:ascii="Arial" w:eastAsia="Times New Roman" w:hAnsi="Arial" w:cs="Arial"/>
              <w:color w:val="000000"/>
              <w:sz w:val="20"/>
              <w:szCs w:val="20"/>
              <w:lang w:val="en-IN" w:eastAsia="en-IN"/>
            </w:rPr>
            <w:t>(Akter, 2021)</w:t>
          </w:r>
        </w:sdtContent>
      </w:sdt>
      <w:r w:rsidRPr="006B4CE1">
        <w:rPr>
          <w:rFonts w:ascii="Arial" w:eastAsia="Times New Roman" w:hAnsi="Arial" w:cs="Arial"/>
          <w:color w:val="000000"/>
          <w:sz w:val="20"/>
          <w:szCs w:val="20"/>
          <w:lang w:val="en-IN" w:eastAsia="en-IN"/>
        </w:rPr>
        <w:t xml:space="preserve">. </w:t>
      </w:r>
      <w:r w:rsidRPr="006B4CE1">
        <w:rPr>
          <w:rFonts w:ascii="Arial" w:eastAsia="Times New Roman" w:hAnsi="Arial" w:cs="Arial"/>
          <w:sz w:val="20"/>
          <w:szCs w:val="20"/>
          <w:lang w:val="en-IN" w:eastAsia="en-IN"/>
        </w:rPr>
        <w:t>The crop is resistant to severe climatic conditions and increases soil fertility by fixing atmospheric nitrogen. Continuous use of inorganic fertilizers such as ammonium sulfate and sulfur-coated urea has resulted in soil acidity. Reduced soil aggregate stability Reduced soil respiration, contamination of subsurface water, and declining earthworm populations. Vermicompost contains abundant nitrogen, phosphorous, potassium (NPK), micronutrients, enzymes, and growth regulators. Vermicompost treatment affects soil types and plant nutrition, especially for field crops. Pulses grown in various tropical soils have not been extensively researched</w:t>
      </w:r>
      <w:r w:rsidRPr="006B4CE1">
        <w:rPr>
          <w:rFonts w:ascii="Arial" w:hAnsi="Arial" w:cs="Arial"/>
          <w:color w:val="222222"/>
          <w:sz w:val="20"/>
          <w:szCs w:val="20"/>
          <w:shd w:val="clear" w:color="auto" w:fill="FFFFFF"/>
        </w:rPr>
        <w:t xml:space="preserve"> (</w:t>
      </w:r>
      <w:r w:rsidR="00AA1CA5" w:rsidRPr="006B4CE1">
        <w:rPr>
          <w:rFonts w:ascii="Arial" w:hAnsi="Arial" w:cs="Arial"/>
          <w:color w:val="222222"/>
          <w:sz w:val="20"/>
          <w:szCs w:val="20"/>
          <w:shd w:val="clear" w:color="auto" w:fill="FFFFFF"/>
        </w:rPr>
        <w:t>Reddy at al., 2022 &amp;</w:t>
      </w:r>
      <w:r w:rsidRPr="006B4CE1">
        <w:rPr>
          <w:rFonts w:ascii="Arial" w:hAnsi="Arial" w:cs="Arial"/>
          <w:color w:val="222222"/>
          <w:sz w:val="20"/>
          <w:szCs w:val="20"/>
          <w:shd w:val="clear" w:color="auto" w:fill="FFFFFF"/>
        </w:rPr>
        <w:t>Ranganathan, L. S. ,2008).</w:t>
      </w:r>
      <w:r w:rsidR="008D0648" w:rsidRPr="006B4CE1">
        <w:rPr>
          <w:rFonts w:ascii="Arial" w:eastAsia="Times New Roman" w:hAnsi="Arial" w:cs="Arial"/>
          <w:sz w:val="20"/>
          <w:szCs w:val="20"/>
          <w:lang w:val="en-IN" w:eastAsia="en-IN"/>
        </w:rPr>
        <w:t>Using phosphatic fertiliser improves seed germination, root growth, early blooming, and fruit. Black gram roots efficiently absorb nutrients, resulting in higher nutrient content in the seed</w:t>
      </w:r>
      <w:sdt>
        <w:sdtPr>
          <w:rPr>
            <w:rFonts w:ascii="Arial" w:eastAsia="Times New Roman" w:hAnsi="Arial" w:cs="Arial"/>
            <w:color w:val="000000"/>
            <w:sz w:val="20"/>
            <w:szCs w:val="20"/>
            <w:lang w:val="en-IN" w:eastAsia="en-IN"/>
          </w:rPr>
          <w:tag w:val="MENDELEY_CITATION_v3_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"/>
          <w:id w:val="279690012"/>
          <w:placeholder>
            <w:docPart w:val="C213341CEFC8448BABC3DF869BED905B"/>
          </w:placeholder>
        </w:sdtPr>
        <w:sdtContent>
          <w:r w:rsidR="00D13D03" w:rsidRPr="006B4CE1">
            <w:rPr>
              <w:rFonts w:ascii="Arial" w:eastAsia="Times New Roman" w:hAnsi="Arial" w:cs="Arial"/>
              <w:color w:val="000000"/>
              <w:sz w:val="20"/>
              <w:szCs w:val="20"/>
            </w:rPr>
            <w:t>(Chatterjee et al., 2020)</w:t>
          </w:r>
        </w:sdtContent>
      </w:sdt>
      <w:r w:rsidR="008D0648" w:rsidRPr="006B4CE1">
        <w:rPr>
          <w:rFonts w:ascii="Arial" w:eastAsia="Times New Roman" w:hAnsi="Arial" w:cs="Arial"/>
          <w:color w:val="000000"/>
          <w:sz w:val="20"/>
          <w:szCs w:val="20"/>
          <w:lang w:val="en-IN" w:eastAsia="en-IN"/>
        </w:rPr>
        <w:t xml:space="preserve">. </w:t>
      </w:r>
    </w:p>
    <w:p w:rsidR="008D0648" w:rsidRPr="006B4CE1" w:rsidRDefault="008D0648" w:rsidP="008D0648">
      <w:pPr>
        <w:tabs>
          <w:tab w:val="left" w:pos="1134"/>
        </w:tabs>
        <w:spacing w:after="240"/>
        <w:jc w:val="both"/>
        <w:rPr>
          <w:rFonts w:ascii="Arial" w:eastAsia="Times New Roman" w:hAnsi="Arial" w:cs="Arial"/>
          <w:sz w:val="20"/>
          <w:szCs w:val="20"/>
          <w:lang w:val="en-IN" w:eastAsia="en-IN"/>
        </w:rPr>
      </w:pPr>
      <w:r w:rsidRPr="006B4CE1">
        <w:rPr>
          <w:rFonts w:ascii="Arial" w:eastAsia="Times New Roman" w:hAnsi="Arial" w:cs="Arial"/>
          <w:sz w:val="20"/>
          <w:szCs w:val="20"/>
          <w:lang w:val="en-IN" w:eastAsia="en-IN"/>
        </w:rPr>
        <w:t>Nutrient management has a considerable impact on crop output and growth, with nitrogen (N), phosphorus (P), and potassium (K) being the most critical nutrients. Chemical fertilisers, organic manure, and biofertilizers help support agriculture by increasing crop yields while maintaining soil health. Farmyard manure (FYM) is an essential organic resource for Indian farmers. Combining fertiliser, farmyard manure, and vermicompost can boost black gram crop output. Rhizobium culture can enhance black gram growth. To maintain soil health and moisture availability, water management practices including precision irrigation, thorough ploughing, and organic matter inclusion are necessary. Integrated Pest Management (IPM) approaches, including as biological controls, resistant cultivars, and targeted pest management, reduce crop loss and the need for chemical pesticides. Nutrient management is essential for meeting crop nutritional needs, promoting healthy development, and maximising yield potential across growth stages</w:t>
      </w:r>
      <w:sdt>
        <w:sdtPr>
          <w:rPr>
            <w:rFonts w:ascii="Arial" w:eastAsia="Times New Roman" w:hAnsi="Arial" w:cs="Arial"/>
            <w:color w:val="000000"/>
            <w:sz w:val="20"/>
            <w:szCs w:val="20"/>
            <w:lang w:val="en-IN" w:eastAsia="en-IN"/>
          </w:rPr>
          <w:tag w:val="MENDELEY_CITATION_v3_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"/>
          <w:id w:val="-975984773"/>
          <w:placeholder>
            <w:docPart w:val="2FF2DE42E1A9427ABFFB7DEA7553A7CA"/>
          </w:placeholder>
        </w:sdtPr>
        <w:sdtContent>
          <w:r w:rsidR="00D13D03" w:rsidRPr="006B4CE1">
            <w:rPr>
              <w:rFonts w:ascii="Arial" w:eastAsia="Times New Roman" w:hAnsi="Arial" w:cs="Arial"/>
              <w:color w:val="000000"/>
              <w:sz w:val="20"/>
              <w:szCs w:val="20"/>
              <w:lang w:val="en-IN" w:eastAsia="en-IN"/>
            </w:rPr>
            <w:t>(Kadyan et al., 2024)</w:t>
          </w:r>
        </w:sdtContent>
      </w:sdt>
      <w:r w:rsidRPr="006B4CE1">
        <w:rPr>
          <w:rFonts w:ascii="Arial" w:eastAsia="Times New Roman" w:hAnsi="Arial" w:cs="Arial"/>
          <w:color w:val="000000"/>
          <w:sz w:val="20"/>
          <w:szCs w:val="20"/>
          <w:lang w:val="en-IN" w:eastAsia="en-IN"/>
        </w:rPr>
        <w:t>. Its extensive root system and leaf cover prevent soil erosion and successfully combat with weeds. Black gram can be grown as a single crop on moisture-rich soils, as a catch crop, sequential crop, or mixed crop. India is the major producer and user of black gram</w:t>
      </w:r>
      <w:sdt>
        <w:sdtPr>
          <w:rPr>
            <w:rFonts w:ascii="Arial" w:eastAsia="Times New Roman" w:hAnsi="Arial" w:cs="Arial"/>
            <w:color w:val="000000"/>
            <w:sz w:val="20"/>
            <w:szCs w:val="20"/>
            <w:lang w:val="en-IN" w:eastAsia="en-IN"/>
          </w:rPr>
          <w:tag w:val="MENDELEY_CITATION_v3_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"/>
          <w:id w:val="-142429313"/>
          <w:placeholder>
            <w:docPart w:val="42A8590A5B304650A2288315C89C78B5"/>
          </w:placeholder>
        </w:sdtPr>
        <w:sdtContent>
          <w:r w:rsidR="00D13D03" w:rsidRPr="006B4CE1">
            <w:rPr>
              <w:rFonts w:ascii="Arial" w:eastAsia="Times New Roman" w:hAnsi="Arial" w:cs="Arial"/>
              <w:color w:val="000000"/>
              <w:sz w:val="20"/>
              <w:szCs w:val="20"/>
              <w:lang w:val="en-IN" w:eastAsia="en-IN"/>
            </w:rPr>
            <w:t>(</w:t>
          </w:r>
          <w:r w:rsidR="00AA1CA5" w:rsidRPr="006B4CE1">
            <w:rPr>
              <w:rFonts w:ascii="Arial" w:eastAsia="Times New Roman" w:hAnsi="Arial" w:cs="Arial"/>
              <w:color w:val="000000"/>
              <w:sz w:val="20"/>
              <w:szCs w:val="20"/>
              <w:lang w:val="en-IN" w:eastAsia="en-IN"/>
            </w:rPr>
            <w:t>Maitra at al., 2020 &amp;</w:t>
          </w:r>
          <w:r w:rsidR="00D13D03" w:rsidRPr="006B4CE1">
            <w:rPr>
              <w:rFonts w:ascii="Arial" w:eastAsia="Times New Roman" w:hAnsi="Arial" w:cs="Arial"/>
              <w:color w:val="000000"/>
              <w:sz w:val="20"/>
              <w:szCs w:val="20"/>
              <w:lang w:val="en-IN" w:eastAsia="en-IN"/>
            </w:rPr>
            <w:t>Nargund et al., 2024)</w:t>
          </w:r>
        </w:sdtContent>
      </w:sdt>
      <w:r w:rsidRPr="006B4CE1">
        <w:rPr>
          <w:rFonts w:ascii="Arial" w:eastAsia="Times New Roman" w:hAnsi="Arial" w:cs="Arial"/>
          <w:color w:val="000000"/>
          <w:sz w:val="20"/>
          <w:szCs w:val="20"/>
          <w:lang w:val="en-IN" w:eastAsia="en-IN"/>
        </w:rPr>
        <w:t xml:space="preserve">. </w:t>
      </w:r>
    </w:p>
    <w:p w:rsidR="00CD01C3" w:rsidRPr="006B4CE1" w:rsidRDefault="006B4CE1" w:rsidP="006B4CE1">
      <w:pPr>
        <w:pStyle w:val="ListParagraph"/>
        <w:numPr>
          <w:ilvl w:val="0"/>
          <w:numId w:val="5"/>
        </w:numPr>
        <w:tabs>
          <w:tab w:val="left" w:pos="1134"/>
        </w:tabs>
        <w:spacing w:line="360" w:lineRule="auto"/>
        <w:rPr>
          <w:rFonts w:ascii="Arial" w:hAnsi="Arial" w:cs="Arial"/>
          <w:b/>
          <w:szCs w:val="40"/>
        </w:rPr>
      </w:pPr>
      <w:r w:rsidRPr="006B4CE1">
        <w:rPr>
          <w:rFonts w:ascii="Arial" w:hAnsi="Arial" w:cs="Arial"/>
          <w:b/>
          <w:szCs w:val="40"/>
        </w:rPr>
        <w:t>MATERIAL AND METHODS</w:t>
      </w:r>
    </w:p>
    <w:p w:rsidR="00915B6D" w:rsidRDefault="00FA13D0" w:rsidP="00CD01C3">
      <w:pPr>
        <w:tabs>
          <w:tab w:val="left" w:pos="1134"/>
        </w:tabs>
        <w:spacing w:line="360" w:lineRule="auto"/>
        <w:jc w:val="both"/>
        <w:rPr>
          <w:rFonts w:ascii="Arial" w:hAnsi="Arial" w:cs="Arial"/>
          <w:sz w:val="20"/>
          <w:szCs w:val="24"/>
        </w:rPr>
      </w:pPr>
      <w:r w:rsidRPr="006B4CE1">
        <w:rPr>
          <w:rFonts w:ascii="Arial" w:hAnsi="Arial" w:cs="Arial"/>
          <w:sz w:val="20"/>
          <w:szCs w:val="24"/>
        </w:rPr>
        <w:t>The study titled “Identification of critical phosphorus level change in red soil by influence of different organic material in black gram” was carried out at the Campus Farm of M. S. Swaminathan School of Agriculture, Centurion University of Technology and Management, Paralakhemundi, during the summer of 2025. In this chapter, we provide a detailed account of the materials, experimental procedures, and techniques that were employed during the investigation.</w:t>
      </w:r>
      <w:r w:rsidR="00CD01C3" w:rsidRPr="006B4CE1">
        <w:rPr>
          <w:rFonts w:ascii="Arial" w:hAnsi="Arial" w:cs="Arial"/>
          <w:sz w:val="20"/>
          <w:szCs w:val="24"/>
        </w:rPr>
        <w:t xml:space="preserve">The field experiment was conducted during summer season of 2025 at M.S Swaminathan School of Agriculture, Centurion University of Technology and Management, Paralakhemundi campus. Geographically the experimental site was located at 18.80°North latitude and 84.13°East longitude with an altitude of 145 m above the mean sea level under typical sub-humid and sub-tropical climatic conditions. It lies in the agroclimatic zone of Northern and Eastern ghat of Odisha state, India.The climate information were collected from meteorological laboratory </w:t>
      </w:r>
      <w:r w:rsidR="00CD01C3" w:rsidRPr="006B4CE1">
        <w:rPr>
          <w:rFonts w:ascii="Arial" w:hAnsi="Arial" w:cs="Arial"/>
          <w:sz w:val="20"/>
          <w:szCs w:val="24"/>
        </w:rPr>
        <w:lastRenderedPageBreak/>
        <w:t xml:space="preserve">of M.S Swaminathan School of Agriculture, Centurion University of Technology and Management, Paralakhemundi, Odisha. </w:t>
      </w:r>
      <w:r w:rsidR="00CD01C3" w:rsidRPr="006B4CE1">
        <w:rPr>
          <w:rFonts w:ascii="Arial" w:eastAsia="Times New Roman" w:hAnsi="Arial" w:cs="Arial"/>
          <w:sz w:val="20"/>
          <w:szCs w:val="24"/>
          <w:lang w:val="en-IN" w:eastAsia="en-IN"/>
        </w:rPr>
        <w:t>During the crop growth season, the greatest and lowest temperatures measured from 26.5°C to 38.9°C and 12.3°C to 27.4°C, respectively. In this cropping season had a total rainfall of 128.6 mm.</w:t>
      </w:r>
      <w:r w:rsidR="00CD01C3" w:rsidRPr="006B4CE1">
        <w:rPr>
          <w:rFonts w:ascii="Arial" w:hAnsi="Arial" w:cs="Arial"/>
          <w:sz w:val="20"/>
          <w:szCs w:val="24"/>
        </w:rPr>
        <w:t xml:space="preserve"> At that period of crop growing, the relative humidity ranged from 75.71 % to 95.9 % in morning and 33.86 % to 64.9 % in afternoon hours. The direct solar exposure hours ranged from 10.30 to 3.00 hours. The daily evaporation rate remained minimum of 1.5 mm day</w:t>
      </w:r>
      <w:r w:rsidR="00CD01C3" w:rsidRPr="006B4CE1">
        <w:rPr>
          <w:rFonts w:ascii="Arial" w:hAnsi="Arial" w:cs="Arial"/>
          <w:sz w:val="20"/>
          <w:szCs w:val="24"/>
          <w:vertAlign w:val="superscript"/>
        </w:rPr>
        <w:t>-1</w:t>
      </w:r>
      <w:r w:rsidR="00CD01C3" w:rsidRPr="006B4CE1">
        <w:rPr>
          <w:rFonts w:ascii="Arial" w:hAnsi="Arial" w:cs="Arial"/>
          <w:sz w:val="20"/>
          <w:szCs w:val="24"/>
        </w:rPr>
        <w:t xml:space="preserve"> and maximum of 7.06 mm day</w:t>
      </w:r>
      <w:r w:rsidR="00CD01C3" w:rsidRPr="006B4CE1">
        <w:rPr>
          <w:rFonts w:ascii="Arial" w:hAnsi="Arial" w:cs="Arial"/>
          <w:sz w:val="20"/>
          <w:szCs w:val="24"/>
          <w:vertAlign w:val="superscript"/>
        </w:rPr>
        <w:t>-1</w:t>
      </w:r>
      <w:r w:rsidR="00CD01C3" w:rsidRPr="006B4CE1">
        <w:rPr>
          <w:rFonts w:ascii="Arial" w:hAnsi="Arial" w:cs="Arial"/>
          <w:sz w:val="20"/>
          <w:szCs w:val="24"/>
        </w:rPr>
        <w:t xml:space="preserve"> during crop growth period.The</w:t>
      </w:r>
    </w:p>
    <w:p w:rsidR="00CD01C3" w:rsidRPr="006B4CE1" w:rsidRDefault="00CD01C3" w:rsidP="00CD01C3">
      <w:pPr>
        <w:tabs>
          <w:tab w:val="left" w:pos="1134"/>
        </w:tabs>
        <w:spacing w:line="360" w:lineRule="auto"/>
        <w:jc w:val="both"/>
        <w:rPr>
          <w:rFonts w:ascii="Arial" w:eastAsia="Times New Roman" w:hAnsi="Arial" w:cs="Arial"/>
          <w:sz w:val="20"/>
          <w:szCs w:val="24"/>
          <w:lang w:val="en-IN" w:eastAsia="en-IN"/>
        </w:rPr>
      </w:pPr>
      <w:r w:rsidRPr="006B4CE1">
        <w:rPr>
          <w:rFonts w:ascii="Arial" w:hAnsi="Arial" w:cs="Arial"/>
          <w:sz w:val="20"/>
          <w:szCs w:val="24"/>
        </w:rPr>
        <w:t xml:space="preserve"> study was performed by adopting a completely randomized design (CRD) and its comprises ten treatments which were replicated nine in 90 pots</w:t>
      </w:r>
      <w:r w:rsidRPr="006B4CE1">
        <w:rPr>
          <w:rFonts w:ascii="Arial" w:hAnsi="Arial" w:cs="Arial"/>
          <w:b/>
          <w:sz w:val="20"/>
          <w:szCs w:val="24"/>
        </w:rPr>
        <w:t>.</w:t>
      </w:r>
      <w:r w:rsidRPr="006B4CE1">
        <w:rPr>
          <w:rFonts w:ascii="Arial" w:hAnsi="Arial" w:cs="Arial"/>
          <w:sz w:val="20"/>
          <w:szCs w:val="24"/>
        </w:rPr>
        <w:t>At first the land was cultivated two times using a farm machinery attached with cultivator for primary tillage. The 90 pots were placed in the field with hands by manually. The 1.5 kg of red soil was placed into the pots respectively.The recommended fertilizer dose of 20:40:20 kg N: P</w:t>
      </w:r>
      <w:r w:rsidRPr="006B4CE1">
        <w:rPr>
          <w:rFonts w:ascii="Arial" w:hAnsi="Arial" w:cs="Arial"/>
          <w:sz w:val="20"/>
          <w:szCs w:val="24"/>
          <w:vertAlign w:val="subscript"/>
        </w:rPr>
        <w:t>2</w:t>
      </w:r>
      <w:r w:rsidRPr="006B4CE1">
        <w:rPr>
          <w:rFonts w:ascii="Arial" w:hAnsi="Arial" w:cs="Arial"/>
          <w:sz w:val="20"/>
          <w:szCs w:val="24"/>
        </w:rPr>
        <w:t>0</w:t>
      </w:r>
      <w:r w:rsidRPr="006B4CE1">
        <w:rPr>
          <w:rFonts w:ascii="Arial" w:hAnsi="Arial" w:cs="Arial"/>
          <w:sz w:val="20"/>
          <w:szCs w:val="24"/>
          <w:vertAlign w:val="subscript"/>
        </w:rPr>
        <w:t>5</w:t>
      </w:r>
      <w:r w:rsidRPr="006B4CE1">
        <w:rPr>
          <w:rFonts w:ascii="Arial" w:hAnsi="Arial" w:cs="Arial"/>
          <w:sz w:val="20"/>
          <w:szCs w:val="24"/>
        </w:rPr>
        <w:t>:K</w:t>
      </w:r>
      <w:r w:rsidRPr="006B4CE1">
        <w:rPr>
          <w:rFonts w:ascii="Arial" w:hAnsi="Arial" w:cs="Arial"/>
          <w:sz w:val="20"/>
          <w:szCs w:val="24"/>
          <w:vertAlign w:val="subscript"/>
        </w:rPr>
        <w:t>2</w:t>
      </w:r>
      <w:r w:rsidRPr="006B4CE1">
        <w:rPr>
          <w:rFonts w:ascii="Arial" w:hAnsi="Arial" w:cs="Arial"/>
          <w:sz w:val="20"/>
          <w:szCs w:val="24"/>
        </w:rPr>
        <w:t>O ha</w:t>
      </w:r>
      <w:r w:rsidRPr="006B4CE1">
        <w:rPr>
          <w:rFonts w:ascii="Arial" w:hAnsi="Arial" w:cs="Arial"/>
          <w:sz w:val="20"/>
          <w:szCs w:val="24"/>
          <w:vertAlign w:val="superscript"/>
        </w:rPr>
        <w:t>-1</w:t>
      </w:r>
      <w:r w:rsidRPr="006B4CE1">
        <w:rPr>
          <w:rFonts w:ascii="Arial" w:hAnsi="Arial" w:cs="Arial"/>
          <w:sz w:val="20"/>
          <w:szCs w:val="24"/>
        </w:rPr>
        <w:t xml:space="preserve"> was applied to the black gram crop to the specific treatments. In the recommended dose of fertilizer, 33 mg N, 187.5 mg P</w:t>
      </w:r>
      <w:r w:rsidRPr="006B4CE1">
        <w:rPr>
          <w:rFonts w:ascii="Arial" w:hAnsi="Arial" w:cs="Arial"/>
          <w:sz w:val="20"/>
          <w:szCs w:val="24"/>
          <w:vertAlign w:val="subscript"/>
        </w:rPr>
        <w:t>2</w:t>
      </w:r>
      <w:r w:rsidRPr="006B4CE1">
        <w:rPr>
          <w:rFonts w:ascii="Arial" w:hAnsi="Arial" w:cs="Arial"/>
          <w:sz w:val="20"/>
          <w:szCs w:val="24"/>
        </w:rPr>
        <w:t>O</w:t>
      </w:r>
      <w:r w:rsidRPr="006B4CE1">
        <w:rPr>
          <w:rFonts w:ascii="Arial" w:hAnsi="Arial" w:cs="Arial"/>
          <w:sz w:val="20"/>
          <w:szCs w:val="24"/>
          <w:vertAlign w:val="subscript"/>
        </w:rPr>
        <w:t>5</w:t>
      </w:r>
      <w:r w:rsidRPr="006B4CE1">
        <w:rPr>
          <w:rFonts w:ascii="Arial" w:hAnsi="Arial" w:cs="Arial"/>
          <w:sz w:val="20"/>
          <w:szCs w:val="24"/>
        </w:rPr>
        <w:t xml:space="preserve"> and 25 mg K</w:t>
      </w:r>
      <w:r w:rsidRPr="006B4CE1">
        <w:rPr>
          <w:rFonts w:ascii="Arial" w:hAnsi="Arial" w:cs="Arial"/>
          <w:sz w:val="20"/>
          <w:szCs w:val="24"/>
          <w:vertAlign w:val="subscript"/>
        </w:rPr>
        <w:t>2</w:t>
      </w:r>
      <w:r w:rsidRPr="006B4CE1">
        <w:rPr>
          <w:rFonts w:ascii="Arial" w:hAnsi="Arial" w:cs="Arial"/>
          <w:sz w:val="20"/>
          <w:szCs w:val="24"/>
        </w:rPr>
        <w:t>O were used as urea, single superphosphate and muriate of potash respectively for each 90 pots.The source of manures were vermicompost, poultry manure and cow dung manure in the nutrient management treatment as 3 level of treatment. For the treatment specification of @10ton/ha, 20ton/ha, 30ton/ha vermicompost containing 5, 7, 15, 22.5gm of vermicompost were applied as basal 7-10 days before sowing as a T1, T2, T3, @10 ton/ha, 20 ton/ha,30 ton/ha poultry manure, containing 5, 7, 15, 22.5gm of poultry manure were applied as basal 7-10 days before sowing as a T4, T5,T6, @10 ton/ha, 20 ton/ha, 30ton/ha cow dung manure containing 5, 7, 15, 22.5gm of cow dung manure were applied as basal 7-10 days before sowing as a T7, T8, T9</w:t>
      </w:r>
      <w:r w:rsidR="00302E27" w:rsidRPr="006B4CE1">
        <w:rPr>
          <w:rFonts w:ascii="Arial" w:hAnsi="Arial" w:cs="Arial"/>
          <w:sz w:val="20"/>
          <w:szCs w:val="24"/>
        </w:rPr>
        <w:t>.</w:t>
      </w:r>
      <w:r w:rsidRPr="006B4CE1">
        <w:rPr>
          <w:rFonts w:ascii="Arial" w:hAnsi="Arial" w:cs="Arial"/>
          <w:sz w:val="20"/>
          <w:szCs w:val="24"/>
        </w:rPr>
        <w:t>On December 02,2024, the seed were planted in the pot, with 10 number of seeds being utilized within each pots.</w:t>
      </w:r>
      <w:r w:rsidRPr="006B4CE1">
        <w:rPr>
          <w:rFonts w:ascii="Arial" w:eastAsia="Times New Roman" w:hAnsi="Arial" w:cs="Arial"/>
          <w:sz w:val="20"/>
          <w:szCs w:val="24"/>
          <w:lang w:val="en-IN" w:eastAsia="en-IN"/>
        </w:rPr>
        <w:t>To estimate the amount of accessible nitrogen in red soil, the basic potassium permanganate technique used by Subbaiah and Asija in 1959 was improved.Excessive alkaline 0.32 ml potassium permanganate, which is made alkaline with 25 percent sodium hydroxide solution (</w:t>
      </w:r>
      <w:r w:rsidRPr="006B4CE1">
        <w:rPr>
          <w:rFonts w:ascii="Arial" w:hAnsi="Arial" w:cs="Arial"/>
          <w:sz w:val="20"/>
          <w:szCs w:val="24"/>
        </w:rPr>
        <w:t>NaOH)</w:t>
      </w:r>
      <w:r w:rsidRPr="006B4CE1">
        <w:rPr>
          <w:rFonts w:ascii="Arial" w:eastAsia="Times New Roman" w:hAnsi="Arial" w:cs="Arial"/>
          <w:sz w:val="20"/>
          <w:szCs w:val="24"/>
          <w:lang w:val="en-IN" w:eastAsia="en-IN"/>
        </w:rPr>
        <w:t xml:space="preserve"> was applied to 2.5 grams of red soil. Boric acid trapped the released ammonia, which was then measured by titration against a standard 0.02 M </w:t>
      </w:r>
      <w:r w:rsidRPr="006B4CE1">
        <w:rPr>
          <w:rFonts w:ascii="Arial" w:hAnsi="Arial" w:cs="Arial"/>
          <w:sz w:val="20"/>
          <w:szCs w:val="24"/>
        </w:rPr>
        <w:t>H</w:t>
      </w:r>
      <w:r w:rsidRPr="006B4CE1">
        <w:rPr>
          <w:rFonts w:ascii="Arial" w:hAnsi="Arial" w:cs="Arial"/>
          <w:sz w:val="20"/>
          <w:szCs w:val="24"/>
          <w:vertAlign w:val="subscript"/>
        </w:rPr>
        <w:t>2</w:t>
      </w:r>
      <w:r w:rsidRPr="006B4CE1">
        <w:rPr>
          <w:rFonts w:ascii="Arial" w:hAnsi="Arial" w:cs="Arial"/>
          <w:sz w:val="20"/>
          <w:szCs w:val="24"/>
        </w:rPr>
        <w:t>SO</w:t>
      </w:r>
      <w:r w:rsidRPr="006B4CE1">
        <w:rPr>
          <w:rFonts w:ascii="Arial" w:hAnsi="Arial" w:cs="Arial"/>
          <w:sz w:val="20"/>
          <w:szCs w:val="24"/>
          <w:vertAlign w:val="subscript"/>
        </w:rPr>
        <w:t>4</w:t>
      </w:r>
      <w:r w:rsidR="00BC00A3" w:rsidRPr="006B4CE1">
        <w:rPr>
          <w:rFonts w:ascii="Arial" w:hAnsi="Arial" w:cs="Arial"/>
          <w:sz w:val="20"/>
          <w:szCs w:val="24"/>
        </w:rPr>
        <w:t>.</w:t>
      </w:r>
      <w:r w:rsidRPr="006B4CE1">
        <w:rPr>
          <w:rFonts w:ascii="Arial" w:hAnsi="Arial" w:cs="Arial"/>
          <w:sz w:val="20"/>
          <w:szCs w:val="24"/>
        </w:rPr>
        <w:t xml:space="preserve"> The available N content in kg ha</w:t>
      </w:r>
      <w:r w:rsidRPr="006B4CE1">
        <w:rPr>
          <w:rFonts w:ascii="Arial" w:hAnsi="Arial" w:cs="Arial"/>
          <w:sz w:val="20"/>
          <w:szCs w:val="24"/>
          <w:vertAlign w:val="superscript"/>
        </w:rPr>
        <w:t>-1</w:t>
      </w:r>
      <w:r w:rsidRPr="006B4CE1">
        <w:rPr>
          <w:rFonts w:ascii="Arial" w:hAnsi="Arial" w:cs="Arial"/>
          <w:sz w:val="20"/>
          <w:szCs w:val="24"/>
        </w:rPr>
        <w:t xml:space="preserve"> was computed using titrate value.</w:t>
      </w:r>
      <w:r w:rsidRPr="006B4CE1">
        <w:rPr>
          <w:rFonts w:ascii="Arial" w:eastAsia="Times New Roman" w:hAnsi="Arial" w:cs="Arial"/>
          <w:sz w:val="20"/>
          <w:szCs w:val="24"/>
          <w:lang w:val="en-IN" w:eastAsia="en-IN"/>
        </w:rPr>
        <w:t xml:space="preserve">With the use of 0.05 M NaHCO3, the soil's accessible phosphorus concentration was determined.Using a UV spectrophotometer, the chloromolybdic blue color method was used to determine the phosphorus concentration.  At 660 nm, the blue </w:t>
      </w:r>
      <w:r w:rsidR="00302E27" w:rsidRPr="006B4CE1">
        <w:rPr>
          <w:rFonts w:ascii="Arial" w:eastAsia="Times New Roman" w:hAnsi="Arial" w:cs="Arial"/>
          <w:sz w:val="20"/>
          <w:szCs w:val="24"/>
          <w:lang w:val="en-IN" w:eastAsia="en-IN"/>
        </w:rPr>
        <w:t>colour’s</w:t>
      </w:r>
      <w:r w:rsidRPr="006B4CE1">
        <w:rPr>
          <w:rFonts w:ascii="Arial" w:eastAsia="Times New Roman" w:hAnsi="Arial" w:cs="Arial"/>
          <w:sz w:val="20"/>
          <w:szCs w:val="24"/>
          <w:lang w:val="en-IN" w:eastAsia="en-IN"/>
        </w:rPr>
        <w:t xml:space="preserve"> intensity was measured. The amount of available phosphorus was calculated and reported in kilograms per hectare (Jackson, 1973).</w:t>
      </w:r>
      <w:r w:rsidR="00BC00A3" w:rsidRPr="006B4CE1">
        <w:rPr>
          <w:rFonts w:ascii="Arial" w:eastAsia="Times New Roman" w:hAnsi="Arial" w:cs="Arial"/>
          <w:sz w:val="20"/>
          <w:szCs w:val="24"/>
          <w:lang w:val="en-IN" w:eastAsia="en-IN"/>
        </w:rPr>
        <w:t>As Jackson (1973) explains, neutral normal ammonium acetate was used to extract the available potassium content. A flame photometer was used to measure the extract's potassium content.</w:t>
      </w:r>
    </w:p>
    <w:p w:rsidR="00BC00A3" w:rsidRPr="000A38F7" w:rsidRDefault="002C1077" w:rsidP="000A38F7">
      <w:pPr>
        <w:pStyle w:val="ListParagraph"/>
        <w:numPr>
          <w:ilvl w:val="0"/>
          <w:numId w:val="5"/>
        </w:numPr>
        <w:spacing w:after="120" w:line="360" w:lineRule="auto"/>
        <w:rPr>
          <w:rFonts w:ascii="Arial" w:hAnsi="Arial" w:cs="Arial"/>
          <w:b/>
          <w:szCs w:val="24"/>
        </w:rPr>
      </w:pPr>
      <w:r w:rsidRPr="000A38F7">
        <w:rPr>
          <w:rFonts w:ascii="Arial" w:hAnsi="Arial" w:cs="Arial"/>
          <w:b/>
          <w:szCs w:val="24"/>
        </w:rPr>
        <w:t>RESULT AND DISCUSSION</w:t>
      </w:r>
    </w:p>
    <w:p w:rsidR="00E71312" w:rsidRPr="00CC56F4" w:rsidRDefault="00E71312" w:rsidP="00E71312">
      <w:pPr>
        <w:spacing w:line="360" w:lineRule="auto"/>
        <w:jc w:val="both"/>
        <w:rPr>
          <w:rFonts w:ascii="Arial" w:hAnsi="Arial" w:cs="Arial"/>
          <w:sz w:val="20"/>
          <w:szCs w:val="24"/>
        </w:rPr>
      </w:pPr>
      <w:r w:rsidRPr="00CC56F4">
        <w:rPr>
          <w:rFonts w:ascii="Arial" w:hAnsi="Arial" w:cs="Arial"/>
          <w:sz w:val="20"/>
          <w:szCs w:val="24"/>
        </w:rPr>
        <w:t xml:space="preserve">The observations on growth attributes, number of leaves, number of nodule and phosphorus in each pot were recorded. In this chapter, the findings of the experiment due to various treatments are presented under different heads. </w:t>
      </w:r>
    </w:p>
    <w:p w:rsidR="00CD01C3" w:rsidRPr="00CC56F4" w:rsidRDefault="000D6E22" w:rsidP="00FD6FF5">
      <w:pPr>
        <w:spacing w:after="0"/>
        <w:jc w:val="both"/>
        <w:rPr>
          <w:rFonts w:ascii="Arial" w:eastAsia="Times New Roman" w:hAnsi="Arial" w:cs="Arial"/>
          <w:sz w:val="24"/>
          <w:szCs w:val="24"/>
          <w:lang w:val="en-IN" w:eastAsia="en-IN"/>
        </w:rPr>
      </w:pPr>
      <w:r w:rsidRPr="00CC56F4">
        <w:rPr>
          <w:rFonts w:ascii="Arial" w:eastAsia="Times New Roman" w:hAnsi="Arial" w:cs="Arial"/>
          <w:sz w:val="20"/>
          <w:szCs w:val="24"/>
          <w:lang w:val="en-IN" w:eastAsia="en-IN"/>
        </w:rPr>
        <w:lastRenderedPageBreak/>
        <w:t xml:space="preserve">At 15, 30, 45, and 60 days, the effect of organic manure on black gram plant elevation was substantial, </w:t>
      </w:r>
      <w:r w:rsidRPr="00CC56F4">
        <w:rPr>
          <w:rFonts w:ascii="Arial" w:hAnsi="Arial" w:cs="Arial"/>
          <w:sz w:val="20"/>
        </w:rPr>
        <w:t xml:space="preserve">after sowing, were shown in the </w:t>
      </w:r>
      <w:r w:rsidR="00163696" w:rsidRPr="00CC56F4">
        <w:rPr>
          <w:rFonts w:ascii="Arial" w:hAnsi="Arial" w:cs="Arial"/>
          <w:sz w:val="20"/>
        </w:rPr>
        <w:t>(</w:t>
      </w:r>
      <w:r w:rsidRPr="00CC56F4">
        <w:rPr>
          <w:rFonts w:ascii="Arial" w:hAnsi="Arial" w:cs="Arial"/>
          <w:sz w:val="20"/>
        </w:rPr>
        <w:t>Table</w:t>
      </w:r>
      <w:r w:rsidR="00163696" w:rsidRPr="00CC56F4">
        <w:rPr>
          <w:rFonts w:ascii="Arial" w:hAnsi="Arial" w:cs="Arial"/>
          <w:sz w:val="20"/>
        </w:rPr>
        <w:t xml:space="preserve"> 1 and fig 1)</w:t>
      </w:r>
      <w:r w:rsidRPr="00CC56F4">
        <w:rPr>
          <w:rFonts w:ascii="Arial" w:hAnsi="Arial" w:cs="Arial"/>
          <w:sz w:val="20"/>
        </w:rPr>
        <w:t xml:space="preserve">. The obtained data highlighted </w:t>
      </w:r>
      <w:r w:rsidRPr="00CC56F4">
        <w:rPr>
          <w:rFonts w:ascii="Arial" w:hAnsi="Arial" w:cs="Arial"/>
          <w:sz w:val="20"/>
          <w:szCs w:val="24"/>
        </w:rPr>
        <w:t>threetreatmentsof theOrganic matterswiththree levelsinCompletely Randomized design (CRD).</w:t>
      </w:r>
      <w:r w:rsidRPr="00CC56F4">
        <w:rPr>
          <w:rFonts w:ascii="Arial" w:hAnsi="Arial" w:cs="Arial"/>
          <w:sz w:val="20"/>
        </w:rPr>
        <w:t xml:space="preserve">At 15 Days after sowing, the highest plant length (3.7 cm) was obtained in T2 (Vermicompost at 10 tons/ha), after which in T7 (Poultry manure at 30 tons/ha) with 3.5 cm.  The control (T1) showed the lowest recorded height (2.5 cm).  At this stage, the average plant height was 3.11 cm, with C.D. of 0.214. </w:t>
      </w:r>
      <w:r w:rsidRPr="00CC56F4">
        <w:rPr>
          <w:rFonts w:ascii="Arial" w:hAnsi="Arial" w:cs="Arial"/>
          <w:sz w:val="20"/>
          <w:lang w:val="en-IN" w:eastAsia="en-IN"/>
        </w:rPr>
        <w:t>At 30 DAS, the top plant height of 6.0 cm was recorded in T4 (Vermicompost @ 30 ton/ha), where as a height of 5.0cm was measured in control.  The treatments T2, T3, T6, T8, T9, and T10 all showed similar development, ranging from 4.0 cm to 5.1 cm.  The mean plant height of 4.91 cm was observed and C.D. of 0.134 was noted, suggesting that the treatments differed considerably. At 45 DAS, the largest plant height of 9.0 cm was reported in T2 and T4, while the least height of 7.0 cm was seen in T3, T5, T6, T9 and T10. A height of 7.5 cm was measured in the control(T1). At this stage, the average height was 7.6 cm, with a C.D. of 0.262. At 60 DAS, plant heights appeared more constant across treatments. The largest plant height of 9.0 cm was obtained in T1, T2, T4, T6, T8, T9, and T10, whereas slightly lower value showed in T3, T5, and T7. The average height 8.85 cm was recorded at this stage, with a C.D. of 0.247.</w:t>
      </w:r>
    </w:p>
    <w:p w:rsidR="00FD6FF5" w:rsidRPr="00CC56F4" w:rsidRDefault="00FD6FF5" w:rsidP="00FD6FF5">
      <w:pPr>
        <w:spacing w:after="0"/>
        <w:jc w:val="both"/>
        <w:rPr>
          <w:rFonts w:ascii="Arial" w:eastAsia="Times New Roman" w:hAnsi="Arial" w:cs="Arial"/>
          <w:sz w:val="24"/>
          <w:szCs w:val="24"/>
          <w:lang w:val="en-IN" w:eastAsia="en-IN"/>
        </w:rPr>
      </w:pPr>
    </w:p>
    <w:p w:rsidR="000D6E22" w:rsidRPr="00CC56F4" w:rsidRDefault="000D6E22" w:rsidP="000D6E22">
      <w:pPr>
        <w:spacing w:after="0"/>
        <w:jc w:val="both"/>
        <w:rPr>
          <w:rFonts w:ascii="Arial" w:eastAsia="Times New Roman" w:hAnsi="Arial" w:cs="Arial"/>
          <w:sz w:val="20"/>
          <w:szCs w:val="24"/>
          <w:lang w:val="en-IN" w:eastAsia="en-IN"/>
        </w:rPr>
      </w:pPr>
      <w:r w:rsidRPr="00CC56F4">
        <w:rPr>
          <w:rFonts w:ascii="Arial" w:eastAsia="Times New Roman" w:hAnsi="Arial" w:cs="Arial"/>
          <w:sz w:val="20"/>
          <w:szCs w:val="24"/>
          <w:lang w:val="en-IN" w:eastAsia="en-IN"/>
        </w:rPr>
        <w:t xml:space="preserve">The </w:t>
      </w:r>
      <w:r w:rsidR="00163696" w:rsidRPr="00CC56F4">
        <w:rPr>
          <w:rFonts w:ascii="Arial" w:eastAsia="Times New Roman" w:hAnsi="Arial" w:cs="Arial"/>
          <w:sz w:val="20"/>
          <w:szCs w:val="24"/>
          <w:lang w:val="en-IN" w:eastAsia="en-IN"/>
        </w:rPr>
        <w:t>(</w:t>
      </w:r>
      <w:r w:rsidRPr="00CC56F4">
        <w:rPr>
          <w:rFonts w:ascii="Arial" w:eastAsia="Times New Roman" w:hAnsi="Arial" w:cs="Arial"/>
          <w:sz w:val="20"/>
          <w:szCs w:val="24"/>
          <w:lang w:val="en-IN" w:eastAsia="en-IN"/>
        </w:rPr>
        <w:t>Table</w:t>
      </w:r>
      <w:r w:rsidR="00163696" w:rsidRPr="00CC56F4">
        <w:rPr>
          <w:rFonts w:ascii="Arial" w:eastAsia="Times New Roman" w:hAnsi="Arial" w:cs="Arial"/>
          <w:sz w:val="20"/>
          <w:szCs w:val="24"/>
          <w:lang w:val="en-IN" w:eastAsia="en-IN"/>
        </w:rPr>
        <w:t xml:space="preserve"> 2 and fig 2)</w:t>
      </w:r>
      <w:r w:rsidRPr="00CC56F4">
        <w:rPr>
          <w:rFonts w:ascii="Arial" w:eastAsia="Times New Roman" w:hAnsi="Arial" w:cs="Arial"/>
          <w:sz w:val="20"/>
          <w:szCs w:val="24"/>
          <w:lang w:val="en-IN" w:eastAsia="en-IN"/>
        </w:rPr>
        <w:t xml:space="preserve"> presented the data for the number of leaves at 15, 30, 45, 60, DAS, and throughout the harvesting time. </w:t>
      </w:r>
      <w:r w:rsidRPr="00CC56F4">
        <w:rPr>
          <w:rFonts w:ascii="Arial" w:eastAsia="Times New Roman" w:hAnsi="Arial" w:cs="Arial"/>
          <w:bCs/>
          <w:sz w:val="20"/>
          <w:szCs w:val="24"/>
        </w:rPr>
        <w:t xml:space="preserve">This given data also showed a significant difference regarding the treatment of organic matter. </w:t>
      </w:r>
      <w:r w:rsidRPr="00CC56F4">
        <w:rPr>
          <w:rFonts w:ascii="Arial" w:eastAsia="Times New Roman" w:hAnsi="Arial" w:cs="Arial"/>
          <w:sz w:val="20"/>
          <w:szCs w:val="24"/>
          <w:lang w:val="en-IN" w:eastAsia="en-IN"/>
        </w:rPr>
        <w:t>At 15 DAS, no differences found between the treatments. Including the control condition(T1), all treatments recorded 3 leaves in each plant, resulting for a mean of 3.0. As the C.D.  was not apply at this phase, the data revealed homogeneity across all treatments during early seedling development.After 30 DAS, variation were noticed. An average of 5 leaves per plant yielded by the majority of treatments such as T2, T3, T4, T5, T6, and T9, including the control (T1). However, fewer leaves of 3 were recorded in T7 (poultry manure at 30 tons per hectare) compared to T8 and T10, where 4 leaves were noted. An average number of 4.6 leaves was observed, with a C.D. of 0.202, indicating a substantial difference between treatments at this stage.At 45 DAS, a substantial variation in the quantity of leaves was observed. The highest number of leaves 7 was recorded in T7, while only 3 leaves were observed in treatment T6, T8, T9, and T10. A moderate leaf count ranging from 5 to 6 was recorded in the other treatments. The mean number of leaves was maintained at 4.6, and a C.D. of 0.195 was noted, indicating significant differences among these treatments.After 60 DAS, clearer disparities between treatments were observed. The highest number of leaves 7 was recorded in T3 and T8, while the fewest (5) were noted in T6 and T9. Intermediate results ranging from 6 to 6 leaves were obtained from the other treatments. A total mean of 6 leaves per plant was recorded, and a C.D. of 0.160 was observed, indicating that the effects of treatment on leaf growth were statistically significant at this stage.</w:t>
      </w:r>
    </w:p>
    <w:p w:rsidR="00163696" w:rsidRPr="00CC56F4" w:rsidRDefault="00163696" w:rsidP="000D6E22">
      <w:pPr>
        <w:spacing w:after="0" w:line="240" w:lineRule="auto"/>
        <w:jc w:val="both"/>
        <w:rPr>
          <w:rFonts w:ascii="Arial" w:hAnsi="Arial" w:cs="Arial"/>
          <w:sz w:val="20"/>
          <w:szCs w:val="24"/>
        </w:rPr>
      </w:pPr>
    </w:p>
    <w:p w:rsidR="000D6E22" w:rsidRPr="00CC56F4" w:rsidRDefault="000D6E22" w:rsidP="000D6E22">
      <w:pPr>
        <w:spacing w:after="0" w:line="240" w:lineRule="auto"/>
        <w:jc w:val="both"/>
        <w:rPr>
          <w:rFonts w:ascii="Arial" w:eastAsia="Times New Roman" w:hAnsi="Arial" w:cs="Arial"/>
          <w:sz w:val="20"/>
          <w:szCs w:val="24"/>
          <w:lang w:val="en-IN" w:eastAsia="en-IN"/>
        </w:rPr>
      </w:pPr>
      <w:r w:rsidRPr="00CC56F4">
        <w:rPr>
          <w:rFonts w:ascii="Arial" w:eastAsia="Times New Roman" w:hAnsi="Arial" w:cs="Arial"/>
          <w:sz w:val="20"/>
          <w:szCs w:val="24"/>
          <w:lang w:val="en-IN" w:eastAsia="en-IN"/>
        </w:rPr>
        <w:t>The data on the number of root nodules per plant at 45 and 60 days after sowing (DAS) showed substantial variations between the organic treatments</w:t>
      </w:r>
      <w:r w:rsidR="00163696" w:rsidRPr="00CC56F4">
        <w:rPr>
          <w:rFonts w:ascii="Arial" w:eastAsia="Times New Roman" w:hAnsi="Arial" w:cs="Arial"/>
          <w:sz w:val="20"/>
          <w:szCs w:val="24"/>
          <w:lang w:val="en-IN" w:eastAsia="en-IN"/>
        </w:rPr>
        <w:t xml:space="preserve"> in the (table 3 and fig 3)</w:t>
      </w:r>
      <w:r w:rsidRPr="00CC56F4">
        <w:rPr>
          <w:rFonts w:ascii="Arial" w:eastAsia="Times New Roman" w:hAnsi="Arial" w:cs="Arial"/>
          <w:sz w:val="20"/>
          <w:szCs w:val="24"/>
          <w:lang w:val="en-IN" w:eastAsia="en-IN"/>
        </w:rPr>
        <w:t>. At 45 days after sowing, the number of nodules per plant ranged from 6 to 15. The highest number of nodules 15 recorded in T9 (cow dung manure @ 20 ton/ha). Both T4 and T6 were shown to develop 12 nodules per plant. The smallest number of nodules 6 was observed in the reference treatment (T1). Under the other treatments condition T2, T3, T5, T7, T8, and T10 showed intermediate numbers of nodules, ranging from 8 to 10. The average number of nodules was observed to be 10, and the C.D. was calculated as 0.367. After 60 DAS, a significant increase in nodule production was observed across all treatments, with values ranging from 10 to 24 nodules per plant. The highest number of nodules 24 was recorded in T9, followed by 19 in T8 and 18 in T7. Although previously among the top performers at 45 DAS, T2 was found to have the fewest nodules 10 among all groups. The control treatment (T1) was observed to have only 12 nodules, which was lower than the overall average of 15.3. At this time, the C.D. was calculated to be 0.159, indicating that the effects of the treatments were still statistically significant at this later stage of growth.</w:t>
      </w:r>
    </w:p>
    <w:p w:rsidR="00CD01C3" w:rsidRPr="00CC56F4" w:rsidRDefault="00CD01C3" w:rsidP="00CD01C3">
      <w:pPr>
        <w:tabs>
          <w:tab w:val="left" w:pos="1134"/>
        </w:tabs>
        <w:spacing w:line="360" w:lineRule="auto"/>
        <w:jc w:val="both"/>
        <w:rPr>
          <w:rFonts w:ascii="Arial" w:eastAsia="Times New Roman" w:hAnsi="Arial" w:cs="Arial"/>
          <w:sz w:val="20"/>
          <w:szCs w:val="24"/>
          <w:lang w:val="en-IN" w:eastAsia="en-IN"/>
        </w:rPr>
      </w:pPr>
    </w:p>
    <w:p w:rsidR="000D6E22" w:rsidRPr="00CC56F4" w:rsidRDefault="000D6E22" w:rsidP="000D6E22">
      <w:pPr>
        <w:jc w:val="both"/>
        <w:rPr>
          <w:rFonts w:ascii="Arial" w:eastAsia="Times New Roman" w:hAnsi="Arial" w:cs="Arial"/>
          <w:sz w:val="20"/>
          <w:szCs w:val="24"/>
          <w:lang w:val="en-IN" w:eastAsia="en-IN"/>
        </w:rPr>
      </w:pPr>
      <w:r w:rsidRPr="00CC56F4">
        <w:rPr>
          <w:rFonts w:ascii="Arial" w:eastAsia="Times New Roman" w:hAnsi="Arial" w:cs="Arial"/>
          <w:bCs/>
          <w:sz w:val="20"/>
          <w:szCs w:val="24"/>
        </w:rPr>
        <w:lastRenderedPageBreak/>
        <w:t xml:space="preserve">The data recorded after chemical analysis of black gram, analyzed statistically and presented in </w:t>
      </w:r>
      <w:r w:rsidR="002B773C" w:rsidRPr="00CC56F4">
        <w:rPr>
          <w:rFonts w:ascii="Arial" w:eastAsia="Times New Roman" w:hAnsi="Arial" w:cs="Arial"/>
          <w:bCs/>
          <w:sz w:val="20"/>
          <w:szCs w:val="24"/>
        </w:rPr>
        <w:t>(</w:t>
      </w:r>
      <w:r w:rsidRPr="00CC56F4">
        <w:rPr>
          <w:rFonts w:ascii="Arial" w:eastAsia="Times New Roman" w:hAnsi="Arial" w:cs="Arial"/>
          <w:bCs/>
          <w:sz w:val="20"/>
          <w:szCs w:val="24"/>
        </w:rPr>
        <w:t xml:space="preserve">Table </w:t>
      </w:r>
      <w:r w:rsidR="002B773C" w:rsidRPr="00CC56F4">
        <w:rPr>
          <w:rFonts w:ascii="Arial" w:eastAsia="Times New Roman" w:hAnsi="Arial" w:cs="Arial"/>
          <w:bCs/>
          <w:sz w:val="20"/>
          <w:szCs w:val="24"/>
        </w:rPr>
        <w:t>4 and fig 4)</w:t>
      </w:r>
      <w:r w:rsidRPr="00CC56F4">
        <w:rPr>
          <w:rFonts w:ascii="Arial" w:eastAsia="Times New Roman" w:hAnsi="Arial" w:cs="Arial"/>
          <w:bCs/>
          <w:sz w:val="20"/>
          <w:szCs w:val="24"/>
        </w:rPr>
        <w:t xml:space="preserve">. </w:t>
      </w:r>
      <w:r w:rsidRPr="00CC56F4">
        <w:rPr>
          <w:rFonts w:ascii="Arial" w:eastAsia="Times New Roman" w:hAnsi="Arial" w:cs="Arial"/>
          <w:sz w:val="20"/>
          <w:szCs w:val="24"/>
          <w:lang w:val="en-IN" w:eastAsia="en-IN"/>
        </w:rPr>
        <w:t>The impact of various organic treatments on soil phosphorus content at different time points after sowing (15, 30, 45, and 60 DAS). At 15 DAS, the greatest phosphorus concentration (60 kg/ha) was recorded in T6 (poultry manure @ 20 ton/ha), followed by T5 (38 kg/ha). The lowest values, ranging from 10 to 20 kg P</w:t>
      </w:r>
      <w:r w:rsidRPr="00CC56F4">
        <w:rPr>
          <w:rFonts w:ascii="Cambria Math" w:eastAsia="Times New Roman" w:hAnsi="Cambria Math" w:cs="Cambria Math"/>
          <w:sz w:val="20"/>
          <w:szCs w:val="24"/>
          <w:lang w:val="en-IN" w:eastAsia="en-IN"/>
        </w:rPr>
        <w:t>₂</w:t>
      </w:r>
      <w:r w:rsidRPr="00CC56F4">
        <w:rPr>
          <w:rFonts w:ascii="Arial" w:eastAsia="Times New Roman" w:hAnsi="Arial" w:cs="Arial"/>
          <w:sz w:val="20"/>
          <w:szCs w:val="24"/>
          <w:lang w:val="en-IN" w:eastAsia="en-IN"/>
        </w:rPr>
        <w:t>O</w:t>
      </w:r>
      <w:r w:rsidRPr="00CC56F4">
        <w:rPr>
          <w:rFonts w:ascii="Cambria Math" w:eastAsia="Times New Roman" w:hAnsi="Cambria Math" w:cs="Cambria Math"/>
          <w:sz w:val="20"/>
          <w:szCs w:val="24"/>
          <w:lang w:val="en-IN" w:eastAsia="en-IN"/>
        </w:rPr>
        <w:t>₅</w:t>
      </w:r>
      <w:r w:rsidRPr="00CC56F4">
        <w:rPr>
          <w:rFonts w:ascii="Arial" w:eastAsia="Times New Roman" w:hAnsi="Arial" w:cs="Arial"/>
          <w:sz w:val="20"/>
          <w:szCs w:val="24"/>
          <w:lang w:val="en-IN" w:eastAsia="en-IN"/>
        </w:rPr>
        <w:t xml:space="preserve"> per unit area, were observed in the control (T1) and cow dung treatments (T8 to T10). At this moment, the mean phosphorus content across all treatments was found to be 26.2 kg/ha with a C.D. of 1.502 kg/ha. After 30 DAS, considerably higher phosphorus levels at 60 kg/ha were recorded in T7 (poultry manure @ 30 ton/ha) compared to the other treatments. Similarly, high phosphorus levels were maintained by other poultry manure and vermicompost treatments, whereas low levels were observed in the control and cow dung treatments. The overall mean phosphorus content was recorded as 22.5 kg/ha. At 45 DAS, most treatment showed a decrease in phosphorus content, with the highest level (50 kg/ha) being maintained by T7, followed by T4 and T5. The phosphorus content in the control treatment (T1) was reduced to 8 kg/ha. The average phosphorus level was recorded at 18.9 kg/ha, with a C.D. of 0.374 kg/ha. At 60 DAS, all treatments demonstrated a significant decrease in phosphorus content. The highest phosphorus content (35 kg/ha) was observed in T7, while the minimum value (6. kg/ha) was observed in the control (T1). The mean dosage across treatments was recorded as 14.9 kg/ha, with a C.D. of 0.419 kg/ha</w:t>
      </w:r>
      <w:r w:rsidRPr="00F27DE9">
        <w:rPr>
          <w:rFonts w:ascii="Arial" w:eastAsia="Times New Roman" w:hAnsi="Arial" w:cs="Arial"/>
          <w:color w:val="FF0000"/>
          <w:sz w:val="20"/>
          <w:szCs w:val="24"/>
          <w:lang w:val="en-IN" w:eastAsia="en-IN"/>
        </w:rPr>
        <w:t>.</w:t>
      </w:r>
      <w:r w:rsidR="00F27DE9" w:rsidRPr="00F27DE9">
        <w:rPr>
          <w:rFonts w:ascii="Arial" w:eastAsia="Times New Roman" w:hAnsi="Arial" w:cs="Arial"/>
          <w:color w:val="FF0000"/>
          <w:sz w:val="20"/>
          <w:szCs w:val="24"/>
          <w:lang w:val="en-IN" w:eastAsia="en-IN"/>
        </w:rPr>
        <w:t>(include each characters references</w:t>
      </w:r>
      <w:r w:rsidR="00F27DE9">
        <w:rPr>
          <w:rFonts w:ascii="Arial" w:eastAsia="Times New Roman" w:hAnsi="Arial" w:cs="Arial"/>
          <w:sz w:val="20"/>
          <w:szCs w:val="24"/>
          <w:lang w:val="en-IN" w:eastAsia="en-IN"/>
        </w:rPr>
        <w:t xml:space="preserve"> )</w:t>
      </w:r>
    </w:p>
    <w:p w:rsidR="00CA1606" w:rsidRPr="000A38F7" w:rsidRDefault="002C1077" w:rsidP="000A38F7">
      <w:pPr>
        <w:pStyle w:val="ListParagraph"/>
        <w:numPr>
          <w:ilvl w:val="0"/>
          <w:numId w:val="5"/>
        </w:numPr>
        <w:rPr>
          <w:rFonts w:ascii="Arial" w:eastAsia="Times New Roman" w:hAnsi="Arial" w:cs="Arial"/>
          <w:b/>
          <w:bCs/>
          <w:szCs w:val="24"/>
        </w:rPr>
      </w:pPr>
      <w:r w:rsidRPr="000A38F7">
        <w:rPr>
          <w:rFonts w:ascii="Arial" w:eastAsia="Times New Roman" w:hAnsi="Arial" w:cs="Arial"/>
          <w:b/>
          <w:bCs/>
          <w:szCs w:val="24"/>
        </w:rPr>
        <w:t>CONCLUSION</w:t>
      </w:r>
    </w:p>
    <w:p w:rsidR="00D13D03" w:rsidRPr="00CC56F4" w:rsidRDefault="00CA1606" w:rsidP="00D13D03">
      <w:pPr>
        <w:jc w:val="both"/>
        <w:rPr>
          <w:rFonts w:ascii="Arial" w:eastAsia="Times New Roman" w:hAnsi="Arial" w:cs="Arial"/>
          <w:sz w:val="20"/>
          <w:szCs w:val="20"/>
          <w:lang w:val="en-IN" w:eastAsia="en-IN"/>
        </w:rPr>
      </w:pPr>
      <w:r w:rsidRPr="00F27DE9">
        <w:rPr>
          <w:rFonts w:ascii="Arial" w:eastAsia="Times New Roman" w:hAnsi="Arial" w:cs="Arial"/>
          <w:color w:val="FF0000"/>
          <w:sz w:val="20"/>
          <w:szCs w:val="20"/>
          <w:lang w:val="en-IN" w:eastAsia="en-IN"/>
        </w:rPr>
        <w:t xml:space="preserve">The potted experimentation was performed in the Campus Farm of M. S. Swaminathan School of Agriculture, Centurion University of Technology and Management, Paralakhemundi throughout the summer session in 2025. </w:t>
      </w:r>
      <w:r w:rsidRPr="00F27DE9">
        <w:rPr>
          <w:rFonts w:ascii="Arial" w:hAnsi="Arial" w:cs="Arial"/>
          <w:color w:val="FF0000"/>
          <w:sz w:val="20"/>
          <w:szCs w:val="20"/>
        </w:rPr>
        <w:t xml:space="preserve">To investigate the influence of the organic based manure on black gram growth as well as the change in phosphorus level in red soil. This research trial consisted of aspects like organic management in 3 different levels such as Control treatment, vermicompost, poultry manure and cow dung manure. </w:t>
      </w:r>
      <w:r w:rsidRPr="00F27DE9">
        <w:rPr>
          <w:rFonts w:ascii="Arial" w:eastAsia="Times New Roman" w:hAnsi="Arial" w:cs="Arial"/>
          <w:color w:val="FF0000"/>
          <w:sz w:val="20"/>
          <w:szCs w:val="20"/>
          <w:lang w:val="en-IN" w:eastAsia="en-IN"/>
        </w:rPr>
        <w:t>The data were properly gathered and collated before being given to statistical evaluation.</w:t>
      </w:r>
      <w:r w:rsidRPr="00CC56F4">
        <w:rPr>
          <w:rFonts w:ascii="Arial" w:eastAsia="Times New Roman" w:hAnsi="Arial" w:cs="Arial"/>
          <w:sz w:val="20"/>
          <w:szCs w:val="20"/>
          <w:lang w:val="en-IN" w:eastAsia="en-IN"/>
        </w:rPr>
        <w:t xml:space="preserve"> </w:t>
      </w:r>
      <w:r w:rsidRPr="00CC56F4">
        <w:rPr>
          <w:rFonts w:ascii="Arial" w:hAnsi="Arial" w:cs="Arial"/>
          <w:sz w:val="20"/>
          <w:szCs w:val="20"/>
        </w:rPr>
        <w:t xml:space="preserve">The scientific study was carried out using fully Randomized assigned Design with nine replications. Different growth characters, or yield contributing characters, number of leaves number of nodule and phosphorus level in red soil were substantially controlled through the use of various organic based fertilizer the highest growing plant was cultivated from treatment T2 and T4, </w:t>
      </w:r>
      <w:r w:rsidRPr="00CC56F4">
        <w:rPr>
          <w:rFonts w:ascii="Arial" w:eastAsia="Times New Roman" w:hAnsi="Arial" w:cs="Arial"/>
          <w:sz w:val="20"/>
          <w:szCs w:val="20"/>
          <w:lang w:val="en-IN" w:eastAsia="en-IN"/>
        </w:rPr>
        <w:t>vermicompost at 10 and 30 tons per hectare,</w:t>
      </w:r>
      <w:r w:rsidRPr="00CC56F4">
        <w:rPr>
          <w:rFonts w:ascii="Arial" w:hAnsi="Arial" w:cs="Arial"/>
          <w:sz w:val="20"/>
          <w:szCs w:val="20"/>
        </w:rPr>
        <w:t xml:space="preserve"> whereas the smallest plant 2.5 was taken from standard condition at 15 DAS.</w:t>
      </w:r>
      <w:r w:rsidR="00D13D03" w:rsidRPr="00CC56F4">
        <w:rPr>
          <w:rFonts w:ascii="Arial" w:hAnsi="Arial" w:cs="Arial"/>
          <w:sz w:val="20"/>
          <w:szCs w:val="20"/>
        </w:rPr>
        <w:t xml:space="preserve"> At 15DAS </w:t>
      </w:r>
      <w:r w:rsidR="00D13D03" w:rsidRPr="00CC56F4">
        <w:rPr>
          <w:rFonts w:ascii="Arial" w:eastAsia="Times New Roman" w:hAnsi="Arial" w:cs="Arial"/>
          <w:sz w:val="20"/>
          <w:szCs w:val="20"/>
          <w:lang w:val="en-IN" w:eastAsia="en-IN"/>
        </w:rPr>
        <w:t>the same amount of leaves during the early growth stage. the most leaves at the later phases of the growth cycle in treatment T3 (Vermicompost @ 20 ton/ha) and T8 (Cow dung @ 10 ton/ha).Nodulation was observed to be better in treatments containing poultry manure and higher doses of vermicompost compared to the control. The cow dung manure considerably boosted root nodule production at 45 and 60 DAS, particularly when administered at 20 tonnes per hectare T9. The impact of various organic treatments on soil phosphorus content at different time points after sowing. The highest phosphorus content of 60 was recorded in T6 and T7, while the lowest value (6 kg/ha) was observed in the control (T1).</w:t>
      </w:r>
    </w:p>
    <w:p w:rsidR="00D13D03" w:rsidRPr="00F27DE9" w:rsidRDefault="00751BE7" w:rsidP="00751BE7">
      <w:pPr>
        <w:rPr>
          <w:rFonts w:ascii="Arial" w:hAnsi="Arial" w:cs="Arial"/>
          <w:b/>
          <w:color w:val="FF0000"/>
        </w:rPr>
      </w:pPr>
      <w:r w:rsidRPr="00B2454B">
        <w:rPr>
          <w:rFonts w:ascii="Arial" w:hAnsi="Arial" w:cs="Arial"/>
          <w:b/>
          <w:color w:val="FF0000"/>
        </w:rPr>
        <w:t>REFERENCE</w:t>
      </w:r>
      <w:r w:rsidR="00F27DE9">
        <w:rPr>
          <w:rFonts w:ascii="Arial" w:hAnsi="Arial" w:cs="Arial"/>
          <w:b/>
        </w:rPr>
        <w:t xml:space="preserve"> </w:t>
      </w:r>
      <w:r w:rsidR="00F27DE9" w:rsidRPr="00F27DE9">
        <w:rPr>
          <w:rFonts w:ascii="Arial" w:hAnsi="Arial" w:cs="Arial"/>
          <w:b/>
          <w:color w:val="FF0000"/>
        </w:rPr>
        <w:t>( follow the journal format )</w:t>
      </w:r>
    </w:p>
    <w:sdt>
      <w:sdtPr>
        <w:rPr>
          <w:rFonts w:ascii="Arial" w:hAnsi="Arial" w:cs="Arial"/>
          <w:color w:val="000000"/>
          <w:sz w:val="20"/>
          <w:szCs w:val="20"/>
        </w:rPr>
        <w:tag w:val="MENDELEY_BIBLIOGRAPHY"/>
        <w:id w:val="2026206560"/>
        <w:placeholder>
          <w:docPart w:val="DefaultPlaceholder_-1854013440"/>
        </w:placeholder>
      </w:sdtPr>
      <w:sdtContent>
        <w:p w:rsidR="00D13D03" w:rsidRPr="00F27DE9" w:rsidRDefault="00D13D03" w:rsidP="00905799">
          <w:pPr>
            <w:autoSpaceDE w:val="0"/>
            <w:autoSpaceDN w:val="0"/>
            <w:ind w:hanging="480"/>
            <w:jc w:val="both"/>
            <w:divId w:val="1672488140"/>
            <w:rPr>
              <w:rFonts w:ascii="Arial" w:eastAsia="Times New Roman" w:hAnsi="Arial" w:cs="Arial"/>
              <w:color w:val="FF0000"/>
              <w:sz w:val="20"/>
              <w:szCs w:val="20"/>
            </w:rPr>
          </w:pPr>
          <w:r w:rsidRPr="00905799">
            <w:rPr>
              <w:rFonts w:ascii="Arial" w:eastAsia="Times New Roman" w:hAnsi="Arial" w:cs="Arial"/>
              <w:color w:val="000000"/>
              <w:sz w:val="20"/>
              <w:szCs w:val="20"/>
            </w:rPr>
            <w:t xml:space="preserve">AciegoPietri, J. C., &amp; Brookes, P. C. (2008). Relationships between soil pH and microbial properties in a UK arable soil. </w:t>
          </w:r>
          <w:r w:rsidRPr="00905799">
            <w:rPr>
              <w:rFonts w:ascii="Arial" w:eastAsia="Times New Roman" w:hAnsi="Arial" w:cs="Arial"/>
              <w:i/>
              <w:iCs/>
              <w:color w:val="000000"/>
              <w:sz w:val="20"/>
              <w:szCs w:val="20"/>
            </w:rPr>
            <w:t>Soil Biology and Biochemistry</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40</w:t>
          </w:r>
          <w:r w:rsidRPr="00905799">
            <w:rPr>
              <w:rFonts w:ascii="Arial" w:eastAsia="Times New Roman" w:hAnsi="Arial" w:cs="Arial"/>
              <w:color w:val="000000"/>
              <w:sz w:val="20"/>
              <w:szCs w:val="20"/>
            </w:rPr>
            <w:t>(7), 1856–1861. https://doi.org/10.1016/j.soilbio.</w:t>
          </w:r>
          <w:r w:rsidRPr="00F27DE9">
            <w:rPr>
              <w:rFonts w:ascii="Arial" w:eastAsia="Times New Roman" w:hAnsi="Arial" w:cs="Arial"/>
              <w:color w:val="FF0000"/>
              <w:sz w:val="20"/>
              <w:szCs w:val="20"/>
            </w:rPr>
            <w:t>2008.03.020</w:t>
          </w:r>
        </w:p>
        <w:p w:rsidR="00D13D03" w:rsidRPr="00F27DE9" w:rsidRDefault="00D13D03" w:rsidP="00905799">
          <w:pPr>
            <w:autoSpaceDE w:val="0"/>
            <w:autoSpaceDN w:val="0"/>
            <w:ind w:hanging="480"/>
            <w:jc w:val="both"/>
            <w:divId w:val="756486492"/>
            <w:rPr>
              <w:rFonts w:ascii="Arial" w:eastAsia="Times New Roman" w:hAnsi="Arial" w:cs="Arial"/>
              <w:color w:val="FF0000"/>
              <w:sz w:val="20"/>
              <w:szCs w:val="20"/>
            </w:rPr>
          </w:pPr>
          <w:r w:rsidRPr="00F27DE9">
            <w:rPr>
              <w:rFonts w:ascii="Arial" w:eastAsia="Times New Roman" w:hAnsi="Arial" w:cs="Arial"/>
              <w:color w:val="FF0000"/>
              <w:sz w:val="20"/>
              <w:szCs w:val="20"/>
            </w:rPr>
            <w:t xml:space="preserve">Akter, S. (n.d.). </w:t>
          </w:r>
          <w:r w:rsidRPr="00F27DE9">
            <w:rPr>
              <w:rFonts w:ascii="Arial" w:eastAsia="Times New Roman" w:hAnsi="Arial" w:cs="Arial"/>
              <w:i/>
              <w:iCs/>
              <w:color w:val="FF0000"/>
              <w:sz w:val="20"/>
              <w:szCs w:val="20"/>
            </w:rPr>
            <w:t>INFLUENCE OF ORGANIC MANURE, PHOSPHORUS-POTASSIUM ON GROWTH, YIELD AND SEED QUALITY OF BLACKGRAM</w:t>
          </w:r>
          <w:r w:rsidRPr="00F27DE9">
            <w:rPr>
              <w:rFonts w:ascii="Arial" w:eastAsia="Times New Roman" w:hAnsi="Arial" w:cs="Arial"/>
              <w:color w:val="FF0000"/>
              <w:sz w:val="20"/>
              <w:szCs w:val="20"/>
            </w:rPr>
            <w:t>.</w:t>
          </w:r>
        </w:p>
        <w:p w:rsidR="00F44692" w:rsidRPr="00F27DE9" w:rsidRDefault="00F44692" w:rsidP="00905799">
          <w:pPr>
            <w:autoSpaceDE w:val="0"/>
            <w:autoSpaceDN w:val="0"/>
            <w:ind w:hanging="480"/>
            <w:jc w:val="both"/>
            <w:divId w:val="756486492"/>
            <w:rPr>
              <w:rFonts w:ascii="Arial" w:eastAsia="Times New Roman" w:hAnsi="Arial" w:cs="Arial"/>
              <w:color w:val="FF0000"/>
              <w:sz w:val="20"/>
              <w:szCs w:val="20"/>
            </w:rPr>
          </w:pPr>
          <w:r w:rsidRPr="00F27DE9">
            <w:rPr>
              <w:rFonts w:ascii="Arial" w:hAnsi="Arial" w:cs="Arial"/>
              <w:color w:val="FF0000"/>
              <w:sz w:val="20"/>
              <w:szCs w:val="20"/>
              <w:shd w:val="clear" w:color="auto" w:fill="FFFFFF"/>
            </w:rPr>
            <w:lastRenderedPageBreak/>
            <w:t>Adhikary, R., Pal, A. and De, S.K., 2021. Effect of Application of Different Quality Water through Pitcher Irrigation and Tillage Types on Tomato Production and Soil Properties of Coastal Saline Soil of West Bengal. </w:t>
          </w:r>
          <w:r w:rsidRPr="00F27DE9">
            <w:rPr>
              <w:rFonts w:ascii="Arial" w:hAnsi="Arial" w:cs="Arial"/>
              <w:i/>
              <w:iCs/>
              <w:color w:val="FF0000"/>
              <w:sz w:val="20"/>
              <w:szCs w:val="20"/>
              <w:shd w:val="clear" w:color="auto" w:fill="FFFFFF"/>
            </w:rPr>
            <w:t>Indian Journal of Agricultural Research</w:t>
          </w:r>
          <w:r w:rsidRPr="00F27DE9">
            <w:rPr>
              <w:rFonts w:ascii="Arial" w:hAnsi="Arial" w:cs="Arial"/>
              <w:color w:val="FF0000"/>
              <w:sz w:val="20"/>
              <w:szCs w:val="20"/>
              <w:shd w:val="clear" w:color="auto" w:fill="FFFFFF"/>
            </w:rPr>
            <w:t>, </w:t>
          </w:r>
          <w:r w:rsidRPr="00F27DE9">
            <w:rPr>
              <w:rFonts w:ascii="Arial" w:hAnsi="Arial" w:cs="Arial"/>
              <w:i/>
              <w:iCs/>
              <w:color w:val="FF0000"/>
              <w:sz w:val="20"/>
              <w:szCs w:val="20"/>
              <w:shd w:val="clear" w:color="auto" w:fill="FFFFFF"/>
            </w:rPr>
            <w:t>55</w:t>
          </w:r>
          <w:r w:rsidRPr="00F27DE9">
            <w:rPr>
              <w:rFonts w:ascii="Arial" w:hAnsi="Arial" w:cs="Arial"/>
              <w:color w:val="FF0000"/>
              <w:sz w:val="20"/>
              <w:szCs w:val="20"/>
              <w:shd w:val="clear" w:color="auto" w:fill="FFFFFF"/>
            </w:rPr>
            <w:t>(6).</w:t>
          </w:r>
        </w:p>
        <w:p w:rsidR="00D13D03" w:rsidRPr="00905799" w:rsidRDefault="00D13D03" w:rsidP="00905799">
          <w:pPr>
            <w:autoSpaceDE w:val="0"/>
            <w:autoSpaceDN w:val="0"/>
            <w:ind w:hanging="480"/>
            <w:jc w:val="both"/>
            <w:divId w:val="32078689"/>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Ao, J., Chen, Z., Wu, M., Lu, X., Huang, Z., &amp; Liao, H. (2014). Phosphorus fractions of red soils in guangdong province of south China and their bioavailability for five crop species. </w:t>
          </w:r>
          <w:r w:rsidRPr="00905799">
            <w:rPr>
              <w:rFonts w:ascii="Arial" w:eastAsia="Times New Roman" w:hAnsi="Arial" w:cs="Arial"/>
              <w:i/>
              <w:iCs/>
              <w:color w:val="000000"/>
              <w:sz w:val="20"/>
              <w:szCs w:val="20"/>
            </w:rPr>
            <w:t>Soil Science</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179</w:t>
          </w:r>
          <w:r w:rsidRPr="00905799">
            <w:rPr>
              <w:rFonts w:ascii="Arial" w:eastAsia="Times New Roman" w:hAnsi="Arial" w:cs="Arial"/>
              <w:color w:val="000000"/>
              <w:sz w:val="20"/>
              <w:szCs w:val="20"/>
            </w:rPr>
            <w:t xml:space="preserve">(10–11), 514–521. </w:t>
          </w:r>
          <w:hyperlink r:id="rId8" w:history="1">
            <w:r w:rsidR="004E3CA6" w:rsidRPr="00905799">
              <w:rPr>
                <w:rStyle w:val="Hyperlink"/>
                <w:rFonts w:ascii="Arial" w:eastAsia="Times New Roman" w:hAnsi="Arial" w:cs="Arial"/>
                <w:sz w:val="20"/>
                <w:szCs w:val="20"/>
              </w:rPr>
              <w:t>https://doi.org/10.1097/SS.0000000000000087</w:t>
            </w:r>
          </w:hyperlink>
        </w:p>
        <w:p w:rsidR="004E3CA6" w:rsidRPr="00905799" w:rsidRDefault="004E3CA6" w:rsidP="00905799">
          <w:pPr>
            <w:autoSpaceDE w:val="0"/>
            <w:autoSpaceDN w:val="0"/>
            <w:ind w:hanging="480"/>
            <w:jc w:val="both"/>
            <w:divId w:val="32078689"/>
            <w:rPr>
              <w:rFonts w:ascii="Arial" w:hAnsi="Arial" w:cs="Arial"/>
              <w:color w:val="222222"/>
              <w:sz w:val="20"/>
              <w:szCs w:val="20"/>
              <w:shd w:val="clear" w:color="auto" w:fill="FFFFFF"/>
            </w:rPr>
          </w:pPr>
          <w:r w:rsidRPr="00905799">
            <w:rPr>
              <w:rFonts w:ascii="Arial" w:hAnsi="Arial" w:cs="Arial"/>
              <w:color w:val="222222"/>
              <w:sz w:val="20"/>
              <w:szCs w:val="20"/>
              <w:shd w:val="clear" w:color="auto" w:fill="FFFFFF"/>
            </w:rPr>
            <w:t>Adhikary, R., &amp; Pal, A. (2019). Geotextile and its Importance in Agriculture: A Review Study. </w:t>
          </w:r>
          <w:r w:rsidRPr="00905799">
            <w:rPr>
              <w:rFonts w:ascii="Arial" w:hAnsi="Arial" w:cs="Arial"/>
              <w:i/>
              <w:iCs/>
              <w:color w:val="222222"/>
              <w:sz w:val="20"/>
              <w:szCs w:val="20"/>
              <w:shd w:val="clear" w:color="auto" w:fill="FFFFFF"/>
            </w:rPr>
            <w:t>IJBS</w:t>
          </w:r>
          <w:r w:rsidRPr="00905799">
            <w:rPr>
              <w:rFonts w:ascii="Arial" w:hAnsi="Arial" w:cs="Arial"/>
              <w:color w:val="222222"/>
              <w:sz w:val="20"/>
              <w:szCs w:val="20"/>
              <w:shd w:val="clear" w:color="auto" w:fill="FFFFFF"/>
            </w:rPr>
            <w:t>, </w:t>
          </w:r>
          <w:r w:rsidRPr="00905799">
            <w:rPr>
              <w:rFonts w:ascii="Arial" w:hAnsi="Arial" w:cs="Arial"/>
              <w:i/>
              <w:iCs/>
              <w:color w:val="222222"/>
              <w:sz w:val="20"/>
              <w:szCs w:val="20"/>
              <w:shd w:val="clear" w:color="auto" w:fill="FFFFFF"/>
            </w:rPr>
            <w:t>6</w:t>
          </w:r>
          <w:r w:rsidRPr="00905799">
            <w:rPr>
              <w:rFonts w:ascii="Arial" w:hAnsi="Arial" w:cs="Arial"/>
              <w:color w:val="222222"/>
              <w:sz w:val="20"/>
              <w:szCs w:val="20"/>
              <w:shd w:val="clear" w:color="auto" w:fill="FFFFFF"/>
            </w:rPr>
            <w:t>(2), 61-63.</w:t>
          </w:r>
        </w:p>
        <w:p w:rsidR="004E3CA6" w:rsidRPr="00905799" w:rsidRDefault="004E3CA6" w:rsidP="00905799">
          <w:pPr>
            <w:autoSpaceDE w:val="0"/>
            <w:autoSpaceDN w:val="0"/>
            <w:ind w:hanging="480"/>
            <w:jc w:val="both"/>
            <w:divId w:val="32078689"/>
            <w:rPr>
              <w:rFonts w:ascii="Arial" w:hAnsi="Arial" w:cs="Arial"/>
              <w:color w:val="222222"/>
              <w:sz w:val="20"/>
              <w:szCs w:val="20"/>
              <w:shd w:val="clear" w:color="auto" w:fill="FFFFFF"/>
            </w:rPr>
          </w:pPr>
          <w:r w:rsidRPr="00905799">
            <w:rPr>
              <w:rFonts w:ascii="Arial" w:hAnsi="Arial" w:cs="Arial"/>
              <w:color w:val="222222"/>
              <w:sz w:val="20"/>
              <w:szCs w:val="20"/>
              <w:shd w:val="clear" w:color="auto" w:fill="FFFFFF"/>
            </w:rPr>
            <w:t>ADHIKARI, N., DISHA, A., MAHATA, A.P., PAL, A., ADHIKARI, R., SARDAR, M., SAHA, A., BAURI, S.K., TARAFDAR, P. and DE, S.K., 2016. Efficient use of jute agro textiles as soil conditioner to increase chilli productivity on Inceptisol of West Bengal. </w:t>
          </w:r>
          <w:r w:rsidRPr="00905799">
            <w:rPr>
              <w:rFonts w:ascii="Arial" w:hAnsi="Arial" w:cs="Arial"/>
              <w:i/>
              <w:iCs/>
              <w:color w:val="222222"/>
              <w:sz w:val="20"/>
              <w:szCs w:val="20"/>
              <w:shd w:val="clear" w:color="auto" w:fill="FFFFFF"/>
            </w:rPr>
            <w:t>Journal of Soil and Water Conservation</w:t>
          </w:r>
          <w:r w:rsidRPr="00905799">
            <w:rPr>
              <w:rFonts w:ascii="Arial" w:hAnsi="Arial" w:cs="Arial"/>
              <w:color w:val="222222"/>
              <w:sz w:val="20"/>
              <w:szCs w:val="20"/>
              <w:shd w:val="clear" w:color="auto" w:fill="FFFFFF"/>
            </w:rPr>
            <w:t>, </w:t>
          </w:r>
          <w:r w:rsidRPr="00905799">
            <w:rPr>
              <w:rFonts w:ascii="Arial" w:hAnsi="Arial" w:cs="Arial"/>
              <w:i/>
              <w:iCs/>
              <w:color w:val="222222"/>
              <w:sz w:val="20"/>
              <w:szCs w:val="20"/>
              <w:shd w:val="clear" w:color="auto" w:fill="FFFFFF"/>
            </w:rPr>
            <w:t>15</w:t>
          </w:r>
          <w:r w:rsidRPr="00905799">
            <w:rPr>
              <w:rFonts w:ascii="Arial" w:hAnsi="Arial" w:cs="Arial"/>
              <w:color w:val="222222"/>
              <w:sz w:val="20"/>
              <w:szCs w:val="20"/>
              <w:shd w:val="clear" w:color="auto" w:fill="FFFFFF"/>
            </w:rPr>
            <w:t>(3), pp.242-245.</w:t>
          </w:r>
        </w:p>
        <w:p w:rsidR="00D13D03" w:rsidRPr="00905799" w:rsidRDefault="00D13D03" w:rsidP="00905799">
          <w:pPr>
            <w:autoSpaceDE w:val="0"/>
            <w:autoSpaceDN w:val="0"/>
            <w:ind w:hanging="480"/>
            <w:jc w:val="both"/>
            <w:divId w:val="1633904910"/>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Čakmak, D., Beloica, J., Perović, V., Kadović, R., Mrvić, V., Knežević, J., &amp;Belanović, S. (2014). Atmospheric deposition effects on agricultural soil acidification state - Key study: Krupanj Municipality. </w:t>
          </w:r>
          <w:r w:rsidRPr="00905799">
            <w:rPr>
              <w:rFonts w:ascii="Arial" w:eastAsia="Times New Roman" w:hAnsi="Arial" w:cs="Arial"/>
              <w:i/>
              <w:iCs/>
              <w:color w:val="000000"/>
              <w:sz w:val="20"/>
              <w:szCs w:val="20"/>
            </w:rPr>
            <w:t>Archives of Environmental Protection</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40</w:t>
          </w:r>
          <w:r w:rsidRPr="00905799">
            <w:rPr>
              <w:rFonts w:ascii="Arial" w:eastAsia="Times New Roman" w:hAnsi="Arial" w:cs="Arial"/>
              <w:color w:val="000000"/>
              <w:sz w:val="20"/>
              <w:szCs w:val="20"/>
            </w:rPr>
            <w:t>(2), 137–148. https://doi.org/10.2478/aep-2014-0022</w:t>
          </w:r>
        </w:p>
        <w:p w:rsidR="00D13D03" w:rsidRPr="00905799" w:rsidRDefault="00D13D03" w:rsidP="00905799">
          <w:pPr>
            <w:autoSpaceDE w:val="0"/>
            <w:autoSpaceDN w:val="0"/>
            <w:ind w:hanging="480"/>
            <w:jc w:val="both"/>
            <w:divId w:val="1463768251"/>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Chen, G. C., He, Z. L., &amp; Huang, C. Y. (2000). Microbial biomass phosphorus and its significance in predicting phosphorus availability in red soils. </w:t>
          </w:r>
          <w:r w:rsidRPr="00905799">
            <w:rPr>
              <w:rFonts w:ascii="Arial" w:eastAsia="Times New Roman" w:hAnsi="Arial" w:cs="Arial"/>
              <w:i/>
              <w:iCs/>
              <w:color w:val="000000"/>
              <w:sz w:val="20"/>
              <w:szCs w:val="20"/>
            </w:rPr>
            <w:t>Communications in Soil Science and Plant Analysis</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31</w:t>
          </w:r>
          <w:r w:rsidRPr="00905799">
            <w:rPr>
              <w:rFonts w:ascii="Arial" w:eastAsia="Times New Roman" w:hAnsi="Arial" w:cs="Arial"/>
              <w:color w:val="000000"/>
              <w:sz w:val="20"/>
              <w:szCs w:val="20"/>
            </w:rPr>
            <w:t>(5–6), 655–667. https://doi.org/10.1080/00103620009370467</w:t>
          </w:r>
        </w:p>
        <w:p w:rsidR="00D13D03" w:rsidRPr="00905799" w:rsidRDefault="00D13D03" w:rsidP="00905799">
          <w:pPr>
            <w:autoSpaceDE w:val="0"/>
            <w:autoSpaceDN w:val="0"/>
            <w:ind w:hanging="480"/>
            <w:jc w:val="both"/>
            <w:divId w:val="983044829"/>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Doran, J. W., &amp; Zeiss, M. R. (2000). Soil health and sustainability: managing the biotic component of soil quality. In </w:t>
          </w:r>
          <w:r w:rsidRPr="00905799">
            <w:rPr>
              <w:rFonts w:ascii="Arial" w:eastAsia="Times New Roman" w:hAnsi="Arial" w:cs="Arial"/>
              <w:i/>
              <w:iCs/>
              <w:color w:val="000000"/>
              <w:sz w:val="20"/>
              <w:szCs w:val="20"/>
            </w:rPr>
            <w:t>Applied Soil Ecology</w:t>
          </w:r>
          <w:r w:rsidRPr="00905799">
            <w:rPr>
              <w:rFonts w:ascii="Arial" w:eastAsia="Times New Roman" w:hAnsi="Arial" w:cs="Arial"/>
              <w:color w:val="000000"/>
              <w:sz w:val="20"/>
              <w:szCs w:val="20"/>
            </w:rPr>
            <w:t xml:space="preserve"> (Vol. 15).</w:t>
          </w:r>
        </w:p>
        <w:p w:rsidR="00D13D03" w:rsidRPr="00905799" w:rsidRDefault="00D13D03" w:rsidP="00905799">
          <w:pPr>
            <w:autoSpaceDE w:val="0"/>
            <w:autoSpaceDN w:val="0"/>
            <w:ind w:hanging="480"/>
            <w:jc w:val="both"/>
            <w:divId w:val="907884161"/>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Hao, T., Zhu, Q., Zeng, M., Shen, J., Shi, X., Liu, X., Zhang, F., &amp; de Vries, W. (2019). Quantification of the contribution of nitrogen fertilization and crop harvesting to soil acidification in a wheat-maize double cropping system. </w:t>
          </w:r>
          <w:r w:rsidRPr="00905799">
            <w:rPr>
              <w:rFonts w:ascii="Arial" w:eastAsia="Times New Roman" w:hAnsi="Arial" w:cs="Arial"/>
              <w:i/>
              <w:iCs/>
              <w:color w:val="000000"/>
              <w:sz w:val="20"/>
              <w:szCs w:val="20"/>
            </w:rPr>
            <w:t>Plant and Soil</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434</w:t>
          </w:r>
          <w:r w:rsidRPr="00905799">
            <w:rPr>
              <w:rFonts w:ascii="Arial" w:eastAsia="Times New Roman" w:hAnsi="Arial" w:cs="Arial"/>
              <w:color w:val="000000"/>
              <w:sz w:val="20"/>
              <w:szCs w:val="20"/>
            </w:rPr>
            <w:t>(1–2), 167–184. https://doi.org/10.1007/s11104-018-3760-0</w:t>
          </w:r>
        </w:p>
        <w:p w:rsidR="00D13D03" w:rsidRPr="00905799" w:rsidRDefault="00D13D03" w:rsidP="00905799">
          <w:pPr>
            <w:autoSpaceDE w:val="0"/>
            <w:autoSpaceDN w:val="0"/>
            <w:ind w:hanging="480"/>
            <w:jc w:val="both"/>
            <w:divId w:val="118233679"/>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Kadyan, M., Kumari, M., Pandey, A., &amp; Kumar, K. (2024). The Strategies Used in the Cultivation Practices of Black Gram (Vigna mungo L.) in Summer Season. </w:t>
          </w:r>
          <w:r w:rsidRPr="00905799">
            <w:rPr>
              <w:rFonts w:ascii="Arial" w:eastAsia="Times New Roman" w:hAnsi="Arial" w:cs="Arial"/>
              <w:i/>
              <w:iCs/>
              <w:color w:val="000000"/>
              <w:sz w:val="20"/>
              <w:szCs w:val="20"/>
            </w:rPr>
            <w:t>Vigyan Varta</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5</w:t>
          </w:r>
          <w:r w:rsidRPr="00905799">
            <w:rPr>
              <w:rFonts w:ascii="Arial" w:eastAsia="Times New Roman" w:hAnsi="Arial" w:cs="Arial"/>
              <w:color w:val="000000"/>
              <w:sz w:val="20"/>
              <w:szCs w:val="20"/>
            </w:rPr>
            <w:t>(12), 46–50. https://indiaagronet.com/indiaagronet/crop%20info</w:t>
          </w:r>
        </w:p>
        <w:p w:rsidR="00D13D03" w:rsidRPr="00905799" w:rsidRDefault="00D13D03" w:rsidP="00905799">
          <w:pPr>
            <w:autoSpaceDE w:val="0"/>
            <w:autoSpaceDN w:val="0"/>
            <w:ind w:hanging="480"/>
            <w:jc w:val="both"/>
            <w:divId w:val="1186092664"/>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Kochian, L. V., Piñeros, M. A., Liu, J., &amp; Magalhaes, J. V. (2015). Plant adaptation to acid soils: The molecular basis for crop aluminum resistance. </w:t>
          </w:r>
          <w:r w:rsidRPr="00905799">
            <w:rPr>
              <w:rFonts w:ascii="Arial" w:eastAsia="Times New Roman" w:hAnsi="Arial" w:cs="Arial"/>
              <w:i/>
              <w:iCs/>
              <w:color w:val="000000"/>
              <w:sz w:val="20"/>
              <w:szCs w:val="20"/>
            </w:rPr>
            <w:t>Annual Review of Plant Biology</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66</w:t>
          </w:r>
          <w:r w:rsidRPr="00905799">
            <w:rPr>
              <w:rFonts w:ascii="Arial" w:eastAsia="Times New Roman" w:hAnsi="Arial" w:cs="Arial"/>
              <w:color w:val="000000"/>
              <w:sz w:val="20"/>
              <w:szCs w:val="20"/>
            </w:rPr>
            <w:t>, 571–598. https://doi.org/10.1146/annurev-arplant-043014-114822</w:t>
          </w:r>
        </w:p>
        <w:p w:rsidR="00D13D03" w:rsidRPr="00905799" w:rsidRDefault="00D13D03" w:rsidP="00905799">
          <w:pPr>
            <w:autoSpaceDE w:val="0"/>
            <w:autoSpaceDN w:val="0"/>
            <w:ind w:hanging="480"/>
            <w:jc w:val="both"/>
            <w:divId w:val="1399090266"/>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Liankai, Z., Hongbing, J., Shijie, W., Gang, L., Xiuming, L., Xiao, W., QuocDinh, N., &amp;DaiTrung, N. (2020). Geochemical implications of rare earth elements in terra rossa in tropical karst area: A case study in northern Vietnam. </w:t>
          </w:r>
          <w:r w:rsidRPr="00905799">
            <w:rPr>
              <w:rFonts w:ascii="Arial" w:eastAsia="Times New Roman" w:hAnsi="Arial" w:cs="Arial"/>
              <w:i/>
              <w:iCs/>
              <w:color w:val="000000"/>
              <w:sz w:val="20"/>
              <w:szCs w:val="20"/>
            </w:rPr>
            <w:t>Applied Sciences (Switzerland)</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10</w:t>
          </w:r>
          <w:r w:rsidRPr="00905799">
            <w:rPr>
              <w:rFonts w:ascii="Arial" w:eastAsia="Times New Roman" w:hAnsi="Arial" w:cs="Arial"/>
              <w:color w:val="000000"/>
              <w:sz w:val="20"/>
              <w:szCs w:val="20"/>
            </w:rPr>
            <w:t>(3). https://doi.org/10.3390/app10030858</w:t>
          </w:r>
        </w:p>
        <w:p w:rsidR="00D13D03" w:rsidRPr="00905799" w:rsidRDefault="00D13D03" w:rsidP="00905799">
          <w:pPr>
            <w:autoSpaceDE w:val="0"/>
            <w:autoSpaceDN w:val="0"/>
            <w:ind w:hanging="480"/>
            <w:jc w:val="both"/>
            <w:divId w:val="1542739876"/>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Li, Y., Cui, S., Chang, S. X., &amp; Zhang, Q. (2019). Liming effects on soil pH and crop yield depend on lime material type, application method and rate, and crop species: a global meta-analysis. </w:t>
          </w:r>
          <w:r w:rsidRPr="00905799">
            <w:rPr>
              <w:rFonts w:ascii="Arial" w:eastAsia="Times New Roman" w:hAnsi="Arial" w:cs="Arial"/>
              <w:i/>
              <w:iCs/>
              <w:color w:val="000000"/>
              <w:sz w:val="20"/>
              <w:szCs w:val="20"/>
            </w:rPr>
            <w:t>Journal of Soils and Sediments</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19</w:t>
          </w:r>
          <w:r w:rsidRPr="00905799">
            <w:rPr>
              <w:rFonts w:ascii="Arial" w:eastAsia="Times New Roman" w:hAnsi="Arial" w:cs="Arial"/>
              <w:color w:val="000000"/>
              <w:sz w:val="20"/>
              <w:szCs w:val="20"/>
            </w:rPr>
            <w:t xml:space="preserve">(3), 1393–1406. </w:t>
          </w:r>
          <w:hyperlink r:id="rId9" w:history="1">
            <w:r w:rsidR="00F44692" w:rsidRPr="00905799">
              <w:rPr>
                <w:rStyle w:val="Hyperlink"/>
                <w:rFonts w:ascii="Arial" w:eastAsia="Times New Roman" w:hAnsi="Arial" w:cs="Arial"/>
                <w:sz w:val="20"/>
                <w:szCs w:val="20"/>
              </w:rPr>
              <w:t>https://doi.org/10.1007/s11368-018-2120-2</w:t>
            </w:r>
          </w:hyperlink>
        </w:p>
        <w:p w:rsidR="00F44692" w:rsidRPr="00905799" w:rsidRDefault="00F44692" w:rsidP="00905799">
          <w:pPr>
            <w:autoSpaceDE w:val="0"/>
            <w:autoSpaceDN w:val="0"/>
            <w:ind w:hanging="480"/>
            <w:jc w:val="both"/>
            <w:divId w:val="1542739876"/>
            <w:rPr>
              <w:rFonts w:ascii="Arial" w:eastAsia="Times New Roman" w:hAnsi="Arial" w:cs="Arial"/>
              <w:color w:val="000000"/>
              <w:sz w:val="20"/>
              <w:szCs w:val="20"/>
            </w:rPr>
          </w:pPr>
          <w:r w:rsidRPr="00905799">
            <w:rPr>
              <w:rFonts w:ascii="Arial" w:hAnsi="Arial" w:cs="Arial"/>
              <w:color w:val="222222"/>
              <w:sz w:val="20"/>
              <w:szCs w:val="20"/>
              <w:shd w:val="clear" w:color="auto" w:fill="FFFFFF"/>
            </w:rPr>
            <w:t>Maitra, S., Shankar, T., Palai, J.B., Sairam, M., Pal, A. and Gaikwad, D.J., 2020. Cultivation of gerbera in polyhouse. </w:t>
          </w:r>
          <w:r w:rsidRPr="00905799">
            <w:rPr>
              <w:rFonts w:ascii="Arial" w:hAnsi="Arial" w:cs="Arial"/>
              <w:i/>
              <w:iCs/>
              <w:color w:val="222222"/>
              <w:sz w:val="20"/>
              <w:szCs w:val="20"/>
              <w:shd w:val="clear" w:color="auto" w:fill="FFFFFF"/>
            </w:rPr>
            <w:t>Protected cultivation and smart agriculture, New Delhi Publishers</w:t>
          </w:r>
          <w:r w:rsidRPr="00905799">
            <w:rPr>
              <w:rFonts w:ascii="Arial" w:hAnsi="Arial" w:cs="Arial"/>
              <w:color w:val="222222"/>
              <w:sz w:val="20"/>
              <w:szCs w:val="20"/>
              <w:shd w:val="clear" w:color="auto" w:fill="FFFFFF"/>
            </w:rPr>
            <w:t>, pp.219-26.</w:t>
          </w:r>
        </w:p>
        <w:p w:rsidR="00D13D03" w:rsidRPr="00905799" w:rsidRDefault="00D13D03" w:rsidP="00905799">
          <w:pPr>
            <w:autoSpaceDE w:val="0"/>
            <w:autoSpaceDN w:val="0"/>
            <w:ind w:hanging="480"/>
            <w:jc w:val="both"/>
            <w:divId w:val="1472865937"/>
            <w:rPr>
              <w:rFonts w:ascii="Arial" w:eastAsia="Times New Roman" w:hAnsi="Arial" w:cs="Arial"/>
              <w:color w:val="000000"/>
              <w:sz w:val="20"/>
              <w:szCs w:val="20"/>
            </w:rPr>
          </w:pPr>
          <w:r w:rsidRPr="00905799">
            <w:rPr>
              <w:rFonts w:ascii="Arial" w:eastAsia="Times New Roman" w:hAnsi="Arial" w:cs="Arial"/>
              <w:color w:val="000000"/>
              <w:sz w:val="20"/>
              <w:szCs w:val="20"/>
            </w:rPr>
            <w:lastRenderedPageBreak/>
            <w:t xml:space="preserve">Nargund, M. I., Singh, R., Singh, A., Pazhanisamy, S., &amp; Sarkar, S. (2024). </w:t>
          </w:r>
          <w:r w:rsidRPr="00905799">
            <w:rPr>
              <w:rFonts w:ascii="Arial" w:eastAsia="Times New Roman" w:hAnsi="Arial" w:cs="Arial"/>
              <w:i/>
              <w:iCs/>
              <w:color w:val="000000"/>
              <w:sz w:val="20"/>
              <w:szCs w:val="20"/>
            </w:rPr>
            <w:t>How to cultivate productive and profitable Urd bean (Black gram) in Summer Season</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11</w:t>
          </w:r>
          <w:r w:rsidRPr="00905799">
            <w:rPr>
              <w:rFonts w:ascii="Arial" w:eastAsia="Times New Roman" w:hAnsi="Arial" w:cs="Arial"/>
              <w:color w:val="000000"/>
              <w:sz w:val="20"/>
              <w:szCs w:val="20"/>
            </w:rPr>
            <w:t xml:space="preserve">(10), 442–448. </w:t>
          </w:r>
          <w:hyperlink r:id="rId10" w:history="1">
            <w:r w:rsidR="004E3CA6" w:rsidRPr="00905799">
              <w:rPr>
                <w:rStyle w:val="Hyperlink"/>
                <w:rFonts w:ascii="Arial" w:eastAsia="Times New Roman" w:hAnsi="Arial" w:cs="Arial"/>
                <w:sz w:val="20"/>
                <w:szCs w:val="20"/>
              </w:rPr>
              <w:t>www.indianfarmer.net</w:t>
            </w:r>
          </w:hyperlink>
        </w:p>
        <w:p w:rsidR="004E3CA6" w:rsidRPr="00905799" w:rsidRDefault="004E3CA6" w:rsidP="00905799">
          <w:pPr>
            <w:autoSpaceDE w:val="0"/>
            <w:autoSpaceDN w:val="0"/>
            <w:ind w:hanging="480"/>
            <w:jc w:val="both"/>
            <w:divId w:val="1472865937"/>
            <w:rPr>
              <w:rFonts w:ascii="Arial" w:hAnsi="Arial" w:cs="Arial"/>
              <w:color w:val="222222"/>
              <w:sz w:val="20"/>
              <w:szCs w:val="20"/>
              <w:shd w:val="clear" w:color="auto" w:fill="FFFFFF"/>
            </w:rPr>
          </w:pPr>
          <w:r w:rsidRPr="00905799">
            <w:rPr>
              <w:rFonts w:ascii="Arial" w:hAnsi="Arial" w:cs="Arial"/>
              <w:color w:val="222222"/>
              <w:sz w:val="20"/>
              <w:szCs w:val="20"/>
              <w:shd w:val="clear" w:color="auto" w:fill="FFFFFF"/>
            </w:rPr>
            <w:t>Pal, A., Adhikary, R., Bera, M., De, S.K. and Sardar, M., 2020. Application of Different Geotextile in Soil to Improve the Soil Health in Humid and Hot Sub Humid Region of West Bengal, India. </w:t>
          </w:r>
          <w:r w:rsidRPr="00905799">
            <w:rPr>
              <w:rFonts w:ascii="Arial" w:hAnsi="Arial" w:cs="Arial"/>
              <w:i/>
              <w:iCs/>
              <w:color w:val="222222"/>
              <w:sz w:val="20"/>
              <w:szCs w:val="20"/>
              <w:shd w:val="clear" w:color="auto" w:fill="FFFFFF"/>
            </w:rPr>
            <w:t>Int. J. Curr. Microbiol. App. Sci</w:t>
          </w:r>
          <w:r w:rsidRPr="00905799">
            <w:rPr>
              <w:rFonts w:ascii="Arial" w:hAnsi="Arial" w:cs="Arial"/>
              <w:color w:val="222222"/>
              <w:sz w:val="20"/>
              <w:szCs w:val="20"/>
              <w:shd w:val="clear" w:color="auto" w:fill="FFFFFF"/>
            </w:rPr>
            <w:t>, </w:t>
          </w:r>
          <w:r w:rsidRPr="00905799">
            <w:rPr>
              <w:rFonts w:ascii="Arial" w:hAnsi="Arial" w:cs="Arial"/>
              <w:i/>
              <w:iCs/>
              <w:color w:val="222222"/>
              <w:sz w:val="20"/>
              <w:szCs w:val="20"/>
              <w:shd w:val="clear" w:color="auto" w:fill="FFFFFF"/>
            </w:rPr>
            <w:t>9</w:t>
          </w:r>
          <w:r w:rsidRPr="00905799">
            <w:rPr>
              <w:rFonts w:ascii="Arial" w:hAnsi="Arial" w:cs="Arial"/>
              <w:color w:val="222222"/>
              <w:sz w:val="20"/>
              <w:szCs w:val="20"/>
              <w:shd w:val="clear" w:color="auto" w:fill="FFFFFF"/>
            </w:rPr>
            <w:t>(6), pp.2812-2818.</w:t>
          </w:r>
        </w:p>
        <w:p w:rsidR="00F44692" w:rsidRPr="00905799" w:rsidRDefault="00F44692" w:rsidP="00905799">
          <w:pPr>
            <w:autoSpaceDE w:val="0"/>
            <w:autoSpaceDN w:val="0"/>
            <w:ind w:hanging="480"/>
            <w:jc w:val="both"/>
            <w:divId w:val="1472865937"/>
            <w:rPr>
              <w:rFonts w:ascii="Arial" w:eastAsia="Times New Roman" w:hAnsi="Arial" w:cs="Arial"/>
              <w:color w:val="000000"/>
              <w:sz w:val="20"/>
              <w:szCs w:val="20"/>
            </w:rPr>
          </w:pPr>
          <w:r w:rsidRPr="00905799">
            <w:rPr>
              <w:rFonts w:ascii="Arial" w:hAnsi="Arial" w:cs="Arial"/>
              <w:color w:val="222222"/>
              <w:sz w:val="20"/>
              <w:szCs w:val="20"/>
              <w:shd w:val="clear" w:color="auto" w:fill="FFFFFF"/>
            </w:rPr>
            <w:t>Reddy, D.P., Pal, A. and Reddy, M.D., 2022. Effect of nitrogen levels on yield of rice varieties during kharif in South Odisha. </w:t>
          </w:r>
          <w:r w:rsidRPr="00905799">
            <w:rPr>
              <w:rFonts w:ascii="Arial" w:hAnsi="Arial" w:cs="Arial"/>
              <w:i/>
              <w:iCs/>
              <w:color w:val="222222"/>
              <w:sz w:val="20"/>
              <w:szCs w:val="20"/>
              <w:shd w:val="clear" w:color="auto" w:fill="FFFFFF"/>
            </w:rPr>
            <w:t>Crop Research</w:t>
          </w:r>
          <w:r w:rsidRPr="00905799">
            <w:rPr>
              <w:rFonts w:ascii="Arial" w:hAnsi="Arial" w:cs="Arial"/>
              <w:color w:val="222222"/>
              <w:sz w:val="20"/>
              <w:szCs w:val="20"/>
              <w:shd w:val="clear" w:color="auto" w:fill="FFFFFF"/>
            </w:rPr>
            <w:t>, </w:t>
          </w:r>
          <w:r w:rsidRPr="00905799">
            <w:rPr>
              <w:rFonts w:ascii="Arial" w:hAnsi="Arial" w:cs="Arial"/>
              <w:i/>
              <w:iCs/>
              <w:color w:val="222222"/>
              <w:sz w:val="20"/>
              <w:szCs w:val="20"/>
              <w:shd w:val="clear" w:color="auto" w:fill="FFFFFF"/>
            </w:rPr>
            <w:t>57</w:t>
          </w:r>
          <w:r w:rsidRPr="00905799">
            <w:rPr>
              <w:rFonts w:ascii="Arial" w:hAnsi="Arial" w:cs="Arial"/>
              <w:color w:val="222222"/>
              <w:sz w:val="20"/>
              <w:szCs w:val="20"/>
              <w:shd w:val="clear" w:color="auto" w:fill="FFFFFF"/>
            </w:rPr>
            <w:t>(3), pp.108-112.</w:t>
          </w:r>
        </w:p>
        <w:p w:rsidR="00D13D03" w:rsidRPr="00905799" w:rsidRDefault="00D13D03" w:rsidP="00905799">
          <w:pPr>
            <w:autoSpaceDE w:val="0"/>
            <w:autoSpaceDN w:val="0"/>
            <w:ind w:hanging="480"/>
            <w:jc w:val="both"/>
            <w:divId w:val="640765135"/>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Shen, Y., Zhang, Z., &amp; Xue, Y. (2021). Study on the new dynamics and driving factors of soil pH in the red soil, hilly region of South China. </w:t>
          </w:r>
          <w:r w:rsidRPr="00905799">
            <w:rPr>
              <w:rFonts w:ascii="Arial" w:eastAsia="Times New Roman" w:hAnsi="Arial" w:cs="Arial"/>
              <w:i/>
              <w:iCs/>
              <w:color w:val="000000"/>
              <w:sz w:val="20"/>
              <w:szCs w:val="20"/>
            </w:rPr>
            <w:t>Environmental Monitoring and Assessment</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193</w:t>
          </w:r>
          <w:r w:rsidRPr="00905799">
            <w:rPr>
              <w:rFonts w:ascii="Arial" w:eastAsia="Times New Roman" w:hAnsi="Arial" w:cs="Arial"/>
              <w:color w:val="000000"/>
              <w:sz w:val="20"/>
              <w:szCs w:val="20"/>
            </w:rPr>
            <w:t xml:space="preserve">(5). </w:t>
          </w:r>
          <w:hyperlink r:id="rId11" w:history="1">
            <w:r w:rsidR="00F44692" w:rsidRPr="00905799">
              <w:rPr>
                <w:rStyle w:val="Hyperlink"/>
                <w:rFonts w:ascii="Arial" w:eastAsia="Times New Roman" w:hAnsi="Arial" w:cs="Arial"/>
                <w:sz w:val="20"/>
                <w:szCs w:val="20"/>
              </w:rPr>
              <w:t>https://doi.org/10.1007/s10661-021-09080-4</w:t>
            </w:r>
          </w:hyperlink>
        </w:p>
        <w:p w:rsidR="00D13D03" w:rsidRPr="00905799" w:rsidRDefault="00D13D03" w:rsidP="00905799">
          <w:pPr>
            <w:autoSpaceDE w:val="0"/>
            <w:autoSpaceDN w:val="0"/>
            <w:ind w:hanging="480"/>
            <w:jc w:val="both"/>
            <w:divId w:val="912274215"/>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Wilson, M. J. (2004). </w:t>
          </w:r>
          <w:r w:rsidRPr="00905799">
            <w:rPr>
              <w:rFonts w:ascii="Arial" w:eastAsia="Times New Roman" w:hAnsi="Arial" w:cs="Arial"/>
              <w:i/>
              <w:iCs/>
              <w:color w:val="000000"/>
              <w:sz w:val="20"/>
              <w:szCs w:val="20"/>
            </w:rPr>
            <w:t>NATURE AND PROPERTIES OF RED SOILS OF THE WORLD v C BALIGAR(I) N K F AGERIA (2) H ESW</w:t>
          </w:r>
          <w:r w:rsidRPr="00905799">
            <w:rPr>
              <w:rFonts w:ascii="Arial" w:eastAsia="Times New Roman" w:hAnsi="Arial" w:cs="Arial"/>
              <w:color w:val="000000"/>
              <w:sz w:val="20"/>
              <w:szCs w:val="20"/>
            </w:rPr>
            <w:t>.</w:t>
          </w:r>
        </w:p>
        <w:p w:rsidR="00D13D03" w:rsidRPr="00905799" w:rsidRDefault="00D13D03" w:rsidP="00905799">
          <w:pPr>
            <w:autoSpaceDE w:val="0"/>
            <w:autoSpaceDN w:val="0"/>
            <w:ind w:hanging="480"/>
            <w:jc w:val="both"/>
            <w:divId w:val="2108231341"/>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Xie, E., Zhao, Y., Li, H., Shi, X., Lu, F., Zhang, X., &amp; Peng, Y. (2019). Spatio-temporal changes of cropland soil pH in a rapidly industrializing region in the Yangtze River Delta of China, 1980–2015. </w:t>
          </w:r>
          <w:r w:rsidRPr="00905799">
            <w:rPr>
              <w:rFonts w:ascii="Arial" w:eastAsia="Times New Roman" w:hAnsi="Arial" w:cs="Arial"/>
              <w:i/>
              <w:iCs/>
              <w:color w:val="000000"/>
              <w:sz w:val="20"/>
              <w:szCs w:val="20"/>
            </w:rPr>
            <w:t>Agriculture, Ecosystems and Environment</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272</w:t>
          </w:r>
          <w:r w:rsidRPr="00905799">
            <w:rPr>
              <w:rFonts w:ascii="Arial" w:eastAsia="Times New Roman" w:hAnsi="Arial" w:cs="Arial"/>
              <w:color w:val="000000"/>
              <w:sz w:val="20"/>
              <w:szCs w:val="20"/>
            </w:rPr>
            <w:t>, 95–104. https://doi.org/10.1016/j.agee.2018.11.015</w:t>
          </w:r>
        </w:p>
        <w:p w:rsidR="00D13D03" w:rsidRPr="00905799" w:rsidRDefault="00D13D03" w:rsidP="00905799">
          <w:pPr>
            <w:autoSpaceDE w:val="0"/>
            <w:autoSpaceDN w:val="0"/>
            <w:ind w:hanging="480"/>
            <w:jc w:val="both"/>
            <w:divId w:val="437987734"/>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Yan, X., Yang, W., Chen, X., Wang, M., Wang, W., Ye, D., &amp; Wu, L. (2020). Soil phosphorus pools, bioavailability and environmental risk in response to the phosphorus supply in the red soil of Southern China. </w:t>
          </w:r>
          <w:r w:rsidRPr="00905799">
            <w:rPr>
              <w:rFonts w:ascii="Arial" w:eastAsia="Times New Roman" w:hAnsi="Arial" w:cs="Arial"/>
              <w:i/>
              <w:iCs/>
              <w:color w:val="000000"/>
              <w:sz w:val="20"/>
              <w:szCs w:val="20"/>
            </w:rPr>
            <w:t>International Journal of Environmental Research and Public Health</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17</w:t>
          </w:r>
          <w:r w:rsidRPr="00905799">
            <w:rPr>
              <w:rFonts w:ascii="Arial" w:eastAsia="Times New Roman" w:hAnsi="Arial" w:cs="Arial"/>
              <w:color w:val="000000"/>
              <w:sz w:val="20"/>
              <w:szCs w:val="20"/>
            </w:rPr>
            <w:t>(20), 1–16. https://doi.org/10.3390/ijerph17207384</w:t>
          </w:r>
        </w:p>
        <w:p w:rsidR="004E316D" w:rsidRPr="00905799" w:rsidRDefault="00D13D03" w:rsidP="00905799">
          <w:pPr>
            <w:autoSpaceDE w:val="0"/>
            <w:autoSpaceDN w:val="0"/>
            <w:ind w:left="960" w:hanging="480"/>
            <w:jc w:val="both"/>
            <w:divId w:val="1928273290"/>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Zhou, X., Xu, M., Wang, B., Cai, Z., &amp;Colinet, G. (2018). Changes of Soil Phosphorus Fractionation According to pH in Red Soils of China: An Incubation Experiment. </w:t>
          </w:r>
          <w:r w:rsidRPr="00905799">
            <w:rPr>
              <w:rFonts w:ascii="Arial" w:eastAsia="Times New Roman" w:hAnsi="Arial" w:cs="Arial"/>
              <w:i/>
              <w:iCs/>
              <w:color w:val="000000"/>
              <w:sz w:val="20"/>
              <w:szCs w:val="20"/>
            </w:rPr>
            <w:t>Communications in Soil Science and Plant Analysis</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49</w:t>
          </w:r>
          <w:r w:rsidRPr="00905799">
            <w:rPr>
              <w:rFonts w:ascii="Arial" w:eastAsia="Times New Roman" w:hAnsi="Arial" w:cs="Arial"/>
              <w:color w:val="000000"/>
              <w:sz w:val="20"/>
              <w:szCs w:val="20"/>
            </w:rPr>
            <w:t>(7), 791–802. https://doi.org/10.1080/00103624.2018.1435676</w:t>
          </w:r>
        </w:p>
      </w:sdtContent>
    </w:sdt>
    <w:p w:rsidR="000D6E22" w:rsidRPr="0078408E" w:rsidRDefault="00D13D03" w:rsidP="004E316D">
      <w:pPr>
        <w:jc w:val="both"/>
        <w:rPr>
          <w:rFonts w:ascii="Arial" w:hAnsi="Arial" w:cs="Arial"/>
          <w:b/>
          <w:sz w:val="20"/>
          <w:szCs w:val="20"/>
        </w:rPr>
      </w:pPr>
      <w:r w:rsidRPr="0078408E">
        <w:rPr>
          <w:rFonts w:ascii="Arial" w:eastAsia="Times New Roman" w:hAnsi="Arial" w:cs="Arial"/>
          <w:b/>
          <w:bCs/>
          <w:sz w:val="20"/>
          <w:szCs w:val="20"/>
        </w:rPr>
        <w:t xml:space="preserve">Table1 Impact of </w:t>
      </w:r>
      <w:r w:rsidRPr="0078408E">
        <w:rPr>
          <w:rFonts w:ascii="Arial" w:hAnsi="Arial" w:cs="Arial"/>
          <w:b/>
          <w:sz w:val="20"/>
          <w:szCs w:val="20"/>
        </w:rPr>
        <w:t>Organic matters</w:t>
      </w:r>
      <w:r w:rsidRPr="0078408E">
        <w:rPr>
          <w:rFonts w:ascii="Arial" w:eastAsia="Times New Roman" w:hAnsi="Arial" w:cs="Arial"/>
          <w:b/>
          <w:bCs/>
          <w:sz w:val="20"/>
          <w:szCs w:val="20"/>
        </w:rPr>
        <w:t xml:space="preserve"> on height of the plant height (cm) of Black gram at different stages of development</w:t>
      </w:r>
    </w:p>
    <w:tbl>
      <w:tblPr>
        <w:tblStyle w:val="TableGrid"/>
        <w:tblW w:w="9383" w:type="dxa"/>
        <w:tblLayout w:type="fixed"/>
        <w:tblLook w:val="04A0"/>
      </w:tblPr>
      <w:tblGrid>
        <w:gridCol w:w="599"/>
        <w:gridCol w:w="3940"/>
        <w:gridCol w:w="1211"/>
        <w:gridCol w:w="1211"/>
        <w:gridCol w:w="1211"/>
        <w:gridCol w:w="1211"/>
      </w:tblGrid>
      <w:tr w:rsidR="00D13D03" w:rsidRPr="0078408E" w:rsidTr="004E316D">
        <w:trPr>
          <w:trHeight w:val="54"/>
        </w:trPr>
        <w:tc>
          <w:tcPr>
            <w:tcW w:w="599" w:type="dxa"/>
          </w:tcPr>
          <w:p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Sl. No</w:t>
            </w:r>
          </w:p>
        </w:tc>
        <w:tc>
          <w:tcPr>
            <w:tcW w:w="3940" w:type="dxa"/>
          </w:tcPr>
          <w:p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Treatments</w:t>
            </w:r>
          </w:p>
        </w:tc>
        <w:tc>
          <w:tcPr>
            <w:tcW w:w="1211" w:type="dxa"/>
          </w:tcPr>
          <w:p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Height of the Plant (15DAS)</w:t>
            </w:r>
          </w:p>
        </w:tc>
        <w:tc>
          <w:tcPr>
            <w:tcW w:w="1211" w:type="dxa"/>
          </w:tcPr>
          <w:p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Height of the Plant (30DAS)</w:t>
            </w:r>
          </w:p>
        </w:tc>
        <w:tc>
          <w:tcPr>
            <w:tcW w:w="1211" w:type="dxa"/>
          </w:tcPr>
          <w:p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Height of the Plant (45DAS)</w:t>
            </w:r>
          </w:p>
        </w:tc>
        <w:tc>
          <w:tcPr>
            <w:tcW w:w="1211" w:type="dxa"/>
          </w:tcPr>
          <w:p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Height of the Plant (60DAS)</w:t>
            </w:r>
          </w:p>
        </w:tc>
      </w:tr>
      <w:tr w:rsidR="00D13D03" w:rsidRPr="0078408E" w:rsidTr="004E316D">
        <w:trPr>
          <w:trHeight w:val="14"/>
        </w:trPr>
        <w:tc>
          <w:tcPr>
            <w:tcW w:w="599"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1</w:t>
            </w:r>
          </w:p>
        </w:tc>
        <w:tc>
          <w:tcPr>
            <w:tcW w:w="3940"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T1-Control</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2.5</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5</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7.5</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9</w:t>
            </w:r>
          </w:p>
        </w:tc>
      </w:tr>
      <w:tr w:rsidR="00D13D03" w:rsidRPr="0078408E" w:rsidTr="004E316D">
        <w:trPr>
          <w:trHeight w:val="13"/>
        </w:trPr>
        <w:tc>
          <w:tcPr>
            <w:tcW w:w="599"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2</w:t>
            </w:r>
          </w:p>
        </w:tc>
        <w:tc>
          <w:tcPr>
            <w:tcW w:w="3940"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T2-Vermicompost@10ton/ha</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3.7</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4</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9</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9</w:t>
            </w:r>
          </w:p>
        </w:tc>
      </w:tr>
      <w:tr w:rsidR="00D13D03" w:rsidRPr="0078408E" w:rsidTr="004E316D">
        <w:trPr>
          <w:trHeight w:val="14"/>
        </w:trPr>
        <w:tc>
          <w:tcPr>
            <w:tcW w:w="599"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3</w:t>
            </w:r>
          </w:p>
        </w:tc>
        <w:tc>
          <w:tcPr>
            <w:tcW w:w="3940"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T3-Vermicompost@20ton/ha</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3.1</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5</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7</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8.5</w:t>
            </w:r>
          </w:p>
        </w:tc>
      </w:tr>
      <w:tr w:rsidR="00D13D03" w:rsidRPr="0078408E" w:rsidTr="004E316D">
        <w:trPr>
          <w:trHeight w:val="13"/>
        </w:trPr>
        <w:tc>
          <w:tcPr>
            <w:tcW w:w="599"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4</w:t>
            </w:r>
          </w:p>
        </w:tc>
        <w:tc>
          <w:tcPr>
            <w:tcW w:w="3940"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T4-Vermicompost@30ton/ha</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3</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6</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9</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9</w:t>
            </w:r>
          </w:p>
        </w:tc>
      </w:tr>
      <w:tr w:rsidR="00D13D03" w:rsidRPr="0078408E" w:rsidTr="004E316D">
        <w:trPr>
          <w:trHeight w:val="14"/>
        </w:trPr>
        <w:tc>
          <w:tcPr>
            <w:tcW w:w="599"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5</w:t>
            </w:r>
          </w:p>
        </w:tc>
        <w:tc>
          <w:tcPr>
            <w:tcW w:w="3940"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T5-Poultry manure@10ton/ha</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3</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4.5</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7</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8.5</w:t>
            </w:r>
          </w:p>
        </w:tc>
      </w:tr>
      <w:tr w:rsidR="00D13D03" w:rsidRPr="0078408E" w:rsidTr="004E316D">
        <w:trPr>
          <w:trHeight w:val="13"/>
        </w:trPr>
        <w:tc>
          <w:tcPr>
            <w:tcW w:w="599"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6</w:t>
            </w:r>
          </w:p>
        </w:tc>
        <w:tc>
          <w:tcPr>
            <w:tcW w:w="3940"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T6-Poultry manure@20ton/ha</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3</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5</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7</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9</w:t>
            </w:r>
          </w:p>
        </w:tc>
      </w:tr>
      <w:tr w:rsidR="00D13D03" w:rsidRPr="0078408E" w:rsidTr="004E316D">
        <w:trPr>
          <w:trHeight w:val="14"/>
        </w:trPr>
        <w:tc>
          <w:tcPr>
            <w:tcW w:w="599"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7</w:t>
            </w:r>
          </w:p>
        </w:tc>
        <w:tc>
          <w:tcPr>
            <w:tcW w:w="3940"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T7-Poultry manure@30ton/ha</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3.5</w:t>
            </w:r>
          </w:p>
        </w:tc>
        <w:tc>
          <w:tcPr>
            <w:tcW w:w="1211" w:type="dxa"/>
            <w:tcBorders>
              <w:bottom w:val="single" w:sz="4" w:space="0" w:color="auto"/>
            </w:tcBorders>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4.5</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8</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8.5</w:t>
            </w:r>
          </w:p>
        </w:tc>
      </w:tr>
      <w:tr w:rsidR="00D13D03" w:rsidRPr="0078408E" w:rsidTr="004E316D">
        <w:trPr>
          <w:trHeight w:val="13"/>
        </w:trPr>
        <w:tc>
          <w:tcPr>
            <w:tcW w:w="599"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8</w:t>
            </w:r>
          </w:p>
        </w:tc>
        <w:tc>
          <w:tcPr>
            <w:tcW w:w="3940"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T8-Cow dung manure@10ton/ha</w:t>
            </w:r>
          </w:p>
        </w:tc>
        <w:tc>
          <w:tcPr>
            <w:tcW w:w="1211" w:type="dxa"/>
            <w:tcBorders>
              <w:right w:val="single" w:sz="4" w:space="0" w:color="auto"/>
            </w:tcBorders>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3.2</w:t>
            </w:r>
          </w:p>
        </w:tc>
        <w:tc>
          <w:tcPr>
            <w:tcW w:w="1211" w:type="dxa"/>
            <w:tcBorders>
              <w:top w:val="single" w:sz="4" w:space="0" w:color="auto"/>
              <w:left w:val="single" w:sz="4" w:space="0" w:color="auto"/>
              <w:bottom w:val="single" w:sz="4" w:space="0" w:color="auto"/>
              <w:right w:val="single" w:sz="4" w:space="0" w:color="auto"/>
            </w:tcBorders>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5</w:t>
            </w:r>
          </w:p>
        </w:tc>
        <w:tc>
          <w:tcPr>
            <w:tcW w:w="1211" w:type="dxa"/>
            <w:tcBorders>
              <w:left w:val="single" w:sz="4" w:space="0" w:color="auto"/>
            </w:tcBorders>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7.5</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9</w:t>
            </w:r>
          </w:p>
        </w:tc>
      </w:tr>
      <w:tr w:rsidR="00D13D03" w:rsidRPr="0078408E" w:rsidTr="004E316D">
        <w:trPr>
          <w:trHeight w:val="14"/>
        </w:trPr>
        <w:tc>
          <w:tcPr>
            <w:tcW w:w="599"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9</w:t>
            </w:r>
          </w:p>
        </w:tc>
        <w:tc>
          <w:tcPr>
            <w:tcW w:w="3940"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T9-Cow dung manure@20ton/ha</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3</w:t>
            </w:r>
          </w:p>
        </w:tc>
        <w:tc>
          <w:tcPr>
            <w:tcW w:w="1211" w:type="dxa"/>
            <w:tcBorders>
              <w:top w:val="single" w:sz="4" w:space="0" w:color="auto"/>
            </w:tcBorders>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5.1</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7</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9</w:t>
            </w:r>
          </w:p>
        </w:tc>
      </w:tr>
      <w:tr w:rsidR="00D13D03" w:rsidRPr="0078408E" w:rsidTr="004E316D">
        <w:trPr>
          <w:trHeight w:val="13"/>
        </w:trPr>
        <w:tc>
          <w:tcPr>
            <w:tcW w:w="599" w:type="dxa"/>
            <w:tcBorders>
              <w:bottom w:val="single" w:sz="4" w:space="0" w:color="auto"/>
            </w:tcBorders>
          </w:tcPr>
          <w:p w:rsidR="00D13D03" w:rsidRPr="0078408E" w:rsidRDefault="00D13D03" w:rsidP="00D13D03">
            <w:pPr>
              <w:jc w:val="both"/>
              <w:rPr>
                <w:rFonts w:ascii="Arial" w:hAnsi="Arial" w:cs="Arial"/>
                <w:sz w:val="20"/>
                <w:szCs w:val="20"/>
              </w:rPr>
            </w:pPr>
            <w:r w:rsidRPr="0078408E">
              <w:rPr>
                <w:rFonts w:ascii="Arial" w:hAnsi="Arial" w:cs="Arial"/>
                <w:sz w:val="20"/>
                <w:szCs w:val="20"/>
              </w:rPr>
              <w:t>10</w:t>
            </w:r>
          </w:p>
        </w:tc>
        <w:tc>
          <w:tcPr>
            <w:tcW w:w="3940" w:type="dxa"/>
            <w:tcBorders>
              <w:bottom w:val="single" w:sz="4" w:space="0" w:color="auto"/>
            </w:tcBorders>
          </w:tcPr>
          <w:p w:rsidR="00D13D03" w:rsidRPr="0078408E" w:rsidRDefault="00D13D03" w:rsidP="00D13D03">
            <w:pPr>
              <w:jc w:val="both"/>
              <w:rPr>
                <w:rFonts w:ascii="Arial" w:hAnsi="Arial" w:cs="Arial"/>
                <w:sz w:val="20"/>
                <w:szCs w:val="20"/>
              </w:rPr>
            </w:pPr>
            <w:r w:rsidRPr="0078408E">
              <w:rPr>
                <w:rFonts w:ascii="Arial" w:hAnsi="Arial" w:cs="Arial"/>
                <w:sz w:val="20"/>
                <w:szCs w:val="20"/>
              </w:rPr>
              <w:t>T10-Cow dung manure@30ton/ha</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3.1</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5</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7</w:t>
            </w:r>
          </w:p>
        </w:tc>
        <w:tc>
          <w:tcPr>
            <w:tcW w:w="1211" w:type="dxa"/>
          </w:tcPr>
          <w:p w:rsidR="00D13D03" w:rsidRPr="00B2454B" w:rsidRDefault="00D13D03" w:rsidP="00BF5E92">
            <w:pPr>
              <w:jc w:val="center"/>
              <w:rPr>
                <w:rFonts w:ascii="Arial" w:hAnsi="Arial" w:cs="Arial"/>
                <w:color w:val="FF0000"/>
                <w:sz w:val="20"/>
                <w:szCs w:val="20"/>
              </w:rPr>
            </w:pPr>
            <w:r w:rsidRPr="00B2454B">
              <w:rPr>
                <w:rFonts w:ascii="Arial" w:hAnsi="Arial" w:cs="Arial"/>
                <w:color w:val="FF0000"/>
                <w:sz w:val="20"/>
                <w:szCs w:val="20"/>
              </w:rPr>
              <w:t>9</w:t>
            </w:r>
          </w:p>
        </w:tc>
      </w:tr>
      <w:tr w:rsidR="00D13D03" w:rsidRPr="0078408E" w:rsidTr="004E316D">
        <w:trPr>
          <w:trHeight w:val="14"/>
        </w:trPr>
        <w:tc>
          <w:tcPr>
            <w:tcW w:w="599" w:type="dxa"/>
            <w:tcBorders>
              <w:top w:val="single" w:sz="4" w:space="0" w:color="auto"/>
              <w:left w:val="single" w:sz="4" w:space="0" w:color="auto"/>
              <w:bottom w:val="single" w:sz="4" w:space="0" w:color="auto"/>
              <w:right w:val="single" w:sz="4" w:space="0" w:color="auto"/>
            </w:tcBorders>
          </w:tcPr>
          <w:p w:rsidR="00D13D03" w:rsidRPr="0078408E" w:rsidRDefault="00D13D03" w:rsidP="00D13D03">
            <w:pPr>
              <w:jc w:val="both"/>
              <w:rPr>
                <w:rFonts w:ascii="Arial" w:hAnsi="Arial" w:cs="Arial"/>
                <w:sz w:val="20"/>
                <w:szCs w:val="20"/>
              </w:rPr>
            </w:pPr>
          </w:p>
        </w:tc>
        <w:tc>
          <w:tcPr>
            <w:tcW w:w="3940" w:type="dxa"/>
            <w:tcBorders>
              <w:top w:val="single" w:sz="4" w:space="0" w:color="auto"/>
              <w:left w:val="single" w:sz="4" w:space="0" w:color="auto"/>
              <w:bottom w:val="single" w:sz="4" w:space="0" w:color="auto"/>
              <w:right w:val="single" w:sz="4" w:space="0" w:color="auto"/>
            </w:tcBorders>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Mean</w:t>
            </w:r>
          </w:p>
        </w:tc>
        <w:tc>
          <w:tcPr>
            <w:tcW w:w="1211" w:type="dxa"/>
            <w:tcBorders>
              <w:left w:val="single" w:sz="4" w:space="0" w:color="auto"/>
            </w:tcBorders>
          </w:tcPr>
          <w:p w:rsidR="00D13D03" w:rsidRPr="00B2454B" w:rsidRDefault="00D13D03" w:rsidP="00BF5E92">
            <w:pPr>
              <w:jc w:val="center"/>
              <w:rPr>
                <w:rFonts w:ascii="Arial" w:hAnsi="Arial" w:cs="Arial"/>
                <w:b/>
                <w:bCs/>
                <w:color w:val="FF0000"/>
                <w:sz w:val="20"/>
                <w:szCs w:val="20"/>
              </w:rPr>
            </w:pPr>
            <w:r w:rsidRPr="00B2454B">
              <w:rPr>
                <w:rFonts w:ascii="Arial" w:hAnsi="Arial" w:cs="Arial"/>
                <w:b/>
                <w:bCs/>
                <w:color w:val="FF0000"/>
                <w:sz w:val="20"/>
                <w:szCs w:val="20"/>
              </w:rPr>
              <w:t>3.11</w:t>
            </w:r>
          </w:p>
        </w:tc>
        <w:tc>
          <w:tcPr>
            <w:tcW w:w="1211" w:type="dxa"/>
          </w:tcPr>
          <w:p w:rsidR="00D13D03" w:rsidRPr="00B2454B" w:rsidRDefault="00D13D03" w:rsidP="00BF5E92">
            <w:pPr>
              <w:jc w:val="center"/>
              <w:rPr>
                <w:rFonts w:ascii="Arial" w:hAnsi="Arial" w:cs="Arial"/>
                <w:b/>
                <w:bCs/>
                <w:color w:val="FF0000"/>
                <w:sz w:val="20"/>
                <w:szCs w:val="20"/>
              </w:rPr>
            </w:pPr>
            <w:r w:rsidRPr="00B2454B">
              <w:rPr>
                <w:rFonts w:ascii="Arial" w:hAnsi="Arial" w:cs="Arial"/>
                <w:b/>
                <w:bCs/>
                <w:color w:val="FF0000"/>
                <w:sz w:val="20"/>
                <w:szCs w:val="20"/>
              </w:rPr>
              <w:t>4.91</w:t>
            </w:r>
          </w:p>
        </w:tc>
        <w:tc>
          <w:tcPr>
            <w:tcW w:w="1211" w:type="dxa"/>
          </w:tcPr>
          <w:p w:rsidR="00D13D03" w:rsidRPr="00B2454B" w:rsidRDefault="00D13D03" w:rsidP="00BF5E92">
            <w:pPr>
              <w:jc w:val="center"/>
              <w:rPr>
                <w:rFonts w:ascii="Arial" w:hAnsi="Arial" w:cs="Arial"/>
                <w:b/>
                <w:bCs/>
                <w:color w:val="FF0000"/>
                <w:sz w:val="20"/>
                <w:szCs w:val="20"/>
              </w:rPr>
            </w:pPr>
            <w:r w:rsidRPr="00B2454B">
              <w:rPr>
                <w:rFonts w:ascii="Arial" w:hAnsi="Arial" w:cs="Arial"/>
                <w:b/>
                <w:bCs/>
                <w:color w:val="FF0000"/>
                <w:sz w:val="20"/>
                <w:szCs w:val="20"/>
              </w:rPr>
              <w:t>7.6</w:t>
            </w:r>
          </w:p>
        </w:tc>
        <w:tc>
          <w:tcPr>
            <w:tcW w:w="1211" w:type="dxa"/>
          </w:tcPr>
          <w:p w:rsidR="00D13D03" w:rsidRPr="00B2454B" w:rsidRDefault="00D13D03" w:rsidP="00BF5E92">
            <w:pPr>
              <w:jc w:val="center"/>
              <w:rPr>
                <w:rFonts w:ascii="Arial" w:hAnsi="Arial" w:cs="Arial"/>
                <w:b/>
                <w:bCs/>
                <w:color w:val="FF0000"/>
                <w:sz w:val="20"/>
                <w:szCs w:val="20"/>
              </w:rPr>
            </w:pPr>
            <w:r w:rsidRPr="00B2454B">
              <w:rPr>
                <w:rFonts w:ascii="Arial" w:hAnsi="Arial" w:cs="Arial"/>
                <w:b/>
                <w:bCs/>
                <w:color w:val="FF0000"/>
                <w:sz w:val="20"/>
                <w:szCs w:val="20"/>
              </w:rPr>
              <w:t>8.85</w:t>
            </w:r>
          </w:p>
        </w:tc>
      </w:tr>
      <w:tr w:rsidR="00D13D03" w:rsidRPr="0078408E" w:rsidTr="004E316D">
        <w:trPr>
          <w:trHeight w:val="14"/>
        </w:trPr>
        <w:tc>
          <w:tcPr>
            <w:tcW w:w="599" w:type="dxa"/>
            <w:tcBorders>
              <w:top w:val="single" w:sz="4" w:space="0" w:color="auto"/>
            </w:tcBorders>
          </w:tcPr>
          <w:p w:rsidR="00D13D03" w:rsidRPr="0078408E" w:rsidRDefault="00D13D03" w:rsidP="00D13D03">
            <w:pPr>
              <w:jc w:val="both"/>
              <w:rPr>
                <w:rFonts w:ascii="Arial" w:hAnsi="Arial" w:cs="Arial"/>
                <w:sz w:val="20"/>
                <w:szCs w:val="20"/>
              </w:rPr>
            </w:pPr>
          </w:p>
        </w:tc>
        <w:tc>
          <w:tcPr>
            <w:tcW w:w="3940" w:type="dxa"/>
            <w:tcBorders>
              <w:top w:val="single" w:sz="4" w:space="0" w:color="auto"/>
            </w:tcBorders>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C.D.</w:t>
            </w:r>
          </w:p>
        </w:tc>
        <w:tc>
          <w:tcPr>
            <w:tcW w:w="1211" w:type="dxa"/>
          </w:tcPr>
          <w:p w:rsidR="00D13D03" w:rsidRPr="00B2454B" w:rsidRDefault="00D13D03" w:rsidP="00BF5E92">
            <w:pPr>
              <w:jc w:val="center"/>
              <w:rPr>
                <w:rFonts w:ascii="Arial" w:hAnsi="Arial" w:cs="Arial"/>
                <w:b/>
                <w:bCs/>
                <w:color w:val="FF0000"/>
                <w:sz w:val="20"/>
                <w:szCs w:val="20"/>
              </w:rPr>
            </w:pPr>
            <w:r w:rsidRPr="00B2454B">
              <w:rPr>
                <w:rFonts w:ascii="Arial" w:hAnsi="Arial" w:cs="Arial"/>
                <w:b/>
                <w:bCs/>
                <w:color w:val="FF0000"/>
                <w:sz w:val="20"/>
                <w:szCs w:val="20"/>
              </w:rPr>
              <w:t>0.214</w:t>
            </w:r>
          </w:p>
        </w:tc>
        <w:tc>
          <w:tcPr>
            <w:tcW w:w="1211" w:type="dxa"/>
          </w:tcPr>
          <w:p w:rsidR="00D13D03" w:rsidRPr="00B2454B" w:rsidRDefault="00D13D03" w:rsidP="00BF5E92">
            <w:pPr>
              <w:jc w:val="center"/>
              <w:rPr>
                <w:rFonts w:ascii="Arial" w:hAnsi="Arial" w:cs="Arial"/>
                <w:b/>
                <w:bCs/>
                <w:color w:val="FF0000"/>
                <w:sz w:val="20"/>
                <w:szCs w:val="20"/>
              </w:rPr>
            </w:pPr>
            <w:r w:rsidRPr="00B2454B">
              <w:rPr>
                <w:rFonts w:ascii="Arial" w:hAnsi="Arial" w:cs="Arial"/>
                <w:b/>
                <w:bCs/>
                <w:color w:val="FF0000"/>
                <w:sz w:val="20"/>
                <w:szCs w:val="20"/>
              </w:rPr>
              <w:t>0.134</w:t>
            </w:r>
          </w:p>
        </w:tc>
        <w:tc>
          <w:tcPr>
            <w:tcW w:w="1211" w:type="dxa"/>
          </w:tcPr>
          <w:p w:rsidR="00D13D03" w:rsidRPr="00B2454B" w:rsidRDefault="00D13D03" w:rsidP="00BF5E92">
            <w:pPr>
              <w:jc w:val="center"/>
              <w:rPr>
                <w:rFonts w:ascii="Arial" w:hAnsi="Arial" w:cs="Arial"/>
                <w:b/>
                <w:bCs/>
                <w:color w:val="FF0000"/>
                <w:sz w:val="20"/>
                <w:szCs w:val="20"/>
              </w:rPr>
            </w:pPr>
            <w:r w:rsidRPr="00B2454B">
              <w:rPr>
                <w:rFonts w:ascii="Arial" w:hAnsi="Arial" w:cs="Arial"/>
                <w:b/>
                <w:bCs/>
                <w:color w:val="FF0000"/>
                <w:sz w:val="20"/>
                <w:szCs w:val="20"/>
              </w:rPr>
              <w:t>0.262</w:t>
            </w:r>
          </w:p>
        </w:tc>
        <w:tc>
          <w:tcPr>
            <w:tcW w:w="1211" w:type="dxa"/>
          </w:tcPr>
          <w:p w:rsidR="00D13D03" w:rsidRPr="00B2454B" w:rsidRDefault="00D13D03" w:rsidP="00BF5E92">
            <w:pPr>
              <w:jc w:val="center"/>
              <w:rPr>
                <w:rFonts w:ascii="Arial" w:hAnsi="Arial" w:cs="Arial"/>
                <w:b/>
                <w:bCs/>
                <w:color w:val="FF0000"/>
                <w:sz w:val="20"/>
                <w:szCs w:val="20"/>
              </w:rPr>
            </w:pPr>
            <w:r w:rsidRPr="00B2454B">
              <w:rPr>
                <w:rFonts w:ascii="Arial" w:hAnsi="Arial" w:cs="Arial"/>
                <w:b/>
                <w:bCs/>
                <w:color w:val="FF0000"/>
                <w:sz w:val="20"/>
                <w:szCs w:val="20"/>
              </w:rPr>
              <w:t>0.247</w:t>
            </w:r>
          </w:p>
        </w:tc>
      </w:tr>
      <w:tr w:rsidR="00D13D03" w:rsidRPr="0078408E" w:rsidTr="004E316D">
        <w:trPr>
          <w:trHeight w:val="13"/>
        </w:trPr>
        <w:tc>
          <w:tcPr>
            <w:tcW w:w="599" w:type="dxa"/>
          </w:tcPr>
          <w:p w:rsidR="00D13D03" w:rsidRPr="0078408E" w:rsidRDefault="00D13D03" w:rsidP="00D13D03">
            <w:pPr>
              <w:jc w:val="both"/>
              <w:rPr>
                <w:rFonts w:ascii="Arial" w:hAnsi="Arial" w:cs="Arial"/>
                <w:sz w:val="20"/>
                <w:szCs w:val="20"/>
              </w:rPr>
            </w:pPr>
          </w:p>
        </w:tc>
        <w:tc>
          <w:tcPr>
            <w:tcW w:w="394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SE (m)</w:t>
            </w:r>
          </w:p>
        </w:tc>
        <w:tc>
          <w:tcPr>
            <w:tcW w:w="1211" w:type="dxa"/>
          </w:tcPr>
          <w:p w:rsidR="00D13D03" w:rsidRPr="00B2454B" w:rsidRDefault="00D13D03" w:rsidP="00BF5E92">
            <w:pPr>
              <w:jc w:val="center"/>
              <w:rPr>
                <w:rFonts w:ascii="Arial" w:hAnsi="Arial" w:cs="Arial"/>
                <w:b/>
                <w:bCs/>
                <w:color w:val="FF0000"/>
                <w:sz w:val="20"/>
                <w:szCs w:val="20"/>
              </w:rPr>
            </w:pPr>
            <w:r w:rsidRPr="00B2454B">
              <w:rPr>
                <w:rFonts w:ascii="Arial" w:hAnsi="Arial" w:cs="Arial"/>
                <w:b/>
                <w:bCs/>
                <w:color w:val="FF0000"/>
                <w:sz w:val="20"/>
                <w:szCs w:val="20"/>
              </w:rPr>
              <w:t>0.067</w:t>
            </w:r>
          </w:p>
        </w:tc>
        <w:tc>
          <w:tcPr>
            <w:tcW w:w="1211" w:type="dxa"/>
          </w:tcPr>
          <w:p w:rsidR="00D13D03" w:rsidRPr="00B2454B" w:rsidRDefault="00D13D03" w:rsidP="00BF5E92">
            <w:pPr>
              <w:jc w:val="center"/>
              <w:rPr>
                <w:rFonts w:ascii="Arial" w:hAnsi="Arial" w:cs="Arial"/>
                <w:b/>
                <w:bCs/>
                <w:color w:val="FF0000"/>
                <w:sz w:val="20"/>
                <w:szCs w:val="20"/>
              </w:rPr>
            </w:pPr>
            <w:r w:rsidRPr="00B2454B">
              <w:rPr>
                <w:rFonts w:ascii="Arial" w:hAnsi="Arial" w:cs="Arial"/>
                <w:b/>
                <w:bCs/>
                <w:color w:val="FF0000"/>
                <w:sz w:val="20"/>
                <w:szCs w:val="20"/>
              </w:rPr>
              <w:t>0.042</w:t>
            </w:r>
          </w:p>
        </w:tc>
        <w:tc>
          <w:tcPr>
            <w:tcW w:w="1211" w:type="dxa"/>
          </w:tcPr>
          <w:p w:rsidR="00D13D03" w:rsidRPr="00B2454B" w:rsidRDefault="00D13D03" w:rsidP="00BF5E92">
            <w:pPr>
              <w:jc w:val="center"/>
              <w:rPr>
                <w:rFonts w:ascii="Arial" w:hAnsi="Arial" w:cs="Arial"/>
                <w:b/>
                <w:bCs/>
                <w:color w:val="FF0000"/>
                <w:sz w:val="20"/>
                <w:szCs w:val="20"/>
              </w:rPr>
            </w:pPr>
            <w:r w:rsidRPr="00B2454B">
              <w:rPr>
                <w:rFonts w:ascii="Arial" w:hAnsi="Arial" w:cs="Arial"/>
                <w:b/>
                <w:bCs/>
                <w:color w:val="FF0000"/>
                <w:sz w:val="20"/>
                <w:szCs w:val="20"/>
              </w:rPr>
              <w:t>0.082</w:t>
            </w:r>
          </w:p>
        </w:tc>
        <w:tc>
          <w:tcPr>
            <w:tcW w:w="1211" w:type="dxa"/>
          </w:tcPr>
          <w:p w:rsidR="00D13D03" w:rsidRPr="00B2454B" w:rsidRDefault="00D13D03" w:rsidP="00BF5E92">
            <w:pPr>
              <w:jc w:val="center"/>
              <w:rPr>
                <w:rFonts w:ascii="Arial" w:hAnsi="Arial" w:cs="Arial"/>
                <w:b/>
                <w:bCs/>
                <w:color w:val="FF0000"/>
                <w:sz w:val="20"/>
                <w:szCs w:val="20"/>
              </w:rPr>
            </w:pPr>
            <w:r w:rsidRPr="00B2454B">
              <w:rPr>
                <w:rFonts w:ascii="Arial" w:hAnsi="Arial" w:cs="Arial"/>
                <w:b/>
                <w:bCs/>
                <w:color w:val="FF0000"/>
                <w:sz w:val="20"/>
                <w:szCs w:val="20"/>
              </w:rPr>
              <w:t>0.077</w:t>
            </w:r>
          </w:p>
        </w:tc>
      </w:tr>
      <w:tr w:rsidR="00D13D03" w:rsidRPr="0078408E" w:rsidTr="004E316D">
        <w:trPr>
          <w:trHeight w:val="14"/>
        </w:trPr>
        <w:tc>
          <w:tcPr>
            <w:tcW w:w="599" w:type="dxa"/>
          </w:tcPr>
          <w:p w:rsidR="00D13D03" w:rsidRPr="0078408E" w:rsidRDefault="00D13D03" w:rsidP="00D13D03">
            <w:pPr>
              <w:jc w:val="both"/>
              <w:rPr>
                <w:rFonts w:ascii="Arial" w:hAnsi="Arial" w:cs="Arial"/>
                <w:sz w:val="20"/>
                <w:szCs w:val="20"/>
              </w:rPr>
            </w:pPr>
          </w:p>
        </w:tc>
        <w:tc>
          <w:tcPr>
            <w:tcW w:w="394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SE(d)</w:t>
            </w:r>
          </w:p>
        </w:tc>
        <w:tc>
          <w:tcPr>
            <w:tcW w:w="1211" w:type="dxa"/>
          </w:tcPr>
          <w:p w:rsidR="00D13D03" w:rsidRPr="00B2454B" w:rsidRDefault="00D13D03" w:rsidP="00BF5E92">
            <w:pPr>
              <w:jc w:val="center"/>
              <w:rPr>
                <w:rFonts w:ascii="Arial" w:hAnsi="Arial" w:cs="Arial"/>
                <w:b/>
                <w:bCs/>
                <w:color w:val="FF0000"/>
                <w:sz w:val="20"/>
                <w:szCs w:val="20"/>
              </w:rPr>
            </w:pPr>
            <w:r w:rsidRPr="00B2454B">
              <w:rPr>
                <w:rFonts w:ascii="Arial" w:hAnsi="Arial" w:cs="Arial"/>
                <w:b/>
                <w:bCs/>
                <w:color w:val="FF0000"/>
                <w:sz w:val="20"/>
                <w:szCs w:val="20"/>
              </w:rPr>
              <w:t>0.095</w:t>
            </w:r>
          </w:p>
        </w:tc>
        <w:tc>
          <w:tcPr>
            <w:tcW w:w="1211" w:type="dxa"/>
          </w:tcPr>
          <w:p w:rsidR="00D13D03" w:rsidRPr="00B2454B" w:rsidRDefault="00D13D03" w:rsidP="00BF5E92">
            <w:pPr>
              <w:jc w:val="center"/>
              <w:rPr>
                <w:rFonts w:ascii="Arial" w:hAnsi="Arial" w:cs="Arial"/>
                <w:b/>
                <w:bCs/>
                <w:color w:val="FF0000"/>
                <w:sz w:val="20"/>
                <w:szCs w:val="20"/>
              </w:rPr>
            </w:pPr>
            <w:r w:rsidRPr="00B2454B">
              <w:rPr>
                <w:rFonts w:ascii="Arial" w:hAnsi="Arial" w:cs="Arial"/>
                <w:b/>
                <w:bCs/>
                <w:color w:val="FF0000"/>
                <w:sz w:val="20"/>
                <w:szCs w:val="20"/>
              </w:rPr>
              <w:t>0.059</w:t>
            </w:r>
          </w:p>
        </w:tc>
        <w:tc>
          <w:tcPr>
            <w:tcW w:w="1211" w:type="dxa"/>
          </w:tcPr>
          <w:p w:rsidR="00D13D03" w:rsidRPr="00B2454B" w:rsidRDefault="00D13D03" w:rsidP="00BF5E92">
            <w:pPr>
              <w:jc w:val="center"/>
              <w:rPr>
                <w:rFonts w:ascii="Arial" w:hAnsi="Arial" w:cs="Arial"/>
                <w:b/>
                <w:bCs/>
                <w:color w:val="FF0000"/>
                <w:sz w:val="20"/>
                <w:szCs w:val="20"/>
              </w:rPr>
            </w:pPr>
            <w:r w:rsidRPr="00B2454B">
              <w:rPr>
                <w:rFonts w:ascii="Arial" w:hAnsi="Arial" w:cs="Arial"/>
                <w:b/>
                <w:bCs/>
                <w:color w:val="FF0000"/>
                <w:sz w:val="20"/>
                <w:szCs w:val="20"/>
              </w:rPr>
              <w:t>0.116</w:t>
            </w:r>
          </w:p>
        </w:tc>
        <w:tc>
          <w:tcPr>
            <w:tcW w:w="1211" w:type="dxa"/>
          </w:tcPr>
          <w:p w:rsidR="00D13D03" w:rsidRPr="00B2454B" w:rsidRDefault="00D13D03" w:rsidP="00BF5E92">
            <w:pPr>
              <w:jc w:val="center"/>
              <w:rPr>
                <w:rFonts w:ascii="Arial" w:hAnsi="Arial" w:cs="Arial"/>
                <w:b/>
                <w:bCs/>
                <w:color w:val="FF0000"/>
                <w:sz w:val="20"/>
                <w:szCs w:val="20"/>
              </w:rPr>
            </w:pPr>
            <w:r w:rsidRPr="00B2454B">
              <w:rPr>
                <w:rFonts w:ascii="Arial" w:hAnsi="Arial" w:cs="Arial"/>
                <w:b/>
                <w:bCs/>
                <w:color w:val="FF0000"/>
                <w:sz w:val="20"/>
                <w:szCs w:val="20"/>
              </w:rPr>
              <w:t>0.11</w:t>
            </w:r>
          </w:p>
        </w:tc>
      </w:tr>
      <w:tr w:rsidR="00D13D03" w:rsidRPr="0078408E" w:rsidTr="004E316D">
        <w:trPr>
          <w:trHeight w:val="13"/>
        </w:trPr>
        <w:tc>
          <w:tcPr>
            <w:tcW w:w="599" w:type="dxa"/>
          </w:tcPr>
          <w:p w:rsidR="00D13D03" w:rsidRPr="0078408E" w:rsidRDefault="00D13D03" w:rsidP="00D13D03">
            <w:pPr>
              <w:jc w:val="both"/>
              <w:rPr>
                <w:rFonts w:ascii="Arial" w:hAnsi="Arial" w:cs="Arial"/>
                <w:sz w:val="20"/>
                <w:szCs w:val="20"/>
              </w:rPr>
            </w:pPr>
          </w:p>
        </w:tc>
        <w:tc>
          <w:tcPr>
            <w:tcW w:w="394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C.V.</w:t>
            </w:r>
          </w:p>
        </w:tc>
        <w:tc>
          <w:tcPr>
            <w:tcW w:w="1211" w:type="dxa"/>
          </w:tcPr>
          <w:p w:rsidR="00D13D03" w:rsidRPr="00B2454B" w:rsidRDefault="00D13D03" w:rsidP="00BF5E92">
            <w:pPr>
              <w:jc w:val="center"/>
              <w:rPr>
                <w:rFonts w:ascii="Arial" w:hAnsi="Arial" w:cs="Arial"/>
                <w:b/>
                <w:bCs/>
                <w:color w:val="FF0000"/>
                <w:sz w:val="20"/>
                <w:szCs w:val="20"/>
              </w:rPr>
            </w:pPr>
            <w:r w:rsidRPr="00B2454B">
              <w:rPr>
                <w:rFonts w:ascii="Arial" w:hAnsi="Arial" w:cs="Arial"/>
                <w:b/>
                <w:bCs/>
                <w:color w:val="FF0000"/>
                <w:sz w:val="20"/>
                <w:szCs w:val="20"/>
              </w:rPr>
              <w:t>2.965</w:t>
            </w:r>
          </w:p>
        </w:tc>
        <w:tc>
          <w:tcPr>
            <w:tcW w:w="1211" w:type="dxa"/>
          </w:tcPr>
          <w:p w:rsidR="00D13D03" w:rsidRPr="00B2454B" w:rsidRDefault="00D13D03" w:rsidP="00BF5E92">
            <w:pPr>
              <w:jc w:val="center"/>
              <w:rPr>
                <w:rFonts w:ascii="Arial" w:hAnsi="Arial" w:cs="Arial"/>
                <w:b/>
                <w:bCs/>
                <w:color w:val="FF0000"/>
                <w:sz w:val="20"/>
                <w:szCs w:val="20"/>
              </w:rPr>
            </w:pPr>
            <w:r w:rsidRPr="00B2454B">
              <w:rPr>
                <w:rFonts w:ascii="Arial" w:hAnsi="Arial" w:cs="Arial"/>
                <w:b/>
                <w:bCs/>
                <w:color w:val="FF0000"/>
                <w:sz w:val="20"/>
                <w:szCs w:val="20"/>
              </w:rPr>
              <w:t>1.206</w:t>
            </w:r>
          </w:p>
        </w:tc>
        <w:tc>
          <w:tcPr>
            <w:tcW w:w="1211" w:type="dxa"/>
          </w:tcPr>
          <w:p w:rsidR="00D13D03" w:rsidRPr="00B2454B" w:rsidRDefault="00D13D03" w:rsidP="00BF5E92">
            <w:pPr>
              <w:jc w:val="center"/>
              <w:rPr>
                <w:rFonts w:ascii="Arial" w:hAnsi="Arial" w:cs="Arial"/>
                <w:b/>
                <w:bCs/>
                <w:color w:val="FF0000"/>
                <w:sz w:val="20"/>
                <w:szCs w:val="20"/>
              </w:rPr>
            </w:pPr>
            <w:r w:rsidRPr="00B2454B">
              <w:rPr>
                <w:rFonts w:ascii="Arial" w:hAnsi="Arial" w:cs="Arial"/>
                <w:b/>
                <w:bCs/>
                <w:color w:val="FF0000"/>
                <w:sz w:val="20"/>
                <w:szCs w:val="20"/>
              </w:rPr>
              <w:t>1.52</w:t>
            </w:r>
          </w:p>
        </w:tc>
        <w:tc>
          <w:tcPr>
            <w:tcW w:w="1211" w:type="dxa"/>
          </w:tcPr>
          <w:p w:rsidR="00D13D03" w:rsidRPr="00B2454B" w:rsidRDefault="00D13D03" w:rsidP="00BF5E92">
            <w:pPr>
              <w:jc w:val="center"/>
              <w:rPr>
                <w:rFonts w:ascii="Arial" w:hAnsi="Arial" w:cs="Arial"/>
                <w:b/>
                <w:bCs/>
                <w:color w:val="FF0000"/>
                <w:sz w:val="20"/>
                <w:szCs w:val="20"/>
              </w:rPr>
            </w:pPr>
            <w:r w:rsidRPr="00B2454B">
              <w:rPr>
                <w:rFonts w:ascii="Arial" w:hAnsi="Arial" w:cs="Arial"/>
                <w:b/>
                <w:bCs/>
                <w:color w:val="FF0000"/>
                <w:sz w:val="20"/>
                <w:szCs w:val="20"/>
              </w:rPr>
              <w:t>1.232</w:t>
            </w:r>
          </w:p>
        </w:tc>
      </w:tr>
    </w:tbl>
    <w:p w:rsidR="00B2454B" w:rsidRDefault="00B2454B" w:rsidP="00D13D03">
      <w:pPr>
        <w:spacing w:line="360" w:lineRule="auto"/>
        <w:jc w:val="both"/>
        <w:rPr>
          <w:rFonts w:ascii="Arial" w:eastAsia="Times New Roman" w:hAnsi="Arial" w:cs="Arial"/>
          <w:b/>
          <w:bCs/>
          <w:sz w:val="20"/>
          <w:szCs w:val="20"/>
        </w:rPr>
      </w:pPr>
    </w:p>
    <w:p w:rsidR="00B2454B" w:rsidRDefault="00B2454B" w:rsidP="00D13D03">
      <w:pPr>
        <w:spacing w:line="360" w:lineRule="auto"/>
        <w:jc w:val="both"/>
        <w:rPr>
          <w:rFonts w:ascii="Arial" w:eastAsia="Times New Roman" w:hAnsi="Arial" w:cs="Arial"/>
          <w:b/>
          <w:bCs/>
          <w:sz w:val="20"/>
          <w:szCs w:val="20"/>
        </w:rPr>
      </w:pPr>
    </w:p>
    <w:p w:rsidR="00D13D03" w:rsidRPr="0078408E" w:rsidRDefault="00D13D03" w:rsidP="00D13D03">
      <w:pPr>
        <w:spacing w:line="360" w:lineRule="auto"/>
        <w:jc w:val="both"/>
        <w:rPr>
          <w:rFonts w:ascii="Arial" w:eastAsia="Times New Roman" w:hAnsi="Arial" w:cs="Arial"/>
          <w:b/>
          <w:bCs/>
          <w:sz w:val="20"/>
          <w:szCs w:val="20"/>
        </w:rPr>
      </w:pPr>
      <w:r w:rsidRPr="0078408E">
        <w:rPr>
          <w:rFonts w:ascii="Arial" w:eastAsia="Times New Roman" w:hAnsi="Arial" w:cs="Arial"/>
          <w:b/>
          <w:bCs/>
          <w:sz w:val="20"/>
          <w:szCs w:val="20"/>
        </w:rPr>
        <w:t xml:space="preserve">Table 2 Impact of </w:t>
      </w:r>
      <w:r w:rsidRPr="0078408E">
        <w:rPr>
          <w:rFonts w:ascii="Arial" w:hAnsi="Arial" w:cs="Arial"/>
          <w:b/>
          <w:sz w:val="20"/>
          <w:szCs w:val="20"/>
        </w:rPr>
        <w:t>Organic matters</w:t>
      </w:r>
      <w:r w:rsidRPr="0078408E">
        <w:rPr>
          <w:rFonts w:ascii="Arial" w:eastAsia="Times New Roman" w:hAnsi="Arial" w:cs="Arial"/>
          <w:b/>
          <w:bCs/>
          <w:sz w:val="20"/>
          <w:szCs w:val="20"/>
        </w:rPr>
        <w:t xml:space="preserve"> on count of leaves of Black gram at different growth stages</w:t>
      </w:r>
    </w:p>
    <w:tbl>
      <w:tblPr>
        <w:tblStyle w:val="TableGrid"/>
        <w:tblW w:w="9765" w:type="dxa"/>
        <w:tblLayout w:type="fixed"/>
        <w:tblLook w:val="04A0"/>
      </w:tblPr>
      <w:tblGrid>
        <w:gridCol w:w="624"/>
        <w:gridCol w:w="4101"/>
        <w:gridCol w:w="1260"/>
        <w:gridCol w:w="1260"/>
        <w:gridCol w:w="1260"/>
        <w:gridCol w:w="1260"/>
      </w:tblGrid>
      <w:tr w:rsidR="00D13D03" w:rsidRPr="0078408E" w:rsidTr="004E316D">
        <w:trPr>
          <w:trHeight w:val="925"/>
        </w:trPr>
        <w:tc>
          <w:tcPr>
            <w:tcW w:w="624" w:type="dxa"/>
          </w:tcPr>
          <w:p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Sl. No</w:t>
            </w:r>
          </w:p>
        </w:tc>
        <w:tc>
          <w:tcPr>
            <w:tcW w:w="4101" w:type="dxa"/>
          </w:tcPr>
          <w:p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Treatments</w:t>
            </w:r>
          </w:p>
        </w:tc>
        <w:tc>
          <w:tcPr>
            <w:tcW w:w="1260" w:type="dxa"/>
          </w:tcPr>
          <w:p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Total leaves/ Plant (15DAS)</w:t>
            </w:r>
          </w:p>
        </w:tc>
        <w:tc>
          <w:tcPr>
            <w:tcW w:w="1260" w:type="dxa"/>
          </w:tcPr>
          <w:p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Total leaves / Plant (30DAS)</w:t>
            </w:r>
          </w:p>
        </w:tc>
        <w:tc>
          <w:tcPr>
            <w:tcW w:w="1260" w:type="dxa"/>
          </w:tcPr>
          <w:p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Total leaves / Plant (45DAS)</w:t>
            </w:r>
          </w:p>
        </w:tc>
        <w:tc>
          <w:tcPr>
            <w:tcW w:w="1260" w:type="dxa"/>
          </w:tcPr>
          <w:p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Total leaves / Plant (60DAS)</w:t>
            </w:r>
          </w:p>
        </w:tc>
      </w:tr>
      <w:tr w:rsidR="00D13D03" w:rsidRPr="0078408E" w:rsidTr="004E316D">
        <w:trPr>
          <w:trHeight w:val="249"/>
        </w:trPr>
        <w:tc>
          <w:tcPr>
            <w:tcW w:w="624"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1</w:t>
            </w:r>
          </w:p>
        </w:tc>
        <w:tc>
          <w:tcPr>
            <w:tcW w:w="4101"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T1-Control</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r>
      <w:tr w:rsidR="00D13D03" w:rsidRPr="0078408E" w:rsidTr="004E316D">
        <w:trPr>
          <w:trHeight w:val="223"/>
        </w:trPr>
        <w:tc>
          <w:tcPr>
            <w:tcW w:w="624"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2</w:t>
            </w:r>
          </w:p>
        </w:tc>
        <w:tc>
          <w:tcPr>
            <w:tcW w:w="4101"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T2-Vermicompost@10ton/ha</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r>
      <w:tr w:rsidR="00D13D03" w:rsidRPr="0078408E" w:rsidTr="004E316D">
        <w:trPr>
          <w:trHeight w:val="249"/>
        </w:trPr>
        <w:tc>
          <w:tcPr>
            <w:tcW w:w="624"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3</w:t>
            </w:r>
          </w:p>
        </w:tc>
        <w:tc>
          <w:tcPr>
            <w:tcW w:w="4101"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T3-Vermicompost@20ton/ha</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7</w:t>
            </w:r>
          </w:p>
        </w:tc>
      </w:tr>
      <w:tr w:rsidR="00D13D03" w:rsidRPr="0078408E" w:rsidTr="004E316D">
        <w:trPr>
          <w:trHeight w:val="223"/>
        </w:trPr>
        <w:tc>
          <w:tcPr>
            <w:tcW w:w="624"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4</w:t>
            </w:r>
          </w:p>
        </w:tc>
        <w:tc>
          <w:tcPr>
            <w:tcW w:w="4101"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T4-Vermicompost@30ton/ha</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r>
      <w:tr w:rsidR="00D13D03" w:rsidRPr="0078408E" w:rsidTr="004E316D">
        <w:trPr>
          <w:trHeight w:val="249"/>
        </w:trPr>
        <w:tc>
          <w:tcPr>
            <w:tcW w:w="624"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5</w:t>
            </w:r>
          </w:p>
        </w:tc>
        <w:tc>
          <w:tcPr>
            <w:tcW w:w="4101"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T5-Poultry manure@10ton/ha</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r>
      <w:tr w:rsidR="00D13D03" w:rsidRPr="0078408E" w:rsidTr="004E316D">
        <w:trPr>
          <w:trHeight w:val="223"/>
        </w:trPr>
        <w:tc>
          <w:tcPr>
            <w:tcW w:w="624"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6</w:t>
            </w:r>
          </w:p>
        </w:tc>
        <w:tc>
          <w:tcPr>
            <w:tcW w:w="4101"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T6-Poultry manure@20ton/ha</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r>
      <w:tr w:rsidR="00D13D03" w:rsidRPr="0078408E" w:rsidTr="004E316D">
        <w:trPr>
          <w:trHeight w:val="249"/>
        </w:trPr>
        <w:tc>
          <w:tcPr>
            <w:tcW w:w="624"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7</w:t>
            </w:r>
          </w:p>
        </w:tc>
        <w:tc>
          <w:tcPr>
            <w:tcW w:w="4101"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T7-Poultry manure@30ton/ha</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Borders>
              <w:bottom w:val="single" w:sz="4" w:space="0" w:color="auto"/>
            </w:tcBorders>
          </w:tcPr>
          <w:p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7</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r>
      <w:tr w:rsidR="00D13D03" w:rsidRPr="0078408E" w:rsidTr="004E316D">
        <w:trPr>
          <w:trHeight w:val="223"/>
        </w:trPr>
        <w:tc>
          <w:tcPr>
            <w:tcW w:w="624"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8</w:t>
            </w:r>
          </w:p>
        </w:tc>
        <w:tc>
          <w:tcPr>
            <w:tcW w:w="4101"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T8-Cow dung manure@10ton/ha</w:t>
            </w:r>
          </w:p>
        </w:tc>
        <w:tc>
          <w:tcPr>
            <w:tcW w:w="1260" w:type="dxa"/>
            <w:tcBorders>
              <w:right w:val="single" w:sz="4" w:space="0" w:color="auto"/>
            </w:tcBorders>
          </w:tcPr>
          <w:p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D13D03" w:rsidRPr="0078408E" w:rsidRDefault="00D13D03" w:rsidP="00BF5E92">
            <w:pPr>
              <w:jc w:val="center"/>
              <w:rPr>
                <w:rFonts w:ascii="Arial" w:hAnsi="Arial" w:cs="Arial"/>
                <w:sz w:val="20"/>
                <w:szCs w:val="20"/>
              </w:rPr>
            </w:pPr>
            <w:r w:rsidRPr="0078408E">
              <w:rPr>
                <w:rFonts w:ascii="Arial" w:hAnsi="Arial" w:cs="Arial"/>
                <w:sz w:val="20"/>
                <w:szCs w:val="20"/>
              </w:rPr>
              <w:t>4</w:t>
            </w:r>
          </w:p>
        </w:tc>
        <w:tc>
          <w:tcPr>
            <w:tcW w:w="1260" w:type="dxa"/>
            <w:tcBorders>
              <w:left w:val="single" w:sz="4" w:space="0" w:color="auto"/>
            </w:tcBorders>
          </w:tcPr>
          <w:p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7</w:t>
            </w:r>
          </w:p>
        </w:tc>
      </w:tr>
      <w:tr w:rsidR="00D13D03" w:rsidRPr="0078408E" w:rsidTr="004E316D">
        <w:trPr>
          <w:trHeight w:val="249"/>
        </w:trPr>
        <w:tc>
          <w:tcPr>
            <w:tcW w:w="624"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9</w:t>
            </w:r>
          </w:p>
        </w:tc>
        <w:tc>
          <w:tcPr>
            <w:tcW w:w="4101"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T9-Cow dung manure@20ton/ha</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Borders>
              <w:top w:val="single" w:sz="4" w:space="0" w:color="auto"/>
            </w:tcBorders>
          </w:tcPr>
          <w:p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r>
      <w:tr w:rsidR="00D13D03" w:rsidRPr="0078408E" w:rsidTr="004E316D">
        <w:trPr>
          <w:trHeight w:val="223"/>
        </w:trPr>
        <w:tc>
          <w:tcPr>
            <w:tcW w:w="624" w:type="dxa"/>
            <w:tcBorders>
              <w:bottom w:val="single" w:sz="4" w:space="0" w:color="auto"/>
            </w:tcBorders>
          </w:tcPr>
          <w:p w:rsidR="00D13D03" w:rsidRPr="0078408E" w:rsidRDefault="00D13D03" w:rsidP="00D13D03">
            <w:pPr>
              <w:jc w:val="both"/>
              <w:rPr>
                <w:rFonts w:ascii="Arial" w:hAnsi="Arial" w:cs="Arial"/>
                <w:sz w:val="20"/>
                <w:szCs w:val="20"/>
              </w:rPr>
            </w:pPr>
            <w:r w:rsidRPr="0078408E">
              <w:rPr>
                <w:rFonts w:ascii="Arial" w:hAnsi="Arial" w:cs="Arial"/>
                <w:sz w:val="20"/>
                <w:szCs w:val="20"/>
              </w:rPr>
              <w:t>10</w:t>
            </w:r>
          </w:p>
        </w:tc>
        <w:tc>
          <w:tcPr>
            <w:tcW w:w="4101" w:type="dxa"/>
            <w:tcBorders>
              <w:bottom w:val="single" w:sz="4" w:space="0" w:color="auto"/>
            </w:tcBorders>
          </w:tcPr>
          <w:p w:rsidR="00D13D03" w:rsidRPr="0078408E" w:rsidRDefault="00D13D03" w:rsidP="00D13D03">
            <w:pPr>
              <w:jc w:val="both"/>
              <w:rPr>
                <w:rFonts w:ascii="Arial" w:hAnsi="Arial" w:cs="Arial"/>
                <w:sz w:val="20"/>
                <w:szCs w:val="20"/>
              </w:rPr>
            </w:pPr>
            <w:r w:rsidRPr="0078408E">
              <w:rPr>
                <w:rFonts w:ascii="Arial" w:hAnsi="Arial" w:cs="Arial"/>
                <w:sz w:val="20"/>
                <w:szCs w:val="20"/>
              </w:rPr>
              <w:t>T10-Cow dung manure@30ton/ha</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4</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r>
      <w:tr w:rsidR="00D13D03" w:rsidRPr="0078408E" w:rsidTr="004E316D">
        <w:trPr>
          <w:trHeight w:val="249"/>
        </w:trPr>
        <w:tc>
          <w:tcPr>
            <w:tcW w:w="624" w:type="dxa"/>
            <w:tcBorders>
              <w:top w:val="single" w:sz="4" w:space="0" w:color="auto"/>
              <w:left w:val="single" w:sz="4" w:space="0" w:color="auto"/>
              <w:bottom w:val="single" w:sz="4" w:space="0" w:color="auto"/>
              <w:right w:val="single" w:sz="4" w:space="0" w:color="auto"/>
            </w:tcBorders>
          </w:tcPr>
          <w:p w:rsidR="00D13D03" w:rsidRPr="0078408E" w:rsidRDefault="00D13D03" w:rsidP="00D13D03">
            <w:pPr>
              <w:jc w:val="both"/>
              <w:rPr>
                <w:rFonts w:ascii="Arial" w:hAnsi="Arial" w:cs="Arial"/>
                <w:sz w:val="20"/>
                <w:szCs w:val="20"/>
              </w:rPr>
            </w:pPr>
          </w:p>
        </w:tc>
        <w:tc>
          <w:tcPr>
            <w:tcW w:w="4101" w:type="dxa"/>
            <w:tcBorders>
              <w:top w:val="single" w:sz="4" w:space="0" w:color="auto"/>
              <w:left w:val="single" w:sz="4" w:space="0" w:color="auto"/>
              <w:bottom w:val="single" w:sz="4" w:space="0" w:color="auto"/>
              <w:right w:val="single" w:sz="4" w:space="0" w:color="auto"/>
            </w:tcBorders>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Mean</w:t>
            </w:r>
          </w:p>
        </w:tc>
        <w:tc>
          <w:tcPr>
            <w:tcW w:w="1260" w:type="dxa"/>
            <w:tcBorders>
              <w:left w:val="single" w:sz="4" w:space="0" w:color="auto"/>
            </w:tcBorders>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3</w:t>
            </w:r>
          </w:p>
        </w:tc>
        <w:tc>
          <w:tcPr>
            <w:tcW w:w="126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4.6</w:t>
            </w:r>
          </w:p>
        </w:tc>
        <w:tc>
          <w:tcPr>
            <w:tcW w:w="126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4.6</w:t>
            </w:r>
          </w:p>
        </w:tc>
        <w:tc>
          <w:tcPr>
            <w:tcW w:w="126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6</w:t>
            </w:r>
          </w:p>
        </w:tc>
      </w:tr>
      <w:tr w:rsidR="00D13D03" w:rsidRPr="0078408E" w:rsidTr="004E316D">
        <w:trPr>
          <w:trHeight w:val="249"/>
        </w:trPr>
        <w:tc>
          <w:tcPr>
            <w:tcW w:w="624" w:type="dxa"/>
            <w:tcBorders>
              <w:top w:val="single" w:sz="4" w:space="0" w:color="auto"/>
            </w:tcBorders>
          </w:tcPr>
          <w:p w:rsidR="00D13D03" w:rsidRPr="0078408E" w:rsidRDefault="00D13D03" w:rsidP="00D13D03">
            <w:pPr>
              <w:jc w:val="both"/>
              <w:rPr>
                <w:rFonts w:ascii="Arial" w:hAnsi="Arial" w:cs="Arial"/>
                <w:sz w:val="20"/>
                <w:szCs w:val="20"/>
              </w:rPr>
            </w:pPr>
          </w:p>
        </w:tc>
        <w:tc>
          <w:tcPr>
            <w:tcW w:w="4101" w:type="dxa"/>
            <w:tcBorders>
              <w:top w:val="single" w:sz="4" w:space="0" w:color="auto"/>
            </w:tcBorders>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C.D.</w:t>
            </w:r>
          </w:p>
        </w:tc>
        <w:tc>
          <w:tcPr>
            <w:tcW w:w="126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N/A</w:t>
            </w:r>
          </w:p>
        </w:tc>
        <w:tc>
          <w:tcPr>
            <w:tcW w:w="126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0.202</w:t>
            </w:r>
          </w:p>
        </w:tc>
        <w:tc>
          <w:tcPr>
            <w:tcW w:w="126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0.195</w:t>
            </w:r>
          </w:p>
        </w:tc>
        <w:tc>
          <w:tcPr>
            <w:tcW w:w="126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0.160</w:t>
            </w:r>
          </w:p>
        </w:tc>
      </w:tr>
      <w:tr w:rsidR="00D13D03" w:rsidRPr="0078408E" w:rsidTr="004E316D">
        <w:trPr>
          <w:trHeight w:val="223"/>
        </w:trPr>
        <w:tc>
          <w:tcPr>
            <w:tcW w:w="624" w:type="dxa"/>
          </w:tcPr>
          <w:p w:rsidR="00D13D03" w:rsidRPr="0078408E" w:rsidRDefault="00D13D03" w:rsidP="00D13D03">
            <w:pPr>
              <w:jc w:val="both"/>
              <w:rPr>
                <w:rFonts w:ascii="Arial" w:hAnsi="Arial" w:cs="Arial"/>
                <w:sz w:val="20"/>
                <w:szCs w:val="20"/>
              </w:rPr>
            </w:pPr>
          </w:p>
        </w:tc>
        <w:tc>
          <w:tcPr>
            <w:tcW w:w="4101"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SE (m)</w:t>
            </w:r>
          </w:p>
        </w:tc>
        <w:tc>
          <w:tcPr>
            <w:tcW w:w="126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0.045</w:t>
            </w:r>
          </w:p>
        </w:tc>
        <w:tc>
          <w:tcPr>
            <w:tcW w:w="126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0.063</w:t>
            </w:r>
          </w:p>
        </w:tc>
        <w:tc>
          <w:tcPr>
            <w:tcW w:w="126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0.061</w:t>
            </w:r>
          </w:p>
        </w:tc>
        <w:tc>
          <w:tcPr>
            <w:tcW w:w="126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0.050</w:t>
            </w:r>
          </w:p>
        </w:tc>
      </w:tr>
      <w:tr w:rsidR="00D13D03" w:rsidRPr="0078408E" w:rsidTr="004E316D">
        <w:trPr>
          <w:trHeight w:val="249"/>
        </w:trPr>
        <w:tc>
          <w:tcPr>
            <w:tcW w:w="624" w:type="dxa"/>
          </w:tcPr>
          <w:p w:rsidR="00D13D03" w:rsidRPr="0078408E" w:rsidRDefault="00D13D03" w:rsidP="00D13D03">
            <w:pPr>
              <w:jc w:val="both"/>
              <w:rPr>
                <w:rFonts w:ascii="Arial" w:hAnsi="Arial" w:cs="Arial"/>
                <w:sz w:val="20"/>
                <w:szCs w:val="20"/>
              </w:rPr>
            </w:pPr>
          </w:p>
        </w:tc>
        <w:tc>
          <w:tcPr>
            <w:tcW w:w="4101"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SE(d)</w:t>
            </w:r>
          </w:p>
        </w:tc>
        <w:tc>
          <w:tcPr>
            <w:tcW w:w="126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0.063</w:t>
            </w:r>
          </w:p>
        </w:tc>
        <w:tc>
          <w:tcPr>
            <w:tcW w:w="126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0.089</w:t>
            </w:r>
          </w:p>
        </w:tc>
        <w:tc>
          <w:tcPr>
            <w:tcW w:w="126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0.087</w:t>
            </w:r>
          </w:p>
        </w:tc>
        <w:tc>
          <w:tcPr>
            <w:tcW w:w="126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0.071</w:t>
            </w:r>
          </w:p>
        </w:tc>
      </w:tr>
      <w:tr w:rsidR="00D13D03" w:rsidRPr="0078408E" w:rsidTr="004E316D">
        <w:trPr>
          <w:trHeight w:val="223"/>
        </w:trPr>
        <w:tc>
          <w:tcPr>
            <w:tcW w:w="624" w:type="dxa"/>
          </w:tcPr>
          <w:p w:rsidR="00D13D03" w:rsidRPr="0078408E" w:rsidRDefault="00D13D03" w:rsidP="00D13D03">
            <w:pPr>
              <w:jc w:val="both"/>
              <w:rPr>
                <w:rFonts w:ascii="Arial" w:hAnsi="Arial" w:cs="Arial"/>
                <w:sz w:val="20"/>
                <w:szCs w:val="20"/>
              </w:rPr>
            </w:pPr>
          </w:p>
        </w:tc>
        <w:tc>
          <w:tcPr>
            <w:tcW w:w="4101"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C.V.</w:t>
            </w:r>
          </w:p>
        </w:tc>
        <w:tc>
          <w:tcPr>
            <w:tcW w:w="126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2.067</w:t>
            </w:r>
          </w:p>
        </w:tc>
        <w:tc>
          <w:tcPr>
            <w:tcW w:w="126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1.907</w:t>
            </w:r>
          </w:p>
        </w:tc>
        <w:tc>
          <w:tcPr>
            <w:tcW w:w="126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1.833</w:t>
            </w:r>
          </w:p>
        </w:tc>
        <w:tc>
          <w:tcPr>
            <w:tcW w:w="126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1.150</w:t>
            </w:r>
          </w:p>
        </w:tc>
      </w:tr>
    </w:tbl>
    <w:p w:rsidR="00D13D03" w:rsidRPr="0078408E" w:rsidRDefault="00D13D03" w:rsidP="00D13D03">
      <w:pPr>
        <w:jc w:val="both"/>
        <w:rPr>
          <w:rFonts w:ascii="Arial" w:hAnsi="Arial" w:cs="Arial"/>
          <w:sz w:val="20"/>
          <w:szCs w:val="20"/>
        </w:rPr>
      </w:pPr>
      <w:r w:rsidRPr="0078408E">
        <w:rPr>
          <w:rFonts w:ascii="Arial" w:eastAsia="Times New Roman" w:hAnsi="Arial" w:cs="Arial"/>
          <w:b/>
          <w:bCs/>
          <w:sz w:val="20"/>
          <w:szCs w:val="20"/>
        </w:rPr>
        <w:t xml:space="preserve">Table3 Impact of </w:t>
      </w:r>
      <w:r w:rsidRPr="0078408E">
        <w:rPr>
          <w:rFonts w:ascii="Arial" w:hAnsi="Arial" w:cs="Arial"/>
          <w:b/>
          <w:sz w:val="20"/>
          <w:szCs w:val="20"/>
        </w:rPr>
        <w:t>Organic matters</w:t>
      </w:r>
      <w:r w:rsidRPr="0078408E">
        <w:rPr>
          <w:rFonts w:ascii="Arial" w:eastAsia="Times New Roman" w:hAnsi="Arial" w:cs="Arial"/>
          <w:b/>
          <w:bCs/>
          <w:sz w:val="20"/>
          <w:szCs w:val="20"/>
        </w:rPr>
        <w:t xml:space="preserve"> upon the total number of nodules of Black gram at various stages of growth</w:t>
      </w:r>
    </w:p>
    <w:tbl>
      <w:tblPr>
        <w:tblStyle w:val="TableGrid"/>
        <w:tblW w:w="0" w:type="auto"/>
        <w:tblLayout w:type="fixed"/>
        <w:tblLook w:val="04A0"/>
      </w:tblPr>
      <w:tblGrid>
        <w:gridCol w:w="607"/>
        <w:gridCol w:w="4290"/>
        <w:gridCol w:w="2145"/>
        <w:gridCol w:w="2144"/>
      </w:tblGrid>
      <w:tr w:rsidR="00D13D03" w:rsidRPr="0078408E" w:rsidTr="00A834DB">
        <w:trPr>
          <w:trHeight w:val="590"/>
        </w:trPr>
        <w:tc>
          <w:tcPr>
            <w:tcW w:w="607" w:type="dxa"/>
          </w:tcPr>
          <w:p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Sl. No</w:t>
            </w:r>
          </w:p>
        </w:tc>
        <w:tc>
          <w:tcPr>
            <w:tcW w:w="4290" w:type="dxa"/>
          </w:tcPr>
          <w:p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Treatments</w:t>
            </w:r>
          </w:p>
        </w:tc>
        <w:tc>
          <w:tcPr>
            <w:tcW w:w="2145" w:type="dxa"/>
          </w:tcPr>
          <w:p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No. of nodules/ Plant (45DAS)</w:t>
            </w:r>
          </w:p>
        </w:tc>
        <w:tc>
          <w:tcPr>
            <w:tcW w:w="2144" w:type="dxa"/>
          </w:tcPr>
          <w:p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No. of nodules / Plant (60DAS)</w:t>
            </w:r>
          </w:p>
        </w:tc>
      </w:tr>
      <w:tr w:rsidR="00D13D03" w:rsidRPr="0078408E" w:rsidTr="00A834DB">
        <w:trPr>
          <w:trHeight w:val="279"/>
        </w:trPr>
        <w:tc>
          <w:tcPr>
            <w:tcW w:w="607"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1</w:t>
            </w:r>
          </w:p>
        </w:tc>
        <w:tc>
          <w:tcPr>
            <w:tcW w:w="4290"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T1-Control</w:t>
            </w:r>
          </w:p>
        </w:tc>
        <w:tc>
          <w:tcPr>
            <w:tcW w:w="2145"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c>
          <w:tcPr>
            <w:tcW w:w="2144"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12</w:t>
            </w:r>
          </w:p>
        </w:tc>
      </w:tr>
      <w:tr w:rsidR="00D13D03" w:rsidRPr="0078408E" w:rsidTr="00A834DB">
        <w:trPr>
          <w:trHeight w:val="310"/>
        </w:trPr>
        <w:tc>
          <w:tcPr>
            <w:tcW w:w="607"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2</w:t>
            </w:r>
          </w:p>
        </w:tc>
        <w:tc>
          <w:tcPr>
            <w:tcW w:w="4290"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T2-Vermicompost@10ton/ha</w:t>
            </w:r>
          </w:p>
        </w:tc>
        <w:tc>
          <w:tcPr>
            <w:tcW w:w="2145"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2144"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r>
      <w:tr w:rsidR="00D13D03" w:rsidRPr="0078408E" w:rsidTr="00A834DB">
        <w:trPr>
          <w:trHeight w:val="279"/>
        </w:trPr>
        <w:tc>
          <w:tcPr>
            <w:tcW w:w="607"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3</w:t>
            </w:r>
          </w:p>
        </w:tc>
        <w:tc>
          <w:tcPr>
            <w:tcW w:w="4290"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T3-Vermicompost@20ton/ha</w:t>
            </w:r>
          </w:p>
        </w:tc>
        <w:tc>
          <w:tcPr>
            <w:tcW w:w="2145"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8</w:t>
            </w:r>
          </w:p>
        </w:tc>
        <w:tc>
          <w:tcPr>
            <w:tcW w:w="2144"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r>
      <w:tr w:rsidR="00D13D03" w:rsidRPr="0078408E" w:rsidTr="00A834DB">
        <w:trPr>
          <w:trHeight w:val="310"/>
        </w:trPr>
        <w:tc>
          <w:tcPr>
            <w:tcW w:w="607"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4</w:t>
            </w:r>
          </w:p>
        </w:tc>
        <w:tc>
          <w:tcPr>
            <w:tcW w:w="4290"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T4-Vermicompost@30ton/ha</w:t>
            </w:r>
          </w:p>
        </w:tc>
        <w:tc>
          <w:tcPr>
            <w:tcW w:w="2145"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12</w:t>
            </w:r>
          </w:p>
        </w:tc>
        <w:tc>
          <w:tcPr>
            <w:tcW w:w="2144"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11</w:t>
            </w:r>
          </w:p>
        </w:tc>
      </w:tr>
      <w:tr w:rsidR="00D13D03" w:rsidRPr="0078408E" w:rsidTr="00A834DB">
        <w:trPr>
          <w:trHeight w:val="279"/>
        </w:trPr>
        <w:tc>
          <w:tcPr>
            <w:tcW w:w="607"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5</w:t>
            </w:r>
          </w:p>
        </w:tc>
        <w:tc>
          <w:tcPr>
            <w:tcW w:w="4290"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T5-Poultry manure@10ton/ha</w:t>
            </w:r>
          </w:p>
        </w:tc>
        <w:tc>
          <w:tcPr>
            <w:tcW w:w="2145"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9</w:t>
            </w:r>
          </w:p>
        </w:tc>
        <w:tc>
          <w:tcPr>
            <w:tcW w:w="2144"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13</w:t>
            </w:r>
          </w:p>
        </w:tc>
      </w:tr>
      <w:tr w:rsidR="00D13D03" w:rsidRPr="0078408E" w:rsidTr="00A834DB">
        <w:trPr>
          <w:trHeight w:val="310"/>
        </w:trPr>
        <w:tc>
          <w:tcPr>
            <w:tcW w:w="607"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6</w:t>
            </w:r>
          </w:p>
        </w:tc>
        <w:tc>
          <w:tcPr>
            <w:tcW w:w="4290"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T6-Poultry manure@20ton/ha</w:t>
            </w:r>
          </w:p>
        </w:tc>
        <w:tc>
          <w:tcPr>
            <w:tcW w:w="2145"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12</w:t>
            </w:r>
          </w:p>
        </w:tc>
        <w:tc>
          <w:tcPr>
            <w:tcW w:w="2144"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r>
      <w:tr w:rsidR="00D13D03" w:rsidRPr="0078408E" w:rsidTr="00A834DB">
        <w:trPr>
          <w:trHeight w:val="279"/>
        </w:trPr>
        <w:tc>
          <w:tcPr>
            <w:tcW w:w="607"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7</w:t>
            </w:r>
          </w:p>
        </w:tc>
        <w:tc>
          <w:tcPr>
            <w:tcW w:w="4290"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T7-Poultry manure@30ton/ha</w:t>
            </w:r>
          </w:p>
        </w:tc>
        <w:tc>
          <w:tcPr>
            <w:tcW w:w="2145"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2144" w:type="dxa"/>
            <w:tcBorders>
              <w:bottom w:val="single" w:sz="4" w:space="0" w:color="auto"/>
            </w:tcBorders>
          </w:tcPr>
          <w:p w:rsidR="00D13D03" w:rsidRPr="0078408E" w:rsidRDefault="00D13D03" w:rsidP="00BF5E92">
            <w:pPr>
              <w:jc w:val="center"/>
              <w:rPr>
                <w:rFonts w:ascii="Arial" w:hAnsi="Arial" w:cs="Arial"/>
                <w:sz w:val="20"/>
                <w:szCs w:val="20"/>
              </w:rPr>
            </w:pPr>
            <w:r w:rsidRPr="0078408E">
              <w:rPr>
                <w:rFonts w:ascii="Arial" w:hAnsi="Arial" w:cs="Arial"/>
                <w:sz w:val="20"/>
                <w:szCs w:val="20"/>
              </w:rPr>
              <w:t>18</w:t>
            </w:r>
          </w:p>
        </w:tc>
      </w:tr>
      <w:tr w:rsidR="00D13D03" w:rsidRPr="0078408E" w:rsidTr="00A834DB">
        <w:trPr>
          <w:trHeight w:val="310"/>
        </w:trPr>
        <w:tc>
          <w:tcPr>
            <w:tcW w:w="607"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8</w:t>
            </w:r>
          </w:p>
        </w:tc>
        <w:tc>
          <w:tcPr>
            <w:tcW w:w="4290"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T8-Cow dung manure@10ton/ha</w:t>
            </w:r>
          </w:p>
        </w:tc>
        <w:tc>
          <w:tcPr>
            <w:tcW w:w="2145" w:type="dxa"/>
            <w:tcBorders>
              <w:right w:val="single" w:sz="4" w:space="0" w:color="auto"/>
            </w:tcBorders>
          </w:tcPr>
          <w:p w:rsidR="00D13D03" w:rsidRPr="0078408E" w:rsidRDefault="00D13D03" w:rsidP="00BF5E92">
            <w:pPr>
              <w:jc w:val="center"/>
              <w:rPr>
                <w:rFonts w:ascii="Arial" w:hAnsi="Arial" w:cs="Arial"/>
                <w:sz w:val="20"/>
                <w:szCs w:val="20"/>
              </w:rPr>
            </w:pPr>
            <w:r w:rsidRPr="0078408E">
              <w:rPr>
                <w:rFonts w:ascii="Arial" w:hAnsi="Arial" w:cs="Arial"/>
                <w:sz w:val="20"/>
                <w:szCs w:val="20"/>
              </w:rPr>
              <w:t>8</w:t>
            </w:r>
          </w:p>
        </w:tc>
        <w:tc>
          <w:tcPr>
            <w:tcW w:w="2144" w:type="dxa"/>
            <w:tcBorders>
              <w:top w:val="single" w:sz="4" w:space="0" w:color="auto"/>
              <w:left w:val="single" w:sz="4" w:space="0" w:color="auto"/>
              <w:bottom w:val="single" w:sz="4" w:space="0" w:color="auto"/>
              <w:right w:val="single" w:sz="4" w:space="0" w:color="auto"/>
            </w:tcBorders>
          </w:tcPr>
          <w:p w:rsidR="00D13D03" w:rsidRPr="0078408E" w:rsidRDefault="00D13D03" w:rsidP="00BF5E92">
            <w:pPr>
              <w:jc w:val="center"/>
              <w:rPr>
                <w:rFonts w:ascii="Arial" w:hAnsi="Arial" w:cs="Arial"/>
                <w:sz w:val="20"/>
                <w:szCs w:val="20"/>
              </w:rPr>
            </w:pPr>
            <w:r w:rsidRPr="0078408E">
              <w:rPr>
                <w:rFonts w:ascii="Arial" w:hAnsi="Arial" w:cs="Arial"/>
                <w:sz w:val="20"/>
                <w:szCs w:val="20"/>
              </w:rPr>
              <w:t>19</w:t>
            </w:r>
          </w:p>
        </w:tc>
      </w:tr>
      <w:tr w:rsidR="00D13D03" w:rsidRPr="0078408E" w:rsidTr="00A834DB">
        <w:trPr>
          <w:trHeight w:val="310"/>
        </w:trPr>
        <w:tc>
          <w:tcPr>
            <w:tcW w:w="607"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9</w:t>
            </w:r>
          </w:p>
        </w:tc>
        <w:tc>
          <w:tcPr>
            <w:tcW w:w="4290"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T9-Cow dung manure@20ton/ha</w:t>
            </w:r>
          </w:p>
        </w:tc>
        <w:tc>
          <w:tcPr>
            <w:tcW w:w="2145"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c>
          <w:tcPr>
            <w:tcW w:w="2144" w:type="dxa"/>
            <w:tcBorders>
              <w:top w:val="single" w:sz="4" w:space="0" w:color="auto"/>
            </w:tcBorders>
          </w:tcPr>
          <w:p w:rsidR="00D13D03" w:rsidRPr="0078408E" w:rsidRDefault="00D13D03" w:rsidP="00BF5E92">
            <w:pPr>
              <w:jc w:val="center"/>
              <w:rPr>
                <w:rFonts w:ascii="Arial" w:hAnsi="Arial" w:cs="Arial"/>
                <w:sz w:val="20"/>
                <w:szCs w:val="20"/>
              </w:rPr>
            </w:pPr>
            <w:r w:rsidRPr="0078408E">
              <w:rPr>
                <w:rFonts w:ascii="Arial" w:hAnsi="Arial" w:cs="Arial"/>
                <w:sz w:val="20"/>
                <w:szCs w:val="20"/>
              </w:rPr>
              <w:t>24</w:t>
            </w:r>
          </w:p>
        </w:tc>
      </w:tr>
      <w:tr w:rsidR="00D13D03" w:rsidRPr="0078408E" w:rsidTr="00A834DB">
        <w:trPr>
          <w:trHeight w:val="279"/>
        </w:trPr>
        <w:tc>
          <w:tcPr>
            <w:tcW w:w="607" w:type="dxa"/>
            <w:tcBorders>
              <w:bottom w:val="single" w:sz="4" w:space="0" w:color="auto"/>
            </w:tcBorders>
          </w:tcPr>
          <w:p w:rsidR="00D13D03" w:rsidRPr="0078408E" w:rsidRDefault="00D13D03" w:rsidP="00D13D03">
            <w:pPr>
              <w:jc w:val="both"/>
              <w:rPr>
                <w:rFonts w:ascii="Arial" w:hAnsi="Arial" w:cs="Arial"/>
                <w:sz w:val="20"/>
                <w:szCs w:val="20"/>
              </w:rPr>
            </w:pPr>
            <w:r w:rsidRPr="0078408E">
              <w:rPr>
                <w:rFonts w:ascii="Arial" w:hAnsi="Arial" w:cs="Arial"/>
                <w:sz w:val="20"/>
                <w:szCs w:val="20"/>
              </w:rPr>
              <w:t>10</w:t>
            </w:r>
          </w:p>
        </w:tc>
        <w:tc>
          <w:tcPr>
            <w:tcW w:w="4290" w:type="dxa"/>
            <w:tcBorders>
              <w:bottom w:val="single" w:sz="4" w:space="0" w:color="auto"/>
            </w:tcBorders>
          </w:tcPr>
          <w:p w:rsidR="00D13D03" w:rsidRPr="0078408E" w:rsidRDefault="00D13D03" w:rsidP="00D13D03">
            <w:pPr>
              <w:jc w:val="both"/>
              <w:rPr>
                <w:rFonts w:ascii="Arial" w:hAnsi="Arial" w:cs="Arial"/>
                <w:sz w:val="20"/>
                <w:szCs w:val="20"/>
              </w:rPr>
            </w:pPr>
            <w:r w:rsidRPr="0078408E">
              <w:rPr>
                <w:rFonts w:ascii="Arial" w:hAnsi="Arial" w:cs="Arial"/>
                <w:sz w:val="20"/>
                <w:szCs w:val="20"/>
              </w:rPr>
              <w:t>T10-Cow dung manure@30ton/ha</w:t>
            </w:r>
          </w:p>
        </w:tc>
        <w:tc>
          <w:tcPr>
            <w:tcW w:w="2145"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2144"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16</w:t>
            </w:r>
          </w:p>
        </w:tc>
      </w:tr>
      <w:tr w:rsidR="00D13D03" w:rsidRPr="0078408E" w:rsidTr="00A834DB">
        <w:trPr>
          <w:trHeight w:val="310"/>
        </w:trPr>
        <w:tc>
          <w:tcPr>
            <w:tcW w:w="607" w:type="dxa"/>
            <w:tcBorders>
              <w:top w:val="single" w:sz="4" w:space="0" w:color="auto"/>
              <w:left w:val="single" w:sz="4" w:space="0" w:color="auto"/>
              <w:bottom w:val="single" w:sz="4" w:space="0" w:color="auto"/>
              <w:right w:val="single" w:sz="4" w:space="0" w:color="auto"/>
            </w:tcBorders>
          </w:tcPr>
          <w:p w:rsidR="00D13D03" w:rsidRPr="0078408E" w:rsidRDefault="00D13D03" w:rsidP="00D13D03">
            <w:pPr>
              <w:jc w:val="both"/>
              <w:rPr>
                <w:rFonts w:ascii="Arial" w:hAnsi="Arial" w:cs="Arial"/>
                <w:sz w:val="20"/>
                <w:szCs w:val="20"/>
              </w:rPr>
            </w:pPr>
          </w:p>
        </w:tc>
        <w:tc>
          <w:tcPr>
            <w:tcW w:w="4290" w:type="dxa"/>
            <w:tcBorders>
              <w:top w:val="single" w:sz="4" w:space="0" w:color="auto"/>
              <w:left w:val="single" w:sz="4" w:space="0" w:color="auto"/>
              <w:bottom w:val="single" w:sz="4" w:space="0" w:color="auto"/>
              <w:right w:val="single" w:sz="4" w:space="0" w:color="auto"/>
            </w:tcBorders>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Mean</w:t>
            </w:r>
          </w:p>
        </w:tc>
        <w:tc>
          <w:tcPr>
            <w:tcW w:w="2145" w:type="dxa"/>
            <w:tcBorders>
              <w:left w:val="single" w:sz="4" w:space="0" w:color="auto"/>
            </w:tcBorders>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10</w:t>
            </w:r>
          </w:p>
        </w:tc>
        <w:tc>
          <w:tcPr>
            <w:tcW w:w="2144"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15.3</w:t>
            </w:r>
          </w:p>
        </w:tc>
      </w:tr>
      <w:tr w:rsidR="00D13D03" w:rsidRPr="0078408E" w:rsidTr="00A834DB">
        <w:trPr>
          <w:trHeight w:val="279"/>
        </w:trPr>
        <w:tc>
          <w:tcPr>
            <w:tcW w:w="607" w:type="dxa"/>
            <w:tcBorders>
              <w:top w:val="single" w:sz="4" w:space="0" w:color="auto"/>
            </w:tcBorders>
          </w:tcPr>
          <w:p w:rsidR="00D13D03" w:rsidRPr="0078408E" w:rsidRDefault="00D13D03" w:rsidP="00D13D03">
            <w:pPr>
              <w:jc w:val="both"/>
              <w:rPr>
                <w:rFonts w:ascii="Arial" w:hAnsi="Arial" w:cs="Arial"/>
                <w:sz w:val="20"/>
                <w:szCs w:val="20"/>
              </w:rPr>
            </w:pPr>
          </w:p>
        </w:tc>
        <w:tc>
          <w:tcPr>
            <w:tcW w:w="4290" w:type="dxa"/>
            <w:tcBorders>
              <w:top w:val="single" w:sz="4" w:space="0" w:color="auto"/>
            </w:tcBorders>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C.D.</w:t>
            </w:r>
          </w:p>
        </w:tc>
        <w:tc>
          <w:tcPr>
            <w:tcW w:w="2145"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0.367</w:t>
            </w:r>
          </w:p>
        </w:tc>
        <w:tc>
          <w:tcPr>
            <w:tcW w:w="2144"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0.159</w:t>
            </w:r>
          </w:p>
        </w:tc>
      </w:tr>
      <w:tr w:rsidR="00D13D03" w:rsidRPr="0078408E" w:rsidTr="00A834DB">
        <w:trPr>
          <w:trHeight w:val="310"/>
        </w:trPr>
        <w:tc>
          <w:tcPr>
            <w:tcW w:w="607" w:type="dxa"/>
          </w:tcPr>
          <w:p w:rsidR="00D13D03" w:rsidRPr="0078408E" w:rsidRDefault="00D13D03" w:rsidP="00D13D03">
            <w:pPr>
              <w:jc w:val="both"/>
              <w:rPr>
                <w:rFonts w:ascii="Arial" w:hAnsi="Arial" w:cs="Arial"/>
                <w:sz w:val="20"/>
                <w:szCs w:val="20"/>
              </w:rPr>
            </w:pPr>
          </w:p>
        </w:tc>
        <w:tc>
          <w:tcPr>
            <w:tcW w:w="429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SE (m)</w:t>
            </w:r>
          </w:p>
        </w:tc>
        <w:tc>
          <w:tcPr>
            <w:tcW w:w="2145"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0.115</w:t>
            </w:r>
          </w:p>
        </w:tc>
        <w:tc>
          <w:tcPr>
            <w:tcW w:w="2144"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0.050</w:t>
            </w:r>
          </w:p>
        </w:tc>
      </w:tr>
      <w:tr w:rsidR="00D13D03" w:rsidRPr="0078408E" w:rsidTr="00A834DB">
        <w:trPr>
          <w:trHeight w:val="279"/>
        </w:trPr>
        <w:tc>
          <w:tcPr>
            <w:tcW w:w="607" w:type="dxa"/>
          </w:tcPr>
          <w:p w:rsidR="00D13D03" w:rsidRPr="0078408E" w:rsidRDefault="00D13D03" w:rsidP="00D13D03">
            <w:pPr>
              <w:jc w:val="both"/>
              <w:rPr>
                <w:rFonts w:ascii="Arial" w:hAnsi="Arial" w:cs="Arial"/>
                <w:sz w:val="20"/>
                <w:szCs w:val="20"/>
              </w:rPr>
            </w:pPr>
          </w:p>
        </w:tc>
        <w:tc>
          <w:tcPr>
            <w:tcW w:w="429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SE(d)</w:t>
            </w:r>
          </w:p>
        </w:tc>
        <w:tc>
          <w:tcPr>
            <w:tcW w:w="2145"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0.163</w:t>
            </w:r>
          </w:p>
        </w:tc>
        <w:tc>
          <w:tcPr>
            <w:tcW w:w="2144"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0.071</w:t>
            </w:r>
          </w:p>
        </w:tc>
      </w:tr>
      <w:tr w:rsidR="00D13D03" w:rsidRPr="0078408E" w:rsidTr="00A834DB">
        <w:trPr>
          <w:trHeight w:val="590"/>
        </w:trPr>
        <w:tc>
          <w:tcPr>
            <w:tcW w:w="607" w:type="dxa"/>
          </w:tcPr>
          <w:p w:rsidR="00D13D03" w:rsidRPr="0078408E" w:rsidRDefault="00D13D03" w:rsidP="00D13D03">
            <w:pPr>
              <w:jc w:val="both"/>
              <w:rPr>
                <w:rFonts w:ascii="Arial" w:hAnsi="Arial" w:cs="Arial"/>
                <w:sz w:val="20"/>
                <w:szCs w:val="20"/>
              </w:rPr>
            </w:pPr>
          </w:p>
        </w:tc>
        <w:tc>
          <w:tcPr>
            <w:tcW w:w="4290"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C.V.</w:t>
            </w:r>
          </w:p>
          <w:p w:rsidR="00D13D03" w:rsidRPr="0078408E" w:rsidRDefault="00D13D03" w:rsidP="00BF5E92">
            <w:pPr>
              <w:jc w:val="center"/>
              <w:rPr>
                <w:rFonts w:ascii="Arial" w:hAnsi="Arial" w:cs="Arial"/>
                <w:b/>
                <w:bCs/>
                <w:sz w:val="20"/>
                <w:szCs w:val="20"/>
              </w:rPr>
            </w:pPr>
          </w:p>
        </w:tc>
        <w:tc>
          <w:tcPr>
            <w:tcW w:w="2145"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1.601</w:t>
            </w:r>
          </w:p>
        </w:tc>
        <w:tc>
          <w:tcPr>
            <w:tcW w:w="2144" w:type="dxa"/>
          </w:tcPr>
          <w:p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0.457</w:t>
            </w:r>
          </w:p>
        </w:tc>
      </w:tr>
    </w:tbl>
    <w:p w:rsidR="00D13D03" w:rsidRPr="0078408E" w:rsidRDefault="00091212" w:rsidP="00D13D03">
      <w:pPr>
        <w:jc w:val="both"/>
        <w:rPr>
          <w:rFonts w:ascii="Arial" w:hAnsi="Arial" w:cs="Arial"/>
          <w:b/>
          <w:sz w:val="20"/>
          <w:szCs w:val="20"/>
        </w:rPr>
      </w:pPr>
      <w:r w:rsidRPr="004E4327">
        <w:rPr>
          <w:rFonts w:ascii="Times New Roman" w:hAnsi="Times New Roman" w:cs="Times New Roman"/>
          <w:noProof/>
        </w:rPr>
        <w:lastRenderedPageBreak/>
        <w:drawing>
          <wp:anchor distT="0" distB="0" distL="114300" distR="114300" simplePos="0" relativeHeight="251656704" behindDoc="0" locked="0" layoutInCell="1" allowOverlap="1">
            <wp:simplePos x="0" y="0"/>
            <wp:positionH relativeFrom="column">
              <wp:posOffset>216535</wp:posOffset>
            </wp:positionH>
            <wp:positionV relativeFrom="paragraph">
              <wp:posOffset>4074761</wp:posOffset>
            </wp:positionV>
            <wp:extent cx="5534025" cy="2868930"/>
            <wp:effectExtent l="0" t="0" r="9525" b="7620"/>
            <wp:wrapTopAndBottom/>
            <wp:docPr id="1"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91528E7-A9F4-44DA-9FA7-44B8FA663B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D13D03" w:rsidRPr="0078408E">
        <w:rPr>
          <w:rFonts w:ascii="Arial" w:eastAsia="Times New Roman" w:hAnsi="Arial" w:cs="Arial"/>
          <w:b/>
          <w:bCs/>
          <w:sz w:val="20"/>
          <w:szCs w:val="20"/>
        </w:rPr>
        <w:t xml:space="preserve">Table 4 Effect of </w:t>
      </w:r>
      <w:r w:rsidR="00D13D03" w:rsidRPr="0078408E">
        <w:rPr>
          <w:rFonts w:ascii="Arial" w:hAnsi="Arial" w:cs="Arial"/>
          <w:b/>
          <w:sz w:val="20"/>
          <w:szCs w:val="20"/>
        </w:rPr>
        <w:t>Organic matters</w:t>
      </w:r>
      <w:r w:rsidR="00D13D03" w:rsidRPr="0078408E">
        <w:rPr>
          <w:rFonts w:ascii="Arial" w:eastAsia="Times New Roman" w:hAnsi="Arial" w:cs="Arial"/>
          <w:b/>
          <w:bCs/>
          <w:sz w:val="20"/>
          <w:szCs w:val="20"/>
        </w:rPr>
        <w:t xml:space="preserve"> on </w:t>
      </w:r>
      <w:r w:rsidR="00D13D03" w:rsidRPr="0078408E">
        <w:rPr>
          <w:rFonts w:ascii="Arial" w:hAnsi="Arial" w:cs="Arial"/>
          <w:b/>
          <w:sz w:val="20"/>
          <w:szCs w:val="20"/>
        </w:rPr>
        <w:t>Phosphorus level in soil</w:t>
      </w:r>
      <w:r w:rsidR="00D13D03" w:rsidRPr="0078408E">
        <w:rPr>
          <w:rFonts w:ascii="Arial" w:eastAsia="Times New Roman" w:hAnsi="Arial" w:cs="Arial"/>
          <w:b/>
          <w:bCs/>
          <w:sz w:val="20"/>
          <w:szCs w:val="20"/>
        </w:rPr>
        <w:t xml:space="preserve">    of Black gram at different growth stages</w:t>
      </w:r>
    </w:p>
    <w:tbl>
      <w:tblPr>
        <w:tblStyle w:val="TableGrid"/>
        <w:tblW w:w="9964" w:type="dxa"/>
        <w:tblInd w:w="-5" w:type="dxa"/>
        <w:tblLayout w:type="fixed"/>
        <w:tblLook w:val="04A0"/>
      </w:tblPr>
      <w:tblGrid>
        <w:gridCol w:w="637"/>
        <w:gridCol w:w="4184"/>
        <w:gridCol w:w="1291"/>
        <w:gridCol w:w="1280"/>
        <w:gridCol w:w="1286"/>
        <w:gridCol w:w="1286"/>
      </w:tblGrid>
      <w:tr w:rsidR="00D13D03" w:rsidRPr="0078408E" w:rsidTr="004E316D">
        <w:trPr>
          <w:trHeight w:val="1095"/>
        </w:trPr>
        <w:tc>
          <w:tcPr>
            <w:tcW w:w="637" w:type="dxa"/>
          </w:tcPr>
          <w:p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Sl. No</w:t>
            </w:r>
          </w:p>
        </w:tc>
        <w:tc>
          <w:tcPr>
            <w:tcW w:w="4184" w:type="dxa"/>
          </w:tcPr>
          <w:p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Treatments</w:t>
            </w:r>
          </w:p>
        </w:tc>
        <w:tc>
          <w:tcPr>
            <w:tcW w:w="1291" w:type="dxa"/>
          </w:tcPr>
          <w:p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Phosphorus soil/ pot (15DAS)</w:t>
            </w:r>
          </w:p>
        </w:tc>
        <w:tc>
          <w:tcPr>
            <w:tcW w:w="1280" w:type="dxa"/>
          </w:tcPr>
          <w:p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Phosphorus soil/ pot (30DAS)</w:t>
            </w:r>
          </w:p>
        </w:tc>
        <w:tc>
          <w:tcPr>
            <w:tcW w:w="1286" w:type="dxa"/>
          </w:tcPr>
          <w:p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Phosphorus soil/ pot (45DAS)</w:t>
            </w:r>
          </w:p>
        </w:tc>
        <w:tc>
          <w:tcPr>
            <w:tcW w:w="1286" w:type="dxa"/>
          </w:tcPr>
          <w:p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Phosphorus soil/ pot (60DAS)</w:t>
            </w:r>
          </w:p>
        </w:tc>
      </w:tr>
      <w:tr w:rsidR="00D13D03" w:rsidRPr="0078408E" w:rsidTr="004E316D">
        <w:trPr>
          <w:trHeight w:val="295"/>
        </w:trPr>
        <w:tc>
          <w:tcPr>
            <w:tcW w:w="637"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1</w:t>
            </w:r>
          </w:p>
        </w:tc>
        <w:tc>
          <w:tcPr>
            <w:tcW w:w="4184"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T1-Control</w:t>
            </w:r>
          </w:p>
        </w:tc>
        <w:tc>
          <w:tcPr>
            <w:tcW w:w="1291"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20</w:t>
            </w:r>
          </w:p>
        </w:tc>
        <w:tc>
          <w:tcPr>
            <w:tcW w:w="128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1286"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8</w:t>
            </w:r>
          </w:p>
        </w:tc>
        <w:tc>
          <w:tcPr>
            <w:tcW w:w="1286"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r>
      <w:tr w:rsidR="00D13D03" w:rsidRPr="0078408E" w:rsidTr="004E316D">
        <w:trPr>
          <w:trHeight w:val="266"/>
        </w:trPr>
        <w:tc>
          <w:tcPr>
            <w:tcW w:w="637"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2</w:t>
            </w:r>
          </w:p>
        </w:tc>
        <w:tc>
          <w:tcPr>
            <w:tcW w:w="4184"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T2-Vermicompost@10ton/ha</w:t>
            </w:r>
          </w:p>
        </w:tc>
        <w:tc>
          <w:tcPr>
            <w:tcW w:w="1291"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31</w:t>
            </w:r>
          </w:p>
        </w:tc>
        <w:tc>
          <w:tcPr>
            <w:tcW w:w="128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c>
          <w:tcPr>
            <w:tcW w:w="1286"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12</w:t>
            </w:r>
          </w:p>
        </w:tc>
        <w:tc>
          <w:tcPr>
            <w:tcW w:w="1286"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r>
      <w:tr w:rsidR="00D13D03" w:rsidRPr="0078408E" w:rsidTr="004E316D">
        <w:trPr>
          <w:trHeight w:val="295"/>
        </w:trPr>
        <w:tc>
          <w:tcPr>
            <w:tcW w:w="637"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3</w:t>
            </w:r>
          </w:p>
        </w:tc>
        <w:tc>
          <w:tcPr>
            <w:tcW w:w="4184"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T3-Vermicompost@20ton/ha</w:t>
            </w:r>
          </w:p>
        </w:tc>
        <w:tc>
          <w:tcPr>
            <w:tcW w:w="1291"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32</w:t>
            </w:r>
          </w:p>
        </w:tc>
        <w:tc>
          <w:tcPr>
            <w:tcW w:w="128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20</w:t>
            </w:r>
          </w:p>
        </w:tc>
        <w:tc>
          <w:tcPr>
            <w:tcW w:w="1286"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18</w:t>
            </w:r>
          </w:p>
        </w:tc>
        <w:tc>
          <w:tcPr>
            <w:tcW w:w="1286"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r>
      <w:tr w:rsidR="00D13D03" w:rsidRPr="0078408E" w:rsidTr="004E316D">
        <w:trPr>
          <w:trHeight w:val="266"/>
        </w:trPr>
        <w:tc>
          <w:tcPr>
            <w:tcW w:w="637"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4</w:t>
            </w:r>
          </w:p>
        </w:tc>
        <w:tc>
          <w:tcPr>
            <w:tcW w:w="4184"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T4-Vermicompost@30ton/ha</w:t>
            </w:r>
          </w:p>
        </w:tc>
        <w:tc>
          <w:tcPr>
            <w:tcW w:w="1291"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31</w:t>
            </w:r>
          </w:p>
        </w:tc>
        <w:tc>
          <w:tcPr>
            <w:tcW w:w="128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30</w:t>
            </w:r>
          </w:p>
        </w:tc>
        <w:tc>
          <w:tcPr>
            <w:tcW w:w="1286"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25</w:t>
            </w:r>
          </w:p>
        </w:tc>
        <w:tc>
          <w:tcPr>
            <w:tcW w:w="1286"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20</w:t>
            </w:r>
          </w:p>
        </w:tc>
      </w:tr>
      <w:tr w:rsidR="00D13D03" w:rsidRPr="0078408E" w:rsidTr="004E316D">
        <w:trPr>
          <w:trHeight w:val="295"/>
        </w:trPr>
        <w:tc>
          <w:tcPr>
            <w:tcW w:w="637"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5</w:t>
            </w:r>
          </w:p>
        </w:tc>
        <w:tc>
          <w:tcPr>
            <w:tcW w:w="4184"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T5-Poultry manure@10ton/ha</w:t>
            </w:r>
          </w:p>
        </w:tc>
        <w:tc>
          <w:tcPr>
            <w:tcW w:w="1291"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38</w:t>
            </w:r>
          </w:p>
        </w:tc>
        <w:tc>
          <w:tcPr>
            <w:tcW w:w="128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25</w:t>
            </w:r>
          </w:p>
        </w:tc>
        <w:tc>
          <w:tcPr>
            <w:tcW w:w="1286"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22</w:t>
            </w:r>
          </w:p>
        </w:tc>
        <w:tc>
          <w:tcPr>
            <w:tcW w:w="1286"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20</w:t>
            </w:r>
          </w:p>
        </w:tc>
      </w:tr>
      <w:tr w:rsidR="00D13D03" w:rsidRPr="0078408E" w:rsidTr="004E316D">
        <w:trPr>
          <w:trHeight w:val="266"/>
        </w:trPr>
        <w:tc>
          <w:tcPr>
            <w:tcW w:w="637"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6</w:t>
            </w:r>
          </w:p>
        </w:tc>
        <w:tc>
          <w:tcPr>
            <w:tcW w:w="4184"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T6-Poultry manure@20ton/ha</w:t>
            </w:r>
          </w:p>
        </w:tc>
        <w:tc>
          <w:tcPr>
            <w:tcW w:w="1291"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60</w:t>
            </w:r>
          </w:p>
        </w:tc>
        <w:tc>
          <w:tcPr>
            <w:tcW w:w="128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28</w:t>
            </w:r>
          </w:p>
        </w:tc>
        <w:tc>
          <w:tcPr>
            <w:tcW w:w="1286"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24</w:t>
            </w:r>
          </w:p>
        </w:tc>
        <w:tc>
          <w:tcPr>
            <w:tcW w:w="1286"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20</w:t>
            </w:r>
          </w:p>
        </w:tc>
      </w:tr>
      <w:tr w:rsidR="00D13D03" w:rsidRPr="0078408E" w:rsidTr="004E316D">
        <w:trPr>
          <w:trHeight w:val="295"/>
        </w:trPr>
        <w:tc>
          <w:tcPr>
            <w:tcW w:w="637"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7</w:t>
            </w:r>
          </w:p>
        </w:tc>
        <w:tc>
          <w:tcPr>
            <w:tcW w:w="4184"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T7-Poultry manure@30ton/ha</w:t>
            </w:r>
          </w:p>
        </w:tc>
        <w:tc>
          <w:tcPr>
            <w:tcW w:w="1291"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c>
          <w:tcPr>
            <w:tcW w:w="1280" w:type="dxa"/>
            <w:tcBorders>
              <w:bottom w:val="single" w:sz="4" w:space="0" w:color="auto"/>
            </w:tcBorders>
          </w:tcPr>
          <w:p w:rsidR="00D13D03" w:rsidRPr="0078408E" w:rsidRDefault="00D13D03" w:rsidP="00BF5E92">
            <w:pPr>
              <w:jc w:val="center"/>
              <w:rPr>
                <w:rFonts w:ascii="Arial" w:hAnsi="Arial" w:cs="Arial"/>
                <w:sz w:val="20"/>
                <w:szCs w:val="20"/>
              </w:rPr>
            </w:pPr>
            <w:r w:rsidRPr="0078408E">
              <w:rPr>
                <w:rFonts w:ascii="Arial" w:hAnsi="Arial" w:cs="Arial"/>
                <w:sz w:val="20"/>
                <w:szCs w:val="20"/>
              </w:rPr>
              <w:t>60</w:t>
            </w:r>
          </w:p>
        </w:tc>
        <w:tc>
          <w:tcPr>
            <w:tcW w:w="1286"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50</w:t>
            </w:r>
          </w:p>
        </w:tc>
        <w:tc>
          <w:tcPr>
            <w:tcW w:w="1286"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35</w:t>
            </w:r>
          </w:p>
        </w:tc>
      </w:tr>
      <w:tr w:rsidR="00D13D03" w:rsidRPr="0078408E" w:rsidTr="004E316D">
        <w:trPr>
          <w:trHeight w:val="266"/>
        </w:trPr>
        <w:tc>
          <w:tcPr>
            <w:tcW w:w="637"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8</w:t>
            </w:r>
          </w:p>
        </w:tc>
        <w:tc>
          <w:tcPr>
            <w:tcW w:w="4184"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T8-Cow dung manure@10ton/ha</w:t>
            </w:r>
          </w:p>
        </w:tc>
        <w:tc>
          <w:tcPr>
            <w:tcW w:w="1291" w:type="dxa"/>
            <w:tcBorders>
              <w:right w:val="single" w:sz="4" w:space="0" w:color="auto"/>
            </w:tcBorders>
          </w:tcPr>
          <w:p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1280" w:type="dxa"/>
            <w:tcBorders>
              <w:top w:val="single" w:sz="4" w:space="0" w:color="auto"/>
              <w:left w:val="single" w:sz="4" w:space="0" w:color="auto"/>
              <w:bottom w:val="single" w:sz="4" w:space="0" w:color="auto"/>
              <w:right w:val="single" w:sz="4" w:space="0" w:color="auto"/>
            </w:tcBorders>
          </w:tcPr>
          <w:p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c>
          <w:tcPr>
            <w:tcW w:w="1286" w:type="dxa"/>
            <w:tcBorders>
              <w:left w:val="single" w:sz="4" w:space="0" w:color="auto"/>
            </w:tcBorders>
          </w:tcPr>
          <w:p w:rsidR="00D13D03" w:rsidRPr="0078408E" w:rsidRDefault="00D13D03" w:rsidP="00BF5E92">
            <w:pPr>
              <w:jc w:val="center"/>
              <w:rPr>
                <w:rFonts w:ascii="Arial" w:hAnsi="Arial" w:cs="Arial"/>
                <w:sz w:val="20"/>
                <w:szCs w:val="20"/>
              </w:rPr>
            </w:pPr>
            <w:r w:rsidRPr="0078408E">
              <w:rPr>
                <w:rFonts w:ascii="Arial" w:hAnsi="Arial" w:cs="Arial"/>
                <w:sz w:val="20"/>
                <w:szCs w:val="20"/>
              </w:rPr>
              <w:t>12</w:t>
            </w:r>
          </w:p>
        </w:tc>
        <w:tc>
          <w:tcPr>
            <w:tcW w:w="1286"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r>
      <w:tr w:rsidR="00D13D03" w:rsidRPr="0078408E" w:rsidTr="004E316D">
        <w:trPr>
          <w:trHeight w:val="295"/>
        </w:trPr>
        <w:tc>
          <w:tcPr>
            <w:tcW w:w="637"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9</w:t>
            </w:r>
          </w:p>
        </w:tc>
        <w:tc>
          <w:tcPr>
            <w:tcW w:w="4184" w:type="dxa"/>
          </w:tcPr>
          <w:p w:rsidR="00D13D03" w:rsidRPr="0078408E" w:rsidRDefault="00D13D03" w:rsidP="00D13D03">
            <w:pPr>
              <w:jc w:val="both"/>
              <w:rPr>
                <w:rFonts w:ascii="Arial" w:hAnsi="Arial" w:cs="Arial"/>
                <w:sz w:val="20"/>
                <w:szCs w:val="20"/>
              </w:rPr>
            </w:pPr>
            <w:r w:rsidRPr="0078408E">
              <w:rPr>
                <w:rFonts w:ascii="Arial" w:hAnsi="Arial" w:cs="Arial"/>
                <w:sz w:val="20"/>
                <w:szCs w:val="20"/>
              </w:rPr>
              <w:t>T9-Cow dung manure@20ton/ha</w:t>
            </w:r>
          </w:p>
        </w:tc>
        <w:tc>
          <w:tcPr>
            <w:tcW w:w="1291"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c>
          <w:tcPr>
            <w:tcW w:w="1280" w:type="dxa"/>
            <w:tcBorders>
              <w:top w:val="single" w:sz="4" w:space="0" w:color="auto"/>
            </w:tcBorders>
          </w:tcPr>
          <w:p w:rsidR="00D13D03" w:rsidRPr="0078408E" w:rsidRDefault="00D13D03" w:rsidP="00BF5E92">
            <w:pPr>
              <w:jc w:val="center"/>
              <w:rPr>
                <w:rFonts w:ascii="Arial" w:hAnsi="Arial" w:cs="Arial"/>
                <w:sz w:val="20"/>
                <w:szCs w:val="20"/>
              </w:rPr>
            </w:pPr>
            <w:r w:rsidRPr="0078408E">
              <w:rPr>
                <w:rFonts w:ascii="Arial" w:hAnsi="Arial" w:cs="Arial"/>
                <w:sz w:val="20"/>
                <w:szCs w:val="20"/>
              </w:rPr>
              <w:t>12</w:t>
            </w:r>
          </w:p>
        </w:tc>
        <w:tc>
          <w:tcPr>
            <w:tcW w:w="1286"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1286"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8</w:t>
            </w:r>
          </w:p>
        </w:tc>
      </w:tr>
      <w:tr w:rsidR="00D13D03" w:rsidRPr="0078408E" w:rsidTr="004E316D">
        <w:trPr>
          <w:trHeight w:val="266"/>
        </w:trPr>
        <w:tc>
          <w:tcPr>
            <w:tcW w:w="637" w:type="dxa"/>
            <w:tcBorders>
              <w:bottom w:val="single" w:sz="4" w:space="0" w:color="auto"/>
            </w:tcBorders>
          </w:tcPr>
          <w:p w:rsidR="00D13D03" w:rsidRPr="0078408E" w:rsidRDefault="00D13D03" w:rsidP="00D13D03">
            <w:pPr>
              <w:jc w:val="both"/>
              <w:rPr>
                <w:rFonts w:ascii="Arial" w:hAnsi="Arial" w:cs="Arial"/>
                <w:sz w:val="20"/>
                <w:szCs w:val="20"/>
              </w:rPr>
            </w:pPr>
            <w:r w:rsidRPr="0078408E">
              <w:rPr>
                <w:rFonts w:ascii="Arial" w:hAnsi="Arial" w:cs="Arial"/>
                <w:sz w:val="20"/>
                <w:szCs w:val="20"/>
              </w:rPr>
              <w:t>10</w:t>
            </w:r>
          </w:p>
        </w:tc>
        <w:tc>
          <w:tcPr>
            <w:tcW w:w="4184" w:type="dxa"/>
            <w:tcBorders>
              <w:bottom w:val="single" w:sz="4" w:space="0" w:color="auto"/>
            </w:tcBorders>
          </w:tcPr>
          <w:p w:rsidR="00D13D03" w:rsidRPr="0078408E" w:rsidRDefault="00D13D03" w:rsidP="00D13D03">
            <w:pPr>
              <w:jc w:val="both"/>
              <w:rPr>
                <w:rFonts w:ascii="Arial" w:hAnsi="Arial" w:cs="Arial"/>
                <w:sz w:val="20"/>
                <w:szCs w:val="20"/>
              </w:rPr>
            </w:pPr>
            <w:r w:rsidRPr="0078408E">
              <w:rPr>
                <w:rFonts w:ascii="Arial" w:hAnsi="Arial" w:cs="Arial"/>
                <w:sz w:val="20"/>
                <w:szCs w:val="20"/>
              </w:rPr>
              <w:t>T10-Cow dung manure@30ton/ha</w:t>
            </w:r>
          </w:p>
        </w:tc>
        <w:tc>
          <w:tcPr>
            <w:tcW w:w="1291"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1280"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1286"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8</w:t>
            </w:r>
          </w:p>
        </w:tc>
        <w:tc>
          <w:tcPr>
            <w:tcW w:w="1286" w:type="dxa"/>
          </w:tcPr>
          <w:p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r>
      <w:tr w:rsidR="00D13D03" w:rsidRPr="0078408E" w:rsidTr="004E316D">
        <w:trPr>
          <w:trHeight w:val="295"/>
        </w:trPr>
        <w:tc>
          <w:tcPr>
            <w:tcW w:w="637" w:type="dxa"/>
            <w:tcBorders>
              <w:top w:val="single" w:sz="4" w:space="0" w:color="auto"/>
              <w:left w:val="single" w:sz="4" w:space="0" w:color="auto"/>
              <w:bottom w:val="single" w:sz="4" w:space="0" w:color="auto"/>
              <w:right w:val="single" w:sz="4" w:space="0" w:color="auto"/>
            </w:tcBorders>
          </w:tcPr>
          <w:p w:rsidR="00D13D03" w:rsidRPr="0078408E" w:rsidRDefault="00D13D03" w:rsidP="00D13D03">
            <w:pPr>
              <w:jc w:val="both"/>
              <w:rPr>
                <w:rFonts w:ascii="Arial" w:hAnsi="Arial" w:cs="Arial"/>
                <w:sz w:val="20"/>
                <w:szCs w:val="20"/>
                <w:u w:val="single"/>
              </w:rPr>
            </w:pPr>
          </w:p>
        </w:tc>
        <w:tc>
          <w:tcPr>
            <w:tcW w:w="4184" w:type="dxa"/>
            <w:tcBorders>
              <w:top w:val="single" w:sz="4" w:space="0" w:color="auto"/>
              <w:left w:val="single" w:sz="4" w:space="0" w:color="auto"/>
              <w:bottom w:val="single" w:sz="4" w:space="0" w:color="auto"/>
              <w:right w:val="single" w:sz="4" w:space="0" w:color="auto"/>
            </w:tcBorders>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Mean</w:t>
            </w:r>
          </w:p>
        </w:tc>
        <w:tc>
          <w:tcPr>
            <w:tcW w:w="1291" w:type="dxa"/>
            <w:tcBorders>
              <w:left w:val="single" w:sz="4" w:space="0" w:color="auto"/>
            </w:tcBorders>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26.2</w:t>
            </w:r>
          </w:p>
        </w:tc>
        <w:tc>
          <w:tcPr>
            <w:tcW w:w="1280" w:type="dxa"/>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22.5</w:t>
            </w:r>
          </w:p>
        </w:tc>
        <w:tc>
          <w:tcPr>
            <w:tcW w:w="1286" w:type="dxa"/>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18.9</w:t>
            </w:r>
          </w:p>
        </w:tc>
        <w:tc>
          <w:tcPr>
            <w:tcW w:w="1286" w:type="dxa"/>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14.9</w:t>
            </w:r>
          </w:p>
        </w:tc>
      </w:tr>
      <w:tr w:rsidR="00D13D03" w:rsidRPr="0078408E" w:rsidTr="004E316D">
        <w:trPr>
          <w:trHeight w:val="295"/>
        </w:trPr>
        <w:tc>
          <w:tcPr>
            <w:tcW w:w="637" w:type="dxa"/>
            <w:tcBorders>
              <w:top w:val="single" w:sz="4" w:space="0" w:color="auto"/>
            </w:tcBorders>
          </w:tcPr>
          <w:p w:rsidR="00D13D03" w:rsidRPr="0078408E" w:rsidRDefault="00D13D03" w:rsidP="00D13D03">
            <w:pPr>
              <w:jc w:val="both"/>
              <w:rPr>
                <w:rFonts w:ascii="Arial" w:hAnsi="Arial" w:cs="Arial"/>
                <w:sz w:val="20"/>
                <w:szCs w:val="20"/>
                <w:u w:val="single"/>
              </w:rPr>
            </w:pPr>
          </w:p>
        </w:tc>
        <w:tc>
          <w:tcPr>
            <w:tcW w:w="4184" w:type="dxa"/>
            <w:tcBorders>
              <w:top w:val="single" w:sz="4" w:space="0" w:color="auto"/>
            </w:tcBorders>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C.D.</w:t>
            </w:r>
          </w:p>
        </w:tc>
        <w:tc>
          <w:tcPr>
            <w:tcW w:w="1291" w:type="dxa"/>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1.502</w:t>
            </w:r>
          </w:p>
        </w:tc>
        <w:tc>
          <w:tcPr>
            <w:tcW w:w="1280" w:type="dxa"/>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0.529</w:t>
            </w:r>
          </w:p>
        </w:tc>
        <w:tc>
          <w:tcPr>
            <w:tcW w:w="1286" w:type="dxa"/>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0.374</w:t>
            </w:r>
          </w:p>
        </w:tc>
        <w:tc>
          <w:tcPr>
            <w:tcW w:w="1286" w:type="dxa"/>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0.419</w:t>
            </w:r>
          </w:p>
        </w:tc>
      </w:tr>
      <w:tr w:rsidR="00D13D03" w:rsidRPr="0078408E" w:rsidTr="004E316D">
        <w:trPr>
          <w:trHeight w:val="266"/>
        </w:trPr>
        <w:tc>
          <w:tcPr>
            <w:tcW w:w="637" w:type="dxa"/>
          </w:tcPr>
          <w:p w:rsidR="00D13D03" w:rsidRPr="0078408E" w:rsidRDefault="00D13D03" w:rsidP="00D13D03">
            <w:pPr>
              <w:jc w:val="both"/>
              <w:rPr>
                <w:rFonts w:ascii="Arial" w:hAnsi="Arial" w:cs="Arial"/>
                <w:sz w:val="20"/>
                <w:szCs w:val="20"/>
                <w:u w:val="single"/>
              </w:rPr>
            </w:pPr>
          </w:p>
        </w:tc>
        <w:tc>
          <w:tcPr>
            <w:tcW w:w="4184" w:type="dxa"/>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SE (m)</w:t>
            </w:r>
          </w:p>
        </w:tc>
        <w:tc>
          <w:tcPr>
            <w:tcW w:w="1291" w:type="dxa"/>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0.471</w:t>
            </w:r>
          </w:p>
        </w:tc>
        <w:tc>
          <w:tcPr>
            <w:tcW w:w="1280" w:type="dxa"/>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0.166</w:t>
            </w:r>
          </w:p>
        </w:tc>
        <w:tc>
          <w:tcPr>
            <w:tcW w:w="1286" w:type="dxa"/>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0.117</w:t>
            </w:r>
          </w:p>
        </w:tc>
        <w:tc>
          <w:tcPr>
            <w:tcW w:w="1286" w:type="dxa"/>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0.131</w:t>
            </w:r>
          </w:p>
        </w:tc>
      </w:tr>
      <w:tr w:rsidR="00D13D03" w:rsidRPr="0078408E" w:rsidTr="004E316D">
        <w:trPr>
          <w:trHeight w:val="295"/>
        </w:trPr>
        <w:tc>
          <w:tcPr>
            <w:tcW w:w="637" w:type="dxa"/>
          </w:tcPr>
          <w:p w:rsidR="00D13D03" w:rsidRPr="0078408E" w:rsidRDefault="00D13D03" w:rsidP="00D13D03">
            <w:pPr>
              <w:jc w:val="both"/>
              <w:rPr>
                <w:rFonts w:ascii="Arial" w:hAnsi="Arial" w:cs="Arial"/>
                <w:sz w:val="20"/>
                <w:szCs w:val="20"/>
                <w:u w:val="single"/>
              </w:rPr>
            </w:pPr>
          </w:p>
        </w:tc>
        <w:tc>
          <w:tcPr>
            <w:tcW w:w="4184" w:type="dxa"/>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SE(d)</w:t>
            </w:r>
          </w:p>
        </w:tc>
        <w:tc>
          <w:tcPr>
            <w:tcW w:w="1291" w:type="dxa"/>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0.666</w:t>
            </w:r>
          </w:p>
        </w:tc>
        <w:tc>
          <w:tcPr>
            <w:tcW w:w="1280" w:type="dxa"/>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0.235</w:t>
            </w:r>
          </w:p>
        </w:tc>
        <w:tc>
          <w:tcPr>
            <w:tcW w:w="1286" w:type="dxa"/>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0.166</w:t>
            </w:r>
          </w:p>
        </w:tc>
        <w:tc>
          <w:tcPr>
            <w:tcW w:w="1286" w:type="dxa"/>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0.186</w:t>
            </w:r>
          </w:p>
        </w:tc>
      </w:tr>
      <w:tr w:rsidR="00D13D03" w:rsidRPr="0078408E" w:rsidTr="004E316D">
        <w:trPr>
          <w:trHeight w:val="266"/>
        </w:trPr>
        <w:tc>
          <w:tcPr>
            <w:tcW w:w="637" w:type="dxa"/>
          </w:tcPr>
          <w:p w:rsidR="00D13D03" w:rsidRPr="0078408E" w:rsidRDefault="00D13D03" w:rsidP="00D13D03">
            <w:pPr>
              <w:jc w:val="both"/>
              <w:rPr>
                <w:rFonts w:ascii="Arial" w:hAnsi="Arial" w:cs="Arial"/>
                <w:sz w:val="20"/>
                <w:szCs w:val="20"/>
                <w:u w:val="single"/>
              </w:rPr>
            </w:pPr>
          </w:p>
        </w:tc>
        <w:tc>
          <w:tcPr>
            <w:tcW w:w="4184" w:type="dxa"/>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C.V.</w:t>
            </w:r>
          </w:p>
        </w:tc>
        <w:tc>
          <w:tcPr>
            <w:tcW w:w="1291" w:type="dxa"/>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2.656</w:t>
            </w:r>
          </w:p>
        </w:tc>
        <w:tc>
          <w:tcPr>
            <w:tcW w:w="1280" w:type="dxa"/>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1.034</w:t>
            </w:r>
          </w:p>
        </w:tc>
        <w:tc>
          <w:tcPr>
            <w:tcW w:w="1286" w:type="dxa"/>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0.867</w:t>
            </w:r>
          </w:p>
        </w:tc>
        <w:tc>
          <w:tcPr>
            <w:tcW w:w="1286" w:type="dxa"/>
          </w:tcPr>
          <w:p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1.237</w:t>
            </w:r>
          </w:p>
        </w:tc>
      </w:tr>
    </w:tbl>
    <w:p w:rsidR="00E15FE3" w:rsidRPr="0078408E" w:rsidRDefault="00802856" w:rsidP="00802856">
      <w:pPr>
        <w:jc w:val="both"/>
        <w:rPr>
          <w:rFonts w:ascii="Arial" w:eastAsia="Times New Roman" w:hAnsi="Arial" w:cs="Arial"/>
          <w:b/>
          <w:sz w:val="20"/>
          <w:szCs w:val="24"/>
          <w:lang w:val="en-IN" w:eastAsia="en-IN"/>
        </w:rPr>
      </w:pPr>
      <w:r w:rsidRPr="0078408E">
        <w:rPr>
          <w:rFonts w:ascii="Arial" w:eastAsia="Times New Roman" w:hAnsi="Arial" w:cs="Arial"/>
          <w:b/>
          <w:bCs/>
          <w:sz w:val="20"/>
          <w:szCs w:val="24"/>
        </w:rPr>
        <w:t xml:space="preserve">Figure 1 Impact of </w:t>
      </w:r>
      <w:r w:rsidRPr="0078408E">
        <w:rPr>
          <w:rFonts w:ascii="Arial" w:hAnsi="Arial" w:cs="Arial"/>
          <w:b/>
          <w:sz w:val="20"/>
          <w:szCs w:val="24"/>
        </w:rPr>
        <w:t>Organic matters</w:t>
      </w:r>
      <w:r w:rsidRPr="0078408E">
        <w:rPr>
          <w:rFonts w:ascii="Arial" w:eastAsia="Times New Roman" w:hAnsi="Arial" w:cs="Arial"/>
          <w:b/>
          <w:bCs/>
          <w:sz w:val="20"/>
          <w:szCs w:val="24"/>
        </w:rPr>
        <w:t xml:space="preserve"> on total plant growth in cm of Black gram during</w:t>
      </w:r>
      <w:r w:rsidRPr="0078408E">
        <w:rPr>
          <w:rFonts w:ascii="Arial" w:eastAsia="Times New Roman" w:hAnsi="Arial" w:cs="Arial"/>
          <w:b/>
          <w:sz w:val="20"/>
          <w:szCs w:val="24"/>
          <w:lang w:val="en-IN" w:eastAsia="en-IN"/>
        </w:rPr>
        <w:t xml:space="preserve"> various development stages</w:t>
      </w:r>
    </w:p>
    <w:p w:rsidR="00091212" w:rsidRDefault="00A834DB" w:rsidP="004E316D">
      <w:pPr>
        <w:tabs>
          <w:tab w:val="left" w:pos="1134"/>
        </w:tabs>
        <w:jc w:val="both"/>
        <w:rPr>
          <w:rFonts w:ascii="Arial" w:eastAsia="Times New Roman" w:hAnsi="Arial" w:cs="Arial"/>
          <w:b/>
          <w:bCs/>
          <w:sz w:val="20"/>
          <w:szCs w:val="24"/>
        </w:rPr>
      </w:pPr>
      <w:r w:rsidRPr="004E4327">
        <w:rPr>
          <w:rFonts w:ascii="Times New Roman" w:hAnsi="Times New Roman" w:cs="Times New Roman"/>
          <w:noProof/>
        </w:rPr>
        <w:lastRenderedPageBreak/>
        <w:drawing>
          <wp:inline distT="0" distB="0" distL="0" distR="0">
            <wp:extent cx="5606716" cy="2839453"/>
            <wp:effectExtent l="0" t="0" r="13335" b="18415"/>
            <wp:docPr id="6" name="Chart 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03092E6-3BB0-4828-96BF-F1C9314F4E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834DB" w:rsidRPr="00751BE7" w:rsidRDefault="00091212" w:rsidP="004E316D">
      <w:pPr>
        <w:tabs>
          <w:tab w:val="left" w:pos="1134"/>
        </w:tabs>
        <w:jc w:val="both"/>
        <w:rPr>
          <w:rFonts w:ascii="Arial" w:hAnsi="Arial" w:cs="Arial"/>
          <w:color w:val="000000"/>
          <w:sz w:val="20"/>
          <w:szCs w:val="24"/>
        </w:rPr>
      </w:pPr>
      <w:r w:rsidRPr="004E4327">
        <w:rPr>
          <w:rFonts w:ascii="Times New Roman" w:hAnsi="Times New Roman" w:cs="Times New Roman"/>
          <w:noProof/>
          <w:sz w:val="24"/>
        </w:rPr>
        <w:drawing>
          <wp:anchor distT="0" distB="0" distL="114300" distR="114300" simplePos="0" relativeHeight="251663872" behindDoc="0" locked="0" layoutInCell="1" allowOverlap="1">
            <wp:simplePos x="0" y="0"/>
            <wp:positionH relativeFrom="column">
              <wp:posOffset>0</wp:posOffset>
            </wp:positionH>
            <wp:positionV relativeFrom="paragraph">
              <wp:posOffset>506095</wp:posOffset>
            </wp:positionV>
            <wp:extent cx="5926455" cy="2887345"/>
            <wp:effectExtent l="0" t="0" r="17145" b="8255"/>
            <wp:wrapTopAndBottom/>
            <wp:docPr id="51" name="Chart 5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792080E-86DA-45BB-ACA8-040B9255E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A834DB" w:rsidRPr="00751BE7">
        <w:rPr>
          <w:rFonts w:ascii="Arial" w:eastAsia="Times New Roman" w:hAnsi="Arial" w:cs="Arial"/>
          <w:b/>
          <w:bCs/>
          <w:sz w:val="20"/>
          <w:szCs w:val="24"/>
        </w:rPr>
        <w:t xml:space="preserve">Figure 2 Impact of </w:t>
      </w:r>
      <w:r w:rsidR="00A834DB" w:rsidRPr="00751BE7">
        <w:rPr>
          <w:rFonts w:ascii="Arial" w:hAnsi="Arial" w:cs="Arial"/>
          <w:b/>
          <w:sz w:val="20"/>
          <w:szCs w:val="24"/>
        </w:rPr>
        <w:t>Organic matters</w:t>
      </w:r>
      <w:r w:rsidR="00A834DB" w:rsidRPr="00751BE7">
        <w:rPr>
          <w:rFonts w:ascii="Arial" w:eastAsia="Times New Roman" w:hAnsi="Arial" w:cs="Arial"/>
          <w:b/>
          <w:bCs/>
          <w:sz w:val="20"/>
          <w:szCs w:val="24"/>
        </w:rPr>
        <w:t xml:space="preserve"> on total amount of leaves of Black gram at various growth stage</w:t>
      </w:r>
    </w:p>
    <w:p w:rsidR="009E27A8" w:rsidRPr="00AB4665" w:rsidRDefault="009E27A8" w:rsidP="00091212">
      <w:pPr>
        <w:spacing w:after="120"/>
        <w:jc w:val="both"/>
        <w:rPr>
          <w:rFonts w:ascii="Times New Roman" w:hAnsi="Times New Roman" w:cs="Times New Roman"/>
          <w:sz w:val="24"/>
          <w:szCs w:val="24"/>
        </w:rPr>
      </w:pPr>
    </w:p>
    <w:p w:rsidR="00D13D03" w:rsidRDefault="00A834DB" w:rsidP="00751BE7">
      <w:pPr>
        <w:jc w:val="both"/>
        <w:rPr>
          <w:rFonts w:ascii="Arial" w:eastAsia="Times New Roman" w:hAnsi="Arial" w:cs="Arial"/>
          <w:b/>
          <w:bCs/>
          <w:sz w:val="20"/>
          <w:szCs w:val="20"/>
        </w:rPr>
      </w:pPr>
      <w:r w:rsidRPr="00751BE7">
        <w:rPr>
          <w:rFonts w:ascii="Arial" w:eastAsia="Times New Roman" w:hAnsi="Arial" w:cs="Arial"/>
          <w:b/>
          <w:bCs/>
          <w:sz w:val="20"/>
          <w:szCs w:val="20"/>
        </w:rPr>
        <w:t xml:space="preserve">Figure 3 Effect of </w:t>
      </w:r>
      <w:r w:rsidRPr="00751BE7">
        <w:rPr>
          <w:rFonts w:ascii="Arial" w:hAnsi="Arial" w:cs="Arial"/>
          <w:b/>
          <w:sz w:val="20"/>
          <w:szCs w:val="20"/>
        </w:rPr>
        <w:t>Organic matters</w:t>
      </w:r>
      <w:r w:rsidRPr="00751BE7">
        <w:rPr>
          <w:rFonts w:ascii="Arial" w:eastAsia="Times New Roman" w:hAnsi="Arial" w:cs="Arial"/>
          <w:b/>
          <w:bCs/>
          <w:sz w:val="20"/>
          <w:szCs w:val="20"/>
        </w:rPr>
        <w:t xml:space="preserve"> on Number of nodules of Black gram at different growth stages</w:t>
      </w:r>
    </w:p>
    <w:p w:rsidR="00091212" w:rsidRDefault="00091212" w:rsidP="00751BE7">
      <w:pPr>
        <w:jc w:val="both"/>
        <w:rPr>
          <w:rFonts w:ascii="Arial" w:eastAsia="Times New Roman" w:hAnsi="Arial" w:cs="Arial"/>
          <w:b/>
          <w:bCs/>
          <w:sz w:val="20"/>
          <w:szCs w:val="20"/>
        </w:rPr>
      </w:pPr>
    </w:p>
    <w:p w:rsidR="00091212" w:rsidRPr="00751BE7" w:rsidRDefault="00091212" w:rsidP="00751BE7">
      <w:pPr>
        <w:jc w:val="both"/>
        <w:rPr>
          <w:rFonts w:ascii="Arial" w:eastAsia="Times New Roman" w:hAnsi="Arial" w:cs="Arial"/>
          <w:b/>
          <w:bCs/>
          <w:sz w:val="20"/>
          <w:szCs w:val="20"/>
        </w:rPr>
      </w:pPr>
      <w:r w:rsidRPr="00751BE7">
        <w:rPr>
          <w:rFonts w:ascii="Arial" w:hAnsi="Arial" w:cs="Arial"/>
          <w:noProof/>
          <w:sz w:val="20"/>
          <w:szCs w:val="20"/>
        </w:rPr>
        <w:lastRenderedPageBreak/>
        <w:drawing>
          <wp:anchor distT="0" distB="0" distL="114300" distR="114300" simplePos="0" relativeHeight="251661824" behindDoc="0" locked="0" layoutInCell="1" allowOverlap="1">
            <wp:simplePos x="0" y="0"/>
            <wp:positionH relativeFrom="column">
              <wp:posOffset>0</wp:posOffset>
            </wp:positionH>
            <wp:positionV relativeFrom="paragraph">
              <wp:posOffset>395605</wp:posOffset>
            </wp:positionV>
            <wp:extent cx="5462270" cy="3101340"/>
            <wp:effectExtent l="0" t="0" r="5080" b="3810"/>
            <wp:wrapTopAndBottom/>
            <wp:docPr id="2" name="Chart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AEBDC02-0235-47EB-9E2D-540CEEDF47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091212" w:rsidRDefault="00091212" w:rsidP="00A834DB">
      <w:pPr>
        <w:jc w:val="both"/>
        <w:rPr>
          <w:rFonts w:ascii="Arial" w:eastAsia="Times New Roman" w:hAnsi="Arial" w:cs="Arial"/>
          <w:b/>
          <w:bCs/>
          <w:sz w:val="20"/>
          <w:szCs w:val="20"/>
        </w:rPr>
      </w:pPr>
    </w:p>
    <w:p w:rsidR="00A834DB" w:rsidRPr="00751BE7" w:rsidRDefault="00A834DB" w:rsidP="00A834DB">
      <w:pPr>
        <w:jc w:val="both"/>
        <w:rPr>
          <w:rFonts w:ascii="Arial" w:hAnsi="Arial" w:cs="Arial"/>
          <w:b/>
          <w:sz w:val="20"/>
          <w:szCs w:val="20"/>
        </w:rPr>
      </w:pPr>
      <w:r w:rsidRPr="00751BE7">
        <w:rPr>
          <w:rFonts w:ascii="Arial" w:eastAsia="Times New Roman" w:hAnsi="Arial" w:cs="Arial"/>
          <w:b/>
          <w:bCs/>
          <w:sz w:val="20"/>
          <w:szCs w:val="20"/>
        </w:rPr>
        <w:t xml:space="preserve">Figure 4Effect of </w:t>
      </w:r>
      <w:r w:rsidRPr="00751BE7">
        <w:rPr>
          <w:rFonts w:ascii="Arial" w:hAnsi="Arial" w:cs="Arial"/>
          <w:b/>
          <w:sz w:val="20"/>
          <w:szCs w:val="20"/>
        </w:rPr>
        <w:t>Organic matters</w:t>
      </w:r>
      <w:r w:rsidRPr="00751BE7">
        <w:rPr>
          <w:rFonts w:ascii="Arial" w:eastAsia="Times New Roman" w:hAnsi="Arial" w:cs="Arial"/>
          <w:b/>
          <w:bCs/>
          <w:sz w:val="20"/>
          <w:szCs w:val="20"/>
        </w:rPr>
        <w:t xml:space="preserve"> on </w:t>
      </w:r>
      <w:r w:rsidRPr="00751BE7">
        <w:rPr>
          <w:rFonts w:ascii="Arial" w:hAnsi="Arial" w:cs="Arial"/>
          <w:b/>
          <w:sz w:val="20"/>
          <w:szCs w:val="20"/>
        </w:rPr>
        <w:t>Phosphorus level in soil</w:t>
      </w:r>
      <w:r w:rsidRPr="00751BE7">
        <w:rPr>
          <w:rFonts w:ascii="Arial" w:eastAsia="Times New Roman" w:hAnsi="Arial" w:cs="Arial"/>
          <w:b/>
          <w:bCs/>
          <w:sz w:val="20"/>
          <w:szCs w:val="20"/>
        </w:rPr>
        <w:t xml:space="preserve">    of Black gram at different growth stages</w:t>
      </w:r>
    </w:p>
    <w:p w:rsidR="00010573" w:rsidRPr="00751BE7" w:rsidRDefault="002C1077" w:rsidP="00584E04">
      <w:pPr>
        <w:ind w:left="720"/>
        <w:rPr>
          <w:rFonts w:ascii="Arial" w:hAnsi="Arial" w:cs="Arial"/>
          <w:sz w:val="20"/>
          <w:szCs w:val="20"/>
        </w:rPr>
      </w:pPr>
      <w:r w:rsidRPr="004E4327">
        <w:rPr>
          <w:rFonts w:ascii="Times New Roman" w:eastAsia="Times New Roman" w:hAnsi="Times New Roman" w:cs="Times New Roman"/>
          <w:noProof/>
          <w:color w:val="000000"/>
          <w:sz w:val="24"/>
          <w:szCs w:val="24"/>
        </w:rPr>
        <w:lastRenderedPageBreak/>
        <w:drawing>
          <wp:anchor distT="0" distB="0" distL="114300" distR="114300" simplePos="0" relativeHeight="251654144" behindDoc="1" locked="0" layoutInCell="1" allowOverlap="1">
            <wp:simplePos x="0" y="0"/>
            <wp:positionH relativeFrom="margin">
              <wp:posOffset>1054735</wp:posOffset>
            </wp:positionH>
            <wp:positionV relativeFrom="paragraph">
              <wp:posOffset>2386987</wp:posOffset>
            </wp:positionV>
            <wp:extent cx="3413125" cy="240411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5-04-13 at 11.46.40 AM.jpe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13125" cy="2404110"/>
                    </a:xfrm>
                    <a:prstGeom prst="rect">
                      <a:avLst/>
                    </a:prstGeom>
                  </pic:spPr>
                </pic:pic>
              </a:graphicData>
            </a:graphic>
          </wp:anchor>
        </w:drawing>
      </w:r>
      <w:r w:rsidRPr="00091212">
        <w:rPr>
          <w:rFonts w:ascii="Arial" w:eastAsia="Times New Roman" w:hAnsi="Arial" w:cs="Arial"/>
          <w:noProof/>
          <w:color w:val="000000"/>
          <w:sz w:val="20"/>
          <w:szCs w:val="20"/>
        </w:rPr>
        <w:drawing>
          <wp:anchor distT="0" distB="0" distL="114300" distR="114300" simplePos="0" relativeHeight="251651584" behindDoc="1" locked="0" layoutInCell="1" allowOverlap="1">
            <wp:simplePos x="0" y="0"/>
            <wp:positionH relativeFrom="margin">
              <wp:posOffset>1039495</wp:posOffset>
            </wp:positionH>
            <wp:positionV relativeFrom="paragraph">
              <wp:posOffset>-425209</wp:posOffset>
            </wp:positionV>
            <wp:extent cx="3429000" cy="247840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04-13 at 11.46.39 AM.jpe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29000" cy="2478405"/>
                    </a:xfrm>
                    <a:prstGeom prst="rect">
                      <a:avLst/>
                    </a:prstGeom>
                  </pic:spPr>
                </pic:pic>
              </a:graphicData>
            </a:graphic>
          </wp:anchor>
        </w:drawing>
      </w:r>
      <w:r w:rsidR="001335CB" w:rsidRPr="00751BE7">
        <w:rPr>
          <w:rFonts w:ascii="Arial" w:eastAsia="Times New Roman" w:hAnsi="Arial" w:cs="Arial"/>
          <w:b/>
          <w:bCs/>
          <w:sz w:val="20"/>
          <w:szCs w:val="20"/>
        </w:rPr>
        <w:t>Figure 5</w:t>
      </w:r>
      <w:r w:rsidR="00157FC5" w:rsidRPr="00751BE7">
        <w:rPr>
          <w:rFonts w:ascii="Arial" w:hAnsi="Arial" w:cs="Arial"/>
          <w:b/>
          <w:sz w:val="20"/>
          <w:szCs w:val="20"/>
        </w:rPr>
        <w:t xml:space="preserve"> Experimental setup of potted plants in field</w:t>
      </w:r>
    </w:p>
    <w:p w:rsidR="00584E04" w:rsidRPr="00751BE7" w:rsidRDefault="002C1077" w:rsidP="00584E04">
      <w:pPr>
        <w:rPr>
          <w:rFonts w:ascii="Arial" w:hAnsi="Arial" w:cs="Arial"/>
          <w:b/>
          <w:sz w:val="20"/>
          <w:szCs w:val="20"/>
        </w:rPr>
      </w:pPr>
      <w:r w:rsidRPr="00751BE7">
        <w:rPr>
          <w:rFonts w:ascii="Arial" w:eastAsia="Times New Roman" w:hAnsi="Arial" w:cs="Arial"/>
          <w:noProof/>
          <w:color w:val="000000"/>
          <w:sz w:val="20"/>
          <w:szCs w:val="20"/>
        </w:rPr>
        <w:drawing>
          <wp:anchor distT="0" distB="0" distL="114300" distR="114300" simplePos="0" relativeHeight="251653632" behindDoc="1" locked="0" layoutInCell="1" allowOverlap="1">
            <wp:simplePos x="0" y="0"/>
            <wp:positionH relativeFrom="margin">
              <wp:posOffset>909320</wp:posOffset>
            </wp:positionH>
            <wp:positionV relativeFrom="paragraph">
              <wp:posOffset>2834005</wp:posOffset>
            </wp:positionV>
            <wp:extent cx="3412490" cy="2084705"/>
            <wp:effectExtent l="0" t="0" r="0" b="0"/>
            <wp:wrapTight wrapText="bothSides">
              <wp:wrapPolygon edited="0">
                <wp:start x="0" y="0"/>
                <wp:lineTo x="0" y="21317"/>
                <wp:lineTo x="21463" y="21317"/>
                <wp:lineTo x="214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5-04-13 at 11.46.43 AM.jpe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12490" cy="2084705"/>
                    </a:xfrm>
                    <a:prstGeom prst="rect">
                      <a:avLst/>
                    </a:prstGeom>
                  </pic:spPr>
                </pic:pic>
              </a:graphicData>
            </a:graphic>
          </wp:anchor>
        </w:drawing>
      </w:r>
      <w:r w:rsidR="00584E04" w:rsidRPr="00751BE7">
        <w:rPr>
          <w:rFonts w:ascii="Arial" w:eastAsia="Times New Roman" w:hAnsi="Arial" w:cs="Arial"/>
          <w:b/>
          <w:bCs/>
          <w:sz w:val="20"/>
          <w:szCs w:val="20"/>
        </w:rPr>
        <w:t>Figure 6</w:t>
      </w:r>
      <w:r w:rsidR="00584E04" w:rsidRPr="00751BE7">
        <w:rPr>
          <w:rFonts w:ascii="Arial" w:hAnsi="Arial" w:cs="Arial"/>
          <w:b/>
          <w:sz w:val="20"/>
          <w:szCs w:val="20"/>
        </w:rPr>
        <w:t xml:space="preserve"> Watering in the pots</w:t>
      </w:r>
    </w:p>
    <w:p w:rsidR="00751BE7" w:rsidRPr="00584E04" w:rsidRDefault="00751BE7" w:rsidP="00584E04"/>
    <w:p w:rsidR="00157FC5" w:rsidRDefault="00157FC5" w:rsidP="00584E04">
      <w:pPr>
        <w:tabs>
          <w:tab w:val="left" w:pos="2880"/>
        </w:tabs>
        <w:ind w:firstLine="720"/>
      </w:pPr>
    </w:p>
    <w:p w:rsidR="00157FC5" w:rsidRDefault="00157FC5" w:rsidP="00010573">
      <w:pPr>
        <w:ind w:firstLine="720"/>
      </w:pPr>
    </w:p>
    <w:p w:rsidR="00157FC5" w:rsidRPr="002B773C" w:rsidRDefault="00157FC5" w:rsidP="00010573">
      <w:pPr>
        <w:ind w:firstLine="720"/>
        <w:rPr>
          <w:rFonts w:ascii="Times New Roman" w:hAnsi="Times New Roman" w:cs="Times New Roman"/>
        </w:rPr>
      </w:pPr>
    </w:p>
    <w:p w:rsidR="00584E04" w:rsidRDefault="00584E04" w:rsidP="00010573">
      <w:pPr>
        <w:ind w:firstLine="720"/>
      </w:pPr>
    </w:p>
    <w:p w:rsidR="00584E04" w:rsidRPr="00584E04" w:rsidRDefault="00584E04" w:rsidP="00584E04"/>
    <w:p w:rsidR="00584E04" w:rsidRPr="00584E04" w:rsidRDefault="00584E04" w:rsidP="00584E04"/>
    <w:p w:rsidR="002C1077" w:rsidRDefault="002C1077" w:rsidP="00833C1C">
      <w:pPr>
        <w:ind w:left="1440" w:firstLine="720"/>
        <w:rPr>
          <w:rFonts w:ascii="Times New Roman" w:eastAsia="Times New Roman" w:hAnsi="Times New Roman" w:cs="Times New Roman"/>
          <w:b/>
          <w:bCs/>
          <w:sz w:val="24"/>
          <w:szCs w:val="24"/>
        </w:rPr>
      </w:pPr>
    </w:p>
    <w:p w:rsidR="00833C1C" w:rsidRPr="00751BE7" w:rsidRDefault="00584E04" w:rsidP="00833C1C">
      <w:pPr>
        <w:ind w:left="1440" w:firstLine="720"/>
        <w:rPr>
          <w:rFonts w:ascii="Arial" w:hAnsi="Arial" w:cs="Arial"/>
          <w:sz w:val="20"/>
          <w:szCs w:val="20"/>
        </w:rPr>
      </w:pPr>
      <w:r w:rsidRPr="00751BE7">
        <w:rPr>
          <w:rFonts w:ascii="Arial" w:eastAsia="Times New Roman" w:hAnsi="Arial" w:cs="Arial"/>
          <w:b/>
          <w:bCs/>
          <w:sz w:val="20"/>
          <w:szCs w:val="20"/>
        </w:rPr>
        <w:t>Figure 7</w:t>
      </w:r>
      <w:r w:rsidRPr="00751BE7">
        <w:rPr>
          <w:rFonts w:ascii="Arial" w:hAnsi="Arial" w:cs="Arial"/>
          <w:b/>
          <w:sz w:val="20"/>
          <w:szCs w:val="20"/>
        </w:rPr>
        <w:t xml:space="preserve"> Measurement of plant height</w:t>
      </w:r>
    </w:p>
    <w:p w:rsidR="00157FC5" w:rsidRPr="00751BE7" w:rsidRDefault="002C1077" w:rsidP="00833C1C">
      <w:pPr>
        <w:rPr>
          <w:rFonts w:ascii="Arial" w:hAnsi="Arial" w:cs="Arial"/>
          <w:sz w:val="20"/>
          <w:szCs w:val="20"/>
        </w:rPr>
      </w:pPr>
      <w:r w:rsidRPr="004E4327">
        <w:rPr>
          <w:rFonts w:ascii="Times New Roman" w:eastAsia="Times New Roman" w:hAnsi="Times New Roman" w:cs="Times New Roman"/>
          <w:noProof/>
          <w:color w:val="000000"/>
          <w:sz w:val="24"/>
          <w:szCs w:val="24"/>
        </w:rPr>
        <w:lastRenderedPageBreak/>
        <w:drawing>
          <wp:anchor distT="0" distB="0" distL="114300" distR="114300" simplePos="0" relativeHeight="251658240" behindDoc="1" locked="0" layoutInCell="1" allowOverlap="1">
            <wp:simplePos x="0" y="0"/>
            <wp:positionH relativeFrom="margin">
              <wp:posOffset>1418503</wp:posOffset>
            </wp:positionH>
            <wp:positionV relativeFrom="paragraph">
              <wp:posOffset>-819150</wp:posOffset>
            </wp:positionV>
            <wp:extent cx="2742565" cy="1815465"/>
            <wp:effectExtent l="0" t="0" r="63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5-04-13 at 11.46.47 AM.jpe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2565" cy="1815465"/>
                    </a:xfrm>
                    <a:prstGeom prst="rect">
                      <a:avLst/>
                    </a:prstGeom>
                  </pic:spPr>
                </pic:pic>
              </a:graphicData>
            </a:graphic>
          </wp:anchor>
        </w:drawing>
      </w:r>
      <w:r w:rsidRPr="004E4327">
        <w:rPr>
          <w:rFonts w:ascii="Times New Roman" w:eastAsia="Times New Roman" w:hAnsi="Times New Roman" w:cs="Times New Roman"/>
          <w:noProof/>
          <w:color w:val="000000"/>
          <w:sz w:val="24"/>
          <w:szCs w:val="24"/>
        </w:rPr>
        <w:drawing>
          <wp:anchor distT="0" distB="0" distL="114300" distR="114300" simplePos="0" relativeHeight="251659264" behindDoc="1" locked="0" layoutInCell="1" allowOverlap="1">
            <wp:simplePos x="0" y="0"/>
            <wp:positionH relativeFrom="margin">
              <wp:posOffset>1469390</wp:posOffset>
            </wp:positionH>
            <wp:positionV relativeFrom="paragraph">
              <wp:posOffset>1268095</wp:posOffset>
            </wp:positionV>
            <wp:extent cx="2774315" cy="1757680"/>
            <wp:effectExtent l="0" t="0" r="6985" b="0"/>
            <wp:wrapTight wrapText="bothSides">
              <wp:wrapPolygon edited="0">
                <wp:start x="0" y="0"/>
                <wp:lineTo x="0" y="21303"/>
                <wp:lineTo x="21506" y="21303"/>
                <wp:lineTo x="2150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5-04-13 at 12.31.43 PM.jpe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74315" cy="1757680"/>
                    </a:xfrm>
                    <a:prstGeom prst="rect">
                      <a:avLst/>
                    </a:prstGeom>
                  </pic:spPr>
                </pic:pic>
              </a:graphicData>
            </a:graphic>
          </wp:anchor>
        </w:drawing>
      </w:r>
      <w:r w:rsidR="001335CB" w:rsidRPr="00751BE7">
        <w:rPr>
          <w:rFonts w:ascii="Arial" w:eastAsia="Times New Roman" w:hAnsi="Arial" w:cs="Arial"/>
          <w:b/>
          <w:bCs/>
          <w:sz w:val="20"/>
          <w:szCs w:val="20"/>
        </w:rPr>
        <w:t xml:space="preserve">Figure 8 </w:t>
      </w:r>
      <w:r w:rsidR="00157FC5" w:rsidRPr="00751BE7">
        <w:rPr>
          <w:rFonts w:ascii="Arial" w:hAnsi="Arial" w:cs="Arial"/>
          <w:b/>
          <w:sz w:val="20"/>
          <w:szCs w:val="20"/>
        </w:rPr>
        <w:t>Observing potted plant after 30 DAS</w:t>
      </w:r>
    </w:p>
    <w:p w:rsidR="00157FC5" w:rsidRPr="00157FC5" w:rsidRDefault="00157FC5" w:rsidP="00157FC5"/>
    <w:p w:rsidR="00157FC5" w:rsidRPr="00157FC5" w:rsidRDefault="00157FC5" w:rsidP="00157FC5"/>
    <w:p w:rsidR="00157FC5" w:rsidRPr="00157FC5" w:rsidRDefault="00157FC5" w:rsidP="00157FC5"/>
    <w:p w:rsidR="00157FC5" w:rsidRPr="00157FC5" w:rsidRDefault="00157FC5" w:rsidP="00157FC5"/>
    <w:p w:rsidR="00157FC5" w:rsidRDefault="00157FC5" w:rsidP="00157FC5"/>
    <w:p w:rsidR="002C1077" w:rsidRDefault="002C1077" w:rsidP="00833C1C">
      <w:pPr>
        <w:jc w:val="both"/>
      </w:pPr>
    </w:p>
    <w:p w:rsidR="00157FC5" w:rsidRPr="00751BE7" w:rsidRDefault="001335CB" w:rsidP="00833C1C">
      <w:pPr>
        <w:jc w:val="both"/>
        <w:rPr>
          <w:rFonts w:ascii="Arial" w:hAnsi="Arial" w:cs="Arial"/>
          <w:sz w:val="20"/>
          <w:szCs w:val="20"/>
        </w:rPr>
      </w:pPr>
      <w:r w:rsidRPr="00751BE7">
        <w:rPr>
          <w:rFonts w:ascii="Arial" w:eastAsia="Times New Roman" w:hAnsi="Arial" w:cs="Arial"/>
          <w:b/>
          <w:bCs/>
          <w:sz w:val="20"/>
          <w:szCs w:val="20"/>
        </w:rPr>
        <w:t xml:space="preserve">Figure9 </w:t>
      </w:r>
      <w:r w:rsidR="00157FC5" w:rsidRPr="00751BE7">
        <w:rPr>
          <w:rFonts w:ascii="Arial" w:hAnsi="Arial" w:cs="Arial"/>
          <w:b/>
          <w:sz w:val="20"/>
          <w:szCs w:val="20"/>
        </w:rPr>
        <w:t>Estimation phosphorus in red soil</w:t>
      </w:r>
    </w:p>
    <w:p w:rsidR="00157FC5" w:rsidRPr="00157FC5" w:rsidRDefault="002C1077" w:rsidP="00157FC5">
      <w:r w:rsidRPr="004E4327">
        <w:rPr>
          <w:rFonts w:ascii="Times New Roman" w:hAnsi="Times New Roman" w:cs="Times New Roman"/>
          <w:b/>
          <w:noProof/>
          <w:sz w:val="40"/>
          <w:szCs w:val="40"/>
        </w:rPr>
        <w:drawing>
          <wp:anchor distT="0" distB="0" distL="114300" distR="114300" simplePos="0" relativeHeight="251660288" behindDoc="1" locked="0" layoutInCell="1" allowOverlap="1">
            <wp:simplePos x="0" y="0"/>
            <wp:positionH relativeFrom="margin">
              <wp:posOffset>1385264</wp:posOffset>
            </wp:positionH>
            <wp:positionV relativeFrom="paragraph">
              <wp:posOffset>147057</wp:posOffset>
            </wp:positionV>
            <wp:extent cx="2774315" cy="1725930"/>
            <wp:effectExtent l="0" t="0" r="6985" b="7620"/>
            <wp:wrapTight wrapText="bothSides">
              <wp:wrapPolygon edited="0">
                <wp:start x="0" y="0"/>
                <wp:lineTo x="0" y="21457"/>
                <wp:lineTo x="21506" y="21457"/>
                <wp:lineTo x="2150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5-04-13 at 12.48.34 PM (1).jpe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74315" cy="1725930"/>
                    </a:xfrm>
                    <a:prstGeom prst="rect">
                      <a:avLst/>
                    </a:prstGeom>
                  </pic:spPr>
                </pic:pic>
              </a:graphicData>
            </a:graphic>
          </wp:anchor>
        </w:drawing>
      </w:r>
    </w:p>
    <w:p w:rsidR="00157FC5" w:rsidRPr="00157FC5" w:rsidRDefault="00157FC5" w:rsidP="00157FC5"/>
    <w:p w:rsidR="00157FC5" w:rsidRDefault="00157FC5" w:rsidP="00157FC5"/>
    <w:p w:rsidR="00157FC5" w:rsidRDefault="00157FC5" w:rsidP="00157FC5">
      <w:pPr>
        <w:ind w:firstLine="720"/>
      </w:pPr>
    </w:p>
    <w:p w:rsidR="00833C1C" w:rsidRDefault="00833C1C" w:rsidP="00833C1C">
      <w:pPr>
        <w:ind w:left="1440" w:firstLine="720"/>
        <w:jc w:val="both"/>
        <w:rPr>
          <w:rFonts w:ascii="Times New Roman" w:eastAsia="Times New Roman" w:hAnsi="Times New Roman" w:cs="Times New Roman"/>
          <w:b/>
          <w:bCs/>
          <w:sz w:val="24"/>
          <w:szCs w:val="24"/>
        </w:rPr>
      </w:pPr>
    </w:p>
    <w:p w:rsidR="002C1077" w:rsidRDefault="002C1077" w:rsidP="00833C1C">
      <w:pPr>
        <w:jc w:val="both"/>
        <w:rPr>
          <w:rFonts w:ascii="Times New Roman" w:eastAsia="Times New Roman" w:hAnsi="Times New Roman" w:cs="Times New Roman"/>
          <w:b/>
          <w:bCs/>
          <w:sz w:val="24"/>
          <w:szCs w:val="24"/>
        </w:rPr>
      </w:pPr>
    </w:p>
    <w:p w:rsidR="00833C1C" w:rsidRPr="00751BE7" w:rsidRDefault="00833C1C" w:rsidP="00833C1C">
      <w:pPr>
        <w:jc w:val="both"/>
        <w:rPr>
          <w:rFonts w:ascii="Arial" w:hAnsi="Arial" w:cs="Arial"/>
          <w:b/>
          <w:sz w:val="20"/>
          <w:szCs w:val="20"/>
        </w:rPr>
      </w:pPr>
      <w:r w:rsidRPr="00751BE7">
        <w:rPr>
          <w:rFonts w:ascii="Arial" w:eastAsia="Times New Roman" w:hAnsi="Arial" w:cs="Arial"/>
          <w:b/>
          <w:bCs/>
          <w:sz w:val="20"/>
          <w:szCs w:val="20"/>
        </w:rPr>
        <w:t>Figure 10</w:t>
      </w:r>
      <w:r w:rsidRPr="00751BE7">
        <w:rPr>
          <w:rFonts w:ascii="Arial" w:hAnsi="Arial" w:cs="Arial"/>
          <w:b/>
          <w:sz w:val="20"/>
          <w:szCs w:val="20"/>
        </w:rPr>
        <w:t xml:space="preserve"> Estimation Nitrogen in red soil</w:t>
      </w:r>
    </w:p>
    <w:p w:rsidR="00821997" w:rsidRDefault="002C1077" w:rsidP="00157FC5">
      <w:pPr>
        <w:tabs>
          <w:tab w:val="left" w:pos="2020"/>
        </w:tabs>
      </w:pPr>
      <w:r w:rsidRPr="004E4327">
        <w:rPr>
          <w:rFonts w:ascii="Times New Roman" w:eastAsia="Times New Roman" w:hAnsi="Times New Roman" w:cs="Times New Roman"/>
          <w:noProof/>
          <w:color w:val="000000"/>
          <w:sz w:val="24"/>
          <w:szCs w:val="24"/>
        </w:rPr>
        <w:drawing>
          <wp:anchor distT="0" distB="0" distL="114300" distR="114300" simplePos="0" relativeHeight="251662336" behindDoc="0" locked="0" layoutInCell="1" allowOverlap="1">
            <wp:simplePos x="0" y="0"/>
            <wp:positionH relativeFrom="page">
              <wp:posOffset>2332355</wp:posOffset>
            </wp:positionH>
            <wp:positionV relativeFrom="paragraph">
              <wp:posOffset>84411</wp:posOffset>
            </wp:positionV>
            <wp:extent cx="2742784" cy="1794122"/>
            <wp:effectExtent l="0" t="0" r="63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5-04-13 at 1.03.35 PM.jpeg"/>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2784" cy="1794122"/>
                    </a:xfrm>
                    <a:prstGeom prst="rect">
                      <a:avLst/>
                    </a:prstGeom>
                  </pic:spPr>
                </pic:pic>
              </a:graphicData>
            </a:graphic>
          </wp:anchor>
        </w:drawing>
      </w:r>
    </w:p>
    <w:p w:rsidR="00821997" w:rsidRPr="00821997" w:rsidRDefault="00821997" w:rsidP="00821997"/>
    <w:p w:rsidR="00821997" w:rsidRPr="00821997" w:rsidRDefault="00821997" w:rsidP="00821997"/>
    <w:p w:rsidR="00821997" w:rsidRPr="00821997" w:rsidRDefault="00821997" w:rsidP="00821997"/>
    <w:p w:rsidR="00821997" w:rsidRDefault="00821997" w:rsidP="00821997"/>
    <w:p w:rsidR="002C1077" w:rsidRDefault="002C1077" w:rsidP="00FA72CC">
      <w:pPr>
        <w:jc w:val="both"/>
        <w:rPr>
          <w:rFonts w:ascii="Times New Roman" w:eastAsia="Times New Roman" w:hAnsi="Times New Roman" w:cs="Times New Roman"/>
          <w:b/>
          <w:bCs/>
          <w:sz w:val="24"/>
          <w:szCs w:val="24"/>
        </w:rPr>
      </w:pPr>
    </w:p>
    <w:p w:rsidR="00157FC5" w:rsidRPr="00751BE7" w:rsidRDefault="00FA72CC" w:rsidP="00FA72CC">
      <w:pPr>
        <w:jc w:val="both"/>
        <w:rPr>
          <w:rFonts w:ascii="Arial" w:hAnsi="Arial" w:cs="Arial"/>
          <w:sz w:val="20"/>
          <w:szCs w:val="20"/>
        </w:rPr>
      </w:pPr>
      <w:r w:rsidRPr="00751BE7">
        <w:rPr>
          <w:rFonts w:ascii="Arial" w:eastAsia="Times New Roman" w:hAnsi="Arial" w:cs="Arial"/>
          <w:b/>
          <w:bCs/>
          <w:sz w:val="20"/>
          <w:szCs w:val="20"/>
        </w:rPr>
        <w:t>Figure 11</w:t>
      </w:r>
      <w:r w:rsidR="00821997" w:rsidRPr="00751BE7">
        <w:rPr>
          <w:rFonts w:ascii="Arial" w:hAnsi="Arial" w:cs="Arial"/>
          <w:b/>
          <w:sz w:val="20"/>
          <w:szCs w:val="20"/>
        </w:rPr>
        <w:t>Estimation Potassium in red soil</w:t>
      </w:r>
    </w:p>
    <w:sectPr w:rsidR="00157FC5" w:rsidRPr="00751BE7" w:rsidSect="00A46D7F">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7A2A" w:rsidRDefault="00D57A2A" w:rsidP="00D13D03">
      <w:pPr>
        <w:spacing w:after="0" w:line="240" w:lineRule="auto"/>
      </w:pPr>
      <w:r>
        <w:separator/>
      </w:r>
    </w:p>
  </w:endnote>
  <w:endnote w:type="continuationSeparator" w:id="1">
    <w:p w:rsidR="00D57A2A" w:rsidRDefault="00D57A2A" w:rsidP="00D13D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46C" w:rsidRDefault="00D3246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46C" w:rsidRDefault="00D3246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46C" w:rsidRDefault="00D324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7A2A" w:rsidRDefault="00D57A2A" w:rsidP="00D13D03">
      <w:pPr>
        <w:spacing w:after="0" w:line="240" w:lineRule="auto"/>
      </w:pPr>
      <w:r>
        <w:separator/>
      </w:r>
    </w:p>
  </w:footnote>
  <w:footnote w:type="continuationSeparator" w:id="1">
    <w:p w:rsidR="00D57A2A" w:rsidRDefault="00D57A2A" w:rsidP="00D13D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46C" w:rsidRDefault="00D324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4735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46C" w:rsidRDefault="00D324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4735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46C" w:rsidRDefault="00D324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4735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C0600"/>
    <w:multiLevelType w:val="hybridMultilevel"/>
    <w:tmpl w:val="FD9E61D8"/>
    <w:lvl w:ilvl="0" w:tplc="E09AF036">
      <w:start w:val="1"/>
      <w:numFmt w:val="decimal"/>
      <w:lvlText w:val="%1."/>
      <w:lvlJc w:val="left"/>
      <w:pPr>
        <w:ind w:left="180" w:hanging="360"/>
      </w:pPr>
      <w:rPr>
        <w:rFonts w:hint="default"/>
      </w:rPr>
    </w:lvl>
    <w:lvl w:ilvl="1" w:tplc="40090019" w:tentative="1">
      <w:start w:val="1"/>
      <w:numFmt w:val="lowerLetter"/>
      <w:lvlText w:val="%2."/>
      <w:lvlJc w:val="left"/>
      <w:pPr>
        <w:ind w:left="900" w:hanging="360"/>
      </w:pPr>
    </w:lvl>
    <w:lvl w:ilvl="2" w:tplc="4009001B" w:tentative="1">
      <w:start w:val="1"/>
      <w:numFmt w:val="lowerRoman"/>
      <w:lvlText w:val="%3."/>
      <w:lvlJc w:val="right"/>
      <w:pPr>
        <w:ind w:left="1620" w:hanging="180"/>
      </w:pPr>
    </w:lvl>
    <w:lvl w:ilvl="3" w:tplc="4009000F" w:tentative="1">
      <w:start w:val="1"/>
      <w:numFmt w:val="decimal"/>
      <w:lvlText w:val="%4."/>
      <w:lvlJc w:val="left"/>
      <w:pPr>
        <w:ind w:left="2340" w:hanging="360"/>
      </w:pPr>
    </w:lvl>
    <w:lvl w:ilvl="4" w:tplc="40090019" w:tentative="1">
      <w:start w:val="1"/>
      <w:numFmt w:val="lowerLetter"/>
      <w:lvlText w:val="%5."/>
      <w:lvlJc w:val="left"/>
      <w:pPr>
        <w:ind w:left="3060" w:hanging="360"/>
      </w:pPr>
    </w:lvl>
    <w:lvl w:ilvl="5" w:tplc="4009001B" w:tentative="1">
      <w:start w:val="1"/>
      <w:numFmt w:val="lowerRoman"/>
      <w:lvlText w:val="%6."/>
      <w:lvlJc w:val="right"/>
      <w:pPr>
        <w:ind w:left="3780" w:hanging="180"/>
      </w:pPr>
    </w:lvl>
    <w:lvl w:ilvl="6" w:tplc="4009000F" w:tentative="1">
      <w:start w:val="1"/>
      <w:numFmt w:val="decimal"/>
      <w:lvlText w:val="%7."/>
      <w:lvlJc w:val="left"/>
      <w:pPr>
        <w:ind w:left="4500" w:hanging="360"/>
      </w:pPr>
    </w:lvl>
    <w:lvl w:ilvl="7" w:tplc="40090019" w:tentative="1">
      <w:start w:val="1"/>
      <w:numFmt w:val="lowerLetter"/>
      <w:lvlText w:val="%8."/>
      <w:lvlJc w:val="left"/>
      <w:pPr>
        <w:ind w:left="5220" w:hanging="360"/>
      </w:pPr>
    </w:lvl>
    <w:lvl w:ilvl="8" w:tplc="4009001B" w:tentative="1">
      <w:start w:val="1"/>
      <w:numFmt w:val="lowerRoman"/>
      <w:lvlText w:val="%9."/>
      <w:lvlJc w:val="right"/>
      <w:pPr>
        <w:ind w:left="5940" w:hanging="180"/>
      </w:pPr>
    </w:lvl>
  </w:abstractNum>
  <w:abstractNum w:abstractNumId="1">
    <w:nsid w:val="1E443FE2"/>
    <w:multiLevelType w:val="hybridMultilevel"/>
    <w:tmpl w:val="119CCC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2BA607E"/>
    <w:multiLevelType w:val="hybridMultilevel"/>
    <w:tmpl w:val="BFC2E8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2E313E9"/>
    <w:multiLevelType w:val="hybridMultilevel"/>
    <w:tmpl w:val="0412636E"/>
    <w:lvl w:ilvl="0" w:tplc="E7589A1E">
      <w:start w:val="1"/>
      <w:numFmt w:val="decimal"/>
      <w:lvlText w:val="%1."/>
      <w:lvlJc w:val="left"/>
      <w:pPr>
        <w:ind w:left="180" w:hanging="360"/>
      </w:pPr>
      <w:rPr>
        <w:rFonts w:hint="default"/>
        <w:b/>
        <w:i w:val="0"/>
      </w:rPr>
    </w:lvl>
    <w:lvl w:ilvl="1" w:tplc="40090019" w:tentative="1">
      <w:start w:val="1"/>
      <w:numFmt w:val="lowerLetter"/>
      <w:lvlText w:val="%2."/>
      <w:lvlJc w:val="left"/>
      <w:pPr>
        <w:ind w:left="900" w:hanging="360"/>
      </w:pPr>
    </w:lvl>
    <w:lvl w:ilvl="2" w:tplc="4009001B" w:tentative="1">
      <w:start w:val="1"/>
      <w:numFmt w:val="lowerRoman"/>
      <w:lvlText w:val="%3."/>
      <w:lvlJc w:val="right"/>
      <w:pPr>
        <w:ind w:left="1620" w:hanging="180"/>
      </w:pPr>
    </w:lvl>
    <w:lvl w:ilvl="3" w:tplc="4009000F" w:tentative="1">
      <w:start w:val="1"/>
      <w:numFmt w:val="decimal"/>
      <w:lvlText w:val="%4."/>
      <w:lvlJc w:val="left"/>
      <w:pPr>
        <w:ind w:left="2340" w:hanging="360"/>
      </w:pPr>
    </w:lvl>
    <w:lvl w:ilvl="4" w:tplc="40090019" w:tentative="1">
      <w:start w:val="1"/>
      <w:numFmt w:val="lowerLetter"/>
      <w:lvlText w:val="%5."/>
      <w:lvlJc w:val="left"/>
      <w:pPr>
        <w:ind w:left="3060" w:hanging="360"/>
      </w:pPr>
    </w:lvl>
    <w:lvl w:ilvl="5" w:tplc="4009001B" w:tentative="1">
      <w:start w:val="1"/>
      <w:numFmt w:val="lowerRoman"/>
      <w:lvlText w:val="%6."/>
      <w:lvlJc w:val="right"/>
      <w:pPr>
        <w:ind w:left="3780" w:hanging="180"/>
      </w:pPr>
    </w:lvl>
    <w:lvl w:ilvl="6" w:tplc="4009000F" w:tentative="1">
      <w:start w:val="1"/>
      <w:numFmt w:val="decimal"/>
      <w:lvlText w:val="%7."/>
      <w:lvlJc w:val="left"/>
      <w:pPr>
        <w:ind w:left="4500" w:hanging="360"/>
      </w:pPr>
    </w:lvl>
    <w:lvl w:ilvl="7" w:tplc="40090019" w:tentative="1">
      <w:start w:val="1"/>
      <w:numFmt w:val="lowerLetter"/>
      <w:lvlText w:val="%8."/>
      <w:lvlJc w:val="left"/>
      <w:pPr>
        <w:ind w:left="5220" w:hanging="360"/>
      </w:pPr>
    </w:lvl>
    <w:lvl w:ilvl="8" w:tplc="4009001B" w:tentative="1">
      <w:start w:val="1"/>
      <w:numFmt w:val="lowerRoman"/>
      <w:lvlText w:val="%9."/>
      <w:lvlJc w:val="right"/>
      <w:pPr>
        <w:ind w:left="5940" w:hanging="180"/>
      </w:pPr>
    </w:lvl>
  </w:abstractNum>
  <w:abstractNum w:abstractNumId="4">
    <w:nsid w:val="2610699A"/>
    <w:multiLevelType w:val="hybridMultilevel"/>
    <w:tmpl w:val="FDB2557C"/>
    <w:lvl w:ilvl="0" w:tplc="12ACBAA0">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010573"/>
    <w:rsid w:val="00010573"/>
    <w:rsid w:val="000376B0"/>
    <w:rsid w:val="00080156"/>
    <w:rsid w:val="00091212"/>
    <w:rsid w:val="000A38F7"/>
    <w:rsid w:val="000D6E22"/>
    <w:rsid w:val="00113EAE"/>
    <w:rsid w:val="001335CB"/>
    <w:rsid w:val="00154E9C"/>
    <w:rsid w:val="00157FC5"/>
    <w:rsid w:val="00161140"/>
    <w:rsid w:val="001633B8"/>
    <w:rsid w:val="00163696"/>
    <w:rsid w:val="001B30A5"/>
    <w:rsid w:val="001D3B69"/>
    <w:rsid w:val="001E398E"/>
    <w:rsid w:val="001E3B62"/>
    <w:rsid w:val="002B773C"/>
    <w:rsid w:val="002C1077"/>
    <w:rsid w:val="002C4B25"/>
    <w:rsid w:val="002E35E0"/>
    <w:rsid w:val="002F4D3B"/>
    <w:rsid w:val="00302E27"/>
    <w:rsid w:val="003225A1"/>
    <w:rsid w:val="0034352C"/>
    <w:rsid w:val="003608A9"/>
    <w:rsid w:val="0036563D"/>
    <w:rsid w:val="0038640D"/>
    <w:rsid w:val="00397E1A"/>
    <w:rsid w:val="003E3E73"/>
    <w:rsid w:val="003E7E64"/>
    <w:rsid w:val="00402A0C"/>
    <w:rsid w:val="00445EA4"/>
    <w:rsid w:val="004E316D"/>
    <w:rsid w:val="004E3CA6"/>
    <w:rsid w:val="00534824"/>
    <w:rsid w:val="00583C1D"/>
    <w:rsid w:val="00584E04"/>
    <w:rsid w:val="005F5C45"/>
    <w:rsid w:val="00605A8B"/>
    <w:rsid w:val="00621114"/>
    <w:rsid w:val="006B2C70"/>
    <w:rsid w:val="006B4CE1"/>
    <w:rsid w:val="006C6AEF"/>
    <w:rsid w:val="006E6A3D"/>
    <w:rsid w:val="007022CA"/>
    <w:rsid w:val="00743A77"/>
    <w:rsid w:val="00751BE7"/>
    <w:rsid w:val="0078408E"/>
    <w:rsid w:val="00796932"/>
    <w:rsid w:val="007F087A"/>
    <w:rsid w:val="00802856"/>
    <w:rsid w:val="008103F1"/>
    <w:rsid w:val="00821997"/>
    <w:rsid w:val="00833C1C"/>
    <w:rsid w:val="008515D2"/>
    <w:rsid w:val="00852974"/>
    <w:rsid w:val="008B0149"/>
    <w:rsid w:val="008C0EE7"/>
    <w:rsid w:val="008D0648"/>
    <w:rsid w:val="008E297B"/>
    <w:rsid w:val="00905799"/>
    <w:rsid w:val="00915B6D"/>
    <w:rsid w:val="00962C12"/>
    <w:rsid w:val="00967033"/>
    <w:rsid w:val="00967FD7"/>
    <w:rsid w:val="009754C7"/>
    <w:rsid w:val="009A0E4C"/>
    <w:rsid w:val="009E27A8"/>
    <w:rsid w:val="009F7487"/>
    <w:rsid w:val="00A07CEC"/>
    <w:rsid w:val="00A46D7F"/>
    <w:rsid w:val="00A834DB"/>
    <w:rsid w:val="00AA1CA5"/>
    <w:rsid w:val="00B16ABA"/>
    <w:rsid w:val="00B2454B"/>
    <w:rsid w:val="00B876E1"/>
    <w:rsid w:val="00B90D93"/>
    <w:rsid w:val="00BC00A3"/>
    <w:rsid w:val="00BD7CC0"/>
    <w:rsid w:val="00BF5E92"/>
    <w:rsid w:val="00C230E3"/>
    <w:rsid w:val="00C35658"/>
    <w:rsid w:val="00C526BD"/>
    <w:rsid w:val="00C60F45"/>
    <w:rsid w:val="00CA1606"/>
    <w:rsid w:val="00CC56F4"/>
    <w:rsid w:val="00CD01C3"/>
    <w:rsid w:val="00D02F8E"/>
    <w:rsid w:val="00D13D03"/>
    <w:rsid w:val="00D3246C"/>
    <w:rsid w:val="00D404AB"/>
    <w:rsid w:val="00D57A2A"/>
    <w:rsid w:val="00DF0F47"/>
    <w:rsid w:val="00E15FE3"/>
    <w:rsid w:val="00E23583"/>
    <w:rsid w:val="00E37EF9"/>
    <w:rsid w:val="00E71312"/>
    <w:rsid w:val="00E908BD"/>
    <w:rsid w:val="00EC4AE6"/>
    <w:rsid w:val="00EE28BD"/>
    <w:rsid w:val="00F06B77"/>
    <w:rsid w:val="00F155C1"/>
    <w:rsid w:val="00F27DE9"/>
    <w:rsid w:val="00F40B3B"/>
    <w:rsid w:val="00F44692"/>
    <w:rsid w:val="00F519A1"/>
    <w:rsid w:val="00FA13D0"/>
    <w:rsid w:val="00FA72CC"/>
    <w:rsid w:val="00FB4BC7"/>
    <w:rsid w:val="00FD6F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57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5A8B"/>
    <w:pPr>
      <w:ind w:left="720"/>
      <w:contextualSpacing/>
    </w:pPr>
  </w:style>
  <w:style w:type="paragraph" w:styleId="NormalWeb">
    <w:name w:val="Normal (Web)"/>
    <w:basedOn w:val="Normal"/>
    <w:uiPriority w:val="99"/>
    <w:semiHidden/>
    <w:unhideWhenUsed/>
    <w:rsid w:val="001E3B6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1E3B62"/>
    <w:rPr>
      <w:b/>
      <w:bCs/>
    </w:rPr>
  </w:style>
  <w:style w:type="character" w:styleId="PlaceholderText">
    <w:name w:val="Placeholder Text"/>
    <w:basedOn w:val="DefaultParagraphFont"/>
    <w:uiPriority w:val="99"/>
    <w:semiHidden/>
    <w:rsid w:val="00D13D03"/>
    <w:rPr>
      <w:color w:val="808080"/>
    </w:rPr>
  </w:style>
  <w:style w:type="table" w:styleId="TableGrid">
    <w:name w:val="Table Grid"/>
    <w:basedOn w:val="TableNormal"/>
    <w:uiPriority w:val="39"/>
    <w:rsid w:val="00D13D03"/>
    <w:pPr>
      <w:spacing w:after="0" w:line="240" w:lineRule="auto"/>
    </w:pPr>
    <w:rPr>
      <w:kern w:val="2"/>
      <w:sz w:val="24"/>
      <w:szCs w:val="24"/>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13D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3D03"/>
  </w:style>
  <w:style w:type="paragraph" w:styleId="Footer">
    <w:name w:val="footer"/>
    <w:basedOn w:val="Normal"/>
    <w:link w:val="FooterChar"/>
    <w:uiPriority w:val="99"/>
    <w:unhideWhenUsed/>
    <w:rsid w:val="00D13D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D03"/>
  </w:style>
  <w:style w:type="paragraph" w:styleId="BalloonText">
    <w:name w:val="Balloon Text"/>
    <w:basedOn w:val="Normal"/>
    <w:link w:val="BalloonTextChar"/>
    <w:uiPriority w:val="99"/>
    <w:semiHidden/>
    <w:unhideWhenUsed/>
    <w:rsid w:val="004E3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CA6"/>
    <w:rPr>
      <w:rFonts w:ascii="Tahoma" w:hAnsi="Tahoma" w:cs="Tahoma"/>
      <w:sz w:val="16"/>
      <w:szCs w:val="16"/>
    </w:rPr>
  </w:style>
  <w:style w:type="character" w:styleId="Hyperlink">
    <w:name w:val="Hyperlink"/>
    <w:basedOn w:val="DefaultParagraphFont"/>
    <w:uiPriority w:val="99"/>
    <w:unhideWhenUsed/>
    <w:rsid w:val="004E3CA6"/>
    <w:rPr>
      <w:color w:val="0000FF" w:themeColor="hyperlink"/>
      <w:u w:val="single"/>
    </w:rPr>
  </w:style>
  <w:style w:type="character" w:customStyle="1" w:styleId="UnresolvedMention">
    <w:name w:val="Unresolved Mention"/>
    <w:basedOn w:val="DefaultParagraphFont"/>
    <w:uiPriority w:val="99"/>
    <w:semiHidden/>
    <w:unhideWhenUsed/>
    <w:rsid w:val="009F748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1872645">
      <w:bodyDiv w:val="1"/>
      <w:marLeft w:val="0"/>
      <w:marRight w:val="0"/>
      <w:marTop w:val="0"/>
      <w:marBottom w:val="0"/>
      <w:divBdr>
        <w:top w:val="none" w:sz="0" w:space="0" w:color="auto"/>
        <w:left w:val="none" w:sz="0" w:space="0" w:color="auto"/>
        <w:bottom w:val="none" w:sz="0" w:space="0" w:color="auto"/>
        <w:right w:val="none" w:sz="0" w:space="0" w:color="auto"/>
      </w:divBdr>
    </w:div>
    <w:div w:id="404382214">
      <w:bodyDiv w:val="1"/>
      <w:marLeft w:val="0"/>
      <w:marRight w:val="0"/>
      <w:marTop w:val="0"/>
      <w:marBottom w:val="0"/>
      <w:divBdr>
        <w:top w:val="none" w:sz="0" w:space="0" w:color="auto"/>
        <w:left w:val="none" w:sz="0" w:space="0" w:color="auto"/>
        <w:bottom w:val="none" w:sz="0" w:space="0" w:color="auto"/>
        <w:right w:val="none" w:sz="0" w:space="0" w:color="auto"/>
      </w:divBdr>
    </w:div>
    <w:div w:id="678316952">
      <w:bodyDiv w:val="1"/>
      <w:marLeft w:val="0"/>
      <w:marRight w:val="0"/>
      <w:marTop w:val="0"/>
      <w:marBottom w:val="0"/>
      <w:divBdr>
        <w:top w:val="none" w:sz="0" w:space="0" w:color="auto"/>
        <w:left w:val="none" w:sz="0" w:space="0" w:color="auto"/>
        <w:bottom w:val="none" w:sz="0" w:space="0" w:color="auto"/>
        <w:right w:val="none" w:sz="0" w:space="0" w:color="auto"/>
      </w:divBdr>
    </w:div>
    <w:div w:id="974455497">
      <w:bodyDiv w:val="1"/>
      <w:marLeft w:val="0"/>
      <w:marRight w:val="0"/>
      <w:marTop w:val="0"/>
      <w:marBottom w:val="0"/>
      <w:divBdr>
        <w:top w:val="none" w:sz="0" w:space="0" w:color="auto"/>
        <w:left w:val="none" w:sz="0" w:space="0" w:color="auto"/>
        <w:bottom w:val="none" w:sz="0" w:space="0" w:color="auto"/>
        <w:right w:val="none" w:sz="0" w:space="0" w:color="auto"/>
      </w:divBdr>
    </w:div>
    <w:div w:id="978190825">
      <w:bodyDiv w:val="1"/>
      <w:marLeft w:val="0"/>
      <w:marRight w:val="0"/>
      <w:marTop w:val="0"/>
      <w:marBottom w:val="0"/>
      <w:divBdr>
        <w:top w:val="none" w:sz="0" w:space="0" w:color="auto"/>
        <w:left w:val="none" w:sz="0" w:space="0" w:color="auto"/>
        <w:bottom w:val="none" w:sz="0" w:space="0" w:color="auto"/>
        <w:right w:val="none" w:sz="0" w:space="0" w:color="auto"/>
      </w:divBdr>
      <w:divsChild>
        <w:div w:id="1672488140">
          <w:marLeft w:val="480"/>
          <w:marRight w:val="0"/>
          <w:marTop w:val="0"/>
          <w:marBottom w:val="0"/>
          <w:divBdr>
            <w:top w:val="none" w:sz="0" w:space="0" w:color="auto"/>
            <w:left w:val="none" w:sz="0" w:space="0" w:color="auto"/>
            <w:bottom w:val="none" w:sz="0" w:space="0" w:color="auto"/>
            <w:right w:val="none" w:sz="0" w:space="0" w:color="auto"/>
          </w:divBdr>
        </w:div>
        <w:div w:id="756486492">
          <w:marLeft w:val="480"/>
          <w:marRight w:val="0"/>
          <w:marTop w:val="0"/>
          <w:marBottom w:val="0"/>
          <w:divBdr>
            <w:top w:val="none" w:sz="0" w:space="0" w:color="auto"/>
            <w:left w:val="none" w:sz="0" w:space="0" w:color="auto"/>
            <w:bottom w:val="none" w:sz="0" w:space="0" w:color="auto"/>
            <w:right w:val="none" w:sz="0" w:space="0" w:color="auto"/>
          </w:divBdr>
        </w:div>
        <w:div w:id="32078689">
          <w:marLeft w:val="480"/>
          <w:marRight w:val="0"/>
          <w:marTop w:val="0"/>
          <w:marBottom w:val="0"/>
          <w:divBdr>
            <w:top w:val="none" w:sz="0" w:space="0" w:color="auto"/>
            <w:left w:val="none" w:sz="0" w:space="0" w:color="auto"/>
            <w:bottom w:val="none" w:sz="0" w:space="0" w:color="auto"/>
            <w:right w:val="none" w:sz="0" w:space="0" w:color="auto"/>
          </w:divBdr>
        </w:div>
        <w:div w:id="1633904910">
          <w:marLeft w:val="480"/>
          <w:marRight w:val="0"/>
          <w:marTop w:val="0"/>
          <w:marBottom w:val="0"/>
          <w:divBdr>
            <w:top w:val="none" w:sz="0" w:space="0" w:color="auto"/>
            <w:left w:val="none" w:sz="0" w:space="0" w:color="auto"/>
            <w:bottom w:val="none" w:sz="0" w:space="0" w:color="auto"/>
            <w:right w:val="none" w:sz="0" w:space="0" w:color="auto"/>
          </w:divBdr>
        </w:div>
        <w:div w:id="1610891030">
          <w:marLeft w:val="480"/>
          <w:marRight w:val="0"/>
          <w:marTop w:val="0"/>
          <w:marBottom w:val="0"/>
          <w:divBdr>
            <w:top w:val="none" w:sz="0" w:space="0" w:color="auto"/>
            <w:left w:val="none" w:sz="0" w:space="0" w:color="auto"/>
            <w:bottom w:val="none" w:sz="0" w:space="0" w:color="auto"/>
            <w:right w:val="none" w:sz="0" w:space="0" w:color="auto"/>
          </w:divBdr>
        </w:div>
        <w:div w:id="1463768251">
          <w:marLeft w:val="480"/>
          <w:marRight w:val="0"/>
          <w:marTop w:val="0"/>
          <w:marBottom w:val="0"/>
          <w:divBdr>
            <w:top w:val="none" w:sz="0" w:space="0" w:color="auto"/>
            <w:left w:val="none" w:sz="0" w:space="0" w:color="auto"/>
            <w:bottom w:val="none" w:sz="0" w:space="0" w:color="auto"/>
            <w:right w:val="none" w:sz="0" w:space="0" w:color="auto"/>
          </w:divBdr>
        </w:div>
        <w:div w:id="983044829">
          <w:marLeft w:val="480"/>
          <w:marRight w:val="0"/>
          <w:marTop w:val="0"/>
          <w:marBottom w:val="0"/>
          <w:divBdr>
            <w:top w:val="none" w:sz="0" w:space="0" w:color="auto"/>
            <w:left w:val="none" w:sz="0" w:space="0" w:color="auto"/>
            <w:bottom w:val="none" w:sz="0" w:space="0" w:color="auto"/>
            <w:right w:val="none" w:sz="0" w:space="0" w:color="auto"/>
          </w:divBdr>
        </w:div>
        <w:div w:id="907884161">
          <w:marLeft w:val="480"/>
          <w:marRight w:val="0"/>
          <w:marTop w:val="0"/>
          <w:marBottom w:val="0"/>
          <w:divBdr>
            <w:top w:val="none" w:sz="0" w:space="0" w:color="auto"/>
            <w:left w:val="none" w:sz="0" w:space="0" w:color="auto"/>
            <w:bottom w:val="none" w:sz="0" w:space="0" w:color="auto"/>
            <w:right w:val="none" w:sz="0" w:space="0" w:color="auto"/>
          </w:divBdr>
        </w:div>
        <w:div w:id="118233679">
          <w:marLeft w:val="480"/>
          <w:marRight w:val="0"/>
          <w:marTop w:val="0"/>
          <w:marBottom w:val="0"/>
          <w:divBdr>
            <w:top w:val="none" w:sz="0" w:space="0" w:color="auto"/>
            <w:left w:val="none" w:sz="0" w:space="0" w:color="auto"/>
            <w:bottom w:val="none" w:sz="0" w:space="0" w:color="auto"/>
            <w:right w:val="none" w:sz="0" w:space="0" w:color="auto"/>
          </w:divBdr>
        </w:div>
        <w:div w:id="1186092664">
          <w:marLeft w:val="480"/>
          <w:marRight w:val="0"/>
          <w:marTop w:val="0"/>
          <w:marBottom w:val="0"/>
          <w:divBdr>
            <w:top w:val="none" w:sz="0" w:space="0" w:color="auto"/>
            <w:left w:val="none" w:sz="0" w:space="0" w:color="auto"/>
            <w:bottom w:val="none" w:sz="0" w:space="0" w:color="auto"/>
            <w:right w:val="none" w:sz="0" w:space="0" w:color="auto"/>
          </w:divBdr>
        </w:div>
        <w:div w:id="1399090266">
          <w:marLeft w:val="480"/>
          <w:marRight w:val="0"/>
          <w:marTop w:val="0"/>
          <w:marBottom w:val="0"/>
          <w:divBdr>
            <w:top w:val="none" w:sz="0" w:space="0" w:color="auto"/>
            <w:left w:val="none" w:sz="0" w:space="0" w:color="auto"/>
            <w:bottom w:val="none" w:sz="0" w:space="0" w:color="auto"/>
            <w:right w:val="none" w:sz="0" w:space="0" w:color="auto"/>
          </w:divBdr>
        </w:div>
        <w:div w:id="1542739876">
          <w:marLeft w:val="480"/>
          <w:marRight w:val="0"/>
          <w:marTop w:val="0"/>
          <w:marBottom w:val="0"/>
          <w:divBdr>
            <w:top w:val="none" w:sz="0" w:space="0" w:color="auto"/>
            <w:left w:val="none" w:sz="0" w:space="0" w:color="auto"/>
            <w:bottom w:val="none" w:sz="0" w:space="0" w:color="auto"/>
            <w:right w:val="none" w:sz="0" w:space="0" w:color="auto"/>
          </w:divBdr>
        </w:div>
        <w:div w:id="1472865937">
          <w:marLeft w:val="480"/>
          <w:marRight w:val="0"/>
          <w:marTop w:val="0"/>
          <w:marBottom w:val="0"/>
          <w:divBdr>
            <w:top w:val="none" w:sz="0" w:space="0" w:color="auto"/>
            <w:left w:val="none" w:sz="0" w:space="0" w:color="auto"/>
            <w:bottom w:val="none" w:sz="0" w:space="0" w:color="auto"/>
            <w:right w:val="none" w:sz="0" w:space="0" w:color="auto"/>
          </w:divBdr>
        </w:div>
        <w:div w:id="640765135">
          <w:marLeft w:val="480"/>
          <w:marRight w:val="0"/>
          <w:marTop w:val="0"/>
          <w:marBottom w:val="0"/>
          <w:divBdr>
            <w:top w:val="none" w:sz="0" w:space="0" w:color="auto"/>
            <w:left w:val="none" w:sz="0" w:space="0" w:color="auto"/>
            <w:bottom w:val="none" w:sz="0" w:space="0" w:color="auto"/>
            <w:right w:val="none" w:sz="0" w:space="0" w:color="auto"/>
          </w:divBdr>
        </w:div>
        <w:div w:id="912274215">
          <w:marLeft w:val="480"/>
          <w:marRight w:val="0"/>
          <w:marTop w:val="0"/>
          <w:marBottom w:val="0"/>
          <w:divBdr>
            <w:top w:val="none" w:sz="0" w:space="0" w:color="auto"/>
            <w:left w:val="none" w:sz="0" w:space="0" w:color="auto"/>
            <w:bottom w:val="none" w:sz="0" w:space="0" w:color="auto"/>
            <w:right w:val="none" w:sz="0" w:space="0" w:color="auto"/>
          </w:divBdr>
        </w:div>
        <w:div w:id="2108231341">
          <w:marLeft w:val="480"/>
          <w:marRight w:val="0"/>
          <w:marTop w:val="0"/>
          <w:marBottom w:val="0"/>
          <w:divBdr>
            <w:top w:val="none" w:sz="0" w:space="0" w:color="auto"/>
            <w:left w:val="none" w:sz="0" w:space="0" w:color="auto"/>
            <w:bottom w:val="none" w:sz="0" w:space="0" w:color="auto"/>
            <w:right w:val="none" w:sz="0" w:space="0" w:color="auto"/>
          </w:divBdr>
        </w:div>
        <w:div w:id="437987734">
          <w:marLeft w:val="480"/>
          <w:marRight w:val="0"/>
          <w:marTop w:val="0"/>
          <w:marBottom w:val="0"/>
          <w:divBdr>
            <w:top w:val="none" w:sz="0" w:space="0" w:color="auto"/>
            <w:left w:val="none" w:sz="0" w:space="0" w:color="auto"/>
            <w:bottom w:val="none" w:sz="0" w:space="0" w:color="auto"/>
            <w:right w:val="none" w:sz="0" w:space="0" w:color="auto"/>
          </w:divBdr>
        </w:div>
        <w:div w:id="1928273290">
          <w:marLeft w:val="480"/>
          <w:marRight w:val="0"/>
          <w:marTop w:val="0"/>
          <w:marBottom w:val="0"/>
          <w:divBdr>
            <w:top w:val="none" w:sz="0" w:space="0" w:color="auto"/>
            <w:left w:val="none" w:sz="0" w:space="0" w:color="auto"/>
            <w:bottom w:val="none" w:sz="0" w:space="0" w:color="auto"/>
            <w:right w:val="none" w:sz="0" w:space="0" w:color="auto"/>
          </w:divBdr>
        </w:div>
      </w:divsChild>
    </w:div>
    <w:div w:id="1033534610">
      <w:bodyDiv w:val="1"/>
      <w:marLeft w:val="0"/>
      <w:marRight w:val="0"/>
      <w:marTop w:val="0"/>
      <w:marBottom w:val="0"/>
      <w:divBdr>
        <w:top w:val="none" w:sz="0" w:space="0" w:color="auto"/>
        <w:left w:val="none" w:sz="0" w:space="0" w:color="auto"/>
        <w:bottom w:val="none" w:sz="0" w:space="0" w:color="auto"/>
        <w:right w:val="none" w:sz="0" w:space="0" w:color="auto"/>
      </w:divBdr>
    </w:div>
    <w:div w:id="1702433703">
      <w:bodyDiv w:val="1"/>
      <w:marLeft w:val="0"/>
      <w:marRight w:val="0"/>
      <w:marTop w:val="0"/>
      <w:marBottom w:val="0"/>
      <w:divBdr>
        <w:top w:val="none" w:sz="0" w:space="0" w:color="auto"/>
        <w:left w:val="none" w:sz="0" w:space="0" w:color="auto"/>
        <w:bottom w:val="none" w:sz="0" w:space="0" w:color="auto"/>
        <w:right w:val="none" w:sz="0" w:space="0" w:color="auto"/>
      </w:divBdr>
    </w:div>
    <w:div w:id="2141993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97/SS.0000000000000087" TargetMode="External"/><Relationship Id="rId13" Type="http://schemas.openxmlformats.org/officeDocument/2006/relationships/chart" Target="charts/chart2.xml"/><Relationship Id="rId18" Type="http://schemas.openxmlformats.org/officeDocument/2006/relationships/image" Target="media/image3.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2.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10661-021-09080-4"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indianfarmer.net"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007/s11368-018-2120-2" TargetMode="External"/><Relationship Id="rId14" Type="http://schemas.openxmlformats.org/officeDocument/2006/relationships/chart" Target="charts/chart3.xml"/><Relationship Id="rId22" Type="http://schemas.openxmlformats.org/officeDocument/2006/relationships/image" Target="media/image7.jpeg"/><Relationship Id="rId27" Type="http://schemas.openxmlformats.org/officeDocument/2006/relationships/header" Target="header3.xml"/><Relationship Id="rId30"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plant%20paramet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plant%20parameter.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plant%20paramet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plant%20paramet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674976825679812"/>
          <c:y val="0.10536615615355772"/>
          <c:w val="0.81548133487316943"/>
          <c:h val="0.46420841625566056"/>
        </c:manualLayout>
      </c:layout>
      <c:barChart>
        <c:barDir val="col"/>
        <c:grouping val="clustered"/>
        <c:ser>
          <c:idx val="0"/>
          <c:order val="0"/>
          <c:tx>
            <c:strRef>
              <c:f>Sheet3!$D$3</c:f>
              <c:strCache>
                <c:ptCount val="1"/>
                <c:pt idx="0">
                  <c:v> (15DAS)</c:v>
                </c:pt>
              </c:strCache>
            </c:strRef>
          </c:tx>
          <c:spPr>
            <a:solidFill>
              <a:schemeClr val="accent1"/>
            </a:solidFill>
            <a:ln>
              <a:noFill/>
            </a:ln>
            <a:effectLst/>
          </c:spPr>
          <c:cat>
            <c:multiLvlStrRef>
              <c:f>Sheet3!$B$4:$C$13</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Sheet3!$D$4:$D$13</c:f>
              <c:numCache>
                <c:formatCode>General</c:formatCode>
                <c:ptCount val="10"/>
                <c:pt idx="0">
                  <c:v>2.5</c:v>
                </c:pt>
                <c:pt idx="1">
                  <c:v>3.7</c:v>
                </c:pt>
                <c:pt idx="2">
                  <c:v>3.1</c:v>
                </c:pt>
                <c:pt idx="3">
                  <c:v>3</c:v>
                </c:pt>
                <c:pt idx="4">
                  <c:v>3</c:v>
                </c:pt>
                <c:pt idx="5">
                  <c:v>3</c:v>
                </c:pt>
                <c:pt idx="6">
                  <c:v>3.5</c:v>
                </c:pt>
                <c:pt idx="7">
                  <c:v>3.2</c:v>
                </c:pt>
                <c:pt idx="8">
                  <c:v>3</c:v>
                </c:pt>
                <c:pt idx="9">
                  <c:v>3.1</c:v>
                </c:pt>
              </c:numCache>
            </c:numRef>
          </c:val>
          <c:extLst xmlns:c16r2="http://schemas.microsoft.com/office/drawing/2015/06/chart">
            <c:ext xmlns:c16="http://schemas.microsoft.com/office/drawing/2014/chart" uri="{C3380CC4-5D6E-409C-BE32-E72D297353CC}">
              <c16:uniqueId val="{00000000-2FBA-42F6-B5BD-CDEF2FA96EDB}"/>
            </c:ext>
          </c:extLst>
        </c:ser>
        <c:ser>
          <c:idx val="1"/>
          <c:order val="1"/>
          <c:tx>
            <c:strRef>
              <c:f>Sheet3!$E$3</c:f>
              <c:strCache>
                <c:ptCount val="1"/>
                <c:pt idx="0">
                  <c:v> (30DAS)</c:v>
                </c:pt>
              </c:strCache>
            </c:strRef>
          </c:tx>
          <c:spPr>
            <a:solidFill>
              <a:schemeClr val="accent2"/>
            </a:solidFill>
            <a:ln>
              <a:noFill/>
            </a:ln>
            <a:effectLst/>
          </c:spPr>
          <c:cat>
            <c:multiLvlStrRef>
              <c:f>Sheet3!$B$4:$C$13</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Sheet3!$E$4:$E$13</c:f>
              <c:numCache>
                <c:formatCode>General</c:formatCode>
                <c:ptCount val="10"/>
                <c:pt idx="0">
                  <c:v>5</c:v>
                </c:pt>
                <c:pt idx="1">
                  <c:v>4</c:v>
                </c:pt>
                <c:pt idx="2">
                  <c:v>5</c:v>
                </c:pt>
                <c:pt idx="3">
                  <c:v>6</c:v>
                </c:pt>
                <c:pt idx="4">
                  <c:v>4.5</c:v>
                </c:pt>
                <c:pt idx="5">
                  <c:v>5</c:v>
                </c:pt>
                <c:pt idx="6">
                  <c:v>4.5</c:v>
                </c:pt>
                <c:pt idx="7">
                  <c:v>5</c:v>
                </c:pt>
                <c:pt idx="8">
                  <c:v>5.0999999999999996</c:v>
                </c:pt>
                <c:pt idx="9">
                  <c:v>5</c:v>
                </c:pt>
              </c:numCache>
            </c:numRef>
          </c:val>
          <c:extLst xmlns:c16r2="http://schemas.microsoft.com/office/drawing/2015/06/chart">
            <c:ext xmlns:c16="http://schemas.microsoft.com/office/drawing/2014/chart" uri="{C3380CC4-5D6E-409C-BE32-E72D297353CC}">
              <c16:uniqueId val="{00000001-2FBA-42F6-B5BD-CDEF2FA96EDB}"/>
            </c:ext>
          </c:extLst>
        </c:ser>
        <c:ser>
          <c:idx val="2"/>
          <c:order val="2"/>
          <c:tx>
            <c:strRef>
              <c:f>Sheet3!$F$3</c:f>
              <c:strCache>
                <c:ptCount val="1"/>
                <c:pt idx="0">
                  <c:v> (45DAS)</c:v>
                </c:pt>
              </c:strCache>
            </c:strRef>
          </c:tx>
          <c:spPr>
            <a:solidFill>
              <a:schemeClr val="accent3"/>
            </a:solidFill>
            <a:ln>
              <a:noFill/>
            </a:ln>
            <a:effectLst/>
          </c:spPr>
          <c:cat>
            <c:multiLvlStrRef>
              <c:f>Sheet3!$B$4:$C$13</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Sheet3!$F$4:$F$13</c:f>
              <c:numCache>
                <c:formatCode>General</c:formatCode>
                <c:ptCount val="10"/>
                <c:pt idx="0">
                  <c:v>7.5</c:v>
                </c:pt>
                <c:pt idx="1">
                  <c:v>9</c:v>
                </c:pt>
                <c:pt idx="2">
                  <c:v>7</c:v>
                </c:pt>
                <c:pt idx="3">
                  <c:v>9</c:v>
                </c:pt>
                <c:pt idx="4">
                  <c:v>7</c:v>
                </c:pt>
                <c:pt idx="5">
                  <c:v>7</c:v>
                </c:pt>
                <c:pt idx="6">
                  <c:v>8</c:v>
                </c:pt>
                <c:pt idx="7">
                  <c:v>7.5</c:v>
                </c:pt>
                <c:pt idx="8">
                  <c:v>7</c:v>
                </c:pt>
                <c:pt idx="9">
                  <c:v>7</c:v>
                </c:pt>
              </c:numCache>
            </c:numRef>
          </c:val>
          <c:extLst xmlns:c16r2="http://schemas.microsoft.com/office/drawing/2015/06/chart">
            <c:ext xmlns:c16="http://schemas.microsoft.com/office/drawing/2014/chart" uri="{C3380CC4-5D6E-409C-BE32-E72D297353CC}">
              <c16:uniqueId val="{00000002-2FBA-42F6-B5BD-CDEF2FA96EDB}"/>
            </c:ext>
          </c:extLst>
        </c:ser>
        <c:ser>
          <c:idx val="3"/>
          <c:order val="3"/>
          <c:tx>
            <c:strRef>
              <c:f>Sheet3!$G$3</c:f>
              <c:strCache>
                <c:ptCount val="1"/>
                <c:pt idx="0">
                  <c:v> (60DAS)</c:v>
                </c:pt>
              </c:strCache>
            </c:strRef>
          </c:tx>
          <c:spPr>
            <a:solidFill>
              <a:srgbClr val="21CDDF"/>
            </a:solidFill>
            <a:ln>
              <a:noFill/>
            </a:ln>
            <a:effectLst/>
          </c:spPr>
          <c:cat>
            <c:multiLvlStrRef>
              <c:f>Sheet3!$B$4:$C$13</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Sheet3!$G$4:$G$13</c:f>
              <c:numCache>
                <c:formatCode>General</c:formatCode>
                <c:ptCount val="10"/>
                <c:pt idx="0">
                  <c:v>9</c:v>
                </c:pt>
                <c:pt idx="1">
                  <c:v>9</c:v>
                </c:pt>
                <c:pt idx="2">
                  <c:v>8.5</c:v>
                </c:pt>
                <c:pt idx="3">
                  <c:v>9</c:v>
                </c:pt>
                <c:pt idx="4">
                  <c:v>8.5</c:v>
                </c:pt>
                <c:pt idx="5">
                  <c:v>9</c:v>
                </c:pt>
                <c:pt idx="6">
                  <c:v>8.5</c:v>
                </c:pt>
                <c:pt idx="7">
                  <c:v>9</c:v>
                </c:pt>
                <c:pt idx="8">
                  <c:v>9</c:v>
                </c:pt>
                <c:pt idx="9">
                  <c:v>9</c:v>
                </c:pt>
              </c:numCache>
            </c:numRef>
          </c:val>
          <c:extLst xmlns:c16r2="http://schemas.microsoft.com/office/drawing/2015/06/chart">
            <c:ext xmlns:c16="http://schemas.microsoft.com/office/drawing/2014/chart" uri="{C3380CC4-5D6E-409C-BE32-E72D297353CC}">
              <c16:uniqueId val="{00000003-2FBA-42F6-B5BD-CDEF2FA96EDB}"/>
            </c:ext>
          </c:extLst>
        </c:ser>
        <c:gapWidth val="219"/>
        <c:overlap val="-27"/>
        <c:axId val="54492160"/>
        <c:axId val="65538304"/>
      </c:barChart>
      <c:catAx>
        <c:axId val="54492160"/>
        <c:scaling>
          <c:orientation val="minMax"/>
        </c:scaling>
        <c:axPos val="b"/>
        <c:numFmt formatCode="General" sourceLinked="1"/>
        <c:maj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5538304"/>
        <c:crosses val="autoZero"/>
        <c:auto val="1"/>
        <c:lblAlgn val="ctr"/>
        <c:lblOffset val="100"/>
      </c:catAx>
      <c:valAx>
        <c:axId val="65538304"/>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000">
                    <a:solidFill>
                      <a:schemeClr val="tx1"/>
                    </a:solidFill>
                    <a:latin typeface="Arial" panose="020B0604020202020204" pitchFamily="34" charset="0"/>
                    <a:cs typeface="Arial" panose="020B0604020202020204" pitchFamily="34" charset="0"/>
                  </a:rPr>
                  <a:t>Height (cm)</a:t>
                </a:r>
              </a:p>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IN" sz="1000">
                  <a:solidFill>
                    <a:schemeClr val="tx1"/>
                  </a:solidFill>
                  <a:latin typeface="Arial" panose="020B0604020202020204" pitchFamily="34" charset="0"/>
                  <a:cs typeface="Arial" panose="020B0604020202020204" pitchFamily="34" charset="0"/>
                </a:endParaRPr>
              </a:p>
            </c:rich>
          </c:tx>
          <c:layout>
            <c:manualLayout>
              <c:xMode val="edge"/>
              <c:yMode val="edge"/>
              <c:x val="1.7088626520473816E-2"/>
              <c:y val="0.2807375282384536"/>
            </c:manualLayout>
          </c:layout>
          <c:spPr>
            <a:noFill/>
            <a:ln>
              <a:noFill/>
            </a:ln>
            <a:effectLst/>
          </c:spPr>
        </c:title>
        <c:numFmt formatCode="General" sourceLinked="1"/>
        <c:maj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492160"/>
        <c:crosses val="autoZero"/>
        <c:crossBetween val="between"/>
      </c:valAx>
      <c:spPr>
        <a:noFill/>
        <a:ln>
          <a:noFill/>
        </a:ln>
        <a:effectLst/>
      </c:spPr>
    </c:plotArea>
    <c:legend>
      <c:legendPos val="b"/>
      <c:layout>
        <c:manualLayout>
          <c:xMode val="edge"/>
          <c:yMode val="edge"/>
          <c:x val="0.29699109637365356"/>
          <c:y val="3.8450114273613147E-2"/>
          <c:w val="0.66811205460653811"/>
          <c:h val="8.4179636469646713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3444384076089492E-2"/>
          <c:y val="9.9745700874527624E-2"/>
          <c:w val="0.86576853220181116"/>
          <c:h val="0.47129534817116447"/>
        </c:manualLayout>
      </c:layout>
      <c:barChart>
        <c:barDir val="col"/>
        <c:grouping val="clustered"/>
        <c:ser>
          <c:idx val="0"/>
          <c:order val="0"/>
          <c:tx>
            <c:strRef>
              <c:f>Sheet3!$D$22</c:f>
              <c:strCache>
                <c:ptCount val="1"/>
                <c:pt idx="0">
                  <c:v> (15DAS)</c:v>
                </c:pt>
              </c:strCache>
            </c:strRef>
          </c:tx>
          <c:spPr>
            <a:solidFill>
              <a:schemeClr val="accent1"/>
            </a:solidFill>
            <a:ln>
              <a:noFill/>
            </a:ln>
            <a:effectLst/>
          </c:spPr>
          <c:cat>
            <c:multiLvlStrRef>
              <c:f>Sheet3!$B$23:$C$32</c:f>
              <c:multiLvlStrCache>
                <c:ptCount val="10"/>
                <c:lvl>
                  <c:pt idx="0">
                    <c:v>T1- Standard</c:v>
                  </c:pt>
                  <c:pt idx="1">
                    <c:v>T2-10ton/ha</c:v>
                  </c:pt>
                  <c:pt idx="2">
                    <c:v>T3-20ton/ha</c:v>
                  </c:pt>
                  <c:pt idx="3">
                    <c:v>T4- 30ton/ha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Sheet3!$D$23:$D$32</c:f>
              <c:numCache>
                <c:formatCode>General</c:formatCode>
                <c:ptCount val="10"/>
                <c:pt idx="0">
                  <c:v>3</c:v>
                </c:pt>
                <c:pt idx="1">
                  <c:v>3</c:v>
                </c:pt>
                <c:pt idx="2">
                  <c:v>3</c:v>
                </c:pt>
                <c:pt idx="3">
                  <c:v>3</c:v>
                </c:pt>
                <c:pt idx="4">
                  <c:v>3</c:v>
                </c:pt>
                <c:pt idx="5">
                  <c:v>3</c:v>
                </c:pt>
                <c:pt idx="6">
                  <c:v>3</c:v>
                </c:pt>
                <c:pt idx="7">
                  <c:v>3</c:v>
                </c:pt>
                <c:pt idx="8">
                  <c:v>3</c:v>
                </c:pt>
                <c:pt idx="9">
                  <c:v>3</c:v>
                </c:pt>
              </c:numCache>
            </c:numRef>
          </c:val>
          <c:extLst xmlns:c16r2="http://schemas.microsoft.com/office/drawing/2015/06/chart">
            <c:ext xmlns:c16="http://schemas.microsoft.com/office/drawing/2014/chart" uri="{C3380CC4-5D6E-409C-BE32-E72D297353CC}">
              <c16:uniqueId val="{00000000-A6FE-4C81-8F65-9C5F53990438}"/>
            </c:ext>
          </c:extLst>
        </c:ser>
        <c:ser>
          <c:idx val="1"/>
          <c:order val="1"/>
          <c:tx>
            <c:strRef>
              <c:f>Sheet3!$E$22</c:f>
              <c:strCache>
                <c:ptCount val="1"/>
                <c:pt idx="0">
                  <c:v> (30DAS)</c:v>
                </c:pt>
              </c:strCache>
            </c:strRef>
          </c:tx>
          <c:spPr>
            <a:solidFill>
              <a:schemeClr val="accent2"/>
            </a:solidFill>
            <a:ln>
              <a:noFill/>
            </a:ln>
            <a:effectLst/>
          </c:spPr>
          <c:cat>
            <c:multiLvlStrRef>
              <c:f>Sheet3!$B$23:$C$32</c:f>
              <c:multiLvlStrCache>
                <c:ptCount val="10"/>
                <c:lvl>
                  <c:pt idx="0">
                    <c:v>T1- Standard</c:v>
                  </c:pt>
                  <c:pt idx="1">
                    <c:v>T2-10ton/ha</c:v>
                  </c:pt>
                  <c:pt idx="2">
                    <c:v>T3-20ton/ha</c:v>
                  </c:pt>
                  <c:pt idx="3">
                    <c:v>T4- 30ton/ha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Sheet3!$E$23:$E$32</c:f>
              <c:numCache>
                <c:formatCode>General</c:formatCode>
                <c:ptCount val="10"/>
                <c:pt idx="0">
                  <c:v>5</c:v>
                </c:pt>
                <c:pt idx="1">
                  <c:v>5</c:v>
                </c:pt>
                <c:pt idx="2">
                  <c:v>5</c:v>
                </c:pt>
                <c:pt idx="3">
                  <c:v>5</c:v>
                </c:pt>
                <c:pt idx="4">
                  <c:v>5</c:v>
                </c:pt>
                <c:pt idx="5">
                  <c:v>5</c:v>
                </c:pt>
                <c:pt idx="6">
                  <c:v>3</c:v>
                </c:pt>
                <c:pt idx="7">
                  <c:v>4</c:v>
                </c:pt>
                <c:pt idx="8">
                  <c:v>5</c:v>
                </c:pt>
                <c:pt idx="9">
                  <c:v>4</c:v>
                </c:pt>
              </c:numCache>
            </c:numRef>
          </c:val>
          <c:extLst xmlns:c16r2="http://schemas.microsoft.com/office/drawing/2015/06/chart">
            <c:ext xmlns:c16="http://schemas.microsoft.com/office/drawing/2014/chart" uri="{C3380CC4-5D6E-409C-BE32-E72D297353CC}">
              <c16:uniqueId val="{00000001-A6FE-4C81-8F65-9C5F53990438}"/>
            </c:ext>
          </c:extLst>
        </c:ser>
        <c:ser>
          <c:idx val="2"/>
          <c:order val="2"/>
          <c:tx>
            <c:strRef>
              <c:f>Sheet3!$F$22</c:f>
              <c:strCache>
                <c:ptCount val="1"/>
                <c:pt idx="0">
                  <c:v> (45DAS)</c:v>
                </c:pt>
              </c:strCache>
            </c:strRef>
          </c:tx>
          <c:spPr>
            <a:solidFill>
              <a:schemeClr val="accent3"/>
            </a:solidFill>
            <a:ln>
              <a:noFill/>
            </a:ln>
            <a:effectLst/>
          </c:spPr>
          <c:cat>
            <c:multiLvlStrRef>
              <c:f>Sheet3!$B$23:$C$32</c:f>
              <c:multiLvlStrCache>
                <c:ptCount val="10"/>
                <c:lvl>
                  <c:pt idx="0">
                    <c:v>T1- Standard</c:v>
                  </c:pt>
                  <c:pt idx="1">
                    <c:v>T2-10ton/ha</c:v>
                  </c:pt>
                  <c:pt idx="2">
                    <c:v>T3-20ton/ha</c:v>
                  </c:pt>
                  <c:pt idx="3">
                    <c:v>T4- 30ton/ha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Sheet3!$F$23:$F$32</c:f>
              <c:numCache>
                <c:formatCode>General</c:formatCode>
                <c:ptCount val="10"/>
                <c:pt idx="0">
                  <c:v>5</c:v>
                </c:pt>
                <c:pt idx="1">
                  <c:v>6</c:v>
                </c:pt>
                <c:pt idx="2">
                  <c:v>5</c:v>
                </c:pt>
                <c:pt idx="3">
                  <c:v>5</c:v>
                </c:pt>
                <c:pt idx="4">
                  <c:v>6</c:v>
                </c:pt>
                <c:pt idx="5">
                  <c:v>3</c:v>
                </c:pt>
                <c:pt idx="6">
                  <c:v>7</c:v>
                </c:pt>
                <c:pt idx="7">
                  <c:v>3</c:v>
                </c:pt>
                <c:pt idx="8">
                  <c:v>3</c:v>
                </c:pt>
                <c:pt idx="9">
                  <c:v>3</c:v>
                </c:pt>
              </c:numCache>
            </c:numRef>
          </c:val>
          <c:extLst xmlns:c16r2="http://schemas.microsoft.com/office/drawing/2015/06/chart">
            <c:ext xmlns:c16="http://schemas.microsoft.com/office/drawing/2014/chart" uri="{C3380CC4-5D6E-409C-BE32-E72D297353CC}">
              <c16:uniqueId val="{00000002-A6FE-4C81-8F65-9C5F53990438}"/>
            </c:ext>
          </c:extLst>
        </c:ser>
        <c:ser>
          <c:idx val="3"/>
          <c:order val="3"/>
          <c:tx>
            <c:strRef>
              <c:f>Sheet3!$G$22</c:f>
              <c:strCache>
                <c:ptCount val="1"/>
                <c:pt idx="0">
                  <c:v> (60DAS)</c:v>
                </c:pt>
              </c:strCache>
            </c:strRef>
          </c:tx>
          <c:spPr>
            <a:solidFill>
              <a:srgbClr val="5706FA"/>
            </a:solidFill>
            <a:ln>
              <a:noFill/>
            </a:ln>
            <a:effectLst/>
          </c:spPr>
          <c:cat>
            <c:multiLvlStrRef>
              <c:f>Sheet3!$B$23:$C$32</c:f>
              <c:multiLvlStrCache>
                <c:ptCount val="10"/>
                <c:lvl>
                  <c:pt idx="0">
                    <c:v>T1- Standard</c:v>
                  </c:pt>
                  <c:pt idx="1">
                    <c:v>T2-10ton/ha</c:v>
                  </c:pt>
                  <c:pt idx="2">
                    <c:v>T3-20ton/ha</c:v>
                  </c:pt>
                  <c:pt idx="3">
                    <c:v>T4- 30ton/ha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Sheet3!$G$23:$G$32</c:f>
              <c:numCache>
                <c:formatCode>General</c:formatCode>
                <c:ptCount val="10"/>
                <c:pt idx="0">
                  <c:v>6</c:v>
                </c:pt>
                <c:pt idx="1">
                  <c:v>6</c:v>
                </c:pt>
                <c:pt idx="2">
                  <c:v>7</c:v>
                </c:pt>
                <c:pt idx="3">
                  <c:v>6</c:v>
                </c:pt>
                <c:pt idx="4">
                  <c:v>6</c:v>
                </c:pt>
                <c:pt idx="5">
                  <c:v>5</c:v>
                </c:pt>
                <c:pt idx="6">
                  <c:v>6</c:v>
                </c:pt>
                <c:pt idx="7">
                  <c:v>7</c:v>
                </c:pt>
                <c:pt idx="8">
                  <c:v>5</c:v>
                </c:pt>
                <c:pt idx="9">
                  <c:v>6</c:v>
                </c:pt>
              </c:numCache>
            </c:numRef>
          </c:val>
          <c:extLst xmlns:c16r2="http://schemas.microsoft.com/office/drawing/2015/06/chart">
            <c:ext xmlns:c16="http://schemas.microsoft.com/office/drawing/2014/chart" uri="{C3380CC4-5D6E-409C-BE32-E72D297353CC}">
              <c16:uniqueId val="{00000003-A6FE-4C81-8F65-9C5F53990438}"/>
            </c:ext>
          </c:extLst>
        </c:ser>
        <c:gapWidth val="219"/>
        <c:overlap val="-27"/>
        <c:axId val="93087616"/>
        <c:axId val="93213824"/>
      </c:barChart>
      <c:catAx>
        <c:axId val="93087616"/>
        <c:scaling>
          <c:orientation val="minMax"/>
        </c:scaling>
        <c:axPos val="b"/>
        <c:title>
          <c:tx>
            <c:rich>
              <a:bodyPr rot="0" vert="horz"/>
              <a:lstStyle/>
              <a:p>
                <a:pPr>
                  <a:defRPr b="0"/>
                </a:pPr>
                <a:r>
                  <a:rPr lang="en-IN" b="0"/>
                  <a:t>Treatment </a:t>
                </a:r>
              </a:p>
            </c:rich>
          </c:tx>
          <c:layout>
            <c:manualLayout>
              <c:xMode val="edge"/>
              <c:yMode val="edge"/>
              <c:x val="0.42760494180416703"/>
              <c:y val="0.92027275581002543"/>
            </c:manualLayout>
          </c:layout>
          <c:spPr>
            <a:noFill/>
            <a:ln>
              <a:noFill/>
            </a:ln>
            <a:effectLst/>
          </c:spPr>
        </c:title>
        <c:numFmt formatCode="General" sourceLinked="1"/>
        <c:majorTickMark val="none"/>
        <c:tickLblPos val="nextTo"/>
        <c:spPr>
          <a:noFill/>
          <a:ln w="9525" cap="flat" cmpd="sng" algn="ctr">
            <a:solidFill>
              <a:schemeClr val="tx1"/>
            </a:solidFill>
            <a:round/>
          </a:ln>
          <a:effectLst/>
        </c:spPr>
        <c:txPr>
          <a:bodyPr rot="-5400000"/>
          <a:lstStyle/>
          <a:p>
            <a:pPr>
              <a:defRPr/>
            </a:pPr>
            <a:endParaRPr lang="en-US"/>
          </a:p>
        </c:txPr>
        <c:crossAx val="93213824"/>
        <c:crosses val="autoZero"/>
        <c:auto val="1"/>
        <c:lblAlgn val="ctr"/>
        <c:lblOffset val="100"/>
      </c:catAx>
      <c:valAx>
        <c:axId val="93213824"/>
        <c:scaling>
          <c:orientation val="minMax"/>
        </c:scaling>
        <c:axPos val="l"/>
        <c:title>
          <c:tx>
            <c:rich>
              <a:bodyPr rot="-5400000" vert="horz"/>
              <a:lstStyle/>
              <a:p>
                <a:pPr>
                  <a:defRPr b="0"/>
                </a:pPr>
                <a:r>
                  <a:rPr lang="en-IN" b="0"/>
                  <a:t>No of leaves</a:t>
                </a:r>
              </a:p>
            </c:rich>
          </c:tx>
          <c:layout>
            <c:manualLayout>
              <c:xMode val="edge"/>
              <c:yMode val="edge"/>
              <c:x val="3.5918981210885078E-3"/>
              <c:y val="0.35941004384915304"/>
            </c:manualLayout>
          </c:layout>
          <c:spPr>
            <a:noFill/>
            <a:ln>
              <a:noFill/>
            </a:ln>
            <a:effectLst/>
          </c:spPr>
        </c:title>
        <c:numFmt formatCode="General" sourceLinked="1"/>
        <c:majorTickMark val="none"/>
        <c:tickLblPos val="nextTo"/>
        <c:spPr>
          <a:noFill/>
          <a:ln>
            <a:solidFill>
              <a:schemeClr val="tx1"/>
            </a:solidFill>
          </a:ln>
          <a:effectLst/>
        </c:spPr>
        <c:txPr>
          <a:bodyPr rot="-60000000" vert="horz"/>
          <a:lstStyle/>
          <a:p>
            <a:pPr>
              <a:defRPr/>
            </a:pPr>
            <a:endParaRPr lang="en-US"/>
          </a:p>
        </c:txPr>
        <c:crossAx val="93087616"/>
        <c:crosses val="autoZero"/>
        <c:crossBetween val="between"/>
      </c:valAx>
      <c:spPr>
        <a:noFill/>
        <a:ln>
          <a:noFill/>
        </a:ln>
        <a:effectLst/>
      </c:spPr>
    </c:plotArea>
    <c:legend>
      <c:legendPos val="b"/>
      <c:layout>
        <c:manualLayout>
          <c:xMode val="edge"/>
          <c:yMode val="edge"/>
          <c:x val="0.35681734427892708"/>
          <c:y val="2.505363696757824E-2"/>
          <c:w val="0.61669211080500652"/>
          <c:h val="7.9848189646648512E-2"/>
        </c:manualLayout>
      </c:layout>
      <c:spPr>
        <a:noFill/>
        <a:ln>
          <a:noFill/>
        </a:ln>
        <a:effectLst/>
      </c:spPr>
      <c:txPr>
        <a:bodyPr rot="0" vert="horz"/>
        <a:lstStyle/>
        <a:p>
          <a:pPr>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34261544211507"/>
          <c:y val="0.13189103275869726"/>
          <c:w val="0.7944147353838692"/>
          <c:h val="0.48415836132371598"/>
        </c:manualLayout>
      </c:layout>
      <c:barChart>
        <c:barDir val="col"/>
        <c:grouping val="clustered"/>
        <c:ser>
          <c:idx val="0"/>
          <c:order val="0"/>
          <c:tx>
            <c:strRef>
              <c:f>Sheet3!$D$42</c:f>
              <c:strCache>
                <c:ptCount val="1"/>
                <c:pt idx="0">
                  <c:v> (45DAS)</c:v>
                </c:pt>
              </c:strCache>
            </c:strRef>
          </c:tx>
          <c:spPr>
            <a:solidFill>
              <a:srgbClr val="FFC000"/>
            </a:solidFill>
            <a:ln>
              <a:noFill/>
            </a:ln>
            <a:effectLst/>
          </c:spPr>
          <c:cat>
            <c:multiLvlStrRef>
              <c:f>Sheet3!$B$43:$C$52</c:f>
              <c:multiLvlStrCache>
                <c:ptCount val="10"/>
                <c:lvl>
                  <c:pt idx="0">
                    <c:v>T1-standard</c:v>
                  </c:pt>
                  <c:pt idx="1">
                    <c:v>T2-10ton/ha</c:v>
                  </c:pt>
                  <c:pt idx="2">
                    <c:v>T3-20ton/ha</c:v>
                  </c:pt>
                  <c:pt idx="3">
                    <c:v>T4-30ton/ha</c:v>
                  </c:pt>
                  <c:pt idx="4">
                    <c:v>T5-10ton/ha</c:v>
                  </c:pt>
                  <c:pt idx="5">
                    <c:v>T6-20ton/ha</c:v>
                  </c:pt>
                  <c:pt idx="6">
                    <c:v>T7-30ton/ha</c:v>
                  </c:pt>
                  <c:pt idx="7">
                    <c:v>T8-10ton/ha</c:v>
                  </c:pt>
                  <c:pt idx="8">
                    <c:v>T9-20ton/ha</c:v>
                  </c:pt>
                  <c:pt idx="9">
                    <c:v>Treatments</c:v>
                  </c:pt>
                </c:lvl>
                <c:lvl>
                  <c:pt idx="1">
                    <c:v>Vermicompost</c:v>
                  </c:pt>
                  <c:pt idx="4">
                    <c:v>Poultry manure</c:v>
                  </c:pt>
                  <c:pt idx="7">
                    <c:v>Cow dung manure</c:v>
                  </c:pt>
                </c:lvl>
              </c:multiLvlStrCache>
            </c:multiLvlStrRef>
          </c:cat>
          <c:val>
            <c:numRef>
              <c:f>Sheet3!$D$43:$D$52</c:f>
              <c:numCache>
                <c:formatCode>General</c:formatCode>
                <c:ptCount val="10"/>
                <c:pt idx="0">
                  <c:v>6</c:v>
                </c:pt>
                <c:pt idx="1">
                  <c:v>10</c:v>
                </c:pt>
                <c:pt idx="2">
                  <c:v>8</c:v>
                </c:pt>
                <c:pt idx="3">
                  <c:v>12</c:v>
                </c:pt>
                <c:pt idx="4">
                  <c:v>9</c:v>
                </c:pt>
                <c:pt idx="5">
                  <c:v>12</c:v>
                </c:pt>
                <c:pt idx="6">
                  <c:v>10</c:v>
                </c:pt>
                <c:pt idx="7">
                  <c:v>8</c:v>
                </c:pt>
                <c:pt idx="8">
                  <c:v>15</c:v>
                </c:pt>
                <c:pt idx="9">
                  <c:v>10</c:v>
                </c:pt>
              </c:numCache>
            </c:numRef>
          </c:val>
          <c:extLst xmlns:c16r2="http://schemas.microsoft.com/office/drawing/2015/06/chart">
            <c:ext xmlns:c16="http://schemas.microsoft.com/office/drawing/2014/chart" uri="{C3380CC4-5D6E-409C-BE32-E72D297353CC}">
              <c16:uniqueId val="{00000000-DB3A-4020-9997-0619C1038017}"/>
            </c:ext>
          </c:extLst>
        </c:ser>
        <c:ser>
          <c:idx val="1"/>
          <c:order val="1"/>
          <c:tx>
            <c:strRef>
              <c:f>Sheet3!$E$42</c:f>
              <c:strCache>
                <c:ptCount val="1"/>
                <c:pt idx="0">
                  <c:v> (60DAS)</c:v>
                </c:pt>
              </c:strCache>
            </c:strRef>
          </c:tx>
          <c:spPr>
            <a:solidFill>
              <a:srgbClr val="002060"/>
            </a:solidFill>
            <a:ln>
              <a:noFill/>
            </a:ln>
            <a:effectLst/>
          </c:spPr>
          <c:cat>
            <c:multiLvlStrRef>
              <c:f>Sheet3!$B$43:$C$52</c:f>
              <c:multiLvlStrCache>
                <c:ptCount val="10"/>
                <c:lvl>
                  <c:pt idx="0">
                    <c:v>T1-standard</c:v>
                  </c:pt>
                  <c:pt idx="1">
                    <c:v>T2-10ton/ha</c:v>
                  </c:pt>
                  <c:pt idx="2">
                    <c:v>T3-20ton/ha</c:v>
                  </c:pt>
                  <c:pt idx="3">
                    <c:v>T4-30ton/ha</c:v>
                  </c:pt>
                  <c:pt idx="4">
                    <c:v>T5-10ton/ha</c:v>
                  </c:pt>
                  <c:pt idx="5">
                    <c:v>T6-20ton/ha</c:v>
                  </c:pt>
                  <c:pt idx="6">
                    <c:v>T7-30ton/ha</c:v>
                  </c:pt>
                  <c:pt idx="7">
                    <c:v>T8-10ton/ha</c:v>
                  </c:pt>
                  <c:pt idx="8">
                    <c:v>T9-20ton/ha</c:v>
                  </c:pt>
                  <c:pt idx="9">
                    <c:v>Treatments</c:v>
                  </c:pt>
                </c:lvl>
                <c:lvl>
                  <c:pt idx="1">
                    <c:v>Vermicompost</c:v>
                  </c:pt>
                  <c:pt idx="4">
                    <c:v>Poultry manure</c:v>
                  </c:pt>
                  <c:pt idx="7">
                    <c:v>Cow dung manure</c:v>
                  </c:pt>
                </c:lvl>
              </c:multiLvlStrCache>
            </c:multiLvlStrRef>
          </c:cat>
          <c:val>
            <c:numRef>
              <c:f>Sheet3!$E$43:$E$52</c:f>
              <c:numCache>
                <c:formatCode>General</c:formatCode>
                <c:ptCount val="10"/>
                <c:pt idx="0">
                  <c:v>12</c:v>
                </c:pt>
                <c:pt idx="1">
                  <c:v>10</c:v>
                </c:pt>
                <c:pt idx="2">
                  <c:v>15</c:v>
                </c:pt>
                <c:pt idx="3">
                  <c:v>11</c:v>
                </c:pt>
                <c:pt idx="4">
                  <c:v>13</c:v>
                </c:pt>
                <c:pt idx="5">
                  <c:v>15</c:v>
                </c:pt>
                <c:pt idx="6">
                  <c:v>18</c:v>
                </c:pt>
                <c:pt idx="7">
                  <c:v>19</c:v>
                </c:pt>
                <c:pt idx="8">
                  <c:v>24</c:v>
                </c:pt>
                <c:pt idx="9">
                  <c:v>16</c:v>
                </c:pt>
              </c:numCache>
            </c:numRef>
          </c:val>
          <c:extLst xmlns:c16r2="http://schemas.microsoft.com/office/drawing/2015/06/chart">
            <c:ext xmlns:c16="http://schemas.microsoft.com/office/drawing/2014/chart" uri="{C3380CC4-5D6E-409C-BE32-E72D297353CC}">
              <c16:uniqueId val="{00000001-DB3A-4020-9997-0619C1038017}"/>
            </c:ext>
          </c:extLst>
        </c:ser>
        <c:gapWidth val="219"/>
        <c:overlap val="-27"/>
        <c:axId val="116053888"/>
        <c:axId val="116061696"/>
      </c:barChart>
      <c:catAx>
        <c:axId val="116053888"/>
        <c:scaling>
          <c:orientation val="minMax"/>
        </c:scaling>
        <c:axPos val="b"/>
        <c:numFmt formatCode="General" sourceLinked="1"/>
        <c:majorTickMark val="none"/>
        <c:tickLblPos val="nextTo"/>
        <c:spPr>
          <a:noFill/>
          <a:ln w="9525" cap="flat" cmpd="sng" algn="ctr">
            <a:solidFill>
              <a:schemeClr val="tx1"/>
            </a:solidFill>
            <a:round/>
          </a:ln>
          <a:effectLst/>
        </c:spPr>
        <c:txPr>
          <a:bodyPr rot="-5400000"/>
          <a:lstStyle/>
          <a:p>
            <a:pPr>
              <a:defRPr/>
            </a:pPr>
            <a:endParaRPr lang="en-US"/>
          </a:p>
        </c:txPr>
        <c:crossAx val="116061696"/>
        <c:crosses val="autoZero"/>
        <c:auto val="1"/>
        <c:lblAlgn val="ctr"/>
        <c:lblOffset val="100"/>
      </c:catAx>
      <c:valAx>
        <c:axId val="116061696"/>
        <c:scaling>
          <c:orientation val="minMax"/>
        </c:scaling>
        <c:axPos val="l"/>
        <c:numFmt formatCode="General" sourceLinked="1"/>
        <c:majorTickMark val="none"/>
        <c:tickLblPos val="nextTo"/>
        <c:spPr>
          <a:noFill/>
          <a:ln>
            <a:solidFill>
              <a:schemeClr val="tx1"/>
            </a:solidFill>
          </a:ln>
          <a:effectLst/>
        </c:spPr>
        <c:txPr>
          <a:bodyPr rot="-60000000" vert="horz"/>
          <a:lstStyle/>
          <a:p>
            <a:pPr>
              <a:defRPr/>
            </a:pPr>
            <a:endParaRPr lang="en-US"/>
          </a:p>
        </c:txPr>
        <c:crossAx val="116053888"/>
        <c:crosses val="autoZero"/>
        <c:crossBetween val="between"/>
      </c:valAx>
      <c:spPr>
        <a:noFill/>
        <a:ln>
          <a:noFill/>
        </a:ln>
        <a:effectLst/>
      </c:spPr>
    </c:plotArea>
    <c:legend>
      <c:legendPos val="b"/>
      <c:layout>
        <c:manualLayout>
          <c:xMode val="edge"/>
          <c:yMode val="edge"/>
          <c:x val="0.55922747766223868"/>
          <c:y val="5.119065404538279E-2"/>
          <c:w val="0.29083220532470894"/>
          <c:h val="0.10597127147598011"/>
        </c:manualLayout>
      </c:layout>
      <c:spPr>
        <a:noFill/>
        <a:ln>
          <a:noFill/>
        </a:ln>
        <a:effectLst/>
      </c:spPr>
      <c:txPr>
        <a:bodyPr rot="0" vert="horz"/>
        <a:lstStyle/>
        <a:p>
          <a:pPr>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586254394440903"/>
          <c:y val="0.14341944252856323"/>
          <c:w val="0.79854632237549961"/>
          <c:h val="0.47278982996086494"/>
        </c:manualLayout>
      </c:layout>
      <c:barChart>
        <c:barDir val="col"/>
        <c:grouping val="clustered"/>
        <c:ser>
          <c:idx val="0"/>
          <c:order val="0"/>
          <c:tx>
            <c:strRef>
              <c:f>Sheet3!$D$65</c:f>
              <c:strCache>
                <c:ptCount val="1"/>
                <c:pt idx="0">
                  <c:v> (15DAS)</c:v>
                </c:pt>
              </c:strCache>
            </c:strRef>
          </c:tx>
          <c:spPr>
            <a:solidFill>
              <a:srgbClr val="00B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cat>
            <c:multiLvlStrRef>
              <c:f>Sheet3!$B$66:$C$75</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Sheet3!$D$66:$D$75</c:f>
              <c:numCache>
                <c:formatCode>General</c:formatCode>
                <c:ptCount val="10"/>
                <c:pt idx="0">
                  <c:v>20</c:v>
                </c:pt>
                <c:pt idx="1">
                  <c:v>31</c:v>
                </c:pt>
                <c:pt idx="2">
                  <c:v>32</c:v>
                </c:pt>
                <c:pt idx="3">
                  <c:v>31</c:v>
                </c:pt>
                <c:pt idx="4">
                  <c:v>38</c:v>
                </c:pt>
                <c:pt idx="5">
                  <c:v>60</c:v>
                </c:pt>
                <c:pt idx="6">
                  <c:v>15</c:v>
                </c:pt>
                <c:pt idx="7">
                  <c:v>10</c:v>
                </c:pt>
                <c:pt idx="8">
                  <c:v>15</c:v>
                </c:pt>
                <c:pt idx="9">
                  <c:v>10</c:v>
                </c:pt>
              </c:numCache>
            </c:numRef>
          </c:val>
          <c:extLst xmlns:c16r2="http://schemas.microsoft.com/office/drawing/2015/06/chart">
            <c:ext xmlns:c16="http://schemas.microsoft.com/office/drawing/2014/chart" uri="{C3380CC4-5D6E-409C-BE32-E72D297353CC}">
              <c16:uniqueId val="{00000000-B8F8-4F6E-A933-F30745B6111F}"/>
            </c:ext>
          </c:extLst>
        </c:ser>
        <c:ser>
          <c:idx val="1"/>
          <c:order val="1"/>
          <c:tx>
            <c:strRef>
              <c:f>Sheet3!$E$65</c:f>
              <c:strCache>
                <c:ptCount val="1"/>
                <c:pt idx="0">
                  <c:v> (30DAS)</c:v>
                </c:pt>
              </c:strCache>
            </c:strRef>
          </c:tx>
          <c:spPr>
            <a:solidFill>
              <a:srgbClr val="0070C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cat>
            <c:multiLvlStrRef>
              <c:f>Sheet3!$B$66:$C$75</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Sheet3!$E$66:$E$75</c:f>
              <c:numCache>
                <c:formatCode>General</c:formatCode>
                <c:ptCount val="10"/>
                <c:pt idx="0">
                  <c:v>10</c:v>
                </c:pt>
                <c:pt idx="1">
                  <c:v>15</c:v>
                </c:pt>
                <c:pt idx="2">
                  <c:v>20</c:v>
                </c:pt>
                <c:pt idx="3">
                  <c:v>30</c:v>
                </c:pt>
                <c:pt idx="4">
                  <c:v>25</c:v>
                </c:pt>
                <c:pt idx="5">
                  <c:v>28</c:v>
                </c:pt>
                <c:pt idx="6">
                  <c:v>60</c:v>
                </c:pt>
                <c:pt idx="7">
                  <c:v>15</c:v>
                </c:pt>
                <c:pt idx="8">
                  <c:v>12</c:v>
                </c:pt>
                <c:pt idx="9">
                  <c:v>10</c:v>
                </c:pt>
              </c:numCache>
            </c:numRef>
          </c:val>
          <c:extLst xmlns:c16r2="http://schemas.microsoft.com/office/drawing/2015/06/chart">
            <c:ext xmlns:c16="http://schemas.microsoft.com/office/drawing/2014/chart" uri="{C3380CC4-5D6E-409C-BE32-E72D297353CC}">
              <c16:uniqueId val="{00000001-B8F8-4F6E-A933-F30745B6111F}"/>
            </c:ext>
          </c:extLst>
        </c:ser>
        <c:ser>
          <c:idx val="2"/>
          <c:order val="2"/>
          <c:tx>
            <c:strRef>
              <c:f>Sheet3!$F$65</c:f>
              <c:strCache>
                <c:ptCount val="1"/>
                <c:pt idx="0">
                  <c:v> (45DAS)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cat>
            <c:multiLvlStrRef>
              <c:f>Sheet3!$B$66:$C$75</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Sheet3!$F$66:$F$75</c:f>
              <c:numCache>
                <c:formatCode>General</c:formatCode>
                <c:ptCount val="10"/>
                <c:pt idx="0">
                  <c:v>8</c:v>
                </c:pt>
                <c:pt idx="1">
                  <c:v>12</c:v>
                </c:pt>
                <c:pt idx="2">
                  <c:v>18</c:v>
                </c:pt>
                <c:pt idx="3">
                  <c:v>25</c:v>
                </c:pt>
                <c:pt idx="4">
                  <c:v>22</c:v>
                </c:pt>
                <c:pt idx="5">
                  <c:v>24</c:v>
                </c:pt>
                <c:pt idx="6">
                  <c:v>50</c:v>
                </c:pt>
                <c:pt idx="7">
                  <c:v>12</c:v>
                </c:pt>
                <c:pt idx="8">
                  <c:v>10</c:v>
                </c:pt>
                <c:pt idx="9">
                  <c:v>8</c:v>
                </c:pt>
              </c:numCache>
            </c:numRef>
          </c:val>
          <c:extLst xmlns:c16r2="http://schemas.microsoft.com/office/drawing/2015/06/chart">
            <c:ext xmlns:c16="http://schemas.microsoft.com/office/drawing/2014/chart" uri="{C3380CC4-5D6E-409C-BE32-E72D297353CC}">
              <c16:uniqueId val="{00000002-B8F8-4F6E-A933-F30745B6111F}"/>
            </c:ext>
          </c:extLst>
        </c:ser>
        <c:ser>
          <c:idx val="3"/>
          <c:order val="3"/>
          <c:tx>
            <c:strRef>
              <c:f>Sheet3!$G$65</c:f>
              <c:strCache>
                <c:ptCount val="1"/>
                <c:pt idx="0">
                  <c:v> (60DAS)</c:v>
                </c:pt>
              </c:strCache>
            </c:strRef>
          </c:tx>
          <c:spPr>
            <a:solidFill>
              <a:srgbClr val="7030A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cat>
            <c:multiLvlStrRef>
              <c:f>Sheet3!$B$66:$C$75</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Sheet3!$G$66:$G$75</c:f>
              <c:numCache>
                <c:formatCode>General</c:formatCode>
                <c:ptCount val="10"/>
                <c:pt idx="0">
                  <c:v>6</c:v>
                </c:pt>
                <c:pt idx="1">
                  <c:v>10</c:v>
                </c:pt>
                <c:pt idx="2">
                  <c:v>15</c:v>
                </c:pt>
                <c:pt idx="3">
                  <c:v>20</c:v>
                </c:pt>
                <c:pt idx="4">
                  <c:v>20</c:v>
                </c:pt>
                <c:pt idx="5">
                  <c:v>20</c:v>
                </c:pt>
                <c:pt idx="6">
                  <c:v>35</c:v>
                </c:pt>
                <c:pt idx="7">
                  <c:v>10</c:v>
                </c:pt>
                <c:pt idx="8">
                  <c:v>8</c:v>
                </c:pt>
                <c:pt idx="9">
                  <c:v>5</c:v>
                </c:pt>
              </c:numCache>
            </c:numRef>
          </c:val>
          <c:extLst xmlns:c16r2="http://schemas.microsoft.com/office/drawing/2015/06/chart">
            <c:ext xmlns:c16="http://schemas.microsoft.com/office/drawing/2014/chart" uri="{C3380CC4-5D6E-409C-BE32-E72D297353CC}">
              <c16:uniqueId val="{00000003-B8F8-4F6E-A933-F30745B6111F}"/>
            </c:ext>
          </c:extLst>
        </c:ser>
        <c:gapWidth val="100"/>
        <c:overlap val="-24"/>
        <c:axId val="197726592"/>
        <c:axId val="197752320"/>
      </c:barChart>
      <c:catAx>
        <c:axId val="197726592"/>
        <c:scaling>
          <c:orientation val="minMax"/>
        </c:scaling>
        <c:axPos val="b"/>
        <c:numFmt formatCode="General" sourceLinked="1"/>
        <c:majorTickMark val="none"/>
        <c:tickLblPos val="nextTo"/>
        <c:spPr>
          <a:noFill/>
          <a:ln w="12700"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752320"/>
        <c:crosses val="autoZero"/>
        <c:auto val="1"/>
        <c:lblAlgn val="ctr"/>
        <c:lblOffset val="100"/>
      </c:catAx>
      <c:valAx>
        <c:axId val="197752320"/>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000">
                    <a:latin typeface="Arial" panose="020B0604020202020204" pitchFamily="34" charset="0"/>
                    <a:cs typeface="Arial" panose="020B0604020202020204" pitchFamily="34" charset="0"/>
                  </a:rPr>
                  <a:t>Phosphorus level in soil</a:t>
                </a:r>
              </a:p>
            </c:rich>
          </c:tx>
          <c:layout>
            <c:manualLayout>
              <c:xMode val="edge"/>
              <c:yMode val="edge"/>
              <c:x val="2.675863297766632E-2"/>
              <c:y val="0.2311591635095912"/>
            </c:manualLayout>
          </c:layout>
          <c:spPr>
            <a:noFill/>
            <a:ln>
              <a:noFill/>
            </a:ln>
            <a:effectLst/>
          </c:spPr>
        </c:title>
        <c:numFmt formatCode="General" sourceLinked="1"/>
        <c:maj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726592"/>
        <c:crosses val="autoZero"/>
        <c:crossBetween val="between"/>
      </c:valAx>
      <c:spPr>
        <a:noFill/>
        <a:ln>
          <a:noFill/>
        </a:ln>
        <a:effectLst/>
      </c:spPr>
    </c:plotArea>
    <c:legend>
      <c:legendPos val="b"/>
      <c:layout>
        <c:manualLayout>
          <c:xMode val="edge"/>
          <c:yMode val="edge"/>
          <c:x val="0.38831489895355825"/>
          <c:y val="3.2965861894662246E-2"/>
          <c:w val="0.55082012431213723"/>
          <c:h val="8.7083671739370302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0.0257</cdr:x>
      <cdr:y>0.33981</cdr:y>
    </cdr:from>
    <cdr:to>
      <cdr:x>0.04981</cdr:x>
      <cdr:y>0.54199</cdr:y>
    </cdr:to>
    <cdr:sp macro="" textlink="">
      <cdr:nvSpPr>
        <cdr:cNvPr id="2" name="TextBox 1">
          <a:extLst xmlns:a="http://schemas.openxmlformats.org/drawingml/2006/main">
            <a:ext uri="{FF2B5EF4-FFF2-40B4-BE49-F238E27FC236}">
              <a16:creationId xmlns="" xmlns:a16="http://schemas.microsoft.com/office/drawing/2014/main" id="{19A17C45-0E76-465B-8FC9-6E8C899CE103}"/>
            </a:ext>
          </a:extLst>
        </cdr:cNvPr>
        <cdr:cNvSpPr txBox="1"/>
      </cdr:nvSpPr>
      <cdr:spPr>
        <a:xfrm xmlns:a="http://schemas.openxmlformats.org/drawingml/2006/main">
          <a:off x="243753" y="2081214"/>
          <a:ext cx="228600" cy="12382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0.00819</cdr:x>
      <cdr:y>0.2504</cdr:y>
    </cdr:from>
    <cdr:to>
      <cdr:x>0.05584</cdr:x>
      <cdr:y>0.58336</cdr:y>
    </cdr:to>
    <cdr:sp macro="" textlink="">
      <cdr:nvSpPr>
        <cdr:cNvPr id="3" name="TextBox 2">
          <a:extLst xmlns:a="http://schemas.openxmlformats.org/drawingml/2006/main">
            <a:ext uri="{FF2B5EF4-FFF2-40B4-BE49-F238E27FC236}">
              <a16:creationId xmlns="" xmlns:a16="http://schemas.microsoft.com/office/drawing/2014/main" id="{29CA8C0B-71CB-4F6E-A7C9-10E10C11D42C}"/>
            </a:ext>
          </a:extLst>
        </cdr:cNvPr>
        <cdr:cNvSpPr txBox="1"/>
      </cdr:nvSpPr>
      <cdr:spPr>
        <a:xfrm xmlns:a="http://schemas.openxmlformats.org/drawingml/2006/main">
          <a:off x="47501" y="1076294"/>
          <a:ext cx="276521" cy="1431181"/>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IN" sz="1000">
              <a:latin typeface="Arial" panose="020B0604020202020204" pitchFamily="34" charset="0"/>
              <a:cs typeface="Arial" panose="020B0604020202020204" pitchFamily="34" charset="0"/>
            </a:rPr>
            <a:t>No</a:t>
          </a:r>
          <a:r>
            <a:rPr lang="en-IN" sz="1200">
              <a:latin typeface="Times New Roman" panose="02020603050405020304" pitchFamily="18" charset="0"/>
              <a:cs typeface="Times New Roman" panose="02020603050405020304" pitchFamily="18" charset="0"/>
            </a:rPr>
            <a:t>.of</a:t>
          </a:r>
          <a:r>
            <a:rPr lang="en-IN" sz="1200" baseline="0">
              <a:latin typeface="Times New Roman" panose="02020603050405020304" pitchFamily="18" charset="0"/>
              <a:cs typeface="Times New Roman" panose="02020603050405020304" pitchFamily="18" charset="0"/>
            </a:rPr>
            <a:t> Nodule</a:t>
          </a:r>
          <a:endParaRPr lang="en-IN" sz="1200">
            <a:latin typeface="Times New Roman" panose="02020603050405020304" pitchFamily="18" charset="0"/>
            <a:cs typeface="Times New Roman" panose="02020603050405020304" pitchFamily="18"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09A677E133C48C1BEB7DD562463236E"/>
        <w:category>
          <w:name w:val="General"/>
          <w:gallery w:val="placeholder"/>
        </w:category>
        <w:types>
          <w:type w:val="bbPlcHdr"/>
        </w:types>
        <w:behaviors>
          <w:behavior w:val="content"/>
        </w:behaviors>
        <w:guid w:val="{114F53E0-1B84-41EF-8553-85039AA43D0E}"/>
      </w:docPartPr>
      <w:docPartBody>
        <w:p w:rsidR="003F6010" w:rsidRDefault="001703E2" w:rsidP="001703E2">
          <w:pPr>
            <w:pStyle w:val="109A677E133C48C1BEB7DD562463236E"/>
          </w:pPr>
          <w:r w:rsidRPr="00D6639B">
            <w:rPr>
              <w:rStyle w:val="PlaceholderText"/>
            </w:rPr>
            <w:t>Click or tap here to enter text.</w:t>
          </w:r>
        </w:p>
      </w:docPartBody>
    </w:docPart>
    <w:docPart>
      <w:docPartPr>
        <w:name w:val="F08A5AF66AB1477DA566B0D0A7FAA45A"/>
        <w:category>
          <w:name w:val="General"/>
          <w:gallery w:val="placeholder"/>
        </w:category>
        <w:types>
          <w:type w:val="bbPlcHdr"/>
        </w:types>
        <w:behaviors>
          <w:behavior w:val="content"/>
        </w:behaviors>
        <w:guid w:val="{A38E008F-5D30-4C32-B82E-F6910F5F7332}"/>
      </w:docPartPr>
      <w:docPartBody>
        <w:p w:rsidR="003F6010" w:rsidRDefault="001703E2" w:rsidP="001703E2">
          <w:pPr>
            <w:pStyle w:val="F08A5AF66AB1477DA566B0D0A7FAA45A"/>
          </w:pPr>
          <w:r w:rsidRPr="00A048CD">
            <w:rPr>
              <w:rStyle w:val="PlaceholderText"/>
            </w:rPr>
            <w:t>Click or tap here to enter text.</w:t>
          </w:r>
        </w:p>
      </w:docPartBody>
    </w:docPart>
    <w:docPart>
      <w:docPartPr>
        <w:name w:val="B0F99C484E6A4E05BD23E14DAC579FFD"/>
        <w:category>
          <w:name w:val="General"/>
          <w:gallery w:val="placeholder"/>
        </w:category>
        <w:types>
          <w:type w:val="bbPlcHdr"/>
        </w:types>
        <w:behaviors>
          <w:behavior w:val="content"/>
        </w:behaviors>
        <w:guid w:val="{632AB649-BBCC-4AFA-9371-3B64FE30C846}"/>
      </w:docPartPr>
      <w:docPartBody>
        <w:p w:rsidR="003F6010" w:rsidRDefault="001703E2" w:rsidP="001703E2">
          <w:pPr>
            <w:pStyle w:val="B0F99C484E6A4E05BD23E14DAC579FFD"/>
          </w:pPr>
          <w:r w:rsidRPr="00A048CD">
            <w:rPr>
              <w:rStyle w:val="PlaceholderText"/>
            </w:rPr>
            <w:t>Click or tap here to enter text.</w:t>
          </w:r>
        </w:p>
      </w:docPartBody>
    </w:docPart>
    <w:docPart>
      <w:docPartPr>
        <w:name w:val="E394FAF7CA954ECA8539B0F7A06A8DB1"/>
        <w:category>
          <w:name w:val="General"/>
          <w:gallery w:val="placeholder"/>
        </w:category>
        <w:types>
          <w:type w:val="bbPlcHdr"/>
        </w:types>
        <w:behaviors>
          <w:behavior w:val="content"/>
        </w:behaviors>
        <w:guid w:val="{444BA372-7498-45A5-B261-C9305A97B5D0}"/>
      </w:docPartPr>
      <w:docPartBody>
        <w:p w:rsidR="003F6010" w:rsidRDefault="001703E2" w:rsidP="001703E2">
          <w:pPr>
            <w:pStyle w:val="E394FAF7CA954ECA8539B0F7A06A8DB1"/>
          </w:pPr>
          <w:r w:rsidRPr="00D6639B">
            <w:rPr>
              <w:rStyle w:val="PlaceholderText"/>
            </w:rPr>
            <w:t>Click or tap here to enter text.</w:t>
          </w:r>
        </w:p>
      </w:docPartBody>
    </w:docPart>
    <w:docPart>
      <w:docPartPr>
        <w:name w:val="B91B5659EBFC46FF85D08F5F95EA090A"/>
        <w:category>
          <w:name w:val="General"/>
          <w:gallery w:val="placeholder"/>
        </w:category>
        <w:types>
          <w:type w:val="bbPlcHdr"/>
        </w:types>
        <w:behaviors>
          <w:behavior w:val="content"/>
        </w:behaviors>
        <w:guid w:val="{1B883272-53F7-457B-9AC8-EC3EBACC1E42}"/>
      </w:docPartPr>
      <w:docPartBody>
        <w:p w:rsidR="003F6010" w:rsidRDefault="001703E2" w:rsidP="001703E2">
          <w:pPr>
            <w:pStyle w:val="B91B5659EBFC46FF85D08F5F95EA090A"/>
          </w:pPr>
          <w:r w:rsidRPr="00D6639B">
            <w:rPr>
              <w:rStyle w:val="PlaceholderText"/>
            </w:rPr>
            <w:t>Click or tap here to enter text.</w:t>
          </w:r>
        </w:p>
      </w:docPartBody>
    </w:docPart>
    <w:docPart>
      <w:docPartPr>
        <w:name w:val="C0C896C97E7D4185AB91E0FDA5343B3E"/>
        <w:category>
          <w:name w:val="General"/>
          <w:gallery w:val="placeholder"/>
        </w:category>
        <w:types>
          <w:type w:val="bbPlcHdr"/>
        </w:types>
        <w:behaviors>
          <w:behavior w:val="content"/>
        </w:behaviors>
        <w:guid w:val="{99A9D25D-6F96-4D2C-9D43-44A3406643A4}"/>
      </w:docPartPr>
      <w:docPartBody>
        <w:p w:rsidR="003F6010" w:rsidRDefault="001703E2" w:rsidP="001703E2">
          <w:pPr>
            <w:pStyle w:val="C0C896C97E7D4185AB91E0FDA5343B3E"/>
          </w:pPr>
          <w:r w:rsidRPr="00D6639B">
            <w:rPr>
              <w:rStyle w:val="PlaceholderText"/>
            </w:rPr>
            <w:t>Click or tap here to enter text.</w:t>
          </w:r>
        </w:p>
      </w:docPartBody>
    </w:docPart>
    <w:docPart>
      <w:docPartPr>
        <w:name w:val="616605729A3B4A6595F4174FCFD6F377"/>
        <w:category>
          <w:name w:val="General"/>
          <w:gallery w:val="placeholder"/>
        </w:category>
        <w:types>
          <w:type w:val="bbPlcHdr"/>
        </w:types>
        <w:behaviors>
          <w:behavior w:val="content"/>
        </w:behaviors>
        <w:guid w:val="{672928BA-0CAA-434D-BA3A-BF9C92596FBD}"/>
      </w:docPartPr>
      <w:docPartBody>
        <w:p w:rsidR="003F6010" w:rsidRDefault="001703E2" w:rsidP="001703E2">
          <w:pPr>
            <w:pStyle w:val="616605729A3B4A6595F4174FCFD6F377"/>
          </w:pPr>
          <w:r w:rsidRPr="00D6639B">
            <w:rPr>
              <w:rStyle w:val="PlaceholderText"/>
            </w:rPr>
            <w:t>Click or tap here to enter text.</w:t>
          </w:r>
        </w:p>
      </w:docPartBody>
    </w:docPart>
    <w:docPart>
      <w:docPartPr>
        <w:name w:val="FCA796042E584F71AD0D88572C6F4D3E"/>
        <w:category>
          <w:name w:val="General"/>
          <w:gallery w:val="placeholder"/>
        </w:category>
        <w:types>
          <w:type w:val="bbPlcHdr"/>
        </w:types>
        <w:behaviors>
          <w:behavior w:val="content"/>
        </w:behaviors>
        <w:guid w:val="{1263E9D3-7181-4B35-9E54-191CB73F8951}"/>
      </w:docPartPr>
      <w:docPartBody>
        <w:p w:rsidR="003F6010" w:rsidRDefault="001703E2" w:rsidP="001703E2">
          <w:pPr>
            <w:pStyle w:val="FCA796042E584F71AD0D88572C6F4D3E"/>
          </w:pPr>
          <w:r w:rsidRPr="00D6639B">
            <w:rPr>
              <w:rStyle w:val="PlaceholderText"/>
            </w:rPr>
            <w:t>Click or tap here to enter text.</w:t>
          </w:r>
        </w:p>
      </w:docPartBody>
    </w:docPart>
    <w:docPart>
      <w:docPartPr>
        <w:name w:val="5E5CD24FF09046D980FF15D67D86118C"/>
        <w:category>
          <w:name w:val="General"/>
          <w:gallery w:val="placeholder"/>
        </w:category>
        <w:types>
          <w:type w:val="bbPlcHdr"/>
        </w:types>
        <w:behaviors>
          <w:behavior w:val="content"/>
        </w:behaviors>
        <w:guid w:val="{F7DA8AB3-5F7D-44C1-9928-2E275870534C}"/>
      </w:docPartPr>
      <w:docPartBody>
        <w:p w:rsidR="003F6010" w:rsidRDefault="001703E2" w:rsidP="001703E2">
          <w:pPr>
            <w:pStyle w:val="5E5CD24FF09046D980FF15D67D86118C"/>
          </w:pPr>
          <w:r w:rsidRPr="00D6639B">
            <w:rPr>
              <w:rStyle w:val="PlaceholderText"/>
            </w:rPr>
            <w:t>Click or tap here to enter text.</w:t>
          </w:r>
        </w:p>
      </w:docPartBody>
    </w:docPart>
    <w:docPart>
      <w:docPartPr>
        <w:name w:val="5150E6AB3ED74FCC8F239E094517F538"/>
        <w:category>
          <w:name w:val="General"/>
          <w:gallery w:val="placeholder"/>
        </w:category>
        <w:types>
          <w:type w:val="bbPlcHdr"/>
        </w:types>
        <w:behaviors>
          <w:behavior w:val="content"/>
        </w:behaviors>
        <w:guid w:val="{5DCD5622-2F07-46A0-84CC-B473372991ED}"/>
      </w:docPartPr>
      <w:docPartBody>
        <w:p w:rsidR="003F6010" w:rsidRDefault="001703E2" w:rsidP="001703E2">
          <w:pPr>
            <w:pStyle w:val="5150E6AB3ED74FCC8F239E094517F538"/>
          </w:pPr>
          <w:r w:rsidRPr="00D6639B">
            <w:rPr>
              <w:rStyle w:val="PlaceholderText"/>
            </w:rPr>
            <w:t>Click or tap here to enter text.</w:t>
          </w:r>
        </w:p>
      </w:docPartBody>
    </w:docPart>
    <w:docPart>
      <w:docPartPr>
        <w:name w:val="80EDD347CBAC4620B89ED57AF1FDB2E2"/>
        <w:category>
          <w:name w:val="General"/>
          <w:gallery w:val="placeholder"/>
        </w:category>
        <w:types>
          <w:type w:val="bbPlcHdr"/>
        </w:types>
        <w:behaviors>
          <w:behavior w:val="content"/>
        </w:behaviors>
        <w:guid w:val="{4166738C-3556-42D9-976C-8CD6C8C9948E}"/>
      </w:docPartPr>
      <w:docPartBody>
        <w:p w:rsidR="003F6010" w:rsidRDefault="001703E2" w:rsidP="001703E2">
          <w:pPr>
            <w:pStyle w:val="80EDD347CBAC4620B89ED57AF1FDB2E2"/>
          </w:pPr>
          <w:r w:rsidRPr="00D6639B">
            <w:rPr>
              <w:rStyle w:val="PlaceholderText"/>
            </w:rPr>
            <w:t>Click or tap here to enter text.</w:t>
          </w:r>
        </w:p>
      </w:docPartBody>
    </w:docPart>
    <w:docPart>
      <w:docPartPr>
        <w:name w:val="9BE1177F085049568851E0EE40FB21AD"/>
        <w:category>
          <w:name w:val="General"/>
          <w:gallery w:val="placeholder"/>
        </w:category>
        <w:types>
          <w:type w:val="bbPlcHdr"/>
        </w:types>
        <w:behaviors>
          <w:behavior w:val="content"/>
        </w:behaviors>
        <w:guid w:val="{E6F121AA-106E-47B1-A0F2-FD08AC319ED7}"/>
      </w:docPartPr>
      <w:docPartBody>
        <w:p w:rsidR="003F6010" w:rsidRDefault="001703E2" w:rsidP="001703E2">
          <w:pPr>
            <w:pStyle w:val="9BE1177F085049568851E0EE40FB21AD"/>
          </w:pPr>
          <w:r w:rsidRPr="00D6639B">
            <w:rPr>
              <w:rStyle w:val="PlaceholderText"/>
            </w:rPr>
            <w:t>Click or tap here to enter text.</w:t>
          </w:r>
        </w:p>
      </w:docPartBody>
    </w:docPart>
    <w:docPart>
      <w:docPartPr>
        <w:name w:val="BC574DAC69C94B58A69B9A1644576A87"/>
        <w:category>
          <w:name w:val="General"/>
          <w:gallery w:val="placeholder"/>
        </w:category>
        <w:types>
          <w:type w:val="bbPlcHdr"/>
        </w:types>
        <w:behaviors>
          <w:behavior w:val="content"/>
        </w:behaviors>
        <w:guid w:val="{31D5FFFA-FC8F-45F3-A65F-3F08E3275DD8}"/>
      </w:docPartPr>
      <w:docPartBody>
        <w:p w:rsidR="003F6010" w:rsidRDefault="001703E2" w:rsidP="001703E2">
          <w:pPr>
            <w:pStyle w:val="BC574DAC69C94B58A69B9A1644576A87"/>
          </w:pPr>
          <w:r w:rsidRPr="00D6639B">
            <w:rPr>
              <w:rStyle w:val="PlaceholderText"/>
            </w:rPr>
            <w:t>Click or tap here to enter text.</w:t>
          </w:r>
        </w:p>
      </w:docPartBody>
    </w:docPart>
    <w:docPart>
      <w:docPartPr>
        <w:name w:val="49965030BB954A01B825E18A2A2D5835"/>
        <w:category>
          <w:name w:val="General"/>
          <w:gallery w:val="placeholder"/>
        </w:category>
        <w:types>
          <w:type w:val="bbPlcHdr"/>
        </w:types>
        <w:behaviors>
          <w:behavior w:val="content"/>
        </w:behaviors>
        <w:guid w:val="{A87CE248-3F89-4B5E-9CF9-EA02D51EAA62}"/>
      </w:docPartPr>
      <w:docPartBody>
        <w:p w:rsidR="00D84A9E" w:rsidRDefault="00FF3FA5" w:rsidP="00FF3FA5">
          <w:pPr>
            <w:pStyle w:val="49965030BB954A01B825E18A2A2D5835"/>
          </w:pPr>
          <w:r w:rsidRPr="00D6639B">
            <w:rPr>
              <w:rStyle w:val="PlaceholderText"/>
            </w:rPr>
            <w:t>Click or tap here to enter text.</w:t>
          </w:r>
        </w:p>
      </w:docPartBody>
    </w:docPart>
    <w:docPart>
      <w:docPartPr>
        <w:name w:val="2D0547D42AF44D55A96A6E9771435AEA"/>
        <w:category>
          <w:name w:val="General"/>
          <w:gallery w:val="placeholder"/>
        </w:category>
        <w:types>
          <w:type w:val="bbPlcHdr"/>
        </w:types>
        <w:behaviors>
          <w:behavior w:val="content"/>
        </w:behaviors>
        <w:guid w:val="{FE3BECB7-489F-4A59-A842-80382D8D5B4F}"/>
      </w:docPartPr>
      <w:docPartBody>
        <w:p w:rsidR="00686657" w:rsidRDefault="00D84A9E" w:rsidP="00D84A9E">
          <w:pPr>
            <w:pStyle w:val="2D0547D42AF44D55A96A6E9771435AEA"/>
          </w:pPr>
          <w:r w:rsidRPr="00D6639B">
            <w:rPr>
              <w:rStyle w:val="PlaceholderText"/>
            </w:rPr>
            <w:t>Click or tap here to enter text.</w:t>
          </w:r>
        </w:p>
      </w:docPartBody>
    </w:docPart>
    <w:docPart>
      <w:docPartPr>
        <w:name w:val="C213341CEFC8448BABC3DF869BED905B"/>
        <w:category>
          <w:name w:val="General"/>
          <w:gallery w:val="placeholder"/>
        </w:category>
        <w:types>
          <w:type w:val="bbPlcHdr"/>
        </w:types>
        <w:behaviors>
          <w:behavior w:val="content"/>
        </w:behaviors>
        <w:guid w:val="{18380D1F-9512-45F6-8EC7-135ECC66B500}"/>
      </w:docPartPr>
      <w:docPartBody>
        <w:p w:rsidR="00686657" w:rsidRDefault="00D84A9E" w:rsidP="00D84A9E">
          <w:pPr>
            <w:pStyle w:val="C213341CEFC8448BABC3DF869BED905B"/>
          </w:pPr>
          <w:r w:rsidRPr="00D6639B">
            <w:rPr>
              <w:rStyle w:val="PlaceholderText"/>
            </w:rPr>
            <w:t>Click or tap here to enter text.</w:t>
          </w:r>
        </w:p>
      </w:docPartBody>
    </w:docPart>
    <w:docPart>
      <w:docPartPr>
        <w:name w:val="2FF2DE42E1A9427ABFFB7DEA7553A7CA"/>
        <w:category>
          <w:name w:val="General"/>
          <w:gallery w:val="placeholder"/>
        </w:category>
        <w:types>
          <w:type w:val="bbPlcHdr"/>
        </w:types>
        <w:behaviors>
          <w:behavior w:val="content"/>
        </w:behaviors>
        <w:guid w:val="{5F8E4190-6386-4919-BEC0-B7640FE81173}"/>
      </w:docPartPr>
      <w:docPartBody>
        <w:p w:rsidR="00686657" w:rsidRDefault="00D84A9E" w:rsidP="00D84A9E">
          <w:pPr>
            <w:pStyle w:val="2FF2DE42E1A9427ABFFB7DEA7553A7CA"/>
          </w:pPr>
          <w:r w:rsidRPr="00D6639B">
            <w:rPr>
              <w:rStyle w:val="PlaceholderText"/>
            </w:rPr>
            <w:t>Click or tap here to enter text.</w:t>
          </w:r>
        </w:p>
      </w:docPartBody>
    </w:docPart>
    <w:docPart>
      <w:docPartPr>
        <w:name w:val="42A8590A5B304650A2288315C89C78B5"/>
        <w:category>
          <w:name w:val="General"/>
          <w:gallery w:val="placeholder"/>
        </w:category>
        <w:types>
          <w:type w:val="bbPlcHdr"/>
        </w:types>
        <w:behaviors>
          <w:behavior w:val="content"/>
        </w:behaviors>
        <w:guid w:val="{E725AFBE-3487-45CD-9B2A-BAFDA76528FB}"/>
      </w:docPartPr>
      <w:docPartBody>
        <w:p w:rsidR="00686657" w:rsidRDefault="00D84A9E" w:rsidP="00D84A9E">
          <w:pPr>
            <w:pStyle w:val="42A8590A5B304650A2288315C89C78B5"/>
          </w:pPr>
          <w:r w:rsidRPr="00D6639B">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4F14D880-496B-407F-B032-43143B6752FE}"/>
      </w:docPartPr>
      <w:docPartBody>
        <w:p w:rsidR="00F70585" w:rsidRDefault="00F70585">
          <w:r w:rsidRPr="00C2565A">
            <w:rPr>
              <w:rStyle w:val="Placeholder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703E2"/>
    <w:rsid w:val="00074F79"/>
    <w:rsid w:val="00127904"/>
    <w:rsid w:val="001703E2"/>
    <w:rsid w:val="0033051A"/>
    <w:rsid w:val="00356BE1"/>
    <w:rsid w:val="003F6010"/>
    <w:rsid w:val="00436212"/>
    <w:rsid w:val="0044139B"/>
    <w:rsid w:val="004D3E43"/>
    <w:rsid w:val="006444ED"/>
    <w:rsid w:val="0066578C"/>
    <w:rsid w:val="00686657"/>
    <w:rsid w:val="00787C0A"/>
    <w:rsid w:val="008F0736"/>
    <w:rsid w:val="00966AD4"/>
    <w:rsid w:val="009A2C51"/>
    <w:rsid w:val="00A80C37"/>
    <w:rsid w:val="00AE17B9"/>
    <w:rsid w:val="00D84A9E"/>
    <w:rsid w:val="00DF0F47"/>
    <w:rsid w:val="00E015E1"/>
    <w:rsid w:val="00ED6F4B"/>
    <w:rsid w:val="00F70585"/>
    <w:rsid w:val="00FF3F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73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0585"/>
    <w:rPr>
      <w:color w:val="808080"/>
    </w:rPr>
  </w:style>
  <w:style w:type="paragraph" w:customStyle="1" w:styleId="109A677E133C48C1BEB7DD562463236E">
    <w:name w:val="109A677E133C48C1BEB7DD562463236E"/>
    <w:rsid w:val="001703E2"/>
  </w:style>
  <w:style w:type="paragraph" w:customStyle="1" w:styleId="F08A5AF66AB1477DA566B0D0A7FAA45A">
    <w:name w:val="F08A5AF66AB1477DA566B0D0A7FAA45A"/>
    <w:rsid w:val="001703E2"/>
  </w:style>
  <w:style w:type="paragraph" w:customStyle="1" w:styleId="B0F99C484E6A4E05BD23E14DAC579FFD">
    <w:name w:val="B0F99C484E6A4E05BD23E14DAC579FFD"/>
    <w:rsid w:val="001703E2"/>
  </w:style>
  <w:style w:type="paragraph" w:customStyle="1" w:styleId="E394FAF7CA954ECA8539B0F7A06A8DB1">
    <w:name w:val="E394FAF7CA954ECA8539B0F7A06A8DB1"/>
    <w:rsid w:val="001703E2"/>
  </w:style>
  <w:style w:type="paragraph" w:customStyle="1" w:styleId="B91B5659EBFC46FF85D08F5F95EA090A">
    <w:name w:val="B91B5659EBFC46FF85D08F5F95EA090A"/>
    <w:rsid w:val="001703E2"/>
  </w:style>
  <w:style w:type="paragraph" w:customStyle="1" w:styleId="C0C896C97E7D4185AB91E0FDA5343B3E">
    <w:name w:val="C0C896C97E7D4185AB91E0FDA5343B3E"/>
    <w:rsid w:val="001703E2"/>
  </w:style>
  <w:style w:type="paragraph" w:customStyle="1" w:styleId="616605729A3B4A6595F4174FCFD6F377">
    <w:name w:val="616605729A3B4A6595F4174FCFD6F377"/>
    <w:rsid w:val="001703E2"/>
  </w:style>
  <w:style w:type="paragraph" w:customStyle="1" w:styleId="FCA796042E584F71AD0D88572C6F4D3E">
    <w:name w:val="FCA796042E584F71AD0D88572C6F4D3E"/>
    <w:rsid w:val="001703E2"/>
  </w:style>
  <w:style w:type="paragraph" w:customStyle="1" w:styleId="5E5CD24FF09046D980FF15D67D86118C">
    <w:name w:val="5E5CD24FF09046D980FF15D67D86118C"/>
    <w:rsid w:val="001703E2"/>
  </w:style>
  <w:style w:type="paragraph" w:customStyle="1" w:styleId="5150E6AB3ED74FCC8F239E094517F538">
    <w:name w:val="5150E6AB3ED74FCC8F239E094517F538"/>
    <w:rsid w:val="001703E2"/>
  </w:style>
  <w:style w:type="paragraph" w:customStyle="1" w:styleId="80EDD347CBAC4620B89ED57AF1FDB2E2">
    <w:name w:val="80EDD347CBAC4620B89ED57AF1FDB2E2"/>
    <w:rsid w:val="001703E2"/>
  </w:style>
  <w:style w:type="paragraph" w:customStyle="1" w:styleId="9BE1177F085049568851E0EE40FB21AD">
    <w:name w:val="9BE1177F085049568851E0EE40FB21AD"/>
    <w:rsid w:val="001703E2"/>
  </w:style>
  <w:style w:type="paragraph" w:customStyle="1" w:styleId="BC574DAC69C94B58A69B9A1644576A87">
    <w:name w:val="BC574DAC69C94B58A69B9A1644576A87"/>
    <w:rsid w:val="001703E2"/>
  </w:style>
  <w:style w:type="paragraph" w:customStyle="1" w:styleId="49965030BB954A01B825E18A2A2D5835">
    <w:name w:val="49965030BB954A01B825E18A2A2D5835"/>
    <w:rsid w:val="00FF3FA5"/>
  </w:style>
  <w:style w:type="paragraph" w:customStyle="1" w:styleId="2D0547D42AF44D55A96A6E9771435AEA">
    <w:name w:val="2D0547D42AF44D55A96A6E9771435AEA"/>
    <w:rsid w:val="00D84A9E"/>
  </w:style>
  <w:style w:type="paragraph" w:customStyle="1" w:styleId="C213341CEFC8448BABC3DF869BED905B">
    <w:name w:val="C213341CEFC8448BABC3DF869BED905B"/>
    <w:rsid w:val="00D84A9E"/>
  </w:style>
  <w:style w:type="paragraph" w:customStyle="1" w:styleId="2FF2DE42E1A9427ABFFB7DEA7553A7CA">
    <w:name w:val="2FF2DE42E1A9427ABFFB7DEA7553A7CA"/>
    <w:rsid w:val="00D84A9E"/>
  </w:style>
  <w:style w:type="paragraph" w:customStyle="1" w:styleId="42A8590A5B304650A2288315C89C78B5">
    <w:name w:val="42A8590A5B304650A2288315C89C78B5"/>
    <w:rsid w:val="00D84A9E"/>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7EF6F5-A2E6-47E5-987C-9164C45157E4}">
  <we:reference id="wa104382081" version="1.55.1.0" store="en-US" storeType="OMEX"/>
  <we:alternateReferences>
    <we:reference id="wa104382081" version="1.55.1.0" store="" storeType="OMEX"/>
  </we:alternateReferences>
  <we:properties>
    <we:property name="MENDELEY_CITATIONS" value="[{&quot;citationID&quot;:&quot;MENDELEY_CITATION_0e62231c-baaf-40fd-a53a-67eafae5c62f&quot;,&quot;properties&quot;:{&quot;noteIndex&quot;:0},&quot;isEdited&quot;:false,&quot;manualOverride&quot;:{&quot;isManuallyOverridden&quot;:false,&quot;citeprocText&quot;:&quot;(Doran &amp;#38; Zeiss, 2000)&quot;,&quot;manualOverrideText&quot;:&quot;&quot;},&quot;citationTag&quot;:&quot;MENDELEY_CITATION_v3_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&quot;,&quot;citationItems&quot;:[{&quot;id&quot;:&quot;24c6acf9-b3c7-38aa-8980-6e8788e80eae&quot;,&quot;itemData&quot;:{&quot;type&quot;:&quot;report&quot;,&quot;id&quot;:&quot;24c6acf9-b3c7-38aa-8980-6e8788e80eae&quot;,&quot;title&quot;:&quot;Soil health and sustainability: managing the biotic component of soil quality&quot;,&quot;author&quot;:[{&quot;family&quot;:&quot;Doran&quot;,&quot;given&quot;:&quot;John W&quot;,&quot;parse-names&quot;:false,&quot;dropping-particle&quot;:&quot;&quot;,&quot;non-dropping-particle&quot;:&quot;&quot;},{&quot;family&quot;:&quot;Zeiss&quot;,&quot;given&quot;:&quot;Michael R&quot;,&quot;parse-names&quot;:false,&quot;dropping-particle&quot;:&quot;&quot;,&quot;non-dropping-particle&quot;:&quot;&quot;}],&quot;container-title&quot;:&quot;Applied Soil Ecology&quot;,&quot;issued&quot;:{&quot;date-parts&quot;:[[2000]]},&quot;abstract&quot;:&quot;Soil health is the capacity of soil to function as a vital living system, within ecosystem and land-use boundaries, to sustain plant and animal productivity, maintain or enhance water and air quality, and promote plant and animal health.&quot;,&quot;volume&quot;:&quot;15&quot;,&quot;container-title-short&quot;:&quot;&quot;},&quot;isTemporary&quot;:false}]},{&quot;citationID&quot;:&quot;MENDELEY_CITATION_48562a7e-5f2a-4c49-b3e5-f22f8804ae95&quot;,&quot;properties&quot;:{&quot;noteIndex&quot;:0},&quot;isEdited&quot;:false,&quot;manualOverride&quot;:{&quot;isManuallyOverridden&quot;:false,&quot;citeprocText&quot;:&quot;(Liankai et al., 2020)&quot;,&quot;manualOverrideText&quot;:&quot;&quot;},&quot;citationTag&quot;:&quot;MENDELEY_CITATION_v3_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&quot;,&quot;citationItems&quot;:[{&quot;id&quot;:&quot;58048658-daf8-3d04-b679-da6cc742601b&quot;,&quot;itemData&quot;:{&quot;type&quot;:&quot;article-journal&quot;,&quot;id&quot;:&quot;58048658-daf8-3d04-b679-da6cc742601b&quot;,&quot;title&quot;:&quot;Geochemical implications of rare earth elements in terra rossa in tropical karst area: A case study in northern Vietnam&quot;,&quot;author&quot;:[{&quot;family&quot;:&quot;Liankai&quot;,&quot;given&quot;:&quot;Zhang&quot;,&quot;parse-names&quot;:false,&quot;dropping-particle&quot;:&quot;&quot;,&quot;non-dropping-particle&quot;:&quot;&quot;},{&quot;family&quot;:&quot;Hongbing&quot;,&quot;given&quot;:&quot;Ji&quot;,&quot;parse-names&quot;:false,&quot;dropping-particle&quot;:&quot;&quot;,&quot;non-dropping-particle&quot;:&quot;&quot;},{&quot;family&quot;:&quot;Shijie&quot;,&quot;given&quot;:&quot;Wang&quot;,&quot;parse-names&quot;:false,&quot;dropping-particle&quot;:&quot;&quot;,&quot;non-dropping-particle&quot;:&quot;&quot;},{&quot;family&quot;:&quot;Gang&quot;,&quot;given&quot;:&quot;Luo&quot;,&quot;parse-names&quot;:false,&quot;dropping-particle&quot;:&quot;&quot;,&quot;non-dropping-particle&quot;:&quot;&quot;},{&quot;family&quot;:&quot;Xiuming&quot;,&quot;given&quot;:&quot;Liu&quot;,&quot;parse-names&quot;:false,&quot;dropping-particle&quot;:&quot;&quot;,&quot;non-dropping-particle&quot;:&quot;&quot;},{&quot;family&quot;:&quot;Xiao&quot;,&quot;given&quot;:&quot;Wei&quot;,&quot;parse-names&quot;:false,&quot;dropping-particle&quot;:&quot;&quot;,&quot;non-dropping-particle&quot;:&quot;&quot;},{&quot;family&quot;:&quot;QuocDinh&quot;,&quot;given&quot;:&quot;Nguyen&quot;,&quot;parse-names&quot;:false,&quot;dropping-particle&quot;:&quot;&quot;,&quot;non-dropping-particle&quot;:&quot;&quot;},{&quot;family&quot;:&quot;DaiTrung&quot;,&quot;given&quot;:&quot;Nguyen&quot;,&quot;parse-names&quot;:false,&quot;dropping-particle&quot;:&quot;&quot;,&quot;non-dropping-particle&quot;:&quot;&quot;}],&quot;container-title&quot;:&quot;Applied Sciences (Switzerland)&quot;,&quot;DOI&quot;:&quot;10.3390/app10030858&quot;,&quot;ISSN&quot;:&quot;20763417&quot;,&quot;issued&quot;:{&quot;date-parts&quot;:[[2020,2,1]]},&quot;abstract&quot;:&quot;Research on weathered crusts on carbonate rock is essential for paleoenvironmental studies in karst areas. Terra rossa, widely distributed in tropical karst areas, has not been studied in terms of its material sources and geochemistry. Two typical terra rossa profiles on dolomite (SC profile located at Sang Cai, Hoa Binh province) and limestone (TG profile located at Tong Gia, Lao Cai province) in Northern Vietnam were selected to examine the geochemical characteristics and the evolutionary processes of rare earth elements (REEs). Chondrite and bedrock normalized patterns indicated that these two profiles are in situ weathering crusts, meaning they are the residual material remaining after chemical weathering of the lower carbonate rocks. The average value of total REE in the SC profile is 381.19 ppm, which is 30 times higher than the bedrock. In the TG profile, the value is 386.26 ppm, 13 times higher than the bedrock. Compared with the profiles in nearby subtropical areas in Southeast China, the REE enrichment coefficients of terra rossa in Northern Vietnam are much higher. The REE depletion was also different between the SC and TG profiles. The light and heavy REE fractionations in the SC profile are higher than in the TG profile. Paleoclimate inversion analysis shows that the SC profile experienced a stable oxidation condition, whereas the TG profile was subjected to several reducing environments since a weathering crust formed.&quot;,&quot;publisher&quot;:&quot;MDPI AG&quot;,&quot;issue&quot;:&quot;3&quot;,&quot;volume&quot;:&quot;10&quot;,&quot;container-title-short&quot;:&quot;&quot;},&quot;isTemporary&quot;:false}]},{&quot;citationID&quot;:&quot;MENDELEY_CITATION_fd166a5f-83e8-4379-97af-739324d8f380&quot;,&quot;properties&quot;:{&quot;noteIndex&quot;:0},&quot;isEdited&quot;:false,&quot;manualOverride&quot;:{&quot;isManuallyOverridden&quot;:false,&quot;citeprocText&quot;:&quot;(Wilson, 2004)&quot;,&quot;manualOverrideText&quot;:&quot;&quot;},&quot;citationTag&quot;:&quot;MENDELEY_CITATION_v3_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&quot;,&quot;citationItems&quot;:[{&quot;id&quot;:&quot;69a40ad3-95d2-3453-98ff-df59cc27dc03&quot;,&quot;itemData&quot;:{&quot;type&quot;:&quot;report&quot;,&quot;id&quot;:&quot;69a40ad3-95d2-3453-98ff-df59cc27dc03&quot;,&quot;title&quot;:&quot;NATURE AND PROPERTIES OF RED SOILS OF THE WORLD v C BALIGAR(I) N K F AGERIA (2) H ESW&quot;,&quot;author&quot;:[{&quot;family&quot;:&quot;Wilson&quot;,&quot;given&quot;:&quot;M J&quot;,&quot;parse-names&quot;:false,&quot;dropping-particle&quot;:&quot;&quot;,&quot;non-dropping-particle&quot;:&quot;&quot;}],&quot;issued&quot;:{&quot;date-parts&quot;:[[2004]]},&quot;abstract&quot;:&quot;Red soils are bighly leached soils of the humid tropics having a bigh content of sesquioxides. In the current system of U. S. Soil Taxonomy, red soils are usually designated under the orders ofOxisols, Ultisols, and occasionally Alfisols, Mollisols and even Inceptisols. Red soils are predominantly found in South America, Central Africa, South and Southeast Asia, China, India, Japan and Austra1ia. In general, these soils have good physical conditions for plant growth although they often have very low water-holding capacity. Low natural fertility is the main limiting factor for good crop production on these soils and they are frequently acidic and deficient in all essential nutrients, especially N, P, K, Ca, Mg, S, Zn, B, and Cu Adequate applications oflime and fertilizers are important strategies for replenishing soil fertility and improving crop yields on these soils. In addition, cultural practices such as appropriate crop rotation, improvement of organic matter content, use of nutrient efficient or acid tolerant plant species or cultivars, and control of soil erosion can optimize nutrient use efficiency and improve crop yields on these soils. In China, utilization of red soils for crop production by farmers depends not only upon the employment of such practices but also upon socioeconomic factors and the availability of adequate incentives.&quot;,&quot;container-title-short&quot;:&quot;&quot;},&quot;isTemporary&quot;:false}]},{&quot;citationID&quot;:&quot;MENDELEY_CITATION_b2d22110-4ed0-4663-a4cb-5956060b16b2&quot;,&quot;properties&quot;:{&quot;noteIndex&quot;:0},&quot;isEdited&quot;:false,&quot;manualOverride&quot;:{&quot;isManuallyOverridden&quot;:false,&quot;citeprocText&quot;:&quot;(Hao et al., 2019)&quot;,&quot;manualOverrideText&quot;:&quot;&quot;},&quot;citationTag&quot;:&quot;MENDELEY_CITATION_v3_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&quot;,&quot;citationItems&quot;:[{&quot;id&quot;:&quot;f6fee805-f254-35f3-b703-860ee245fef6&quot;,&quot;itemData&quot;:{&quot;type&quot;:&quot;article-journal&quot;,&quot;id&quot;:&quot;f6fee805-f254-35f3-b703-860ee245fef6&quot;,&quot;title&quot;:&quot;Quantification of the contribution of nitrogen fertilization and crop harvesting to soil acidification in a wheat-maize double cropping system&quot;,&quot;author&quot;:[{&quot;family&quot;:&quot;Hao&quot;,&quot;given&quot;:&quot;Tianxiang&quot;,&quot;parse-names&quot;:false,&quot;dropping-particle&quot;:&quot;&quot;,&quot;non-dropping-particle&quot;:&quot;&quot;},{&quot;family&quot;:&quot;Zhu&quot;,&quot;given&quot;:&quot;Qichao&quot;,&quot;parse-names&quot;:false,&quot;dropping-particle&quot;:&quot;&quot;,&quot;non-dropping-particle&quot;:&quot;&quot;},{&quot;family&quot;:&quot;Zeng&quot;,&quot;given&quot;:&quot;Mufan&quot;,&quot;parse-names&quot;:false,&quot;dropping-particle&quot;:&quot;&quot;,&quot;non-dropping-particle&quot;:&quot;&quot;},{&quot;family&quot;:&quot;Shen&quot;,&quot;given&quot;:&quot;Jianbo&quot;,&quot;parse-names&quot;:false,&quot;dropping-particle&quot;:&quot;&quot;,&quot;non-dropping-particle&quot;:&quot;&quot;},{&quot;family&quot;:&quot;Shi&quot;,&quot;given&quot;:&quot;Xiaojun&quot;,&quot;parse-names&quot;:false,&quot;dropping-particle&quot;:&quot;&quot;,&quot;non-dropping-particle&quot;:&quot;&quot;},{&quot;family&quot;:&quot;Liu&quot;,&quot;given&quot;:&quot;Xuejun&quot;,&quot;parse-names&quot;:false,&quot;dropping-particle&quot;:&quot;&quot;,&quot;non-dropping-particle&quot;:&quot;&quot;},{&quot;family&quot;:&quot;Zhang&quot;,&quot;given&quot;:&quot;Fusuo&quot;,&quot;parse-names&quot;:false,&quot;dropping-particle&quot;:&quot;&quot;,&quot;non-dropping-particle&quot;:&quot;&quot;},{&quot;family&quot;:&quot;Vries&quot;,&quot;given&quot;:&quot;Wim&quot;,&quot;parse-names&quot;:false,&quot;dropping-particle&quot;:&quot;&quot;,&quot;non-dropping-particle&quot;:&quot;de&quot;}],&quot;container-title&quot;:&quot;Plant and Soil&quot;,&quot;container-title-short&quot;:&quot;Plant Soil&quot;,&quot;DOI&quot;:&quot;10.1007/s11104-018-3760-0&quot;,&quot;ISSN&quot;:&quot;15735036&quot;,&quot;issued&quot;:{&quot;date-parts&quot;:[[2019,1,15]]},&quot;page&quot;:&quot;167-184&quot;,&quot;abstract&quot;:&quot;Background: Over fertilization with nitrogen (N) is considered the main driver of agricultural soil acidification in China. However, the contribution of this driver compared to other causes of soil acidification on intensive croplands has seldom been quantified under field conditions. Methods: We measured the fate of major nutrients, and calculated the related H + production, based on the difference between inputs and leaching losses of those nutrients for a wheat-maize rotation system on a moderate acid silty clay loam soil in a two-year field experiment. Results: Topsoil pH decreased 0.3 units in the plots with conventional (current farmer practice) high N fertilization after two years, with a proton production of 13.1 keq H + ha −1  yr. −1 . No apparent changes in topsoil pH were observed in the plots without N application, in spite of a proton production of 4.7 keq H + ha −1  yr. −1 . Crop uptake was the primary driver of H + production, followed by N transformation processes and HCO 3− leaching in both plots. Conclusions: Nitrogen fertilization had a relative small direct impact on soil acidification due to a very limited nitrate leaching, induced by large N losses to air by denitrification in this specific moderately acid soil, whereas elevated base cation uptake by crops induced by N fertilization indirectly had a relative large impact.&quot;,&quot;publisher&quot;:&quot;Springer International Publishing&quot;,&quot;issue&quot;:&quot;1-2&quot;,&quot;volume&quot;:&quot;434&quot;},&quot;isTemporary&quot;:false}]},{&quot;citationID&quot;:&quot;MENDELEY_CITATION_abce824e-66f4-4730-a145-5e056e23b857&quot;,&quot;properties&quot;:{&quot;noteIndex&quot;:0},&quot;isEdited&quot;:false,&quot;manualOverride&quot;:{&quot;isManuallyOverridden&quot;:false,&quot;citeprocText&quot;:&quot;(Kochian et al., 2015)&quot;,&quot;manualOverrideText&quot;:&quot;&quot;},&quot;citationTag&quot;:&quot;MENDELEY_CITATION_v3_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&quot;,&quot;citationItems&quot;:[{&quot;id&quot;:&quot;9d3afd9e-df53-3440-8344-83bc6bd91a59&quot;,&quot;itemData&quot;:{&quot;type&quot;:&quot;article-journal&quot;,&quot;id&quot;:&quot;9d3afd9e-df53-3440-8344-83bc6bd91a59&quot;,&quot;title&quot;:&quot;Plant adaptation to acid soils: The molecular basis for crop aluminum resistance&quot;,&quot;author&quot;:[{&quot;family&quot;:&quot;Kochian&quot;,&quot;given&quot;:&quot;Leon&quot;,&quot;parse-names&quot;:false,&quot;dropping-particle&quot;:&quot;V.&quot;,&quot;non-dropping-particle&quot;:&quot;&quot;},{&quot;family&quot;:&quot;Piñeros&quot;,&quot;given&quot;:&quot;Miguel A.&quot;,&quot;parse-names&quot;:false,&quot;dropping-particle&quot;:&quot;&quot;,&quot;non-dropping-particle&quot;:&quot;&quot;},{&quot;family&quot;:&quot;Liu&quot;,&quot;given&quot;:&quot;Jiping&quot;,&quot;parse-names&quot;:false,&quot;dropping-particle&quot;:&quot;&quot;,&quot;non-dropping-particle&quot;:&quot;&quot;},{&quot;family&quot;:&quot;Magalhaes&quot;,&quot;given&quot;:&quot;Jurandir&quot;,&quot;parse-names&quot;:false,&quot;dropping-particle&quot;:&quot;V.&quot;,&quot;non-dropping-particle&quot;:&quot;&quot;}],&quot;container-title&quot;:&quot;Annual Review of Plant Biology&quot;,&quot;container-title-short&quot;:&quot;Annu Rev Plant Biol&quot;,&quot;DOI&quot;:&quot;10.1146/annurev-arplant-043014-114822&quot;,&quot;ISSN&quot;:&quot;15452123&quot;,&quot;PMID&quot;:&quot;25621514&quot;,&quot;issued&quot;:{&quot;date-parts&quot;:[[2015,4,29]]},&quot;page&quot;:&quot;571-598&quot;,&quot;abstract&quot;:&quot;Aluminum (Al) toxicity in acid soils is a significant limitation to crop production worldwide, as approximately 50 of the world's potentially arable soil is acidic. Because acid soils are such an important constraint to agriculture, understanding the mechanisms and genes conferring resistance to Al toxicity has been a focus of intense research interest in the decade since the last article on crop acid soil tolerance was published in this journal. An impressive amount of progress has been made during that time that has greatly increased our understanding of the diversity of Al resistance genes and mechanisms, how resistance gene expression is regulated and triggered by Al and Al-induced signals, and how the proteins encoded by these genes function and are regulated. This review examines the state of our understanding of the physiological, genetic, and molecular bases for crop Al tolerance, looking at the novel Al resistance genes and mechanisms that have been identified over the past ten years. Additionally, it examines how the integration of molecular and genetic analyses of crop Al resistance is starting to be exploited for the improvement of crop plants grown on acid soils via both molecular-assisted breeding and biotechnology approaches.&quot;,&quot;publisher&quot;:&quot;Annual Reviews Inc.&quot;,&quot;volume&quot;:&quot;66&quot;},&quot;isTemporary&quot;:false}]},{&quot;citationID&quot;:&quot;MENDELEY_CITATION_5c75c796-cd6e-4b1a-b1ba-dbce16e77e05&quot;,&quot;properties&quot;:{&quot;noteIndex&quot;:0},&quot;isEdited&quot;:false,&quot;manualOverride&quot;:{&quot;isManuallyOverridden&quot;:false,&quot;citeprocText&quot;:&quot;(Li et al., 2019)&quot;,&quot;manualOverrideText&quot;:&quot;&quot;},&quot;citationTag&quot;:&quot;MENDELEY_CITATION_v3_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&quot;,&quot;citationItems&quot;:[{&quot;id&quot;:&quot;6689076e-7d38-3562-b1b4-cb947e48e24c&quot;,&quot;itemData&quot;:{&quot;type&quot;:&quot;article-journal&quot;,&quot;id&quot;:&quot;6689076e-7d38-3562-b1b4-cb947e48e24c&quot;,&quot;title&quot;:&quot;Liming effects on soil pH and crop yield depend on lime material type, application method and rate, and crop species: a global meta-analysis&quot;,&quot;author&quot;:[{&quot;family&quot;:&quot;Li&quot;,&quot;given&quot;:&quot;Yuan&quot;,&quot;parse-names&quot;:false,&quot;dropping-particle&quot;:&quot;&quot;,&quot;non-dropping-particle&quot;:&quot;&quot;},{&quot;family&quot;:&quot;Cui&quot;,&quot;given&quot;:&quot;Song&quot;,&quot;parse-names&quot;:false,&quot;dropping-particle&quot;:&quot;&quot;,&quot;non-dropping-particle&quot;:&quot;&quot;},{&quot;family&quot;:&quot;Chang&quot;,&quot;given&quot;:&quot;Scott X.&quot;,&quot;parse-names&quot;:false,&quot;dropping-particle&quot;:&quot;&quot;,&quot;non-dropping-particle&quot;:&quot;&quot;},{&quot;family&quot;:&quot;Zhang&quot;,&quot;given&quot;:&quot;Qingping&quot;,&quot;parse-names&quot;:false,&quot;dropping-particle&quot;:&quot;&quot;,&quot;non-dropping-particle&quot;:&quot;&quot;}],&quot;container-title&quot;:&quot;Journal of Soils and Sediments&quot;,&quot;container-title-short&quot;:&quot;J Soils Sediments&quot;,&quot;DOI&quot;:&quot;10.1007/s11368-018-2120-2&quot;,&quot;ISSN&quot;:&quot;16147480&quot;,&quot;issued&quot;:{&quot;date-parts&quot;:[[2019,3,11]]},&quot;page&quot;:&quot;1393-1406&quot;,&quot;abstract&quot;:&quot;Purpose: The aim of this meta-analysis was to investigate the interactive effects of environmental and managerial factors on soil pH and crop yield related to liming across different cropping systems on a global scale. Materials and methods: This study examined the effects of liming rate, lime application method, and liming material type on various soil chemical properties and crop yield based on data collected from 175 published studies worldwide since 1980. Results and discussion: The most important variables that drive changes in soil pH and crop yield were liming rate and crop species, respectively. Soil conditions, such as initial soil organic matter and soil pH, were more important for increasing soil pH in field-based experiments, while lime material type and application method were more important for improving crop yield. To effectively neutralize soil acidity, the optimum liming duration, rate, and material type were &lt; 3 years, 3–6 Mg ha −1 , and Ca (OH) 2 , respectively. Averaged across different crop species, the application of CaO, CaCO 3 , Ca (OH) 2 , and CaMg (CO 3 ) 2 increased yield by 13.2, 34.3, 29.2, and 66.5%, respectively. Conclusions: This meta-analysis will help design liming management strategies to ameliorate soil acidity and thus improve crop yield in agroecosystems.&quot;,&quot;publisher&quot;:&quot;Springer Verlag&quot;,&quot;issue&quot;:&quot;3&quot;,&quot;volume&quot;:&quot;19&quot;},&quot;isTemporary&quot;:false}]},{&quot;citationID&quot;:&quot;MENDELEY_CITATION_45d976a7-703c-4eb9-9c35-0d013d0f9076&quot;,&quot;properties&quot;:{&quot;noteIndex&quot;:0},&quot;isEdited&quot;:false,&quot;manualOverride&quot;:{&quot;isManuallyOverridden&quot;:false,&quot;citeprocText&quot;:&quot;(Aciego Pietri &amp;#38; Brookes, 2008)&quot;,&quot;manualOverrideText&quot;:&quot;&quot;},&quot;citationTag&quot;:&quot;MENDELEY_CITATION_v3_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&quot;,&quot;citationItems&quot;:[{&quot;id&quot;:&quot;90aa5911-5c3f-3747-867f-6115c009c909&quot;,&quot;itemData&quot;:{&quot;type&quot;:&quot;article-journal&quot;,&quot;id&quot;:&quot;90aa5911-5c3f-3747-867f-6115c009c909&quot;,&quot;title&quot;:&quot;Relationships between soil pH and microbial properties in a UK arable soil&quot;,&quot;author&quot;:[{&quot;family&quot;:&quot;Aciego Pietri&quot;,&quot;given&quot;:&quot;J. C.&quot;,&quot;parse-names&quot;:false,&quot;dropping-particle&quot;:&quot;&quot;,&quot;non-dropping-particle&quot;:&quot;&quot;},{&quot;family&quot;:&quot;Brookes&quot;,&quot;given&quot;:&quot;P. C.&quot;,&quot;parse-names&quot;:false,&quot;dropping-particle&quot;:&quot;&quot;,&quot;non-dropping-particle&quot;:&quot;&quot;}],&quot;container-title&quot;:&quot;Soil Biology and Biochemistry&quot;,&quot;container-title-short&quot;:&quot;Soil Biol Biochem&quot;,&quot;DOI&quot;:&quot;10.1016/j.soilbio.2008.03.020&quot;,&quot;ISSN&quot;:&quot;00380717&quot;,&quot;issued&quot;:{&quot;date-parts&quot;:[[2008,7]]},&quot;page&quot;:&quot;1856-1861&quot;,&quot;abstract&quot;:&quot;Effects of changing pH along a natural continuous gradient of a UK silty-loam soil were investigated. The site was a 200 m soil transect of the Hoosfield acid strip (Rothamsted Research, UK) which has grown continuous barley for more than 100 years. This experiment provides a remarkably uniform soil pH gradient, ranging from about pH 8.3 to 3.7. Soil total and organic C and the ratio: (soil organic C)/(soil total N) decreased due to decreasing plant C inputs as the soil pH declined. As expected, the CaCO3 concentration was greatest at very high pH values (pH &gt; 7.5). In contrast, extractable Al concentrations increased linearly (R2 = 0.94, p &lt; 0.001) from below about pH 5.4, while extractable Mn concentrations were largest at pH 4.4 and decreased at lower pHs. Biomass C and biomass ninhydrin-N were greatest above pH 7. There were statistically significant relationships between soil pH and biomass C (R2 = 0.80, p &lt; 0.001), biomass ninhydrin-N (R2 = 0.90, p &lt; 0.001), organic C (R2 = 0.83, p &lt; 0.001) and total N (R2 = 0.83, p &lt; 0.001), confirming the importance of soil organic matter and pH in stimulating microbial biomass growth. Soil CO2 evolution increased as pH increased (R2 = 0.97, p &lt; 0.001). In contrast, the respiratory quotient (qCO2) had the greatest values at either end of the pH range. This is almost certainly a response to stress caused by the low p. At the highest pH, both abiotic (from CaCO3) and biotic Co2 will be involved so the effects of high pH on biomass activity are confounded. Microbial biomass and microbial activity tended to stabilise at pH values between about 5 and 7 because the differences in organic C, total N and Al concentrations within this pH range were small. This work has established clear relationships between microbial biomass and microbial activity over an extremely wide soil pH range and within a single soil type. In contrast, most other studies have used soils of both different pH and soil type to make similar comparisons. In the latter case, the effects of soil pH on microbial properties are confounded with effects of different soil types, vegetation cover and local climatic conditions. © 2008 Elsevier Ltd. All rights reserved.&quot;,&quot;issue&quot;:&quot;7&quot;,&quot;volume&quot;:&quot;40&quot;},&quot;isTemporary&quot;:false}]},{&quot;citationID&quot;:&quot;MENDELEY_CITATION_de3112f9-6ed5-49fc-a3bc-99af5a54cc14&quot;,&quot;properties&quot;:{&quot;noteIndex&quot;:0},&quot;isEdited&quot;:false,&quot;manualOverride&quot;:{&quot;isManuallyOverridden&quot;:false,&quot;citeprocText&quot;:&quot;(Xie et al., 2019)&quot;,&quot;manualOverrideText&quot;:&quot;&quot;},&quot;citationTag&quot;:&quot;MENDELEY_CITATION_v3_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&quot;,&quot;citationItems&quot;:[{&quot;id&quot;:&quot;70ea51c9-3290-342a-81e4-179cc635a00e&quot;,&quot;itemData&quot;:{&quot;type&quot;:&quot;article-journal&quot;,&quot;id&quot;:&quot;70ea51c9-3290-342a-81e4-179cc635a00e&quot;,&quot;title&quot;:&quot;Spatio-temporal changes of cropland soil pH in a rapidly industrializing region in the Yangtze River Delta of China, 1980–2015&quot;,&quot;author&quot;:[{&quot;family&quot;:&quot;Xie&quot;,&quot;given&quot;:&quot;Enze&quot;,&quot;parse-names&quot;:false,&quot;dropping-particle&quot;:&quot;&quot;,&quot;non-dropping-particle&quot;:&quot;&quot;},{&quot;family&quot;:&quot;Zhao&quot;,&quot;given&quot;:&quot;Yongcun&quot;,&quot;parse-names&quot;:false,&quot;dropping-particle&quot;:&quot;&quot;,&quot;non-dropping-particle&quot;:&quot;&quot;},{&quot;family&quot;:&quot;Li&quot;,&quot;given&quot;:&quot;Haidong&quot;,&quot;parse-names&quot;:false,&quot;dropping-particle&quot;:&quot;&quot;,&quot;non-dropping-particle&quot;:&quot;&quot;},{&quot;family&quot;:&quot;Shi&quot;,&quot;given&quot;:&quot;Xuezheng&quot;,&quot;parse-names&quot;:false,&quot;dropping-particle&quot;:&quot;&quot;,&quot;non-dropping-particle&quot;:&quot;&quot;},{&quot;family&quot;:&quot;Lu&quot;,&quot;given&quot;:&quot;Fangyi&quot;,&quot;parse-names&quot;:false,&quot;dropping-particle&quot;:&quot;&quot;,&quot;non-dropping-particle&quot;:&quot;&quot;},{&quot;family&quot;:&quot;Zhang&quot;,&quot;given&quot;:&quot;Xiu&quot;,&quot;parse-names&quot;:false,&quot;dropping-particle&quot;:&quot;&quot;,&quot;non-dropping-particle&quot;:&quot;&quot;},{&quot;family&quot;:&quot;Peng&quot;,&quot;given&quot;:&quot;Yuxuan&quot;,&quot;parse-names&quot;:false,&quot;dropping-particle&quot;:&quot;&quot;,&quot;non-dropping-particle&quot;:&quot;&quot;}],&quot;container-title&quot;:&quot;Agriculture, Ecosystems and Environment&quot;,&quot;container-title-short&quot;:&quot;Agric Ecosyst Environ&quot;,&quot;DOI&quot;:&quot;10.1016/j.agee.2018.11.015&quot;,&quot;ISSN&quot;:&quot;01678809&quot;,&quot;issued&quot;:{&quot;date-parts&quot;:[[2019,2,15]]},&quot;page&quot;:&quot;95-104&quot;,&quot;abstract&quot;:&quot;The impacts of rapid industrialization on spatio-temporal changes in soil pH have drawn major attention from the scientific community and decision-makers. A total of 1185 topsoil samples (0–20 cm) were collected from southern Jiangsu Province of China in 1980, 2000, and 2015, and the geostatistical sequential Gaussian simulation (SGS) was used to quantify the spatio-temporal patterns of changes in soil pH and identify the areas with significantly-declined pH. A significant topsoil acidification occurred in major croplands of the study area, with mean decrements of 0.56 and 0.52 units over the periods of 1980–2000 and 2000–2015, respectively. A significant decrease in pH occurred in the areas surrounding Taihu Lake during 1980–2000, and a further decrease was evident predominantly in the northeast during 2000–2015. Over the entire 35-year period, the soil pH for approximately 79% of the study area declined significantly. The decline over the first two decades (1980–2000) was largely attributed to increased chemical fertilizer inputs and the development of industries, while the further enhanced industrial emissions resulting from the significant expansion of factories were the primary reason for the accelerated soil acidification in the subsequent 15 years (2000–2015). Results from this study may serve as a basis for developing management strategies to achieve better soil quality in similar areas moving toward industrialization.&quot;,&quot;publisher&quot;:&quot;Elsevier B.V.&quot;,&quot;volume&quot;:&quot;272&quot;},&quot;isTemporary&quot;:false}]},{&quot;citationID&quot;:&quot;MENDELEY_CITATION_e68cc59d-5e2b-42e2-b438-687b5bba0a93&quot;,&quot;properties&quot;:{&quot;noteIndex&quot;:0},&quot;isEdited&quot;:false,&quot;manualOverride&quot;:{&quot;isManuallyOverridden&quot;:false,&quot;citeprocText&quot;:&quot;(Čakmak et al., 2014)&quot;,&quot;manualOverrideText&quot;:&quot;&quot;},&quot;citationTag&quot;:&quot;MENDELEY_CITATION_v3_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&quot;,&quot;citationItems&quot;:[{&quot;id&quot;:&quot;6fc17753-933b-3083-b8b6-41ec3ce85e5a&quot;,&quot;itemData&quot;:{&quot;type&quot;:&quot;article-journal&quot;,&quot;id&quot;:&quot;6fc17753-933b-3083-b8b6-41ec3ce85e5a&quot;,&quot;title&quot;:&quot;Atmospheric deposition effects on agricultural soil acidification state - Key study: Krupanj Municipality&quot;,&quot;author&quot;:[{&quot;family&quot;:&quot;Čakmak&quot;,&quot;given&quot;:&quot;Dragan&quot;,&quot;parse-names&quot;:false,&quot;dropping-particle&quot;:&quot;&quot;,&quot;non-dropping-particle&quot;:&quot;&quot;},{&quot;family&quot;:&quot;Beloica&quot;,&quot;given&quot;:&quot;Jelena&quot;,&quot;parse-names&quot;:false,&quot;dropping-particle&quot;:&quot;&quot;,&quot;non-dropping-particle&quot;:&quot;&quot;},{&quot;family&quot;:&quot;Perović&quot;,&quot;given&quot;:&quot;Veljko&quot;,&quot;parse-names&quot;:false,&quot;dropping-particle&quot;:&quot;&quot;,&quot;non-dropping-particle&quot;:&quot;&quot;},{&quot;family&quot;:&quot;Kadović&quot;,&quot;given&quot;:&quot;Ratko&quot;,&quot;parse-names&quot;:false,&quot;dropping-particle&quot;:&quot;&quot;,&quot;non-dropping-particle&quot;:&quot;&quot;},{&quot;family&quot;:&quot;Mrvić&quot;,&quot;given&quot;:&quot;Vesna&quot;,&quot;parse-names&quot;:false,&quot;dropping-particle&quot;:&quot;&quot;,&quot;non-dropping-particle&quot;:&quot;&quot;},{&quot;family&quot;:&quot;Knežević&quot;,&quot;given&quot;:&quot;Jasmina&quot;,&quot;parse-names&quot;:false,&quot;dropping-particle&quot;:&quot;&quot;,&quot;non-dropping-particle&quot;:&quot;&quot;},{&quot;family&quot;:&quot;Belanović&quot;,&quot;given&quot;:&quot;Snežana&quot;,&quot;parse-names&quot;:false,&quot;dropping-particle&quot;:&quot;&quot;,&quot;non-dropping-particle&quot;:&quot;&quot;}],&quot;container-title&quot;:&quot;Archives of Environmental Protection&quot;,&quot;DOI&quot;:&quot;10.2478/aep-2014-0022&quot;,&quot;ISSN&quot;:&quot;20834810&quot;,&quot;issued&quot;:{&quot;date-parts&quot;:[[2014,6,1]]},&quot;page&quot;:&quot;137-148&quot;,&quot;abstract&quot;:&quot;Acidification, as a form of soil degradation is a process that leads to permanent reduction in the quality of soil as the most important natural resource. The process of soil acidification, which in the first place implies a reduction in soil pH, can be caused by natural processes, but also considerably accelerated by the anthropogenic influence of excessive S and N emissions, uncontrolled deforestation, and intensive agricultural processes. Critical loads, i.e. the upper limit of harmful depositions (primarily of S and N) which will not cause damages to the ecosystem, were determined in Europe under the auspices of the Executive Committee of the CLRTAP in 1980. These values represent the basic indicators of ecosystem stability to the process of acidification. This paper defines the status of acidification for the period up to 2100 in relation to the long term critical and target loading of soil with S and N on the territory of Krupanj municipality by applying the VSD model. The Inverse Distance Weighting (IDW) geostatistic module was used as the interpolation method. Land management, particularly in areas susceptible to acidification, needs to be focused on well-balanced agriculture and use of crops/seedlings to achieve the optimum land use and sustainable productivity for the projected 100-year period.&quot;,&quot;publisher&quot;:&quot;Walter de Gruyter GmbH&quot;,&quot;issue&quot;:&quot;2&quot;,&quot;volume&quot;:&quot;40&quot;,&quot;container-title-short&quot;:&quot;&quot;},&quot;isTemporary&quot;:false}]},{&quot;citationID&quot;:&quot;MENDELEY_CITATION_a5e0ceca-4f82-469f-911e-7e4d7109f37f&quot;,&quot;properties&quot;:{&quot;noteIndex&quot;:0},&quot;isEdited&quot;:false,&quot;manualOverride&quot;:{&quot;isManuallyOverridden&quot;:false,&quot;citeprocText&quot;:&quot;(Shen et al., 2021)&quot;,&quot;manualOverrideText&quot;:&quot;&quot;},&quot;citationTag&quot;:&quot;MENDELEY_CITATION_v3_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&quot;,&quot;citationItems&quot;:[{&quot;id&quot;:&quot;455ab79d-5e23-3ed7-b762-6689aeb601ce&quot;,&quot;itemData&quot;:{&quot;type&quot;:&quot;article-journal&quot;,&quot;id&quot;:&quot;455ab79d-5e23-3ed7-b762-6689aeb601ce&quot;,&quot;title&quot;:&quot;Study on the new dynamics and driving factors of soil pH in the red soil, hilly region of South China&quot;,&quot;author&quot;:[{&quot;family&quot;:&quot;Shen&quot;,&quot;given&quot;:&quot;Yuye&quot;,&quot;parse-names&quot;:false,&quot;dropping-particle&quot;:&quot;&quot;,&quot;non-dropping-particle&quot;:&quot;&quot;},{&quot;family&quot;:&quot;Zhang&quot;,&quot;given&quot;:&quot;Zhongqi&quot;,&quot;parse-names&quot;:false,&quot;dropping-particle&quot;:&quot;&quot;,&quot;non-dropping-particle&quot;:&quot;&quot;},{&quot;family&quot;:&quot;Xue&quot;,&quot;given&quot;:&quot;Yue&quot;,&quot;parse-names&quot;:false,&quot;dropping-particle&quot;:&quot;&quot;,&quot;non-dropping-particle&quot;:&quot;&quot;}],&quot;container-title&quot;:&quot;Environmental Monitoring and Assessment&quot;,&quot;container-title-short&quot;:&quot;Environ Monit Assess&quot;,&quot;DOI&quot;:&quot;10.1007/s10661-021-09080-4&quot;,&quot;ISSN&quot;:&quot;15732959&quot;,&quot;PMID&quot;:&quot;33900476&quot;,&quot;issued&quot;:{&quot;date-parts&quot;:[[2021,5,1]]},&quot;abstract&quot;:&quot;Soil acidification has always been a substantial eco-environmental problem restricting agricultural development in the red soil region of southern China. It is necessary to determine the dynamic change in soil pH in this area to formulate regional agricultural and environmental management measures. Yujiang County, a typical county with red soil acidification in southern China, was selected as the study area. Based on soil data from 1982, 2007, and 2018, the spatiotemporal variation characteristics and the latest changes in soil pH in the county were analyzed. The results show that the soil pH in Yujiang County decreased from 5.66 to 4.74 and then increased to 4.96 from 1982 to 2018, showing a trend of first decreasing and then increasing. According to the spatial distribution characteristics of soil pH, the low soil pH values in the three periods were mainly distributed in the northern mountainous areas with more forestland and dry land area and some southern hilly areas, while the paddy soil pH values in the middle low hilly areas were relatively higher. The soil pH decreased rapidly from 1982 to 2007, showing a large area of acidification. In 2007, the proportions of acidic (4.5 &lt; pH &lt; 5.5) and strongly acidic (pH &lt; 4.5) soils increased by 67.37% and 10.6%, respectively, compared with that in 1982. However, from 2007 to 2018, the soil pH of the whole county increased, and the acidification trend was alleviated, which is of great significance to the regional red soil ecological environment. Through the analysis of the main factors affecting the change in soil pH, it was found that the sharp decline in soil pH in Yujiang County during 1982–2007 was mainly caused by acid rain and excessive nitrogen application. From 2007 to 2018, no significant reduction in nitrogen fertilizer in this area occurred, and although the increase in soil organic matter contributed to alleviating soil acidification, the analysis showed that the decrease in acid rain was the main reason for the rise in soil pH in Yujiang County. At the same time, notably, there is a large area of soil in the area that is still acidic, and effective control of soil acidification is still an important ecological and environmental issue in this area. In order to further improve the pH value of soil in red soil region, it is suggested that on the basis of continuous improvement of acid rain, in addition to increasing soil organic matter by returning straw to field and other measures, appropriate amount of lime or alkaline biochar can be applied to better improve the soil ecological environment in red soil hilly region.&quot;,&quot;publisher&quot;:&quot;Springer Science and Business Media Deutschland GmbH&quot;,&quot;issue&quot;:&quot;5&quot;,&quot;volume&quot;:&quot;193&quot;},&quot;isTemporary&quot;:false}]},{&quot;citationID&quot;:&quot;MENDELEY_CITATION_e24be278-3df6-45bb-9607-572034607ed4&quot;,&quot;properties&quot;:{&quot;noteIndex&quot;:0},&quot;isEdited&quot;:false,&quot;manualOverride&quot;:{&quot;isManuallyOverridden&quot;:false,&quot;citeprocText&quot;:&quot;(Yan et al., 2020)&quot;,&quot;manualOverrideText&quot;:&quot;&quot;},&quot;citationTag&quot;:&quot;MENDELEY_CITATION_v3_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&quot;,&quot;citationItems&quot;:[{&quot;id&quot;:&quot;283122f3-1ee2-3665-a5c8-8c15a49f5145&quot;,&quot;itemData&quot;:{&quot;type&quot;:&quot;article-journal&quot;,&quot;id&quot;:&quot;283122f3-1ee2-3665-a5c8-8c15a49f5145&quot;,&quot;title&quot;:&quot;Soil phosphorus pools, bioavailability and environmental risk in response to the phosphorus supply in the red soil of Southern China&quot;,&quot;author&quot;:[{&quot;family&quot;:&quot;Yan&quot;,&quot;given&quot;:&quot;Xiaojun&quot;,&quot;parse-names&quot;:false,&quot;dropping-particle&quot;:&quot;&quot;,&quot;non-dropping-particle&quot;:&quot;&quot;},{&quot;family&quot;:&quot;Yang&quot;,&quot;given&quot;:&quot;Wenhao&quot;,&quot;parse-names&quot;:false,&quot;dropping-particle&quot;:&quot;&quot;,&quot;non-dropping-particle&quot;:&quot;&quot;},{&quot;family&quot;:&quot;Chen&quot;,&quot;given&quot;:&quot;Xiaohui&quot;,&quot;parse-names&quot;:false,&quot;dropping-particle&quot;:&quot;&quot;,&quot;non-dropping-particle&quot;:&quot;&quot;},{&quot;family&quot;:&quot;Wang&quot;,&quot;given&quot;:&quot;Mingkuang&quot;,&quot;parse-names&quot;:false,&quot;dropping-particle&quot;:&quot;&quot;,&quot;non-dropping-particle&quot;:&quot;&quot;},{&quot;family&quot;:&quot;Wang&quot;,&quot;given&quot;:&quot;Weiqi&quot;,&quot;parse-names&quot;:false,&quot;dropping-particle&quot;:&quot;&quot;,&quot;non-dropping-particle&quot;:&quot;&quot;},{&quot;family&quot;:&quot;Ye&quot;,&quot;given&quot;:&quot;Delian&quot;,&quot;parse-names&quot;:false,&quot;dropping-particle&quot;:&quot;&quot;,&quot;non-dropping-particle&quot;:&quot;&quot;},{&quot;family&quot;:&quot;Wu&quot;,&quot;given&quot;:&quot;Liangquan&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207384&quot;,&quot;ISSN&quot;:&quot;16604601&quot;,&quot;PMID&quot;:&quot;33050443&quot;,&quot;issued&quot;:{&quot;date-parts&quot;:[[2020,10,2]]},&quot;page&quot;:&quot;1-16&quot;,&quot;abstract&quot;:&quot;Excess phosphorus (P) accumulation in the soil can change the bioavailability of P and increase the leaching risks, but the quantitative evaluation of these responses in acidic red soil is lacking. This study aimed to investigate the composition of soil P fractions under different phosphorus apparent balances (PAB) in acidic red soil and the bioavailability and the leaching change-points of different P fractions. Five phosphorus (P) fertilization rates were applied (0, 16.38, 32.75, 65.50, 131.00 kg P·ha−1) in every sweet corn cultivation from the field experiment, and the treatments were marked as P0, P1, P2, P3, and P4, respectively. The PAB showed negative values in P0 and P1 which were −49.0 and −15.0 kg P·ha–1 in two years, respectively. In contrast, PAB in P2 as well as in P3 and P4 were positive, the content ranging from 40.2 to 424.3 kg P·ha−1 in two years. Per 100 kg ha-1 P accumulate in the soil, the total P increased by 44.36 and 10.41 mg kg−1 in the surface (0–20 cm) and subsurface (20–40 cm) soil, respectively. The content of inorganic P fractions, including solution phosphate (Sol-P), aluminum phosphate (Al-P), iron phosphate (Fe-P), reduction phosphate (Red-P), and calcium phosphate (Ca-P), significantly increased by 0.25, 16.22, 22.08, 2.04, and 5.08 mg kg−1, respectively, in surface soil per 100 kg ha−1 P accumulated in the soil. Path analysis showed that the most important soil P fractions contributing to Olsen-P were Sol-P and Al-P, which can directly affect Olsen-P, and their coefficients were 0.24 and 0.73, respectively. Furthermore, the incubation experiments were conducted in the laboratory to investigate the leaching risk of different P fractions, and they showed Sol-P was a potential source of leaching, and the leaching change-points of Al-P and Fe-P were 74.70 and 78.34 mg·kg–1, respectively. Continuous P that accumulated in soil changed the composition of P fractions, and the bioavailability as well as the leaching risks increased. This is important in optimizing soil P fertilization management in agricultural ecosystems based on the bioavailability and critical levels for leaching of P fractions.&quot;,&quot;publisher&quot;:&quot;MDPI AG&quot;,&quot;issue&quot;:&quot;20&quot;,&quot;volume&quot;:&quot;17&quot;},&quot;isTemporary&quot;:false}]},{&quot;citationID&quot;:&quot;MENDELEY_CITATION_989ac5ef-4cd9-4fee-9a57-c73e4487bd1e&quot;,&quot;properties&quot;:{&quot;noteIndex&quot;:0},&quot;isEdited&quot;:false,&quot;manualOverride&quot;:{&quot;isManuallyOverridden&quot;:false,&quot;citeprocText&quot;:&quot;(Ao et al., 2014)&quot;,&quot;manualOverrideText&quot;:&quot;&quot;},&quot;citationTag&quot;:&quot;MENDELEY_CITATION_v3_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&quot;,&quot;citationItems&quot;:[{&quot;id&quot;:&quot;cfb07141-77d9-3c7b-baf4-940bb18d30bd&quot;,&quot;itemData&quot;:{&quot;type&quot;:&quot;article-journal&quot;,&quot;id&quot;:&quot;cfb07141-77d9-3c7b-baf4-940bb18d30bd&quot;,&quot;title&quot;:&quot;Phosphorus fractions of red soils in guangdong province of south China and their bioavailability for five crop species&quot;,&quot;author&quot;:[{&quot;family&quot;:&quot;Ao&quot;,&quot;given&quot;:&quot;Junhua&quot;,&quot;parse-names&quot;:false,&quot;dropping-particle&quot;:&quot;&quot;,&quot;non-dropping-particle&quot;:&quot;&quot;},{&quot;family&quot;:&quot;Chen&quot;,&quot;given&quot;:&quot;Zhijian&quot;,&quot;parse-names&quot;:false,&quot;dropping-particle&quot;:&quot;&quot;,&quot;non-dropping-particle&quot;:&quot;&quot;},{&quot;family&quot;:&quot;Wu&quot;,&quot;given&quot;:&quot;Man&quot;,&quot;parse-names&quot;:false,&quot;dropping-particle&quot;:&quot;&quot;,&quot;non-dropping-particle&quot;:&quot;&quot;},{&quot;family&quot;:&quot;Lu&quot;,&quot;given&quot;:&quot;Xing&quot;,&quot;parse-names&quot;:false,&quot;dropping-particle&quot;:&quot;&quot;,&quot;non-dropping-particle&quot;:&quot;&quot;},{&quot;family&quot;:&quot;Huang&quot;,&quot;given&quot;:&quot;Zhenrui&quot;,&quot;parse-names&quot;:false,&quot;dropping-particle&quot;:&quot;&quot;,&quot;non-dropping-particle&quot;:&quot;&quot;},{&quot;family&quot;:&quot;Liao&quot;,&quot;given&quot;:&quot;Hong&quot;,&quot;parse-names&quot;:false,&quot;dropping-particle&quot;:&quot;&quot;,&quot;non-dropping-particle&quot;:&quot;&quot;}],&quot;container-title&quot;:&quot;Soil Science&quot;,&quot;container-title-short&quot;:&quot;Soil Sci&quot;,&quot;DOI&quot;:&quot;10.1097/SS.0000000000000087&quot;,&quot;ISSN&quot;:&quot;15389243&quot;,&quot;issued&quot;:{&quot;date-parts&quot;:[[2014,10,1]]},&quot;page&quot;:&quot;514-521&quot;,&quot;abstract&quot;:&quot;Red soil, the main soil type in south China, has many limitations for crop production, especially low phosphorus (P) bioavailability. Currently, little is understood concerning P fractions and their bioavailability for crops. In the present study, P fractions were analyzed from 50 red soil samples collected from regions leading agricultural production in Guangdong Province of south China. The most abundant P forms were iron-bound P (Fe-P) and organic P (Org-P), which, combined, account for 64.4% ± 1.9%of total soil P. Both Org-P and Fe-P had less bioavailability for soybean in sand culture than the other sparingly soluble P forms tested, with growth reduced by 78.0%± 4.2% or 35.4% ± 6.7% and P content reduced by 50.2% ± 8.4% or 68.7% ± 1.8% when P was supplied as Org-P or Fe-P, respectively, compared with plants supplied with KH2PO4. Further field experiment using five crop species showed that P bioavailability in red soils is very low, as reflected by an average of 53.9% ± 2.9% loss in shoot P content for all tested crops in soils without P fertilization compared with plots amended with P fertilizer. After evaluation of root-toshoot ratio and specific root length, along with rhizosphere P depletion and acidification, it is reasonable to speculate that different crop species have evolved various strategies to overcome P deficiency in red soils. Among the tested crops, rapeseed displayedmore rhizosphere acidification and lower carbon cost for maintaining root growth and subsequently possessed a superior ability to use and activate P from red soils than the other four crops.&quot;,&quot;publisher&quot;:&quot;Lippincott Williams and Wilkins&quot;,&quot;issue&quot;:&quot;10-11&quot;,&quot;volume&quot;:&quot;179&quot;},&quot;isTemporary&quot;:false}]},{&quot;citationID&quot;:&quot;MENDELEY_CITATION_e0ccf0c0-2bdc-4f7f-b1fa-78fc301c6565&quot;,&quot;properties&quot;:{&quot;noteIndex&quot;:0},&quot;isEdited&quot;:false,&quot;manualOverride&quot;:{&quot;isManuallyOverridden&quot;:true,&quot;citeprocText&quot;:&quot;(Chen et al., 2000)&quot;,&quot;manualOverrideText&quot;:&quot;(Chen et al., 2000).&quot;},&quot;citationTag&quot;:&quot;MENDELEY_CITATION_v3_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&quot;,&quot;citationItems&quot;:[{&quot;id&quot;:&quot;95597d2c-5150-3a3a-854a-61c7ba24c7b9&quot;,&quot;itemData&quot;:{&quot;type&quot;:&quot;article-journal&quot;,&quot;id&quot;:&quot;95597d2c-5150-3a3a-854a-61c7ba24c7b9&quot;,&quot;title&quot;:&quot;Microbial biomass phosphorus and its significance in predicting phosphorus availability in red soils&quot;,&quot;author&quot;:[{&quot;family&quot;:&quot;Chen&quot;,&quot;given&quot;:&quot;G. C.&quot;,&quot;parse-names&quot;:false,&quot;dropping-particle&quot;:&quot;&quot;,&quot;non-dropping-particle&quot;:&quot;&quot;},{&quot;family&quot;:&quot;He&quot;,&quot;given&quot;:&quot;Z. L.&quot;,&quot;parse-names&quot;:false,&quot;dropping-particle&quot;:&quot;&quot;,&quot;non-dropping-particle&quot;:&quot;&quot;},{&quot;family&quot;:&quot;Huang&quot;,&quot;given&quot;:&quot;C. Y.&quot;,&quot;parse-names&quot;:false,&quot;dropping-particle&quot;:&quot;&quot;,&quot;non-dropping-particle&quot;:&quot;&quot;}],&quot;container-title&quot;:&quot;Communications in Soil Science and Plant Analysis&quot;,&quot;container-title-short&quot;:&quot;Commun Soil Sci Plant Anal&quot;,&quot;DOI&quot;:&quot;10.1080/00103620009370467&quot;,&quot;ISSN&quot;:&quot;00103624&quot;,&quot;issued&quot;:{&quot;date-parts&quot;:[[2000]]},&quot;page&quot;:&quot;655-667&quot;,&quot;abstract&quot;:&quot;Red soils are widespread in Southern China and other subtropical regions in the world. An improved management of phosphorus (P) is crucial for sustainable agriculture and environmental quality in red soil regions. Plant- availability of P in red soils mainly depends on fertilization and biological cycling. Both laboratory analyses and greenhouse experiments were conducted to examine the relationships between plant P uptake, chemical index of P, and microbial biomass P in red soils with different fertility levels. Microbial biomass P ranged from 2.1 to 43 mg kg-1 in the red soils and was significantly correlated with total P (r=0.84*), organic P (r=0.87*), or Bray I extractable P (r=0.94**). Extractable P plus organic carbon accounted for &gt;85% of the variation in microbial biomass P in the red soils. The significant relationship between microbial biomass P and extractable P suggests that microbial biomass P has a great potential in predicting P- supply ability in soil. Greenhouse experiments showed that there were close relationships between ryegrass dry matter yield, plant P uptake or tissue P concentration and microbial biomass P in the red soils. The corresponding correlation coefficients were 0.79*, 0.90*, and 0.91*, respectively. These results imply that microbial biomass P plays an important role in the availability of P to plants, and is a potential biological index of P availability in the red soils.&quot;,&quot;publisher&quot;:&quot;Marcel Dekker Inc.&quot;,&quot;issue&quot;:&quot;5-6&quot;,&quot;volume&quot;:&quot;31&quot;},&quot;isTemporary&quot;:false}]},{&quot;citationID&quot;:&quot;MENDELEY_CITATION_f1289a9f-d1a5-4a49-8b2e-904b27b473e5&quot;,&quot;properties&quot;:{&quot;noteIndex&quot;:0},&quot;isEdited&quot;:false,&quot;manualOverride&quot;:{&quot;isManuallyOverridden&quot;:false,&quot;citeprocText&quot;:&quot;(Zhou et al., 2018)&quot;,&quot;manualOverrideText&quot;:&quot;&quot;},&quot;citationTag&quot;:&quot;MENDELEY_CITATION_v3_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&quot;,&quot;citationItems&quot;:[{&quot;id&quot;:&quot;5e3c3831-557b-3f62-b0a8-374f69296a1b&quot;,&quot;itemData&quot;:{&quot;type&quot;:&quot;article-journal&quot;,&quot;id&quot;:&quot;5e3c3831-557b-3f62-b0a8-374f69296a1b&quot;,&quot;title&quot;:&quot;Changes of Soil Phosphorus Fractionation According to pH in Red Soils of China: An Incubation Experiment&quot;,&quot;author&quot;:[{&quot;family&quot;:&quot;Zhou&quot;,&quot;given&quot;:&quot;Xiaoyang&quot;,&quot;parse-names&quot;:false,&quot;dropping-particle&quot;:&quot;&quot;,&quot;non-dropping-particle&quot;:&quot;&quot;},{&quot;family&quot;:&quot;Xu&quot;,&quot;given&quot;:&quot;Minggang&quot;,&quot;parse-names&quot;:false,&quot;dropping-particle&quot;:&quot;&quot;,&quot;non-dropping-particle&quot;:&quot;&quot;},{&quot;family&quot;:&quot;Wang&quot;,&quot;given&quot;:&quot;Boren&quot;,&quot;parse-names&quot;:false,&quot;dropping-particle&quot;:&quot;&quot;,&quot;non-dropping-particle&quot;:&quot;&quot;},{&quot;family&quot;:&quot;Cai&quot;,&quot;given&quot;:&quot;Zejiang&quot;,&quot;parse-names&quot;:false,&quot;dropping-particle&quot;:&quot;&quot;,&quot;non-dropping-particle&quot;:&quot;&quot;},{&quot;family&quot;:&quot;Colinet&quot;,&quot;given&quot;:&quot;Gilles&quot;,&quot;parse-names&quot;:false,&quot;dropping-particle&quot;:&quot;&quot;,&quot;non-dropping-particle&quot;:&quot;&quot;}],&quot;container-title&quot;:&quot;Communications in Soil Science and Plant Analysis&quot;,&quot;container-title-short&quot;:&quot;Commun Soil Sci Plant Anal&quot;,&quot;DOI&quot;:&quot;10.1080/00103624.2018.1435676&quot;,&quot;ISSN&quot;:&quot;15322416&quot;,&quot;issued&quot;:{&quot;date-parts&quot;:[[2018,4,12]]},&quot;page&quot;:&quot;791-802&quot;,&quot;abstract&quot;:&quot;Phosphorus (P) deficiency is one of the main problems limiting crop growth in red soils of southern China. The primary objective of this study was to examine P availability as a function of soil acidity. Soils were sampled from a long-term fertilization experiment and are referred as low-P (No P fertilization) and high-P (120 kg P2O5 ha–1). Both low-P and high-P treatments were incubated adjusting soil pH to seven levels from 3.0 to 6.5 for 10, 20, 30 and 45 days. The pH, DIP, and Olsen-P were determined after each incubation period, and inorganic P fractions were measured at the end of incubation. For both low-P and high-P treatments, DIP decreased with rising pH value and increased with decreasing soil pH. Olsen-P, Ca-P (Ca2-P, Ca8-P, and Ca10-P) and Al-P increased significantly with soil pH in low-P treatment. In high-P, Olsen-P increased with pH between 3.4 and 5.0 and was stable at higher pH. Moreover, Ca-P and Al-P increased significantly but Fe-P decreased with soil pH increase. The redundancy analysis showed that Ca-P, Al-P, and pH had positive effects on Olsen-P, but Occluded-P showed a negative correlation with Olsen-P in both soils. Our results confirmed that soil P availability was influenced by pH and that the changes in DIP and Olsen-P were linked to changes of inorganic fractions from occluded to Ca- and Al-bound forms. Managing soil acidity is a key issue regarding the availability of P in red soils of China and our results suggest that at least a pH of 5.0 should be targeted.&quot;,&quot;publisher&quot;:&quot;Taylor and Francis Inc.&quot;,&quot;issue&quot;:&quot;7&quot;,&quot;volume&quot;:&quot;49&quot;},&quot;isTemporary&quot;:false}]},{&quot;citationID&quot;:&quot;MENDELEY_CITATION_015ae783-b707-4168-a39a-c6d58149a119&quot;,&quot;properties&quot;:{&quot;noteIndex&quot;:0},&quot;isEdited&quot;:false,&quot;manualOverride&quot;:{&quot;isManuallyOverridden&quot;:true,&quot;citeprocText&quot;:&quot;(Akter, n.d.)&quot;,&quot;manualOverrideText&quot;:&quot;(Akter, 2021)&quot;},&quot;citationTag&quot;:&quot;MENDELEY_CITATION_v3_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&quot;,&quot;citationItems&quot;:[{&quot;id&quot;:&quot;7a6ab46d-61cf-3bbb-90b4-b9852f807d03&quot;,&quot;itemData&quot;:{&quot;type&quot;:&quot;report&quot;,&quot;id&quot;:&quot;7a6ab46d-61cf-3bbb-90b4-b9852f807d03&quot;,&quot;title&quot;:&quot;INFLUENCE OF ORGANIC MANURE, PHOSPHORUS-POTASSIUM ON GROWTH, YIELD AND SEED QUALITY OF BLACKGRAM&quot;,&quot;author&quot;:[{&quot;family&quot;:&quot;Akter&quot;,&quot;given&quot;:&quot;Sharmin&quot;,&quot;parse-names&quot;:false,&quot;dropping-particle&quot;:&quot;&quot;,&quot;non-dropping-particle&quot;:&quot;&quot;}],&quot;container-title-short&quot;:&quot;&quot;},&quot;isTemporary&quot;:false}]},{&quot;citationID&quot;:&quot;MENDELEY_CITATION_059bf379-a3d0-4942-b6a9-9ea8f1f76dbf&quot;,&quot;properties&quot;:{&quot;noteIndex&quot;:0},&quot;isEdited&quot;:false,&quot;manualOverride&quot;:{&quot;isManuallyOverridden&quot;:true,&quot;citeprocText&quot;:&quot;(&lt;i&gt;Chatterjeeetal.Bioscan (1)&lt;/i&gt;, n.d.)&quot;,&quot;manualOverrideText&quot;:&quot;(Chatterjee et al., 2020)&quot;},&quot;citationTag&quot;:&quot;MENDELEY_CITATION_v3_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&quot;,&quot;citationItems&quot;:[{&quot;id&quot;:&quot;45c62997-073a-3662-b9be-28e5502fa243&quot;,&quot;itemData&quot;:{&quot;type&quot;:&quot;article-journal&quot;,&quot;id&quot;:&quot;45c62997-073a-3662-b9be-28e5502fa243&quot;,&quot;title&quot;:&quot;Chatterjeeetal.bioscan (1)&quot;,&quot;container-title-short&quot;:&quot;&quot;},&quot;isTemporary&quot;:false}]},{&quot;citationID&quot;:&quot;MENDELEY_CITATION_f07694e5-0064-46f1-8144-599a6a3cd515&quot;,&quot;properties&quot;:{&quot;noteIndex&quot;:0},&quot;isEdited&quot;:false,&quot;manualOverride&quot;:{&quot;isManuallyOverridden&quot;:false,&quot;citeprocText&quot;:&quot;(Kadyan et al., 2024)&quot;,&quot;manualOverrideText&quot;:&quot;&quot;},&quot;citationTag&quot;:&quot;MENDELEY_CITATION_v3_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&quot;,&quot;citationItems&quot;:[{&quot;id&quot;:&quot;08b77039-9bbd-370f-84f2-20274d83e38b&quot;,&quot;itemData&quot;:{&quot;type&quot;:&quot;article-journal&quot;,&quot;id&quot;:&quot;08b77039-9bbd-370f-84f2-20274d83e38b&quot;,&quot;title&quot;:&quot;The Strategies Used in the Cultivation Practices of Black Gram (Vigna mungo L.) in Summer Season&quot;,&quot;author&quot;:[{&quot;family&quot;:&quot;Kadyan&quot;,&quot;given&quot;:&quot;Muskan&quot;,&quot;parse-names&quot;:false,&quot;dropping-particle&quot;:&quot;&quot;,&quot;non-dropping-particle&quot;:&quot;&quot;},{&quot;family&quot;:&quot;Kumari&quot;,&quot;given&quot;:&quot;Megha&quot;,&quot;parse-names&quot;:false,&quot;dropping-particle&quot;:&quot;&quot;,&quot;non-dropping-particle&quot;:&quot;&quot;},{&quot;family&quot;:&quot;Pandey&quot;,&quot;given&quot;:&quot;Adarsh&quot;,&quot;parse-names&quot;:false,&quot;dropping-particle&quot;:&quot;&quot;,&quot;non-dropping-particle&quot;:&quot;&quot;},{&quot;family&quot;:&quot;Kumar&quot;,&quot;given&quot;:&quot;Karmnath&quot;,&quot;parse-names&quot;:false,&quot;dropping-particle&quot;:&quot;&quot;,&quot;non-dropping-particle&quot;:&quot;&quot;}],&quot;container-title&quot;:&quot;Vigyan Varta&quot;,&quot;ISSN&quot;:&quot;2582-9467&quot;,&quot;URL&quot;:&quot;https://indiaagronet.com/indiaagronet/crop%20info&quot;,&quot;issued&quot;:{&quot;date-parts&quot;:[[2024]]},&quot;page&quot;:&quot;46-50&quot;,&quot;abstract&quot;:&quot;A crucial leguminous crop recognized for its high nutritional content and capacity to improve soil is black gram, also referred to as urad bean. Its sensitivity to changes in moisture and temperature makes it difficult to cultivate in the summer without special techniques. Choosing heat-tolerant and early-maturing cultivars, deep plowing, and adding organic matter to improve soil fertility and water retention are important tactics. To guarantee consistent germination and the establishment of seedlings, precision sowing techniques like line sowing and ideal seed depth are used. Water management is essential, utilizing effective technologies like sprinklers or drip irrigation as well as irrigation scheduling. Common summertime pests and illnesses are addressed with integrated pest management techniques, which include biological control agents, resistant cultivars, and low-chemical insecticides. During the crop's growth phases, balanced fertilizers with both macro-and micronutrients are given to satisfy the unique demands of the crop. Timely harvesting to prevent losses from over-ripening or insect damage, along with appropriate storage methods to preserve seed quality, are all part of post-harvest management. In order to cultivate black gram in the summertime with high productivity and sustainability, a comprehensive strategy including crop management, soil health, water conservation, insect Keywords OPEN ACCESS 47 | P a g e&quot;,&quot;issue&quot;:&quot;12&quot;,&quot;volume&quot;:&quot;5&quot;,&quot;container-title-short&quot;:&quot;&quot;},&quot;isTemporary&quot;:false}]},{&quot;citationID&quot;:&quot;MENDELEY_CITATION_448dd11d-9a49-49ff-b77b-b700c85addd8&quot;,&quot;properties&quot;:{&quot;noteIndex&quot;:0},&quot;isEdited&quot;:false,&quot;manualOverride&quot;:{&quot;isManuallyOverridden&quot;:false,&quot;citeprocText&quot;:&quot;(Nargund et al., 2024)&quot;,&quot;manualOverrideText&quot;:&quot;&quot;},&quot;citationTag&quot;:&quot;MENDELEY_CITATION_v3_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&quot;,&quot;citationItems&quot;:[{&quot;id&quot;:&quot;33de8925-5ca3-3f9f-8f84-85007924d11d&quot;,&quot;itemData&quot;:{&quot;type&quot;:&quot;article-journal&quot;,&quot;id&quot;:&quot;33de8925-5ca3-3f9f-8f84-85007924d11d&quot;,&quot;title&quot;:&quot;How to cultivate productive and profitable Urd bean (Black gram) in Summer Season&quot;,&quot;author&quot;:[{&quot;family&quot;:&quot;Nargund&quot;,&quot;given&quot;:&quot;Muyeen I&quot;,&quot;parse-names&quot;:false,&quot;dropping-particle&quot;:&quot;&quot;,&quot;non-dropping-particle&quot;:&quot;&quot;},{&quot;family&quot;:&quot;Singh&quot;,&quot;given&quot;:&quot;Rupali&quot;,&quot;parse-names&quot;:false,&quot;dropping-particle&quot;:&quot;&quot;,&quot;non-dropping-particle&quot;:&quot;&quot;},{&quot;family&quot;:&quot;Singh&quot;,&quot;given&quot;:&quot;Abhinandan&quot;,&quot;parse-names&quot;:false,&quot;dropping-particle&quot;:&quot;&quot;,&quot;non-dropping-particle&quot;:&quot;&quot;},{&quot;family&quot;:&quot;Pazhanisamy&quot;,&quot;given&quot;:&quot;S&quot;,&quot;parse-names&quot;:false,&quot;dropping-particle&quot;:&quot;&quot;,&quot;non-dropping-particle&quot;:&quot;&quot;},{&quot;family&quot;:&quot;Sarkar&quot;,&quot;given&quot;:&quot;Sudip&quot;,&quot;parse-names&quot;:false,&quot;dropping-particle&quot;:&quot;&quot;,&quot;non-dropping-particle&quot;:&quot;&quot;}],&quot;ISSN&quot;:&quot;2394-1227&quot;,&quot;URL&quot;:&quot;www.indianfarmer.net&quot;,&quot;issued&quot;:{&quot;date-parts&quot;:[[2024]]},&quot;page&quot;:&quot;442-448&quot;,&quot;issue&quot;:&quot;10&quot;,&quot;volume&quot;:&quot;1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A377401C-BDE1-4F51-81BD-7F3FF0FB5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14</Pages>
  <Words>4794</Words>
  <Characters>27332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3</cp:revision>
  <dcterms:created xsi:type="dcterms:W3CDTF">2025-05-26T07:08:00Z</dcterms:created>
  <dcterms:modified xsi:type="dcterms:W3CDTF">2025-05-26T10:02:00Z</dcterms:modified>
</cp:coreProperties>
</file>