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C70C6" w14:textId="6AFD3D49" w:rsidR="00EF0ADF" w:rsidRPr="00B45AE3" w:rsidRDefault="004600C8" w:rsidP="00B45AE3">
      <w:pPr>
        <w:spacing w:line="276" w:lineRule="auto"/>
        <w:jc w:val="center"/>
        <w:rPr>
          <w:rFonts w:ascii="Times New Roman" w:hAnsi="Times New Roman"/>
          <w:b/>
          <w:bCs/>
          <w:color w:val="000000" w:themeColor="text1"/>
          <w:sz w:val="28"/>
          <w:szCs w:val="28"/>
        </w:rPr>
      </w:pPr>
      <w:bookmarkStart w:id="0" w:name="_Hlk152686472"/>
      <w:r w:rsidRPr="00B45AE3">
        <w:rPr>
          <w:rFonts w:ascii="Times New Roman" w:hAnsi="Times New Roman"/>
          <w:b/>
          <w:bCs/>
          <w:color w:val="000000" w:themeColor="text1"/>
          <w:sz w:val="28"/>
          <w:szCs w:val="28"/>
        </w:rPr>
        <w:t>Effect of vegetable rapeseed and olive oil-based waxes on the post-harvest preservation of mangoes in Côte d'Ivoire</w:t>
      </w:r>
    </w:p>
    <w:p w14:paraId="7B3D28CF" w14:textId="77777777" w:rsidR="00EF0ADF" w:rsidRPr="00B45AE3" w:rsidRDefault="00EF0ADF" w:rsidP="00B45AE3">
      <w:pPr>
        <w:spacing w:line="276" w:lineRule="auto"/>
        <w:jc w:val="both"/>
        <w:rPr>
          <w:rFonts w:ascii="Times New Roman" w:hAnsi="Times New Roman"/>
          <w:color w:val="000000" w:themeColor="text1"/>
          <w:vertAlign w:val="superscript"/>
        </w:rPr>
      </w:pPr>
    </w:p>
    <w:p w14:paraId="1B0682C1" w14:textId="506FF682" w:rsidR="00201271" w:rsidRDefault="00201271" w:rsidP="00B45AE3">
      <w:pPr>
        <w:spacing w:line="276" w:lineRule="auto"/>
        <w:jc w:val="both"/>
        <w:rPr>
          <w:rFonts w:ascii="Times New Roman" w:hAnsi="Times New Roman"/>
          <w:color w:val="000000" w:themeColor="text1"/>
        </w:rPr>
      </w:pPr>
    </w:p>
    <w:p w14:paraId="7250C57F" w14:textId="77777777" w:rsidR="00235CA6" w:rsidRPr="00B45AE3" w:rsidRDefault="00235CA6" w:rsidP="00B45AE3">
      <w:pPr>
        <w:spacing w:line="276" w:lineRule="auto"/>
        <w:jc w:val="both"/>
        <w:rPr>
          <w:rFonts w:ascii="Times New Roman" w:hAnsi="Times New Roman"/>
          <w:color w:val="000000" w:themeColor="text1"/>
        </w:rPr>
      </w:pPr>
    </w:p>
    <w:p w14:paraId="2476F5C9" w14:textId="77777777" w:rsidR="001C2F4C" w:rsidRPr="00B45AE3" w:rsidRDefault="001C2F4C" w:rsidP="00B45AE3">
      <w:pPr>
        <w:spacing w:line="276" w:lineRule="auto"/>
        <w:jc w:val="both"/>
        <w:rPr>
          <w:rFonts w:ascii="Times New Roman" w:hAnsi="Times New Roman"/>
          <w:color w:val="000000" w:themeColor="text1"/>
        </w:rPr>
      </w:pPr>
    </w:p>
    <w:p w14:paraId="7E7C638A" w14:textId="1F80B06D" w:rsidR="00EA2DD1" w:rsidRPr="00B45AE3" w:rsidRDefault="00795C0D" w:rsidP="00B45AE3">
      <w:pPr>
        <w:spacing w:line="276" w:lineRule="auto"/>
        <w:jc w:val="both"/>
        <w:rPr>
          <w:rFonts w:ascii="Times New Roman" w:hAnsi="Times New Roman"/>
          <w:color w:val="000000" w:themeColor="text1"/>
          <w:lang w:val="en-US"/>
        </w:rPr>
      </w:pPr>
      <w:r w:rsidRPr="00B45AE3">
        <w:rPr>
          <w:rFonts w:ascii="Times New Roman" w:hAnsi="Times New Roman"/>
          <w:b/>
          <w:color w:val="000000" w:themeColor="text1"/>
          <w:lang w:val="en-US"/>
        </w:rPr>
        <w:t>Abstract:</w:t>
      </w:r>
      <w:r w:rsidR="00D46CAF" w:rsidRPr="00B45AE3">
        <w:rPr>
          <w:rFonts w:ascii="Times New Roman" w:hAnsi="Times New Roman"/>
          <w:color w:val="000000" w:themeColor="text1"/>
          <w:lang w:val="en-US"/>
        </w:rPr>
        <w:t xml:space="preserve"> </w:t>
      </w:r>
      <w:r w:rsidR="00EA2DD1" w:rsidRPr="00B45AE3">
        <w:rPr>
          <w:rFonts w:ascii="Times New Roman" w:hAnsi="Times New Roman"/>
          <w:color w:val="000000" w:themeColor="text1"/>
          <w:lang w:val="en-US"/>
        </w:rPr>
        <w:t xml:space="preserve">Côte d'Ivoire is the third largest supplier of mangoes to the European Union. However, its export to the European market is prone to significant losses due to its perishable nature. This problem prompted this study, which aims to improve the quality of mangoes exported to cold rooms by coating them with wax based on vegetable oils. For this purpose, Kent variety mangoes were coated with different doses of wax based on vegetable oils: Rapeseed </w:t>
      </w:r>
      <w:r w:rsidR="00254691" w:rsidRPr="00B45AE3">
        <w:rPr>
          <w:rFonts w:ascii="Times New Roman" w:hAnsi="Times New Roman"/>
          <w:color w:val="000000" w:themeColor="text1"/>
          <w:lang w:val="en-US"/>
        </w:rPr>
        <w:t>+</w:t>
      </w:r>
      <w:r w:rsidR="00EA2DD1" w:rsidRPr="00B45AE3">
        <w:rPr>
          <w:rFonts w:ascii="Times New Roman" w:hAnsi="Times New Roman"/>
          <w:color w:val="000000" w:themeColor="text1"/>
          <w:lang w:val="en-US"/>
        </w:rPr>
        <w:t xml:space="preserve"> Olive 100g/l and of Scholar Max 230 SC as a reference product. The treatments evaluated during this study are treatment T0: Untreated control, treatment T1: Scholar Max 230 SC at 0.15%, treatment T2: wax based on vegetable oils at </w:t>
      </w:r>
      <w:r w:rsidR="00254691" w:rsidRPr="00B45AE3">
        <w:rPr>
          <w:rFonts w:ascii="Times New Roman" w:hAnsi="Times New Roman"/>
          <w:color w:val="000000" w:themeColor="text1"/>
          <w:lang w:val="en-US"/>
        </w:rPr>
        <w:t>1</w:t>
      </w:r>
      <w:r w:rsidR="00EA2DD1" w:rsidRPr="00B45AE3">
        <w:rPr>
          <w:rFonts w:ascii="Times New Roman" w:hAnsi="Times New Roman"/>
          <w:color w:val="000000" w:themeColor="text1"/>
          <w:lang w:val="en-US"/>
        </w:rPr>
        <w:t xml:space="preserve">0%, T3 treatment: wax based on vegetable oils at 15%, T4 treatment: wax based on vegetable oils at 5% and T5 treatment: Combination of the wax based on vegetable oils at 10% and the reference product, at 0.15%. The treated fruits were stored at 8°C for 15 days in a cold room to mimic export </w:t>
      </w:r>
      <w:commentRangeStart w:id="1"/>
      <w:r w:rsidR="00EA2DD1" w:rsidRPr="00B45AE3">
        <w:rPr>
          <w:rFonts w:ascii="Times New Roman" w:hAnsi="Times New Roman"/>
          <w:color w:val="000000" w:themeColor="text1"/>
          <w:lang w:val="en-US"/>
        </w:rPr>
        <w:t>conditions</w:t>
      </w:r>
      <w:commentRangeEnd w:id="1"/>
      <w:r w:rsidR="00FD7D5A">
        <w:rPr>
          <w:rStyle w:val="CommentReference"/>
        </w:rPr>
        <w:commentReference w:id="1"/>
      </w:r>
      <w:r w:rsidR="00EA2DD1" w:rsidRPr="00B45AE3">
        <w:rPr>
          <w:rFonts w:ascii="Times New Roman" w:hAnsi="Times New Roman"/>
          <w:color w:val="000000" w:themeColor="text1"/>
          <w:lang w:val="en-US"/>
        </w:rPr>
        <w:t xml:space="preserve">. The evaluations were extended to 6 days after the fruits were removed from the cold room. The results revealed that the weight loss as well as the coloring of the fruits were uniform for all treatments. While the loss of firmness was lower with the </w:t>
      </w:r>
      <w:r w:rsidR="00254691" w:rsidRPr="00B45AE3">
        <w:rPr>
          <w:rFonts w:ascii="Times New Roman" w:hAnsi="Times New Roman"/>
          <w:color w:val="000000" w:themeColor="text1"/>
          <w:lang w:val="en-US"/>
        </w:rPr>
        <w:t>fruit</w:t>
      </w:r>
      <w:r w:rsidR="00EA2DD1" w:rsidRPr="00B45AE3">
        <w:rPr>
          <w:rFonts w:ascii="Times New Roman" w:hAnsi="Times New Roman"/>
          <w:color w:val="000000" w:themeColor="text1"/>
          <w:lang w:val="en-US"/>
        </w:rPr>
        <w:t xml:space="preserve"> coated with wax based on vegetable oils at 5%. The soluble sugar content, pH and titratable acidity were identical to those of the uncoated fruits. It appears that the coating at wax based on vegetable oils at 5% before cold storage helps maintain the quality of the fruit. To reduce losses during </w:t>
      </w:r>
      <w:commentRangeStart w:id="2"/>
      <w:r w:rsidR="00EA2DD1" w:rsidRPr="00B45AE3">
        <w:rPr>
          <w:rFonts w:ascii="Times New Roman" w:hAnsi="Times New Roman"/>
          <w:color w:val="000000" w:themeColor="text1"/>
          <w:lang w:val="en-US"/>
        </w:rPr>
        <w:t>export</w:t>
      </w:r>
      <w:commentRangeEnd w:id="2"/>
      <w:r w:rsidR="00EA2288">
        <w:rPr>
          <w:rStyle w:val="CommentReference"/>
        </w:rPr>
        <w:commentReference w:id="2"/>
      </w:r>
      <w:r w:rsidR="00EA2DD1" w:rsidRPr="00B45AE3">
        <w:rPr>
          <w:rFonts w:ascii="Times New Roman" w:hAnsi="Times New Roman"/>
          <w:color w:val="000000" w:themeColor="text1"/>
          <w:lang w:val="en-US"/>
        </w:rPr>
        <w:t>, coating with wax based on vegetable oils at 5% could be recommended.</w:t>
      </w:r>
    </w:p>
    <w:p w14:paraId="753DE06C" w14:textId="69B8CE1B" w:rsidR="00201271" w:rsidRPr="00B45AE3" w:rsidRDefault="00EA2DD1" w:rsidP="00B45AE3">
      <w:pPr>
        <w:spacing w:line="276" w:lineRule="auto"/>
        <w:jc w:val="both"/>
        <w:rPr>
          <w:rFonts w:ascii="Times New Roman" w:hAnsi="Times New Roman"/>
          <w:color w:val="000000" w:themeColor="text1"/>
          <w:lang w:val="en-US"/>
        </w:rPr>
        <w:sectPr w:rsidR="00201271" w:rsidRPr="00B45AE3" w:rsidSect="00CF48D9">
          <w:headerReference w:type="even" r:id="rId9"/>
          <w:headerReference w:type="default" r:id="rId10"/>
          <w:footerReference w:type="even" r:id="rId11"/>
          <w:footerReference w:type="default" r:id="rId12"/>
          <w:headerReference w:type="first" r:id="rId13"/>
          <w:footerReference w:type="first" r:id="rId14"/>
          <w:pgSz w:w="11900" w:h="16840"/>
          <w:pgMar w:top="946" w:right="1417" w:bottom="1417" w:left="1417" w:header="708" w:footer="708" w:gutter="0"/>
          <w:cols w:space="708"/>
          <w:titlePg/>
          <w:docGrid w:linePitch="360"/>
        </w:sectPr>
      </w:pPr>
      <w:r w:rsidRPr="00B45AE3">
        <w:rPr>
          <w:rFonts w:ascii="Times New Roman" w:hAnsi="Times New Roman"/>
          <w:b/>
          <w:bCs/>
          <w:color w:val="000000" w:themeColor="text1"/>
          <w:lang w:val="en-US"/>
        </w:rPr>
        <w:t>Keywords:</w:t>
      </w:r>
      <w:r w:rsidRPr="00B45AE3">
        <w:rPr>
          <w:rFonts w:ascii="Times New Roman" w:hAnsi="Times New Roman"/>
          <w:color w:val="000000" w:themeColor="text1"/>
          <w:lang w:val="en-US"/>
        </w:rPr>
        <w:t xml:space="preserve"> Mango, conservation, post-harvest, fruit coatings, wax</w:t>
      </w:r>
    </w:p>
    <w:p w14:paraId="1B7804B9" w14:textId="3A62C362" w:rsidR="00201271" w:rsidRPr="007340DC" w:rsidRDefault="00EF175D" w:rsidP="00EF175D">
      <w:pPr>
        <w:pStyle w:val="Heading1"/>
        <w:numPr>
          <w:ilvl w:val="0"/>
          <w:numId w:val="20"/>
        </w:numPr>
      </w:pPr>
      <w:bookmarkStart w:id="3" w:name="_Toc113992311"/>
      <w:r w:rsidRPr="007340DC">
        <w:lastRenderedPageBreak/>
        <w:t>INTRODUCTION</w:t>
      </w:r>
      <w:bookmarkEnd w:id="3"/>
      <w:r w:rsidRPr="007340DC">
        <w:t xml:space="preserve">  </w:t>
      </w:r>
    </w:p>
    <w:p w14:paraId="05F81AC6" w14:textId="124B3A03" w:rsidR="003D7F05" w:rsidRDefault="009A2E17" w:rsidP="007B656F">
      <w:pPr>
        <w:autoSpaceDE w:val="0"/>
        <w:autoSpaceDN w:val="0"/>
        <w:adjustRightInd w:val="0"/>
        <w:spacing w:line="360" w:lineRule="auto"/>
        <w:ind w:firstLine="708"/>
        <w:jc w:val="both"/>
        <w:rPr>
          <w:rStyle w:val="fontstyle01"/>
          <w:rFonts w:ascii="Times New Roman" w:hAnsi="Times New Roman"/>
          <w:color w:val="000000" w:themeColor="text1"/>
        </w:rPr>
      </w:pPr>
      <w:r w:rsidRPr="009A2E17">
        <w:rPr>
          <w:rFonts w:ascii="Times New Roman" w:hAnsi="Times New Roman"/>
          <w:color w:val="000000" w:themeColor="text1"/>
        </w:rPr>
        <w:t>The mango tree (</w:t>
      </w:r>
      <w:r w:rsidRPr="00F94187">
        <w:rPr>
          <w:rFonts w:ascii="Times New Roman" w:hAnsi="Times New Roman"/>
          <w:i/>
          <w:iCs/>
          <w:color w:val="000000" w:themeColor="text1"/>
        </w:rPr>
        <w:t>Mangifera indica</w:t>
      </w:r>
      <w:r w:rsidRPr="009A2E17">
        <w:rPr>
          <w:rFonts w:ascii="Times New Roman" w:hAnsi="Times New Roman"/>
          <w:color w:val="000000" w:themeColor="text1"/>
        </w:rPr>
        <w:t xml:space="preserve"> L.) is a tropical plant cultivated for its fruit, which is rich in vitamins A, C and B, as well as minerals. The mango plays an important role in developing tropical countries. In Côte d'Ivoire, mango production is predominant in the north of the country due to suitable climatic conditions (Kouamé </w:t>
      </w:r>
      <w:r w:rsidRPr="00F94187">
        <w:rPr>
          <w:rFonts w:ascii="Times New Roman" w:hAnsi="Times New Roman"/>
          <w:i/>
          <w:iCs/>
          <w:color w:val="000000" w:themeColor="text1"/>
        </w:rPr>
        <w:t>et al</w:t>
      </w:r>
      <w:r w:rsidRPr="009A2E17">
        <w:rPr>
          <w:rFonts w:ascii="Times New Roman" w:hAnsi="Times New Roman"/>
          <w:color w:val="000000" w:themeColor="text1"/>
        </w:rPr>
        <w:t xml:space="preserve">., </w:t>
      </w:r>
      <w:r w:rsidR="00810270" w:rsidRPr="009A2E17">
        <w:rPr>
          <w:rFonts w:ascii="Times New Roman" w:hAnsi="Times New Roman"/>
          <w:color w:val="000000" w:themeColor="text1"/>
        </w:rPr>
        <w:t>2020 ;</w:t>
      </w:r>
      <w:r w:rsidRPr="009A2E17">
        <w:rPr>
          <w:rFonts w:ascii="Times New Roman" w:hAnsi="Times New Roman"/>
          <w:color w:val="000000" w:themeColor="text1"/>
        </w:rPr>
        <w:t xml:space="preserve"> Pugnet, 2018). Mango is the 3rd most important cash crop in this region, after cotton and cashew nuts. Nationally, mango is the 3rd most important export fruit, after banana and pineapple (Coulibaly, 2022). The volume of mango exports has risen steadily, from 10,179 tonnes in 2011 to more than 32,881 tonnes in 2021 (</w:t>
      </w:r>
      <w:r>
        <w:rPr>
          <w:rFonts w:ascii="Times New Roman" w:hAnsi="Times New Roman"/>
          <w:color w:val="000000" w:themeColor="text1"/>
        </w:rPr>
        <w:t xml:space="preserve">Pugnet, </w:t>
      </w:r>
      <w:r w:rsidR="00B575FA">
        <w:rPr>
          <w:rFonts w:ascii="Times New Roman" w:hAnsi="Times New Roman"/>
          <w:color w:val="000000" w:themeColor="text1"/>
        </w:rPr>
        <w:t>2018 ;</w:t>
      </w:r>
      <w:r>
        <w:rPr>
          <w:rFonts w:ascii="Times New Roman" w:hAnsi="Times New Roman"/>
          <w:color w:val="000000" w:themeColor="text1"/>
        </w:rPr>
        <w:t xml:space="preserve"> Coulibaly, 2022). </w:t>
      </w:r>
      <w:r w:rsidRPr="009A2E17">
        <w:rPr>
          <w:rFonts w:ascii="Times New Roman" w:hAnsi="Times New Roman"/>
          <w:color w:val="000000" w:themeColor="text1"/>
        </w:rPr>
        <w:t xml:space="preserve">More than 95% of export volumes are destined for the European market (Pugnet, 2018). This performance by the mango sector has put Côte d'Ivoire in 1st place in Africa among mango exporting countries and in 3rd place among countries supplying the European market (Pugnet, 2018). This fruit represents a major financial windfall for the inhabitants of this part of the country. However, the main difficulty with this activity in Côte d'Ivoire and Cameroon is preserving the fruit (Yikoa </w:t>
      </w:r>
      <w:r w:rsidRPr="00DF4E23">
        <w:rPr>
          <w:rFonts w:ascii="Times New Roman" w:hAnsi="Times New Roman"/>
          <w:i/>
          <w:iCs/>
          <w:color w:val="000000" w:themeColor="text1"/>
        </w:rPr>
        <w:t>et al</w:t>
      </w:r>
      <w:r w:rsidRPr="009A2E17">
        <w:rPr>
          <w:rFonts w:ascii="Times New Roman" w:hAnsi="Times New Roman"/>
          <w:color w:val="000000" w:themeColor="text1"/>
        </w:rPr>
        <w:t xml:space="preserve">., 2022; Kouamé </w:t>
      </w:r>
      <w:r w:rsidRPr="00DF4E23">
        <w:rPr>
          <w:rFonts w:ascii="Times New Roman" w:hAnsi="Times New Roman"/>
          <w:i/>
          <w:iCs/>
          <w:color w:val="000000" w:themeColor="text1"/>
        </w:rPr>
        <w:t>et al</w:t>
      </w:r>
      <w:r w:rsidRPr="009A2E17">
        <w:rPr>
          <w:rFonts w:ascii="Times New Roman" w:hAnsi="Times New Roman"/>
          <w:color w:val="000000" w:themeColor="text1"/>
        </w:rPr>
        <w:t>., 2020). Post-harvest losses have been estimated at 30-35% of total production, equivalent to CF</w:t>
      </w:r>
      <w:r>
        <w:rPr>
          <w:rFonts w:ascii="Times New Roman" w:hAnsi="Times New Roman"/>
          <w:color w:val="000000" w:themeColor="text1"/>
        </w:rPr>
        <w:t xml:space="preserve">AF 3.3% billion </w:t>
      </w:r>
      <w:r w:rsidRPr="007B656F">
        <w:rPr>
          <w:rFonts w:ascii="Times New Roman" w:hAnsi="Times New Roman"/>
          <w:color w:val="000000" w:themeColor="text1"/>
        </w:rPr>
        <w:t>(</w:t>
      </w:r>
      <w:r w:rsidR="007B656F" w:rsidRPr="007B656F">
        <w:rPr>
          <w:rFonts w:ascii="Times New Roman" w:hAnsi="Times New Roman"/>
          <w:color w:val="000000" w:themeColor="text1"/>
        </w:rPr>
        <w:t>OB</w:t>
      </w:r>
      <w:r w:rsidR="007B656F">
        <w:rPr>
          <w:rFonts w:ascii="Times New Roman" w:hAnsi="Times New Roman"/>
          <w:color w:val="000000" w:themeColor="text1"/>
        </w:rPr>
        <w:t>A</w:t>
      </w:r>
      <w:r w:rsidR="007B656F" w:rsidRPr="007B656F">
        <w:rPr>
          <w:rFonts w:ascii="Times New Roman" w:hAnsi="Times New Roman"/>
          <w:color w:val="000000" w:themeColor="text1"/>
        </w:rPr>
        <w:t>M-CI, 2019</w:t>
      </w:r>
      <w:r w:rsidRPr="007B656F">
        <w:rPr>
          <w:rFonts w:ascii="Times New Roman" w:hAnsi="Times New Roman"/>
          <w:color w:val="000000" w:themeColor="text1"/>
        </w:rPr>
        <w:t>).</w:t>
      </w:r>
      <w:r>
        <w:rPr>
          <w:rFonts w:ascii="Times New Roman" w:hAnsi="Times New Roman"/>
          <w:color w:val="000000" w:themeColor="text1"/>
        </w:rPr>
        <w:t xml:space="preserve"> </w:t>
      </w:r>
      <w:r w:rsidRPr="009A2E17">
        <w:rPr>
          <w:rFonts w:ascii="Times New Roman" w:hAnsi="Times New Roman"/>
          <w:color w:val="000000" w:themeColor="text1"/>
        </w:rPr>
        <w:t xml:space="preserve">Transpiration, mechanical injury, high respiration and ethylene production make the fruit perishable (Wang </w:t>
      </w:r>
      <w:r w:rsidRPr="00271334">
        <w:rPr>
          <w:rFonts w:ascii="Times New Roman" w:hAnsi="Times New Roman"/>
          <w:i/>
          <w:iCs/>
          <w:color w:val="000000" w:themeColor="text1"/>
        </w:rPr>
        <w:t>et al</w:t>
      </w:r>
      <w:r w:rsidRPr="009A2E17">
        <w:rPr>
          <w:rFonts w:ascii="Times New Roman" w:hAnsi="Times New Roman"/>
          <w:color w:val="000000" w:themeColor="text1"/>
        </w:rPr>
        <w:t xml:space="preserve">., 2009). To reduce post-harvest losses, preservation by drying and processing into juice, syrup and jam is envisaged (Kanté-Traoré </w:t>
      </w:r>
      <w:r w:rsidRPr="00271334">
        <w:rPr>
          <w:rFonts w:ascii="Times New Roman" w:hAnsi="Times New Roman"/>
          <w:i/>
          <w:iCs/>
          <w:color w:val="000000" w:themeColor="text1"/>
        </w:rPr>
        <w:t>et al</w:t>
      </w:r>
      <w:r w:rsidRPr="009A2E17">
        <w:rPr>
          <w:rFonts w:ascii="Times New Roman" w:hAnsi="Times New Roman"/>
          <w:color w:val="000000" w:themeColor="text1"/>
        </w:rPr>
        <w:t xml:space="preserve">., 2017). However, the export of fresh fruit remains the sector's most important source of foreign currency. The European market is the main outlet for Côte d'Ivoire mangoes (Pugnet, 2018). </w:t>
      </w:r>
      <w:r w:rsidR="003D7F05" w:rsidRPr="003D7F05">
        <w:rPr>
          <w:rFonts w:ascii="Times New Roman" w:eastAsia="TimesNewRoman" w:hAnsi="Times New Roman"/>
          <w:color w:val="000000" w:themeColor="text1"/>
        </w:rPr>
        <w:t xml:space="preserve">Also, cold-stored fruit ripens quickly when returned to room temperature (Bissardon, </w:t>
      </w:r>
      <w:commentRangeStart w:id="4"/>
      <w:r w:rsidR="003D7F05" w:rsidRPr="003D7F05">
        <w:rPr>
          <w:rFonts w:ascii="Times New Roman" w:eastAsia="TimesNewRoman" w:hAnsi="Times New Roman"/>
          <w:color w:val="000000" w:themeColor="text1"/>
        </w:rPr>
        <w:t>1999</w:t>
      </w:r>
      <w:commentRangeEnd w:id="4"/>
      <w:r w:rsidR="005B2814">
        <w:rPr>
          <w:rStyle w:val="CommentReference"/>
        </w:rPr>
        <w:commentReference w:id="4"/>
      </w:r>
      <w:r w:rsidR="003D7F05" w:rsidRPr="003D7F05">
        <w:rPr>
          <w:rFonts w:ascii="Times New Roman" w:eastAsia="TimesNewRoman" w:hAnsi="Times New Roman"/>
          <w:color w:val="000000" w:themeColor="text1"/>
        </w:rPr>
        <w:t>). This is a problem for fresh fruit exporting countries like ours, which must maintain the quality of the fruit on offer. Quality is a competitive factor on international markets. It is therefore more urgent than ever to put in place processes capable of extending the fruit's shelf life while preserving its organoleptic quality.</w:t>
      </w:r>
      <w:r w:rsidR="00D56C49" w:rsidRPr="007340DC">
        <w:rPr>
          <w:rFonts w:ascii="Times New Roman" w:eastAsia="TimesNewRoman" w:hAnsi="Times New Roman"/>
          <w:color w:val="000000" w:themeColor="text1"/>
        </w:rPr>
        <w:t xml:space="preserve"> </w:t>
      </w:r>
      <w:r w:rsidR="003D7F05" w:rsidRPr="003D7F05">
        <w:rPr>
          <w:rStyle w:val="fontstyle01"/>
          <w:rFonts w:ascii="Times New Roman" w:hAnsi="Times New Roman"/>
          <w:color w:val="000000" w:themeColor="text1"/>
        </w:rPr>
        <w:t>Numerous techniques have been developed over the years to extend the shelf life of fruit and vegetables from their place of production to the consumer. Tropical fruit and vegetables are particularly sensitive to cold (Raimbault, 2011).</w:t>
      </w:r>
    </w:p>
    <w:p w14:paraId="2A5FF0A2" w14:textId="07B5BA90" w:rsidR="003D7F05" w:rsidRDefault="003D7F05" w:rsidP="00EF175D">
      <w:pPr>
        <w:autoSpaceDE w:val="0"/>
        <w:autoSpaceDN w:val="0"/>
        <w:adjustRightInd w:val="0"/>
        <w:spacing w:line="360" w:lineRule="auto"/>
        <w:ind w:firstLine="708"/>
        <w:jc w:val="both"/>
        <w:rPr>
          <w:rFonts w:ascii="Times New Roman" w:hAnsi="Times New Roman"/>
          <w:color w:val="000000" w:themeColor="text1"/>
        </w:rPr>
      </w:pPr>
      <w:r w:rsidRPr="003D7F05">
        <w:rPr>
          <w:rFonts w:ascii="Times New Roman" w:eastAsia="TimesNewRoman" w:hAnsi="Times New Roman"/>
          <w:color w:val="000000" w:themeColor="text1"/>
        </w:rPr>
        <w:t>Several studies, including the more recent one by Silué (2022), have shown that chemical treatment using hexanal can delay the ripening of mangoes. However, the current trend is to use a coating product that meets environmental, social, ecological and human requirements in order to ensure consumer safety. It was with this in mind that this study was initiated.</w:t>
      </w:r>
      <w:r w:rsidR="0023437D" w:rsidRPr="007340DC">
        <w:rPr>
          <w:rFonts w:ascii="Times New Roman" w:hAnsi="Times New Roman"/>
          <w:color w:val="000000" w:themeColor="text1"/>
        </w:rPr>
        <w:t xml:space="preserve"> </w:t>
      </w:r>
      <w:r w:rsidRPr="003D7F05">
        <w:rPr>
          <w:rFonts w:ascii="Times New Roman" w:hAnsi="Times New Roman"/>
          <w:color w:val="000000" w:themeColor="text1"/>
        </w:rPr>
        <w:t xml:space="preserve">It involved coating mango fruit of the ‘Kent’ variety with a </w:t>
      </w:r>
      <w:r w:rsidR="00716B30">
        <w:rPr>
          <w:rFonts w:ascii="Times New Roman" w:hAnsi="Times New Roman"/>
          <w:color w:val="000000" w:themeColor="text1"/>
        </w:rPr>
        <w:t>Vegetable oil</w:t>
      </w:r>
      <w:r w:rsidRPr="003D7F05">
        <w:rPr>
          <w:rFonts w:ascii="Times New Roman" w:hAnsi="Times New Roman"/>
          <w:color w:val="000000" w:themeColor="text1"/>
        </w:rPr>
        <w:t xml:space="preserve">-based wax. </w:t>
      </w:r>
      <w:r w:rsidRPr="003D7F05">
        <w:rPr>
          <w:rFonts w:ascii="Times New Roman" w:hAnsi="Times New Roman"/>
          <w:color w:val="000000" w:themeColor="text1"/>
        </w:rPr>
        <w:lastRenderedPageBreak/>
        <w:t xml:space="preserve">The aim of this work was to determine the effective dose of </w:t>
      </w:r>
      <w:r w:rsidR="00716B30" w:rsidRPr="001C2F4C">
        <w:rPr>
          <w:rFonts w:ascii="Times New Roman" w:hAnsi="Times New Roman"/>
          <w:color w:val="000000" w:themeColor="text1"/>
        </w:rPr>
        <w:t>Vegetable oil</w:t>
      </w:r>
      <w:r w:rsidRPr="003D7F05">
        <w:rPr>
          <w:rFonts w:ascii="Times New Roman" w:hAnsi="Times New Roman"/>
          <w:color w:val="000000" w:themeColor="text1"/>
        </w:rPr>
        <w:t xml:space="preserve"> (</w:t>
      </w:r>
      <w:r w:rsidR="00716B30">
        <w:rPr>
          <w:rFonts w:ascii="Times New Roman" w:hAnsi="Times New Roman"/>
          <w:color w:val="000000" w:themeColor="text1"/>
        </w:rPr>
        <w:t>Vegetable oil</w:t>
      </w:r>
      <w:r w:rsidRPr="003D7F05">
        <w:rPr>
          <w:rFonts w:ascii="Times New Roman" w:hAnsi="Times New Roman"/>
          <w:color w:val="000000" w:themeColor="text1"/>
        </w:rPr>
        <w:t>-based wax) on the post-harvest preservation of mangoes for export.</w:t>
      </w:r>
    </w:p>
    <w:p w14:paraId="467E70E7" w14:textId="5F116573" w:rsidR="003D7F05" w:rsidRPr="003D7F05" w:rsidRDefault="00EF175D" w:rsidP="003D7F05">
      <w:pPr>
        <w:spacing w:before="240" w:line="360" w:lineRule="auto"/>
        <w:jc w:val="both"/>
        <w:rPr>
          <w:rFonts w:ascii="Times New Roman" w:hAnsi="Times New Roman"/>
          <w:b/>
          <w:color w:val="000000" w:themeColor="text1"/>
        </w:rPr>
      </w:pPr>
      <w:r>
        <w:rPr>
          <w:rFonts w:ascii="Times New Roman" w:hAnsi="Times New Roman"/>
          <w:b/>
          <w:color w:val="000000" w:themeColor="text1"/>
        </w:rPr>
        <w:t>2</w:t>
      </w:r>
      <w:r w:rsidRPr="003D7F05">
        <w:rPr>
          <w:rFonts w:ascii="Times New Roman" w:hAnsi="Times New Roman"/>
          <w:b/>
          <w:color w:val="000000" w:themeColor="text1"/>
        </w:rPr>
        <w:t>. MATERIALS AND METHODS</w:t>
      </w:r>
    </w:p>
    <w:p w14:paraId="516C3637" w14:textId="0C32E953" w:rsidR="003D7F05" w:rsidRPr="003D7F05" w:rsidRDefault="00EF175D" w:rsidP="003D7F05">
      <w:pPr>
        <w:spacing w:before="240" w:line="360" w:lineRule="auto"/>
        <w:jc w:val="both"/>
        <w:rPr>
          <w:rFonts w:ascii="Times New Roman" w:hAnsi="Times New Roman"/>
          <w:b/>
          <w:color w:val="000000" w:themeColor="text1"/>
        </w:rPr>
      </w:pPr>
      <w:r>
        <w:rPr>
          <w:rFonts w:ascii="Times New Roman" w:hAnsi="Times New Roman"/>
          <w:b/>
          <w:color w:val="000000" w:themeColor="text1"/>
        </w:rPr>
        <w:t>2</w:t>
      </w:r>
      <w:r w:rsidR="003D7F05" w:rsidRPr="003D7F05">
        <w:rPr>
          <w:rFonts w:ascii="Times New Roman" w:hAnsi="Times New Roman"/>
          <w:b/>
          <w:color w:val="000000" w:themeColor="text1"/>
        </w:rPr>
        <w:t>.1 Experimental site</w:t>
      </w:r>
    </w:p>
    <w:p w14:paraId="60004139" w14:textId="77777777" w:rsidR="007E1830" w:rsidRDefault="003D7F05" w:rsidP="003D7F05">
      <w:pPr>
        <w:pStyle w:val="Heading3"/>
        <w:spacing w:line="360" w:lineRule="auto"/>
        <w:jc w:val="both"/>
        <w:rPr>
          <w:rFonts w:ascii="Times New Roman" w:eastAsia="Times New Roman" w:hAnsi="Times New Roman" w:cs="Times New Roman"/>
          <w:color w:val="000000" w:themeColor="text1"/>
          <w:lang w:eastAsia="fr-FR"/>
        </w:rPr>
      </w:pPr>
      <w:bookmarkStart w:id="5" w:name="_Toc113992315"/>
      <w:r w:rsidRPr="003D7F05">
        <w:rPr>
          <w:rFonts w:ascii="Times New Roman" w:eastAsia="Times New Roman" w:hAnsi="Times New Roman" w:cs="Times New Roman"/>
          <w:color w:val="000000" w:themeColor="text1"/>
          <w:lang w:eastAsia="fr-FR"/>
        </w:rPr>
        <w:t xml:space="preserve">The trial was conducted at two experimental sites. Firstly, at the </w:t>
      </w:r>
      <w:r w:rsidRPr="00EA2DD1">
        <w:rPr>
          <w:rFonts w:ascii="Times New Roman" w:eastAsia="Times New Roman" w:hAnsi="Times New Roman" w:cs="Times New Roman"/>
          <w:color w:val="000000" w:themeColor="text1"/>
          <w:lang w:eastAsia="fr-FR"/>
        </w:rPr>
        <w:t>TROPIC MANGO</w:t>
      </w:r>
      <w:r w:rsidRPr="003D7F05">
        <w:rPr>
          <w:rFonts w:ascii="Times New Roman" w:eastAsia="Times New Roman" w:hAnsi="Times New Roman" w:cs="Times New Roman"/>
          <w:color w:val="000000" w:themeColor="text1"/>
          <w:lang w:eastAsia="fr-FR"/>
        </w:rPr>
        <w:t xml:space="preserve"> packaging station in Korhogo (Côte d'Ivoire) where different doses of </w:t>
      </w:r>
      <w:r w:rsidR="00716B30">
        <w:rPr>
          <w:rFonts w:ascii="Times New Roman" w:eastAsia="Times New Roman" w:hAnsi="Times New Roman" w:cs="Times New Roman"/>
          <w:color w:val="000000" w:themeColor="text1"/>
          <w:lang w:eastAsia="fr-FR"/>
        </w:rPr>
        <w:t>Vegetable oil</w:t>
      </w:r>
      <w:r w:rsidRPr="003D7F05">
        <w:rPr>
          <w:rFonts w:ascii="Times New Roman" w:eastAsia="Times New Roman" w:hAnsi="Times New Roman" w:cs="Times New Roman"/>
          <w:color w:val="000000" w:themeColor="text1"/>
          <w:lang w:eastAsia="fr-FR"/>
        </w:rPr>
        <w:t>-based wax and Scholar Max 230 SC were applied to the mango fruit. Then, in Abidjan in the cold room of the AGRED-CI research centre at 8°C in order to mimic export conditions.</w:t>
      </w:r>
    </w:p>
    <w:p w14:paraId="45B646CE" w14:textId="309EACD7" w:rsidR="003D7F05" w:rsidRPr="003D7F05" w:rsidRDefault="003D7F05" w:rsidP="003D7F05">
      <w:pPr>
        <w:pStyle w:val="Heading3"/>
        <w:spacing w:line="360" w:lineRule="auto"/>
        <w:jc w:val="both"/>
        <w:rPr>
          <w:rFonts w:ascii="Times New Roman" w:eastAsia="Batang" w:hAnsi="Times New Roman" w:cs="Times New Roman"/>
          <w:b/>
          <w:color w:val="000000" w:themeColor="text1"/>
          <w:lang w:eastAsia="fr-FR"/>
        </w:rPr>
      </w:pPr>
      <w:r w:rsidRPr="003D7F05">
        <w:rPr>
          <w:rFonts w:ascii="Times New Roman" w:eastAsia="Times New Roman" w:hAnsi="Times New Roman" w:cs="Times New Roman"/>
          <w:color w:val="000000" w:themeColor="text1"/>
          <w:lang w:eastAsia="fr-FR"/>
        </w:rPr>
        <w:t xml:space="preserve"> </w:t>
      </w:r>
      <w:bookmarkEnd w:id="5"/>
      <w:r w:rsidR="00EF175D">
        <w:rPr>
          <w:rFonts w:ascii="Times New Roman" w:eastAsia="Batang" w:hAnsi="Times New Roman" w:cs="Times New Roman"/>
          <w:b/>
          <w:color w:val="000000" w:themeColor="text1"/>
          <w:lang w:eastAsia="fr-FR"/>
        </w:rPr>
        <w:t>2</w:t>
      </w:r>
      <w:r w:rsidRPr="003D7F05">
        <w:rPr>
          <w:rFonts w:ascii="Times New Roman" w:eastAsia="Batang" w:hAnsi="Times New Roman" w:cs="Times New Roman"/>
          <w:b/>
          <w:color w:val="000000" w:themeColor="text1"/>
          <w:lang w:eastAsia="fr-FR"/>
        </w:rPr>
        <w:t>.2 Equipment</w:t>
      </w:r>
    </w:p>
    <w:p w14:paraId="3932B53C" w14:textId="503733A1" w:rsidR="003D7F05" w:rsidRDefault="00EF175D" w:rsidP="003D7F05">
      <w:pPr>
        <w:pStyle w:val="Heading3"/>
        <w:spacing w:line="360" w:lineRule="auto"/>
        <w:jc w:val="both"/>
        <w:rPr>
          <w:rFonts w:ascii="Times New Roman" w:eastAsia="Batang" w:hAnsi="Times New Roman" w:cs="Times New Roman"/>
          <w:b/>
          <w:color w:val="000000" w:themeColor="text1"/>
          <w:lang w:eastAsia="fr-FR"/>
        </w:rPr>
      </w:pPr>
      <w:r>
        <w:rPr>
          <w:rFonts w:ascii="Times New Roman" w:eastAsia="Batang" w:hAnsi="Times New Roman" w:cs="Times New Roman"/>
          <w:b/>
          <w:color w:val="000000" w:themeColor="text1"/>
          <w:lang w:eastAsia="fr-FR"/>
        </w:rPr>
        <w:t>2</w:t>
      </w:r>
      <w:r w:rsidR="003D7F05" w:rsidRPr="003D7F05">
        <w:rPr>
          <w:rFonts w:ascii="Times New Roman" w:eastAsia="Batang" w:hAnsi="Times New Roman" w:cs="Times New Roman"/>
          <w:b/>
          <w:color w:val="000000" w:themeColor="text1"/>
          <w:lang w:eastAsia="fr-FR"/>
        </w:rPr>
        <w:t>.2.1. Plant material</w:t>
      </w:r>
    </w:p>
    <w:p w14:paraId="6615BE83" w14:textId="77777777" w:rsidR="003D7F05" w:rsidRDefault="003D7F05" w:rsidP="00EA280A">
      <w:pPr>
        <w:pStyle w:val="Heading4"/>
        <w:spacing w:line="360" w:lineRule="auto"/>
        <w:jc w:val="both"/>
        <w:rPr>
          <w:rFonts w:ascii="Times New Roman" w:eastAsia="Calibri" w:hAnsi="Times New Roman" w:cs="Times New Roman"/>
          <w:i w:val="0"/>
          <w:iCs w:val="0"/>
          <w:color w:val="auto"/>
          <w:lang w:eastAsia="fr-FR"/>
        </w:rPr>
      </w:pPr>
      <w:r w:rsidRPr="003D7F05">
        <w:rPr>
          <w:rFonts w:ascii="Times New Roman" w:eastAsia="Calibri" w:hAnsi="Times New Roman" w:cs="Times New Roman"/>
          <w:i w:val="0"/>
          <w:iCs w:val="0"/>
          <w:color w:val="auto"/>
          <w:lang w:eastAsia="fr-FR"/>
        </w:rPr>
        <w:t>Mangoes of the Kent variety, size 9, intended for export to Europe were used for this experiment. These mangoes came from a mango orchard that had not been treated with fungicides during the last two months before harvest (from flowering to fruit harvest).</w:t>
      </w:r>
    </w:p>
    <w:p w14:paraId="63B7C140" w14:textId="3EA7D96B" w:rsidR="003D7F05" w:rsidRDefault="00EF175D" w:rsidP="003D7F05">
      <w:pPr>
        <w:spacing w:before="240" w:line="360" w:lineRule="auto"/>
        <w:jc w:val="both"/>
        <w:rPr>
          <w:rFonts w:ascii="Times New Roman" w:eastAsia="Times New Roman" w:hAnsi="Times New Roman"/>
          <w:b/>
          <w:color w:val="000000" w:themeColor="text1"/>
          <w:lang w:eastAsia="fr-FR"/>
        </w:rPr>
      </w:pPr>
      <w:r>
        <w:rPr>
          <w:rFonts w:ascii="Times New Roman" w:eastAsia="Times New Roman" w:hAnsi="Times New Roman"/>
          <w:b/>
          <w:color w:val="000000" w:themeColor="text1"/>
          <w:lang w:eastAsia="fr-FR"/>
        </w:rPr>
        <w:t>2</w:t>
      </w:r>
      <w:r w:rsidR="003D7F05" w:rsidRPr="003D7F05">
        <w:rPr>
          <w:rFonts w:ascii="Times New Roman" w:eastAsia="Times New Roman" w:hAnsi="Times New Roman"/>
          <w:b/>
          <w:color w:val="000000" w:themeColor="text1"/>
          <w:lang w:eastAsia="fr-FR"/>
        </w:rPr>
        <w:t xml:space="preserve">.2.2. Biological product to be tested </w:t>
      </w:r>
    </w:p>
    <w:p w14:paraId="7D17A3E3" w14:textId="16568F2F" w:rsidR="003D7F05" w:rsidRDefault="007E1830" w:rsidP="00EA280A">
      <w:pPr>
        <w:pStyle w:val="Heading4"/>
        <w:spacing w:line="360" w:lineRule="auto"/>
        <w:jc w:val="both"/>
        <w:rPr>
          <w:rFonts w:ascii="Times New Roman" w:eastAsia="Calibri" w:hAnsi="Times New Roman" w:cs="Times New Roman"/>
          <w:i w:val="0"/>
          <w:iCs w:val="0"/>
          <w:color w:val="000000" w:themeColor="text1"/>
          <w:lang w:eastAsia="fr-FR"/>
        </w:rPr>
      </w:pPr>
      <w:r>
        <w:rPr>
          <w:rFonts w:ascii="Times New Roman" w:eastAsia="Calibri" w:hAnsi="Times New Roman" w:cs="Times New Roman"/>
          <w:i w:val="0"/>
          <w:iCs w:val="0"/>
          <w:color w:val="000000" w:themeColor="text1"/>
          <w:lang w:eastAsia="fr-FR"/>
        </w:rPr>
        <w:t>A</w:t>
      </w:r>
      <w:r w:rsidRPr="007E1830">
        <w:rPr>
          <w:rFonts w:ascii="Times New Roman" w:eastAsia="Calibri" w:hAnsi="Times New Roman" w:cs="Times New Roman"/>
          <w:i w:val="0"/>
          <w:iCs w:val="0"/>
          <w:color w:val="000000" w:themeColor="text1"/>
          <w:lang w:eastAsia="fr-FR"/>
        </w:rPr>
        <w:t xml:space="preserve"> vegetable oil-based wax </w:t>
      </w:r>
      <w:r w:rsidR="003D7F05" w:rsidRPr="003D7F05">
        <w:rPr>
          <w:rFonts w:ascii="Times New Roman" w:eastAsia="Calibri" w:hAnsi="Times New Roman" w:cs="Times New Roman"/>
          <w:i w:val="0"/>
          <w:iCs w:val="0"/>
          <w:color w:val="000000" w:themeColor="text1"/>
          <w:lang w:eastAsia="fr-FR"/>
        </w:rPr>
        <w:t xml:space="preserve">is a food additive used to preserve fresh fruit after harvesting. It is made from 100g/l rapeseed and olive </w:t>
      </w:r>
      <w:commentRangeStart w:id="6"/>
      <w:r w:rsidR="003D7F05" w:rsidRPr="003D7F05">
        <w:rPr>
          <w:rFonts w:ascii="Times New Roman" w:eastAsia="Calibri" w:hAnsi="Times New Roman" w:cs="Times New Roman"/>
          <w:i w:val="0"/>
          <w:iCs w:val="0"/>
          <w:color w:val="000000" w:themeColor="text1"/>
          <w:lang w:eastAsia="fr-FR"/>
        </w:rPr>
        <w:t>oils</w:t>
      </w:r>
      <w:commentRangeEnd w:id="6"/>
      <w:r w:rsidR="00B44863">
        <w:rPr>
          <w:rStyle w:val="CommentReference"/>
          <w:rFonts w:ascii="Calibri" w:eastAsia="Calibri" w:hAnsi="Calibri" w:cs="Times New Roman"/>
          <w:i w:val="0"/>
          <w:iCs w:val="0"/>
          <w:color w:val="auto"/>
        </w:rPr>
        <w:commentReference w:id="6"/>
      </w:r>
      <w:r w:rsidR="003D7F05" w:rsidRPr="003D7F05">
        <w:rPr>
          <w:rFonts w:ascii="Times New Roman" w:eastAsia="Calibri" w:hAnsi="Times New Roman" w:cs="Times New Roman"/>
          <w:i w:val="0"/>
          <w:iCs w:val="0"/>
          <w:color w:val="000000" w:themeColor="text1"/>
          <w:lang w:eastAsia="fr-FR"/>
        </w:rPr>
        <w:t>.</w:t>
      </w:r>
    </w:p>
    <w:p w14:paraId="3A96E281" w14:textId="436CC490" w:rsidR="00201271" w:rsidRPr="007340DC"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Pr>
          <w:rFonts w:ascii="Times New Roman" w:eastAsia="Times New Roman" w:hAnsi="Times New Roman" w:cs="Times New Roman"/>
          <w:b/>
          <w:i w:val="0"/>
          <w:iCs w:val="0"/>
          <w:color w:val="000000" w:themeColor="text1"/>
          <w:lang w:eastAsia="fr-FR"/>
        </w:rPr>
        <w:t>2</w:t>
      </w:r>
      <w:r w:rsidR="00825B6A" w:rsidRPr="007340DC">
        <w:rPr>
          <w:rFonts w:ascii="Times New Roman" w:eastAsia="Times New Roman" w:hAnsi="Times New Roman" w:cs="Times New Roman"/>
          <w:b/>
          <w:i w:val="0"/>
          <w:iCs w:val="0"/>
          <w:color w:val="000000" w:themeColor="text1"/>
          <w:lang w:eastAsia="fr-FR"/>
        </w:rPr>
        <w:t xml:space="preserve">.2.3. </w:t>
      </w:r>
      <w:r w:rsidR="003D7F05" w:rsidRPr="003D7F05">
        <w:rPr>
          <w:rFonts w:ascii="Times New Roman" w:eastAsia="Times New Roman" w:hAnsi="Times New Roman" w:cs="Times New Roman"/>
          <w:b/>
          <w:i w:val="0"/>
          <w:iCs w:val="0"/>
          <w:color w:val="000000" w:themeColor="text1"/>
          <w:lang w:eastAsia="fr-FR"/>
        </w:rPr>
        <w:t>Chemical product</w:t>
      </w:r>
    </w:p>
    <w:p w14:paraId="3ED5E062" w14:textId="4EE64845" w:rsidR="00201271" w:rsidRPr="003D7F05" w:rsidRDefault="003D7F05" w:rsidP="003D7F05">
      <w:pPr>
        <w:spacing w:line="360" w:lineRule="auto"/>
        <w:jc w:val="both"/>
        <w:rPr>
          <w:rFonts w:ascii="Times New Roman" w:hAnsi="Times New Roman"/>
          <w:color w:val="000000" w:themeColor="text1"/>
          <w:lang w:eastAsia="fr-FR"/>
        </w:rPr>
      </w:pPr>
      <w:commentRangeStart w:id="7"/>
      <w:r w:rsidRPr="003D7F05">
        <w:rPr>
          <w:rFonts w:ascii="Times New Roman" w:hAnsi="Times New Roman"/>
          <w:color w:val="000000" w:themeColor="text1"/>
          <w:lang w:eastAsia="fr-FR"/>
        </w:rPr>
        <w:t>SCHOLAR</w:t>
      </w:r>
      <w:commentRangeEnd w:id="7"/>
      <w:r w:rsidR="00027487">
        <w:rPr>
          <w:rStyle w:val="CommentReference"/>
        </w:rPr>
        <w:commentReference w:id="7"/>
      </w:r>
      <w:r w:rsidRPr="003D7F05">
        <w:rPr>
          <w:rFonts w:ascii="Times New Roman" w:hAnsi="Times New Roman"/>
          <w:color w:val="000000" w:themeColor="text1"/>
          <w:lang w:eastAsia="fr-FR"/>
        </w:rPr>
        <w:t xml:space="preserve"> Max 230 SC (Fludioxonil: 230 g/l) contains 1,2-benzisothiazolone-3-one at 0.019%, or 2-bromo-2-nitropropane-1,3-diol at 0.03% as a preservative. It is a fungicide used for the control of post-harvest fungal diseases of stone and seed fruits and sweet potatoes.  In this test, SCHOLAR M</w:t>
      </w:r>
      <w:r w:rsidR="007E1830">
        <w:rPr>
          <w:rFonts w:ascii="Times New Roman" w:hAnsi="Times New Roman"/>
          <w:color w:val="000000" w:themeColor="text1"/>
          <w:lang w:eastAsia="fr-FR"/>
        </w:rPr>
        <w:t>ax</w:t>
      </w:r>
      <w:r w:rsidRPr="003D7F05">
        <w:rPr>
          <w:rFonts w:ascii="Times New Roman" w:hAnsi="Times New Roman"/>
          <w:color w:val="000000" w:themeColor="text1"/>
          <w:lang w:eastAsia="fr-FR"/>
        </w:rPr>
        <w:t xml:space="preserve"> 230 SC is used as the reference product.</w:t>
      </w:r>
    </w:p>
    <w:p w14:paraId="7B4DF9AF" w14:textId="0CFF7876" w:rsidR="00201271" w:rsidRPr="007340DC" w:rsidRDefault="00EF175D" w:rsidP="00EA280A">
      <w:pPr>
        <w:pStyle w:val="Heading3"/>
        <w:spacing w:line="360" w:lineRule="auto"/>
        <w:jc w:val="both"/>
        <w:rPr>
          <w:rFonts w:ascii="Times New Roman" w:eastAsia="Times New Roman" w:hAnsi="Times New Roman" w:cs="Times New Roman"/>
          <w:b/>
          <w:color w:val="000000" w:themeColor="text1"/>
          <w:lang w:eastAsia="fr-FR"/>
        </w:rPr>
      </w:pPr>
      <w:bookmarkStart w:id="8" w:name="_Toc113992316"/>
      <w:r>
        <w:rPr>
          <w:rFonts w:ascii="Times New Roman" w:eastAsia="Times New Roman" w:hAnsi="Times New Roman" w:cs="Times New Roman"/>
          <w:b/>
          <w:color w:val="000000" w:themeColor="text1"/>
          <w:lang w:eastAsia="fr-FR"/>
        </w:rPr>
        <w:t>2</w:t>
      </w:r>
      <w:r w:rsidR="00825B6A" w:rsidRPr="007340DC">
        <w:rPr>
          <w:rFonts w:ascii="Times New Roman" w:eastAsia="Times New Roman" w:hAnsi="Times New Roman" w:cs="Times New Roman"/>
          <w:b/>
          <w:color w:val="000000" w:themeColor="text1"/>
          <w:lang w:eastAsia="fr-FR"/>
        </w:rPr>
        <w:t>.3</w:t>
      </w:r>
      <w:r w:rsidR="00825B6A" w:rsidRPr="007340DC">
        <w:rPr>
          <w:rFonts w:ascii="Times New Roman" w:eastAsia="Times New Roman" w:hAnsi="Times New Roman" w:cs="Times New Roman"/>
          <w:b/>
          <w:i/>
          <w:iCs/>
          <w:color w:val="000000" w:themeColor="text1"/>
          <w:lang w:eastAsia="fr-FR"/>
        </w:rPr>
        <w:t>.</w:t>
      </w:r>
      <w:r w:rsidR="00825B6A" w:rsidRPr="007340DC">
        <w:rPr>
          <w:rFonts w:ascii="Times New Roman" w:eastAsia="Times New Roman" w:hAnsi="Times New Roman" w:cs="Times New Roman"/>
          <w:b/>
          <w:color w:val="000000" w:themeColor="text1"/>
          <w:lang w:eastAsia="fr-FR"/>
        </w:rPr>
        <w:t xml:space="preserve"> </w:t>
      </w:r>
      <w:bookmarkEnd w:id="8"/>
      <w:r w:rsidR="003D7F05" w:rsidRPr="003D7F05">
        <w:rPr>
          <w:rFonts w:ascii="Times New Roman" w:eastAsia="Times New Roman" w:hAnsi="Times New Roman" w:cs="Times New Roman"/>
          <w:b/>
          <w:color w:val="000000" w:themeColor="text1"/>
          <w:lang w:eastAsia="fr-FR"/>
        </w:rPr>
        <w:t>Methods</w:t>
      </w:r>
    </w:p>
    <w:p w14:paraId="7970B059" w14:textId="52F07034" w:rsidR="00201271" w:rsidRPr="003D7F05" w:rsidRDefault="00EF175D" w:rsidP="003D7F05">
      <w:pPr>
        <w:pStyle w:val="Heading4"/>
        <w:spacing w:line="360" w:lineRule="auto"/>
        <w:jc w:val="both"/>
        <w:rPr>
          <w:rFonts w:ascii="Times New Roman" w:eastAsia="Times New Roman" w:hAnsi="Times New Roman" w:cs="Times New Roman"/>
          <w:b/>
          <w:i w:val="0"/>
          <w:iCs w:val="0"/>
          <w:color w:val="000000" w:themeColor="text1"/>
          <w:lang w:eastAsia="fr-FR"/>
        </w:rPr>
      </w:pPr>
      <w:r>
        <w:rPr>
          <w:rFonts w:ascii="Times New Roman" w:eastAsia="Times New Roman" w:hAnsi="Times New Roman" w:cs="Times New Roman"/>
          <w:b/>
          <w:i w:val="0"/>
          <w:iCs w:val="0"/>
          <w:color w:val="000000" w:themeColor="text1"/>
          <w:lang w:eastAsia="fr-FR"/>
        </w:rPr>
        <w:t>2</w:t>
      </w:r>
      <w:r w:rsidR="00E7054A" w:rsidRPr="007340DC">
        <w:rPr>
          <w:rFonts w:ascii="Times New Roman" w:eastAsia="Times New Roman" w:hAnsi="Times New Roman" w:cs="Times New Roman"/>
          <w:b/>
          <w:i w:val="0"/>
          <w:iCs w:val="0"/>
          <w:color w:val="000000" w:themeColor="text1"/>
          <w:lang w:eastAsia="fr-FR"/>
        </w:rPr>
        <w:t xml:space="preserve">.3.1. </w:t>
      </w:r>
      <w:r w:rsidR="003D7F05" w:rsidRPr="003D7F05">
        <w:rPr>
          <w:rFonts w:ascii="Times New Roman" w:eastAsia="Times New Roman" w:hAnsi="Times New Roman" w:cs="Times New Roman"/>
          <w:b/>
          <w:i w:val="0"/>
          <w:iCs w:val="0"/>
          <w:color w:val="000000" w:themeColor="text1"/>
          <w:lang w:eastAsia="fr-FR"/>
        </w:rPr>
        <w:t>Treatments and experimental set-up</w:t>
      </w:r>
    </w:p>
    <w:p w14:paraId="28EB929E" w14:textId="77777777" w:rsidR="003D7F05" w:rsidRPr="003D7F05" w:rsidRDefault="003D7F05" w:rsidP="003D7F05">
      <w:pPr>
        <w:spacing w:line="360" w:lineRule="auto"/>
        <w:jc w:val="both"/>
        <w:rPr>
          <w:rFonts w:ascii="Times New Roman" w:eastAsia="Times New Roman" w:hAnsi="Times New Roman"/>
          <w:color w:val="000000" w:themeColor="text1"/>
          <w:lang w:eastAsia="fr-FR"/>
        </w:rPr>
      </w:pPr>
      <w:r w:rsidRPr="003D7F05">
        <w:rPr>
          <w:rFonts w:ascii="Times New Roman" w:eastAsia="Times New Roman" w:hAnsi="Times New Roman"/>
          <w:color w:val="000000" w:themeColor="text1"/>
          <w:lang w:eastAsia="fr-FR"/>
        </w:rPr>
        <w:t>The experimental set-up consisted of six treatments with 11 replicates (11 boxes/treatment, i.e. 70 fruits/treatment). Each box contained 6 to 7 fruit of size 9.</w:t>
      </w:r>
    </w:p>
    <w:p w14:paraId="798004AB" w14:textId="19B65312" w:rsidR="00201271" w:rsidRPr="007340DC" w:rsidRDefault="003D7F05" w:rsidP="003D7F05">
      <w:pPr>
        <w:spacing w:line="360" w:lineRule="auto"/>
        <w:jc w:val="both"/>
        <w:rPr>
          <w:rFonts w:ascii="Times New Roman" w:eastAsia="Times New Roman" w:hAnsi="Times New Roman"/>
          <w:color w:val="000000" w:themeColor="text1"/>
          <w:lang w:eastAsia="fr-FR"/>
        </w:rPr>
      </w:pPr>
      <w:r w:rsidRPr="003D7F05">
        <w:rPr>
          <w:rFonts w:ascii="Times New Roman" w:eastAsia="Times New Roman" w:hAnsi="Times New Roman"/>
          <w:color w:val="000000" w:themeColor="text1"/>
          <w:lang w:eastAsia="fr-FR"/>
        </w:rPr>
        <w:t xml:space="preserve">Four doses of </w:t>
      </w:r>
      <w:r w:rsidR="007E1830" w:rsidRPr="007E1830">
        <w:rPr>
          <w:rFonts w:ascii="Times New Roman" w:eastAsia="Times New Roman" w:hAnsi="Times New Roman"/>
          <w:color w:val="000000" w:themeColor="text1"/>
          <w:lang w:eastAsia="fr-FR"/>
        </w:rPr>
        <w:t>vegetable oil-based wax</w:t>
      </w:r>
      <w:r w:rsidR="007E1830">
        <w:rPr>
          <w:rFonts w:ascii="Times New Roman" w:eastAsia="Times New Roman" w:hAnsi="Times New Roman"/>
          <w:color w:val="000000" w:themeColor="text1"/>
          <w:lang w:eastAsia="fr-FR"/>
        </w:rPr>
        <w:t xml:space="preserve"> </w:t>
      </w:r>
      <w:r w:rsidRPr="003D7F05">
        <w:rPr>
          <w:rFonts w:ascii="Times New Roman" w:eastAsia="Times New Roman" w:hAnsi="Times New Roman"/>
          <w:color w:val="000000" w:themeColor="text1"/>
          <w:lang w:eastAsia="fr-FR"/>
        </w:rPr>
        <w:t>were tested in comparison with a reference control, SCHOLAR MAX 230 SC, and an untreated control, as follows</w:t>
      </w:r>
      <w:r w:rsidR="00201271" w:rsidRPr="007340DC">
        <w:rPr>
          <w:rFonts w:ascii="Times New Roman" w:eastAsia="Times New Roman" w:hAnsi="Times New Roman"/>
          <w:color w:val="000000" w:themeColor="text1"/>
          <w:lang w:eastAsia="fr-FR"/>
        </w:rPr>
        <w:t xml:space="preserve"> : </w:t>
      </w:r>
    </w:p>
    <w:p w14:paraId="3F401E5D" w14:textId="31BC3064" w:rsidR="00201271" w:rsidRPr="007340DC"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3D7F05">
        <w:rPr>
          <w:rFonts w:ascii="Times New Roman" w:eastAsia="Times New Roman" w:hAnsi="Times New Roman" w:cs="Times New Roman"/>
          <w:color w:val="000000" w:themeColor="text1"/>
          <w:sz w:val="24"/>
          <w:szCs w:val="24"/>
          <w:lang w:eastAsia="fr-FR"/>
        </w:rPr>
        <w:t>Treatment 0 (T0): Untreated control, washed with chlorinated water</w:t>
      </w:r>
      <w:r w:rsidR="00E645B4" w:rsidRPr="007340DC">
        <w:rPr>
          <w:rFonts w:ascii="Times New Roman" w:eastAsia="Times New Roman" w:hAnsi="Times New Roman" w:cs="Times New Roman"/>
          <w:color w:val="000000" w:themeColor="text1"/>
          <w:sz w:val="24"/>
          <w:szCs w:val="24"/>
          <w:lang w:eastAsia="fr-FR"/>
        </w:rPr>
        <w:t> ;</w:t>
      </w:r>
    </w:p>
    <w:p w14:paraId="19D9B492" w14:textId="6FBA3EAD" w:rsidR="00201271" w:rsidRPr="007340DC"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3D7F05">
        <w:rPr>
          <w:rFonts w:ascii="Times New Roman" w:eastAsia="Times New Roman" w:hAnsi="Times New Roman" w:cs="Times New Roman"/>
          <w:color w:val="000000" w:themeColor="text1"/>
          <w:sz w:val="24"/>
          <w:szCs w:val="24"/>
          <w:lang w:eastAsia="fr-FR"/>
        </w:rPr>
        <w:t>Treatment 1 (T1): Scholar Max 230 SC reference product at a dose of 0.15</w:t>
      </w:r>
      <w:r w:rsidR="00B575FA">
        <w:rPr>
          <w:rFonts w:ascii="Times New Roman" w:eastAsia="Times New Roman" w:hAnsi="Times New Roman" w:cs="Times New Roman"/>
          <w:color w:val="000000" w:themeColor="text1"/>
          <w:sz w:val="24"/>
          <w:szCs w:val="24"/>
          <w:lang w:eastAsia="fr-FR"/>
        </w:rPr>
        <w:t>%</w:t>
      </w:r>
      <w:r w:rsidR="00201271" w:rsidRPr="003D7F05">
        <w:rPr>
          <w:rFonts w:ascii="Times New Roman" w:eastAsia="Times New Roman" w:hAnsi="Times New Roman" w:cs="Times New Roman"/>
          <w:color w:val="000000" w:themeColor="text1"/>
          <w:sz w:val="24"/>
          <w:szCs w:val="24"/>
          <w:lang w:eastAsia="fr-FR"/>
        </w:rPr>
        <w:t> </w:t>
      </w:r>
      <w:r w:rsidR="00201271" w:rsidRPr="007340DC">
        <w:rPr>
          <w:rFonts w:ascii="Times New Roman" w:eastAsia="Times New Roman" w:hAnsi="Times New Roman" w:cs="Times New Roman"/>
          <w:color w:val="000000" w:themeColor="text1"/>
          <w:sz w:val="24"/>
          <w:szCs w:val="24"/>
          <w:lang w:eastAsia="fr-FR"/>
        </w:rPr>
        <w:t>;</w:t>
      </w:r>
    </w:p>
    <w:p w14:paraId="727B517F" w14:textId="173FDD1B" w:rsidR="003D7F05"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3D7F05">
        <w:rPr>
          <w:rFonts w:ascii="Times New Roman" w:eastAsia="Times New Roman" w:hAnsi="Times New Roman" w:cs="Times New Roman"/>
          <w:color w:val="000000" w:themeColor="text1"/>
          <w:sz w:val="24"/>
          <w:szCs w:val="24"/>
          <w:lang w:eastAsia="fr-FR"/>
        </w:rPr>
        <w:t xml:space="preserve">Treatment 2 (T2): </w:t>
      </w:r>
      <w:r w:rsidR="007E1830" w:rsidRPr="007E1830">
        <w:rPr>
          <w:rFonts w:ascii="Times New Roman" w:eastAsia="Times New Roman" w:hAnsi="Times New Roman" w:cs="Times New Roman"/>
          <w:color w:val="000000" w:themeColor="text1"/>
          <w:sz w:val="24"/>
          <w:szCs w:val="24"/>
          <w:lang w:eastAsia="fr-FR"/>
        </w:rPr>
        <w:t>vegetable oil-based wax</w:t>
      </w:r>
      <w:r w:rsidR="007E1830">
        <w:rPr>
          <w:rFonts w:ascii="Times New Roman" w:eastAsia="Times New Roman" w:hAnsi="Times New Roman" w:cs="Times New Roman"/>
          <w:color w:val="000000" w:themeColor="text1"/>
          <w:sz w:val="24"/>
          <w:szCs w:val="24"/>
          <w:lang w:eastAsia="fr-FR"/>
        </w:rPr>
        <w:t xml:space="preserve"> </w:t>
      </w:r>
      <w:r w:rsidRPr="003D7F05">
        <w:rPr>
          <w:rFonts w:ascii="Times New Roman" w:eastAsia="Times New Roman" w:hAnsi="Times New Roman" w:cs="Times New Roman"/>
          <w:color w:val="000000" w:themeColor="text1"/>
          <w:sz w:val="24"/>
          <w:szCs w:val="24"/>
          <w:lang w:eastAsia="fr-FR"/>
        </w:rPr>
        <w:t>at 10%</w:t>
      </w:r>
      <w:r w:rsidR="009437C5">
        <w:rPr>
          <w:rFonts w:ascii="Times New Roman" w:eastAsia="Times New Roman" w:hAnsi="Times New Roman" w:cs="Times New Roman"/>
          <w:color w:val="000000" w:themeColor="text1"/>
          <w:sz w:val="24"/>
          <w:szCs w:val="24"/>
          <w:lang w:eastAsia="fr-FR"/>
        </w:rPr>
        <w:t xml:space="preserve"> </w:t>
      </w:r>
      <w:r>
        <w:rPr>
          <w:rFonts w:ascii="Times New Roman" w:eastAsia="Times New Roman" w:hAnsi="Times New Roman" w:cs="Times New Roman"/>
          <w:color w:val="000000" w:themeColor="text1"/>
          <w:sz w:val="24"/>
          <w:szCs w:val="24"/>
          <w:lang w:eastAsia="fr-FR"/>
        </w:rPr>
        <w:t>;</w:t>
      </w:r>
    </w:p>
    <w:p w14:paraId="754F09CE" w14:textId="081225CF" w:rsidR="00187037" w:rsidRDefault="00187037" w:rsidP="00187037">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187037">
        <w:rPr>
          <w:rFonts w:ascii="Times New Roman" w:eastAsia="Times New Roman" w:hAnsi="Times New Roman" w:cs="Times New Roman"/>
          <w:color w:val="000000" w:themeColor="text1"/>
          <w:sz w:val="24"/>
          <w:szCs w:val="24"/>
          <w:lang w:eastAsia="fr-FR"/>
        </w:rPr>
        <w:t xml:space="preserve">Treatment 3 (T3): </w:t>
      </w:r>
      <w:r w:rsidR="007E1830" w:rsidRPr="007E1830">
        <w:rPr>
          <w:rFonts w:ascii="Times New Roman" w:eastAsia="Times New Roman" w:hAnsi="Times New Roman" w:cs="Times New Roman"/>
          <w:color w:val="000000" w:themeColor="text1"/>
          <w:sz w:val="24"/>
          <w:szCs w:val="24"/>
          <w:lang w:eastAsia="fr-FR"/>
        </w:rPr>
        <w:t>vegetable oil-based wax</w:t>
      </w:r>
      <w:r w:rsidR="007E1830">
        <w:rPr>
          <w:rFonts w:ascii="Times New Roman" w:eastAsia="Times New Roman" w:hAnsi="Times New Roman" w:cs="Times New Roman"/>
          <w:color w:val="000000" w:themeColor="text1"/>
          <w:sz w:val="24"/>
          <w:szCs w:val="24"/>
          <w:lang w:eastAsia="fr-FR"/>
        </w:rPr>
        <w:t xml:space="preserve"> </w:t>
      </w:r>
      <w:r>
        <w:rPr>
          <w:rFonts w:ascii="Times New Roman" w:eastAsia="Times New Roman" w:hAnsi="Times New Roman" w:cs="Times New Roman"/>
          <w:color w:val="000000" w:themeColor="text1"/>
          <w:sz w:val="24"/>
          <w:szCs w:val="24"/>
          <w:lang w:eastAsia="fr-FR"/>
        </w:rPr>
        <w:t>a</w:t>
      </w:r>
      <w:r w:rsidR="007E1830">
        <w:rPr>
          <w:rFonts w:ascii="Times New Roman" w:eastAsia="Times New Roman" w:hAnsi="Times New Roman" w:cs="Times New Roman"/>
          <w:color w:val="000000" w:themeColor="text1"/>
          <w:sz w:val="24"/>
          <w:szCs w:val="24"/>
          <w:lang w:eastAsia="fr-FR"/>
        </w:rPr>
        <w:t>t</w:t>
      </w:r>
      <w:r>
        <w:rPr>
          <w:rFonts w:ascii="Times New Roman" w:eastAsia="Times New Roman" w:hAnsi="Times New Roman" w:cs="Times New Roman"/>
          <w:color w:val="000000" w:themeColor="text1"/>
          <w:sz w:val="24"/>
          <w:szCs w:val="24"/>
          <w:lang w:eastAsia="fr-FR"/>
        </w:rPr>
        <w:t xml:space="preserve"> 15% ;</w:t>
      </w:r>
    </w:p>
    <w:p w14:paraId="47723B2A" w14:textId="3B41373D" w:rsidR="00187037" w:rsidRDefault="00187037" w:rsidP="00DD2ED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fr-FR"/>
        </w:rPr>
      </w:pPr>
      <w:r w:rsidRPr="00187037">
        <w:rPr>
          <w:rFonts w:ascii="Times New Roman" w:eastAsia="Times New Roman" w:hAnsi="Times New Roman" w:cs="Times New Roman"/>
          <w:color w:val="000000" w:themeColor="text1"/>
          <w:sz w:val="24"/>
          <w:szCs w:val="24"/>
          <w:lang w:eastAsia="fr-FR"/>
        </w:rPr>
        <w:t xml:space="preserve">Treatment 4 (T4): </w:t>
      </w:r>
      <w:r w:rsidR="009437C5" w:rsidRPr="007E1830">
        <w:rPr>
          <w:rFonts w:ascii="Times New Roman" w:eastAsia="Times New Roman" w:hAnsi="Times New Roman" w:cs="Times New Roman"/>
          <w:color w:val="000000" w:themeColor="text1"/>
          <w:sz w:val="24"/>
          <w:szCs w:val="24"/>
          <w:lang w:eastAsia="fr-FR"/>
        </w:rPr>
        <w:t>vegetable oil-based wax</w:t>
      </w:r>
      <w:r w:rsidR="009437C5">
        <w:rPr>
          <w:rFonts w:ascii="Times New Roman" w:eastAsia="Times New Roman" w:hAnsi="Times New Roman" w:cs="Times New Roman"/>
          <w:color w:val="000000" w:themeColor="text1"/>
          <w:sz w:val="24"/>
          <w:szCs w:val="24"/>
          <w:lang w:eastAsia="fr-FR"/>
        </w:rPr>
        <w:t xml:space="preserve"> </w:t>
      </w:r>
      <w:r w:rsidRPr="00187037">
        <w:rPr>
          <w:rFonts w:ascii="Times New Roman" w:eastAsia="Times New Roman" w:hAnsi="Times New Roman" w:cs="Times New Roman"/>
          <w:color w:val="000000" w:themeColor="text1"/>
          <w:sz w:val="24"/>
          <w:szCs w:val="24"/>
          <w:lang w:eastAsia="fr-FR"/>
        </w:rPr>
        <w:t>at 5%</w:t>
      </w:r>
      <w:r>
        <w:rPr>
          <w:rFonts w:ascii="Times New Roman" w:eastAsia="Times New Roman" w:hAnsi="Times New Roman" w:cs="Times New Roman"/>
          <w:color w:val="000000" w:themeColor="text1"/>
          <w:sz w:val="24"/>
          <w:szCs w:val="24"/>
          <w:lang w:eastAsia="fr-FR"/>
        </w:rPr>
        <w:t> ;</w:t>
      </w:r>
    </w:p>
    <w:p w14:paraId="45A10392" w14:textId="2C2435BA" w:rsidR="00187037" w:rsidRPr="00EF175D" w:rsidRDefault="00187037" w:rsidP="00187037">
      <w:pPr>
        <w:pStyle w:val="ListParagraph"/>
        <w:spacing w:line="360" w:lineRule="auto"/>
        <w:jc w:val="both"/>
        <w:rPr>
          <w:rFonts w:ascii="Times New Roman" w:eastAsia="Times New Roman" w:hAnsi="Times New Roman" w:cs="Times New Roman"/>
          <w:color w:val="000000" w:themeColor="text1"/>
          <w:sz w:val="24"/>
          <w:szCs w:val="24"/>
          <w:lang w:eastAsia="fr-FR"/>
        </w:rPr>
      </w:pPr>
      <w:r w:rsidRPr="00EF175D">
        <w:rPr>
          <w:rFonts w:ascii="Times New Roman" w:eastAsia="Times New Roman" w:hAnsi="Times New Roman" w:cs="Times New Roman"/>
          <w:color w:val="000000" w:themeColor="text1"/>
          <w:sz w:val="24"/>
          <w:szCs w:val="24"/>
          <w:lang w:eastAsia="fr-FR"/>
        </w:rPr>
        <w:lastRenderedPageBreak/>
        <w:t xml:space="preserve">Treatment 5 (T5): Combination of </w:t>
      </w:r>
      <w:r w:rsidR="009437C5" w:rsidRPr="00EF175D">
        <w:rPr>
          <w:rFonts w:ascii="Times New Roman" w:eastAsia="Times New Roman" w:hAnsi="Times New Roman" w:cs="Times New Roman"/>
          <w:color w:val="000000" w:themeColor="text1"/>
          <w:sz w:val="24"/>
          <w:szCs w:val="24"/>
          <w:lang w:eastAsia="fr-FR"/>
        </w:rPr>
        <w:t xml:space="preserve">vegetable oil-based wax </w:t>
      </w:r>
      <w:r w:rsidRPr="00EF175D">
        <w:rPr>
          <w:rFonts w:ascii="Times New Roman" w:eastAsia="Times New Roman" w:hAnsi="Times New Roman" w:cs="Times New Roman"/>
          <w:color w:val="000000" w:themeColor="text1"/>
          <w:sz w:val="24"/>
          <w:szCs w:val="24"/>
          <w:lang w:eastAsia="fr-FR"/>
        </w:rPr>
        <w:t>at 10% and the reference product, Scholar Max 230 SC at 0.15%.</w:t>
      </w:r>
    </w:p>
    <w:p w14:paraId="332A27BB" w14:textId="36A8B6E1" w:rsidR="00187037" w:rsidRPr="00EF175D" w:rsidRDefault="00EF175D" w:rsidP="00187037">
      <w:pPr>
        <w:pStyle w:val="Heading4"/>
        <w:spacing w:line="360" w:lineRule="auto"/>
        <w:jc w:val="both"/>
        <w:rPr>
          <w:rFonts w:ascii="Times New Roman" w:eastAsia="Times New Roman" w:hAnsi="Times New Roman" w:cs="Times New Roman"/>
          <w:b/>
          <w:i w:val="0"/>
          <w:iCs w:val="0"/>
          <w:color w:val="000000" w:themeColor="text1"/>
          <w:lang w:eastAsia="fr-FR"/>
        </w:rPr>
      </w:pPr>
      <w:r w:rsidRPr="00EF175D">
        <w:rPr>
          <w:rFonts w:ascii="Times New Roman" w:eastAsia="Times New Roman" w:hAnsi="Times New Roman" w:cs="Times New Roman"/>
          <w:b/>
          <w:i w:val="0"/>
          <w:iCs w:val="0"/>
          <w:color w:val="000000" w:themeColor="text1"/>
          <w:lang w:eastAsia="fr-FR"/>
        </w:rPr>
        <w:t>2</w:t>
      </w:r>
      <w:r w:rsidR="00E7054A" w:rsidRPr="00EF175D">
        <w:rPr>
          <w:rFonts w:ascii="Times New Roman" w:eastAsia="Times New Roman" w:hAnsi="Times New Roman" w:cs="Times New Roman"/>
          <w:b/>
          <w:i w:val="0"/>
          <w:iCs w:val="0"/>
          <w:color w:val="000000" w:themeColor="text1"/>
          <w:lang w:eastAsia="fr-FR"/>
        </w:rPr>
        <w:t xml:space="preserve">.3.2. </w:t>
      </w:r>
      <w:r w:rsidR="00187037" w:rsidRPr="00EF175D">
        <w:rPr>
          <w:rFonts w:ascii="Times New Roman" w:eastAsia="Times New Roman" w:hAnsi="Times New Roman" w:cs="Times New Roman"/>
          <w:b/>
          <w:i w:val="0"/>
          <w:iCs w:val="0"/>
          <w:color w:val="000000" w:themeColor="text1"/>
          <w:lang w:eastAsia="fr-FR"/>
        </w:rPr>
        <w:t>Trial conduct and data collection</w:t>
      </w:r>
    </w:p>
    <w:p w14:paraId="57F2AEEC" w14:textId="77777777" w:rsidR="00187037" w:rsidRPr="00EF175D" w:rsidRDefault="00187037" w:rsidP="00B575FA">
      <w:pPr>
        <w:pStyle w:val="ListParagraph"/>
        <w:numPr>
          <w:ilvl w:val="0"/>
          <w:numId w:val="19"/>
        </w:numPr>
        <w:spacing w:after="0" w:line="360" w:lineRule="auto"/>
        <w:jc w:val="both"/>
        <w:rPr>
          <w:rFonts w:ascii="Times New Roman" w:eastAsia="Times New Roman" w:hAnsi="Times New Roman" w:cs="Times New Roman"/>
          <w:b/>
          <w:color w:val="000000" w:themeColor="text1"/>
          <w:sz w:val="24"/>
          <w:szCs w:val="24"/>
          <w:lang w:eastAsia="fr-FR"/>
        </w:rPr>
      </w:pPr>
      <w:r w:rsidRPr="00EF175D">
        <w:rPr>
          <w:rFonts w:ascii="Times New Roman" w:eastAsia="Times New Roman" w:hAnsi="Times New Roman" w:cs="Times New Roman"/>
          <w:b/>
          <w:color w:val="000000" w:themeColor="text1"/>
          <w:sz w:val="24"/>
          <w:szCs w:val="24"/>
          <w:lang w:eastAsia="fr-FR"/>
        </w:rPr>
        <w:t>Preparing the spray mixture</w:t>
      </w:r>
    </w:p>
    <w:p w14:paraId="5E6721E0" w14:textId="1C4FCF45" w:rsidR="00201271" w:rsidRPr="00EF175D" w:rsidRDefault="00187037" w:rsidP="00187037">
      <w:pPr>
        <w:spacing w:line="360" w:lineRule="auto"/>
        <w:ind w:firstLine="360"/>
        <w:jc w:val="both"/>
        <w:rPr>
          <w:rFonts w:ascii="Times New Roman" w:eastAsia="Times New Roman" w:hAnsi="Times New Roman"/>
          <w:color w:val="000000" w:themeColor="text1"/>
          <w:lang w:eastAsia="fr-FR"/>
        </w:rPr>
      </w:pPr>
      <w:r w:rsidRPr="00EF175D">
        <w:rPr>
          <w:rFonts w:ascii="Times New Roman" w:eastAsia="Times New Roman" w:hAnsi="Times New Roman"/>
          <w:color w:val="000000" w:themeColor="text1"/>
          <w:lang w:eastAsia="fr-FR"/>
        </w:rPr>
        <w:t>To prepare the sprays, the designated doses of the two products were first diluted in a quantity (7 to 10 l) of water contained in a bucket. Dilution and homogenisation of the mixture was facilitated by the use of a plunge blender - STPE-871 P. The well-homogenised mixture was made up to 50 litres and poured into the mechanical tank at the TROPIC MANGO fruit packing station.</w:t>
      </w:r>
    </w:p>
    <w:p w14:paraId="5991A586" w14:textId="77777777" w:rsidR="00187037" w:rsidRPr="00EF175D" w:rsidRDefault="00187037" w:rsidP="00B575FA">
      <w:pPr>
        <w:pStyle w:val="ListParagraph"/>
        <w:numPr>
          <w:ilvl w:val="0"/>
          <w:numId w:val="19"/>
        </w:numPr>
        <w:spacing w:after="0" w:line="360" w:lineRule="auto"/>
        <w:jc w:val="both"/>
        <w:rPr>
          <w:rFonts w:ascii="Times New Roman" w:eastAsia="Times New Roman" w:hAnsi="Times New Roman" w:cs="Times New Roman"/>
          <w:b/>
          <w:color w:val="000000" w:themeColor="text1"/>
          <w:sz w:val="24"/>
          <w:szCs w:val="24"/>
          <w:lang w:eastAsia="fr-FR"/>
        </w:rPr>
      </w:pPr>
      <w:r w:rsidRPr="00EF175D">
        <w:rPr>
          <w:rFonts w:ascii="Times New Roman" w:eastAsia="Times New Roman" w:hAnsi="Times New Roman" w:cs="Times New Roman"/>
          <w:b/>
          <w:color w:val="000000" w:themeColor="text1"/>
          <w:sz w:val="24"/>
          <w:szCs w:val="24"/>
          <w:lang w:eastAsia="fr-FR"/>
        </w:rPr>
        <w:t>Application of products and packaging of mangoes</w:t>
      </w:r>
    </w:p>
    <w:p w14:paraId="0BD34146" w14:textId="77777777" w:rsidR="00187037" w:rsidRPr="00EF175D" w:rsidRDefault="00187037" w:rsidP="00B86CA7">
      <w:pPr>
        <w:spacing w:line="360" w:lineRule="auto"/>
        <w:jc w:val="both"/>
        <w:rPr>
          <w:rFonts w:ascii="Times New Roman" w:hAnsi="Times New Roman"/>
          <w:i/>
          <w:iCs/>
          <w:lang w:eastAsia="fr-FR"/>
        </w:rPr>
      </w:pPr>
      <w:bookmarkStart w:id="9" w:name="_Hlk112768101"/>
      <w:r w:rsidRPr="00EF175D">
        <w:rPr>
          <w:rFonts w:ascii="Times New Roman" w:hAnsi="Times New Roman"/>
          <w:lang w:eastAsia="fr-FR"/>
        </w:rPr>
        <w:t>The various treatments T1, T2, T3, T4 and T5 were applied by spraying in the mechanical line at TROPIC MANGO's fruit packing station. The treated fruit was then dried using the ventilation system included in the packaging line, and sorted to eliminate damaged fruit. After treatment, the mangoes were packed in export cartons, which were then coded according to treatment. The mass of each batch of fruit was then determined before being placed in cold storage at 8°C for 15 days to simulate sea transport. On leaving the cold room, the fruit was stored at 22°</w:t>
      </w:r>
      <w:commentRangeStart w:id="10"/>
      <w:r w:rsidRPr="00EF175D">
        <w:rPr>
          <w:rFonts w:ascii="Times New Roman" w:hAnsi="Times New Roman"/>
          <w:lang w:eastAsia="fr-FR"/>
        </w:rPr>
        <w:t>C</w:t>
      </w:r>
      <w:commentRangeEnd w:id="10"/>
      <w:r w:rsidR="00027487">
        <w:rPr>
          <w:rStyle w:val="CommentReference"/>
        </w:rPr>
        <w:commentReference w:id="10"/>
      </w:r>
      <w:r w:rsidRPr="00EF175D">
        <w:rPr>
          <w:rFonts w:ascii="Times New Roman" w:hAnsi="Times New Roman"/>
          <w:lang w:eastAsia="fr-FR"/>
        </w:rPr>
        <w:t xml:space="preserve"> for 6 days.</w:t>
      </w:r>
    </w:p>
    <w:p w14:paraId="2EEC19AA" w14:textId="2471B495" w:rsidR="00201271" w:rsidRPr="00EF175D"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sidRPr="00EF175D">
        <w:rPr>
          <w:rFonts w:ascii="Times New Roman" w:eastAsia="Times New Roman" w:hAnsi="Times New Roman" w:cs="Times New Roman"/>
          <w:b/>
          <w:i w:val="0"/>
          <w:iCs w:val="0"/>
          <w:color w:val="000000" w:themeColor="text1"/>
          <w:lang w:eastAsia="fr-FR"/>
        </w:rPr>
        <w:t>2</w:t>
      </w:r>
      <w:r w:rsidR="00795C0D" w:rsidRPr="00EF175D">
        <w:rPr>
          <w:rFonts w:ascii="Times New Roman" w:eastAsia="Times New Roman" w:hAnsi="Times New Roman" w:cs="Times New Roman"/>
          <w:b/>
          <w:i w:val="0"/>
          <w:iCs w:val="0"/>
          <w:color w:val="000000" w:themeColor="text1"/>
          <w:lang w:eastAsia="fr-FR"/>
        </w:rPr>
        <w:t xml:space="preserve">.3.3. </w:t>
      </w:r>
      <w:r w:rsidR="00187037" w:rsidRPr="00EF175D">
        <w:rPr>
          <w:rFonts w:ascii="Times New Roman" w:eastAsia="Times New Roman" w:hAnsi="Times New Roman" w:cs="Times New Roman"/>
          <w:b/>
          <w:i w:val="0"/>
          <w:iCs w:val="0"/>
          <w:color w:val="000000" w:themeColor="text1"/>
          <w:lang w:eastAsia="fr-FR"/>
        </w:rPr>
        <w:t>Parameters assessed</w:t>
      </w:r>
    </w:p>
    <w:bookmarkEnd w:id="9"/>
    <w:p w14:paraId="088A2154" w14:textId="77777777" w:rsidR="00187037" w:rsidRPr="00EF175D" w:rsidRDefault="00187037" w:rsidP="00187037">
      <w:pPr>
        <w:spacing w:line="360" w:lineRule="auto"/>
        <w:jc w:val="both"/>
        <w:rPr>
          <w:rFonts w:ascii="Times New Roman" w:hAnsi="Times New Roman"/>
          <w:lang w:eastAsia="ja-JP"/>
        </w:rPr>
      </w:pPr>
      <w:r w:rsidRPr="00EF175D">
        <w:rPr>
          <w:rFonts w:ascii="Times New Roman" w:hAnsi="Times New Roman"/>
          <w:lang w:eastAsia="ja-JP"/>
        </w:rPr>
        <w:t xml:space="preserve">Observations and assessments were carried out on removal from cold storage after 15 days of storage and every other day for 6 days, i.e. 21 days of experimentation. They focused on the loss of mass, firmness, appearance, health, soluble sugar content, titratable acidity, sugar/acidity ratio and pH of the mangoes. </w:t>
      </w:r>
    </w:p>
    <w:p w14:paraId="24F4A7F5" w14:textId="77777777" w:rsidR="00187037" w:rsidRPr="00EF175D" w:rsidRDefault="00187037" w:rsidP="00C5462C">
      <w:pPr>
        <w:spacing w:after="4" w:line="360" w:lineRule="auto"/>
        <w:ind w:left="10" w:right="51" w:firstLine="402"/>
        <w:jc w:val="both"/>
        <w:rPr>
          <w:rFonts w:ascii="Times New Roman" w:eastAsia="Times New Roman" w:hAnsi="Times New Roman"/>
          <w:b/>
          <w:color w:val="000000" w:themeColor="text1"/>
          <w:lang w:eastAsia="fr-FR"/>
        </w:rPr>
      </w:pPr>
      <w:r w:rsidRPr="00EF175D">
        <w:rPr>
          <w:rFonts w:ascii="Times New Roman" w:eastAsia="Times New Roman" w:hAnsi="Times New Roman"/>
          <w:b/>
          <w:color w:val="000000" w:themeColor="text1"/>
          <w:lang w:eastAsia="fr-FR"/>
        </w:rPr>
        <w:t>Weight of fruit</w:t>
      </w:r>
    </w:p>
    <w:p w14:paraId="3C53CC60" w14:textId="16CED0D4" w:rsidR="00FA3E1B" w:rsidRPr="00EF175D" w:rsidRDefault="00187037" w:rsidP="00B86CA7">
      <w:pPr>
        <w:spacing w:after="4" w:line="360" w:lineRule="auto"/>
        <w:ind w:left="10" w:right="51"/>
        <w:jc w:val="both"/>
        <w:rPr>
          <w:rFonts w:ascii="Times New Roman" w:eastAsia="Times New Roman" w:hAnsi="Times New Roman"/>
          <w:color w:val="000000" w:themeColor="text1"/>
          <w:lang w:eastAsia="fr-FR"/>
        </w:rPr>
      </w:pPr>
      <w:r w:rsidRPr="00EF175D">
        <w:rPr>
          <w:rFonts w:ascii="Times New Roman" w:eastAsia="Times New Roman" w:hAnsi="Times New Roman"/>
          <w:color w:val="000000" w:themeColor="text1"/>
          <w:lang w:eastAsia="fr-FR"/>
        </w:rPr>
        <w:t>The mass of the fruit was assessed by weighing it on a digital scale. The mass displayed was recorded in grams. The quotient of the mass of one fruit over the total mass of fruit per treatment was used to obtain the average fruit mass.</w:t>
      </w:r>
    </w:p>
    <w:tbl>
      <w:tblPr>
        <w:tblStyle w:val="TableGrid0"/>
        <w:tblpPr w:leftFromText="141" w:rightFromText="141" w:vertAnchor="text" w:horzAnchor="margin" w:tblpY="133"/>
        <w:tblW w:w="8299" w:type="dxa"/>
        <w:tblInd w:w="0" w:type="dxa"/>
        <w:tblCellMar>
          <w:left w:w="350" w:type="dxa"/>
          <w:right w:w="438" w:type="dxa"/>
        </w:tblCellMar>
        <w:tblLook w:val="04A0" w:firstRow="1" w:lastRow="0" w:firstColumn="1" w:lastColumn="0" w:noHBand="0" w:noVBand="1"/>
      </w:tblPr>
      <w:tblGrid>
        <w:gridCol w:w="8299"/>
      </w:tblGrid>
      <w:tr w:rsidR="007340DC" w:rsidRPr="00EF175D" w14:paraId="1FF292A2" w14:textId="77777777" w:rsidTr="00D36E7C">
        <w:trPr>
          <w:trHeight w:val="1147"/>
        </w:trPr>
        <w:tc>
          <w:tcPr>
            <w:tcW w:w="8299" w:type="dxa"/>
            <w:vAlign w:val="bottom"/>
          </w:tcPr>
          <w:p w14:paraId="3BD7C2D2" w14:textId="77777777" w:rsidR="00471F3F" w:rsidRPr="00EF175D" w:rsidRDefault="00471F3F" w:rsidP="00471F3F">
            <w:pPr>
              <w:spacing w:line="259" w:lineRule="auto"/>
              <w:rPr>
                <w:rFonts w:ascii="Times New Roman" w:eastAsia="Times New Roman" w:hAnsi="Times New Roman"/>
                <w:color w:val="000000" w:themeColor="text1"/>
              </w:rPr>
            </w:pPr>
          </w:p>
          <w:p w14:paraId="5F59D8B7" w14:textId="1411907C" w:rsidR="00471F3F" w:rsidRPr="00EF175D" w:rsidRDefault="0081506C" w:rsidP="0081506C">
            <w:pPr>
              <w:spacing w:line="259" w:lineRule="auto"/>
              <w:ind w:left="3617"/>
              <w:jc w:val="center"/>
              <w:rPr>
                <w:rFonts w:ascii="Times New Roman" w:eastAsia="Times New Roman" w:hAnsi="Times New Roman"/>
                <w:color w:val="000000" w:themeColor="text1"/>
              </w:rPr>
            </w:pPr>
            <w:r w:rsidRPr="00EF175D">
              <w:rPr>
                <w:rFonts w:ascii="Times New Roman" w:eastAsia="Cambria Math" w:hAnsi="Times New Roman"/>
                <w:color w:val="000000" w:themeColor="text1"/>
              </w:rPr>
              <w:t>Individual weight sum</w:t>
            </w:r>
          </w:p>
          <w:p w14:paraId="14DBC9F0" w14:textId="68C8D1D5" w:rsidR="00471F3F" w:rsidRPr="00EF175D" w:rsidRDefault="0081506C" w:rsidP="00471F3F">
            <w:pPr>
              <w:tabs>
                <w:tab w:val="right" w:pos="7511"/>
              </w:tabs>
              <w:spacing w:line="259" w:lineRule="auto"/>
              <w:rPr>
                <w:rFonts w:ascii="Times New Roman" w:eastAsia="Times New Roman" w:hAnsi="Times New Roman"/>
                <w:color w:val="000000" w:themeColor="text1"/>
              </w:rPr>
            </w:pPr>
            <w:r w:rsidRPr="00EF175D">
              <w:rPr>
                <w:rFonts w:ascii="Times New Roman" w:eastAsia="Cambria Math" w:hAnsi="Times New Roman"/>
                <w:color w:val="000000" w:themeColor="text1"/>
              </w:rPr>
              <w:t xml:space="preserve">Average weight of fruit </w:t>
            </w:r>
            <w:r w:rsidR="00471F3F" w:rsidRPr="00EF175D">
              <w:rPr>
                <w:rFonts w:ascii="Times New Roman" w:eastAsia="Cambria Math" w:hAnsi="Times New Roman"/>
                <w:color w:val="000000" w:themeColor="text1"/>
              </w:rPr>
              <w:t>=</w:t>
            </w:r>
            <w:r w:rsidR="00471F3F" w:rsidRPr="00EF175D">
              <w:rPr>
                <w:rFonts w:ascii="Times New Roman" w:eastAsia="Cambria Math" w:hAnsi="Times New Roman"/>
                <w:color w:val="000000" w:themeColor="text1"/>
              </w:rPr>
              <w:tab/>
            </w:r>
            <w:r w:rsidR="00471F3F" w:rsidRPr="00EF175D">
              <w:rPr>
                <w:rFonts w:ascii="Times New Roman" w:hAnsi="Times New Roman"/>
                <w:noProof/>
                <w:color w:val="000000" w:themeColor="text1"/>
                <w:lang w:val="en-US"/>
              </w:rPr>
              <mc:AlternateContent>
                <mc:Choice Requires="wpg">
                  <w:drawing>
                    <wp:inline distT="0" distB="0" distL="0" distR="0" wp14:anchorId="37F013D7" wp14:editId="1035E16C">
                      <wp:extent cx="2714879" cy="10669"/>
                      <wp:effectExtent l="0" t="0" r="0" b="0"/>
                      <wp:docPr id="69733" name="Group 69733"/>
                      <wp:cNvGraphicFramePr/>
                      <a:graphic xmlns:a="http://schemas.openxmlformats.org/drawingml/2006/main">
                        <a:graphicData uri="http://schemas.microsoft.com/office/word/2010/wordprocessingGroup">
                          <wpg:wgp>
                            <wpg:cNvGrpSpPr/>
                            <wpg:grpSpPr>
                              <a:xfrm>
                                <a:off x="0" y="0"/>
                                <a:ext cx="2714879" cy="10669"/>
                                <a:chOff x="0" y="0"/>
                                <a:chExt cx="2714879" cy="10669"/>
                              </a:xfrm>
                            </wpg:grpSpPr>
                            <wps:wsp>
                              <wps:cNvPr id="76560" name="Shape 76560"/>
                              <wps:cNvSpPr/>
                              <wps:spPr>
                                <a:xfrm>
                                  <a:off x="0" y="0"/>
                                  <a:ext cx="2714879" cy="10669"/>
                                </a:xfrm>
                                <a:custGeom>
                                  <a:avLst/>
                                  <a:gdLst/>
                                  <a:ahLst/>
                                  <a:cxnLst/>
                                  <a:rect l="0" t="0" r="0" b="0"/>
                                  <a:pathLst>
                                    <a:path w="2714879" h="10669">
                                      <a:moveTo>
                                        <a:pt x="0" y="0"/>
                                      </a:moveTo>
                                      <a:lnTo>
                                        <a:pt x="2714879" y="0"/>
                                      </a:lnTo>
                                      <a:lnTo>
                                        <a:pt x="2714879" y="10669"/>
                                      </a:lnTo>
                                      <a:lnTo>
                                        <a:pt x="0" y="10669"/>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A803C9" id="Group 69733" o:spid="_x0000_s1026" style="width:213.75pt;height:.85pt;mso-position-horizontal-relative:char;mso-position-vertical-relative:line" coordsize="2714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">
                      <v:shape id="Shape 76560" o:spid="_x0000_s1027" style="position:absolute;width:27148;height:106;visibility:visible;mso-wrap-style:square;v-text-anchor:top" coordsize="2714879,10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ozccA&#10;AADeAAAADwAAAGRycy9kb3ducmV2LnhtbESPy2rCQBSG94W+w3AK3dWJoY0SnQSRSqV24wXXh8wx&#10;iWbOJJlR0z59Z1Ho8ue/8c3zwTTiRr2rLSsYjyIQxIXVNZcKDvvVyxSE88gaG8uk4Jsc5NnjwxxT&#10;be+8pdvOlyKMsEtRQeV9m0rpiooMupFtiYN3sr1BH2RfSt3jPYybRsZRlEiDNYeHCltaVlRcdlej&#10;4OfdfK2Or91x/Un23MXbzeH6sVHq+WlYzEB4Gvx/+K+91gomyVsSAAJOQA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XaM3HAAAA3gAAAA8AAAAAAAAAAAAAAAAAmAIAAGRy&#10;cy9kb3ducmV2LnhtbFBLBQYAAAAABAAEAPUAAACMAwAAAAA=&#10;" path="m,l2714879,r,10669l,10669,,e" fillcolor="black" stroked="f" strokeweight="0">
                        <v:stroke miterlimit="83231f" joinstyle="miter"/>
                        <v:path arrowok="t" textboxrect="0,0,2714879,10669"/>
                      </v:shape>
                      <w10:anchorlock/>
                    </v:group>
                  </w:pict>
                </mc:Fallback>
              </mc:AlternateContent>
            </w:r>
            <w:r w:rsidR="00471F3F" w:rsidRPr="00EF175D">
              <w:rPr>
                <w:rFonts w:ascii="Times New Roman" w:eastAsia="Cambria Math" w:hAnsi="Times New Roman"/>
                <w:color w:val="000000" w:themeColor="text1"/>
              </w:rPr>
              <w:t xml:space="preserve"> </w:t>
            </w:r>
          </w:p>
          <w:p w14:paraId="4EDEAD6A" w14:textId="6A49B42F" w:rsidR="00471F3F" w:rsidRPr="00EF175D" w:rsidRDefault="0081506C" w:rsidP="0081506C">
            <w:pPr>
              <w:spacing w:line="259" w:lineRule="auto"/>
              <w:ind w:right="110"/>
              <w:jc w:val="right"/>
              <w:rPr>
                <w:rFonts w:ascii="Times New Roman" w:eastAsia="Times New Roman" w:hAnsi="Times New Roman"/>
                <w:color w:val="000000" w:themeColor="text1"/>
              </w:rPr>
            </w:pPr>
            <w:r w:rsidRPr="00EF175D">
              <w:rPr>
                <w:rFonts w:ascii="Times New Roman" w:eastAsia="Cambria Math" w:hAnsi="Times New Roman"/>
                <w:color w:val="000000" w:themeColor="text1"/>
              </w:rPr>
              <w:t>Total weight of fruit per treatment</w:t>
            </w:r>
          </w:p>
          <w:p w14:paraId="4FAFA24F" w14:textId="77777777" w:rsidR="00471F3F" w:rsidRPr="00EF175D" w:rsidRDefault="00471F3F" w:rsidP="00471F3F">
            <w:pPr>
              <w:spacing w:line="259" w:lineRule="auto"/>
              <w:ind w:left="138"/>
              <w:jc w:val="center"/>
              <w:rPr>
                <w:rFonts w:ascii="Times New Roman" w:eastAsia="Times New Roman" w:hAnsi="Times New Roman"/>
                <w:color w:val="000000" w:themeColor="text1"/>
              </w:rPr>
            </w:pPr>
            <w:r w:rsidRPr="00EF175D">
              <w:rPr>
                <w:rFonts w:ascii="Times New Roman" w:eastAsia="Times New Roman" w:hAnsi="Times New Roman"/>
                <w:color w:val="000000" w:themeColor="text1"/>
              </w:rPr>
              <w:t xml:space="preserve"> </w:t>
            </w:r>
          </w:p>
        </w:tc>
      </w:tr>
    </w:tbl>
    <w:p w14:paraId="0AA15EA3" w14:textId="77777777" w:rsidR="00FA3E1B" w:rsidRPr="00EF175D" w:rsidRDefault="00FA3E1B" w:rsidP="00FA3E1B">
      <w:pPr>
        <w:spacing w:after="4" w:line="259" w:lineRule="auto"/>
        <w:ind w:left="10" w:right="51" w:hanging="10"/>
        <w:rPr>
          <w:rFonts w:ascii="Times New Roman" w:eastAsia="Times New Roman" w:hAnsi="Times New Roman"/>
          <w:color w:val="000000" w:themeColor="text1"/>
          <w:lang w:eastAsia="fr-FR"/>
        </w:rPr>
      </w:pPr>
    </w:p>
    <w:p w14:paraId="31C43D1F" w14:textId="77777777" w:rsidR="0081506C" w:rsidRPr="00EF175D" w:rsidRDefault="0081506C" w:rsidP="00C5462C">
      <w:pPr>
        <w:spacing w:after="5" w:line="360" w:lineRule="auto"/>
        <w:ind w:right="52" w:firstLine="412"/>
        <w:jc w:val="both"/>
        <w:rPr>
          <w:rFonts w:ascii="Times New Roman" w:eastAsia="Times New Roman" w:hAnsi="Times New Roman"/>
          <w:b/>
          <w:color w:val="000000" w:themeColor="text1"/>
          <w:lang w:eastAsia="fr-FR"/>
        </w:rPr>
      </w:pPr>
      <w:r w:rsidRPr="00EF175D">
        <w:rPr>
          <w:rFonts w:ascii="Times New Roman" w:eastAsia="Times New Roman" w:hAnsi="Times New Roman"/>
          <w:b/>
          <w:color w:val="000000" w:themeColor="text1"/>
          <w:lang w:eastAsia="fr-FR"/>
        </w:rPr>
        <w:t>Firmness of fruit</w:t>
      </w:r>
    </w:p>
    <w:p w14:paraId="149605A5" w14:textId="125F2271" w:rsidR="00570D19" w:rsidRPr="00EF175D" w:rsidRDefault="0081506C" w:rsidP="0081506C">
      <w:pPr>
        <w:spacing w:after="5" w:line="360" w:lineRule="auto"/>
        <w:ind w:right="52" w:firstLine="412"/>
        <w:jc w:val="both"/>
        <w:rPr>
          <w:rFonts w:ascii="Times New Roman" w:eastAsia="Times New Roman" w:hAnsi="Times New Roman"/>
          <w:color w:val="000000" w:themeColor="text1"/>
          <w:lang w:eastAsia="fr-FR"/>
        </w:rPr>
      </w:pPr>
      <w:r w:rsidRPr="00EF175D">
        <w:rPr>
          <w:rFonts w:ascii="Times New Roman" w:eastAsia="Times New Roman" w:hAnsi="Times New Roman"/>
          <w:color w:val="000000" w:themeColor="text1"/>
          <w:lang w:eastAsia="fr-FR"/>
        </w:rPr>
        <w:t xml:space="preserve">An ‘Arbalète’ type penetrometer with a tip 1 cm long and 0.5 cm in diameter was applied to the skin or pericarp of the fruit. The resistance to the penetration force of the tip in the pulp, which represents the penetrometric hardness or firmness of the fruit, is noted and expressed in </w:t>
      </w:r>
      <w:r w:rsidRPr="00EF175D">
        <w:rPr>
          <w:rFonts w:ascii="Times New Roman" w:eastAsia="Times New Roman" w:hAnsi="Times New Roman"/>
          <w:color w:val="000000" w:themeColor="text1"/>
          <w:lang w:eastAsia="fr-FR"/>
        </w:rPr>
        <w:lastRenderedPageBreak/>
        <w:t>kilograms per square centimetre (kg/cm2). The firmness of whole fruits was measured at 4 points in the middle of the fruit (two lateral, one dorsal and one ventral) and the average value was calculated for each fruit.</w:t>
      </w:r>
    </w:p>
    <w:p w14:paraId="0D922036" w14:textId="39EA6600" w:rsidR="006F72AB" w:rsidRPr="00EF175D" w:rsidRDefault="006F72AB" w:rsidP="006F72AB">
      <w:pPr>
        <w:spacing w:after="5" w:line="248" w:lineRule="auto"/>
        <w:ind w:left="415" w:right="52"/>
        <w:jc w:val="both"/>
        <w:rPr>
          <w:rFonts w:ascii="Times New Roman" w:hAnsi="Times New Roman"/>
          <w:color w:val="000000" w:themeColor="text1"/>
        </w:rPr>
      </w:pPr>
    </w:p>
    <w:p w14:paraId="2D994497" w14:textId="77777777" w:rsidR="0081506C" w:rsidRPr="00EF175D" w:rsidRDefault="0081506C" w:rsidP="00914987">
      <w:pPr>
        <w:spacing w:line="360" w:lineRule="auto"/>
        <w:ind w:firstLine="708"/>
        <w:jc w:val="both"/>
        <w:rPr>
          <w:rFonts w:ascii="Times New Roman" w:eastAsia="Times New Roman" w:hAnsi="Times New Roman"/>
          <w:b/>
          <w:color w:val="000000" w:themeColor="text1"/>
          <w:lang w:eastAsia="fr-FR"/>
        </w:rPr>
      </w:pPr>
      <w:r w:rsidRPr="00EF175D">
        <w:rPr>
          <w:rFonts w:ascii="Times New Roman" w:eastAsia="Times New Roman" w:hAnsi="Times New Roman"/>
          <w:b/>
          <w:color w:val="000000" w:themeColor="text1"/>
          <w:lang w:eastAsia="fr-FR"/>
        </w:rPr>
        <w:t xml:space="preserve">Evolution of </w:t>
      </w:r>
      <w:commentRangeStart w:id="11"/>
      <w:r w:rsidRPr="00EF175D">
        <w:rPr>
          <w:rFonts w:ascii="Times New Roman" w:eastAsia="Times New Roman" w:hAnsi="Times New Roman"/>
          <w:b/>
          <w:color w:val="000000" w:themeColor="text1"/>
          <w:lang w:eastAsia="fr-FR"/>
        </w:rPr>
        <w:t>colour</w:t>
      </w:r>
      <w:commentRangeEnd w:id="11"/>
      <w:r w:rsidR="000633D7">
        <w:rPr>
          <w:rStyle w:val="CommentReference"/>
        </w:rPr>
        <w:commentReference w:id="11"/>
      </w:r>
    </w:p>
    <w:p w14:paraId="09C4459A" w14:textId="0BC861C5" w:rsidR="00914987" w:rsidRPr="0081506C" w:rsidRDefault="0081506C" w:rsidP="0081506C">
      <w:pPr>
        <w:spacing w:line="360" w:lineRule="auto"/>
        <w:ind w:firstLine="708"/>
        <w:jc w:val="both"/>
        <w:rPr>
          <w:rFonts w:ascii="Times New Roman" w:hAnsi="Times New Roman"/>
          <w:color w:val="000000" w:themeColor="text1"/>
        </w:rPr>
      </w:pPr>
      <w:r w:rsidRPr="00EF175D">
        <w:rPr>
          <w:rFonts w:ascii="Times New Roman" w:hAnsi="Times New Roman"/>
          <w:color w:val="000000" w:themeColor="text1"/>
        </w:rPr>
        <w:t>Changes in the external appearance of the fruit concerned the colour of the fruit skin and phytotoxicity (browning). Observations were made as the fruit entered and left the cold room, using a mango skin colouring guide (Figure 1).</w:t>
      </w:r>
    </w:p>
    <w:p w14:paraId="5DD5BFEC" w14:textId="49AEDDD1" w:rsidR="00471F3F" w:rsidRPr="007340DC" w:rsidRDefault="00914987" w:rsidP="00914987">
      <w:pPr>
        <w:spacing w:line="360" w:lineRule="auto"/>
        <w:ind w:firstLine="708"/>
        <w:jc w:val="both"/>
        <w:rPr>
          <w:rFonts w:ascii="Times New Roman" w:eastAsia="Times New Roman" w:hAnsi="Times New Roman"/>
          <w:b/>
          <w:color w:val="000000" w:themeColor="text1"/>
          <w:szCs w:val="22"/>
          <w:lang w:eastAsia="fr-FR"/>
        </w:rPr>
      </w:pPr>
      <w:r w:rsidRPr="007340DC">
        <w:rPr>
          <w:rFonts w:ascii="Times New Roman" w:hAnsi="Times New Roman"/>
          <w:noProof/>
          <w:color w:val="000000" w:themeColor="text1"/>
          <w:lang w:val="en-US"/>
        </w:rPr>
        <w:drawing>
          <wp:inline distT="0" distB="0" distL="0" distR="0" wp14:anchorId="1EA40E5F" wp14:editId="521BE958">
            <wp:extent cx="5175217" cy="1900997"/>
            <wp:effectExtent l="0" t="0" r="0" b="0"/>
            <wp:docPr id="2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spect="1"/>
                    </pic:cNvPicPr>
                  </pic:nvPicPr>
                  <pic:blipFill rotWithShape="1">
                    <a:blip r:embed="rId15"/>
                    <a:srcRect l="5260" t="18448" r="4803" b="6338"/>
                    <a:stretch/>
                  </pic:blipFill>
                  <pic:spPr bwMode="auto">
                    <a:xfrm>
                      <a:off x="0" y="0"/>
                      <a:ext cx="5177547" cy="1901853"/>
                    </a:xfrm>
                    <a:prstGeom prst="rect">
                      <a:avLst/>
                    </a:prstGeom>
                    <a:ln>
                      <a:noFill/>
                    </a:ln>
                    <a:extLst>
                      <a:ext uri="{53640926-AAD7-44D8-BBD7-CCE9431645EC}">
                        <a14:shadowObscured xmlns:a14="http://schemas.microsoft.com/office/drawing/2010/main"/>
                      </a:ext>
                    </a:extLst>
                  </pic:spPr>
                </pic:pic>
              </a:graphicData>
            </a:graphic>
          </wp:inline>
        </w:drawing>
      </w:r>
    </w:p>
    <w:p w14:paraId="59019CDF" w14:textId="77777777" w:rsidR="0081506C" w:rsidRDefault="0081506C" w:rsidP="0081506C">
      <w:pPr>
        <w:spacing w:line="360" w:lineRule="auto"/>
        <w:jc w:val="center"/>
        <w:rPr>
          <w:rFonts w:ascii="Times New Roman" w:eastAsia="Times New Roman" w:hAnsi="Times New Roman"/>
          <w:b/>
          <w:color w:val="000000" w:themeColor="text1"/>
          <w:szCs w:val="22"/>
          <w:lang w:eastAsia="fr-FR"/>
        </w:rPr>
      </w:pPr>
      <w:r w:rsidRPr="0081506C">
        <w:rPr>
          <w:rFonts w:ascii="Times New Roman" w:eastAsia="Times New Roman" w:hAnsi="Times New Roman"/>
          <w:b/>
          <w:color w:val="000000" w:themeColor="text1"/>
          <w:szCs w:val="22"/>
          <w:lang w:eastAsia="fr-FR"/>
        </w:rPr>
        <w:t>Figure 1: Mango colour index</w:t>
      </w:r>
    </w:p>
    <w:p w14:paraId="087FE964" w14:textId="77777777" w:rsidR="0081506C" w:rsidRDefault="0081506C" w:rsidP="001F6CB5">
      <w:pPr>
        <w:spacing w:line="360" w:lineRule="auto"/>
        <w:ind w:firstLine="708"/>
        <w:jc w:val="both"/>
        <w:rPr>
          <w:rFonts w:ascii="Times New Roman" w:eastAsia="Times New Roman" w:hAnsi="Times New Roman"/>
          <w:b/>
          <w:color w:val="000000" w:themeColor="text1"/>
          <w:szCs w:val="22"/>
          <w:lang w:eastAsia="fr-FR"/>
        </w:rPr>
      </w:pPr>
      <w:r w:rsidRPr="0081506C">
        <w:rPr>
          <w:rFonts w:ascii="Times New Roman" w:eastAsia="Times New Roman" w:hAnsi="Times New Roman"/>
          <w:b/>
          <w:color w:val="000000" w:themeColor="text1"/>
          <w:szCs w:val="22"/>
          <w:lang w:eastAsia="fr-FR"/>
        </w:rPr>
        <w:t>Health status</w:t>
      </w:r>
    </w:p>
    <w:p w14:paraId="32F37DC5" w14:textId="77777777" w:rsidR="0081506C" w:rsidRDefault="0081506C" w:rsidP="001F6CB5">
      <w:pPr>
        <w:spacing w:line="360" w:lineRule="auto"/>
        <w:jc w:val="both"/>
        <w:rPr>
          <w:rFonts w:ascii="Times New Roman" w:hAnsi="Times New Roman"/>
          <w:color w:val="000000" w:themeColor="text1"/>
        </w:rPr>
      </w:pPr>
      <w:r w:rsidRPr="0081506C">
        <w:rPr>
          <w:rFonts w:ascii="Times New Roman" w:hAnsi="Times New Roman"/>
          <w:color w:val="000000" w:themeColor="text1"/>
        </w:rPr>
        <w:t>In terms of health, the antifungal activity of the product and treatment doses was assessed by looking at the number of infected fruits and the intensity of anthracnose symptoms on each fruit.</w:t>
      </w:r>
    </w:p>
    <w:p w14:paraId="6B435E00" w14:textId="77777777" w:rsidR="0081506C" w:rsidRDefault="0081506C" w:rsidP="00C5462C">
      <w:pPr>
        <w:spacing w:line="360" w:lineRule="auto"/>
        <w:ind w:firstLine="412"/>
        <w:jc w:val="both"/>
        <w:rPr>
          <w:rFonts w:ascii="Times New Roman" w:hAnsi="Times New Roman"/>
          <w:b/>
          <w:color w:val="000000" w:themeColor="text1"/>
        </w:rPr>
      </w:pPr>
      <w:r w:rsidRPr="0081506C">
        <w:rPr>
          <w:rFonts w:ascii="Times New Roman" w:hAnsi="Times New Roman"/>
          <w:b/>
          <w:color w:val="000000" w:themeColor="text1"/>
        </w:rPr>
        <w:t>Soluble dry extract</w:t>
      </w:r>
    </w:p>
    <w:p w14:paraId="1E697B83" w14:textId="5B172CCC" w:rsidR="0081506C" w:rsidRPr="00B86CA7" w:rsidRDefault="0081506C" w:rsidP="00B86CA7">
      <w:pPr>
        <w:spacing w:line="360" w:lineRule="auto"/>
        <w:jc w:val="both"/>
        <w:rPr>
          <w:rFonts w:ascii="Times New Roman" w:hAnsi="Times New Roman"/>
        </w:rPr>
      </w:pPr>
      <w:r w:rsidRPr="00B86CA7">
        <w:rPr>
          <w:rFonts w:ascii="Times New Roman" w:hAnsi="Times New Roman"/>
        </w:rPr>
        <w:t>The soluble dry extract of each juice was measured using an ATAGO PR1 digital refractometer. To do this, a few drops of fruit juice were poured onto the surface of the prism. The value was read directly on the screen. The dry extract content is expressed in Brix degrees. It indicates the fruit juice's soluble sugar content in grams of sucrose per 100 ml of extract. The soluble dry extract content also corresponds to the refractometric index (RI) according to the m</w:t>
      </w:r>
      <w:r w:rsidR="00B86CA7">
        <w:rPr>
          <w:rFonts w:ascii="Times New Roman" w:hAnsi="Times New Roman"/>
        </w:rPr>
        <w:t xml:space="preserve">ethod of Alavoine </w:t>
      </w:r>
      <w:r w:rsidR="00B86CA7" w:rsidRPr="000B7381">
        <w:rPr>
          <w:rFonts w:ascii="Times New Roman" w:hAnsi="Times New Roman"/>
          <w:i/>
          <w:iCs/>
        </w:rPr>
        <w:t>et al</w:t>
      </w:r>
      <w:r w:rsidR="000B7381">
        <w:rPr>
          <w:rFonts w:ascii="Times New Roman" w:hAnsi="Times New Roman"/>
        </w:rPr>
        <w:t>.</w:t>
      </w:r>
      <w:r w:rsidR="00B86CA7">
        <w:rPr>
          <w:rFonts w:ascii="Times New Roman" w:hAnsi="Times New Roman"/>
        </w:rPr>
        <w:t xml:space="preserve"> (1986).</w:t>
      </w:r>
    </w:p>
    <w:p w14:paraId="4348E85F" w14:textId="39844EF4" w:rsidR="000F65CC" w:rsidRPr="007340DC" w:rsidRDefault="00741C3C" w:rsidP="001F6CB5">
      <w:pPr>
        <w:keepNext/>
        <w:keepLines/>
        <w:spacing w:after="4" w:line="360" w:lineRule="auto"/>
        <w:ind w:left="422" w:hanging="10"/>
        <w:jc w:val="both"/>
        <w:outlineLvl w:val="1"/>
        <w:rPr>
          <w:rFonts w:ascii="Times New Roman" w:eastAsia="Times New Roman" w:hAnsi="Times New Roman"/>
          <w:b/>
          <w:color w:val="000000" w:themeColor="text1"/>
          <w:szCs w:val="22"/>
          <w:lang w:eastAsia="fr-FR"/>
        </w:rPr>
      </w:pPr>
      <w:proofErr w:type="gramStart"/>
      <w:r w:rsidRPr="00741C3C">
        <w:rPr>
          <w:rFonts w:ascii="Times New Roman" w:eastAsia="Times New Roman" w:hAnsi="Times New Roman"/>
          <w:b/>
          <w:color w:val="000000" w:themeColor="text1"/>
          <w:szCs w:val="22"/>
          <w:lang w:eastAsia="fr-FR"/>
        </w:rPr>
        <w:t>pH</w:t>
      </w:r>
      <w:proofErr w:type="gramEnd"/>
      <w:r w:rsidRPr="00741C3C">
        <w:rPr>
          <w:rFonts w:ascii="Times New Roman" w:eastAsia="Times New Roman" w:hAnsi="Times New Roman"/>
          <w:b/>
          <w:color w:val="000000" w:themeColor="text1"/>
          <w:szCs w:val="22"/>
          <w:lang w:eastAsia="fr-FR"/>
        </w:rPr>
        <w:t xml:space="preserve"> and titratable acidity</w:t>
      </w:r>
      <w:r w:rsidR="000F65CC" w:rsidRPr="007340DC">
        <w:rPr>
          <w:rFonts w:ascii="Times New Roman" w:eastAsia="Times New Roman" w:hAnsi="Times New Roman"/>
          <w:b/>
          <w:color w:val="000000" w:themeColor="text1"/>
          <w:szCs w:val="22"/>
          <w:lang w:eastAsia="fr-FR"/>
        </w:rPr>
        <w:t xml:space="preserve">  </w:t>
      </w:r>
    </w:p>
    <w:p w14:paraId="2EBFB949" w14:textId="77777777" w:rsidR="00741C3C" w:rsidRDefault="00741C3C" w:rsidP="00B86CA7">
      <w:pPr>
        <w:spacing w:after="5" w:line="360" w:lineRule="auto"/>
        <w:ind w:right="52" w:firstLine="709"/>
        <w:jc w:val="both"/>
        <w:rPr>
          <w:rFonts w:ascii="Times New Roman" w:eastAsia="Times New Roman" w:hAnsi="Times New Roman"/>
          <w:color w:val="000000" w:themeColor="text1"/>
          <w:szCs w:val="22"/>
          <w:lang w:eastAsia="fr-FR"/>
        </w:rPr>
      </w:pPr>
      <w:r w:rsidRPr="00741C3C">
        <w:rPr>
          <w:rFonts w:ascii="Times New Roman" w:eastAsia="Times New Roman" w:hAnsi="Times New Roman"/>
          <w:color w:val="000000" w:themeColor="text1"/>
          <w:szCs w:val="22"/>
          <w:lang w:eastAsia="fr-FR"/>
        </w:rPr>
        <w:t xml:space="preserve">The pH and titratable acidity were determined according to the method described by AOAC (2000). A quantity of 10 g of sample (me) was diluted in 100 ml of distilled water, then the mixture was filtered through filter paper (Whatman). The pH of the filtrate was read directly using a Benchtop/mV metter pH meter (210). To determine the titratable acidity, 10 ml of the filtrate was titrated with a solution of NaOH (0.1N) in the presence of 3 drops of </w:t>
      </w:r>
      <w:r w:rsidRPr="00741C3C">
        <w:rPr>
          <w:rFonts w:ascii="Times New Roman" w:eastAsia="Times New Roman" w:hAnsi="Times New Roman"/>
          <w:color w:val="000000" w:themeColor="text1"/>
          <w:szCs w:val="22"/>
          <w:lang w:eastAsia="fr-FR"/>
        </w:rPr>
        <w:lastRenderedPageBreak/>
        <w:t xml:space="preserve">phenolphthalein until the colour changed to pink. The titratable acidity was determined according to the following equation: </w:t>
      </w:r>
    </w:p>
    <w:tbl>
      <w:tblPr>
        <w:tblStyle w:val="TableGrid1"/>
        <w:tblW w:w="4919" w:type="dxa"/>
        <w:tblInd w:w="1671" w:type="dxa"/>
        <w:tblCellMar>
          <w:top w:w="91" w:type="dxa"/>
          <w:left w:w="434" w:type="dxa"/>
          <w:right w:w="115" w:type="dxa"/>
        </w:tblCellMar>
        <w:tblLook w:val="04A0" w:firstRow="1" w:lastRow="0" w:firstColumn="1" w:lastColumn="0" w:noHBand="0" w:noVBand="1"/>
      </w:tblPr>
      <w:tblGrid>
        <w:gridCol w:w="4919"/>
      </w:tblGrid>
      <w:tr w:rsidR="007340DC" w:rsidRPr="007340DC" w14:paraId="059C6046" w14:textId="77777777" w:rsidTr="00D36E7C">
        <w:trPr>
          <w:trHeight w:val="699"/>
        </w:trPr>
        <w:tc>
          <w:tcPr>
            <w:tcW w:w="4919" w:type="dxa"/>
          </w:tcPr>
          <w:p w14:paraId="0998E4FC" w14:textId="4F06D0F2" w:rsidR="000F65CC" w:rsidRPr="007340DC" w:rsidRDefault="000F65CC" w:rsidP="000F65CC">
            <w:pPr>
              <w:spacing w:line="259" w:lineRule="auto"/>
              <w:ind w:left="1889"/>
              <w:rPr>
                <w:rFonts w:ascii="Times New Roman" w:eastAsia="Times New Roman" w:hAnsi="Times New Roman"/>
                <w:color w:val="000000" w:themeColor="text1"/>
                <w:szCs w:val="22"/>
              </w:rPr>
            </w:pPr>
            <w:r w:rsidRPr="007340DC">
              <w:rPr>
                <w:rFonts w:ascii="Cambria Math" w:eastAsia="Cambria Math" w:hAnsi="Cambria Math" w:cs="Cambria Math"/>
                <w:color w:val="000000" w:themeColor="text1"/>
                <w:sz w:val="16"/>
                <w:szCs w:val="22"/>
              </w:rPr>
              <w:t xml:space="preserve"> </w:t>
            </w:r>
            <w:r w:rsidRPr="007340DC">
              <w:rPr>
                <w:rFonts w:ascii="Cambria Math" w:eastAsia="Cambria Math" w:hAnsi="Cambria Math" w:cs="Cambria Math"/>
                <w:color w:val="000000" w:themeColor="text1"/>
                <w:szCs w:val="22"/>
              </w:rPr>
              <w:t xml:space="preserve"> 𝑁 × 𝑉𝑒𝑞 × 10000</w:t>
            </w:r>
          </w:p>
          <w:p w14:paraId="49954720" w14:textId="77777777" w:rsidR="000F65CC" w:rsidRPr="007340DC" w:rsidRDefault="000F65CC" w:rsidP="000F65CC">
            <w:pPr>
              <w:spacing w:line="259" w:lineRule="auto"/>
              <w:ind w:right="357"/>
              <w:jc w:val="center"/>
              <w:rPr>
                <w:rFonts w:ascii="Times New Roman" w:eastAsia="Times New Roman" w:hAnsi="Times New Roman"/>
                <w:color w:val="000000" w:themeColor="text1"/>
                <w:szCs w:val="22"/>
              </w:rPr>
            </w:pPr>
            <w:r w:rsidRPr="007340DC">
              <w:rPr>
                <w:rFonts w:ascii="Cambria Math" w:eastAsia="Cambria Math" w:hAnsi="Cambria Math" w:cs="Cambria Math"/>
                <w:color w:val="000000" w:themeColor="text1"/>
                <w:szCs w:val="22"/>
              </w:rPr>
              <w:t xml:space="preserve">𝑇 (𝑚𝑒𝑞/100𝑔) = </w:t>
            </w:r>
            <w:r w:rsidRPr="007340DC">
              <w:rPr>
                <w:rFonts w:cs="Calibri"/>
                <w:noProof/>
                <w:color w:val="000000" w:themeColor="text1"/>
                <w:sz w:val="22"/>
                <w:szCs w:val="22"/>
                <w:lang w:val="en-US"/>
              </w:rPr>
              <mc:AlternateContent>
                <mc:Choice Requires="wpg">
                  <w:drawing>
                    <wp:inline distT="0" distB="0" distL="0" distR="0" wp14:anchorId="2EC36EB9" wp14:editId="1A7B73EB">
                      <wp:extent cx="1315466" cy="10668"/>
                      <wp:effectExtent l="0" t="0" r="0" b="0"/>
                      <wp:docPr id="69865" name="Group 69865"/>
                      <wp:cNvGraphicFramePr/>
                      <a:graphic xmlns:a="http://schemas.openxmlformats.org/drawingml/2006/main">
                        <a:graphicData uri="http://schemas.microsoft.com/office/word/2010/wordprocessingGroup">
                          <wpg:wgp>
                            <wpg:cNvGrpSpPr/>
                            <wpg:grpSpPr>
                              <a:xfrm>
                                <a:off x="0" y="0"/>
                                <a:ext cx="1315466" cy="10668"/>
                                <a:chOff x="0" y="0"/>
                                <a:chExt cx="1315466" cy="10668"/>
                              </a:xfrm>
                            </wpg:grpSpPr>
                            <wps:wsp>
                              <wps:cNvPr id="76556" name="Shape 76556"/>
                              <wps:cNvSpPr/>
                              <wps:spPr>
                                <a:xfrm>
                                  <a:off x="0" y="0"/>
                                  <a:ext cx="1315466" cy="10668"/>
                                </a:xfrm>
                                <a:custGeom>
                                  <a:avLst/>
                                  <a:gdLst/>
                                  <a:ahLst/>
                                  <a:cxnLst/>
                                  <a:rect l="0" t="0" r="0" b="0"/>
                                  <a:pathLst>
                                    <a:path w="1315466" h="10668">
                                      <a:moveTo>
                                        <a:pt x="0" y="0"/>
                                      </a:moveTo>
                                      <a:lnTo>
                                        <a:pt x="1315466" y="0"/>
                                      </a:lnTo>
                                      <a:lnTo>
                                        <a:pt x="1315466"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7A03AB" id="Group 69865" o:spid="_x0000_s1026" style="width:103.6pt;height:.85pt;mso-position-horizontal-relative:char;mso-position-vertical-relative:line" coordsize="131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">
                      <v:shape id="Shape 76556" o:spid="_x0000_s1027" style="position:absolute;width:13154;height:106;visibility:visible;mso-wrap-style:square;v-text-anchor:top" coordsize="131546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" path="m,l1315466,r,10668l,10668,,e" fillcolor="black" stroked="f" strokeweight="0">
                        <v:stroke miterlimit="83231f" joinstyle="miter"/>
                        <v:path arrowok="t" textboxrect="0,0,1315466,10668"/>
                      </v:shape>
                      <w10:anchorlock/>
                    </v:group>
                  </w:pict>
                </mc:Fallback>
              </mc:AlternateContent>
            </w:r>
            <w:r w:rsidRPr="007340DC">
              <w:rPr>
                <w:rFonts w:ascii="Times New Roman" w:eastAsia="Times New Roman" w:hAnsi="Times New Roman"/>
                <w:color w:val="000000" w:themeColor="text1"/>
                <w:sz w:val="20"/>
                <w:szCs w:val="22"/>
              </w:rPr>
              <w:t xml:space="preserve"> </w:t>
            </w:r>
          </w:p>
          <w:p w14:paraId="7ED67D93" w14:textId="77777777" w:rsidR="000F65CC" w:rsidRPr="007340DC" w:rsidRDefault="000F65CC" w:rsidP="000F65CC">
            <w:pPr>
              <w:spacing w:line="259" w:lineRule="auto"/>
              <w:ind w:left="1474"/>
              <w:jc w:val="center"/>
              <w:rPr>
                <w:rFonts w:ascii="Times New Roman" w:eastAsia="Times New Roman" w:hAnsi="Times New Roman"/>
                <w:color w:val="000000" w:themeColor="text1"/>
                <w:szCs w:val="22"/>
              </w:rPr>
            </w:pPr>
            <w:r w:rsidRPr="007340DC">
              <w:rPr>
                <w:rFonts w:ascii="Cambria Math" w:eastAsia="Cambria Math" w:hAnsi="Cambria Math" w:cs="Cambria Math"/>
                <w:color w:val="000000" w:themeColor="text1"/>
                <w:szCs w:val="22"/>
              </w:rPr>
              <w:t>𝑚𝑒 × 𝑉𝑜</w:t>
            </w:r>
          </w:p>
        </w:tc>
      </w:tr>
    </w:tbl>
    <w:p w14:paraId="2B485C61" w14:textId="77777777" w:rsidR="00741C3C" w:rsidRDefault="00741C3C" w:rsidP="00914987">
      <w:pPr>
        <w:spacing w:line="259" w:lineRule="auto"/>
        <w:ind w:right="1339"/>
        <w:rPr>
          <w:rFonts w:ascii="Times New Roman" w:eastAsia="Times New Roman" w:hAnsi="Times New Roman"/>
          <w:b/>
          <w:color w:val="000000" w:themeColor="text1"/>
          <w:szCs w:val="22"/>
          <w:lang w:eastAsia="fr-FR"/>
        </w:rPr>
      </w:pPr>
    </w:p>
    <w:p w14:paraId="5F7D1947" w14:textId="06F037E1" w:rsidR="000F65CC" w:rsidRPr="00741C3C" w:rsidRDefault="000F65CC" w:rsidP="00741C3C">
      <w:pPr>
        <w:spacing w:line="259" w:lineRule="auto"/>
        <w:ind w:right="1339"/>
        <w:rPr>
          <w:rFonts w:ascii="Times New Roman" w:eastAsia="Times New Roman" w:hAnsi="Times New Roman"/>
          <w:color w:val="000000" w:themeColor="text1"/>
          <w:szCs w:val="22"/>
          <w:lang w:eastAsia="fr-FR"/>
        </w:rPr>
      </w:pPr>
      <w:r w:rsidRPr="007340DC">
        <w:rPr>
          <w:rFonts w:ascii="Times New Roman" w:eastAsia="Times New Roman" w:hAnsi="Times New Roman"/>
          <w:b/>
          <w:color w:val="000000" w:themeColor="text1"/>
          <w:szCs w:val="22"/>
          <w:lang w:eastAsia="fr-FR"/>
        </w:rPr>
        <w:t>V</w:t>
      </w:r>
      <w:r w:rsidRPr="007340DC">
        <w:rPr>
          <w:rFonts w:ascii="Times New Roman" w:eastAsia="Times New Roman" w:hAnsi="Times New Roman"/>
          <w:b/>
          <w:color w:val="000000" w:themeColor="text1"/>
          <w:sz w:val="16"/>
          <w:szCs w:val="22"/>
          <w:lang w:eastAsia="fr-FR"/>
        </w:rPr>
        <w:t>0</w:t>
      </w:r>
      <w:r w:rsidRPr="007340DC">
        <w:rPr>
          <w:rFonts w:ascii="Times New Roman" w:eastAsia="Times New Roman" w:hAnsi="Times New Roman"/>
          <w:b/>
          <w:color w:val="000000" w:themeColor="text1"/>
          <w:szCs w:val="22"/>
          <w:lang w:eastAsia="fr-FR"/>
        </w:rPr>
        <w:t xml:space="preserve"> :</w:t>
      </w:r>
      <w:r w:rsidRPr="007340DC">
        <w:rPr>
          <w:rFonts w:ascii="Times New Roman" w:eastAsia="Times New Roman" w:hAnsi="Times New Roman"/>
          <w:color w:val="000000" w:themeColor="text1"/>
          <w:szCs w:val="22"/>
          <w:lang w:eastAsia="fr-FR"/>
        </w:rPr>
        <w:t xml:space="preserve"> </w:t>
      </w:r>
      <w:r w:rsidR="00741C3C" w:rsidRPr="00741C3C">
        <w:rPr>
          <w:rFonts w:ascii="Times New Roman" w:eastAsia="Times New Roman" w:hAnsi="Times New Roman"/>
          <w:color w:val="000000" w:themeColor="text1"/>
          <w:szCs w:val="22"/>
          <w:lang w:eastAsia="fr-FR"/>
        </w:rPr>
        <w:t>volume (mL) of test sample</w:t>
      </w:r>
    </w:p>
    <w:p w14:paraId="5D3FA450" w14:textId="6F22F941" w:rsidR="000F65CC" w:rsidRPr="007340DC" w:rsidRDefault="000F65CC" w:rsidP="00914987">
      <w:pPr>
        <w:tabs>
          <w:tab w:val="center" w:pos="427"/>
          <w:tab w:val="center" w:pos="3820"/>
        </w:tabs>
        <w:rPr>
          <w:rFonts w:ascii="Times New Roman" w:eastAsia="Times New Roman" w:hAnsi="Times New Roman"/>
          <w:color w:val="000000" w:themeColor="text1"/>
          <w:szCs w:val="22"/>
          <w:lang w:eastAsia="fr-FR"/>
        </w:rPr>
      </w:pPr>
      <w:r w:rsidRPr="007340DC">
        <w:rPr>
          <w:rFonts w:cs="Calibri"/>
          <w:color w:val="000000" w:themeColor="text1"/>
          <w:sz w:val="22"/>
          <w:szCs w:val="22"/>
          <w:lang w:eastAsia="fr-FR"/>
        </w:rPr>
        <w:tab/>
      </w:r>
      <w:r w:rsidR="00914987" w:rsidRPr="007340DC">
        <w:rPr>
          <w:rFonts w:cs="Calibri"/>
          <w:b/>
          <w:color w:val="000000" w:themeColor="text1"/>
          <w:sz w:val="34"/>
          <w:szCs w:val="22"/>
          <w:vertAlign w:val="superscript"/>
          <w:lang w:eastAsia="fr-FR"/>
        </w:rPr>
        <w:t xml:space="preserve"> </w:t>
      </w:r>
      <w:r w:rsidRPr="007340DC">
        <w:rPr>
          <w:rFonts w:ascii="Times New Roman" w:eastAsia="Times New Roman" w:hAnsi="Times New Roman"/>
          <w:b/>
          <w:color w:val="000000" w:themeColor="text1"/>
          <w:szCs w:val="22"/>
          <w:lang w:eastAsia="fr-FR"/>
        </w:rPr>
        <w:t>V</w:t>
      </w:r>
      <w:r w:rsidRPr="007340DC">
        <w:rPr>
          <w:rFonts w:ascii="Times New Roman" w:eastAsia="Times New Roman" w:hAnsi="Times New Roman"/>
          <w:b/>
          <w:color w:val="000000" w:themeColor="text1"/>
          <w:sz w:val="16"/>
          <w:szCs w:val="22"/>
          <w:lang w:eastAsia="fr-FR"/>
        </w:rPr>
        <w:t xml:space="preserve">eq </w:t>
      </w:r>
      <w:r w:rsidRPr="007340DC">
        <w:rPr>
          <w:rFonts w:ascii="Times New Roman" w:eastAsia="Times New Roman" w:hAnsi="Times New Roman"/>
          <w:b/>
          <w:color w:val="000000" w:themeColor="text1"/>
          <w:szCs w:val="22"/>
          <w:lang w:eastAsia="fr-FR"/>
        </w:rPr>
        <w:t>:</w:t>
      </w:r>
      <w:r w:rsidRPr="007340DC">
        <w:rPr>
          <w:rFonts w:ascii="Times New Roman" w:eastAsia="Times New Roman" w:hAnsi="Times New Roman"/>
          <w:color w:val="000000" w:themeColor="text1"/>
          <w:szCs w:val="22"/>
          <w:lang w:eastAsia="fr-FR"/>
        </w:rPr>
        <w:t xml:space="preserve"> </w:t>
      </w:r>
      <w:r w:rsidR="00741C3C" w:rsidRPr="00741C3C">
        <w:rPr>
          <w:rFonts w:ascii="Times New Roman" w:eastAsia="Times New Roman" w:hAnsi="Times New Roman"/>
          <w:color w:val="000000" w:themeColor="text1"/>
          <w:szCs w:val="22"/>
          <w:lang w:eastAsia="fr-FR"/>
        </w:rPr>
        <w:t>volume (mL) of NaOH (0.1 N) added at equivalence</w:t>
      </w:r>
    </w:p>
    <w:p w14:paraId="35C7E644" w14:textId="5CA7F9DB" w:rsidR="000F65CC" w:rsidRPr="00C92C7A" w:rsidRDefault="000F65CC" w:rsidP="00C92C7A">
      <w:pPr>
        <w:rPr>
          <w:rFonts w:ascii="Times New Roman" w:eastAsia="Times New Roman" w:hAnsi="Times New Roman"/>
          <w:color w:val="000000" w:themeColor="text1"/>
          <w:szCs w:val="22"/>
          <w:lang w:eastAsia="fr-FR"/>
        </w:rPr>
      </w:pPr>
      <w:proofErr w:type="gramStart"/>
      <w:r w:rsidRPr="007340DC">
        <w:rPr>
          <w:rFonts w:ascii="Times New Roman" w:eastAsia="Times New Roman" w:hAnsi="Times New Roman"/>
          <w:b/>
          <w:color w:val="000000" w:themeColor="text1"/>
          <w:szCs w:val="22"/>
          <w:lang w:eastAsia="fr-FR"/>
        </w:rPr>
        <w:t>m</w:t>
      </w:r>
      <w:r w:rsidRPr="007340DC">
        <w:rPr>
          <w:rFonts w:ascii="Times New Roman" w:eastAsia="Times New Roman" w:hAnsi="Times New Roman"/>
          <w:b/>
          <w:color w:val="000000" w:themeColor="text1"/>
          <w:sz w:val="16"/>
          <w:szCs w:val="22"/>
          <w:lang w:eastAsia="fr-FR"/>
        </w:rPr>
        <w:t>e</w:t>
      </w:r>
      <w:proofErr w:type="gramEnd"/>
      <w:r w:rsidRPr="007340DC">
        <w:rPr>
          <w:rFonts w:ascii="Times New Roman" w:eastAsia="Times New Roman" w:hAnsi="Times New Roman"/>
          <w:b/>
          <w:color w:val="000000" w:themeColor="text1"/>
          <w:sz w:val="16"/>
          <w:szCs w:val="22"/>
          <w:lang w:eastAsia="fr-FR"/>
        </w:rPr>
        <w:t xml:space="preserve"> </w:t>
      </w:r>
      <w:r w:rsidRPr="007340DC">
        <w:rPr>
          <w:rFonts w:ascii="Times New Roman" w:eastAsia="Times New Roman" w:hAnsi="Times New Roman"/>
          <w:b/>
          <w:color w:val="000000" w:themeColor="text1"/>
          <w:szCs w:val="22"/>
          <w:lang w:eastAsia="fr-FR"/>
        </w:rPr>
        <w:t>:</w:t>
      </w:r>
      <w:r w:rsidRPr="007340DC">
        <w:rPr>
          <w:rFonts w:ascii="Times New Roman" w:eastAsia="Times New Roman" w:hAnsi="Times New Roman"/>
          <w:color w:val="000000" w:themeColor="text1"/>
          <w:szCs w:val="22"/>
          <w:lang w:eastAsia="fr-FR"/>
        </w:rPr>
        <w:t xml:space="preserve"> </w:t>
      </w:r>
      <w:r w:rsidR="00C92C7A" w:rsidRPr="00C92C7A">
        <w:rPr>
          <w:rFonts w:ascii="Times New Roman" w:eastAsia="Times New Roman" w:hAnsi="Times New Roman"/>
          <w:color w:val="000000" w:themeColor="text1"/>
          <w:szCs w:val="22"/>
          <w:lang w:eastAsia="fr-FR"/>
        </w:rPr>
        <w:t>mass (g) of sample</w:t>
      </w:r>
    </w:p>
    <w:p w14:paraId="2CAD21DE" w14:textId="40B2C9B6" w:rsidR="00914987" w:rsidRPr="00C92C7A" w:rsidRDefault="00914987" w:rsidP="00C92C7A">
      <w:pPr>
        <w:tabs>
          <w:tab w:val="center" w:pos="427"/>
          <w:tab w:val="center" w:pos="3180"/>
        </w:tabs>
        <w:rPr>
          <w:rFonts w:ascii="Times New Roman" w:eastAsia="Times New Roman" w:hAnsi="Times New Roman"/>
          <w:color w:val="000000" w:themeColor="text1"/>
          <w:szCs w:val="22"/>
          <w:lang w:eastAsia="fr-FR"/>
        </w:rPr>
      </w:pPr>
      <w:r w:rsidRPr="007340DC">
        <w:rPr>
          <w:rFonts w:ascii="Times New Roman" w:eastAsia="Times New Roman" w:hAnsi="Times New Roman"/>
          <w:b/>
          <w:color w:val="000000" w:themeColor="text1"/>
          <w:szCs w:val="22"/>
          <w:lang w:eastAsia="fr-FR"/>
        </w:rPr>
        <w:t xml:space="preserve"> </w:t>
      </w:r>
      <w:r w:rsidR="000F65CC" w:rsidRPr="007340DC">
        <w:rPr>
          <w:rFonts w:ascii="Times New Roman" w:eastAsia="Times New Roman" w:hAnsi="Times New Roman"/>
          <w:b/>
          <w:color w:val="000000" w:themeColor="text1"/>
          <w:szCs w:val="22"/>
          <w:lang w:eastAsia="fr-FR"/>
        </w:rPr>
        <w:t>N :</w:t>
      </w:r>
      <w:r w:rsidR="000F65CC" w:rsidRPr="007340DC">
        <w:rPr>
          <w:rFonts w:ascii="Times New Roman" w:eastAsia="Times New Roman" w:hAnsi="Times New Roman"/>
          <w:color w:val="000000" w:themeColor="text1"/>
          <w:szCs w:val="22"/>
          <w:lang w:eastAsia="fr-FR"/>
        </w:rPr>
        <w:t xml:space="preserve"> </w:t>
      </w:r>
      <w:r w:rsidR="00C92C7A" w:rsidRPr="00C92C7A">
        <w:rPr>
          <w:rFonts w:ascii="Times New Roman" w:eastAsia="Times New Roman" w:hAnsi="Times New Roman"/>
          <w:color w:val="000000" w:themeColor="text1"/>
          <w:szCs w:val="22"/>
          <w:lang w:eastAsia="fr-FR"/>
        </w:rPr>
        <w:t>normality of the NaOH (0.1N) solution</w:t>
      </w:r>
    </w:p>
    <w:p w14:paraId="14935866" w14:textId="24211AC9" w:rsidR="00914987" w:rsidRPr="007340DC" w:rsidRDefault="00914987" w:rsidP="00914987">
      <w:pPr>
        <w:tabs>
          <w:tab w:val="center" w:pos="427"/>
          <w:tab w:val="center" w:pos="3180"/>
        </w:tabs>
        <w:rPr>
          <w:rFonts w:ascii="Times New Roman" w:eastAsia="Times New Roman" w:hAnsi="Times New Roman"/>
          <w:color w:val="000000" w:themeColor="text1"/>
          <w:szCs w:val="22"/>
          <w:lang w:eastAsia="fr-FR"/>
        </w:rPr>
      </w:pPr>
      <w:r w:rsidRPr="007340DC">
        <w:rPr>
          <w:rFonts w:ascii="Times New Roman" w:eastAsia="Times New Roman" w:hAnsi="Times New Roman"/>
          <w:b/>
          <w:color w:val="000000" w:themeColor="text1"/>
          <w:szCs w:val="22"/>
          <w:lang w:eastAsia="fr-FR"/>
        </w:rPr>
        <w:t xml:space="preserve"> </w:t>
      </w:r>
      <w:r w:rsidR="000F65CC" w:rsidRPr="007340DC">
        <w:rPr>
          <w:rFonts w:ascii="Times New Roman" w:eastAsia="Times New Roman" w:hAnsi="Times New Roman"/>
          <w:b/>
          <w:color w:val="000000" w:themeColor="text1"/>
          <w:szCs w:val="22"/>
          <w:lang w:eastAsia="fr-FR"/>
        </w:rPr>
        <w:t>AT :</w:t>
      </w:r>
      <w:r w:rsidR="000F65CC" w:rsidRPr="007340DC">
        <w:rPr>
          <w:rFonts w:ascii="Times New Roman" w:eastAsia="Times New Roman" w:hAnsi="Times New Roman"/>
          <w:color w:val="000000" w:themeColor="text1"/>
          <w:szCs w:val="22"/>
          <w:lang w:eastAsia="fr-FR"/>
        </w:rPr>
        <w:t xml:space="preserve"> </w:t>
      </w:r>
      <w:r w:rsidR="00C92C7A" w:rsidRPr="00C92C7A">
        <w:rPr>
          <w:rFonts w:ascii="Times New Roman" w:eastAsia="Times New Roman" w:hAnsi="Times New Roman"/>
          <w:color w:val="000000" w:themeColor="text1"/>
          <w:szCs w:val="22"/>
          <w:lang w:eastAsia="fr-FR"/>
        </w:rPr>
        <w:t>Titratable acidity</w:t>
      </w:r>
    </w:p>
    <w:p w14:paraId="598DC4CA" w14:textId="73B2F1E8" w:rsidR="000F65CC" w:rsidRPr="007340DC" w:rsidRDefault="000F65CC" w:rsidP="00914987">
      <w:pPr>
        <w:tabs>
          <w:tab w:val="center" w:pos="427"/>
          <w:tab w:val="center" w:pos="3180"/>
        </w:tabs>
        <w:rPr>
          <w:rFonts w:ascii="Times New Roman" w:eastAsia="Times New Roman" w:hAnsi="Times New Roman"/>
          <w:color w:val="000000" w:themeColor="text1"/>
          <w:szCs w:val="22"/>
          <w:lang w:eastAsia="fr-FR"/>
        </w:rPr>
      </w:pPr>
      <w:r w:rsidRPr="007340DC">
        <w:rPr>
          <w:rFonts w:ascii="Times New Roman" w:eastAsia="Times New Roman" w:hAnsi="Times New Roman"/>
          <w:color w:val="000000" w:themeColor="text1"/>
          <w:sz w:val="20"/>
          <w:szCs w:val="22"/>
          <w:lang w:eastAsia="fr-FR"/>
        </w:rPr>
        <w:t xml:space="preserve"> </w:t>
      </w:r>
    </w:p>
    <w:p w14:paraId="3DAE55F0" w14:textId="77777777" w:rsidR="00C92C7A" w:rsidRDefault="00C92C7A" w:rsidP="00795C0D">
      <w:pPr>
        <w:spacing w:after="5" w:line="360" w:lineRule="auto"/>
        <w:ind w:left="415" w:right="52" w:firstLine="710"/>
        <w:jc w:val="both"/>
        <w:rPr>
          <w:rFonts w:ascii="Times New Roman" w:eastAsia="Times New Roman" w:hAnsi="Times New Roman"/>
          <w:b/>
          <w:color w:val="000000" w:themeColor="text1"/>
          <w:szCs w:val="22"/>
          <w:lang w:eastAsia="fr-FR"/>
        </w:rPr>
      </w:pPr>
      <w:r w:rsidRPr="00C92C7A">
        <w:rPr>
          <w:rFonts w:ascii="Times New Roman" w:eastAsia="Times New Roman" w:hAnsi="Times New Roman"/>
          <w:b/>
          <w:color w:val="000000" w:themeColor="text1"/>
          <w:szCs w:val="22"/>
          <w:lang w:eastAsia="fr-FR"/>
        </w:rPr>
        <w:t xml:space="preserve">Flavour index </w:t>
      </w:r>
    </w:p>
    <w:p w14:paraId="1305794B" w14:textId="21BB6988" w:rsidR="000F65CC" w:rsidRPr="007340DC" w:rsidRDefault="00C92C7A" w:rsidP="00B86CA7">
      <w:pPr>
        <w:spacing w:after="64" w:line="259" w:lineRule="auto"/>
        <w:ind w:right="1973"/>
        <w:jc w:val="both"/>
        <w:rPr>
          <w:rFonts w:ascii="Times New Roman" w:eastAsia="Times New Roman" w:hAnsi="Times New Roman"/>
          <w:color w:val="000000" w:themeColor="text1"/>
          <w:szCs w:val="22"/>
          <w:lang w:eastAsia="fr-FR"/>
        </w:rPr>
      </w:pPr>
      <w:r w:rsidRPr="00C92C7A">
        <w:rPr>
          <w:rFonts w:ascii="Times New Roman" w:eastAsia="Times New Roman" w:hAnsi="Times New Roman"/>
          <w:color w:val="000000" w:themeColor="text1"/>
          <w:szCs w:val="22"/>
          <w:lang w:eastAsia="fr-FR"/>
        </w:rPr>
        <w:t xml:space="preserve">The flavour index (FI) is the ratio of soluble dry extract (SDE) to titratable acidity (TA). It is calculated using the following </w:t>
      </w:r>
      <w:r w:rsidR="005059D0" w:rsidRPr="00C92C7A">
        <w:rPr>
          <w:rFonts w:ascii="Times New Roman" w:eastAsia="Times New Roman" w:hAnsi="Times New Roman"/>
          <w:color w:val="000000" w:themeColor="text1"/>
          <w:szCs w:val="22"/>
          <w:lang w:eastAsia="fr-FR"/>
        </w:rPr>
        <w:t>formula :</w:t>
      </w:r>
      <w:r w:rsidRPr="00C92C7A">
        <w:rPr>
          <w:rFonts w:ascii="Times New Roman" w:eastAsia="Times New Roman" w:hAnsi="Times New Roman"/>
          <w:color w:val="000000" w:themeColor="text1"/>
          <w:szCs w:val="22"/>
          <w:lang w:eastAsia="fr-FR"/>
        </w:rPr>
        <w:t xml:space="preserve">  </w:t>
      </w:r>
      <w:r w:rsidR="000F65CC" w:rsidRPr="007340DC">
        <w:rPr>
          <w:rFonts w:ascii="Cambria Math" w:eastAsia="Cambria Math" w:hAnsi="Cambria Math" w:cs="Cambria Math"/>
          <w:color w:val="000000" w:themeColor="text1"/>
          <w:sz w:val="16"/>
          <w:szCs w:val="22"/>
          <w:lang w:eastAsia="fr-FR"/>
        </w:rPr>
        <w:t xml:space="preserve"> </w:t>
      </w:r>
    </w:p>
    <w:tbl>
      <w:tblPr>
        <w:tblStyle w:val="TableGrid2"/>
        <w:tblpPr w:vertAnchor="text" w:horzAnchor="page" w:tblpX="3296" w:tblpY="71"/>
        <w:tblOverlap w:val="never"/>
        <w:tblW w:w="1656" w:type="dxa"/>
        <w:tblInd w:w="0" w:type="dxa"/>
        <w:tblCellMar>
          <w:top w:w="89" w:type="dxa"/>
          <w:left w:w="364" w:type="dxa"/>
          <w:right w:w="115" w:type="dxa"/>
        </w:tblCellMar>
        <w:tblLook w:val="04A0" w:firstRow="1" w:lastRow="0" w:firstColumn="1" w:lastColumn="0" w:noHBand="0" w:noVBand="1"/>
      </w:tblPr>
      <w:tblGrid>
        <w:gridCol w:w="1656"/>
      </w:tblGrid>
      <w:tr w:rsidR="007340DC" w:rsidRPr="007340DC" w14:paraId="4E5AD82C" w14:textId="77777777" w:rsidTr="00D36E7C">
        <w:trPr>
          <w:trHeight w:val="728"/>
        </w:trPr>
        <w:tc>
          <w:tcPr>
            <w:tcW w:w="1656" w:type="dxa"/>
          </w:tcPr>
          <w:p w14:paraId="3037C757" w14:textId="77777777" w:rsidR="000F65CC" w:rsidRPr="007340DC" w:rsidRDefault="000F65CC" w:rsidP="000F65CC">
            <w:pPr>
              <w:spacing w:line="259" w:lineRule="auto"/>
              <w:ind w:left="191"/>
              <w:jc w:val="center"/>
              <w:rPr>
                <w:rFonts w:ascii="Times New Roman" w:eastAsia="Times New Roman" w:hAnsi="Times New Roman"/>
                <w:color w:val="000000" w:themeColor="text1"/>
                <w:szCs w:val="22"/>
              </w:rPr>
            </w:pPr>
            <w:r w:rsidRPr="007340DC">
              <w:rPr>
                <w:rFonts w:ascii="Cambria Math" w:eastAsia="Cambria Math" w:hAnsi="Cambria Math" w:cs="Cambria Math"/>
                <w:color w:val="000000" w:themeColor="text1"/>
                <w:szCs w:val="22"/>
              </w:rPr>
              <w:t>𝐼𝑅</w:t>
            </w:r>
          </w:p>
          <w:p w14:paraId="66E7314A" w14:textId="77777777" w:rsidR="000F65CC" w:rsidRPr="007340DC" w:rsidRDefault="000F65CC" w:rsidP="000F65CC">
            <w:pPr>
              <w:spacing w:line="259" w:lineRule="auto"/>
              <w:ind w:left="538" w:right="7" w:hanging="538"/>
              <w:rPr>
                <w:rFonts w:ascii="Times New Roman" w:eastAsia="Times New Roman" w:hAnsi="Times New Roman"/>
                <w:color w:val="000000" w:themeColor="text1"/>
                <w:szCs w:val="22"/>
              </w:rPr>
            </w:pPr>
            <w:r w:rsidRPr="007340DC">
              <w:rPr>
                <w:rFonts w:ascii="Cambria Math" w:eastAsia="Cambria Math" w:hAnsi="Cambria Math" w:cs="Cambria Math"/>
                <w:color w:val="000000" w:themeColor="text1"/>
                <w:szCs w:val="22"/>
              </w:rPr>
              <w:t>𝐼𝑆 =</w:t>
            </w:r>
            <w:r w:rsidRPr="007340DC">
              <w:rPr>
                <w:rFonts w:ascii="Cambria Math" w:eastAsia="Cambria Math" w:hAnsi="Cambria Math" w:cs="Cambria Math"/>
                <w:color w:val="000000" w:themeColor="text1"/>
                <w:szCs w:val="22"/>
              </w:rPr>
              <w:tab/>
            </w:r>
            <w:r w:rsidRPr="007340DC">
              <w:rPr>
                <w:rFonts w:cs="Calibri"/>
                <w:noProof/>
                <w:color w:val="000000" w:themeColor="text1"/>
                <w:sz w:val="22"/>
                <w:szCs w:val="22"/>
                <w:lang w:val="en-US"/>
              </w:rPr>
              <mc:AlternateContent>
                <mc:Choice Requires="wpg">
                  <w:drawing>
                    <wp:inline distT="0" distB="0" distL="0" distR="0" wp14:anchorId="0E23E63B" wp14:editId="12441B89">
                      <wp:extent cx="193548" cy="10668"/>
                      <wp:effectExtent l="0" t="0" r="0" b="0"/>
                      <wp:docPr id="69912" name="Group 69912"/>
                      <wp:cNvGraphicFramePr/>
                      <a:graphic xmlns:a="http://schemas.openxmlformats.org/drawingml/2006/main">
                        <a:graphicData uri="http://schemas.microsoft.com/office/word/2010/wordprocessingGroup">
                          <wpg:wgp>
                            <wpg:cNvGrpSpPr/>
                            <wpg:grpSpPr>
                              <a:xfrm>
                                <a:off x="0" y="0"/>
                                <a:ext cx="193548" cy="10668"/>
                                <a:chOff x="0" y="0"/>
                                <a:chExt cx="193548" cy="10668"/>
                              </a:xfrm>
                            </wpg:grpSpPr>
                            <wps:wsp>
                              <wps:cNvPr id="76558" name="Shape 76558"/>
                              <wps:cNvSpPr/>
                              <wps:spPr>
                                <a:xfrm>
                                  <a:off x="0" y="0"/>
                                  <a:ext cx="193548" cy="10668"/>
                                </a:xfrm>
                                <a:custGeom>
                                  <a:avLst/>
                                  <a:gdLst/>
                                  <a:ahLst/>
                                  <a:cxnLst/>
                                  <a:rect l="0" t="0" r="0" b="0"/>
                                  <a:pathLst>
                                    <a:path w="193548" h="10668">
                                      <a:moveTo>
                                        <a:pt x="0" y="0"/>
                                      </a:moveTo>
                                      <a:lnTo>
                                        <a:pt x="193548" y="0"/>
                                      </a:lnTo>
                                      <a:lnTo>
                                        <a:pt x="193548"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07345C" id="Group 69912" o:spid="_x0000_s1026" style="width:15.25pt;height:.85pt;mso-position-horizontal-relative:char;mso-position-vertical-relative:line" coordsize="19354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">
                      <v:shape id="Shape 76558" o:spid="_x0000_s1027" style="position:absolute;width:193548;height:10668;visibility:visible;mso-wrap-style:square;v-text-anchor:top" coordsize="19354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" path="m,l193548,r,10668l,10668,,e" fillcolor="black" stroked="f" strokeweight="0">
                        <v:stroke miterlimit="83231f" joinstyle="miter"/>
                        <v:path arrowok="t" textboxrect="0,0,193548,10668"/>
                      </v:shape>
                      <w10:anchorlock/>
                    </v:group>
                  </w:pict>
                </mc:Fallback>
              </mc:AlternateContent>
            </w:r>
            <w:r w:rsidRPr="007340DC">
              <w:rPr>
                <w:rFonts w:ascii="Cambria Math" w:eastAsia="Cambria Math" w:hAnsi="Cambria Math" w:cs="Cambria Math"/>
                <w:color w:val="000000" w:themeColor="text1"/>
                <w:szCs w:val="22"/>
                <w:vertAlign w:val="subscript"/>
              </w:rPr>
              <w:t xml:space="preserve"> </w:t>
            </w:r>
            <w:r w:rsidRPr="007340DC">
              <w:rPr>
                <w:rFonts w:ascii="Cambria Math" w:eastAsia="Cambria Math" w:hAnsi="Cambria Math" w:cs="Cambria Math"/>
                <w:color w:val="000000" w:themeColor="text1"/>
                <w:szCs w:val="22"/>
              </w:rPr>
              <w:t>𝐴𝑇</w:t>
            </w:r>
          </w:p>
        </w:tc>
      </w:tr>
    </w:tbl>
    <w:p w14:paraId="540AE98B" w14:textId="3ACE2F49" w:rsidR="000F65CC" w:rsidRPr="007340DC" w:rsidRDefault="000F65CC" w:rsidP="00914987">
      <w:pPr>
        <w:spacing w:line="259" w:lineRule="auto"/>
        <w:ind w:right="2425"/>
        <w:rPr>
          <w:rFonts w:ascii="Times New Roman" w:eastAsia="Times New Roman" w:hAnsi="Times New Roman"/>
          <w:b/>
          <w:color w:val="000000" w:themeColor="text1"/>
          <w:szCs w:val="22"/>
          <w:lang w:eastAsia="fr-FR"/>
        </w:rPr>
      </w:pPr>
      <w:r w:rsidRPr="007340DC">
        <w:rPr>
          <w:rFonts w:ascii="Times New Roman" w:eastAsia="Times New Roman" w:hAnsi="Times New Roman"/>
          <w:b/>
          <w:color w:val="000000" w:themeColor="text1"/>
          <w:szCs w:val="22"/>
          <w:lang w:eastAsia="fr-FR"/>
        </w:rPr>
        <w:t xml:space="preserve"> </w:t>
      </w:r>
    </w:p>
    <w:p w14:paraId="12F8CE4D" w14:textId="6E0F1E16" w:rsidR="000F65CC" w:rsidRPr="007340DC" w:rsidRDefault="000F65CC" w:rsidP="000F65CC">
      <w:pPr>
        <w:spacing w:line="259" w:lineRule="auto"/>
        <w:ind w:left="1135" w:right="2425"/>
        <w:rPr>
          <w:rFonts w:ascii="Times New Roman" w:eastAsia="Times New Roman" w:hAnsi="Times New Roman"/>
          <w:b/>
          <w:color w:val="000000" w:themeColor="text1"/>
          <w:szCs w:val="22"/>
          <w:lang w:eastAsia="fr-FR"/>
        </w:rPr>
      </w:pPr>
    </w:p>
    <w:p w14:paraId="55022215" w14:textId="4DE275A4" w:rsidR="000F65CC" w:rsidRPr="007340DC" w:rsidRDefault="000F65CC" w:rsidP="000F65CC">
      <w:pPr>
        <w:spacing w:line="259" w:lineRule="auto"/>
        <w:ind w:left="1135" w:right="2425"/>
        <w:rPr>
          <w:rFonts w:ascii="Times New Roman" w:eastAsia="Times New Roman" w:hAnsi="Times New Roman"/>
          <w:b/>
          <w:color w:val="000000" w:themeColor="text1"/>
          <w:szCs w:val="22"/>
          <w:lang w:eastAsia="fr-FR"/>
        </w:rPr>
      </w:pPr>
    </w:p>
    <w:p w14:paraId="03C7F1A5" w14:textId="77777777" w:rsidR="000F65CC" w:rsidRPr="007340DC" w:rsidRDefault="000F65CC" w:rsidP="000F65CC">
      <w:pPr>
        <w:spacing w:line="259" w:lineRule="auto"/>
        <w:ind w:left="1135" w:right="2425"/>
        <w:rPr>
          <w:rFonts w:ascii="Times New Roman" w:eastAsia="Times New Roman" w:hAnsi="Times New Roman"/>
          <w:color w:val="000000" w:themeColor="text1"/>
          <w:szCs w:val="22"/>
          <w:lang w:eastAsia="fr-FR"/>
        </w:rPr>
      </w:pPr>
    </w:p>
    <w:p w14:paraId="580A988D" w14:textId="6BD03777" w:rsidR="000F65CC" w:rsidRPr="007340DC" w:rsidRDefault="000F65CC" w:rsidP="00914987">
      <w:pPr>
        <w:tabs>
          <w:tab w:val="center" w:pos="2628"/>
          <w:tab w:val="center" w:pos="5130"/>
          <w:tab w:val="center" w:pos="6467"/>
          <w:tab w:val="right" w:pos="7929"/>
        </w:tabs>
        <w:spacing w:line="259" w:lineRule="auto"/>
        <w:jc w:val="center"/>
        <w:rPr>
          <w:rFonts w:ascii="Times New Roman" w:eastAsia="Times New Roman" w:hAnsi="Times New Roman"/>
          <w:color w:val="000000" w:themeColor="text1"/>
          <w:szCs w:val="22"/>
          <w:lang w:eastAsia="fr-FR"/>
        </w:rPr>
      </w:pPr>
      <w:r w:rsidRPr="007340DC">
        <w:rPr>
          <w:rFonts w:ascii="Times New Roman" w:eastAsia="Times New Roman" w:hAnsi="Times New Roman"/>
          <w:b/>
          <w:color w:val="000000" w:themeColor="text1"/>
          <w:szCs w:val="22"/>
          <w:lang w:eastAsia="fr-FR"/>
        </w:rPr>
        <w:t>IR :</w:t>
      </w:r>
      <w:r w:rsidRPr="007340DC">
        <w:rPr>
          <w:rFonts w:ascii="Times New Roman" w:eastAsia="Times New Roman" w:hAnsi="Times New Roman"/>
          <w:color w:val="000000" w:themeColor="text1"/>
          <w:szCs w:val="22"/>
          <w:lang w:eastAsia="fr-FR"/>
        </w:rPr>
        <w:t xml:space="preserve"> </w:t>
      </w:r>
      <w:r w:rsidR="00C92C7A" w:rsidRPr="00C92C7A">
        <w:rPr>
          <w:rFonts w:ascii="Times New Roman" w:eastAsia="Times New Roman" w:hAnsi="Times New Roman"/>
          <w:color w:val="000000" w:themeColor="text1"/>
          <w:szCs w:val="22"/>
          <w:lang w:eastAsia="fr-FR"/>
        </w:rPr>
        <w:t xml:space="preserve">refractometric index (Brix degree), </w:t>
      </w:r>
      <w:r w:rsidR="00D36E7C" w:rsidRPr="00C92C7A">
        <w:rPr>
          <w:rFonts w:ascii="Times New Roman" w:eastAsia="Times New Roman" w:hAnsi="Times New Roman"/>
          <w:b/>
          <w:color w:val="000000" w:themeColor="text1"/>
          <w:szCs w:val="22"/>
          <w:lang w:eastAsia="fr-FR"/>
        </w:rPr>
        <w:t>TA</w:t>
      </w:r>
      <w:r w:rsidR="00D36E7C" w:rsidRPr="00C92C7A">
        <w:rPr>
          <w:rFonts w:ascii="Times New Roman" w:eastAsia="Times New Roman" w:hAnsi="Times New Roman"/>
          <w:color w:val="000000" w:themeColor="text1"/>
          <w:szCs w:val="22"/>
          <w:lang w:eastAsia="fr-FR"/>
        </w:rPr>
        <w:t xml:space="preserve"> :</w:t>
      </w:r>
      <w:r w:rsidR="00C92C7A" w:rsidRPr="00C92C7A">
        <w:rPr>
          <w:rFonts w:ascii="Times New Roman" w:eastAsia="Times New Roman" w:hAnsi="Times New Roman"/>
          <w:color w:val="000000" w:themeColor="text1"/>
          <w:szCs w:val="22"/>
          <w:lang w:eastAsia="fr-FR"/>
        </w:rPr>
        <w:t xml:space="preserve"> titratable acidity</w:t>
      </w:r>
    </w:p>
    <w:p w14:paraId="6D962A82" w14:textId="07119F77" w:rsidR="00201271" w:rsidRPr="007340DC"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Pr>
          <w:rFonts w:ascii="Times New Roman" w:eastAsia="Times New Roman" w:hAnsi="Times New Roman" w:cs="Times New Roman"/>
          <w:b/>
          <w:i w:val="0"/>
          <w:iCs w:val="0"/>
          <w:color w:val="000000" w:themeColor="text1"/>
          <w:lang w:eastAsia="fr-FR"/>
        </w:rPr>
        <w:t>2</w:t>
      </w:r>
      <w:r w:rsidR="001F6CB5" w:rsidRPr="007340DC">
        <w:rPr>
          <w:rFonts w:ascii="Times New Roman" w:eastAsia="Times New Roman" w:hAnsi="Times New Roman" w:cs="Times New Roman"/>
          <w:b/>
          <w:i w:val="0"/>
          <w:iCs w:val="0"/>
          <w:color w:val="000000" w:themeColor="text1"/>
          <w:lang w:eastAsia="fr-FR"/>
        </w:rPr>
        <w:t xml:space="preserve">.3.4. </w:t>
      </w:r>
      <w:r w:rsidR="00C92C7A" w:rsidRPr="00C92C7A">
        <w:rPr>
          <w:rFonts w:ascii="Times New Roman" w:eastAsia="Times New Roman" w:hAnsi="Times New Roman" w:cs="Times New Roman"/>
          <w:b/>
          <w:i w:val="0"/>
          <w:iCs w:val="0"/>
          <w:color w:val="000000" w:themeColor="text1"/>
          <w:lang w:eastAsia="fr-FR"/>
        </w:rPr>
        <w:t>Data analysis</w:t>
      </w:r>
    </w:p>
    <w:p w14:paraId="7CB18C0F" w14:textId="77777777" w:rsidR="00C92C7A" w:rsidRPr="00B86CA7" w:rsidRDefault="00C92C7A" w:rsidP="00B86CA7">
      <w:pPr>
        <w:spacing w:line="360" w:lineRule="auto"/>
        <w:jc w:val="both"/>
        <w:rPr>
          <w:rFonts w:ascii="Times New Roman" w:hAnsi="Times New Roman"/>
          <w:b/>
        </w:rPr>
      </w:pPr>
      <w:bookmarkStart w:id="12" w:name="_Toc113992317"/>
      <w:r w:rsidRPr="00B86CA7">
        <w:rPr>
          <w:rFonts w:ascii="Times New Roman" w:hAnsi="Times New Roman"/>
        </w:rPr>
        <w:t xml:space="preserve">The data collected was processed using STATISTICA 7.1 software. An ANOVA was used to highlight the effect of the treatments studied. In the event of a significant treatment effect, the Newman-Keuhls test for comparison of means was used to distinguish between the different homogeneous groups of treatments compared. A principal component analysis (PCA) was then performed to distinguish the groups of treatments according to all the parameters. </w:t>
      </w:r>
    </w:p>
    <w:p w14:paraId="583B946E" w14:textId="0C6AC85F" w:rsidR="00201271" w:rsidRPr="00C92C7A" w:rsidRDefault="00EF175D" w:rsidP="00B86CA7">
      <w:pPr>
        <w:pStyle w:val="Heading1"/>
      </w:pPr>
      <w:r>
        <w:t>3</w:t>
      </w:r>
      <w:r w:rsidRPr="007340DC">
        <w:t xml:space="preserve">. </w:t>
      </w:r>
      <w:bookmarkEnd w:id="12"/>
      <w:r w:rsidRPr="00C92C7A">
        <w:t xml:space="preserve">RESULTS </w:t>
      </w:r>
    </w:p>
    <w:p w14:paraId="636D235B" w14:textId="40F9E7E3" w:rsidR="001F6CB5" w:rsidRPr="007340DC" w:rsidRDefault="00EF175D" w:rsidP="00EF175D">
      <w:pPr>
        <w:spacing w:after="240"/>
        <w:rPr>
          <w:rFonts w:ascii="Times New Roman" w:hAnsi="Times New Roman"/>
          <w:b/>
          <w:color w:val="000000" w:themeColor="text1"/>
          <w:lang w:eastAsia="fr-FR"/>
        </w:rPr>
      </w:pPr>
      <w:r>
        <w:rPr>
          <w:rFonts w:ascii="Times New Roman" w:hAnsi="Times New Roman"/>
          <w:b/>
          <w:color w:val="000000" w:themeColor="text1"/>
        </w:rPr>
        <w:t>3</w:t>
      </w:r>
      <w:r w:rsidR="001F6CB5" w:rsidRPr="007340DC">
        <w:rPr>
          <w:rFonts w:ascii="Times New Roman" w:hAnsi="Times New Roman"/>
          <w:b/>
          <w:color w:val="000000" w:themeColor="text1"/>
        </w:rPr>
        <w:t xml:space="preserve">.1. </w:t>
      </w:r>
      <w:r w:rsidR="00C92C7A" w:rsidRPr="00C92C7A">
        <w:rPr>
          <w:rFonts w:ascii="Times New Roman" w:hAnsi="Times New Roman"/>
          <w:b/>
          <w:color w:val="000000" w:themeColor="text1"/>
        </w:rPr>
        <w:t>Results</w:t>
      </w:r>
    </w:p>
    <w:p w14:paraId="00BA2BA4" w14:textId="4CAF28B0" w:rsidR="00201271" w:rsidRPr="007340DC" w:rsidRDefault="00EF175D" w:rsidP="00EA280A">
      <w:pPr>
        <w:pStyle w:val="Heading2"/>
        <w:spacing w:line="360" w:lineRule="auto"/>
        <w:jc w:val="both"/>
        <w:rPr>
          <w:rFonts w:ascii="Times New Roman" w:hAnsi="Times New Roman" w:cs="Times New Roman"/>
          <w:b/>
          <w:color w:val="000000" w:themeColor="text1"/>
          <w:sz w:val="24"/>
          <w:szCs w:val="24"/>
        </w:rPr>
      </w:pPr>
      <w:bookmarkStart w:id="13" w:name="_Toc113992318"/>
      <w:bookmarkStart w:id="14" w:name="_Hlk112852995"/>
      <w:r>
        <w:rPr>
          <w:rFonts w:ascii="Times New Roman" w:hAnsi="Times New Roman" w:cs="Times New Roman"/>
          <w:b/>
          <w:color w:val="000000" w:themeColor="text1"/>
          <w:sz w:val="24"/>
          <w:szCs w:val="24"/>
        </w:rPr>
        <w:t>3</w:t>
      </w:r>
      <w:r w:rsidR="001F6CB5" w:rsidRPr="007340DC">
        <w:rPr>
          <w:rFonts w:ascii="Times New Roman" w:hAnsi="Times New Roman" w:cs="Times New Roman"/>
          <w:b/>
          <w:color w:val="000000" w:themeColor="text1"/>
          <w:sz w:val="24"/>
          <w:szCs w:val="24"/>
        </w:rPr>
        <w:t xml:space="preserve">.1.1. </w:t>
      </w:r>
      <w:bookmarkEnd w:id="13"/>
      <w:r w:rsidR="00C92C7A" w:rsidRPr="00C92C7A">
        <w:rPr>
          <w:rFonts w:ascii="Times New Roman" w:hAnsi="Times New Roman" w:cs="Times New Roman"/>
          <w:b/>
          <w:color w:val="000000" w:themeColor="text1"/>
          <w:sz w:val="24"/>
          <w:szCs w:val="24"/>
        </w:rPr>
        <w:t>Weight loss</w:t>
      </w:r>
    </w:p>
    <w:bookmarkEnd w:id="14"/>
    <w:p w14:paraId="00707897" w14:textId="77777777" w:rsidR="00C92C7A" w:rsidRDefault="00C92C7A" w:rsidP="009437C5">
      <w:pPr>
        <w:spacing w:line="360" w:lineRule="auto"/>
        <w:jc w:val="both"/>
        <w:rPr>
          <w:rFonts w:ascii="Times New Roman" w:hAnsi="Times New Roman"/>
          <w:color w:val="000000" w:themeColor="text1"/>
        </w:rPr>
      </w:pPr>
      <w:r w:rsidRPr="00C92C7A">
        <w:rPr>
          <w:rFonts w:ascii="Times New Roman" w:hAnsi="Times New Roman"/>
          <w:color w:val="000000" w:themeColor="text1"/>
        </w:rPr>
        <w:t xml:space="preserve">Loss of fruit mass was noted and was generally low for all treatments, including the controls. In fact, compared with the initial mass, fruit stored for 15 days at 8°C had a mass loss of around 7 to 9%. However, this loss was not significantly different from one treatment to another (Figure 2). </w:t>
      </w:r>
    </w:p>
    <w:p w14:paraId="108A6748" w14:textId="79FD2B3B" w:rsidR="00201271" w:rsidRPr="007340DC" w:rsidRDefault="00201271" w:rsidP="006005C7">
      <w:pPr>
        <w:spacing w:line="360" w:lineRule="auto"/>
        <w:jc w:val="center"/>
        <w:rPr>
          <w:rFonts w:ascii="Times New Roman" w:hAnsi="Times New Roman"/>
          <w:color w:val="000000" w:themeColor="text1"/>
        </w:rPr>
      </w:pPr>
      <w:r w:rsidRPr="007340DC">
        <w:rPr>
          <w:rFonts w:ascii="Times New Roman" w:hAnsi="Times New Roman"/>
          <w:noProof/>
          <w:color w:val="000000" w:themeColor="text1"/>
          <w:lang w:val="en-US"/>
        </w:rPr>
        <w:lastRenderedPageBreak/>
        <w:drawing>
          <wp:inline distT="0" distB="0" distL="0" distR="0" wp14:anchorId="032F1E75" wp14:editId="6A33C825">
            <wp:extent cx="4165600" cy="2344227"/>
            <wp:effectExtent l="0" t="0" r="6350" b="0"/>
            <wp:docPr id="38" name="Graphique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A8E3D7" w14:textId="1477E5B9" w:rsidR="00201271" w:rsidRPr="007340DC" w:rsidRDefault="00914987" w:rsidP="005059D0">
      <w:pPr>
        <w:spacing w:line="360" w:lineRule="auto"/>
        <w:ind w:left="851"/>
        <w:jc w:val="both"/>
        <w:rPr>
          <w:rFonts w:ascii="Times New Roman" w:hAnsi="Times New Roman"/>
          <w:b/>
          <w:color w:val="000000" w:themeColor="text1"/>
        </w:rPr>
      </w:pPr>
      <w:r w:rsidRPr="007340DC">
        <w:rPr>
          <w:rFonts w:ascii="Times New Roman" w:hAnsi="Times New Roman"/>
          <w:b/>
          <w:color w:val="000000" w:themeColor="text1"/>
        </w:rPr>
        <w:t>Figure 2</w:t>
      </w:r>
      <w:r w:rsidR="005059D0">
        <w:rPr>
          <w:rFonts w:ascii="Times New Roman" w:hAnsi="Times New Roman"/>
          <w:b/>
          <w:color w:val="000000" w:themeColor="text1"/>
        </w:rPr>
        <w:t> :</w:t>
      </w:r>
      <w:r w:rsidR="00201271" w:rsidRPr="007340DC">
        <w:rPr>
          <w:rFonts w:ascii="Times New Roman" w:hAnsi="Times New Roman"/>
          <w:b/>
          <w:color w:val="000000" w:themeColor="text1"/>
        </w:rPr>
        <w:t xml:space="preserve"> </w:t>
      </w:r>
      <w:r w:rsidR="00C92C7A" w:rsidRPr="00C92C7A">
        <w:rPr>
          <w:rFonts w:ascii="Times New Roman" w:hAnsi="Times New Roman"/>
          <w:b/>
          <w:color w:val="000000" w:themeColor="text1"/>
        </w:rPr>
        <w:t>Loss of fruit mass after 21 days, depending on treatment.</w:t>
      </w:r>
    </w:p>
    <w:p w14:paraId="7B37C16B" w14:textId="192A68A8" w:rsidR="009437C5" w:rsidRPr="00DD2EDF" w:rsidRDefault="00C92C7A" w:rsidP="00DD2EDF">
      <w:pPr>
        <w:jc w:val="both"/>
        <w:rPr>
          <w:rFonts w:ascii="Times New Roman" w:eastAsia="Times New Roman" w:hAnsi="Times New Roman"/>
          <w:i/>
          <w:color w:val="000000" w:themeColor="text1"/>
          <w:sz w:val="20"/>
          <w:szCs w:val="20"/>
          <w:lang w:eastAsia="fr-FR"/>
        </w:rPr>
      </w:pPr>
      <w:bookmarkStart w:id="15" w:name="_Toc113992319"/>
      <w:r w:rsidRPr="00DD2EDF">
        <w:rPr>
          <w:rFonts w:ascii="Times New Roman" w:eastAsia="Times New Roman" w:hAnsi="Times New Roman"/>
          <w:i/>
          <w:color w:val="000000" w:themeColor="text1"/>
          <w:sz w:val="20"/>
          <w:szCs w:val="20"/>
          <w:lang w:eastAsia="fr-FR"/>
        </w:rPr>
        <w:t>Treatment 0 (T0): Untreated control, washed with chlorinated water; Treatment 1 (T1): Scholar Max 230 SC reference product at 0.15%; Treatment 2 (T2):</w:t>
      </w:r>
      <w:r w:rsidR="009437C5" w:rsidRPr="00DD2EDF">
        <w:rPr>
          <w:sz w:val="20"/>
          <w:szCs w:val="20"/>
        </w:rPr>
        <w:t xml:space="preserve"> </w:t>
      </w:r>
      <w:r w:rsidR="009437C5" w:rsidRPr="00DD2EDF">
        <w:rPr>
          <w:rFonts w:ascii="Times New Roman" w:eastAsia="Times New Roman" w:hAnsi="Times New Roman"/>
          <w:i/>
          <w:color w:val="000000" w:themeColor="text1"/>
          <w:sz w:val="20"/>
          <w:szCs w:val="20"/>
          <w:lang w:eastAsia="fr-FR"/>
        </w:rPr>
        <w:t xml:space="preserve">wax based on vegetable oils </w:t>
      </w:r>
      <w:r w:rsidRPr="00DD2EDF">
        <w:rPr>
          <w:rFonts w:ascii="Times New Roman" w:eastAsia="Times New Roman" w:hAnsi="Times New Roman"/>
          <w:i/>
          <w:color w:val="000000" w:themeColor="text1"/>
          <w:sz w:val="20"/>
          <w:szCs w:val="20"/>
          <w:lang w:eastAsia="fr-FR"/>
        </w:rPr>
        <w:t xml:space="preserve">at 10%; Treatment 3 (T3): </w:t>
      </w:r>
      <w:r w:rsidR="009437C5" w:rsidRPr="00DD2EDF">
        <w:rPr>
          <w:rFonts w:ascii="Times New Roman" w:eastAsia="Times New Roman" w:hAnsi="Times New Roman"/>
          <w:i/>
          <w:color w:val="000000" w:themeColor="text1"/>
          <w:sz w:val="20"/>
          <w:szCs w:val="20"/>
          <w:lang w:eastAsia="fr-FR"/>
        </w:rPr>
        <w:t xml:space="preserve">wax based on vegetable oils at </w:t>
      </w:r>
      <w:r w:rsidRPr="00DD2EDF">
        <w:rPr>
          <w:rFonts w:ascii="Times New Roman" w:eastAsia="Times New Roman" w:hAnsi="Times New Roman"/>
          <w:i/>
          <w:color w:val="000000" w:themeColor="text1"/>
          <w:sz w:val="20"/>
          <w:szCs w:val="20"/>
          <w:lang w:eastAsia="fr-FR"/>
        </w:rPr>
        <w:t xml:space="preserve">15%; Treatment 4 (T4): </w:t>
      </w:r>
      <w:bookmarkStart w:id="16" w:name="_Hlk194267237"/>
      <w:r w:rsidR="009437C5" w:rsidRPr="00DD2EDF">
        <w:rPr>
          <w:rFonts w:ascii="Times New Roman" w:eastAsia="Times New Roman" w:hAnsi="Times New Roman"/>
          <w:i/>
          <w:color w:val="000000" w:themeColor="text1"/>
          <w:sz w:val="20"/>
          <w:szCs w:val="20"/>
          <w:lang w:eastAsia="fr-FR"/>
        </w:rPr>
        <w:t xml:space="preserve">wax based on vegetable oils </w:t>
      </w:r>
      <w:bookmarkEnd w:id="16"/>
      <w:r w:rsidR="009437C5" w:rsidRPr="00DD2EDF">
        <w:rPr>
          <w:rFonts w:ascii="Times New Roman" w:eastAsia="Times New Roman" w:hAnsi="Times New Roman"/>
          <w:i/>
          <w:color w:val="000000" w:themeColor="text1"/>
          <w:sz w:val="20"/>
          <w:szCs w:val="20"/>
          <w:lang w:eastAsia="fr-FR"/>
        </w:rPr>
        <w:t xml:space="preserve">at </w:t>
      </w:r>
      <w:r w:rsidRPr="00DD2EDF">
        <w:rPr>
          <w:rFonts w:ascii="Times New Roman" w:eastAsia="Times New Roman" w:hAnsi="Times New Roman"/>
          <w:i/>
          <w:color w:val="000000" w:themeColor="text1"/>
          <w:sz w:val="20"/>
          <w:szCs w:val="20"/>
          <w:lang w:eastAsia="fr-FR"/>
        </w:rPr>
        <w:t xml:space="preserve">5%; Treatment 5 (T5): Combination of </w:t>
      </w:r>
      <w:r w:rsidR="009437C5" w:rsidRPr="00DD2EDF">
        <w:rPr>
          <w:rFonts w:ascii="Times New Roman" w:eastAsia="Times New Roman" w:hAnsi="Times New Roman"/>
          <w:i/>
          <w:color w:val="000000" w:themeColor="text1"/>
          <w:sz w:val="20"/>
          <w:szCs w:val="20"/>
          <w:lang w:eastAsia="fr-FR"/>
        </w:rPr>
        <w:t xml:space="preserve">the wax based on vegetable oils at </w:t>
      </w:r>
      <w:r w:rsidRPr="00DD2EDF">
        <w:rPr>
          <w:rFonts w:ascii="Times New Roman" w:eastAsia="Times New Roman" w:hAnsi="Times New Roman"/>
          <w:i/>
          <w:color w:val="000000" w:themeColor="text1"/>
          <w:sz w:val="20"/>
          <w:szCs w:val="20"/>
          <w:lang w:eastAsia="fr-FR"/>
        </w:rPr>
        <w:t xml:space="preserve">10% and the reference product, Scholar Max 230 SC at 0.15%. </w:t>
      </w:r>
    </w:p>
    <w:p w14:paraId="71762304" w14:textId="30A313B5" w:rsidR="001F6CB5" w:rsidRPr="00136D99" w:rsidRDefault="00C92C7A" w:rsidP="00DD2EDF">
      <w:pPr>
        <w:spacing w:after="240"/>
        <w:jc w:val="both"/>
        <w:rPr>
          <w:rFonts w:ascii="Times New Roman" w:eastAsia="Times New Roman" w:hAnsi="Times New Roman"/>
          <w:i/>
          <w:color w:val="000000" w:themeColor="text1"/>
          <w:sz w:val="18"/>
          <w:szCs w:val="18"/>
          <w:lang w:eastAsia="fr-FR"/>
        </w:rPr>
      </w:pPr>
      <w:r w:rsidRPr="00DD2EDF">
        <w:rPr>
          <w:rFonts w:ascii="Times New Roman" w:eastAsia="Times New Roman" w:hAnsi="Times New Roman"/>
          <w:i/>
          <w:color w:val="000000" w:themeColor="text1"/>
          <w:sz w:val="20"/>
          <w:szCs w:val="20"/>
          <w:lang w:eastAsia="fr-FR"/>
        </w:rPr>
        <w:t>Error bars topped by the same letters are statistically identical according to the Newman-Keuls test at the α=0.05 threshold</w:t>
      </w:r>
      <w:r w:rsidRPr="00136D99">
        <w:rPr>
          <w:rFonts w:ascii="Times New Roman" w:eastAsia="Times New Roman" w:hAnsi="Times New Roman"/>
          <w:i/>
          <w:color w:val="000000" w:themeColor="text1"/>
          <w:sz w:val="18"/>
          <w:szCs w:val="18"/>
          <w:lang w:eastAsia="fr-FR"/>
        </w:rPr>
        <w:t>.</w:t>
      </w:r>
    </w:p>
    <w:p w14:paraId="1F765512" w14:textId="2B25077D" w:rsidR="00201271" w:rsidRPr="007340DC" w:rsidRDefault="00EF175D" w:rsidP="00EA280A">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B20C9E" w:rsidRPr="007340DC">
        <w:rPr>
          <w:rFonts w:ascii="Times New Roman" w:hAnsi="Times New Roman" w:cs="Times New Roman"/>
          <w:b/>
          <w:color w:val="000000" w:themeColor="text1"/>
          <w:sz w:val="24"/>
          <w:szCs w:val="24"/>
        </w:rPr>
        <w:t xml:space="preserve">.1.2. </w:t>
      </w:r>
      <w:bookmarkEnd w:id="15"/>
      <w:r w:rsidR="00C92C7A" w:rsidRPr="00C92C7A">
        <w:rPr>
          <w:rFonts w:ascii="Times New Roman" w:hAnsi="Times New Roman" w:cs="Times New Roman"/>
          <w:b/>
          <w:color w:val="000000" w:themeColor="text1"/>
          <w:sz w:val="24"/>
          <w:szCs w:val="24"/>
        </w:rPr>
        <w:t>Firmness of fruit</w:t>
      </w:r>
    </w:p>
    <w:p w14:paraId="13F0295D" w14:textId="3D2EC0FA" w:rsidR="00C92C7A" w:rsidRDefault="00C92C7A" w:rsidP="00EA280A">
      <w:pPr>
        <w:spacing w:line="360" w:lineRule="auto"/>
        <w:jc w:val="both"/>
        <w:rPr>
          <w:rFonts w:ascii="Times New Roman" w:hAnsi="Times New Roman"/>
          <w:color w:val="000000" w:themeColor="text1"/>
        </w:rPr>
      </w:pPr>
      <w:r w:rsidRPr="00C92C7A">
        <w:rPr>
          <w:rFonts w:ascii="Times New Roman" w:hAnsi="Times New Roman"/>
          <w:color w:val="000000" w:themeColor="text1"/>
        </w:rPr>
        <w:t>The firmness of the treated fruit varied from 4.76 to 2.74 kg from the time it left the cold room to the end of the experiments (Table 1).  Fruit from treatment T3 (</w:t>
      </w:r>
      <w:r w:rsidR="009437C5" w:rsidRPr="009437C5">
        <w:rPr>
          <w:rFonts w:ascii="Times New Roman" w:hAnsi="Times New Roman"/>
          <w:color w:val="000000" w:themeColor="text1"/>
        </w:rPr>
        <w:t xml:space="preserve">the wax based on vegetable oils </w:t>
      </w:r>
      <w:r w:rsidRPr="009437C5">
        <w:rPr>
          <w:rFonts w:ascii="Times New Roman" w:hAnsi="Times New Roman"/>
          <w:color w:val="000000" w:themeColor="text1"/>
        </w:rPr>
        <w:t>15%)</w:t>
      </w:r>
      <w:r w:rsidRPr="00C92C7A">
        <w:rPr>
          <w:rFonts w:ascii="Times New Roman" w:hAnsi="Times New Roman"/>
          <w:color w:val="000000" w:themeColor="text1"/>
        </w:rPr>
        <w:t xml:space="preserve"> was the least firm, with an average value of 3.29 kg. On the other hand, treatment T5 (3.74 kg) recorded fruit with the same firmness as the reference treatment T1 (3.70 kg). This firmness was statistically identical to that of treatments T2 and T4 (Table 1). Regarding the rate of loss of firmness, fruit from treatment T4 showed the lowest rate (8.29%), followed by those from treatment T5 (18.82%). The reference treatments T1, T0 and T2 showed a high rate of loss of firmness (37.61%, 3</w:t>
      </w:r>
      <w:r w:rsidR="00B86CA7">
        <w:rPr>
          <w:rFonts w:ascii="Times New Roman" w:hAnsi="Times New Roman"/>
          <w:color w:val="000000" w:themeColor="text1"/>
        </w:rPr>
        <w:t>9.53% and 37.61% respectively).</w:t>
      </w:r>
    </w:p>
    <w:p w14:paraId="4A0FB701" w14:textId="77777777" w:rsidR="00B86CA7" w:rsidRPr="005059D0" w:rsidRDefault="00B86CA7" w:rsidP="00EA280A">
      <w:pPr>
        <w:spacing w:line="360" w:lineRule="auto"/>
        <w:jc w:val="both"/>
        <w:rPr>
          <w:rFonts w:ascii="Times New Roman" w:hAnsi="Times New Roman"/>
          <w:color w:val="000000" w:themeColor="text1"/>
          <w:sz w:val="18"/>
          <w:szCs w:val="18"/>
        </w:rPr>
      </w:pPr>
    </w:p>
    <w:p w14:paraId="5739BBB2" w14:textId="616031FF" w:rsidR="00201271" w:rsidRPr="00DD2EDF" w:rsidRDefault="00A92D29" w:rsidP="00EA280A">
      <w:pPr>
        <w:spacing w:line="360" w:lineRule="auto"/>
        <w:jc w:val="both"/>
        <w:rPr>
          <w:rFonts w:ascii="Times New Roman" w:hAnsi="Times New Roman"/>
          <w:b/>
          <w:bCs/>
          <w:color w:val="000000" w:themeColor="text1"/>
        </w:rPr>
      </w:pPr>
      <w:r w:rsidRPr="00DD2EDF">
        <w:rPr>
          <w:rFonts w:ascii="Times New Roman" w:hAnsi="Times New Roman"/>
          <w:b/>
          <w:bCs/>
          <w:color w:val="000000" w:themeColor="text1"/>
        </w:rPr>
        <w:t>Table 1: Firmness of mangoes after treatment as a function of time (days)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09"/>
        <w:gridCol w:w="1043"/>
        <w:gridCol w:w="1134"/>
        <w:gridCol w:w="1134"/>
        <w:gridCol w:w="1148"/>
        <w:gridCol w:w="3093"/>
      </w:tblGrid>
      <w:tr w:rsidR="007340DC" w:rsidRPr="007340DC" w14:paraId="69C88582" w14:textId="77777777" w:rsidTr="00217573">
        <w:trPr>
          <w:trHeight w:val="150"/>
        </w:trPr>
        <w:tc>
          <w:tcPr>
            <w:tcW w:w="1509" w:type="dxa"/>
            <w:vMerge w:val="restart"/>
            <w:vAlign w:val="center"/>
          </w:tcPr>
          <w:p w14:paraId="7597B4FB" w14:textId="65C2DAB1" w:rsidR="00201271" w:rsidRPr="007340DC" w:rsidRDefault="00A92D29" w:rsidP="00217573">
            <w:pPr>
              <w:spacing w:line="360" w:lineRule="auto"/>
              <w:jc w:val="center"/>
              <w:rPr>
                <w:rFonts w:ascii="Times New Roman" w:hAnsi="Times New Roman"/>
                <w:color w:val="000000" w:themeColor="text1"/>
              </w:rPr>
            </w:pPr>
            <w:r>
              <w:rPr>
                <w:rFonts w:ascii="Times New Roman" w:hAnsi="Times New Roman"/>
                <w:color w:val="000000" w:themeColor="text1"/>
              </w:rPr>
              <w:t>T</w:t>
            </w:r>
            <w:r w:rsidRPr="00C92C7A">
              <w:rPr>
                <w:rFonts w:ascii="Times New Roman" w:hAnsi="Times New Roman"/>
                <w:color w:val="000000" w:themeColor="text1"/>
              </w:rPr>
              <w:t>reatment</w:t>
            </w:r>
          </w:p>
        </w:tc>
        <w:tc>
          <w:tcPr>
            <w:tcW w:w="4459" w:type="dxa"/>
            <w:gridSpan w:val="4"/>
            <w:vAlign w:val="center"/>
          </w:tcPr>
          <w:p w14:paraId="58070787" w14:textId="49E8CEF3" w:rsidR="00201271" w:rsidRPr="007340DC" w:rsidRDefault="00A92D29" w:rsidP="00217573">
            <w:pPr>
              <w:spacing w:line="360" w:lineRule="auto"/>
              <w:jc w:val="center"/>
              <w:rPr>
                <w:rFonts w:ascii="Times New Roman" w:hAnsi="Times New Roman"/>
                <w:color w:val="000000" w:themeColor="text1"/>
              </w:rPr>
            </w:pPr>
            <w:r w:rsidRPr="00A92D29">
              <w:rPr>
                <w:rFonts w:ascii="Times New Roman" w:hAnsi="Times New Roman"/>
                <w:color w:val="000000" w:themeColor="text1"/>
              </w:rPr>
              <w:t xml:space="preserve">Firmness </w:t>
            </w:r>
            <w:r w:rsidR="00201271" w:rsidRPr="007340DC">
              <w:rPr>
                <w:rFonts w:ascii="Times New Roman" w:hAnsi="Times New Roman"/>
                <w:color w:val="000000" w:themeColor="text1"/>
              </w:rPr>
              <w:t>(kg)</w:t>
            </w:r>
          </w:p>
        </w:tc>
        <w:tc>
          <w:tcPr>
            <w:tcW w:w="3093" w:type="dxa"/>
            <w:vMerge w:val="restart"/>
            <w:vAlign w:val="center"/>
          </w:tcPr>
          <w:p w14:paraId="20B8BA1C" w14:textId="2A8EFB94" w:rsidR="00201271" w:rsidRPr="007340DC" w:rsidRDefault="00A92D29" w:rsidP="00217573">
            <w:pPr>
              <w:spacing w:line="360" w:lineRule="auto"/>
              <w:jc w:val="center"/>
              <w:rPr>
                <w:rFonts w:ascii="Times New Roman" w:hAnsi="Times New Roman"/>
                <w:color w:val="000000" w:themeColor="text1"/>
              </w:rPr>
            </w:pPr>
            <w:r w:rsidRPr="00A92D29">
              <w:rPr>
                <w:rFonts w:ascii="Times New Roman" w:hAnsi="Times New Roman"/>
                <w:color w:val="000000" w:themeColor="text1"/>
              </w:rPr>
              <w:t xml:space="preserve">Loss of firmness </w:t>
            </w:r>
            <w:r w:rsidR="00201271" w:rsidRPr="007340DC">
              <w:rPr>
                <w:rFonts w:ascii="Times New Roman" w:hAnsi="Times New Roman"/>
                <w:color w:val="000000" w:themeColor="text1"/>
              </w:rPr>
              <w:t>(%)</w:t>
            </w:r>
          </w:p>
        </w:tc>
      </w:tr>
      <w:tr w:rsidR="007340DC" w:rsidRPr="007340DC" w14:paraId="0BA22ECD" w14:textId="77777777" w:rsidTr="00217573">
        <w:tc>
          <w:tcPr>
            <w:tcW w:w="1509" w:type="dxa"/>
            <w:vMerge/>
            <w:tcBorders>
              <w:bottom w:val="single" w:sz="4" w:space="0" w:color="auto"/>
            </w:tcBorders>
            <w:vAlign w:val="center"/>
          </w:tcPr>
          <w:p w14:paraId="4CB6B50D" w14:textId="77777777" w:rsidR="00201271" w:rsidRPr="007340DC" w:rsidRDefault="00201271" w:rsidP="00217573">
            <w:pPr>
              <w:spacing w:line="360" w:lineRule="auto"/>
              <w:jc w:val="center"/>
              <w:rPr>
                <w:rFonts w:ascii="Times New Roman" w:hAnsi="Times New Roman"/>
                <w:color w:val="000000" w:themeColor="text1"/>
              </w:rPr>
            </w:pPr>
          </w:p>
        </w:tc>
        <w:tc>
          <w:tcPr>
            <w:tcW w:w="1043" w:type="dxa"/>
            <w:tcBorders>
              <w:bottom w:val="single" w:sz="4" w:space="0" w:color="auto"/>
            </w:tcBorders>
            <w:vAlign w:val="center"/>
          </w:tcPr>
          <w:p w14:paraId="184C91FC" w14:textId="46267E3C"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color w:val="000000" w:themeColor="text1"/>
              </w:rPr>
              <w:t>16</w:t>
            </w:r>
            <w:r w:rsidR="009437C5">
              <w:rPr>
                <w:rFonts w:ascii="Times New Roman" w:hAnsi="Times New Roman"/>
                <w:color w:val="000000" w:themeColor="text1"/>
              </w:rPr>
              <w:t xml:space="preserve"> days</w:t>
            </w:r>
          </w:p>
        </w:tc>
        <w:tc>
          <w:tcPr>
            <w:tcW w:w="1134" w:type="dxa"/>
            <w:tcBorders>
              <w:bottom w:val="single" w:sz="4" w:space="0" w:color="auto"/>
            </w:tcBorders>
            <w:vAlign w:val="center"/>
          </w:tcPr>
          <w:p w14:paraId="4C89375B" w14:textId="4043DBCF"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color w:val="000000" w:themeColor="text1"/>
              </w:rPr>
              <w:t>18</w:t>
            </w:r>
            <w:r w:rsidR="009437C5">
              <w:rPr>
                <w:rFonts w:ascii="Times New Roman" w:hAnsi="Times New Roman"/>
                <w:color w:val="000000" w:themeColor="text1"/>
              </w:rPr>
              <w:t xml:space="preserve"> days</w:t>
            </w:r>
          </w:p>
        </w:tc>
        <w:tc>
          <w:tcPr>
            <w:tcW w:w="1134" w:type="dxa"/>
            <w:tcBorders>
              <w:bottom w:val="single" w:sz="4" w:space="0" w:color="auto"/>
            </w:tcBorders>
            <w:vAlign w:val="center"/>
          </w:tcPr>
          <w:p w14:paraId="471D6A7C" w14:textId="1C82A3E8"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color w:val="000000" w:themeColor="text1"/>
              </w:rPr>
              <w:t>20</w:t>
            </w:r>
            <w:r w:rsidR="009437C5">
              <w:rPr>
                <w:rFonts w:ascii="Times New Roman" w:hAnsi="Times New Roman"/>
                <w:color w:val="000000" w:themeColor="text1"/>
              </w:rPr>
              <w:t xml:space="preserve"> days</w:t>
            </w:r>
          </w:p>
        </w:tc>
        <w:tc>
          <w:tcPr>
            <w:tcW w:w="1148" w:type="dxa"/>
            <w:tcBorders>
              <w:bottom w:val="single" w:sz="4" w:space="0" w:color="auto"/>
            </w:tcBorders>
            <w:vAlign w:val="center"/>
          </w:tcPr>
          <w:p w14:paraId="4E8AFB60" w14:textId="1705BA5F" w:rsidR="00201271" w:rsidRPr="007340DC" w:rsidRDefault="00A92D29" w:rsidP="00217573">
            <w:pPr>
              <w:spacing w:line="360" w:lineRule="auto"/>
              <w:jc w:val="center"/>
              <w:rPr>
                <w:rFonts w:ascii="Times New Roman" w:hAnsi="Times New Roman"/>
                <w:color w:val="000000" w:themeColor="text1"/>
              </w:rPr>
            </w:pPr>
            <w:r w:rsidRPr="00A92D29">
              <w:rPr>
                <w:rFonts w:ascii="Times New Roman" w:hAnsi="Times New Roman"/>
                <w:color w:val="000000" w:themeColor="text1"/>
              </w:rPr>
              <w:t>Average</w:t>
            </w:r>
          </w:p>
        </w:tc>
        <w:tc>
          <w:tcPr>
            <w:tcW w:w="3093" w:type="dxa"/>
            <w:vMerge/>
            <w:tcBorders>
              <w:bottom w:val="single" w:sz="4" w:space="0" w:color="auto"/>
            </w:tcBorders>
            <w:vAlign w:val="center"/>
          </w:tcPr>
          <w:p w14:paraId="44DA7408" w14:textId="77777777" w:rsidR="00201271" w:rsidRPr="007340DC" w:rsidRDefault="00201271" w:rsidP="00217573">
            <w:pPr>
              <w:spacing w:line="360" w:lineRule="auto"/>
              <w:jc w:val="center"/>
              <w:rPr>
                <w:rFonts w:ascii="Times New Roman" w:hAnsi="Times New Roman"/>
                <w:color w:val="000000" w:themeColor="text1"/>
              </w:rPr>
            </w:pPr>
          </w:p>
        </w:tc>
      </w:tr>
      <w:tr w:rsidR="007340DC" w:rsidRPr="007340DC" w14:paraId="32318E13" w14:textId="77777777" w:rsidTr="00217573">
        <w:tc>
          <w:tcPr>
            <w:tcW w:w="1509" w:type="dxa"/>
            <w:tcBorders>
              <w:bottom w:val="nil"/>
            </w:tcBorders>
            <w:vAlign w:val="center"/>
          </w:tcPr>
          <w:p w14:paraId="67EA246B"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T0</w:t>
            </w:r>
          </w:p>
        </w:tc>
        <w:tc>
          <w:tcPr>
            <w:tcW w:w="1043" w:type="dxa"/>
            <w:tcBorders>
              <w:bottom w:val="nil"/>
            </w:tcBorders>
            <w:vAlign w:val="center"/>
          </w:tcPr>
          <w:p w14:paraId="1C8414AF" w14:textId="0DB43D91"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4,38</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bottom w:val="nil"/>
            </w:tcBorders>
            <w:vAlign w:val="center"/>
          </w:tcPr>
          <w:p w14:paraId="121A4210"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2,94 b</w:t>
            </w:r>
          </w:p>
        </w:tc>
        <w:tc>
          <w:tcPr>
            <w:tcW w:w="1134" w:type="dxa"/>
            <w:tcBorders>
              <w:bottom w:val="nil"/>
            </w:tcBorders>
            <w:vAlign w:val="center"/>
          </w:tcPr>
          <w:p w14:paraId="1465140A"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 ,68 b</w:t>
            </w:r>
          </w:p>
        </w:tc>
        <w:tc>
          <w:tcPr>
            <w:tcW w:w="1148" w:type="dxa"/>
            <w:tcBorders>
              <w:bottom w:val="nil"/>
            </w:tcBorders>
            <w:vAlign w:val="center"/>
          </w:tcPr>
          <w:p w14:paraId="04BE8E44"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3,34 b</w:t>
            </w:r>
          </w:p>
        </w:tc>
        <w:tc>
          <w:tcPr>
            <w:tcW w:w="3093" w:type="dxa"/>
            <w:tcBorders>
              <w:bottom w:val="nil"/>
            </w:tcBorders>
            <w:vAlign w:val="center"/>
          </w:tcPr>
          <w:p w14:paraId="1D6476E2"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39,53 c</w:t>
            </w:r>
          </w:p>
        </w:tc>
      </w:tr>
      <w:tr w:rsidR="007340DC" w:rsidRPr="007340DC" w14:paraId="0D58EC41" w14:textId="77777777" w:rsidTr="00217573">
        <w:tc>
          <w:tcPr>
            <w:tcW w:w="1509" w:type="dxa"/>
            <w:tcBorders>
              <w:top w:val="nil"/>
              <w:bottom w:val="nil"/>
            </w:tcBorders>
            <w:vAlign w:val="center"/>
          </w:tcPr>
          <w:p w14:paraId="32243DCE"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T1</w:t>
            </w:r>
          </w:p>
        </w:tc>
        <w:tc>
          <w:tcPr>
            <w:tcW w:w="1043" w:type="dxa"/>
            <w:tcBorders>
              <w:top w:val="nil"/>
              <w:bottom w:val="nil"/>
            </w:tcBorders>
            <w:vAlign w:val="center"/>
          </w:tcPr>
          <w:p w14:paraId="3363C594" w14:textId="56AAAA7B"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4,76</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top w:val="nil"/>
              <w:bottom w:val="nil"/>
            </w:tcBorders>
            <w:vAlign w:val="center"/>
          </w:tcPr>
          <w:p w14:paraId="159F8C05" w14:textId="7F6CBD48"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3,36</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34" w:type="dxa"/>
            <w:tcBorders>
              <w:top w:val="nil"/>
              <w:bottom w:val="nil"/>
            </w:tcBorders>
            <w:vAlign w:val="center"/>
          </w:tcPr>
          <w:p w14:paraId="24CB59B6"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2,97ab</w:t>
            </w:r>
          </w:p>
        </w:tc>
        <w:tc>
          <w:tcPr>
            <w:tcW w:w="1148" w:type="dxa"/>
            <w:tcBorders>
              <w:top w:val="nil"/>
              <w:bottom w:val="nil"/>
            </w:tcBorders>
            <w:vAlign w:val="center"/>
          </w:tcPr>
          <w:p w14:paraId="283D4FF2"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3,70a</w:t>
            </w:r>
          </w:p>
        </w:tc>
        <w:tc>
          <w:tcPr>
            <w:tcW w:w="3093" w:type="dxa"/>
            <w:tcBorders>
              <w:top w:val="nil"/>
              <w:bottom w:val="nil"/>
            </w:tcBorders>
            <w:vAlign w:val="center"/>
          </w:tcPr>
          <w:p w14:paraId="5330AC90"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37,61 c</w:t>
            </w:r>
          </w:p>
        </w:tc>
      </w:tr>
      <w:tr w:rsidR="007340DC" w:rsidRPr="007340DC" w14:paraId="6AB45586" w14:textId="77777777" w:rsidTr="00217573">
        <w:tc>
          <w:tcPr>
            <w:tcW w:w="1509" w:type="dxa"/>
            <w:tcBorders>
              <w:top w:val="nil"/>
              <w:bottom w:val="nil"/>
            </w:tcBorders>
            <w:vAlign w:val="center"/>
          </w:tcPr>
          <w:p w14:paraId="276C2838"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T2</w:t>
            </w:r>
          </w:p>
        </w:tc>
        <w:tc>
          <w:tcPr>
            <w:tcW w:w="1043" w:type="dxa"/>
            <w:tcBorders>
              <w:top w:val="nil"/>
              <w:bottom w:val="nil"/>
            </w:tcBorders>
            <w:vAlign w:val="center"/>
          </w:tcPr>
          <w:p w14:paraId="7B4FC56E" w14:textId="6C5B2379"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4,25</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top w:val="nil"/>
              <w:bottom w:val="nil"/>
            </w:tcBorders>
            <w:vAlign w:val="center"/>
          </w:tcPr>
          <w:p w14:paraId="3E560C0A" w14:textId="09A67BC1"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3,20</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34" w:type="dxa"/>
            <w:tcBorders>
              <w:top w:val="nil"/>
              <w:bottom w:val="nil"/>
            </w:tcBorders>
            <w:vAlign w:val="center"/>
          </w:tcPr>
          <w:p w14:paraId="0618B7E0" w14:textId="3E216F7F"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2,91</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48" w:type="dxa"/>
            <w:tcBorders>
              <w:top w:val="nil"/>
              <w:bottom w:val="nil"/>
            </w:tcBorders>
            <w:vAlign w:val="center"/>
          </w:tcPr>
          <w:p w14:paraId="7D52B07D"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3,45ab</w:t>
            </w:r>
          </w:p>
        </w:tc>
        <w:tc>
          <w:tcPr>
            <w:tcW w:w="3093" w:type="dxa"/>
            <w:tcBorders>
              <w:top w:val="nil"/>
              <w:bottom w:val="nil"/>
            </w:tcBorders>
            <w:vAlign w:val="center"/>
          </w:tcPr>
          <w:p w14:paraId="68499A60"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31,53 c</w:t>
            </w:r>
          </w:p>
        </w:tc>
      </w:tr>
      <w:tr w:rsidR="007340DC" w:rsidRPr="007340DC" w14:paraId="2FA0D91D" w14:textId="77777777" w:rsidTr="00217573">
        <w:tc>
          <w:tcPr>
            <w:tcW w:w="1509" w:type="dxa"/>
            <w:tcBorders>
              <w:top w:val="nil"/>
              <w:bottom w:val="nil"/>
            </w:tcBorders>
            <w:vAlign w:val="center"/>
          </w:tcPr>
          <w:p w14:paraId="2341F12A"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T3</w:t>
            </w:r>
          </w:p>
        </w:tc>
        <w:tc>
          <w:tcPr>
            <w:tcW w:w="1043" w:type="dxa"/>
            <w:tcBorders>
              <w:top w:val="nil"/>
              <w:bottom w:val="nil"/>
            </w:tcBorders>
            <w:vAlign w:val="center"/>
          </w:tcPr>
          <w:p w14:paraId="33CD98EC" w14:textId="478A353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3,75 b</w:t>
            </w:r>
          </w:p>
        </w:tc>
        <w:tc>
          <w:tcPr>
            <w:tcW w:w="1134" w:type="dxa"/>
            <w:tcBorders>
              <w:top w:val="nil"/>
              <w:bottom w:val="nil"/>
            </w:tcBorders>
            <w:vAlign w:val="center"/>
          </w:tcPr>
          <w:p w14:paraId="71706634" w14:textId="52E653AF"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3,39</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34" w:type="dxa"/>
            <w:tcBorders>
              <w:top w:val="nil"/>
              <w:bottom w:val="nil"/>
            </w:tcBorders>
            <w:vAlign w:val="center"/>
          </w:tcPr>
          <w:p w14:paraId="000DDC3F" w14:textId="3B156070"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2,74</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48" w:type="dxa"/>
            <w:tcBorders>
              <w:top w:val="nil"/>
              <w:bottom w:val="nil"/>
            </w:tcBorders>
            <w:vAlign w:val="center"/>
          </w:tcPr>
          <w:p w14:paraId="2EC6FA09"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3,29 b</w:t>
            </w:r>
          </w:p>
        </w:tc>
        <w:tc>
          <w:tcPr>
            <w:tcW w:w="3093" w:type="dxa"/>
            <w:tcBorders>
              <w:top w:val="nil"/>
              <w:bottom w:val="nil"/>
            </w:tcBorders>
            <w:vAlign w:val="center"/>
          </w:tcPr>
          <w:p w14:paraId="2272F800"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26,93 bc</w:t>
            </w:r>
          </w:p>
        </w:tc>
      </w:tr>
      <w:tr w:rsidR="007340DC" w:rsidRPr="007340DC" w14:paraId="0510746C" w14:textId="77777777" w:rsidTr="00217573">
        <w:tc>
          <w:tcPr>
            <w:tcW w:w="1509" w:type="dxa"/>
            <w:tcBorders>
              <w:top w:val="nil"/>
              <w:bottom w:val="nil"/>
            </w:tcBorders>
            <w:vAlign w:val="center"/>
          </w:tcPr>
          <w:p w14:paraId="48B60174"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T4</w:t>
            </w:r>
          </w:p>
        </w:tc>
        <w:tc>
          <w:tcPr>
            <w:tcW w:w="1043" w:type="dxa"/>
            <w:tcBorders>
              <w:top w:val="nil"/>
              <w:bottom w:val="nil"/>
            </w:tcBorders>
            <w:vAlign w:val="center"/>
          </w:tcPr>
          <w:p w14:paraId="0962A9C4"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3,62 b</w:t>
            </w:r>
          </w:p>
        </w:tc>
        <w:tc>
          <w:tcPr>
            <w:tcW w:w="1134" w:type="dxa"/>
            <w:tcBorders>
              <w:top w:val="nil"/>
              <w:bottom w:val="nil"/>
            </w:tcBorders>
            <w:vAlign w:val="center"/>
          </w:tcPr>
          <w:p w14:paraId="291789E3" w14:textId="69253FBB"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3,50</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top w:val="nil"/>
              <w:bottom w:val="nil"/>
            </w:tcBorders>
            <w:vAlign w:val="center"/>
          </w:tcPr>
          <w:p w14:paraId="0711A076" w14:textId="01126E12"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3,32</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48" w:type="dxa"/>
            <w:tcBorders>
              <w:top w:val="nil"/>
              <w:bottom w:val="nil"/>
            </w:tcBorders>
            <w:vAlign w:val="center"/>
          </w:tcPr>
          <w:p w14:paraId="4A457DEC" w14:textId="23BF3308"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3,49</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3093" w:type="dxa"/>
            <w:tcBorders>
              <w:top w:val="nil"/>
              <w:bottom w:val="nil"/>
            </w:tcBorders>
            <w:vAlign w:val="center"/>
          </w:tcPr>
          <w:p w14:paraId="66FCA345" w14:textId="4670F601"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8,29</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r>
      <w:tr w:rsidR="007340DC" w:rsidRPr="007340DC" w14:paraId="441FED60" w14:textId="77777777" w:rsidTr="00DB5B70">
        <w:tc>
          <w:tcPr>
            <w:tcW w:w="1509" w:type="dxa"/>
            <w:tcBorders>
              <w:top w:val="nil"/>
              <w:bottom w:val="nil"/>
            </w:tcBorders>
            <w:vAlign w:val="center"/>
          </w:tcPr>
          <w:p w14:paraId="634F0B5B"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T5</w:t>
            </w:r>
          </w:p>
        </w:tc>
        <w:tc>
          <w:tcPr>
            <w:tcW w:w="1043" w:type="dxa"/>
            <w:tcBorders>
              <w:top w:val="nil"/>
              <w:bottom w:val="nil"/>
            </w:tcBorders>
            <w:vAlign w:val="center"/>
          </w:tcPr>
          <w:p w14:paraId="6A737DC5"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4,25a</w:t>
            </w:r>
          </w:p>
        </w:tc>
        <w:tc>
          <w:tcPr>
            <w:tcW w:w="1134" w:type="dxa"/>
            <w:tcBorders>
              <w:top w:val="nil"/>
              <w:bottom w:val="nil"/>
            </w:tcBorders>
            <w:vAlign w:val="center"/>
          </w:tcPr>
          <w:p w14:paraId="6BACD4FE" w14:textId="550ADCFF"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3,51</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top w:val="nil"/>
              <w:bottom w:val="nil"/>
            </w:tcBorders>
            <w:vAlign w:val="center"/>
          </w:tcPr>
          <w:p w14:paraId="6073F9BA" w14:textId="1CCD0A5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3,45</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48" w:type="dxa"/>
            <w:tcBorders>
              <w:top w:val="nil"/>
              <w:bottom w:val="nil"/>
            </w:tcBorders>
            <w:vAlign w:val="center"/>
          </w:tcPr>
          <w:p w14:paraId="5C402C4F" w14:textId="79156FDA"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3,74</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3093" w:type="dxa"/>
            <w:tcBorders>
              <w:top w:val="nil"/>
              <w:bottom w:val="nil"/>
            </w:tcBorders>
            <w:vAlign w:val="center"/>
          </w:tcPr>
          <w:p w14:paraId="24F0C771"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18,82 b</w:t>
            </w:r>
          </w:p>
        </w:tc>
      </w:tr>
      <w:tr w:rsidR="007340DC" w:rsidRPr="007340DC" w14:paraId="5195E704" w14:textId="77777777" w:rsidTr="00217573">
        <w:tc>
          <w:tcPr>
            <w:tcW w:w="1509" w:type="dxa"/>
            <w:tcBorders>
              <w:top w:val="nil"/>
            </w:tcBorders>
            <w:vAlign w:val="center"/>
          </w:tcPr>
          <w:p w14:paraId="2B2B6343" w14:textId="7ECC5958"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p</w:t>
            </w:r>
          </w:p>
        </w:tc>
        <w:tc>
          <w:tcPr>
            <w:tcW w:w="1043" w:type="dxa"/>
            <w:tcBorders>
              <w:top w:val="nil"/>
            </w:tcBorders>
            <w:vAlign w:val="center"/>
          </w:tcPr>
          <w:p w14:paraId="3A8BCB85" w14:textId="38966E06"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c>
          <w:tcPr>
            <w:tcW w:w="1134" w:type="dxa"/>
            <w:tcBorders>
              <w:top w:val="nil"/>
            </w:tcBorders>
            <w:vAlign w:val="center"/>
          </w:tcPr>
          <w:p w14:paraId="200B806A" w14:textId="0A48DF32"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c>
          <w:tcPr>
            <w:tcW w:w="1134" w:type="dxa"/>
            <w:tcBorders>
              <w:top w:val="nil"/>
            </w:tcBorders>
            <w:vAlign w:val="center"/>
          </w:tcPr>
          <w:p w14:paraId="744A26D7" w14:textId="28A74606"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c>
          <w:tcPr>
            <w:tcW w:w="1148" w:type="dxa"/>
            <w:tcBorders>
              <w:top w:val="nil"/>
            </w:tcBorders>
            <w:vAlign w:val="center"/>
          </w:tcPr>
          <w:p w14:paraId="5BC0F91E" w14:textId="34362B3F"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c>
          <w:tcPr>
            <w:tcW w:w="3093" w:type="dxa"/>
            <w:tcBorders>
              <w:top w:val="nil"/>
            </w:tcBorders>
            <w:vAlign w:val="center"/>
          </w:tcPr>
          <w:p w14:paraId="1521ED36" w14:textId="1D25EC47"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r>
    </w:tbl>
    <w:p w14:paraId="42DE009D" w14:textId="00260226" w:rsidR="00254691" w:rsidRPr="00DD2EDF" w:rsidRDefault="00A92D29" w:rsidP="00136D99">
      <w:pPr>
        <w:jc w:val="both"/>
        <w:rPr>
          <w:rFonts w:ascii="Times New Roman" w:hAnsi="Times New Roman"/>
          <w:i/>
          <w:sz w:val="20"/>
          <w:szCs w:val="20"/>
          <w:lang w:eastAsia="fr-FR"/>
        </w:rPr>
      </w:pPr>
      <w:bookmarkStart w:id="17" w:name="_Toc113992320"/>
      <w:r w:rsidRPr="00DD2EDF">
        <w:rPr>
          <w:rFonts w:ascii="Times New Roman" w:hAnsi="Times New Roman"/>
          <w:i/>
          <w:sz w:val="20"/>
          <w:szCs w:val="20"/>
          <w:lang w:eastAsia="fr-FR"/>
        </w:rPr>
        <w:t xml:space="preserve">Treatment 0 (T0): Untreated control, washed with chlorinated water; Treatment 1 (T1): Scholar Max 230 SC reference product at 0.15%; Treatment 2 (T2): </w:t>
      </w:r>
      <w:r w:rsidR="009437C5" w:rsidRPr="00DD2EDF">
        <w:rPr>
          <w:rFonts w:ascii="Times New Roman" w:hAnsi="Times New Roman"/>
          <w:i/>
          <w:sz w:val="20"/>
          <w:szCs w:val="20"/>
          <w:lang w:eastAsia="fr-FR"/>
        </w:rPr>
        <w:t xml:space="preserve">wax based on vegetable oils at </w:t>
      </w:r>
      <w:r w:rsidRPr="00DD2EDF">
        <w:rPr>
          <w:rFonts w:ascii="Times New Roman" w:hAnsi="Times New Roman"/>
          <w:i/>
          <w:sz w:val="20"/>
          <w:szCs w:val="20"/>
          <w:lang w:eastAsia="fr-FR"/>
        </w:rPr>
        <w:t xml:space="preserve">10%; Treatment 3 (T3): </w:t>
      </w:r>
      <w:r w:rsidR="009437C5" w:rsidRPr="00DD2EDF">
        <w:rPr>
          <w:rFonts w:ascii="Times New Roman" w:hAnsi="Times New Roman"/>
          <w:i/>
          <w:sz w:val="20"/>
          <w:szCs w:val="20"/>
          <w:lang w:eastAsia="fr-FR"/>
        </w:rPr>
        <w:t xml:space="preserve">wax based on vegetable oils </w:t>
      </w:r>
      <w:r w:rsidRPr="00DD2EDF">
        <w:rPr>
          <w:rFonts w:ascii="Times New Roman" w:hAnsi="Times New Roman"/>
          <w:i/>
          <w:sz w:val="20"/>
          <w:szCs w:val="20"/>
          <w:lang w:eastAsia="fr-FR"/>
        </w:rPr>
        <w:t xml:space="preserve">15%; Treatment 4 (T4): </w:t>
      </w:r>
      <w:r w:rsidR="009437C5" w:rsidRPr="00DD2EDF">
        <w:rPr>
          <w:rFonts w:ascii="Times New Roman" w:hAnsi="Times New Roman"/>
          <w:i/>
          <w:sz w:val="20"/>
          <w:szCs w:val="20"/>
          <w:lang w:eastAsia="fr-FR"/>
        </w:rPr>
        <w:t xml:space="preserve">wax based on vegetable oils </w:t>
      </w:r>
      <w:r w:rsidRPr="00DD2EDF">
        <w:rPr>
          <w:rFonts w:ascii="Times New Roman" w:hAnsi="Times New Roman"/>
          <w:i/>
          <w:sz w:val="20"/>
          <w:szCs w:val="20"/>
          <w:lang w:eastAsia="fr-FR"/>
        </w:rPr>
        <w:t xml:space="preserve">at 5%; Treatment 5 (T5): Combination of </w:t>
      </w:r>
      <w:r w:rsidR="009437C5" w:rsidRPr="00DD2EDF">
        <w:rPr>
          <w:rFonts w:ascii="Times New Roman" w:hAnsi="Times New Roman"/>
          <w:i/>
          <w:sz w:val="20"/>
          <w:szCs w:val="20"/>
          <w:lang w:eastAsia="fr-FR"/>
        </w:rPr>
        <w:t>wax based on vegetable oils at</w:t>
      </w:r>
      <w:r w:rsidR="00BB79F6" w:rsidRPr="00DD2EDF">
        <w:rPr>
          <w:rFonts w:ascii="Times New Roman" w:hAnsi="Times New Roman"/>
          <w:i/>
          <w:sz w:val="20"/>
          <w:szCs w:val="20"/>
          <w:lang w:eastAsia="fr-FR"/>
        </w:rPr>
        <w:t xml:space="preserve"> </w:t>
      </w:r>
      <w:r w:rsidRPr="00DD2EDF">
        <w:rPr>
          <w:rFonts w:ascii="Times New Roman" w:hAnsi="Times New Roman"/>
          <w:i/>
          <w:sz w:val="20"/>
          <w:szCs w:val="20"/>
          <w:lang w:eastAsia="fr-FR"/>
        </w:rPr>
        <w:t>10% and the reference product, Scholar Max 230 SC at 0.15%.</w:t>
      </w:r>
    </w:p>
    <w:p w14:paraId="1D461C42" w14:textId="0E1C4677" w:rsidR="0085631F" w:rsidRPr="00DD2EDF" w:rsidRDefault="00A92D29" w:rsidP="00B86CA7">
      <w:pPr>
        <w:jc w:val="both"/>
        <w:rPr>
          <w:rFonts w:ascii="Times New Roman" w:hAnsi="Times New Roman"/>
          <w:i/>
          <w:sz w:val="20"/>
          <w:szCs w:val="20"/>
          <w:lang w:eastAsia="fr-FR"/>
        </w:rPr>
      </w:pPr>
      <w:r w:rsidRPr="00DD2EDF">
        <w:rPr>
          <w:rFonts w:ascii="Times New Roman" w:hAnsi="Times New Roman"/>
          <w:i/>
          <w:sz w:val="20"/>
          <w:szCs w:val="20"/>
          <w:lang w:eastAsia="fr-FR"/>
        </w:rPr>
        <w:lastRenderedPageBreak/>
        <w:t xml:space="preserve"> In the same column, the figures followed by the same letter are statistically identical according to the N-Keuls test at the threshold α=0.05</w:t>
      </w:r>
      <w:r w:rsidR="005059D0" w:rsidRPr="00DD2EDF">
        <w:rPr>
          <w:rFonts w:ascii="Times New Roman" w:hAnsi="Times New Roman"/>
          <w:i/>
          <w:sz w:val="20"/>
          <w:szCs w:val="20"/>
          <w:lang w:eastAsia="fr-FR"/>
        </w:rPr>
        <w:t> </w:t>
      </w:r>
      <w:r w:rsidR="003D635A" w:rsidRPr="00DD2EDF">
        <w:rPr>
          <w:rFonts w:ascii="Times New Roman" w:hAnsi="Times New Roman"/>
          <w:i/>
          <w:sz w:val="20"/>
          <w:szCs w:val="20"/>
          <w:lang w:eastAsia="fr-FR"/>
        </w:rPr>
        <w:t>; 16</w:t>
      </w:r>
      <w:r w:rsidRPr="00DD2EDF">
        <w:rPr>
          <w:rFonts w:ascii="Times New Roman" w:hAnsi="Times New Roman"/>
          <w:i/>
          <w:sz w:val="20"/>
          <w:szCs w:val="20"/>
          <w:lang w:eastAsia="fr-FR"/>
        </w:rPr>
        <w:t>, 18 and 20 days after treatment.</w:t>
      </w:r>
    </w:p>
    <w:p w14:paraId="0A5D01AE" w14:textId="77777777" w:rsidR="00A92D29" w:rsidRPr="00A92D29" w:rsidRDefault="00A92D29" w:rsidP="00A92D29">
      <w:pPr>
        <w:rPr>
          <w:lang w:eastAsia="fr-FR"/>
        </w:rPr>
      </w:pPr>
    </w:p>
    <w:p w14:paraId="300AB6D5" w14:textId="13EE144E" w:rsidR="00201271" w:rsidRPr="00A92D29" w:rsidRDefault="00EF175D" w:rsidP="00A92D29">
      <w:pPr>
        <w:pStyle w:val="Heading2"/>
        <w:spacing w:before="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D473CD" w:rsidRPr="007340DC">
        <w:rPr>
          <w:rFonts w:ascii="Times New Roman" w:hAnsi="Times New Roman" w:cs="Times New Roman"/>
          <w:b/>
          <w:color w:val="000000" w:themeColor="text1"/>
          <w:sz w:val="24"/>
          <w:szCs w:val="24"/>
        </w:rPr>
        <w:t xml:space="preserve">.1.3. </w:t>
      </w:r>
      <w:bookmarkEnd w:id="17"/>
      <w:r w:rsidR="00A92D29" w:rsidRPr="00A92D29">
        <w:rPr>
          <w:rFonts w:ascii="Times New Roman" w:hAnsi="Times New Roman" w:cs="Times New Roman"/>
          <w:b/>
          <w:color w:val="000000" w:themeColor="text1"/>
          <w:sz w:val="24"/>
          <w:szCs w:val="24"/>
        </w:rPr>
        <w:t>External aspects of the fruit</w:t>
      </w:r>
    </w:p>
    <w:p w14:paraId="02A05DEB" w14:textId="77777777" w:rsidR="00A92D29" w:rsidRDefault="00A92D29" w:rsidP="00DD2EDF">
      <w:pPr>
        <w:spacing w:line="360" w:lineRule="auto"/>
        <w:ind w:firstLine="708"/>
        <w:jc w:val="both"/>
        <w:rPr>
          <w:rFonts w:ascii="Times New Roman" w:hAnsi="Times New Roman"/>
          <w:color w:val="000000" w:themeColor="text1"/>
        </w:rPr>
      </w:pPr>
      <w:bookmarkStart w:id="18" w:name="_Hlk113294041"/>
      <w:r w:rsidRPr="00A92D29">
        <w:rPr>
          <w:rFonts w:ascii="Times New Roman" w:hAnsi="Times New Roman"/>
          <w:color w:val="000000" w:themeColor="text1"/>
        </w:rPr>
        <w:t>Figure 3 shows the mangoes from the different treatments on day 20 of the experiment. The colour index shown in Figure 3 shows that fruit from treatment T2 gave the lowest index (3.90) at 16 days of treatment. At the same date, treatments T5 and T1 had statistically identical and higher indices, with an average close to 4.7 (Figure 4). In other words, between 50 and 70% of the fruit surface was coloured. From the 18</w:t>
      </w:r>
      <w:r w:rsidRPr="003D635A">
        <w:rPr>
          <w:rFonts w:ascii="Times New Roman" w:hAnsi="Times New Roman"/>
          <w:color w:val="000000" w:themeColor="text1"/>
          <w:vertAlign w:val="superscript"/>
        </w:rPr>
        <w:t>th</w:t>
      </w:r>
      <w:r w:rsidRPr="00A92D29">
        <w:rPr>
          <w:rFonts w:ascii="Times New Roman" w:hAnsi="Times New Roman"/>
          <w:color w:val="000000" w:themeColor="text1"/>
        </w:rPr>
        <w:t xml:space="preserve"> day after treatment, i.e. the 2</w:t>
      </w:r>
      <w:r w:rsidRPr="003D635A">
        <w:rPr>
          <w:rFonts w:ascii="Times New Roman" w:hAnsi="Times New Roman"/>
          <w:color w:val="000000" w:themeColor="text1"/>
          <w:vertAlign w:val="superscript"/>
        </w:rPr>
        <w:t>nd</w:t>
      </w:r>
      <w:r w:rsidRPr="00A92D29">
        <w:rPr>
          <w:rFonts w:ascii="Times New Roman" w:hAnsi="Times New Roman"/>
          <w:color w:val="000000" w:themeColor="text1"/>
        </w:rPr>
        <w:t xml:space="preserve"> day of exposure to room temperature, fruit from all treatments recorded a statistically identical colouration index greater than 5. Also on the 20</w:t>
      </w:r>
      <w:r w:rsidRPr="003D635A">
        <w:rPr>
          <w:rFonts w:ascii="Times New Roman" w:hAnsi="Times New Roman"/>
          <w:color w:val="000000" w:themeColor="text1"/>
          <w:vertAlign w:val="superscript"/>
        </w:rPr>
        <w:t>th</w:t>
      </w:r>
      <w:r w:rsidRPr="00A92D29">
        <w:rPr>
          <w:rFonts w:ascii="Times New Roman" w:hAnsi="Times New Roman"/>
          <w:color w:val="000000" w:themeColor="text1"/>
        </w:rPr>
        <w:t xml:space="preserve"> day after treatment, the colour index was significantly identical for all treatments (Figure 4).</w:t>
      </w:r>
    </w:p>
    <w:bookmarkEnd w:id="18"/>
    <w:p w14:paraId="72BE42BA" w14:textId="2CD7EF6A" w:rsidR="00201271" w:rsidRPr="007340DC" w:rsidRDefault="00A92D29" w:rsidP="00DD2EDF">
      <w:pPr>
        <w:spacing w:line="360" w:lineRule="auto"/>
        <w:ind w:firstLine="708"/>
        <w:jc w:val="both"/>
        <w:rPr>
          <w:rFonts w:ascii="Times New Roman" w:hAnsi="Times New Roman"/>
          <w:color w:val="000000" w:themeColor="text1"/>
        </w:rPr>
      </w:pPr>
      <w:r w:rsidRPr="00A92D29">
        <w:rPr>
          <w:rFonts w:ascii="Times New Roman" w:hAnsi="Times New Roman"/>
          <w:color w:val="000000" w:themeColor="text1"/>
        </w:rPr>
        <w:t>In addition, fruit from the different treatments showed symptoms of skin browning at varying rates (Figure 5). Treatments T1, T2, T3 and T5 induced significantly higher levels of browning than treatment T4, which was similar to the untreated control. The highest phytotoxicities were recorded on fruit treated with T2, T3 and T5 respectively.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3066"/>
        <w:gridCol w:w="2916"/>
      </w:tblGrid>
      <w:tr w:rsidR="007340DC" w:rsidRPr="007340DC" w14:paraId="554089A5" w14:textId="77777777" w:rsidTr="003E3309">
        <w:tc>
          <w:tcPr>
            <w:tcW w:w="3084" w:type="dxa"/>
          </w:tcPr>
          <w:p w14:paraId="0812DEA6"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lang w:val="en-US"/>
              </w:rPr>
              <w:drawing>
                <wp:inline distT="0" distB="0" distL="0" distR="0" wp14:anchorId="1BC13B1F" wp14:editId="5F05D1DA">
                  <wp:extent cx="2211705" cy="194754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rot="-10800000">
                            <a:off x="0" y="0"/>
                            <a:ext cx="2211705" cy="1947545"/>
                          </a:xfrm>
                          <a:prstGeom prst="rect">
                            <a:avLst/>
                          </a:prstGeom>
                          <a:noFill/>
                          <a:ln>
                            <a:noFill/>
                          </a:ln>
                        </pic:spPr>
                      </pic:pic>
                    </a:graphicData>
                  </a:graphic>
                </wp:inline>
              </w:drawing>
            </w:r>
          </w:p>
        </w:tc>
        <w:tc>
          <w:tcPr>
            <w:tcW w:w="3066" w:type="dxa"/>
          </w:tcPr>
          <w:p w14:paraId="56F42A32"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lang w:val="en-US"/>
              </w:rPr>
              <w:drawing>
                <wp:inline distT="0" distB="0" distL="0" distR="0" wp14:anchorId="7D507DDF" wp14:editId="13F9C083">
                  <wp:extent cx="1990090" cy="2407920"/>
                  <wp:effectExtent l="635"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screen">
                            <a:extLst>
                              <a:ext uri="{28A0092B-C50C-407E-A947-70E740481C1C}">
                                <a14:useLocalDpi xmlns:a14="http://schemas.microsoft.com/office/drawing/2010/main"/>
                              </a:ext>
                            </a:extLst>
                          </a:blip>
                          <a:srcRect b="-1909"/>
                          <a:stretch>
                            <a:fillRect/>
                          </a:stretch>
                        </pic:blipFill>
                        <pic:spPr bwMode="auto">
                          <a:xfrm rot="-5400000">
                            <a:off x="0" y="0"/>
                            <a:ext cx="1990090" cy="2407920"/>
                          </a:xfrm>
                          <a:prstGeom prst="rect">
                            <a:avLst/>
                          </a:prstGeom>
                          <a:noFill/>
                          <a:ln>
                            <a:noFill/>
                          </a:ln>
                        </pic:spPr>
                      </pic:pic>
                    </a:graphicData>
                  </a:graphic>
                </wp:inline>
              </w:drawing>
            </w:r>
          </w:p>
        </w:tc>
        <w:tc>
          <w:tcPr>
            <w:tcW w:w="2916" w:type="dxa"/>
          </w:tcPr>
          <w:p w14:paraId="70039A3A"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lang w:val="en-US"/>
              </w:rPr>
              <w:drawing>
                <wp:inline distT="0" distB="0" distL="0" distR="0" wp14:anchorId="6F5B15AA" wp14:editId="145AFDD1">
                  <wp:extent cx="2372360" cy="2002790"/>
                  <wp:effectExtent l="0" t="0" r="889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flipH="1" flipV="1">
                            <a:off x="0" y="0"/>
                            <a:ext cx="2372360" cy="2002790"/>
                          </a:xfrm>
                          <a:prstGeom prst="rect">
                            <a:avLst/>
                          </a:prstGeom>
                          <a:noFill/>
                          <a:ln>
                            <a:noFill/>
                          </a:ln>
                        </pic:spPr>
                      </pic:pic>
                    </a:graphicData>
                  </a:graphic>
                </wp:inline>
              </w:drawing>
            </w:r>
          </w:p>
        </w:tc>
      </w:tr>
      <w:tr w:rsidR="007340DC" w:rsidRPr="007340DC" w14:paraId="7FF75CD9" w14:textId="77777777" w:rsidTr="003E3309">
        <w:tc>
          <w:tcPr>
            <w:tcW w:w="3084" w:type="dxa"/>
          </w:tcPr>
          <w:p w14:paraId="27ED7268"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lang w:val="en-US"/>
              </w:rPr>
              <w:drawing>
                <wp:inline distT="0" distB="0" distL="0" distR="0" wp14:anchorId="01C7F380" wp14:editId="6ED52E4B">
                  <wp:extent cx="2911475" cy="2186940"/>
                  <wp:effectExtent l="0" t="0" r="3175"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rot="10800000">
                            <a:off x="0" y="0"/>
                            <a:ext cx="2911475" cy="2186940"/>
                          </a:xfrm>
                          <a:prstGeom prst="rect">
                            <a:avLst/>
                          </a:prstGeom>
                          <a:noFill/>
                          <a:ln>
                            <a:noFill/>
                          </a:ln>
                        </pic:spPr>
                      </pic:pic>
                    </a:graphicData>
                  </a:graphic>
                </wp:inline>
              </w:drawing>
            </w:r>
          </w:p>
        </w:tc>
        <w:tc>
          <w:tcPr>
            <w:tcW w:w="3066" w:type="dxa"/>
          </w:tcPr>
          <w:p w14:paraId="5B4AD619"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lang w:val="en-US"/>
              </w:rPr>
              <w:drawing>
                <wp:inline distT="0" distB="0" distL="0" distR="0" wp14:anchorId="035DE751" wp14:editId="447FC067">
                  <wp:extent cx="2889250" cy="2172335"/>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889250" cy="2172335"/>
                          </a:xfrm>
                          <a:prstGeom prst="rect">
                            <a:avLst/>
                          </a:prstGeom>
                          <a:noFill/>
                          <a:ln>
                            <a:noFill/>
                          </a:ln>
                        </pic:spPr>
                      </pic:pic>
                    </a:graphicData>
                  </a:graphic>
                </wp:inline>
              </w:drawing>
            </w:r>
          </w:p>
        </w:tc>
        <w:tc>
          <w:tcPr>
            <w:tcW w:w="2916" w:type="dxa"/>
          </w:tcPr>
          <w:p w14:paraId="61046083"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lang w:val="en-US"/>
              </w:rPr>
              <w:drawing>
                <wp:inline distT="0" distB="0" distL="0" distR="0" wp14:anchorId="74050F2C" wp14:editId="01241070">
                  <wp:extent cx="2743200" cy="217233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746891" cy="2175258"/>
                          </a:xfrm>
                          <a:prstGeom prst="rect">
                            <a:avLst/>
                          </a:prstGeom>
                          <a:noFill/>
                          <a:ln>
                            <a:noFill/>
                          </a:ln>
                        </pic:spPr>
                      </pic:pic>
                    </a:graphicData>
                  </a:graphic>
                </wp:inline>
              </w:drawing>
            </w:r>
          </w:p>
        </w:tc>
      </w:tr>
      <w:tr w:rsidR="007340DC" w:rsidRPr="007340DC" w14:paraId="79D7683C" w14:textId="77777777" w:rsidTr="003E3309">
        <w:trPr>
          <w:trHeight w:val="591"/>
        </w:trPr>
        <w:tc>
          <w:tcPr>
            <w:tcW w:w="9066" w:type="dxa"/>
            <w:gridSpan w:val="3"/>
          </w:tcPr>
          <w:p w14:paraId="4FB1FA2D" w14:textId="1034EDFA" w:rsidR="00201271" w:rsidRPr="007340DC" w:rsidRDefault="00A92D29" w:rsidP="00DD2EDF">
            <w:pPr>
              <w:spacing w:line="276" w:lineRule="auto"/>
              <w:ind w:left="888" w:hanging="888"/>
              <w:jc w:val="both"/>
              <w:rPr>
                <w:rFonts w:ascii="Times New Roman" w:hAnsi="Times New Roman"/>
                <w:b/>
                <w:bCs/>
                <w:color w:val="000000" w:themeColor="text1"/>
                <w:u w:val="single"/>
              </w:rPr>
            </w:pPr>
            <w:r w:rsidRPr="00A92D29">
              <w:rPr>
                <w:rFonts w:ascii="Times New Roman" w:hAnsi="Times New Roman"/>
                <w:b/>
                <w:bCs/>
                <w:color w:val="000000" w:themeColor="text1"/>
              </w:rPr>
              <w:t>Figure 3: Colouration of mangoes 20 days after treatment</w:t>
            </w:r>
          </w:p>
        </w:tc>
      </w:tr>
    </w:tbl>
    <w:p w14:paraId="26232C8A" w14:textId="0EA5C19E" w:rsidR="00A92D29" w:rsidRPr="00DD2EDF" w:rsidRDefault="00A92D29" w:rsidP="00DD2EDF">
      <w:pPr>
        <w:jc w:val="both"/>
        <w:rPr>
          <w:rFonts w:ascii="Times New Roman" w:eastAsia="Times New Roman" w:hAnsi="Times New Roman"/>
          <w:i/>
          <w:color w:val="000000" w:themeColor="text1"/>
          <w:sz w:val="20"/>
          <w:lang w:eastAsia="fr-FR"/>
        </w:rPr>
      </w:pPr>
      <w:r w:rsidRPr="00DD2EDF">
        <w:rPr>
          <w:rFonts w:ascii="Times New Roman" w:eastAsia="Times New Roman" w:hAnsi="Times New Roman"/>
          <w:i/>
          <w:color w:val="000000" w:themeColor="text1"/>
          <w:sz w:val="20"/>
          <w:lang w:eastAsia="fr-FR"/>
        </w:rPr>
        <w:t xml:space="preserve">Treatment 0 (T0): Untreated control, washed with chlorinated water; Treatment 1 (T1): Scholar Max 230 SC reference product at 0.15%; Treatment 2 (T2): </w:t>
      </w:r>
      <w:r w:rsidR="00BB79F6" w:rsidRPr="00DD2EDF">
        <w:rPr>
          <w:rFonts w:ascii="Times New Roman" w:eastAsia="Times New Roman" w:hAnsi="Times New Roman"/>
          <w:i/>
          <w:color w:val="000000" w:themeColor="text1"/>
          <w:sz w:val="20"/>
          <w:lang w:eastAsia="fr-FR"/>
        </w:rPr>
        <w:t xml:space="preserve">wax based on vegetable oils </w:t>
      </w:r>
      <w:r w:rsidRPr="00DD2EDF">
        <w:rPr>
          <w:rFonts w:ascii="Times New Roman" w:eastAsia="Times New Roman" w:hAnsi="Times New Roman"/>
          <w:i/>
          <w:color w:val="000000" w:themeColor="text1"/>
          <w:sz w:val="20"/>
          <w:lang w:eastAsia="fr-FR"/>
        </w:rPr>
        <w:t>a</w:t>
      </w:r>
      <w:r w:rsidR="00BB79F6" w:rsidRPr="00DD2EDF">
        <w:rPr>
          <w:rFonts w:ascii="Times New Roman" w:eastAsia="Times New Roman" w:hAnsi="Times New Roman"/>
          <w:i/>
          <w:color w:val="000000" w:themeColor="text1"/>
          <w:sz w:val="20"/>
          <w:lang w:eastAsia="fr-FR"/>
        </w:rPr>
        <w:t xml:space="preserve">t </w:t>
      </w:r>
      <w:r w:rsidRPr="00DD2EDF">
        <w:rPr>
          <w:rFonts w:ascii="Times New Roman" w:eastAsia="Times New Roman" w:hAnsi="Times New Roman"/>
          <w:i/>
          <w:color w:val="000000" w:themeColor="text1"/>
          <w:sz w:val="20"/>
          <w:lang w:eastAsia="fr-FR"/>
        </w:rPr>
        <w:t xml:space="preserve">10%; Treatment 3 (T3): </w:t>
      </w:r>
      <w:r w:rsidR="00BB79F6" w:rsidRPr="00DD2EDF">
        <w:rPr>
          <w:rFonts w:ascii="Times New Roman" w:eastAsia="Times New Roman" w:hAnsi="Times New Roman"/>
          <w:i/>
          <w:color w:val="000000" w:themeColor="text1"/>
          <w:sz w:val="20"/>
          <w:lang w:eastAsia="fr-FR"/>
        </w:rPr>
        <w:t xml:space="preserve">wax based </w:t>
      </w:r>
      <w:r w:rsidR="00BB79F6" w:rsidRPr="00DD2EDF">
        <w:rPr>
          <w:rFonts w:ascii="Times New Roman" w:eastAsia="Times New Roman" w:hAnsi="Times New Roman"/>
          <w:i/>
          <w:color w:val="000000" w:themeColor="text1"/>
          <w:sz w:val="20"/>
          <w:lang w:eastAsia="fr-FR"/>
        </w:rPr>
        <w:lastRenderedPageBreak/>
        <w:t xml:space="preserve">on vegetable oils </w:t>
      </w:r>
      <w:r w:rsidRPr="00DD2EDF">
        <w:rPr>
          <w:rFonts w:ascii="Times New Roman" w:eastAsia="Times New Roman" w:hAnsi="Times New Roman"/>
          <w:i/>
          <w:color w:val="000000" w:themeColor="text1"/>
          <w:sz w:val="20"/>
          <w:lang w:eastAsia="fr-FR"/>
        </w:rPr>
        <w:t xml:space="preserve">at 15%; Treatment 4 (T4): </w:t>
      </w:r>
      <w:r w:rsidR="00BB79F6" w:rsidRPr="00DD2EDF">
        <w:rPr>
          <w:rFonts w:ascii="Times New Roman" w:eastAsia="Times New Roman" w:hAnsi="Times New Roman"/>
          <w:i/>
          <w:color w:val="000000" w:themeColor="text1"/>
          <w:sz w:val="20"/>
          <w:lang w:eastAsia="fr-FR"/>
        </w:rPr>
        <w:t xml:space="preserve">wax based on vegetable oils at </w:t>
      </w:r>
      <w:r w:rsidRPr="00DD2EDF">
        <w:rPr>
          <w:rFonts w:ascii="Times New Roman" w:eastAsia="Times New Roman" w:hAnsi="Times New Roman"/>
          <w:i/>
          <w:color w:val="000000" w:themeColor="text1"/>
          <w:sz w:val="20"/>
          <w:lang w:eastAsia="fr-FR"/>
        </w:rPr>
        <w:t xml:space="preserve">5%; Treatment 5 (T5): Combination of </w:t>
      </w:r>
      <w:r w:rsidR="00BB79F6" w:rsidRPr="00DD2EDF">
        <w:rPr>
          <w:rFonts w:ascii="Times New Roman" w:eastAsia="Times New Roman" w:hAnsi="Times New Roman"/>
          <w:i/>
          <w:color w:val="000000" w:themeColor="text1"/>
          <w:sz w:val="20"/>
          <w:lang w:eastAsia="fr-FR"/>
        </w:rPr>
        <w:t xml:space="preserve">wax based on vegetable oils </w:t>
      </w:r>
      <w:r w:rsidRPr="00DD2EDF">
        <w:rPr>
          <w:rFonts w:ascii="Times New Roman" w:eastAsia="Times New Roman" w:hAnsi="Times New Roman"/>
          <w:i/>
          <w:color w:val="000000" w:themeColor="text1"/>
          <w:sz w:val="20"/>
          <w:lang w:eastAsia="fr-FR"/>
        </w:rPr>
        <w:t>at 10% and the reference product, Scholar Max 230 SC at 0.15%.</w:t>
      </w:r>
    </w:p>
    <w:p w14:paraId="3ABAE5D6" w14:textId="77777777" w:rsidR="00C32CC1" w:rsidRDefault="00C32CC1" w:rsidP="00A92D29">
      <w:pPr>
        <w:spacing w:line="360" w:lineRule="auto"/>
        <w:jc w:val="center"/>
        <w:rPr>
          <w:rFonts w:ascii="Times New Roman" w:eastAsia="Times New Roman" w:hAnsi="Times New Roman"/>
          <w:i/>
          <w:color w:val="000000" w:themeColor="text1"/>
          <w:sz w:val="14"/>
          <w:szCs w:val="18"/>
          <w:lang w:eastAsia="fr-FR"/>
        </w:rPr>
      </w:pPr>
    </w:p>
    <w:p w14:paraId="2B4EB392" w14:textId="7777C74B" w:rsidR="00C32CC1" w:rsidRPr="00A92D29" w:rsidRDefault="00C32CC1" w:rsidP="00A92D29">
      <w:pPr>
        <w:spacing w:line="360" w:lineRule="auto"/>
        <w:jc w:val="center"/>
        <w:rPr>
          <w:rFonts w:ascii="Times New Roman" w:eastAsia="Times New Roman" w:hAnsi="Times New Roman"/>
          <w:i/>
          <w:color w:val="000000" w:themeColor="text1"/>
          <w:sz w:val="14"/>
          <w:szCs w:val="18"/>
          <w:lang w:eastAsia="fr-FR"/>
        </w:rPr>
      </w:pPr>
      <w:r>
        <w:rPr>
          <w:rFonts w:ascii="Times New Roman" w:hAnsi="Times New Roman"/>
          <w:noProof/>
          <w:color w:val="000000" w:themeColor="text1"/>
          <w:u w:val="single"/>
          <w:lang w:val="en-US"/>
        </w:rPr>
        <w:drawing>
          <wp:inline distT="0" distB="0" distL="0" distR="0" wp14:anchorId="49256D2D" wp14:editId="3BDA2499">
            <wp:extent cx="4395470" cy="2914015"/>
            <wp:effectExtent l="0" t="0" r="508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95470" cy="2914015"/>
                    </a:xfrm>
                    <a:prstGeom prst="rect">
                      <a:avLst/>
                    </a:prstGeom>
                    <a:noFill/>
                  </pic:spPr>
                </pic:pic>
              </a:graphicData>
            </a:graphic>
          </wp:inline>
        </w:drawing>
      </w:r>
    </w:p>
    <w:p w14:paraId="0C64F8C7" w14:textId="77777777" w:rsidR="00A92D29" w:rsidRPr="002C7676" w:rsidRDefault="00A92D29" w:rsidP="009C6868">
      <w:pPr>
        <w:spacing w:line="360" w:lineRule="auto"/>
        <w:jc w:val="center"/>
        <w:rPr>
          <w:rFonts w:ascii="Times New Roman" w:hAnsi="Times New Roman"/>
          <w:b/>
          <w:bCs/>
          <w:color w:val="000000" w:themeColor="text1"/>
        </w:rPr>
      </w:pPr>
      <w:r w:rsidRPr="002C7676">
        <w:rPr>
          <w:rFonts w:ascii="Times New Roman" w:hAnsi="Times New Roman"/>
          <w:b/>
          <w:bCs/>
          <w:color w:val="000000" w:themeColor="text1"/>
        </w:rPr>
        <w:t>Figure 4: Changes in fruit skin colour after treatments.</w:t>
      </w:r>
    </w:p>
    <w:p w14:paraId="27FB7089" w14:textId="0F04DDED" w:rsidR="00201271" w:rsidRPr="00DD2EDF" w:rsidRDefault="00A92D29" w:rsidP="003D635A">
      <w:pPr>
        <w:jc w:val="both"/>
        <w:rPr>
          <w:rFonts w:ascii="Times New Roman" w:eastAsia="Times New Roman" w:hAnsi="Times New Roman"/>
          <w:i/>
          <w:color w:val="000000" w:themeColor="text1"/>
          <w:sz w:val="20"/>
          <w:szCs w:val="20"/>
          <w:lang w:eastAsia="fr-FR"/>
        </w:rPr>
      </w:pPr>
      <w:r w:rsidRPr="00DD2EDF">
        <w:rPr>
          <w:rFonts w:ascii="Times New Roman" w:eastAsia="Times New Roman" w:hAnsi="Times New Roman"/>
          <w:i/>
          <w:color w:val="000000" w:themeColor="text1"/>
          <w:sz w:val="20"/>
          <w:szCs w:val="20"/>
          <w:lang w:eastAsia="fr-FR"/>
        </w:rPr>
        <w:t xml:space="preserve">Treatment 0 (T0): Untreated control, washed with chlorinated water; Treatment 1 (T1): Scholar Max 230 SC reference product at 0.15%; Treatment 2 (T2): </w:t>
      </w:r>
      <w:r w:rsidR="003D635A" w:rsidRPr="00DD2EDF">
        <w:rPr>
          <w:rFonts w:ascii="Times New Roman" w:eastAsia="Times New Roman" w:hAnsi="Times New Roman"/>
          <w:i/>
          <w:color w:val="000000" w:themeColor="text1"/>
          <w:sz w:val="20"/>
          <w:szCs w:val="20"/>
          <w:lang w:eastAsia="fr-FR"/>
        </w:rPr>
        <w:t>wax based on vegetable oils at</w:t>
      </w:r>
      <w:r w:rsidRPr="00DD2EDF">
        <w:rPr>
          <w:rFonts w:ascii="Times New Roman" w:eastAsia="Times New Roman" w:hAnsi="Times New Roman"/>
          <w:i/>
          <w:color w:val="000000" w:themeColor="text1"/>
          <w:sz w:val="20"/>
          <w:szCs w:val="20"/>
          <w:lang w:eastAsia="fr-FR"/>
        </w:rPr>
        <w:t xml:space="preserve"> 10%; Treatment 3 (T3): </w:t>
      </w:r>
      <w:r w:rsidR="003D635A" w:rsidRPr="00DD2EDF">
        <w:rPr>
          <w:rFonts w:ascii="Times New Roman" w:eastAsia="Times New Roman" w:hAnsi="Times New Roman"/>
          <w:i/>
          <w:color w:val="000000" w:themeColor="text1"/>
          <w:sz w:val="20"/>
          <w:szCs w:val="20"/>
          <w:lang w:eastAsia="fr-FR"/>
        </w:rPr>
        <w:t xml:space="preserve">wax based on vegetable oils </w:t>
      </w:r>
      <w:r w:rsidRPr="00DD2EDF">
        <w:rPr>
          <w:rFonts w:ascii="Times New Roman" w:eastAsia="Times New Roman" w:hAnsi="Times New Roman"/>
          <w:i/>
          <w:color w:val="000000" w:themeColor="text1"/>
          <w:sz w:val="20"/>
          <w:szCs w:val="20"/>
          <w:lang w:eastAsia="fr-FR"/>
        </w:rPr>
        <w:t xml:space="preserve">at 15%; Treatment 4 (T4): </w:t>
      </w:r>
      <w:r w:rsidR="003D635A" w:rsidRPr="00DD2EDF">
        <w:rPr>
          <w:rFonts w:ascii="Times New Roman" w:eastAsia="Times New Roman" w:hAnsi="Times New Roman"/>
          <w:i/>
          <w:color w:val="000000" w:themeColor="text1"/>
          <w:sz w:val="20"/>
          <w:szCs w:val="20"/>
          <w:lang w:eastAsia="fr-FR"/>
        </w:rPr>
        <w:t>wax based on vegetable oils at</w:t>
      </w:r>
      <w:r w:rsidRPr="00DD2EDF">
        <w:rPr>
          <w:rFonts w:ascii="Times New Roman" w:eastAsia="Times New Roman" w:hAnsi="Times New Roman"/>
          <w:i/>
          <w:color w:val="000000" w:themeColor="text1"/>
          <w:sz w:val="20"/>
          <w:szCs w:val="20"/>
          <w:lang w:eastAsia="fr-FR"/>
        </w:rPr>
        <w:t xml:space="preserve"> 5%; Treatment 5 (T5): Combination of </w:t>
      </w:r>
      <w:r w:rsidR="003D635A" w:rsidRPr="00DD2EDF">
        <w:rPr>
          <w:rFonts w:ascii="Times New Roman" w:eastAsia="Times New Roman" w:hAnsi="Times New Roman"/>
          <w:i/>
          <w:color w:val="000000" w:themeColor="text1"/>
          <w:sz w:val="20"/>
          <w:szCs w:val="20"/>
          <w:lang w:eastAsia="fr-FR"/>
        </w:rPr>
        <w:t>wax based on vegetable oils at</w:t>
      </w:r>
      <w:r w:rsidRPr="00DD2EDF">
        <w:rPr>
          <w:rFonts w:ascii="Times New Roman" w:eastAsia="Times New Roman" w:hAnsi="Times New Roman"/>
          <w:i/>
          <w:color w:val="000000" w:themeColor="text1"/>
          <w:sz w:val="20"/>
          <w:szCs w:val="20"/>
          <w:lang w:eastAsia="fr-FR"/>
        </w:rPr>
        <w:t xml:space="preserve"> 10% and the reference product, Scholar Max 230 SC at 0.15%. 16, 18 and 20 days after treatment</w:t>
      </w:r>
    </w:p>
    <w:p w14:paraId="51137B68" w14:textId="77777777" w:rsidR="00A92D29" w:rsidRPr="00A92D29" w:rsidRDefault="00A92D29" w:rsidP="00A92D29">
      <w:pPr>
        <w:spacing w:line="360" w:lineRule="auto"/>
        <w:jc w:val="both"/>
        <w:rPr>
          <w:rFonts w:ascii="Times New Roman" w:eastAsia="Times New Roman" w:hAnsi="Times New Roman"/>
          <w:i/>
          <w:color w:val="000000" w:themeColor="text1"/>
          <w:sz w:val="14"/>
          <w:szCs w:val="18"/>
          <w:lang w:eastAsia="fr-FR"/>
        </w:rPr>
      </w:pPr>
    </w:p>
    <w:p w14:paraId="741901DF" w14:textId="77777777" w:rsidR="00201271" w:rsidRPr="007340DC" w:rsidRDefault="00201271" w:rsidP="00065248">
      <w:pPr>
        <w:spacing w:line="360" w:lineRule="auto"/>
        <w:jc w:val="center"/>
        <w:rPr>
          <w:rFonts w:ascii="Times New Roman" w:hAnsi="Times New Roman"/>
          <w:color w:val="000000" w:themeColor="text1"/>
        </w:rPr>
      </w:pPr>
      <w:r w:rsidRPr="007340DC">
        <w:rPr>
          <w:rFonts w:ascii="Times New Roman" w:hAnsi="Times New Roman"/>
          <w:noProof/>
          <w:color w:val="000000" w:themeColor="text1"/>
          <w:lang w:val="en-US"/>
        </w:rPr>
        <w:drawing>
          <wp:inline distT="0" distB="0" distL="0" distR="0" wp14:anchorId="52535716" wp14:editId="2720C8DA">
            <wp:extent cx="4257675" cy="2552700"/>
            <wp:effectExtent l="0" t="0" r="9525" b="0"/>
            <wp:docPr id="7"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2092846" w14:textId="77777777" w:rsidR="00A92D29" w:rsidRDefault="00A92D29" w:rsidP="009C6868">
      <w:pPr>
        <w:spacing w:line="360" w:lineRule="auto"/>
        <w:jc w:val="center"/>
        <w:rPr>
          <w:rFonts w:ascii="Times New Roman" w:hAnsi="Times New Roman"/>
          <w:b/>
          <w:bCs/>
          <w:color w:val="000000" w:themeColor="text1"/>
        </w:rPr>
      </w:pPr>
      <w:r w:rsidRPr="00A92D29">
        <w:rPr>
          <w:rFonts w:ascii="Times New Roman" w:hAnsi="Times New Roman"/>
          <w:b/>
          <w:bCs/>
          <w:color w:val="000000" w:themeColor="text1"/>
        </w:rPr>
        <w:t>Figure 5: Average browning rate of treated fruit.</w:t>
      </w:r>
    </w:p>
    <w:p w14:paraId="43299DFD" w14:textId="73C926F6" w:rsidR="00A92D29" w:rsidRPr="00DD2EDF" w:rsidRDefault="00A92D29" w:rsidP="002C7676">
      <w:pPr>
        <w:jc w:val="both"/>
        <w:rPr>
          <w:rFonts w:ascii="Times New Roman" w:eastAsia="Times New Roman" w:hAnsi="Times New Roman"/>
          <w:i/>
          <w:color w:val="000000" w:themeColor="text1"/>
          <w:sz w:val="20"/>
          <w:lang w:eastAsia="fr-FR"/>
        </w:rPr>
      </w:pPr>
      <w:r w:rsidRPr="00DD2EDF">
        <w:rPr>
          <w:rFonts w:ascii="Times New Roman" w:eastAsia="Times New Roman" w:hAnsi="Times New Roman"/>
          <w:i/>
          <w:color w:val="000000" w:themeColor="text1"/>
          <w:sz w:val="20"/>
          <w:lang w:eastAsia="fr-FR"/>
        </w:rPr>
        <w:t xml:space="preserve">Treatment 0 (T0): Untreated control, washed with chlorinated water; Treatment 1 (T1): Scholar Max 230 SC reference product at 0.15%; Treatment 2 (T2): </w:t>
      </w:r>
      <w:r w:rsidR="002C7676" w:rsidRPr="00DD2EDF">
        <w:rPr>
          <w:rFonts w:ascii="Times New Roman" w:eastAsia="Times New Roman" w:hAnsi="Times New Roman"/>
          <w:i/>
          <w:color w:val="000000" w:themeColor="text1"/>
          <w:sz w:val="20"/>
          <w:lang w:eastAsia="fr-FR"/>
        </w:rPr>
        <w:t xml:space="preserve">wax based on vegetable oils </w:t>
      </w:r>
      <w:r w:rsidRPr="00DD2EDF">
        <w:rPr>
          <w:rFonts w:ascii="Times New Roman" w:eastAsia="Times New Roman" w:hAnsi="Times New Roman"/>
          <w:i/>
          <w:color w:val="000000" w:themeColor="text1"/>
          <w:sz w:val="20"/>
          <w:lang w:eastAsia="fr-FR"/>
        </w:rPr>
        <w:t xml:space="preserve">at 10%; Treatment 3 (T3): </w:t>
      </w:r>
      <w:bookmarkStart w:id="19" w:name="_Hlk194320694"/>
      <w:r w:rsidR="002C7676" w:rsidRPr="00DD2EDF">
        <w:rPr>
          <w:rFonts w:ascii="Times New Roman" w:eastAsia="Times New Roman" w:hAnsi="Times New Roman"/>
          <w:i/>
          <w:color w:val="000000" w:themeColor="text1"/>
          <w:sz w:val="20"/>
          <w:lang w:eastAsia="fr-FR"/>
        </w:rPr>
        <w:t xml:space="preserve">wax based on vegetable oils </w:t>
      </w:r>
      <w:bookmarkEnd w:id="19"/>
      <w:r w:rsidR="002C7676" w:rsidRPr="00DD2EDF">
        <w:rPr>
          <w:rFonts w:ascii="Times New Roman" w:eastAsia="Times New Roman" w:hAnsi="Times New Roman"/>
          <w:i/>
          <w:color w:val="000000" w:themeColor="text1"/>
          <w:sz w:val="20"/>
          <w:lang w:eastAsia="fr-FR"/>
        </w:rPr>
        <w:t xml:space="preserve">at </w:t>
      </w:r>
      <w:r w:rsidRPr="00DD2EDF">
        <w:rPr>
          <w:rFonts w:ascii="Times New Roman" w:eastAsia="Times New Roman" w:hAnsi="Times New Roman"/>
          <w:i/>
          <w:color w:val="000000" w:themeColor="text1"/>
          <w:sz w:val="20"/>
          <w:lang w:eastAsia="fr-FR"/>
        </w:rPr>
        <w:t xml:space="preserve">15%; Treatment 4 (T4): </w:t>
      </w:r>
      <w:r w:rsidR="002C7676" w:rsidRPr="00DD2EDF">
        <w:rPr>
          <w:rFonts w:ascii="Times New Roman" w:eastAsia="Times New Roman" w:hAnsi="Times New Roman"/>
          <w:i/>
          <w:color w:val="000000" w:themeColor="text1"/>
          <w:sz w:val="20"/>
          <w:lang w:eastAsia="fr-FR"/>
        </w:rPr>
        <w:t xml:space="preserve">wax based on vegetable oils at </w:t>
      </w:r>
      <w:r w:rsidRPr="00DD2EDF">
        <w:rPr>
          <w:rFonts w:ascii="Times New Roman" w:eastAsia="Times New Roman" w:hAnsi="Times New Roman"/>
          <w:i/>
          <w:color w:val="000000" w:themeColor="text1"/>
          <w:sz w:val="20"/>
          <w:lang w:eastAsia="fr-FR"/>
        </w:rPr>
        <w:t xml:space="preserve">5%; Treatment 5 (T5): Combination of </w:t>
      </w:r>
      <w:r w:rsidR="002C7676" w:rsidRPr="00DD2EDF">
        <w:rPr>
          <w:rFonts w:ascii="Times New Roman" w:eastAsia="Times New Roman" w:hAnsi="Times New Roman"/>
          <w:i/>
          <w:color w:val="000000" w:themeColor="text1"/>
          <w:sz w:val="20"/>
          <w:lang w:eastAsia="fr-FR"/>
        </w:rPr>
        <w:t xml:space="preserve">wax based on vegetable oils at </w:t>
      </w:r>
      <w:r w:rsidRPr="00DD2EDF">
        <w:rPr>
          <w:rFonts w:ascii="Times New Roman" w:eastAsia="Times New Roman" w:hAnsi="Times New Roman"/>
          <w:i/>
          <w:color w:val="000000" w:themeColor="text1"/>
          <w:sz w:val="20"/>
          <w:lang w:eastAsia="fr-FR"/>
        </w:rPr>
        <w:t xml:space="preserve">10% dose and the reference product, Scholar Max 230 SC at 0.15%. </w:t>
      </w:r>
    </w:p>
    <w:p w14:paraId="64B9154A" w14:textId="2E9EBFB7" w:rsidR="00210A06" w:rsidRPr="00DD2EDF" w:rsidRDefault="00A92D29" w:rsidP="002C7676">
      <w:pPr>
        <w:jc w:val="both"/>
        <w:rPr>
          <w:rFonts w:ascii="Times New Roman" w:eastAsia="Times New Roman" w:hAnsi="Times New Roman"/>
          <w:i/>
          <w:color w:val="000000" w:themeColor="text1"/>
          <w:sz w:val="20"/>
          <w:lang w:eastAsia="fr-FR"/>
        </w:rPr>
      </w:pPr>
      <w:r w:rsidRPr="00DD2EDF">
        <w:rPr>
          <w:rFonts w:ascii="Times New Roman" w:eastAsia="Times New Roman" w:hAnsi="Times New Roman"/>
          <w:i/>
          <w:color w:val="000000" w:themeColor="text1"/>
          <w:sz w:val="20"/>
          <w:lang w:eastAsia="fr-FR"/>
        </w:rPr>
        <w:t>Error bars topped by the same letters are statistically identical according to the Newman-Keuls test at the α=0.05 threshold.</w:t>
      </w:r>
    </w:p>
    <w:p w14:paraId="4F66A924" w14:textId="6AF54B01" w:rsidR="00201271" w:rsidRPr="00A92D29" w:rsidRDefault="00EF175D" w:rsidP="00A92D29">
      <w:pPr>
        <w:pStyle w:val="Heading2"/>
        <w:spacing w:line="360" w:lineRule="auto"/>
        <w:jc w:val="both"/>
        <w:rPr>
          <w:rFonts w:ascii="Times New Roman" w:hAnsi="Times New Roman" w:cs="Times New Roman"/>
          <w:b/>
          <w:color w:val="000000" w:themeColor="text1"/>
          <w:sz w:val="24"/>
          <w:szCs w:val="24"/>
        </w:rPr>
      </w:pPr>
      <w:bookmarkStart w:id="20" w:name="_Toc113992321"/>
      <w:r>
        <w:rPr>
          <w:rFonts w:ascii="Times New Roman" w:hAnsi="Times New Roman" w:cs="Times New Roman"/>
          <w:b/>
          <w:color w:val="000000" w:themeColor="text1"/>
          <w:sz w:val="24"/>
          <w:szCs w:val="24"/>
        </w:rPr>
        <w:t>3</w:t>
      </w:r>
      <w:r w:rsidR="00E76048" w:rsidRPr="007340DC">
        <w:rPr>
          <w:rFonts w:ascii="Times New Roman" w:hAnsi="Times New Roman" w:cs="Times New Roman"/>
          <w:b/>
          <w:color w:val="000000" w:themeColor="text1"/>
          <w:sz w:val="24"/>
          <w:szCs w:val="24"/>
        </w:rPr>
        <w:t xml:space="preserve">.1.4. </w:t>
      </w:r>
      <w:bookmarkEnd w:id="20"/>
      <w:r w:rsidR="00A92D29" w:rsidRPr="00A92D29">
        <w:rPr>
          <w:rFonts w:ascii="Times New Roman" w:hAnsi="Times New Roman" w:cs="Times New Roman"/>
          <w:b/>
          <w:color w:val="000000" w:themeColor="text1"/>
          <w:sz w:val="24"/>
          <w:szCs w:val="24"/>
        </w:rPr>
        <w:t>Impact of anthracnose on treated fruit</w:t>
      </w:r>
    </w:p>
    <w:p w14:paraId="429E77FF" w14:textId="77777777" w:rsidR="00A92D29" w:rsidRPr="00A92D29" w:rsidRDefault="00A92D29" w:rsidP="00C32CC1">
      <w:pPr>
        <w:spacing w:line="360" w:lineRule="auto"/>
        <w:jc w:val="both"/>
        <w:rPr>
          <w:rFonts w:ascii="Times New Roman" w:hAnsi="Times New Roman"/>
          <w:color w:val="000000" w:themeColor="text1"/>
        </w:rPr>
      </w:pPr>
      <w:r w:rsidRPr="00A92D29">
        <w:rPr>
          <w:rFonts w:ascii="Times New Roman" w:hAnsi="Times New Roman"/>
          <w:color w:val="000000" w:themeColor="text1"/>
        </w:rPr>
        <w:t xml:space="preserve">Symptoms of anthracnose were observed on fruit subjected to the different treatments and at varying rates depending on the storage time (Figure 6). </w:t>
      </w:r>
    </w:p>
    <w:p w14:paraId="4D6E07A7" w14:textId="30361BBF" w:rsidR="00577866" w:rsidRDefault="00A92D29" w:rsidP="00C32CC1">
      <w:pPr>
        <w:spacing w:line="360" w:lineRule="auto"/>
        <w:jc w:val="both"/>
        <w:rPr>
          <w:rFonts w:ascii="Times New Roman" w:hAnsi="Times New Roman"/>
          <w:noProof/>
          <w:color w:val="000000" w:themeColor="text1"/>
          <w:lang w:eastAsia="fr-FR"/>
        </w:rPr>
      </w:pPr>
      <w:r w:rsidRPr="00A92D29">
        <w:rPr>
          <w:rFonts w:ascii="Times New Roman" w:hAnsi="Times New Roman"/>
          <w:color w:val="000000" w:themeColor="text1"/>
        </w:rPr>
        <w:lastRenderedPageBreak/>
        <w:t>Anthracnose spots were observed on the 18</w:t>
      </w:r>
      <w:r w:rsidRPr="00326447">
        <w:rPr>
          <w:rFonts w:ascii="Times New Roman" w:hAnsi="Times New Roman"/>
          <w:color w:val="000000" w:themeColor="text1"/>
          <w:vertAlign w:val="superscript"/>
        </w:rPr>
        <w:t>th</w:t>
      </w:r>
      <w:r w:rsidRPr="00A92D29">
        <w:rPr>
          <w:rFonts w:ascii="Times New Roman" w:hAnsi="Times New Roman"/>
          <w:color w:val="000000" w:themeColor="text1"/>
        </w:rPr>
        <w:t xml:space="preserve"> day after treatment on 2.33% of fruit in treatments T2 and T5, and 01.16% of fruit in treatment T3. By day 20 of the trial, the incidence of the disease had risen sharply and the disease was observed in fruit from all treatments at varying rates too. Thus, the highest rate of infected fruit (33.77%) was obtained with treatment T3 </w:t>
      </w:r>
      <w:r w:rsidRPr="00326447">
        <w:rPr>
          <w:rFonts w:ascii="Times New Roman" w:hAnsi="Times New Roman"/>
          <w:color w:val="000000" w:themeColor="text1"/>
        </w:rPr>
        <w:t>(</w:t>
      </w:r>
      <w:r w:rsidR="00326447" w:rsidRPr="00326447">
        <w:rPr>
          <w:rFonts w:ascii="Times New Roman" w:hAnsi="Times New Roman"/>
          <w:color w:val="000000" w:themeColor="text1"/>
        </w:rPr>
        <w:t>wax based on vegetable oils</w:t>
      </w:r>
      <w:r w:rsidRPr="00326447">
        <w:rPr>
          <w:rFonts w:ascii="Times New Roman" w:hAnsi="Times New Roman"/>
          <w:color w:val="000000" w:themeColor="text1"/>
        </w:rPr>
        <w:t xml:space="preserve"> at</w:t>
      </w:r>
      <w:r w:rsidRPr="00A92D29">
        <w:rPr>
          <w:rFonts w:ascii="Times New Roman" w:hAnsi="Times New Roman"/>
          <w:color w:val="000000" w:themeColor="text1"/>
        </w:rPr>
        <w:t xml:space="preserve"> 15%), identical to those of the untreated control and the reference treatment. Treatments with </w:t>
      </w:r>
      <w:r w:rsidR="00326447" w:rsidRPr="00326447">
        <w:rPr>
          <w:rFonts w:ascii="Times New Roman" w:hAnsi="Times New Roman"/>
          <w:color w:val="000000" w:themeColor="text1"/>
        </w:rPr>
        <w:t xml:space="preserve">wax based on vegetable oils </w:t>
      </w:r>
      <w:r w:rsidRPr="00A92D29">
        <w:rPr>
          <w:rFonts w:ascii="Times New Roman" w:hAnsi="Times New Roman"/>
          <w:color w:val="000000" w:themeColor="text1"/>
        </w:rPr>
        <w:t xml:space="preserve">at 10%, </w:t>
      </w:r>
      <w:r w:rsidR="00326447" w:rsidRPr="00326447">
        <w:rPr>
          <w:rFonts w:ascii="Times New Roman" w:hAnsi="Times New Roman"/>
          <w:color w:val="000000" w:themeColor="text1"/>
        </w:rPr>
        <w:t xml:space="preserve">wax based on vegetable oils </w:t>
      </w:r>
      <w:r w:rsidRPr="00A92D29">
        <w:rPr>
          <w:rFonts w:ascii="Times New Roman" w:hAnsi="Times New Roman"/>
          <w:color w:val="000000" w:themeColor="text1"/>
        </w:rPr>
        <w:t xml:space="preserve">at 5%, and the one combining 10% </w:t>
      </w:r>
      <w:r w:rsidR="00326447" w:rsidRPr="00326447">
        <w:rPr>
          <w:rFonts w:ascii="Times New Roman" w:hAnsi="Times New Roman"/>
          <w:color w:val="000000" w:themeColor="text1"/>
        </w:rPr>
        <w:t xml:space="preserve">wax based on vegetable oils </w:t>
      </w:r>
      <w:r w:rsidRPr="00A92D29">
        <w:rPr>
          <w:rFonts w:ascii="Times New Roman" w:hAnsi="Times New Roman"/>
          <w:color w:val="000000" w:themeColor="text1"/>
        </w:rPr>
        <w:t>at 0.15% with SCHOLAR (T5) induced the lowest rate of infection.</w:t>
      </w:r>
    </w:p>
    <w:p w14:paraId="1DFED62A" w14:textId="75C55D0C" w:rsidR="00C32CC1" w:rsidRDefault="00C32CC1" w:rsidP="00716B30">
      <w:pPr>
        <w:spacing w:line="360" w:lineRule="auto"/>
        <w:jc w:val="center"/>
        <w:rPr>
          <w:rFonts w:ascii="Times New Roman" w:hAnsi="Times New Roman"/>
          <w:color w:val="000000" w:themeColor="text1"/>
        </w:rPr>
      </w:pPr>
      <w:r>
        <w:rPr>
          <w:rFonts w:ascii="Times New Roman" w:hAnsi="Times New Roman"/>
          <w:noProof/>
          <w:color w:val="000000" w:themeColor="text1"/>
          <w:lang w:val="en-US"/>
        </w:rPr>
        <w:drawing>
          <wp:inline distT="0" distB="0" distL="0" distR="0" wp14:anchorId="1DAEA93F" wp14:editId="36D874E5">
            <wp:extent cx="4267200" cy="2790113"/>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79624" cy="2798237"/>
                    </a:xfrm>
                    <a:prstGeom prst="rect">
                      <a:avLst/>
                    </a:prstGeom>
                    <a:noFill/>
                  </pic:spPr>
                </pic:pic>
              </a:graphicData>
            </a:graphic>
          </wp:inline>
        </w:drawing>
      </w:r>
    </w:p>
    <w:p w14:paraId="0502D9CB" w14:textId="77777777" w:rsidR="00577866" w:rsidRPr="00326447" w:rsidRDefault="00577866" w:rsidP="009C6868">
      <w:pPr>
        <w:spacing w:line="360" w:lineRule="auto"/>
        <w:jc w:val="center"/>
        <w:rPr>
          <w:rFonts w:ascii="Times New Roman" w:hAnsi="Times New Roman"/>
          <w:b/>
          <w:bCs/>
          <w:color w:val="000000" w:themeColor="text1"/>
        </w:rPr>
      </w:pPr>
      <w:r w:rsidRPr="00326447">
        <w:rPr>
          <w:rFonts w:ascii="Times New Roman" w:hAnsi="Times New Roman"/>
          <w:b/>
          <w:bCs/>
          <w:color w:val="000000" w:themeColor="text1"/>
        </w:rPr>
        <w:t>Figure 6: Impact of anthracnose on mangoes during storage.</w:t>
      </w:r>
    </w:p>
    <w:p w14:paraId="34C2FDB4" w14:textId="42E74600" w:rsidR="00577866" w:rsidRPr="00DD2EDF" w:rsidRDefault="00577866" w:rsidP="00DD2EDF">
      <w:pPr>
        <w:pStyle w:val="Heading2"/>
        <w:spacing w:after="240" w:line="276" w:lineRule="auto"/>
        <w:jc w:val="both"/>
        <w:rPr>
          <w:rFonts w:ascii="Times New Roman" w:eastAsia="Times New Roman" w:hAnsi="Times New Roman" w:cs="Times New Roman"/>
          <w:i/>
          <w:color w:val="000000" w:themeColor="text1"/>
          <w:sz w:val="20"/>
          <w:szCs w:val="20"/>
          <w:lang w:eastAsia="fr-FR"/>
        </w:rPr>
      </w:pPr>
      <w:bookmarkStart w:id="21" w:name="_Toc113992322"/>
      <w:r w:rsidRPr="00DD2EDF">
        <w:rPr>
          <w:rFonts w:ascii="Times New Roman" w:eastAsia="Times New Roman" w:hAnsi="Times New Roman" w:cs="Times New Roman"/>
          <w:i/>
          <w:color w:val="000000" w:themeColor="text1"/>
          <w:sz w:val="20"/>
          <w:szCs w:val="20"/>
          <w:lang w:eastAsia="fr-FR"/>
        </w:rPr>
        <w:t>Treatment 0 (T0</w:t>
      </w:r>
      <w:r w:rsidR="00326447" w:rsidRPr="00DD2EDF">
        <w:rPr>
          <w:rFonts w:ascii="Times New Roman" w:eastAsia="Times New Roman" w:hAnsi="Times New Roman" w:cs="Times New Roman"/>
          <w:i/>
          <w:color w:val="000000" w:themeColor="text1"/>
          <w:sz w:val="20"/>
          <w:szCs w:val="20"/>
          <w:lang w:eastAsia="fr-FR"/>
        </w:rPr>
        <w:t>) :</w:t>
      </w:r>
      <w:r w:rsidRPr="00DD2EDF">
        <w:rPr>
          <w:rFonts w:ascii="Times New Roman" w:eastAsia="Times New Roman" w:hAnsi="Times New Roman" w:cs="Times New Roman"/>
          <w:i/>
          <w:color w:val="000000" w:themeColor="text1"/>
          <w:sz w:val="20"/>
          <w:szCs w:val="20"/>
          <w:lang w:eastAsia="fr-FR"/>
        </w:rPr>
        <w:t xml:space="preserve"> Untreated control, washed with chlorinated </w:t>
      </w:r>
      <w:r w:rsidR="00326447" w:rsidRPr="00DD2EDF">
        <w:rPr>
          <w:rFonts w:ascii="Times New Roman" w:eastAsia="Times New Roman" w:hAnsi="Times New Roman" w:cs="Times New Roman"/>
          <w:i/>
          <w:color w:val="000000" w:themeColor="text1"/>
          <w:sz w:val="20"/>
          <w:szCs w:val="20"/>
          <w:lang w:eastAsia="fr-FR"/>
        </w:rPr>
        <w:t>water ;</w:t>
      </w:r>
      <w:r w:rsidRPr="00DD2EDF">
        <w:rPr>
          <w:rFonts w:ascii="Times New Roman" w:eastAsia="Times New Roman" w:hAnsi="Times New Roman" w:cs="Times New Roman"/>
          <w:i/>
          <w:color w:val="000000" w:themeColor="text1"/>
          <w:sz w:val="20"/>
          <w:szCs w:val="20"/>
          <w:lang w:eastAsia="fr-FR"/>
        </w:rPr>
        <w:t xml:space="preserve"> Treatment 1 (T1): Scholar Max 230 SC reference product at 0.15%; Treatment 2 (T2): </w:t>
      </w:r>
      <w:r w:rsidR="00326447" w:rsidRPr="00DD2EDF">
        <w:rPr>
          <w:rFonts w:ascii="Times New Roman" w:eastAsia="Times New Roman" w:hAnsi="Times New Roman" w:cs="Times New Roman"/>
          <w:i/>
          <w:color w:val="000000" w:themeColor="text1"/>
          <w:sz w:val="20"/>
          <w:szCs w:val="20"/>
          <w:lang w:eastAsia="fr-FR"/>
        </w:rPr>
        <w:t xml:space="preserve">wax based on vegetable oils </w:t>
      </w:r>
      <w:r w:rsidRPr="00DD2EDF">
        <w:rPr>
          <w:rFonts w:ascii="Times New Roman" w:eastAsia="Times New Roman" w:hAnsi="Times New Roman" w:cs="Times New Roman"/>
          <w:i/>
          <w:color w:val="000000" w:themeColor="text1"/>
          <w:sz w:val="20"/>
          <w:szCs w:val="20"/>
          <w:lang w:eastAsia="fr-FR"/>
        </w:rPr>
        <w:t>a</w:t>
      </w:r>
      <w:r w:rsidR="00326447" w:rsidRPr="00DD2EDF">
        <w:rPr>
          <w:rFonts w:ascii="Times New Roman" w:eastAsia="Times New Roman" w:hAnsi="Times New Roman" w:cs="Times New Roman"/>
          <w:i/>
          <w:color w:val="000000" w:themeColor="text1"/>
          <w:sz w:val="20"/>
          <w:szCs w:val="20"/>
          <w:lang w:eastAsia="fr-FR"/>
        </w:rPr>
        <w:t>t</w:t>
      </w:r>
      <w:r w:rsidRPr="00DD2EDF">
        <w:rPr>
          <w:rFonts w:ascii="Times New Roman" w:eastAsia="Times New Roman" w:hAnsi="Times New Roman" w:cs="Times New Roman"/>
          <w:i/>
          <w:color w:val="000000" w:themeColor="text1"/>
          <w:sz w:val="20"/>
          <w:szCs w:val="20"/>
          <w:lang w:eastAsia="fr-FR"/>
        </w:rPr>
        <w:t xml:space="preserve"> 10%; Treatment 3 (T3): </w:t>
      </w:r>
      <w:r w:rsidR="00326447" w:rsidRPr="00DD2EDF">
        <w:rPr>
          <w:rFonts w:ascii="Times New Roman" w:eastAsia="Times New Roman" w:hAnsi="Times New Roman" w:cs="Times New Roman"/>
          <w:i/>
          <w:color w:val="000000" w:themeColor="text1"/>
          <w:sz w:val="20"/>
          <w:szCs w:val="20"/>
          <w:lang w:eastAsia="fr-FR"/>
        </w:rPr>
        <w:t xml:space="preserve">wax based on vegetable oils </w:t>
      </w:r>
      <w:r w:rsidRPr="00DD2EDF">
        <w:rPr>
          <w:rFonts w:ascii="Times New Roman" w:eastAsia="Times New Roman" w:hAnsi="Times New Roman" w:cs="Times New Roman"/>
          <w:i/>
          <w:color w:val="000000" w:themeColor="text1"/>
          <w:sz w:val="20"/>
          <w:szCs w:val="20"/>
          <w:lang w:eastAsia="fr-FR"/>
        </w:rPr>
        <w:t xml:space="preserve">at 15%; Treatment 4 (T4): </w:t>
      </w:r>
      <w:r w:rsidR="00326447" w:rsidRPr="00DD2EDF">
        <w:rPr>
          <w:rFonts w:ascii="Times New Roman" w:eastAsia="Times New Roman" w:hAnsi="Times New Roman" w:cs="Times New Roman"/>
          <w:i/>
          <w:color w:val="000000" w:themeColor="text1"/>
          <w:sz w:val="20"/>
          <w:szCs w:val="20"/>
          <w:lang w:eastAsia="fr-FR"/>
        </w:rPr>
        <w:t xml:space="preserve">wax based on vegetable oils </w:t>
      </w:r>
      <w:r w:rsidRPr="00DD2EDF">
        <w:rPr>
          <w:rFonts w:ascii="Times New Roman" w:eastAsia="Times New Roman" w:hAnsi="Times New Roman" w:cs="Times New Roman"/>
          <w:i/>
          <w:color w:val="000000" w:themeColor="text1"/>
          <w:sz w:val="20"/>
          <w:szCs w:val="20"/>
          <w:lang w:eastAsia="fr-FR"/>
        </w:rPr>
        <w:t xml:space="preserve">at 5%; Treatment 5 (T5): Combination of </w:t>
      </w:r>
      <w:r w:rsidR="00326447" w:rsidRPr="00DD2EDF">
        <w:rPr>
          <w:rFonts w:ascii="Times New Roman" w:eastAsia="Times New Roman" w:hAnsi="Times New Roman" w:cs="Times New Roman"/>
          <w:i/>
          <w:color w:val="000000" w:themeColor="text1"/>
          <w:sz w:val="20"/>
          <w:szCs w:val="20"/>
          <w:lang w:eastAsia="fr-FR"/>
        </w:rPr>
        <w:t>wax based on vegetable oils at</w:t>
      </w:r>
      <w:r w:rsidRPr="00DD2EDF">
        <w:rPr>
          <w:rFonts w:ascii="Times New Roman" w:eastAsia="Times New Roman" w:hAnsi="Times New Roman" w:cs="Times New Roman"/>
          <w:i/>
          <w:color w:val="000000" w:themeColor="text1"/>
          <w:sz w:val="20"/>
          <w:szCs w:val="20"/>
          <w:lang w:eastAsia="fr-FR"/>
        </w:rPr>
        <w:t xml:space="preserve"> 10% and the reference product, Scholar Max 230 SC at 0.15%.  16, 18 and 20 days after treatment </w:t>
      </w:r>
    </w:p>
    <w:p w14:paraId="119D64AB" w14:textId="68DAD090" w:rsidR="00577866" w:rsidRDefault="00EF175D" w:rsidP="00577866">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3A0C1E" w:rsidRPr="007340DC">
        <w:rPr>
          <w:rFonts w:ascii="Times New Roman" w:hAnsi="Times New Roman" w:cs="Times New Roman"/>
          <w:b/>
          <w:color w:val="000000" w:themeColor="text1"/>
          <w:sz w:val="24"/>
          <w:szCs w:val="24"/>
        </w:rPr>
        <w:t xml:space="preserve">.1.5. </w:t>
      </w:r>
      <w:bookmarkStart w:id="22" w:name="_Toc113992323"/>
      <w:bookmarkEnd w:id="21"/>
      <w:r w:rsidR="00577866" w:rsidRPr="00577866">
        <w:rPr>
          <w:rFonts w:ascii="Times New Roman" w:hAnsi="Times New Roman" w:cs="Times New Roman"/>
          <w:b/>
          <w:color w:val="000000" w:themeColor="text1"/>
          <w:sz w:val="24"/>
          <w:szCs w:val="24"/>
        </w:rPr>
        <w:t>Influence of treatments on biochemical parameters</w:t>
      </w:r>
    </w:p>
    <w:p w14:paraId="07EFD788" w14:textId="22AA8B51" w:rsidR="00201271" w:rsidRPr="007340DC" w:rsidRDefault="00EF175D" w:rsidP="00577866">
      <w:pPr>
        <w:pStyle w:val="Heading2"/>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EA1DD0" w:rsidRPr="007340DC">
        <w:rPr>
          <w:rFonts w:ascii="Times New Roman" w:hAnsi="Times New Roman" w:cs="Times New Roman"/>
          <w:b/>
          <w:color w:val="000000" w:themeColor="text1"/>
        </w:rPr>
        <w:t xml:space="preserve">.1.5.1. </w:t>
      </w:r>
      <w:bookmarkEnd w:id="22"/>
      <w:r w:rsidR="00577866" w:rsidRPr="00577866">
        <w:rPr>
          <w:rFonts w:ascii="Times New Roman" w:hAnsi="Times New Roman" w:cs="Times New Roman"/>
          <w:b/>
          <w:color w:val="000000" w:themeColor="text1"/>
        </w:rPr>
        <w:t>Soluble sugar levels</w:t>
      </w:r>
    </w:p>
    <w:p w14:paraId="0CE68389" w14:textId="77777777" w:rsidR="00DD2EDF" w:rsidRDefault="00577866" w:rsidP="00DD2EDF">
      <w:pPr>
        <w:spacing w:line="360" w:lineRule="auto"/>
        <w:jc w:val="both"/>
        <w:rPr>
          <w:rFonts w:ascii="Times New Roman" w:hAnsi="Times New Roman"/>
          <w:color w:val="000000" w:themeColor="text1"/>
        </w:rPr>
      </w:pPr>
      <w:bookmarkStart w:id="23" w:name="_Hlk113294368"/>
      <w:r w:rsidRPr="00577866">
        <w:rPr>
          <w:rFonts w:ascii="Times New Roman" w:hAnsi="Times New Roman"/>
          <w:color w:val="000000" w:themeColor="text1"/>
        </w:rPr>
        <w:t>The soluble sugar levels obtained in the treated mangoes ranged from 20.17 to 21.57 °Brix (Figure 7). Treatment T3</w:t>
      </w:r>
      <w:r w:rsidR="00583FF3">
        <w:rPr>
          <w:rFonts w:ascii="Times New Roman" w:hAnsi="Times New Roman"/>
          <w:color w:val="000000" w:themeColor="text1"/>
        </w:rPr>
        <w:t xml:space="preserve"> (</w:t>
      </w:r>
      <w:r w:rsidR="00326447" w:rsidRPr="00326447">
        <w:rPr>
          <w:rFonts w:ascii="Times New Roman" w:hAnsi="Times New Roman"/>
          <w:color w:val="000000" w:themeColor="text1"/>
        </w:rPr>
        <w:t xml:space="preserve">wax based on vegetable oils </w:t>
      </w:r>
      <w:r w:rsidRPr="00577866">
        <w:rPr>
          <w:rFonts w:ascii="Times New Roman" w:hAnsi="Times New Roman"/>
          <w:color w:val="000000" w:themeColor="text1"/>
        </w:rPr>
        <w:t xml:space="preserve">at </w:t>
      </w:r>
      <w:r w:rsidR="00326447">
        <w:rPr>
          <w:rFonts w:ascii="Times New Roman" w:hAnsi="Times New Roman"/>
          <w:color w:val="000000" w:themeColor="text1"/>
        </w:rPr>
        <w:t>1</w:t>
      </w:r>
      <w:r w:rsidRPr="00577866">
        <w:rPr>
          <w:rFonts w:ascii="Times New Roman" w:hAnsi="Times New Roman"/>
          <w:color w:val="000000" w:themeColor="text1"/>
        </w:rPr>
        <w:t>5%</w:t>
      </w:r>
      <w:r w:rsidR="00583FF3">
        <w:rPr>
          <w:rFonts w:ascii="Times New Roman" w:hAnsi="Times New Roman"/>
          <w:color w:val="000000" w:themeColor="text1"/>
        </w:rPr>
        <w:t>)</w:t>
      </w:r>
      <w:r w:rsidRPr="00577866">
        <w:rPr>
          <w:rFonts w:ascii="Times New Roman" w:hAnsi="Times New Roman"/>
          <w:color w:val="000000" w:themeColor="text1"/>
        </w:rPr>
        <w:t xml:space="preserve"> and </w:t>
      </w:r>
      <w:r w:rsidR="00583FF3">
        <w:rPr>
          <w:rFonts w:ascii="Times New Roman" w:hAnsi="Times New Roman"/>
          <w:color w:val="000000" w:themeColor="text1"/>
        </w:rPr>
        <w:t>t</w:t>
      </w:r>
      <w:r w:rsidRPr="00577866">
        <w:rPr>
          <w:rFonts w:ascii="Times New Roman" w:hAnsi="Times New Roman"/>
          <w:color w:val="000000" w:themeColor="text1"/>
        </w:rPr>
        <w:t>reatment T4</w:t>
      </w:r>
      <w:r w:rsidR="00583FF3">
        <w:rPr>
          <w:rFonts w:ascii="Times New Roman" w:hAnsi="Times New Roman"/>
          <w:color w:val="000000" w:themeColor="text1"/>
        </w:rPr>
        <w:t xml:space="preserve"> (</w:t>
      </w:r>
      <w:r w:rsidR="00326447" w:rsidRPr="00326447">
        <w:rPr>
          <w:rFonts w:ascii="Times New Roman" w:hAnsi="Times New Roman"/>
          <w:color w:val="000000" w:themeColor="text1"/>
        </w:rPr>
        <w:t xml:space="preserve">wax based on vegetable oils </w:t>
      </w:r>
      <w:r w:rsidRPr="00577866">
        <w:rPr>
          <w:rFonts w:ascii="Times New Roman" w:hAnsi="Times New Roman"/>
          <w:color w:val="000000" w:themeColor="text1"/>
        </w:rPr>
        <w:t>at 5%</w:t>
      </w:r>
      <w:r w:rsidR="00583FF3">
        <w:rPr>
          <w:rFonts w:ascii="Times New Roman" w:hAnsi="Times New Roman"/>
          <w:color w:val="000000" w:themeColor="text1"/>
        </w:rPr>
        <w:t>)</w:t>
      </w:r>
      <w:r w:rsidRPr="00577866">
        <w:rPr>
          <w:rFonts w:ascii="Times New Roman" w:hAnsi="Times New Roman"/>
          <w:color w:val="000000" w:themeColor="text1"/>
        </w:rPr>
        <w:t xml:space="preserve"> induced soluble sugar levels statistically close to that of the untreated control, T0</w:t>
      </w:r>
      <w:r w:rsidR="00F645D0">
        <w:rPr>
          <w:rFonts w:ascii="Times New Roman" w:hAnsi="Times New Roman"/>
          <w:color w:val="000000" w:themeColor="text1"/>
        </w:rPr>
        <w:t>.</w:t>
      </w:r>
      <w:r w:rsidRPr="00577866">
        <w:rPr>
          <w:rFonts w:ascii="Times New Roman" w:hAnsi="Times New Roman"/>
          <w:color w:val="000000" w:themeColor="text1"/>
        </w:rPr>
        <w:t xml:space="preserve">  However, the reference treatment T1 had the</w:t>
      </w:r>
      <w:r w:rsidR="00F645D0">
        <w:rPr>
          <w:rFonts w:ascii="Times New Roman" w:hAnsi="Times New Roman"/>
          <w:color w:val="000000" w:themeColor="text1"/>
        </w:rPr>
        <w:t xml:space="preserve"> </w:t>
      </w:r>
      <w:r w:rsidRPr="00577866">
        <w:rPr>
          <w:rFonts w:ascii="Times New Roman" w:hAnsi="Times New Roman"/>
          <w:color w:val="000000" w:themeColor="text1"/>
        </w:rPr>
        <w:t>lowest sugar level (20.2 °Brix). T2</w:t>
      </w:r>
      <w:r w:rsidR="00DD2EDF">
        <w:rPr>
          <w:rFonts w:ascii="Times New Roman" w:hAnsi="Times New Roman"/>
          <w:color w:val="000000" w:themeColor="text1"/>
        </w:rPr>
        <w:t xml:space="preserve"> a</w:t>
      </w:r>
      <w:r w:rsidRPr="00577866">
        <w:rPr>
          <w:rFonts w:ascii="Times New Roman" w:hAnsi="Times New Roman"/>
          <w:color w:val="000000" w:themeColor="text1"/>
        </w:rPr>
        <w:t>nd T5 gave the highest soluble sugar levels at 21.5 °Brix.</w:t>
      </w:r>
    </w:p>
    <w:p w14:paraId="70A197F0" w14:textId="77777777" w:rsidR="00DD2EDF" w:rsidRDefault="00DD2EDF">
      <w:pPr>
        <w:spacing w:after="160" w:line="259" w:lineRule="auto"/>
        <w:rPr>
          <w:rFonts w:ascii="Times New Roman" w:hAnsi="Times New Roman"/>
          <w:color w:val="000000" w:themeColor="text1"/>
        </w:rPr>
      </w:pPr>
      <w:r>
        <w:rPr>
          <w:rFonts w:ascii="Times New Roman" w:hAnsi="Times New Roman"/>
          <w:color w:val="000000" w:themeColor="text1"/>
        </w:rPr>
        <w:br w:type="page"/>
      </w:r>
    </w:p>
    <w:p w14:paraId="067780E0" w14:textId="0250CBA8" w:rsidR="009C3BC5" w:rsidRPr="007340DC" w:rsidRDefault="00716B30" w:rsidP="00DD2EDF">
      <w:pPr>
        <w:jc w:val="both"/>
        <w:rPr>
          <w:rFonts w:ascii="Times New Roman" w:hAnsi="Times New Roman"/>
          <w:color w:val="000000" w:themeColor="text1"/>
        </w:rPr>
      </w:pPr>
      <w:r>
        <w:rPr>
          <w:rFonts w:ascii="Times New Roman" w:hAnsi="Times New Roman"/>
          <w:noProof/>
          <w:color w:val="000000" w:themeColor="text1"/>
          <w:lang w:val="en-US"/>
        </w:rPr>
        <w:lastRenderedPageBreak/>
        <w:drawing>
          <wp:inline distT="0" distB="0" distL="0" distR="0" wp14:anchorId="7B7F2BD6" wp14:editId="588DE66A">
            <wp:extent cx="4779119" cy="27813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82426" cy="2783225"/>
                    </a:xfrm>
                    <a:prstGeom prst="rect">
                      <a:avLst/>
                    </a:prstGeom>
                    <a:noFill/>
                  </pic:spPr>
                </pic:pic>
              </a:graphicData>
            </a:graphic>
          </wp:inline>
        </w:drawing>
      </w:r>
    </w:p>
    <w:p w14:paraId="07925A61" w14:textId="77777777" w:rsidR="00577866" w:rsidRPr="00F645D0" w:rsidRDefault="009C3BC5" w:rsidP="009C6868">
      <w:pPr>
        <w:spacing w:line="360" w:lineRule="auto"/>
        <w:jc w:val="center"/>
        <w:rPr>
          <w:rFonts w:ascii="Times New Roman" w:hAnsi="Times New Roman"/>
          <w:b/>
          <w:bCs/>
          <w:color w:val="000000" w:themeColor="text1"/>
        </w:rPr>
      </w:pPr>
      <w:r w:rsidRPr="00F645D0">
        <w:rPr>
          <w:rFonts w:ascii="Times New Roman" w:hAnsi="Times New Roman"/>
          <w:b/>
          <w:bCs/>
          <w:color w:val="000000" w:themeColor="text1"/>
        </w:rPr>
        <w:t xml:space="preserve">Figure </w:t>
      </w:r>
      <w:r w:rsidR="00914987" w:rsidRPr="00F645D0">
        <w:rPr>
          <w:rFonts w:ascii="Times New Roman" w:hAnsi="Times New Roman"/>
          <w:b/>
          <w:bCs/>
          <w:color w:val="000000" w:themeColor="text1"/>
        </w:rPr>
        <w:t>7</w:t>
      </w:r>
      <w:r w:rsidRPr="00F645D0">
        <w:rPr>
          <w:rFonts w:ascii="Times New Roman" w:hAnsi="Times New Roman"/>
          <w:b/>
          <w:bCs/>
          <w:color w:val="000000" w:themeColor="text1"/>
        </w:rPr>
        <w:t xml:space="preserve"> : </w:t>
      </w:r>
      <w:r w:rsidR="00577866" w:rsidRPr="00F645D0">
        <w:rPr>
          <w:rFonts w:ascii="Times New Roman" w:hAnsi="Times New Roman"/>
          <w:b/>
          <w:bCs/>
          <w:color w:val="000000" w:themeColor="text1"/>
        </w:rPr>
        <w:t>Soluble sugar levels in fruit according to treatment.</w:t>
      </w:r>
    </w:p>
    <w:p w14:paraId="29A3CFB0" w14:textId="7FE9F500" w:rsidR="00577866" w:rsidRPr="00DD2EDF" w:rsidRDefault="00577866" w:rsidP="00DD2EDF">
      <w:pPr>
        <w:pStyle w:val="Heading3"/>
        <w:spacing w:after="240"/>
        <w:jc w:val="both"/>
        <w:rPr>
          <w:rFonts w:ascii="Times New Roman" w:eastAsia="Times New Roman" w:hAnsi="Times New Roman" w:cs="Times New Roman"/>
          <w:i/>
          <w:color w:val="000000" w:themeColor="text1"/>
          <w:sz w:val="20"/>
          <w:lang w:eastAsia="fr-FR"/>
        </w:rPr>
      </w:pPr>
      <w:bookmarkStart w:id="24" w:name="_Toc113992324"/>
      <w:bookmarkEnd w:id="23"/>
      <w:r w:rsidRPr="00DD2EDF">
        <w:rPr>
          <w:rFonts w:ascii="Times New Roman" w:eastAsia="Times New Roman" w:hAnsi="Times New Roman" w:cs="Times New Roman"/>
          <w:i/>
          <w:color w:val="000000" w:themeColor="text1"/>
          <w:sz w:val="20"/>
          <w:lang w:eastAsia="fr-FR"/>
        </w:rPr>
        <w:t xml:space="preserve">Treatment T0: Untreated control, washed with chlorinated water; Treatment T1: Scholar Max 230 SC reference product at 0.15%; Treatment T2: </w:t>
      </w:r>
      <w:r w:rsidR="00F645D0" w:rsidRPr="00DD2EDF">
        <w:rPr>
          <w:rFonts w:ascii="Times New Roman" w:eastAsia="Times New Roman" w:hAnsi="Times New Roman" w:cs="Times New Roman"/>
          <w:i/>
          <w:color w:val="000000" w:themeColor="text1"/>
          <w:sz w:val="20"/>
          <w:lang w:eastAsia="fr-FR"/>
        </w:rPr>
        <w:t xml:space="preserve">wax based on vegetable oils at </w:t>
      </w:r>
      <w:r w:rsidRPr="00DD2EDF">
        <w:rPr>
          <w:rFonts w:ascii="Times New Roman" w:eastAsia="Times New Roman" w:hAnsi="Times New Roman" w:cs="Times New Roman"/>
          <w:i/>
          <w:color w:val="000000" w:themeColor="text1"/>
          <w:sz w:val="20"/>
          <w:lang w:eastAsia="fr-FR"/>
        </w:rPr>
        <w:t xml:space="preserve">10%; Treatment T3: </w:t>
      </w:r>
      <w:r w:rsidR="00F645D0" w:rsidRPr="00DD2EDF">
        <w:rPr>
          <w:rFonts w:ascii="Times New Roman" w:eastAsia="Times New Roman" w:hAnsi="Times New Roman" w:cs="Times New Roman"/>
          <w:i/>
          <w:color w:val="000000" w:themeColor="text1"/>
          <w:sz w:val="20"/>
          <w:lang w:eastAsia="fr-FR"/>
        </w:rPr>
        <w:t xml:space="preserve">wax based on vegetable oils at </w:t>
      </w:r>
      <w:r w:rsidRPr="00DD2EDF">
        <w:rPr>
          <w:rFonts w:ascii="Times New Roman" w:eastAsia="Times New Roman" w:hAnsi="Times New Roman" w:cs="Times New Roman"/>
          <w:i/>
          <w:color w:val="000000" w:themeColor="text1"/>
          <w:sz w:val="20"/>
          <w:lang w:eastAsia="fr-FR"/>
        </w:rPr>
        <w:t xml:space="preserve">15%; Treatment T4: </w:t>
      </w:r>
      <w:r w:rsidR="00F645D0" w:rsidRPr="00DD2EDF">
        <w:rPr>
          <w:rFonts w:ascii="Times New Roman" w:eastAsia="Times New Roman" w:hAnsi="Times New Roman" w:cs="Times New Roman"/>
          <w:i/>
          <w:color w:val="000000" w:themeColor="text1"/>
          <w:sz w:val="20"/>
          <w:lang w:eastAsia="fr-FR"/>
        </w:rPr>
        <w:t xml:space="preserve">wax based on vegetable oils at </w:t>
      </w:r>
      <w:r w:rsidRPr="00DD2EDF">
        <w:rPr>
          <w:rFonts w:ascii="Times New Roman" w:eastAsia="Times New Roman" w:hAnsi="Times New Roman" w:cs="Times New Roman"/>
          <w:i/>
          <w:color w:val="000000" w:themeColor="text1"/>
          <w:sz w:val="20"/>
          <w:lang w:eastAsia="fr-FR"/>
        </w:rPr>
        <w:t xml:space="preserve">5%; Treatment T5: Combination of </w:t>
      </w:r>
      <w:r w:rsidR="00F645D0" w:rsidRPr="00DD2EDF">
        <w:rPr>
          <w:rFonts w:ascii="Times New Roman" w:eastAsia="Times New Roman" w:hAnsi="Times New Roman" w:cs="Times New Roman"/>
          <w:i/>
          <w:color w:val="000000" w:themeColor="text1"/>
          <w:sz w:val="20"/>
          <w:lang w:eastAsia="fr-FR"/>
        </w:rPr>
        <w:t>wax based on vegetable oils at</w:t>
      </w:r>
      <w:r w:rsidRPr="00DD2EDF">
        <w:rPr>
          <w:rFonts w:ascii="Times New Roman" w:eastAsia="Times New Roman" w:hAnsi="Times New Roman" w:cs="Times New Roman"/>
          <w:i/>
          <w:color w:val="000000" w:themeColor="text1"/>
          <w:sz w:val="20"/>
          <w:lang w:eastAsia="fr-FR"/>
        </w:rPr>
        <w:t xml:space="preserve"> 10% and the reference product, Scholar Max 230 SC at 0.15%.</w:t>
      </w:r>
    </w:p>
    <w:p w14:paraId="17917E9D" w14:textId="79CFA175" w:rsidR="00201271" w:rsidRPr="00577866" w:rsidRDefault="00EF175D" w:rsidP="00577866">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EA1DD0" w:rsidRPr="007340DC">
        <w:rPr>
          <w:rFonts w:ascii="Times New Roman" w:hAnsi="Times New Roman" w:cs="Times New Roman"/>
          <w:b/>
          <w:color w:val="000000" w:themeColor="text1"/>
        </w:rPr>
        <w:t xml:space="preserve">.1.5.2. </w:t>
      </w:r>
      <w:bookmarkEnd w:id="24"/>
      <w:r w:rsidR="00577866" w:rsidRPr="00577866">
        <w:rPr>
          <w:rFonts w:ascii="Times New Roman" w:hAnsi="Times New Roman" w:cs="Times New Roman"/>
          <w:b/>
          <w:color w:val="000000" w:themeColor="text1"/>
        </w:rPr>
        <w:t>Titratable acidity</w:t>
      </w:r>
    </w:p>
    <w:p w14:paraId="3AB6F320" w14:textId="1799DBE8" w:rsidR="00577866" w:rsidRDefault="00577866" w:rsidP="00577866">
      <w:pPr>
        <w:spacing w:line="360" w:lineRule="auto"/>
        <w:jc w:val="both"/>
        <w:rPr>
          <w:rFonts w:ascii="Times New Roman" w:hAnsi="Times New Roman"/>
          <w:color w:val="000000" w:themeColor="text1"/>
        </w:rPr>
      </w:pPr>
      <w:bookmarkStart w:id="25" w:name="_Hlk113294392"/>
      <w:r w:rsidRPr="00577866">
        <w:rPr>
          <w:rFonts w:ascii="Times New Roman" w:hAnsi="Times New Roman"/>
          <w:color w:val="000000" w:themeColor="text1"/>
        </w:rPr>
        <w:t>The average titratable acidity of treated mangoes ranged from 7.13 to 9.90 mEq.10-2 g (Figure 8). Analysis of Figure 8 shows that the treatments did not significantly influence fruit acidity (p&gt; 0.05).</w:t>
      </w:r>
    </w:p>
    <w:p w14:paraId="04961F7D" w14:textId="77777777" w:rsidR="00577866" w:rsidRDefault="00577866" w:rsidP="00EA1DD0">
      <w:pPr>
        <w:spacing w:line="360" w:lineRule="auto"/>
        <w:jc w:val="center"/>
        <w:rPr>
          <w:rFonts w:ascii="Times New Roman" w:hAnsi="Times New Roman"/>
          <w:color w:val="000000" w:themeColor="text1"/>
        </w:rPr>
      </w:pPr>
    </w:p>
    <w:p w14:paraId="62464637" w14:textId="276DCF50" w:rsidR="00EA1DD0" w:rsidRPr="007340DC" w:rsidRDefault="00577866" w:rsidP="00EA1DD0">
      <w:pPr>
        <w:spacing w:line="360" w:lineRule="auto"/>
        <w:jc w:val="center"/>
        <w:rPr>
          <w:rFonts w:ascii="Times New Roman" w:hAnsi="Times New Roman"/>
          <w:color w:val="000000" w:themeColor="text1"/>
        </w:rPr>
      </w:pPr>
      <w:r w:rsidRPr="00577866">
        <w:rPr>
          <w:rFonts w:ascii="Times New Roman" w:hAnsi="Times New Roman"/>
          <w:color w:val="000000" w:themeColor="text1"/>
        </w:rPr>
        <w:t xml:space="preserve"> </w:t>
      </w:r>
      <w:r w:rsidR="00EA1DD0" w:rsidRPr="007340DC">
        <w:rPr>
          <w:rFonts w:ascii="Times New Roman" w:hAnsi="Times New Roman"/>
          <w:noProof/>
          <w:color w:val="000000" w:themeColor="text1"/>
          <w:lang w:val="en-US"/>
        </w:rPr>
        <w:drawing>
          <wp:inline distT="0" distB="0" distL="0" distR="0" wp14:anchorId="28EDB204" wp14:editId="60EA827E">
            <wp:extent cx="3749879" cy="2097248"/>
            <wp:effectExtent l="0" t="0" r="3175" b="17780"/>
            <wp:docPr id="16" name="Graphique 16">
              <a:extLst xmlns:a="http://schemas.openxmlformats.org/drawingml/2006/main">
                <a:ext uri="{FF2B5EF4-FFF2-40B4-BE49-F238E27FC236}">
                  <a16:creationId xmlns:a16="http://schemas.microsoft.com/office/drawing/2014/main" id="{02DB0734-C550-8591-067A-19068A563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7810429" w14:textId="77777777" w:rsidR="00577866" w:rsidRPr="00F645D0" w:rsidRDefault="00577866" w:rsidP="009C6868">
      <w:pPr>
        <w:spacing w:line="360" w:lineRule="auto"/>
        <w:jc w:val="center"/>
        <w:rPr>
          <w:rFonts w:ascii="Times New Roman" w:hAnsi="Times New Roman"/>
          <w:b/>
          <w:bCs/>
          <w:color w:val="000000" w:themeColor="text1"/>
        </w:rPr>
      </w:pPr>
      <w:r w:rsidRPr="00F645D0">
        <w:rPr>
          <w:rFonts w:ascii="Times New Roman" w:hAnsi="Times New Roman"/>
          <w:b/>
          <w:bCs/>
          <w:color w:val="000000" w:themeColor="text1"/>
        </w:rPr>
        <w:t>Figure 8: Titratable acidity of mangoes according to treatment.</w:t>
      </w:r>
    </w:p>
    <w:p w14:paraId="27234610" w14:textId="77777777" w:rsidR="004D2A18" w:rsidRPr="00DD2EDF" w:rsidRDefault="00577866" w:rsidP="00DD2EDF">
      <w:pPr>
        <w:pStyle w:val="Heading3"/>
        <w:spacing w:before="0"/>
        <w:jc w:val="both"/>
        <w:rPr>
          <w:rFonts w:ascii="Times New Roman" w:eastAsia="Times New Roman" w:hAnsi="Times New Roman" w:cs="Times New Roman"/>
          <w:i/>
          <w:color w:val="000000" w:themeColor="text1"/>
          <w:sz w:val="20"/>
          <w:lang w:eastAsia="fr-FR"/>
        </w:rPr>
      </w:pPr>
      <w:bookmarkStart w:id="26" w:name="_Toc113992325"/>
      <w:r w:rsidRPr="00DD2EDF">
        <w:rPr>
          <w:rFonts w:ascii="Times New Roman" w:eastAsia="Times New Roman" w:hAnsi="Times New Roman" w:cs="Times New Roman"/>
          <w:i/>
          <w:color w:val="000000" w:themeColor="text1"/>
          <w:sz w:val="20"/>
          <w:lang w:eastAsia="fr-FR"/>
        </w:rPr>
        <w:t>Treatment T0: Untreated control, washed with chlorinated water; Treatment T1: Scholar Max 230 SC reference product at 0.15%; Treatment T2</w:t>
      </w:r>
      <w:r w:rsidR="008B4F00" w:rsidRPr="00DD2EDF">
        <w:rPr>
          <w:rFonts w:ascii="Times New Roman" w:eastAsia="Times New Roman" w:hAnsi="Times New Roman" w:cs="Times New Roman"/>
          <w:i/>
          <w:color w:val="000000" w:themeColor="text1"/>
          <w:sz w:val="20"/>
          <w:lang w:eastAsia="fr-FR"/>
        </w:rPr>
        <w:t> :</w:t>
      </w:r>
      <w:r w:rsidR="008B4F00" w:rsidRPr="00DD2EDF">
        <w:rPr>
          <w:sz w:val="36"/>
          <w:szCs w:val="36"/>
        </w:rPr>
        <w:t xml:space="preserve"> </w:t>
      </w:r>
      <w:r w:rsidR="008B4F00" w:rsidRPr="00DD2EDF">
        <w:rPr>
          <w:rFonts w:ascii="Times New Roman" w:eastAsia="Times New Roman" w:hAnsi="Times New Roman" w:cs="Times New Roman"/>
          <w:i/>
          <w:color w:val="000000" w:themeColor="text1"/>
          <w:sz w:val="20"/>
          <w:lang w:eastAsia="fr-FR"/>
        </w:rPr>
        <w:t>wax based on vegetable oils</w:t>
      </w:r>
      <w:r w:rsidRPr="00DD2EDF">
        <w:rPr>
          <w:rFonts w:ascii="Times New Roman" w:eastAsia="Times New Roman" w:hAnsi="Times New Roman" w:cs="Times New Roman"/>
          <w:i/>
          <w:color w:val="000000" w:themeColor="text1"/>
          <w:sz w:val="20"/>
          <w:lang w:eastAsia="fr-FR"/>
        </w:rPr>
        <w:t xml:space="preserve"> </w:t>
      </w:r>
      <w:r w:rsidR="008B4F00" w:rsidRPr="00DD2EDF">
        <w:rPr>
          <w:rFonts w:ascii="Times New Roman" w:eastAsia="Times New Roman" w:hAnsi="Times New Roman" w:cs="Times New Roman"/>
          <w:i/>
          <w:color w:val="000000" w:themeColor="text1"/>
          <w:sz w:val="20"/>
          <w:lang w:eastAsia="fr-FR"/>
        </w:rPr>
        <w:t xml:space="preserve">at </w:t>
      </w:r>
      <w:r w:rsidRPr="00DD2EDF">
        <w:rPr>
          <w:rFonts w:ascii="Times New Roman" w:eastAsia="Times New Roman" w:hAnsi="Times New Roman" w:cs="Times New Roman"/>
          <w:i/>
          <w:color w:val="000000" w:themeColor="text1"/>
          <w:sz w:val="20"/>
          <w:lang w:eastAsia="fr-FR"/>
        </w:rPr>
        <w:t>10%; Treatment T3:</w:t>
      </w:r>
      <w:r w:rsidR="008B4F00" w:rsidRPr="00DD2EDF">
        <w:rPr>
          <w:sz w:val="36"/>
          <w:szCs w:val="36"/>
        </w:rPr>
        <w:t xml:space="preserve"> </w:t>
      </w:r>
      <w:r w:rsidR="008B4F00" w:rsidRPr="00DD2EDF">
        <w:rPr>
          <w:rFonts w:ascii="Times New Roman" w:eastAsia="Times New Roman" w:hAnsi="Times New Roman" w:cs="Times New Roman"/>
          <w:i/>
          <w:color w:val="000000" w:themeColor="text1"/>
          <w:sz w:val="20"/>
          <w:lang w:eastAsia="fr-FR"/>
        </w:rPr>
        <w:t>wax based on vegetable oils</w:t>
      </w:r>
      <w:r w:rsidRPr="00DD2EDF">
        <w:rPr>
          <w:rFonts w:ascii="Times New Roman" w:eastAsia="Times New Roman" w:hAnsi="Times New Roman" w:cs="Times New Roman"/>
          <w:i/>
          <w:color w:val="000000" w:themeColor="text1"/>
          <w:sz w:val="20"/>
          <w:lang w:eastAsia="fr-FR"/>
        </w:rPr>
        <w:t xml:space="preserve"> at 15%; Treatment T4: </w:t>
      </w:r>
      <w:r w:rsidR="008B4F00" w:rsidRPr="00DD2EDF">
        <w:rPr>
          <w:rFonts w:ascii="Times New Roman" w:eastAsia="Times New Roman" w:hAnsi="Times New Roman" w:cs="Times New Roman"/>
          <w:i/>
          <w:color w:val="000000" w:themeColor="text1"/>
          <w:sz w:val="20"/>
          <w:lang w:eastAsia="fr-FR"/>
        </w:rPr>
        <w:t xml:space="preserve">wax based on vegetable oils </w:t>
      </w:r>
      <w:r w:rsidRPr="00DD2EDF">
        <w:rPr>
          <w:rFonts w:ascii="Times New Roman" w:eastAsia="Times New Roman" w:hAnsi="Times New Roman" w:cs="Times New Roman"/>
          <w:i/>
          <w:color w:val="000000" w:themeColor="text1"/>
          <w:sz w:val="20"/>
          <w:lang w:eastAsia="fr-FR"/>
        </w:rPr>
        <w:t xml:space="preserve">at 5% ; Treatment T5: Combination of </w:t>
      </w:r>
      <w:r w:rsidR="004D2A18" w:rsidRPr="00DD2EDF">
        <w:rPr>
          <w:rFonts w:ascii="Times New Roman" w:eastAsia="Times New Roman" w:hAnsi="Times New Roman" w:cs="Times New Roman"/>
          <w:i/>
          <w:color w:val="000000" w:themeColor="text1"/>
          <w:sz w:val="20"/>
          <w:lang w:eastAsia="fr-FR"/>
        </w:rPr>
        <w:t>wax based on vegetable oils at</w:t>
      </w:r>
      <w:r w:rsidRPr="00DD2EDF">
        <w:rPr>
          <w:rFonts w:ascii="Times New Roman" w:eastAsia="Times New Roman" w:hAnsi="Times New Roman" w:cs="Times New Roman"/>
          <w:i/>
          <w:color w:val="000000" w:themeColor="text1"/>
          <w:sz w:val="20"/>
          <w:lang w:eastAsia="fr-FR"/>
        </w:rPr>
        <w:t xml:space="preserve"> 10% and the reference product, Scholar Max 230 SC at 0.15</w:t>
      </w:r>
      <w:proofErr w:type="gramStart"/>
      <w:r w:rsidRPr="00DD2EDF">
        <w:rPr>
          <w:rFonts w:ascii="Times New Roman" w:eastAsia="Times New Roman" w:hAnsi="Times New Roman" w:cs="Times New Roman"/>
          <w:i/>
          <w:color w:val="000000" w:themeColor="text1"/>
          <w:sz w:val="20"/>
          <w:lang w:eastAsia="fr-FR"/>
        </w:rPr>
        <w:t>% .</w:t>
      </w:r>
      <w:proofErr w:type="gramEnd"/>
      <w:r w:rsidRPr="00DD2EDF">
        <w:rPr>
          <w:rFonts w:ascii="Times New Roman" w:eastAsia="Times New Roman" w:hAnsi="Times New Roman" w:cs="Times New Roman"/>
          <w:i/>
          <w:color w:val="000000" w:themeColor="text1"/>
          <w:sz w:val="20"/>
          <w:lang w:eastAsia="fr-FR"/>
        </w:rPr>
        <w:t xml:space="preserve"> </w:t>
      </w:r>
    </w:p>
    <w:p w14:paraId="711C6723" w14:textId="021C6943" w:rsidR="00DD2EDF" w:rsidRDefault="00577866" w:rsidP="00DD2EDF">
      <w:pPr>
        <w:pStyle w:val="Heading3"/>
        <w:spacing w:before="0" w:after="240"/>
        <w:jc w:val="both"/>
        <w:rPr>
          <w:rFonts w:ascii="Times New Roman" w:eastAsia="Times New Roman" w:hAnsi="Times New Roman" w:cs="Times New Roman"/>
          <w:i/>
          <w:color w:val="000000" w:themeColor="text1"/>
          <w:sz w:val="20"/>
          <w:lang w:eastAsia="fr-FR"/>
        </w:rPr>
      </w:pPr>
      <w:r w:rsidRPr="00DD2EDF">
        <w:rPr>
          <w:rFonts w:ascii="Times New Roman" w:eastAsia="Times New Roman" w:hAnsi="Times New Roman" w:cs="Times New Roman"/>
          <w:i/>
          <w:color w:val="000000" w:themeColor="text1"/>
          <w:sz w:val="20"/>
          <w:lang w:eastAsia="fr-FR"/>
        </w:rPr>
        <w:t>Error bars topped by the same letters are statistically identical according to the Newman-Keuls test at the α=0.05 threshold.</w:t>
      </w:r>
    </w:p>
    <w:p w14:paraId="16FED987" w14:textId="77777777" w:rsidR="00DD2EDF" w:rsidRDefault="00DD2EDF">
      <w:pPr>
        <w:spacing w:after="160" w:line="259" w:lineRule="auto"/>
        <w:rPr>
          <w:rFonts w:ascii="Times New Roman" w:eastAsia="Times New Roman" w:hAnsi="Times New Roman"/>
          <w:i/>
          <w:color w:val="000000" w:themeColor="text1"/>
          <w:sz w:val="20"/>
          <w:lang w:eastAsia="fr-FR"/>
        </w:rPr>
      </w:pPr>
      <w:r>
        <w:rPr>
          <w:rFonts w:ascii="Times New Roman" w:eastAsia="Times New Roman" w:hAnsi="Times New Roman"/>
          <w:i/>
          <w:color w:val="000000" w:themeColor="text1"/>
          <w:sz w:val="20"/>
          <w:lang w:eastAsia="fr-FR"/>
        </w:rPr>
        <w:br w:type="page"/>
      </w:r>
    </w:p>
    <w:p w14:paraId="78636908" w14:textId="06FC08FD" w:rsidR="00201271" w:rsidRPr="007340DC" w:rsidRDefault="00EF175D" w:rsidP="00EA280A">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3</w:t>
      </w:r>
      <w:r w:rsidR="00EA1DD0" w:rsidRPr="007340DC">
        <w:rPr>
          <w:rFonts w:ascii="Times New Roman" w:hAnsi="Times New Roman" w:cs="Times New Roman"/>
          <w:b/>
          <w:color w:val="000000" w:themeColor="text1"/>
        </w:rPr>
        <w:t xml:space="preserve">.1.5.3. </w:t>
      </w:r>
      <w:proofErr w:type="gramStart"/>
      <w:r w:rsidR="00201271" w:rsidRPr="007340DC">
        <w:rPr>
          <w:rFonts w:ascii="Times New Roman" w:hAnsi="Times New Roman" w:cs="Times New Roman"/>
          <w:b/>
          <w:color w:val="000000" w:themeColor="text1"/>
        </w:rPr>
        <w:t>pH</w:t>
      </w:r>
      <w:bookmarkEnd w:id="26"/>
      <w:proofErr w:type="gramEnd"/>
    </w:p>
    <w:bookmarkEnd w:id="25"/>
    <w:p w14:paraId="20C8C163" w14:textId="69575499" w:rsidR="00897C1C" w:rsidRDefault="00897C1C" w:rsidP="00217573">
      <w:pPr>
        <w:spacing w:line="360" w:lineRule="auto"/>
        <w:jc w:val="center"/>
        <w:rPr>
          <w:rFonts w:ascii="Times New Roman" w:hAnsi="Times New Roman"/>
          <w:color w:val="000000" w:themeColor="text1"/>
        </w:rPr>
      </w:pPr>
      <w:r w:rsidRPr="00897C1C">
        <w:rPr>
          <w:rFonts w:ascii="Times New Roman" w:hAnsi="Times New Roman"/>
          <w:color w:val="000000" w:themeColor="text1"/>
        </w:rPr>
        <w:t xml:space="preserve">The pH of the fruit varied according to the treatments (Figure 9). The 5% (T4) and 15% (T3) doses of </w:t>
      </w:r>
      <w:r w:rsidR="004D2A18" w:rsidRPr="004D2A18">
        <w:rPr>
          <w:rFonts w:ascii="Times New Roman" w:hAnsi="Times New Roman"/>
          <w:color w:val="000000" w:themeColor="text1"/>
        </w:rPr>
        <w:t xml:space="preserve">wax based on vegetable oils </w:t>
      </w:r>
      <w:r w:rsidRPr="00897C1C">
        <w:rPr>
          <w:rFonts w:ascii="Times New Roman" w:hAnsi="Times New Roman"/>
          <w:color w:val="000000" w:themeColor="text1"/>
        </w:rPr>
        <w:t xml:space="preserve">produced the highest pH, with values of 6.15 and 6.32 respectively. These pH values are much higher than those of the reference control (4.70) and the untreated control (4.67). </w:t>
      </w:r>
    </w:p>
    <w:p w14:paraId="0B0BDFE4" w14:textId="293992FD"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noProof/>
          <w:color w:val="000000" w:themeColor="text1"/>
          <w:lang w:val="en-US"/>
        </w:rPr>
        <w:drawing>
          <wp:inline distT="0" distB="0" distL="0" distR="0" wp14:anchorId="18862D51" wp14:editId="3399127E">
            <wp:extent cx="3741490" cy="2189526"/>
            <wp:effectExtent l="0" t="0" r="11430" b="1270"/>
            <wp:docPr id="17" name="Graphique 17">
              <a:extLst xmlns:a="http://schemas.openxmlformats.org/drawingml/2006/main">
                <a:ext uri="{FF2B5EF4-FFF2-40B4-BE49-F238E27FC236}">
                  <a16:creationId xmlns:a16="http://schemas.microsoft.com/office/drawing/2014/main" id="{D98E6AE6-712E-8A82-59D0-9427139527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FB24CDE" w14:textId="1A6DBED0" w:rsidR="009C6868" w:rsidRPr="004D2A18" w:rsidRDefault="00201271" w:rsidP="009C6868">
      <w:pPr>
        <w:spacing w:line="360" w:lineRule="auto"/>
        <w:jc w:val="center"/>
        <w:rPr>
          <w:rFonts w:ascii="Times New Roman" w:hAnsi="Times New Roman"/>
          <w:b/>
          <w:bCs/>
          <w:color w:val="000000" w:themeColor="text1"/>
        </w:rPr>
      </w:pPr>
      <w:r w:rsidRPr="004D2A18">
        <w:rPr>
          <w:rFonts w:ascii="Times New Roman" w:hAnsi="Times New Roman"/>
          <w:b/>
          <w:bCs/>
          <w:color w:val="000000" w:themeColor="text1"/>
        </w:rPr>
        <w:t xml:space="preserve">Figure </w:t>
      </w:r>
      <w:r w:rsidR="009C6868" w:rsidRPr="004D2A18">
        <w:rPr>
          <w:rFonts w:ascii="Times New Roman" w:hAnsi="Times New Roman"/>
          <w:b/>
          <w:bCs/>
          <w:color w:val="000000" w:themeColor="text1"/>
        </w:rPr>
        <w:t>9</w:t>
      </w:r>
      <w:r w:rsidRPr="004D2A18">
        <w:rPr>
          <w:rFonts w:ascii="Times New Roman" w:hAnsi="Times New Roman"/>
          <w:b/>
          <w:bCs/>
          <w:color w:val="000000" w:themeColor="text1"/>
        </w:rPr>
        <w:t xml:space="preserve"> : </w:t>
      </w:r>
      <w:r w:rsidR="00897C1C" w:rsidRPr="004D2A18">
        <w:rPr>
          <w:rFonts w:ascii="Times New Roman" w:hAnsi="Times New Roman"/>
          <w:b/>
          <w:bCs/>
          <w:color w:val="000000" w:themeColor="text1"/>
        </w:rPr>
        <w:t>pH of mangoes according to treatment</w:t>
      </w:r>
    </w:p>
    <w:p w14:paraId="6E218F6E" w14:textId="76371B73" w:rsidR="00897C1C" w:rsidRDefault="00897C1C" w:rsidP="00DD2EDF">
      <w:pPr>
        <w:pStyle w:val="Heading3"/>
        <w:spacing w:before="0" w:after="240"/>
        <w:jc w:val="both"/>
        <w:rPr>
          <w:rFonts w:ascii="Times New Roman" w:eastAsia="Times New Roman" w:hAnsi="Times New Roman" w:cs="Times New Roman"/>
          <w:i/>
          <w:color w:val="000000" w:themeColor="text1"/>
          <w:sz w:val="20"/>
          <w:lang w:eastAsia="fr-FR"/>
        </w:rPr>
      </w:pPr>
      <w:bookmarkStart w:id="27" w:name="_Toc113992326"/>
      <w:bookmarkStart w:id="28" w:name="_Hlk113294435"/>
      <w:r w:rsidRPr="00DD2EDF">
        <w:rPr>
          <w:rFonts w:ascii="Times New Roman" w:eastAsia="Times New Roman" w:hAnsi="Times New Roman" w:cs="Times New Roman"/>
          <w:i/>
          <w:color w:val="000000" w:themeColor="text1"/>
          <w:sz w:val="20"/>
          <w:lang w:eastAsia="fr-FR"/>
        </w:rPr>
        <w:t xml:space="preserve">Treatment T0: Untreated control, washed with chlorinated water; Treatment T1: Scholar Max 230 SC reference product at a dose of 0.15%; Treatment T2: </w:t>
      </w:r>
      <w:r w:rsidR="004D2A18" w:rsidRPr="00DD2EDF">
        <w:rPr>
          <w:rFonts w:ascii="Times New Roman" w:eastAsia="Times New Roman" w:hAnsi="Times New Roman" w:cs="Times New Roman"/>
          <w:i/>
          <w:color w:val="000000" w:themeColor="text1"/>
          <w:sz w:val="20"/>
          <w:lang w:eastAsia="fr-FR"/>
        </w:rPr>
        <w:t xml:space="preserve">wax based on vegetable oils at </w:t>
      </w:r>
      <w:r w:rsidRPr="00DD2EDF">
        <w:rPr>
          <w:rFonts w:ascii="Times New Roman" w:eastAsia="Times New Roman" w:hAnsi="Times New Roman" w:cs="Times New Roman"/>
          <w:i/>
          <w:color w:val="000000" w:themeColor="text1"/>
          <w:sz w:val="20"/>
          <w:lang w:eastAsia="fr-FR"/>
        </w:rPr>
        <w:t xml:space="preserve">10%; Treatment T3: </w:t>
      </w:r>
      <w:r w:rsidR="004D2A18" w:rsidRPr="00DD2EDF">
        <w:rPr>
          <w:rFonts w:ascii="Times New Roman" w:eastAsia="Times New Roman" w:hAnsi="Times New Roman" w:cs="Times New Roman"/>
          <w:i/>
          <w:color w:val="000000" w:themeColor="text1"/>
          <w:sz w:val="20"/>
          <w:lang w:eastAsia="fr-FR"/>
        </w:rPr>
        <w:t>wax based on vegetable oils at</w:t>
      </w:r>
      <w:r w:rsidRPr="00DD2EDF">
        <w:rPr>
          <w:rFonts w:ascii="Times New Roman" w:eastAsia="Times New Roman" w:hAnsi="Times New Roman" w:cs="Times New Roman"/>
          <w:i/>
          <w:color w:val="000000" w:themeColor="text1"/>
          <w:sz w:val="20"/>
          <w:lang w:eastAsia="fr-FR"/>
        </w:rPr>
        <w:t xml:space="preserve"> 15%; Treatment T4: </w:t>
      </w:r>
      <w:r w:rsidR="004D2A18" w:rsidRPr="00DD2EDF">
        <w:rPr>
          <w:rFonts w:ascii="Times New Roman" w:eastAsia="Times New Roman" w:hAnsi="Times New Roman" w:cs="Times New Roman"/>
          <w:i/>
          <w:color w:val="000000" w:themeColor="text1"/>
          <w:sz w:val="20"/>
          <w:lang w:eastAsia="fr-FR"/>
        </w:rPr>
        <w:t xml:space="preserve">wax based on vegetable oils at </w:t>
      </w:r>
      <w:r w:rsidRPr="00DD2EDF">
        <w:rPr>
          <w:rFonts w:ascii="Times New Roman" w:eastAsia="Times New Roman" w:hAnsi="Times New Roman" w:cs="Times New Roman"/>
          <w:i/>
          <w:color w:val="000000" w:themeColor="text1"/>
          <w:sz w:val="20"/>
          <w:lang w:eastAsia="fr-FR"/>
        </w:rPr>
        <w:t xml:space="preserve">5%; Treatment T5: Combination of </w:t>
      </w:r>
      <w:r w:rsidR="004D2A18" w:rsidRPr="00DD2EDF">
        <w:rPr>
          <w:rFonts w:ascii="Times New Roman" w:eastAsia="Times New Roman" w:hAnsi="Times New Roman" w:cs="Times New Roman"/>
          <w:i/>
          <w:color w:val="000000" w:themeColor="text1"/>
          <w:sz w:val="20"/>
          <w:lang w:eastAsia="fr-FR"/>
        </w:rPr>
        <w:t>wax based on vegetable oils at</w:t>
      </w:r>
      <w:r w:rsidRPr="00DD2EDF">
        <w:rPr>
          <w:rFonts w:ascii="Times New Roman" w:eastAsia="Times New Roman" w:hAnsi="Times New Roman" w:cs="Times New Roman"/>
          <w:i/>
          <w:color w:val="000000" w:themeColor="text1"/>
          <w:sz w:val="20"/>
          <w:lang w:eastAsia="fr-FR"/>
        </w:rPr>
        <w:t xml:space="preserve"> 10% and the reference product, Scholar Max 230 SC at 0.15</w:t>
      </w:r>
      <w:proofErr w:type="gramStart"/>
      <w:r w:rsidRPr="00DD2EDF">
        <w:rPr>
          <w:rFonts w:ascii="Times New Roman" w:eastAsia="Times New Roman" w:hAnsi="Times New Roman" w:cs="Times New Roman"/>
          <w:i/>
          <w:color w:val="000000" w:themeColor="text1"/>
          <w:sz w:val="20"/>
          <w:lang w:eastAsia="fr-FR"/>
        </w:rPr>
        <w:t>% .</w:t>
      </w:r>
      <w:proofErr w:type="gramEnd"/>
      <w:r w:rsidRPr="00DD2EDF">
        <w:rPr>
          <w:rFonts w:ascii="Times New Roman" w:eastAsia="Times New Roman" w:hAnsi="Times New Roman" w:cs="Times New Roman"/>
          <w:i/>
          <w:color w:val="000000" w:themeColor="text1"/>
          <w:sz w:val="20"/>
          <w:lang w:eastAsia="fr-FR"/>
        </w:rPr>
        <w:t xml:space="preserve"> Error bars topped by the same letters are statistically identical according to the Newman-Keuls test at the α=0.05 threshold.</w:t>
      </w:r>
    </w:p>
    <w:p w14:paraId="5FE952E2" w14:textId="77777777" w:rsidR="00DD2EDF" w:rsidRPr="00DD2EDF" w:rsidRDefault="00DD2EDF" w:rsidP="00DD2EDF">
      <w:pPr>
        <w:rPr>
          <w:lang w:eastAsia="fr-FR"/>
        </w:rPr>
      </w:pPr>
    </w:p>
    <w:p w14:paraId="09901009" w14:textId="070F87B3" w:rsidR="00201271" w:rsidRPr="007340DC" w:rsidRDefault="00EF175D" w:rsidP="00EA280A">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222A19" w:rsidRPr="007340DC">
        <w:rPr>
          <w:rFonts w:ascii="Times New Roman" w:hAnsi="Times New Roman" w:cs="Times New Roman"/>
          <w:b/>
          <w:color w:val="000000" w:themeColor="text1"/>
        </w:rPr>
        <w:t xml:space="preserve">.1.5.4. </w:t>
      </w:r>
      <w:bookmarkEnd w:id="27"/>
      <w:r w:rsidR="00C12A03" w:rsidRPr="00C12A03">
        <w:rPr>
          <w:rFonts w:ascii="Times New Roman" w:hAnsi="Times New Roman" w:cs="Times New Roman"/>
          <w:b/>
          <w:color w:val="000000" w:themeColor="text1"/>
        </w:rPr>
        <w:t>Sugar/acidity ratio of processed mangoes (flavour index)</w:t>
      </w:r>
    </w:p>
    <w:p w14:paraId="0003FCEF" w14:textId="77777777" w:rsidR="00DD2EDF" w:rsidRDefault="00C12A03" w:rsidP="00C12A03">
      <w:pPr>
        <w:spacing w:line="360" w:lineRule="auto"/>
        <w:jc w:val="both"/>
        <w:rPr>
          <w:rFonts w:ascii="Times New Roman" w:hAnsi="Times New Roman"/>
          <w:color w:val="000000" w:themeColor="text1"/>
        </w:rPr>
      </w:pPr>
      <w:r w:rsidRPr="00C12A03">
        <w:rPr>
          <w:rFonts w:ascii="Times New Roman" w:hAnsi="Times New Roman"/>
          <w:color w:val="000000" w:themeColor="text1"/>
        </w:rPr>
        <w:t>Figure 10 shows the sugar/acidity ratio (flavour index) of the fruit as a function of the treatments. The analysis showed that the treatments had a significant effect on the flavour index. Treatments T2 (</w:t>
      </w:r>
      <w:r w:rsidR="004D2A18" w:rsidRPr="004D2A18">
        <w:rPr>
          <w:rFonts w:ascii="Times New Roman" w:hAnsi="Times New Roman"/>
          <w:color w:val="000000" w:themeColor="text1"/>
        </w:rPr>
        <w:t xml:space="preserve">wax based on vegetable oils </w:t>
      </w:r>
      <w:r w:rsidR="004D2A18">
        <w:rPr>
          <w:rFonts w:ascii="Times New Roman" w:hAnsi="Times New Roman"/>
          <w:color w:val="000000" w:themeColor="text1"/>
        </w:rPr>
        <w:t xml:space="preserve">at </w:t>
      </w:r>
      <w:r w:rsidRPr="00C12A03">
        <w:rPr>
          <w:rFonts w:ascii="Times New Roman" w:hAnsi="Times New Roman"/>
          <w:color w:val="000000" w:themeColor="text1"/>
        </w:rPr>
        <w:t>10%), T3 (</w:t>
      </w:r>
      <w:r w:rsidR="004D2A18" w:rsidRPr="004D2A18">
        <w:rPr>
          <w:rFonts w:ascii="Times New Roman" w:hAnsi="Times New Roman"/>
          <w:color w:val="000000" w:themeColor="text1"/>
        </w:rPr>
        <w:t xml:space="preserve">wax based on vegetable oils at </w:t>
      </w:r>
      <w:r w:rsidRPr="004D2A18">
        <w:rPr>
          <w:rFonts w:ascii="Times New Roman" w:hAnsi="Times New Roman"/>
          <w:color w:val="000000" w:themeColor="text1"/>
        </w:rPr>
        <w:t>15</w:t>
      </w:r>
      <w:r w:rsidRPr="00C12A03">
        <w:rPr>
          <w:rFonts w:ascii="Times New Roman" w:hAnsi="Times New Roman"/>
          <w:color w:val="000000" w:themeColor="text1"/>
        </w:rPr>
        <w:t>%) and T5 (</w:t>
      </w:r>
      <w:r w:rsidR="004D2A18" w:rsidRPr="004D2A18">
        <w:rPr>
          <w:rFonts w:ascii="Times New Roman" w:hAnsi="Times New Roman"/>
          <w:color w:val="000000" w:themeColor="text1"/>
        </w:rPr>
        <w:t xml:space="preserve">wax based on vegetable oils </w:t>
      </w:r>
      <w:r w:rsidR="004D2A18">
        <w:rPr>
          <w:rFonts w:ascii="Times New Roman" w:hAnsi="Times New Roman"/>
          <w:color w:val="000000" w:themeColor="text1"/>
        </w:rPr>
        <w:t>at</w:t>
      </w:r>
      <w:r w:rsidRPr="00C12A03">
        <w:rPr>
          <w:rFonts w:ascii="Times New Roman" w:hAnsi="Times New Roman"/>
          <w:color w:val="000000" w:themeColor="text1"/>
        </w:rPr>
        <w:t xml:space="preserve"> 10%+Scholar 0.15%) showed higher sugar/acidity ratios than the other treatments. Treatments T0, T4 (</w:t>
      </w:r>
      <w:r w:rsidR="004D2A18" w:rsidRPr="004D2A18">
        <w:rPr>
          <w:rFonts w:ascii="Times New Roman" w:hAnsi="Times New Roman"/>
          <w:color w:val="000000" w:themeColor="text1"/>
        </w:rPr>
        <w:t xml:space="preserve">wax based on vegetable oils </w:t>
      </w:r>
      <w:r w:rsidR="004D2A18">
        <w:rPr>
          <w:rFonts w:ascii="Times New Roman" w:hAnsi="Times New Roman"/>
          <w:color w:val="000000" w:themeColor="text1"/>
        </w:rPr>
        <w:t xml:space="preserve">at </w:t>
      </w:r>
      <w:r w:rsidRPr="00C12A03">
        <w:rPr>
          <w:rFonts w:ascii="Times New Roman" w:hAnsi="Times New Roman"/>
          <w:color w:val="000000" w:themeColor="text1"/>
        </w:rPr>
        <w:t>5%) and T1 (reference control) had the lowest values. However, these were statistically identical (values between 2 and 2.5).</w:t>
      </w:r>
    </w:p>
    <w:p w14:paraId="26077C76" w14:textId="77777777" w:rsidR="00DD2EDF" w:rsidRDefault="00DD2EDF">
      <w:pPr>
        <w:spacing w:after="160" w:line="259" w:lineRule="auto"/>
        <w:rPr>
          <w:rFonts w:ascii="Times New Roman" w:hAnsi="Times New Roman"/>
          <w:color w:val="000000" w:themeColor="text1"/>
        </w:rPr>
      </w:pPr>
      <w:r>
        <w:rPr>
          <w:rFonts w:ascii="Times New Roman" w:hAnsi="Times New Roman"/>
          <w:color w:val="000000" w:themeColor="text1"/>
        </w:rPr>
        <w:br w:type="page"/>
      </w:r>
    </w:p>
    <w:p w14:paraId="1A91D23E" w14:textId="340B068F" w:rsidR="00201271" w:rsidRPr="007340DC" w:rsidRDefault="00201271" w:rsidP="00C12A03">
      <w:pPr>
        <w:spacing w:line="360" w:lineRule="auto"/>
        <w:jc w:val="both"/>
        <w:rPr>
          <w:rFonts w:ascii="Times New Roman" w:hAnsi="Times New Roman"/>
          <w:color w:val="000000" w:themeColor="text1"/>
        </w:rPr>
      </w:pPr>
      <w:r w:rsidRPr="007340DC">
        <w:rPr>
          <w:rFonts w:ascii="Times New Roman" w:hAnsi="Times New Roman"/>
          <w:noProof/>
          <w:color w:val="000000" w:themeColor="text1"/>
          <w:lang w:val="en-US"/>
        </w:rPr>
        <w:lastRenderedPageBreak/>
        <w:drawing>
          <wp:inline distT="0" distB="0" distL="0" distR="0" wp14:anchorId="0629C6FE" wp14:editId="46E3786B">
            <wp:extent cx="4667250" cy="2551430"/>
            <wp:effectExtent l="0" t="0" r="0" b="1270"/>
            <wp:docPr id="39" name="Graphique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73B5CE7" w14:textId="5A9A4C8D" w:rsidR="00201271" w:rsidRPr="00BD3D6D" w:rsidRDefault="00C12A03" w:rsidP="00BD3D6D">
      <w:pPr>
        <w:spacing w:after="240" w:line="360" w:lineRule="auto"/>
        <w:ind w:firstLine="851"/>
        <w:jc w:val="both"/>
        <w:rPr>
          <w:rFonts w:ascii="Times New Roman" w:hAnsi="Times New Roman"/>
          <w:b/>
          <w:bCs/>
          <w:color w:val="000000" w:themeColor="text1"/>
        </w:rPr>
      </w:pPr>
      <w:r w:rsidRPr="00BD3D6D">
        <w:rPr>
          <w:rFonts w:ascii="Times New Roman" w:hAnsi="Times New Roman"/>
          <w:b/>
          <w:bCs/>
          <w:color w:val="000000" w:themeColor="text1"/>
        </w:rPr>
        <w:t>Figure 10 : Rapport sucre/acidité des mangues par traitement</w:t>
      </w:r>
    </w:p>
    <w:p w14:paraId="2D58E04E" w14:textId="77777777" w:rsidR="00BD3D6D" w:rsidRDefault="00C12A03" w:rsidP="00A02301">
      <w:pPr>
        <w:jc w:val="both"/>
        <w:rPr>
          <w:rFonts w:ascii="Times New Roman" w:eastAsia="Times New Roman" w:hAnsi="Times New Roman"/>
          <w:i/>
          <w:color w:val="000000" w:themeColor="text1"/>
          <w:sz w:val="20"/>
          <w:szCs w:val="20"/>
          <w:lang w:eastAsia="fr-FR"/>
        </w:rPr>
      </w:pPr>
      <w:r w:rsidRPr="00A02301">
        <w:rPr>
          <w:rFonts w:ascii="Times New Roman" w:eastAsia="Times New Roman" w:hAnsi="Times New Roman"/>
          <w:i/>
          <w:color w:val="000000" w:themeColor="text1"/>
          <w:sz w:val="20"/>
          <w:szCs w:val="20"/>
          <w:lang w:eastAsia="fr-FR"/>
        </w:rPr>
        <w:t xml:space="preserve">Treatment T0: Untreated control, washed with chlorinated water; Treatment T1: Scholar Max 230 SC reference product at a 0.15%; Treatment T2: </w:t>
      </w:r>
      <w:r w:rsidR="004D2A18" w:rsidRPr="00A02301">
        <w:rPr>
          <w:rFonts w:ascii="Times New Roman" w:eastAsia="Times New Roman" w:hAnsi="Times New Roman"/>
          <w:i/>
          <w:color w:val="000000" w:themeColor="text1"/>
          <w:sz w:val="20"/>
          <w:szCs w:val="20"/>
          <w:lang w:eastAsia="fr-FR"/>
        </w:rPr>
        <w:t>wax based on vegetable oils</w:t>
      </w:r>
      <w:r w:rsidR="00BD3D6D" w:rsidRPr="00A02301">
        <w:rPr>
          <w:rFonts w:ascii="Times New Roman" w:eastAsia="Times New Roman" w:hAnsi="Times New Roman"/>
          <w:i/>
          <w:color w:val="000000" w:themeColor="text1"/>
          <w:sz w:val="20"/>
          <w:szCs w:val="20"/>
          <w:lang w:eastAsia="fr-FR"/>
        </w:rPr>
        <w:t xml:space="preserve"> at</w:t>
      </w:r>
      <w:r w:rsidRPr="00A02301">
        <w:rPr>
          <w:rFonts w:ascii="Times New Roman" w:eastAsia="Times New Roman" w:hAnsi="Times New Roman"/>
          <w:i/>
          <w:color w:val="000000" w:themeColor="text1"/>
          <w:sz w:val="20"/>
          <w:szCs w:val="20"/>
          <w:lang w:eastAsia="fr-FR"/>
        </w:rPr>
        <w:t xml:space="preserve"> 10%; Treatment T3: </w:t>
      </w:r>
      <w:r w:rsidR="00BD3D6D" w:rsidRPr="00A02301">
        <w:rPr>
          <w:rFonts w:ascii="Times New Roman" w:eastAsia="Times New Roman" w:hAnsi="Times New Roman"/>
          <w:i/>
          <w:color w:val="000000" w:themeColor="text1"/>
          <w:sz w:val="20"/>
          <w:szCs w:val="20"/>
          <w:lang w:eastAsia="fr-FR"/>
        </w:rPr>
        <w:t xml:space="preserve">wax based on vegetable oils at </w:t>
      </w:r>
      <w:r w:rsidRPr="00A02301">
        <w:rPr>
          <w:rFonts w:ascii="Times New Roman" w:eastAsia="Times New Roman" w:hAnsi="Times New Roman"/>
          <w:i/>
          <w:color w:val="000000" w:themeColor="text1"/>
          <w:sz w:val="20"/>
          <w:szCs w:val="20"/>
          <w:lang w:eastAsia="fr-FR"/>
        </w:rPr>
        <w:t xml:space="preserve">15%; Treatment T4: </w:t>
      </w:r>
      <w:r w:rsidR="00BD3D6D" w:rsidRPr="00A02301">
        <w:rPr>
          <w:rFonts w:ascii="Times New Roman" w:eastAsia="Times New Roman" w:hAnsi="Times New Roman"/>
          <w:i/>
          <w:color w:val="000000" w:themeColor="text1"/>
          <w:sz w:val="20"/>
          <w:szCs w:val="20"/>
          <w:lang w:eastAsia="fr-FR"/>
        </w:rPr>
        <w:t xml:space="preserve">wax based on vegetable oils </w:t>
      </w:r>
      <w:r w:rsidRPr="00A02301">
        <w:rPr>
          <w:rFonts w:ascii="Times New Roman" w:eastAsia="Times New Roman" w:hAnsi="Times New Roman"/>
          <w:i/>
          <w:color w:val="000000" w:themeColor="text1"/>
          <w:sz w:val="20"/>
          <w:szCs w:val="20"/>
          <w:lang w:eastAsia="fr-FR"/>
        </w:rPr>
        <w:t xml:space="preserve">at the 5% dose; Treatment T5: Combination of </w:t>
      </w:r>
      <w:r w:rsidR="00BD3D6D" w:rsidRPr="00A02301">
        <w:rPr>
          <w:rFonts w:ascii="Times New Roman" w:eastAsia="Times New Roman" w:hAnsi="Times New Roman"/>
          <w:i/>
          <w:color w:val="000000" w:themeColor="text1"/>
          <w:sz w:val="20"/>
          <w:szCs w:val="20"/>
          <w:lang w:eastAsia="fr-FR"/>
        </w:rPr>
        <w:t xml:space="preserve">wax based on vegetable oils at </w:t>
      </w:r>
      <w:r w:rsidRPr="00A02301">
        <w:rPr>
          <w:rFonts w:ascii="Times New Roman" w:eastAsia="Times New Roman" w:hAnsi="Times New Roman"/>
          <w:i/>
          <w:color w:val="000000" w:themeColor="text1"/>
          <w:sz w:val="20"/>
          <w:szCs w:val="20"/>
          <w:lang w:eastAsia="fr-FR"/>
        </w:rPr>
        <w:t>10% and the reference product, Scholar Max 230 SC at 0.15% dose. Error bars topped by the same letters are statistically identical according to the Newman-Keuls test at the α=0.05 threshold.</w:t>
      </w:r>
    </w:p>
    <w:p w14:paraId="0ED595FF" w14:textId="77777777" w:rsidR="00A02301" w:rsidRPr="00A02301" w:rsidRDefault="00A02301" w:rsidP="00A02301">
      <w:pPr>
        <w:jc w:val="both"/>
        <w:rPr>
          <w:rFonts w:ascii="Times New Roman" w:eastAsia="Times New Roman" w:hAnsi="Times New Roman"/>
          <w:i/>
          <w:color w:val="000000" w:themeColor="text1"/>
          <w:sz w:val="20"/>
          <w:szCs w:val="20"/>
          <w:lang w:eastAsia="fr-FR"/>
        </w:rPr>
      </w:pPr>
    </w:p>
    <w:p w14:paraId="0E457C5F" w14:textId="6C1644C3"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noProof/>
          <w:color w:val="000000" w:themeColor="text1"/>
          <w:lang w:val="en-US"/>
        </w:rPr>
        <w:drawing>
          <wp:inline distT="0" distB="0" distL="0" distR="0" wp14:anchorId="6B75FC37" wp14:editId="29480307">
            <wp:extent cx="4541415" cy="2625754"/>
            <wp:effectExtent l="0" t="0" r="12065" b="3175"/>
            <wp:docPr id="40" name="Graphique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FAFA55E" w14:textId="77777777" w:rsidR="00C12A03" w:rsidRPr="00BD3D6D" w:rsidRDefault="00C12A03" w:rsidP="009C6868">
      <w:pPr>
        <w:spacing w:line="360" w:lineRule="auto"/>
        <w:jc w:val="center"/>
        <w:rPr>
          <w:rFonts w:ascii="Times New Roman" w:hAnsi="Times New Roman"/>
          <w:b/>
          <w:bCs/>
          <w:color w:val="000000" w:themeColor="text1"/>
        </w:rPr>
      </w:pPr>
      <w:r w:rsidRPr="00BD3D6D">
        <w:rPr>
          <w:rFonts w:ascii="Times New Roman" w:hAnsi="Times New Roman"/>
          <w:b/>
          <w:bCs/>
          <w:color w:val="000000" w:themeColor="text1"/>
        </w:rPr>
        <w:t>Figure 11: Changes in the sugar/acidity ratio of mangoes according to treatments</w:t>
      </w:r>
    </w:p>
    <w:p w14:paraId="1FBBF5CC" w14:textId="3D88BB9B" w:rsidR="00B37DB9" w:rsidRDefault="00C12A03" w:rsidP="00A02301">
      <w:pPr>
        <w:ind w:firstLine="567"/>
        <w:jc w:val="both"/>
        <w:rPr>
          <w:rFonts w:ascii="Times New Roman" w:eastAsia="Times New Roman" w:hAnsi="Times New Roman"/>
          <w:i/>
          <w:color w:val="000000" w:themeColor="text1"/>
          <w:sz w:val="20"/>
          <w:lang w:eastAsia="fr-FR"/>
        </w:rPr>
      </w:pPr>
      <w:r w:rsidRPr="00A02301">
        <w:rPr>
          <w:rFonts w:ascii="Times New Roman" w:eastAsia="Times New Roman" w:hAnsi="Times New Roman"/>
          <w:i/>
          <w:color w:val="000000" w:themeColor="text1"/>
          <w:sz w:val="20"/>
          <w:lang w:eastAsia="fr-FR"/>
        </w:rPr>
        <w:t>Treatment T</w:t>
      </w:r>
      <w:r w:rsidR="00BD3D6D" w:rsidRPr="00A02301">
        <w:rPr>
          <w:rFonts w:ascii="Times New Roman" w:eastAsia="Times New Roman" w:hAnsi="Times New Roman"/>
          <w:i/>
          <w:color w:val="000000" w:themeColor="text1"/>
          <w:sz w:val="20"/>
          <w:lang w:eastAsia="fr-FR"/>
        </w:rPr>
        <w:t>0 :</w:t>
      </w:r>
      <w:r w:rsidRPr="00A02301">
        <w:rPr>
          <w:rFonts w:ascii="Times New Roman" w:eastAsia="Times New Roman" w:hAnsi="Times New Roman"/>
          <w:i/>
          <w:color w:val="000000" w:themeColor="text1"/>
          <w:sz w:val="20"/>
          <w:lang w:eastAsia="fr-FR"/>
        </w:rPr>
        <w:t xml:space="preserve"> Untreated control, washed with chlorinated </w:t>
      </w:r>
      <w:r w:rsidR="00BD3D6D" w:rsidRPr="00A02301">
        <w:rPr>
          <w:rFonts w:ascii="Times New Roman" w:eastAsia="Times New Roman" w:hAnsi="Times New Roman"/>
          <w:i/>
          <w:color w:val="000000" w:themeColor="text1"/>
          <w:sz w:val="20"/>
          <w:lang w:eastAsia="fr-FR"/>
        </w:rPr>
        <w:t>water ;</w:t>
      </w:r>
      <w:r w:rsidRPr="00A02301">
        <w:rPr>
          <w:rFonts w:ascii="Times New Roman" w:eastAsia="Times New Roman" w:hAnsi="Times New Roman"/>
          <w:i/>
          <w:color w:val="000000" w:themeColor="text1"/>
          <w:sz w:val="20"/>
          <w:lang w:eastAsia="fr-FR"/>
        </w:rPr>
        <w:t xml:space="preserve"> Treatment T1: Scholar Max 230 SC reference product at 0.15%; </w:t>
      </w:r>
      <w:proofErr w:type="gramStart"/>
      <w:r w:rsidRPr="00A02301">
        <w:rPr>
          <w:rFonts w:ascii="Times New Roman" w:eastAsia="Times New Roman" w:hAnsi="Times New Roman"/>
          <w:i/>
          <w:color w:val="000000" w:themeColor="text1"/>
          <w:sz w:val="20"/>
          <w:lang w:eastAsia="fr-FR"/>
        </w:rPr>
        <w:t>Treatment  T</w:t>
      </w:r>
      <w:proofErr w:type="gramEnd"/>
      <w:r w:rsidR="00BD3D6D" w:rsidRPr="00A02301">
        <w:rPr>
          <w:rFonts w:ascii="Times New Roman" w:eastAsia="Times New Roman" w:hAnsi="Times New Roman"/>
          <w:i/>
          <w:color w:val="000000" w:themeColor="text1"/>
          <w:sz w:val="20"/>
          <w:lang w:eastAsia="fr-FR"/>
        </w:rPr>
        <w:t>2 </w:t>
      </w:r>
      <w:bookmarkStart w:id="29" w:name="_Hlk194327109"/>
      <w:r w:rsidR="00BD3D6D" w:rsidRPr="00A02301">
        <w:rPr>
          <w:rFonts w:ascii="Times New Roman" w:eastAsia="Times New Roman" w:hAnsi="Times New Roman"/>
          <w:i/>
          <w:color w:val="000000" w:themeColor="text1"/>
          <w:sz w:val="20"/>
          <w:lang w:eastAsia="fr-FR"/>
        </w:rPr>
        <w:t xml:space="preserve">: </w:t>
      </w:r>
      <w:bookmarkStart w:id="30" w:name="_Hlk194326242"/>
      <w:r w:rsidR="00BD3D6D" w:rsidRPr="00A02301">
        <w:rPr>
          <w:rFonts w:ascii="Times New Roman" w:eastAsia="Times New Roman" w:hAnsi="Times New Roman"/>
          <w:i/>
          <w:color w:val="000000" w:themeColor="text1"/>
          <w:sz w:val="20"/>
          <w:lang w:eastAsia="fr-FR"/>
        </w:rPr>
        <w:t>wax based on vegetable oils</w:t>
      </w:r>
      <w:r w:rsidRPr="00A02301">
        <w:rPr>
          <w:rFonts w:ascii="Times New Roman" w:eastAsia="Times New Roman" w:hAnsi="Times New Roman"/>
          <w:i/>
          <w:color w:val="000000" w:themeColor="text1"/>
          <w:sz w:val="20"/>
          <w:lang w:eastAsia="fr-FR"/>
        </w:rPr>
        <w:t xml:space="preserve"> </w:t>
      </w:r>
      <w:bookmarkEnd w:id="29"/>
      <w:bookmarkEnd w:id="30"/>
      <w:r w:rsidR="00BD3D6D" w:rsidRPr="00A02301">
        <w:rPr>
          <w:rFonts w:ascii="Times New Roman" w:eastAsia="Times New Roman" w:hAnsi="Times New Roman"/>
          <w:i/>
          <w:color w:val="000000" w:themeColor="text1"/>
          <w:sz w:val="20"/>
          <w:lang w:eastAsia="fr-FR"/>
        </w:rPr>
        <w:t xml:space="preserve">at </w:t>
      </w:r>
      <w:r w:rsidRPr="00A02301">
        <w:rPr>
          <w:rFonts w:ascii="Times New Roman" w:eastAsia="Times New Roman" w:hAnsi="Times New Roman"/>
          <w:i/>
          <w:color w:val="000000" w:themeColor="text1"/>
          <w:sz w:val="20"/>
          <w:lang w:eastAsia="fr-FR"/>
        </w:rPr>
        <w:t xml:space="preserve">10%; Treatment T3: </w:t>
      </w:r>
      <w:r w:rsidR="00BD3D6D" w:rsidRPr="00A02301">
        <w:rPr>
          <w:rFonts w:ascii="Times New Roman" w:eastAsia="Times New Roman" w:hAnsi="Times New Roman"/>
          <w:i/>
          <w:color w:val="000000" w:themeColor="text1"/>
          <w:sz w:val="20"/>
          <w:lang w:eastAsia="fr-FR"/>
        </w:rPr>
        <w:t xml:space="preserve">wax based on vegetable oils at </w:t>
      </w:r>
      <w:r w:rsidRPr="00A02301">
        <w:rPr>
          <w:rFonts w:ascii="Times New Roman" w:eastAsia="Times New Roman" w:hAnsi="Times New Roman"/>
          <w:i/>
          <w:color w:val="000000" w:themeColor="text1"/>
          <w:sz w:val="20"/>
          <w:lang w:eastAsia="fr-FR"/>
        </w:rPr>
        <w:t xml:space="preserve">15%; Treatment T4: </w:t>
      </w:r>
      <w:r w:rsidR="00BD3D6D" w:rsidRPr="00A02301">
        <w:rPr>
          <w:rFonts w:ascii="Times New Roman" w:eastAsia="Times New Roman" w:hAnsi="Times New Roman"/>
          <w:i/>
          <w:color w:val="000000" w:themeColor="text1"/>
          <w:sz w:val="20"/>
          <w:lang w:eastAsia="fr-FR"/>
        </w:rPr>
        <w:t xml:space="preserve">wax based on vegetable oils at </w:t>
      </w:r>
      <w:r w:rsidRPr="00A02301">
        <w:rPr>
          <w:rFonts w:ascii="Times New Roman" w:eastAsia="Times New Roman" w:hAnsi="Times New Roman"/>
          <w:i/>
          <w:color w:val="000000" w:themeColor="text1"/>
          <w:sz w:val="20"/>
          <w:lang w:eastAsia="fr-FR"/>
        </w:rPr>
        <w:t xml:space="preserve">5%; Treatment  T5: Combination of </w:t>
      </w:r>
      <w:r w:rsidR="00BD3D6D" w:rsidRPr="00A02301">
        <w:rPr>
          <w:rFonts w:ascii="Times New Roman" w:eastAsia="Times New Roman" w:hAnsi="Times New Roman"/>
          <w:i/>
          <w:color w:val="000000" w:themeColor="text1"/>
          <w:sz w:val="20"/>
          <w:lang w:eastAsia="fr-FR"/>
        </w:rPr>
        <w:t xml:space="preserve">wax based on vegetable oils at </w:t>
      </w:r>
      <w:r w:rsidRPr="00A02301">
        <w:rPr>
          <w:rFonts w:ascii="Times New Roman" w:eastAsia="Times New Roman" w:hAnsi="Times New Roman"/>
          <w:i/>
          <w:color w:val="000000" w:themeColor="text1"/>
          <w:sz w:val="20"/>
          <w:lang w:eastAsia="fr-FR"/>
        </w:rPr>
        <w:t>10% and the reference product, Scholar Max 230 SC at 0.15%.</w:t>
      </w:r>
    </w:p>
    <w:p w14:paraId="3C5669E1" w14:textId="77777777" w:rsidR="00A02301" w:rsidRPr="00A02301" w:rsidRDefault="00A02301" w:rsidP="00A02301">
      <w:pPr>
        <w:ind w:firstLine="567"/>
        <w:jc w:val="both"/>
        <w:rPr>
          <w:rFonts w:ascii="Times New Roman" w:hAnsi="Times New Roman"/>
          <w:color w:val="000000" w:themeColor="text1"/>
          <w:sz w:val="36"/>
          <w:szCs w:val="36"/>
        </w:rPr>
      </w:pPr>
    </w:p>
    <w:bookmarkEnd w:id="28"/>
    <w:p w14:paraId="637BB385" w14:textId="7C8A4245" w:rsidR="00C12A03" w:rsidRDefault="00EF175D" w:rsidP="00C12A03">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B37DB9" w:rsidRPr="007340DC">
        <w:rPr>
          <w:rFonts w:ascii="Times New Roman" w:hAnsi="Times New Roman" w:cs="Times New Roman"/>
          <w:b/>
          <w:color w:val="000000" w:themeColor="text1"/>
        </w:rPr>
        <w:t xml:space="preserve">.1.5.5. </w:t>
      </w:r>
      <w:r w:rsidR="00C12A03" w:rsidRPr="00C12A03">
        <w:rPr>
          <w:rFonts w:ascii="Times New Roman" w:hAnsi="Times New Roman" w:cs="Times New Roman"/>
          <w:b/>
          <w:color w:val="000000" w:themeColor="text1"/>
        </w:rPr>
        <w:t>Screening treatments using principal component analysis</w:t>
      </w:r>
    </w:p>
    <w:p w14:paraId="1FB6F57F" w14:textId="77777777" w:rsidR="00A02301" w:rsidRPr="00A02301" w:rsidRDefault="008E663D" w:rsidP="008E663D">
      <w:pPr>
        <w:spacing w:line="360" w:lineRule="auto"/>
        <w:jc w:val="both"/>
        <w:rPr>
          <w:rFonts w:ascii="Times New Roman" w:hAnsi="Times New Roman"/>
        </w:rPr>
      </w:pPr>
      <w:r w:rsidRPr="00A02301">
        <w:rPr>
          <w:rFonts w:ascii="Times New Roman" w:hAnsi="Times New Roman"/>
        </w:rPr>
        <w:t xml:space="preserve">The variables studied in this evaluation were projected onto a factorial plane (1x3). Factors 1 and 3 (Figure 12) contribute approximately 66.58% of the total variance of the individuals (treatments). The scatterplot reveals three distinct treatment groups. Group 1, consisting of </w:t>
      </w:r>
      <w:r w:rsidR="00583FF3" w:rsidRPr="00A02301">
        <w:rPr>
          <w:rFonts w:ascii="Times New Roman" w:hAnsi="Times New Roman"/>
        </w:rPr>
        <w:t>t</w:t>
      </w:r>
      <w:r w:rsidRPr="00A02301">
        <w:rPr>
          <w:rFonts w:ascii="Times New Roman" w:hAnsi="Times New Roman"/>
        </w:rPr>
        <w:t>reatment T4 (</w:t>
      </w:r>
      <w:r w:rsidR="00583FF3" w:rsidRPr="00A02301">
        <w:rPr>
          <w:rFonts w:ascii="Times New Roman" w:hAnsi="Times New Roman"/>
        </w:rPr>
        <w:t>wax based on vegetable oils at</w:t>
      </w:r>
      <w:r w:rsidRPr="00A02301">
        <w:rPr>
          <w:rFonts w:ascii="Times New Roman" w:hAnsi="Times New Roman"/>
        </w:rPr>
        <w:t xml:space="preserve"> 5%) characterised by good fruit firmness, low </w:t>
      </w:r>
      <w:r w:rsidRPr="00A02301">
        <w:rPr>
          <w:rFonts w:ascii="Times New Roman" w:hAnsi="Times New Roman"/>
        </w:rPr>
        <w:lastRenderedPageBreak/>
        <w:t xml:space="preserve">phytotoxicity and low incidence of anthracnose on treated mangoes after 15 days in the cold followed by 6 days at room temperature. Group 2 includes </w:t>
      </w:r>
      <w:r w:rsidR="00583FF3" w:rsidRPr="00A02301">
        <w:rPr>
          <w:rFonts w:ascii="Times New Roman" w:hAnsi="Times New Roman"/>
        </w:rPr>
        <w:t>t</w:t>
      </w:r>
      <w:r w:rsidRPr="00A02301">
        <w:rPr>
          <w:rFonts w:ascii="Times New Roman" w:hAnsi="Times New Roman"/>
        </w:rPr>
        <w:t>reatment T2</w:t>
      </w:r>
      <w:r w:rsidR="00583FF3" w:rsidRPr="00A02301">
        <w:rPr>
          <w:rFonts w:ascii="Times New Roman" w:hAnsi="Times New Roman"/>
        </w:rPr>
        <w:t xml:space="preserve"> (wax based on vegetable oils at 1</w:t>
      </w:r>
      <w:r w:rsidRPr="00A02301">
        <w:rPr>
          <w:rFonts w:ascii="Times New Roman" w:hAnsi="Times New Roman"/>
        </w:rPr>
        <w:t>0%</w:t>
      </w:r>
      <w:r w:rsidR="00583FF3" w:rsidRPr="00A02301">
        <w:rPr>
          <w:rFonts w:ascii="Times New Roman" w:hAnsi="Times New Roman"/>
        </w:rPr>
        <w:t xml:space="preserve">) </w:t>
      </w:r>
      <w:r w:rsidRPr="00A02301">
        <w:rPr>
          <w:rFonts w:ascii="Times New Roman" w:hAnsi="Times New Roman"/>
        </w:rPr>
        <w:t xml:space="preserve">; </w:t>
      </w:r>
      <w:r w:rsidR="00583FF3" w:rsidRPr="00A02301">
        <w:rPr>
          <w:rFonts w:ascii="Times New Roman" w:hAnsi="Times New Roman"/>
        </w:rPr>
        <w:t>t</w:t>
      </w:r>
      <w:r w:rsidRPr="00A02301">
        <w:rPr>
          <w:rFonts w:ascii="Times New Roman" w:hAnsi="Times New Roman"/>
        </w:rPr>
        <w:t>reatment T3</w:t>
      </w:r>
      <w:r w:rsidR="00583FF3" w:rsidRPr="00A02301">
        <w:rPr>
          <w:rFonts w:ascii="Times New Roman" w:hAnsi="Times New Roman"/>
        </w:rPr>
        <w:t xml:space="preserve"> (wax based on vegetable oils </w:t>
      </w:r>
      <w:r w:rsidRPr="00A02301">
        <w:rPr>
          <w:rFonts w:ascii="Times New Roman" w:hAnsi="Times New Roman"/>
        </w:rPr>
        <w:t>at 15%</w:t>
      </w:r>
      <w:r w:rsidR="00583FF3" w:rsidRPr="00A02301">
        <w:rPr>
          <w:rFonts w:ascii="Times New Roman" w:hAnsi="Times New Roman"/>
        </w:rPr>
        <w:t>)</w:t>
      </w:r>
      <w:r w:rsidRPr="00A02301">
        <w:rPr>
          <w:rFonts w:ascii="Times New Roman" w:hAnsi="Times New Roman"/>
        </w:rPr>
        <w:t xml:space="preserve"> and </w:t>
      </w:r>
      <w:r w:rsidR="00583FF3" w:rsidRPr="00A02301">
        <w:rPr>
          <w:rFonts w:ascii="Times New Roman" w:hAnsi="Times New Roman"/>
        </w:rPr>
        <w:t>t</w:t>
      </w:r>
      <w:r w:rsidRPr="00A02301">
        <w:rPr>
          <w:rFonts w:ascii="Times New Roman" w:hAnsi="Times New Roman"/>
        </w:rPr>
        <w:t>reatment T5</w:t>
      </w:r>
      <w:r w:rsidR="00583FF3" w:rsidRPr="00A02301">
        <w:rPr>
          <w:rFonts w:ascii="Times New Roman" w:hAnsi="Times New Roman"/>
        </w:rPr>
        <w:t xml:space="preserve"> (</w:t>
      </w:r>
      <w:r w:rsidRPr="00A02301">
        <w:rPr>
          <w:rFonts w:ascii="Times New Roman" w:hAnsi="Times New Roman"/>
        </w:rPr>
        <w:t xml:space="preserve">Combination of </w:t>
      </w:r>
      <w:r w:rsidR="00583FF3" w:rsidRPr="00A02301">
        <w:rPr>
          <w:rFonts w:ascii="Times New Roman" w:hAnsi="Times New Roman"/>
        </w:rPr>
        <w:t xml:space="preserve">wax based on vegetable oils </w:t>
      </w:r>
      <w:r w:rsidRPr="00A02301">
        <w:rPr>
          <w:rFonts w:ascii="Times New Roman" w:hAnsi="Times New Roman"/>
        </w:rPr>
        <w:t>at</w:t>
      </w:r>
      <w:r w:rsidR="00583FF3" w:rsidRPr="00A02301">
        <w:rPr>
          <w:rFonts w:ascii="Times New Roman" w:hAnsi="Times New Roman"/>
        </w:rPr>
        <w:t xml:space="preserve"> </w:t>
      </w:r>
      <w:r w:rsidRPr="00A02301">
        <w:rPr>
          <w:rFonts w:ascii="Times New Roman" w:hAnsi="Times New Roman"/>
        </w:rPr>
        <w:t>10%</w:t>
      </w:r>
      <w:r w:rsidR="00583FF3" w:rsidRPr="00A02301">
        <w:rPr>
          <w:rFonts w:ascii="Times New Roman" w:hAnsi="Times New Roman"/>
        </w:rPr>
        <w:t>)</w:t>
      </w:r>
      <w:r w:rsidRPr="00A02301">
        <w:rPr>
          <w:rFonts w:ascii="Times New Roman" w:hAnsi="Times New Roman"/>
        </w:rPr>
        <w:t xml:space="preserve"> and the reference product, Scholar Max 230 SC at 0.15%</w:t>
      </w:r>
      <w:r w:rsidR="00583FF3" w:rsidRPr="00A02301">
        <w:rPr>
          <w:rFonts w:ascii="Times New Roman" w:hAnsi="Times New Roman"/>
        </w:rPr>
        <w:t>,</w:t>
      </w:r>
      <w:r w:rsidRPr="00A02301">
        <w:rPr>
          <w:rFonts w:ascii="Times New Roman" w:hAnsi="Times New Roman"/>
        </w:rPr>
        <w:t xml:space="preserve"> characterised by a loss of fruit firmness, high phytotoxicity and a high incidence of anthracnose for T2 and T3. Group 3, made up of the two controls T0 and T1 (reference), with a high incidence of anthracnose and loss of firmness. In this group, the T1 treatment stood out for its high level of browning (phytotoxicity). </w:t>
      </w:r>
    </w:p>
    <w:p w14:paraId="716A53E4" w14:textId="77777777" w:rsidR="00A02301" w:rsidRDefault="00A02301" w:rsidP="008E663D">
      <w:pPr>
        <w:spacing w:line="360" w:lineRule="auto"/>
        <w:jc w:val="both"/>
        <w:rPr>
          <w:rFonts w:ascii="Times New Roman" w:hAnsi="Times New Roman"/>
        </w:rPr>
      </w:pPr>
    </w:p>
    <w:p w14:paraId="190A47D1" w14:textId="179A90F0" w:rsidR="00201271" w:rsidRPr="007340DC" w:rsidRDefault="00201271" w:rsidP="008E663D">
      <w:pPr>
        <w:spacing w:line="360" w:lineRule="auto"/>
        <w:jc w:val="both"/>
        <w:rPr>
          <w:rFonts w:ascii="Times New Roman" w:hAnsi="Times New Roman"/>
          <w:color w:val="000000" w:themeColor="text1"/>
        </w:rPr>
      </w:pPr>
      <w:r w:rsidRPr="007340DC">
        <w:rPr>
          <w:rFonts w:ascii="Times New Roman" w:hAnsi="Times New Roman"/>
          <w:noProof/>
          <w:color w:val="000000" w:themeColor="text1"/>
          <w:lang w:val="en-US"/>
        </w:rPr>
        <w:drawing>
          <wp:inline distT="0" distB="0" distL="0" distR="0" wp14:anchorId="16440F1E" wp14:editId="4C04C06C">
            <wp:extent cx="5756910" cy="2216150"/>
            <wp:effectExtent l="0" t="0" r="889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56910" cy="2216150"/>
                    </a:xfrm>
                    <a:prstGeom prst="rect">
                      <a:avLst/>
                    </a:prstGeom>
                  </pic:spPr>
                </pic:pic>
              </a:graphicData>
            </a:graphic>
          </wp:inline>
        </w:drawing>
      </w:r>
    </w:p>
    <w:p w14:paraId="301B4B03" w14:textId="77777777" w:rsidR="008E663D" w:rsidRPr="00583FF3" w:rsidRDefault="008E663D" w:rsidP="00583FF3">
      <w:pPr>
        <w:spacing w:line="360" w:lineRule="auto"/>
        <w:jc w:val="center"/>
        <w:rPr>
          <w:rFonts w:ascii="Times New Roman" w:hAnsi="Times New Roman"/>
          <w:b/>
          <w:bCs/>
        </w:rPr>
      </w:pPr>
      <w:r w:rsidRPr="00583FF3">
        <w:rPr>
          <w:rFonts w:ascii="Times New Roman" w:hAnsi="Times New Roman"/>
          <w:b/>
          <w:bCs/>
        </w:rPr>
        <w:t>Figure 12: Projection of treatments onto a principal component distribution plan</w:t>
      </w:r>
    </w:p>
    <w:p w14:paraId="2A9AA574" w14:textId="77777777" w:rsidR="008E663D" w:rsidRPr="00583FF3" w:rsidRDefault="008E663D" w:rsidP="00583FF3">
      <w:pPr>
        <w:spacing w:line="360" w:lineRule="auto"/>
        <w:jc w:val="center"/>
        <w:rPr>
          <w:rFonts w:ascii="Times New Roman" w:hAnsi="Times New Roman"/>
          <w:b/>
          <w:bCs/>
        </w:rPr>
      </w:pPr>
      <w:r w:rsidRPr="00583FF3">
        <w:rPr>
          <w:rFonts w:ascii="Times New Roman" w:hAnsi="Times New Roman"/>
          <w:b/>
          <w:bCs/>
        </w:rPr>
        <w:t>Correlation circle (a) and treatment dispersion (b)</w:t>
      </w:r>
    </w:p>
    <w:p w14:paraId="0E1136D9" w14:textId="56137E71" w:rsidR="00A10B59" w:rsidRPr="007340DC" w:rsidRDefault="00EF175D" w:rsidP="00B86CA7">
      <w:pPr>
        <w:pStyle w:val="Heading1"/>
      </w:pPr>
      <w:r>
        <w:t xml:space="preserve">4- </w:t>
      </w:r>
      <w:r w:rsidR="00A10B59" w:rsidRPr="007340DC">
        <w:t>DISCUSSION</w:t>
      </w:r>
    </w:p>
    <w:p w14:paraId="58C71F18" w14:textId="51FBA9D3" w:rsidR="009827C9" w:rsidRDefault="00D42715" w:rsidP="00B86CA7">
      <w:pPr>
        <w:spacing w:line="360" w:lineRule="auto"/>
        <w:ind w:firstLine="142"/>
        <w:jc w:val="both"/>
        <w:rPr>
          <w:rFonts w:ascii="Times New Roman" w:hAnsi="Times New Roman"/>
          <w:color w:val="000000" w:themeColor="text1"/>
        </w:rPr>
      </w:pPr>
      <w:commentRangeStart w:id="31"/>
      <w:r w:rsidRPr="00D42715">
        <w:rPr>
          <w:rFonts w:ascii="Times New Roman" w:hAnsi="Times New Roman"/>
          <w:color w:val="000000" w:themeColor="text1"/>
        </w:rPr>
        <w:t>The</w:t>
      </w:r>
      <w:commentRangeEnd w:id="31"/>
      <w:r w:rsidR="003A5200">
        <w:rPr>
          <w:rStyle w:val="CommentReference"/>
        </w:rPr>
        <w:commentReference w:id="31"/>
      </w:r>
      <w:r w:rsidRPr="00D42715">
        <w:rPr>
          <w:rFonts w:ascii="Times New Roman" w:hAnsi="Times New Roman"/>
          <w:color w:val="000000" w:themeColor="text1"/>
        </w:rPr>
        <w:t xml:space="preserve"> mango sector, which is very much in evidence in the northern region of Côte d'Ivoire, is dominated by traditional production, mainly for export. In Côte d'Ivoire, as in Cameroon, this activity is the preserve of men and enables them to meet the needs of their families (Yikoa </w:t>
      </w:r>
      <w:r w:rsidRPr="00BD33E8">
        <w:rPr>
          <w:rFonts w:ascii="Times New Roman" w:hAnsi="Times New Roman"/>
          <w:i/>
          <w:iCs/>
          <w:color w:val="000000" w:themeColor="text1"/>
        </w:rPr>
        <w:t>et</w:t>
      </w:r>
      <w:r w:rsidRPr="00D42715">
        <w:rPr>
          <w:rFonts w:ascii="Times New Roman" w:hAnsi="Times New Roman"/>
          <w:color w:val="000000" w:themeColor="text1"/>
        </w:rPr>
        <w:t xml:space="preserve"> </w:t>
      </w:r>
      <w:r w:rsidRPr="00BD33E8">
        <w:rPr>
          <w:rFonts w:ascii="Times New Roman" w:hAnsi="Times New Roman"/>
          <w:i/>
          <w:iCs/>
          <w:color w:val="000000" w:themeColor="text1"/>
        </w:rPr>
        <w:t>al</w:t>
      </w:r>
      <w:r w:rsidRPr="00D42715">
        <w:rPr>
          <w:rFonts w:ascii="Times New Roman" w:hAnsi="Times New Roman"/>
          <w:color w:val="000000" w:themeColor="text1"/>
        </w:rPr>
        <w:t xml:space="preserve">., </w:t>
      </w:r>
      <w:r w:rsidR="00BD33E8" w:rsidRPr="00D42715">
        <w:rPr>
          <w:rFonts w:ascii="Times New Roman" w:hAnsi="Times New Roman"/>
          <w:color w:val="000000" w:themeColor="text1"/>
        </w:rPr>
        <w:t>2022 ;</w:t>
      </w:r>
      <w:r w:rsidRPr="00D42715">
        <w:rPr>
          <w:rFonts w:ascii="Times New Roman" w:hAnsi="Times New Roman"/>
          <w:color w:val="000000" w:themeColor="text1"/>
        </w:rPr>
        <w:t xml:space="preserve"> Kouamé </w:t>
      </w:r>
      <w:r w:rsidRPr="00BD33E8">
        <w:rPr>
          <w:rFonts w:ascii="Times New Roman" w:hAnsi="Times New Roman"/>
          <w:i/>
          <w:iCs/>
          <w:color w:val="000000" w:themeColor="text1"/>
        </w:rPr>
        <w:t>et al</w:t>
      </w:r>
      <w:r w:rsidRPr="00D42715">
        <w:rPr>
          <w:rFonts w:ascii="Times New Roman" w:hAnsi="Times New Roman"/>
          <w:color w:val="000000" w:themeColor="text1"/>
        </w:rPr>
        <w:t>., 2020).</w:t>
      </w:r>
      <w:r w:rsidR="00BD33E8">
        <w:rPr>
          <w:rFonts w:ascii="Times New Roman" w:hAnsi="Times New Roman"/>
          <w:color w:val="000000" w:themeColor="text1"/>
        </w:rPr>
        <w:t xml:space="preserve"> </w:t>
      </w:r>
      <w:r w:rsidR="009827C9" w:rsidRPr="009827C9">
        <w:rPr>
          <w:rFonts w:ascii="Times New Roman" w:hAnsi="Times New Roman"/>
          <w:color w:val="000000" w:themeColor="text1"/>
        </w:rPr>
        <w:t>This activity is prone to difficulties inherent in the perishable nature of the fruit, which leads to considerable losses during storage and</w:t>
      </w:r>
      <w:r w:rsidR="00B86CA7">
        <w:rPr>
          <w:rFonts w:ascii="Times New Roman" w:hAnsi="Times New Roman"/>
          <w:color w:val="000000" w:themeColor="text1"/>
        </w:rPr>
        <w:t xml:space="preserve"> </w:t>
      </w:r>
      <w:r w:rsidR="009827C9" w:rsidRPr="009827C9">
        <w:rPr>
          <w:rFonts w:ascii="Times New Roman" w:hAnsi="Times New Roman"/>
          <w:color w:val="000000" w:themeColor="text1"/>
        </w:rPr>
        <w:t xml:space="preserve">export. </w:t>
      </w:r>
      <w:r w:rsidR="00BD33E8" w:rsidRPr="00BD33E8">
        <w:rPr>
          <w:rFonts w:ascii="Times New Roman" w:hAnsi="Times New Roman"/>
          <w:color w:val="000000" w:themeColor="text1"/>
        </w:rPr>
        <w:t xml:space="preserve">This study aims to maintain the quality of exported fruit by coating it with a wax based on rapeseed and </w:t>
      </w:r>
      <w:r w:rsidR="00BD33E8" w:rsidRPr="00433036">
        <w:rPr>
          <w:rFonts w:ascii="Times New Roman" w:hAnsi="Times New Roman"/>
          <w:color w:val="000000" w:themeColor="text1"/>
        </w:rPr>
        <w:t>olive oils</w:t>
      </w:r>
      <w:r w:rsidR="00433036" w:rsidRPr="00433036">
        <w:rPr>
          <w:rFonts w:ascii="Times New Roman" w:hAnsi="Times New Roman"/>
          <w:color w:val="000000" w:themeColor="text1"/>
        </w:rPr>
        <w:t>.</w:t>
      </w:r>
    </w:p>
    <w:p w14:paraId="42A22F28" w14:textId="77777777" w:rsidR="009827C9" w:rsidRPr="009827C9" w:rsidRDefault="009827C9" w:rsidP="00C75798">
      <w:pPr>
        <w:spacing w:line="360" w:lineRule="auto"/>
        <w:ind w:firstLine="708"/>
        <w:jc w:val="both"/>
        <w:rPr>
          <w:rFonts w:ascii="Times New Roman" w:hAnsi="Times New Roman"/>
          <w:color w:val="000000" w:themeColor="text1"/>
        </w:rPr>
      </w:pPr>
      <w:r w:rsidRPr="009827C9">
        <w:rPr>
          <w:rFonts w:ascii="Times New Roman" w:hAnsi="Times New Roman"/>
          <w:color w:val="000000" w:themeColor="text1"/>
        </w:rPr>
        <w:t xml:space="preserve">In this study, after storage of the fruit in a cold room maintained at 8°C for 15 days, the results showed an equal loss of mass for all treatments, in the order of 7 to 9% of the fruit six days after removal from the cold room. In fruit, weight loss is a non-physiological mechanism that causes the fruit to soften as a result of water loss through transpiration. Thus, weight loss suggests that the coatings tested have no effect on fruit duckweed activity. This result differs </w:t>
      </w:r>
      <w:r w:rsidRPr="009827C9">
        <w:rPr>
          <w:rFonts w:ascii="Times New Roman" w:hAnsi="Times New Roman"/>
          <w:color w:val="000000" w:themeColor="text1"/>
        </w:rPr>
        <w:lastRenderedPageBreak/>
        <w:t>from that of Thai (2000), who obtained a lower weight loss for mangoes treated with coatings based on carnauba wax (</w:t>
      </w:r>
      <w:r w:rsidRPr="00DE469F">
        <w:rPr>
          <w:rFonts w:ascii="Times New Roman" w:hAnsi="Times New Roman"/>
          <w:i/>
          <w:iCs/>
          <w:color w:val="000000" w:themeColor="text1"/>
        </w:rPr>
        <w:t>Copernicia prunifera</w:t>
      </w:r>
      <w:r w:rsidRPr="009827C9">
        <w:rPr>
          <w:rFonts w:ascii="Times New Roman" w:hAnsi="Times New Roman"/>
          <w:color w:val="000000" w:themeColor="text1"/>
        </w:rPr>
        <w:t>).</w:t>
      </w:r>
    </w:p>
    <w:p w14:paraId="12E47182" w14:textId="0BAE9743" w:rsidR="00373823" w:rsidRPr="007340DC" w:rsidRDefault="00C70C62" w:rsidP="00C75798">
      <w:pPr>
        <w:spacing w:line="360" w:lineRule="auto"/>
        <w:ind w:firstLine="708"/>
        <w:jc w:val="both"/>
        <w:rPr>
          <w:rFonts w:ascii="Times New Roman" w:hAnsi="Times New Roman"/>
          <w:color w:val="000000" w:themeColor="text1"/>
        </w:rPr>
      </w:pPr>
      <w:bookmarkStart w:id="32" w:name="_Hlk152674243"/>
      <w:r w:rsidRPr="00C70C62">
        <w:rPr>
          <w:rFonts w:ascii="Times New Roman" w:hAnsi="Times New Roman"/>
          <w:color w:val="000000" w:themeColor="text1"/>
        </w:rPr>
        <w:t xml:space="preserve">Fruit treated with the different doses of </w:t>
      </w:r>
      <w:r w:rsidR="0037163E">
        <w:rPr>
          <w:rFonts w:ascii="Times New Roman" w:hAnsi="Times New Roman"/>
          <w:color w:val="000000" w:themeColor="text1"/>
        </w:rPr>
        <w:t xml:space="preserve">a </w:t>
      </w:r>
      <w:r w:rsidR="0037163E" w:rsidRPr="0037163E">
        <w:rPr>
          <w:rFonts w:ascii="Times New Roman" w:hAnsi="Times New Roman"/>
          <w:color w:val="000000" w:themeColor="text1"/>
        </w:rPr>
        <w:t xml:space="preserve">wax </w:t>
      </w:r>
      <w:commentRangeStart w:id="33"/>
      <w:r w:rsidR="0037163E" w:rsidRPr="0037163E">
        <w:rPr>
          <w:rFonts w:ascii="Times New Roman" w:hAnsi="Times New Roman"/>
          <w:color w:val="000000" w:themeColor="text1"/>
        </w:rPr>
        <w:t>based</w:t>
      </w:r>
      <w:commentRangeEnd w:id="33"/>
      <w:r w:rsidR="003A5200">
        <w:rPr>
          <w:rStyle w:val="CommentReference"/>
        </w:rPr>
        <w:commentReference w:id="33"/>
      </w:r>
      <w:r w:rsidR="0037163E" w:rsidRPr="0037163E">
        <w:rPr>
          <w:rFonts w:ascii="Times New Roman" w:hAnsi="Times New Roman"/>
          <w:color w:val="000000" w:themeColor="text1"/>
        </w:rPr>
        <w:t xml:space="preserve"> on vegetable oils</w:t>
      </w:r>
      <w:r w:rsidR="0037163E">
        <w:rPr>
          <w:rFonts w:ascii="Times New Roman" w:hAnsi="Times New Roman"/>
          <w:color w:val="000000" w:themeColor="text1"/>
        </w:rPr>
        <w:t>,</w:t>
      </w:r>
      <w:r w:rsidR="0037163E" w:rsidRPr="0037163E">
        <w:rPr>
          <w:rFonts w:ascii="Times New Roman" w:hAnsi="Times New Roman"/>
          <w:color w:val="000000" w:themeColor="text1"/>
        </w:rPr>
        <w:t xml:space="preserve"> </w:t>
      </w:r>
      <w:r w:rsidRPr="00C70C62">
        <w:rPr>
          <w:rFonts w:ascii="Times New Roman" w:hAnsi="Times New Roman"/>
          <w:color w:val="000000" w:themeColor="text1"/>
        </w:rPr>
        <w:t xml:space="preserve">showed improved firmness compared with the reference and untreated controls. This suggests that the product, and especially the 5% and 10% doses coupled with the reference product (Scholar Max 230 SC) at 0.15%, preserves mango firmness. In this way, the product maintains factors likely to lead to changes in the physical characteristics of the fruit, such as the epidermis and slows down starch hydrolysis by inhibiting phospholipase </w:t>
      </w:r>
      <w:commentRangeStart w:id="34"/>
      <w:r w:rsidRPr="00C70C62">
        <w:rPr>
          <w:rFonts w:ascii="Times New Roman" w:hAnsi="Times New Roman"/>
          <w:color w:val="000000" w:themeColor="text1"/>
        </w:rPr>
        <w:t>D</w:t>
      </w:r>
      <w:commentRangeEnd w:id="34"/>
      <w:r w:rsidR="003A5200">
        <w:rPr>
          <w:rStyle w:val="CommentReference"/>
        </w:rPr>
        <w:commentReference w:id="34"/>
      </w:r>
      <w:r w:rsidRPr="00C70C62">
        <w:rPr>
          <w:rFonts w:ascii="Times New Roman" w:hAnsi="Times New Roman"/>
          <w:color w:val="000000" w:themeColor="text1"/>
        </w:rPr>
        <w:t xml:space="preserve"> activity (Cheema </w:t>
      </w:r>
      <w:r w:rsidRPr="00DE469F">
        <w:rPr>
          <w:rFonts w:ascii="Times New Roman" w:hAnsi="Times New Roman"/>
          <w:i/>
          <w:iCs/>
          <w:color w:val="000000" w:themeColor="text1"/>
        </w:rPr>
        <w:t>et al</w:t>
      </w:r>
      <w:r w:rsidRPr="00C70C62">
        <w:rPr>
          <w:rFonts w:ascii="Times New Roman" w:hAnsi="Times New Roman"/>
          <w:color w:val="000000" w:themeColor="text1"/>
        </w:rPr>
        <w:t xml:space="preserve">., 2018). </w:t>
      </w:r>
      <w:commentRangeStart w:id="36"/>
      <w:r w:rsidRPr="00C70C62">
        <w:rPr>
          <w:rFonts w:ascii="Times New Roman" w:hAnsi="Times New Roman"/>
          <w:color w:val="000000" w:themeColor="text1"/>
        </w:rPr>
        <w:t>Coating</w:t>
      </w:r>
      <w:commentRangeEnd w:id="36"/>
      <w:r w:rsidR="003A5200">
        <w:rPr>
          <w:rStyle w:val="CommentReference"/>
        </w:rPr>
        <w:commentReference w:id="36"/>
      </w:r>
      <w:r w:rsidRPr="00C70C62">
        <w:rPr>
          <w:rFonts w:ascii="Times New Roman" w:hAnsi="Times New Roman"/>
          <w:color w:val="000000" w:themeColor="text1"/>
        </w:rPr>
        <w:t xml:space="preserve"> fruit with </w:t>
      </w:r>
      <w:r w:rsidR="0037163E" w:rsidRPr="0037163E">
        <w:rPr>
          <w:rFonts w:ascii="Times New Roman" w:hAnsi="Times New Roman"/>
          <w:color w:val="000000" w:themeColor="text1"/>
        </w:rPr>
        <w:t>wax based on vegetable oils</w:t>
      </w:r>
      <w:r w:rsidRPr="00C70C62">
        <w:rPr>
          <w:rFonts w:ascii="Times New Roman" w:hAnsi="Times New Roman"/>
          <w:color w:val="000000" w:themeColor="text1"/>
        </w:rPr>
        <w:t xml:space="preserve">, in this case at 15%, as well as hexanal, is said to have favourable properties for maintaining membrane integrity </w:t>
      </w:r>
      <w:r w:rsidRPr="00810270">
        <w:rPr>
          <w:rFonts w:ascii="Times New Roman" w:hAnsi="Times New Roman"/>
          <w:color w:val="000000" w:themeColor="text1"/>
        </w:rPr>
        <w:t>(Silué, 2022).</w:t>
      </w:r>
      <w:r w:rsidR="004605E3" w:rsidRPr="007340DC">
        <w:rPr>
          <w:rFonts w:ascii="Times New Roman" w:hAnsi="Times New Roman"/>
          <w:color w:val="000000" w:themeColor="text1"/>
        </w:rPr>
        <w:t xml:space="preserve"> </w:t>
      </w:r>
    </w:p>
    <w:bookmarkEnd w:id="32"/>
    <w:p w14:paraId="6207F18C" w14:textId="56D7F65C" w:rsidR="00C70C62" w:rsidRDefault="00C70C62" w:rsidP="00EA280A">
      <w:pPr>
        <w:spacing w:line="360" w:lineRule="auto"/>
        <w:jc w:val="both"/>
        <w:rPr>
          <w:rFonts w:ascii="Times New Roman" w:hAnsi="Times New Roman"/>
          <w:color w:val="000000" w:themeColor="text1"/>
        </w:rPr>
      </w:pPr>
      <w:r w:rsidRPr="00C70C62">
        <w:rPr>
          <w:rFonts w:ascii="Times New Roman" w:hAnsi="Times New Roman"/>
          <w:color w:val="000000" w:themeColor="text1"/>
        </w:rPr>
        <w:t xml:space="preserve">The color and firmness of the fruit is an important element, since it is the one that most reflects the quality of the fruit, and so it is of the utmost importance to keep it attractive. Among the treatments tested, the 5% dose of </w:t>
      </w:r>
      <w:r w:rsidR="0037163E" w:rsidRPr="0037163E">
        <w:rPr>
          <w:rFonts w:ascii="Times New Roman" w:hAnsi="Times New Roman"/>
          <w:color w:val="000000" w:themeColor="text1"/>
        </w:rPr>
        <w:t xml:space="preserve">wax based on vegetable oils </w:t>
      </w:r>
      <w:r w:rsidRPr="00C70C62">
        <w:rPr>
          <w:rFonts w:ascii="Times New Roman" w:hAnsi="Times New Roman"/>
          <w:color w:val="000000" w:themeColor="text1"/>
        </w:rPr>
        <w:t>produces the best-holding mangoes. In addition to inhibiting chlorophyllase synthesis, the product also inhibits epidermal chromoplast synthesis (Thai, 2000).</w:t>
      </w:r>
    </w:p>
    <w:p w14:paraId="3272A120" w14:textId="77777777" w:rsidR="00C70C62" w:rsidRDefault="00C70C62" w:rsidP="00EA280A">
      <w:pPr>
        <w:spacing w:line="360" w:lineRule="auto"/>
        <w:ind w:firstLine="708"/>
        <w:jc w:val="both"/>
        <w:rPr>
          <w:rFonts w:ascii="Times New Roman" w:hAnsi="Times New Roman"/>
          <w:color w:val="000000" w:themeColor="text1"/>
        </w:rPr>
      </w:pPr>
      <w:r w:rsidRPr="00C70C62">
        <w:rPr>
          <w:rFonts w:ascii="Times New Roman" w:hAnsi="Times New Roman"/>
          <w:color w:val="000000" w:themeColor="text1"/>
        </w:rPr>
        <w:t xml:space="preserve">Browning was lowest in untreated fruit and in fruit treated with the 15% product. </w:t>
      </w:r>
    </w:p>
    <w:p w14:paraId="6EB4847B" w14:textId="38ADAC40" w:rsidR="00C75798" w:rsidRDefault="00C70C62" w:rsidP="008A6A82">
      <w:pPr>
        <w:spacing w:line="360" w:lineRule="auto"/>
        <w:jc w:val="both"/>
        <w:rPr>
          <w:rFonts w:ascii="Times New Roman" w:hAnsi="Times New Roman"/>
          <w:color w:val="000000" w:themeColor="text1"/>
        </w:rPr>
      </w:pPr>
      <w:r w:rsidRPr="00C70C62">
        <w:rPr>
          <w:rFonts w:ascii="Times New Roman" w:hAnsi="Times New Roman"/>
          <w:color w:val="000000" w:themeColor="text1"/>
        </w:rPr>
        <w:t xml:space="preserve">Fruit can be affected by a number of microbial diseases such as bacteriosis, but in this study it was the symptoms of anthracnose that were monitored. Results relating to the severity of infection showed that, on fruit treated with the reference product, or with </w:t>
      </w:r>
      <w:r w:rsidR="0037163E" w:rsidRPr="0037163E">
        <w:rPr>
          <w:rFonts w:ascii="Times New Roman" w:hAnsi="Times New Roman"/>
          <w:color w:val="000000" w:themeColor="text1"/>
        </w:rPr>
        <w:t xml:space="preserve">wax based on vegetable oils </w:t>
      </w:r>
      <w:r w:rsidRPr="00C70C62">
        <w:rPr>
          <w:rFonts w:ascii="Times New Roman" w:hAnsi="Times New Roman"/>
          <w:color w:val="000000" w:themeColor="text1"/>
        </w:rPr>
        <w:t>and controls, anthracnose symptoms developed. However, the product is said to have an antifungal effect, as at 5</w:t>
      </w:r>
      <w:r w:rsidR="007D6DC5">
        <w:rPr>
          <w:rFonts w:ascii="Times New Roman" w:hAnsi="Times New Roman"/>
          <w:color w:val="000000" w:themeColor="text1"/>
        </w:rPr>
        <w:t> ;</w:t>
      </w:r>
      <w:r w:rsidRPr="00C70C62">
        <w:rPr>
          <w:rFonts w:ascii="Times New Roman" w:hAnsi="Times New Roman"/>
          <w:color w:val="000000" w:themeColor="text1"/>
        </w:rPr>
        <w:t xml:space="preserve"> 15 and the 10% </w:t>
      </w:r>
      <w:r w:rsidR="0037163E">
        <w:rPr>
          <w:rFonts w:ascii="Times New Roman" w:hAnsi="Times New Roman"/>
          <w:color w:val="000000" w:themeColor="text1"/>
        </w:rPr>
        <w:t xml:space="preserve">of </w:t>
      </w:r>
      <w:r w:rsidR="0037163E" w:rsidRPr="0037163E">
        <w:rPr>
          <w:rFonts w:ascii="Times New Roman" w:hAnsi="Times New Roman"/>
          <w:color w:val="000000" w:themeColor="text1"/>
        </w:rPr>
        <w:t xml:space="preserve">wax based on vegetable oils </w:t>
      </w:r>
      <w:r w:rsidRPr="00C70C62">
        <w:rPr>
          <w:rFonts w:ascii="Times New Roman" w:hAnsi="Times New Roman"/>
          <w:color w:val="000000" w:themeColor="text1"/>
        </w:rPr>
        <w:t xml:space="preserve">+ Scholar Max 230 SC treatment at 0.15%, the infection rate was lower. This reduction in the rate of </w:t>
      </w:r>
      <w:r w:rsidRPr="00810270">
        <w:rPr>
          <w:rFonts w:ascii="Times New Roman" w:hAnsi="Times New Roman"/>
          <w:color w:val="000000" w:themeColor="text1"/>
        </w:rPr>
        <w:t xml:space="preserve">infection by the coating product was also reported by </w:t>
      </w:r>
      <w:r w:rsidR="008A6A82" w:rsidRPr="00810270">
        <w:rPr>
          <w:rFonts w:ascii="Times New Roman" w:hAnsi="Times New Roman"/>
          <w:color w:val="000000" w:themeColor="text1"/>
        </w:rPr>
        <w:t xml:space="preserve">Kouamé </w:t>
      </w:r>
      <w:r w:rsidR="008A6A82" w:rsidRPr="00810270">
        <w:rPr>
          <w:rFonts w:ascii="Times New Roman" w:hAnsi="Times New Roman"/>
          <w:i/>
          <w:iCs/>
          <w:color w:val="000000" w:themeColor="text1"/>
        </w:rPr>
        <w:t>et al.</w:t>
      </w:r>
      <w:r w:rsidR="008A6A82" w:rsidRPr="00810270">
        <w:rPr>
          <w:rFonts w:ascii="Times New Roman" w:hAnsi="Times New Roman"/>
          <w:color w:val="000000" w:themeColor="text1"/>
        </w:rPr>
        <w:t xml:space="preserve"> </w:t>
      </w:r>
      <w:r w:rsidRPr="00810270">
        <w:rPr>
          <w:rFonts w:ascii="Times New Roman" w:hAnsi="Times New Roman"/>
          <w:color w:val="000000" w:themeColor="text1"/>
        </w:rPr>
        <w:t>(202</w:t>
      </w:r>
      <w:r w:rsidR="008A6A82" w:rsidRPr="00810270">
        <w:rPr>
          <w:rFonts w:ascii="Times New Roman" w:hAnsi="Times New Roman"/>
          <w:color w:val="000000" w:themeColor="text1"/>
        </w:rPr>
        <w:t>1</w:t>
      </w:r>
      <w:r w:rsidRPr="00810270">
        <w:rPr>
          <w:rFonts w:ascii="Times New Roman" w:hAnsi="Times New Roman"/>
          <w:color w:val="000000" w:themeColor="text1"/>
        </w:rPr>
        <w:t>),</w:t>
      </w:r>
      <w:r w:rsidRPr="00C70C62">
        <w:rPr>
          <w:rFonts w:ascii="Times New Roman" w:hAnsi="Times New Roman"/>
          <w:color w:val="000000" w:themeColor="text1"/>
        </w:rPr>
        <w:t xml:space="preserve"> following application of essential oil</w:t>
      </w:r>
      <w:r w:rsidR="008A6A82">
        <w:rPr>
          <w:rFonts w:ascii="Times New Roman" w:hAnsi="Times New Roman"/>
          <w:color w:val="000000" w:themeColor="text1"/>
        </w:rPr>
        <w:t>s</w:t>
      </w:r>
      <w:r w:rsidRPr="00C70C62">
        <w:rPr>
          <w:rFonts w:ascii="Times New Roman" w:hAnsi="Times New Roman"/>
          <w:color w:val="000000" w:themeColor="text1"/>
        </w:rPr>
        <w:t xml:space="preserve"> of </w:t>
      </w:r>
      <w:r w:rsidR="008A6A82" w:rsidRPr="008A6A82">
        <w:rPr>
          <w:rFonts w:ascii="Times New Roman" w:hAnsi="Times New Roman"/>
          <w:i/>
          <w:iCs/>
          <w:color w:val="000000" w:themeColor="text1"/>
        </w:rPr>
        <w:t>Cymbopogon citratus</w:t>
      </w:r>
      <w:r w:rsidR="008A6A82" w:rsidRPr="008A6A82">
        <w:rPr>
          <w:rFonts w:ascii="Times New Roman" w:hAnsi="Times New Roman"/>
          <w:color w:val="000000" w:themeColor="text1"/>
        </w:rPr>
        <w:t xml:space="preserve"> </w:t>
      </w:r>
      <w:r w:rsidR="008A6A82">
        <w:rPr>
          <w:rFonts w:ascii="Times New Roman" w:hAnsi="Times New Roman"/>
          <w:color w:val="000000" w:themeColor="text1"/>
        </w:rPr>
        <w:t xml:space="preserve">and </w:t>
      </w:r>
      <w:r w:rsidR="008A6A82" w:rsidRPr="008A6A82">
        <w:rPr>
          <w:rFonts w:ascii="Times New Roman" w:hAnsi="Times New Roman"/>
          <w:i/>
          <w:iCs/>
          <w:color w:val="000000" w:themeColor="text1"/>
        </w:rPr>
        <w:t>Melaleuca quinquenervia</w:t>
      </w:r>
      <w:r w:rsidR="008A6A82" w:rsidRPr="008A6A82">
        <w:rPr>
          <w:rFonts w:ascii="Times New Roman" w:hAnsi="Times New Roman"/>
          <w:color w:val="000000" w:themeColor="text1"/>
        </w:rPr>
        <w:t xml:space="preserve"> L</w:t>
      </w:r>
      <w:r w:rsidRPr="00C70C62">
        <w:rPr>
          <w:rFonts w:ascii="Times New Roman" w:hAnsi="Times New Roman"/>
          <w:color w:val="000000" w:themeColor="text1"/>
        </w:rPr>
        <w:t xml:space="preserve">. As hypothesized by Houssain </w:t>
      </w:r>
      <w:r w:rsidRPr="00DE469F">
        <w:rPr>
          <w:rFonts w:ascii="Times New Roman" w:hAnsi="Times New Roman"/>
          <w:i/>
          <w:iCs/>
          <w:color w:val="000000" w:themeColor="text1"/>
        </w:rPr>
        <w:t>et al.</w:t>
      </w:r>
      <w:r w:rsidRPr="00C70C62">
        <w:rPr>
          <w:rFonts w:ascii="Times New Roman" w:hAnsi="Times New Roman"/>
          <w:color w:val="000000" w:themeColor="text1"/>
        </w:rPr>
        <w:t xml:space="preserve"> (2014), this low infection rate can be explained by the high level of phenolic compounds found in unripe fruit. Seen from this angle, the coating would have slowed mango ripening.</w:t>
      </w:r>
    </w:p>
    <w:p w14:paraId="1F13E945" w14:textId="3F63B21B" w:rsidR="00C70C62" w:rsidRDefault="00C70C62" w:rsidP="00C75798">
      <w:pPr>
        <w:spacing w:before="240" w:after="240" w:line="360" w:lineRule="auto"/>
        <w:jc w:val="both"/>
        <w:rPr>
          <w:rFonts w:ascii="Times New Roman" w:hAnsi="Times New Roman"/>
          <w:color w:val="000000" w:themeColor="text1"/>
        </w:rPr>
      </w:pPr>
      <w:r w:rsidRPr="00C70C62">
        <w:rPr>
          <w:rFonts w:ascii="Times New Roman" w:hAnsi="Times New Roman"/>
          <w:color w:val="000000" w:themeColor="text1"/>
        </w:rPr>
        <w:t xml:space="preserve">In terms of soluble sugar content, the various </w:t>
      </w:r>
      <w:r w:rsidR="0037163E" w:rsidRPr="0037163E">
        <w:rPr>
          <w:rFonts w:ascii="Times New Roman" w:hAnsi="Times New Roman"/>
          <w:color w:val="000000" w:themeColor="text1"/>
        </w:rPr>
        <w:t xml:space="preserve">wax based on vegetable oils </w:t>
      </w:r>
      <w:r w:rsidRPr="00C70C62">
        <w:rPr>
          <w:rFonts w:ascii="Times New Roman" w:hAnsi="Times New Roman"/>
          <w:color w:val="000000" w:themeColor="text1"/>
        </w:rPr>
        <w:t>treatments did not alter the soluble sugar content of the fruit compared with the control (T0). On the other hand, compared with the T1 reference treatment, only the 10% and 15% doses maintained a similar content. This result implies a comparable hydrolysis rate for all treatments.</w:t>
      </w:r>
    </w:p>
    <w:p w14:paraId="336F1299" w14:textId="49D2E7EE" w:rsidR="00C70C62" w:rsidRDefault="00C70C62" w:rsidP="00EA280A">
      <w:pPr>
        <w:spacing w:line="360" w:lineRule="auto"/>
        <w:ind w:firstLine="708"/>
        <w:jc w:val="both"/>
        <w:rPr>
          <w:rFonts w:ascii="Times New Roman" w:hAnsi="Times New Roman"/>
          <w:color w:val="000000" w:themeColor="text1"/>
        </w:rPr>
      </w:pPr>
      <w:r w:rsidRPr="00C70C62">
        <w:rPr>
          <w:rFonts w:ascii="Times New Roman" w:hAnsi="Times New Roman"/>
          <w:color w:val="000000" w:themeColor="text1"/>
        </w:rPr>
        <w:t xml:space="preserve">Fruit pH </w:t>
      </w:r>
      <w:commentRangeStart w:id="37"/>
      <w:r w:rsidRPr="00C70C62">
        <w:rPr>
          <w:rFonts w:ascii="Times New Roman" w:hAnsi="Times New Roman"/>
          <w:color w:val="000000" w:themeColor="text1"/>
        </w:rPr>
        <w:t>levels</w:t>
      </w:r>
      <w:commentRangeEnd w:id="37"/>
      <w:r w:rsidR="004F7043">
        <w:rPr>
          <w:rStyle w:val="CommentReference"/>
        </w:rPr>
        <w:commentReference w:id="37"/>
      </w:r>
      <w:r w:rsidRPr="00C70C62">
        <w:rPr>
          <w:rFonts w:ascii="Times New Roman" w:hAnsi="Times New Roman"/>
          <w:color w:val="000000" w:themeColor="text1"/>
        </w:rPr>
        <w:t xml:space="preserve"> in treatments T3 and T4 are close to 7, while those treated with T0, T1 and T5 are below 5. This result indicates that fruit pH is sensitive to treatment. The 10% (T3) and 15% (T4) doses of </w:t>
      </w:r>
      <w:r w:rsidR="0037163E" w:rsidRPr="0037163E">
        <w:rPr>
          <w:rFonts w:ascii="Times New Roman" w:hAnsi="Times New Roman"/>
          <w:color w:val="000000" w:themeColor="text1"/>
        </w:rPr>
        <w:t>wax based on vegetable oils</w:t>
      </w:r>
      <w:r w:rsidRPr="00C70C62">
        <w:rPr>
          <w:rFonts w:ascii="Times New Roman" w:hAnsi="Times New Roman"/>
          <w:color w:val="000000" w:themeColor="text1"/>
        </w:rPr>
        <w:t xml:space="preserve"> reduce pulp pH, thus improving </w:t>
      </w:r>
      <w:commentRangeStart w:id="38"/>
      <w:r w:rsidRPr="00C70C62">
        <w:rPr>
          <w:rFonts w:ascii="Times New Roman" w:hAnsi="Times New Roman"/>
          <w:color w:val="000000" w:themeColor="text1"/>
        </w:rPr>
        <w:t>mouthfeel</w:t>
      </w:r>
      <w:commentRangeEnd w:id="38"/>
      <w:r w:rsidR="004F7043">
        <w:rPr>
          <w:rStyle w:val="CommentReference"/>
        </w:rPr>
        <w:commentReference w:id="38"/>
      </w:r>
      <w:r w:rsidRPr="00C70C62">
        <w:rPr>
          <w:rFonts w:ascii="Times New Roman" w:hAnsi="Times New Roman"/>
          <w:color w:val="000000" w:themeColor="text1"/>
        </w:rPr>
        <w:t xml:space="preserve">, </w:t>
      </w:r>
      <w:r w:rsidRPr="00C70C62">
        <w:rPr>
          <w:rFonts w:ascii="Times New Roman" w:hAnsi="Times New Roman"/>
          <w:color w:val="000000" w:themeColor="text1"/>
        </w:rPr>
        <w:lastRenderedPageBreak/>
        <w:t xml:space="preserve">compared with the untreated control. The variation in pH according to treatment was reported by </w:t>
      </w:r>
      <w:r w:rsidRPr="00810270">
        <w:rPr>
          <w:rFonts w:ascii="Times New Roman" w:hAnsi="Times New Roman"/>
          <w:color w:val="000000" w:themeColor="text1"/>
        </w:rPr>
        <w:t>Silué (2022).</w:t>
      </w:r>
      <w:r w:rsidRPr="00C70C62">
        <w:rPr>
          <w:rFonts w:ascii="Times New Roman" w:hAnsi="Times New Roman"/>
          <w:color w:val="000000" w:themeColor="text1"/>
        </w:rPr>
        <w:t xml:space="preserve"> However, following the application of hexanal, no significant variation in pH was observed. The taro (</w:t>
      </w:r>
      <w:r w:rsidRPr="00526769">
        <w:rPr>
          <w:rFonts w:ascii="Times New Roman" w:hAnsi="Times New Roman"/>
          <w:i/>
          <w:iCs/>
          <w:color w:val="000000" w:themeColor="text1"/>
        </w:rPr>
        <w:t>Colocasia esculenta</w:t>
      </w:r>
      <w:r w:rsidRPr="00C70C62">
        <w:rPr>
          <w:rFonts w:ascii="Times New Roman" w:hAnsi="Times New Roman"/>
          <w:color w:val="000000" w:themeColor="text1"/>
        </w:rPr>
        <w:t xml:space="preserve">) starch-based coating of mangoes, carried out by Kassé (2015), also did not affect the pH of the mangoes. Thus, the lack of effect of coating on fruit pH fluctuation in this study is consistent with previous studies. </w:t>
      </w:r>
    </w:p>
    <w:p w14:paraId="40E58ABB" w14:textId="78C780C9" w:rsidR="00C70C62" w:rsidRDefault="00C70C62" w:rsidP="00EA280A">
      <w:pPr>
        <w:spacing w:line="360" w:lineRule="auto"/>
        <w:ind w:firstLine="708"/>
        <w:jc w:val="both"/>
        <w:rPr>
          <w:rFonts w:ascii="Times New Roman" w:hAnsi="Times New Roman"/>
          <w:color w:val="000000" w:themeColor="text1"/>
        </w:rPr>
      </w:pPr>
      <w:r w:rsidRPr="00C70C62">
        <w:rPr>
          <w:rFonts w:ascii="Times New Roman" w:hAnsi="Times New Roman"/>
          <w:color w:val="000000" w:themeColor="text1"/>
        </w:rPr>
        <w:t xml:space="preserve">In fruit juices, acidity results from the conversion of sugars into lactic acids </w:t>
      </w:r>
      <w:commentRangeStart w:id="39"/>
      <w:r w:rsidRPr="00C70C62">
        <w:rPr>
          <w:rFonts w:ascii="Times New Roman" w:hAnsi="Times New Roman"/>
          <w:color w:val="000000" w:themeColor="text1"/>
        </w:rPr>
        <w:t>by</w:t>
      </w:r>
      <w:commentRangeEnd w:id="39"/>
      <w:r w:rsidR="004F7043">
        <w:rPr>
          <w:rStyle w:val="CommentReference"/>
        </w:rPr>
        <w:commentReference w:id="39"/>
      </w:r>
      <w:r w:rsidRPr="00C70C62">
        <w:rPr>
          <w:rFonts w:ascii="Times New Roman" w:hAnsi="Times New Roman"/>
          <w:color w:val="000000" w:themeColor="text1"/>
        </w:rPr>
        <w:t xml:space="preserve"> microorganisms (Aissaoui and Dahmouni , 2021; Al-Zoreky, 2009). In fruit, on the other hand, ripening is accompanied by a decrease in titratable acidity and pH due to the use of organic acids as substrates for respiration, gluconeogenesis and the biogenesis of aromatic compounds (Preethi </w:t>
      </w:r>
      <w:r w:rsidRPr="00526769">
        <w:rPr>
          <w:rFonts w:ascii="Times New Roman" w:hAnsi="Times New Roman"/>
          <w:i/>
          <w:iCs/>
          <w:color w:val="000000" w:themeColor="text1"/>
        </w:rPr>
        <w:t>et al</w:t>
      </w:r>
      <w:r w:rsidRPr="00C70C62">
        <w:rPr>
          <w:rFonts w:ascii="Times New Roman" w:hAnsi="Times New Roman"/>
          <w:color w:val="000000" w:themeColor="text1"/>
        </w:rPr>
        <w:t xml:space="preserve">., 2018). In this study, titratable acidity and soluble sugar content were similar to those of the reference treatment as well as the control treatment. </w:t>
      </w:r>
      <w:r w:rsidR="00583A1D" w:rsidRPr="00583A1D">
        <w:rPr>
          <w:rFonts w:ascii="Times New Roman" w:hAnsi="Times New Roman"/>
          <w:color w:val="000000" w:themeColor="text1"/>
        </w:rPr>
        <w:t xml:space="preserve">This result implies that coating with a vegetable oil-based wax (T2, T3, T4, T5) like the reference coating product does not block the activity of the enzyme that hydrolyses polysaccharides into soluble sugars </w:t>
      </w:r>
      <w:r w:rsidRPr="00C70C62">
        <w:rPr>
          <w:rFonts w:ascii="Times New Roman" w:hAnsi="Times New Roman"/>
          <w:color w:val="000000" w:themeColor="text1"/>
        </w:rPr>
        <w:t xml:space="preserve">(Gill </w:t>
      </w:r>
      <w:r w:rsidRPr="00526769">
        <w:rPr>
          <w:rFonts w:ascii="Times New Roman" w:hAnsi="Times New Roman"/>
          <w:i/>
          <w:iCs/>
          <w:color w:val="000000" w:themeColor="text1"/>
        </w:rPr>
        <w:t>et al</w:t>
      </w:r>
      <w:r w:rsidRPr="00C70C62">
        <w:rPr>
          <w:rFonts w:ascii="Times New Roman" w:hAnsi="Times New Roman"/>
          <w:color w:val="000000" w:themeColor="text1"/>
        </w:rPr>
        <w:t>., 2016). This result is similar to that of Kassé (2015).</w:t>
      </w:r>
    </w:p>
    <w:p w14:paraId="6E888FB5" w14:textId="04F614D7" w:rsidR="00C70C62" w:rsidRDefault="00C70C62" w:rsidP="00C70C62">
      <w:pPr>
        <w:spacing w:line="360" w:lineRule="auto"/>
        <w:jc w:val="both"/>
        <w:rPr>
          <w:rFonts w:ascii="Times New Roman" w:hAnsi="Times New Roman"/>
        </w:rPr>
      </w:pPr>
      <w:bookmarkStart w:id="40" w:name="_Toc113992328"/>
      <w:r w:rsidRPr="00C70C62">
        <w:rPr>
          <w:rFonts w:ascii="Times New Roman" w:hAnsi="Times New Roman"/>
        </w:rPr>
        <w:t>According to principal component analysis, treatment T2 (</w:t>
      </w:r>
      <w:r w:rsidR="00701B5C" w:rsidRPr="00701B5C">
        <w:rPr>
          <w:rFonts w:ascii="Times New Roman" w:hAnsi="Times New Roman"/>
        </w:rPr>
        <w:t>wax based on vegetable oils</w:t>
      </w:r>
      <w:r w:rsidR="00701B5C">
        <w:rPr>
          <w:rFonts w:ascii="Times New Roman" w:hAnsi="Times New Roman"/>
        </w:rPr>
        <w:t xml:space="preserve"> </w:t>
      </w:r>
      <w:r w:rsidRPr="00C70C62">
        <w:rPr>
          <w:rFonts w:ascii="Times New Roman" w:hAnsi="Times New Roman"/>
        </w:rPr>
        <w:t xml:space="preserve">5%) induced good fruit firmness, low phytotoxicity and low incidence of anthracnose in treated mangoes after 15 days in the cold followed by 6 days at room temperature. This treatment would therefore be more suitable for preserving fruit for </w:t>
      </w:r>
      <w:commentRangeStart w:id="41"/>
      <w:r w:rsidRPr="00C70C62">
        <w:rPr>
          <w:rFonts w:ascii="Times New Roman" w:hAnsi="Times New Roman"/>
        </w:rPr>
        <w:t>export</w:t>
      </w:r>
      <w:commentRangeEnd w:id="41"/>
      <w:r w:rsidR="004F7043">
        <w:rPr>
          <w:rStyle w:val="CommentReference"/>
        </w:rPr>
        <w:commentReference w:id="41"/>
      </w:r>
      <w:r w:rsidRPr="00C70C62">
        <w:rPr>
          <w:rFonts w:ascii="Times New Roman" w:hAnsi="Times New Roman"/>
        </w:rPr>
        <w:t>.</w:t>
      </w:r>
    </w:p>
    <w:p w14:paraId="5F11BA12" w14:textId="77777777" w:rsidR="00810270" w:rsidRPr="00C70C62" w:rsidRDefault="00810270" w:rsidP="00C70C62">
      <w:pPr>
        <w:spacing w:line="360" w:lineRule="auto"/>
        <w:jc w:val="both"/>
        <w:rPr>
          <w:rFonts w:ascii="Times New Roman" w:hAnsi="Times New Roman"/>
          <w:b/>
        </w:rPr>
      </w:pPr>
    </w:p>
    <w:p w14:paraId="4B4609E9" w14:textId="1C46B26F" w:rsidR="00201271" w:rsidRPr="000D642E" w:rsidRDefault="00EF175D" w:rsidP="00A02301">
      <w:pPr>
        <w:pStyle w:val="Heading1"/>
        <w:spacing w:before="0"/>
      </w:pPr>
      <w:r>
        <w:t xml:space="preserve">5- </w:t>
      </w:r>
      <w:r w:rsidRPr="000D642E">
        <w:t>CONCLUSION</w:t>
      </w:r>
      <w:bookmarkEnd w:id="40"/>
    </w:p>
    <w:p w14:paraId="0D246639" w14:textId="5E5BD5E2" w:rsidR="00CE0270" w:rsidRPr="000D642E" w:rsidRDefault="00CE0270" w:rsidP="00A02301">
      <w:pPr>
        <w:spacing w:line="360" w:lineRule="auto"/>
        <w:ind w:firstLine="567"/>
        <w:jc w:val="both"/>
        <w:rPr>
          <w:rFonts w:ascii="Times New Roman" w:hAnsi="Times New Roman"/>
          <w:color w:val="000000" w:themeColor="text1"/>
        </w:rPr>
      </w:pPr>
      <w:r w:rsidRPr="000D642E">
        <w:rPr>
          <w:rFonts w:ascii="Times New Roman" w:hAnsi="Times New Roman"/>
          <w:color w:val="000000" w:themeColor="text1"/>
        </w:rPr>
        <w:t xml:space="preserve">A study of the efficacy of </w:t>
      </w:r>
      <w:r w:rsidR="00583A1D" w:rsidRPr="000D642E">
        <w:rPr>
          <w:rFonts w:ascii="Times New Roman" w:hAnsi="Times New Roman"/>
          <w:color w:val="000000" w:themeColor="text1"/>
        </w:rPr>
        <w:t xml:space="preserve">wax based on vegetable oils </w:t>
      </w:r>
      <w:r w:rsidRPr="000D642E">
        <w:rPr>
          <w:rFonts w:ascii="Times New Roman" w:hAnsi="Times New Roman"/>
          <w:color w:val="000000" w:themeColor="text1"/>
        </w:rPr>
        <w:t>applied at four doses (5</w:t>
      </w:r>
      <w:r w:rsidR="004269AD">
        <w:rPr>
          <w:rFonts w:ascii="Times New Roman" w:hAnsi="Times New Roman"/>
          <w:color w:val="000000" w:themeColor="text1"/>
        </w:rPr>
        <w:t> ;</w:t>
      </w:r>
      <w:r w:rsidRPr="000D642E">
        <w:rPr>
          <w:rFonts w:ascii="Times New Roman" w:hAnsi="Times New Roman"/>
          <w:color w:val="000000" w:themeColor="text1"/>
        </w:rPr>
        <w:t xml:space="preserve"> 10</w:t>
      </w:r>
      <w:r w:rsidR="004269AD">
        <w:rPr>
          <w:rFonts w:ascii="Times New Roman" w:hAnsi="Times New Roman"/>
          <w:color w:val="000000" w:themeColor="text1"/>
        </w:rPr>
        <w:t> ;</w:t>
      </w:r>
      <w:r w:rsidRPr="000D642E">
        <w:rPr>
          <w:rFonts w:ascii="Times New Roman" w:hAnsi="Times New Roman"/>
          <w:color w:val="000000" w:themeColor="text1"/>
        </w:rPr>
        <w:t xml:space="preserve"> 15</w:t>
      </w:r>
      <w:r w:rsidR="004269AD">
        <w:rPr>
          <w:rFonts w:ascii="Times New Roman" w:hAnsi="Times New Roman"/>
          <w:color w:val="000000" w:themeColor="text1"/>
        </w:rPr>
        <w:t xml:space="preserve"> </w:t>
      </w:r>
      <w:commentRangeStart w:id="42"/>
      <w:r w:rsidRPr="000D642E">
        <w:rPr>
          <w:rFonts w:ascii="Times New Roman" w:hAnsi="Times New Roman"/>
          <w:color w:val="000000" w:themeColor="text1"/>
        </w:rPr>
        <w:t>and</w:t>
      </w:r>
      <w:commentRangeEnd w:id="42"/>
      <w:r w:rsidR="00FE4D1A">
        <w:rPr>
          <w:rStyle w:val="CommentReference"/>
        </w:rPr>
        <w:commentReference w:id="42"/>
      </w:r>
      <w:r w:rsidRPr="000D642E">
        <w:rPr>
          <w:rFonts w:ascii="Times New Roman" w:hAnsi="Times New Roman"/>
          <w:color w:val="000000" w:themeColor="text1"/>
        </w:rPr>
        <w:t xml:space="preserve"> 10% combined with SCHOLAR at 0.15%) on the post-harvest preservation of mango, compared with an untreated control and a reference control at 0.15% SCHOLAR, produced some very interesting results. On the one hand, treatments with </w:t>
      </w:r>
      <w:r w:rsidR="00583A1D" w:rsidRPr="000D642E">
        <w:rPr>
          <w:rFonts w:ascii="Times New Roman" w:hAnsi="Times New Roman"/>
          <w:color w:val="000000" w:themeColor="text1"/>
        </w:rPr>
        <w:t xml:space="preserve">wax based on vegetable oils at </w:t>
      </w:r>
      <w:r w:rsidRPr="000D642E">
        <w:rPr>
          <w:rFonts w:ascii="Times New Roman" w:hAnsi="Times New Roman"/>
          <w:color w:val="000000" w:themeColor="text1"/>
        </w:rPr>
        <w:t xml:space="preserve">10%, 15% and the combination </w:t>
      </w:r>
      <w:r w:rsidR="00583A1D" w:rsidRPr="000D642E">
        <w:rPr>
          <w:rFonts w:ascii="Times New Roman" w:hAnsi="Times New Roman"/>
          <w:color w:val="000000" w:themeColor="text1"/>
        </w:rPr>
        <w:t xml:space="preserve">wax based on vegetable oils </w:t>
      </w:r>
      <w:r w:rsidRPr="000D642E">
        <w:rPr>
          <w:rFonts w:ascii="Times New Roman" w:hAnsi="Times New Roman"/>
          <w:color w:val="000000" w:themeColor="text1"/>
        </w:rPr>
        <w:t xml:space="preserve">10%+Scholar 0.15% induced a loss of fruit firmness, high phytotoxicity and a incidence of anthracnose. On the other hand, mangoes treated with 5% </w:t>
      </w:r>
      <w:r w:rsidR="00583A1D" w:rsidRPr="000D642E">
        <w:rPr>
          <w:rFonts w:ascii="Times New Roman" w:hAnsi="Times New Roman"/>
          <w:color w:val="000000" w:themeColor="text1"/>
        </w:rPr>
        <w:t xml:space="preserve">of wax based on vegetable oils </w:t>
      </w:r>
      <w:r w:rsidRPr="000D642E">
        <w:rPr>
          <w:rFonts w:ascii="Times New Roman" w:hAnsi="Times New Roman"/>
          <w:color w:val="000000" w:themeColor="text1"/>
        </w:rPr>
        <w:t>are quite firm, with low browning symptoms and low incidence of anthracnose after 15 days at 8°C followed by 6 days at room temperature. Scholar alone induces not only a high incidence of anthracnose and loss of firmness, but also browning of the fruit after removal from the storage room.</w:t>
      </w:r>
    </w:p>
    <w:p w14:paraId="43082FF1" w14:textId="60E8F5AD" w:rsidR="00CE0270" w:rsidRDefault="00CE0270" w:rsidP="00A02301">
      <w:pPr>
        <w:spacing w:line="360" w:lineRule="auto"/>
        <w:jc w:val="both"/>
        <w:rPr>
          <w:rFonts w:ascii="Times New Roman" w:eastAsia="Times New Roman" w:hAnsi="Times New Roman"/>
          <w:color w:val="000000" w:themeColor="text1"/>
          <w:lang w:eastAsia="fr-FR"/>
        </w:rPr>
      </w:pPr>
      <w:bookmarkStart w:id="43" w:name="_Toc113992329"/>
      <w:r w:rsidRPr="000D642E">
        <w:rPr>
          <w:rFonts w:ascii="Times New Roman" w:eastAsia="Times New Roman" w:hAnsi="Times New Roman"/>
          <w:color w:val="000000" w:themeColor="text1"/>
          <w:lang w:eastAsia="fr-FR"/>
        </w:rPr>
        <w:t xml:space="preserve">In view of these results, </w:t>
      </w:r>
      <w:r w:rsidR="00583A1D" w:rsidRPr="000D642E">
        <w:rPr>
          <w:rFonts w:ascii="Times New Roman" w:eastAsia="Times New Roman" w:hAnsi="Times New Roman"/>
          <w:color w:val="000000" w:themeColor="text1"/>
          <w:lang w:eastAsia="fr-FR"/>
        </w:rPr>
        <w:t xml:space="preserve">wax based on vegetable oils </w:t>
      </w:r>
      <w:r w:rsidRPr="000D642E">
        <w:rPr>
          <w:rFonts w:ascii="Times New Roman" w:eastAsia="Times New Roman" w:hAnsi="Times New Roman"/>
          <w:color w:val="000000" w:themeColor="text1"/>
          <w:lang w:eastAsia="fr-FR"/>
        </w:rPr>
        <w:t xml:space="preserve">at 5% homogenized in water and applied as a fruit spray can be </w:t>
      </w:r>
      <w:commentRangeStart w:id="44"/>
      <w:r w:rsidRPr="000D642E">
        <w:rPr>
          <w:rFonts w:ascii="Times New Roman" w:eastAsia="Times New Roman" w:hAnsi="Times New Roman"/>
          <w:color w:val="000000" w:themeColor="text1"/>
          <w:lang w:eastAsia="fr-FR"/>
        </w:rPr>
        <w:t>recommended</w:t>
      </w:r>
      <w:commentRangeEnd w:id="44"/>
      <w:r w:rsidR="005D1463">
        <w:rPr>
          <w:rStyle w:val="CommentReference"/>
        </w:rPr>
        <w:commentReference w:id="44"/>
      </w:r>
      <w:r w:rsidRPr="000D642E">
        <w:rPr>
          <w:rFonts w:ascii="Times New Roman" w:eastAsia="Times New Roman" w:hAnsi="Times New Roman"/>
          <w:color w:val="000000" w:themeColor="text1"/>
          <w:lang w:eastAsia="fr-FR"/>
        </w:rPr>
        <w:t xml:space="preserve"> for registration in Côte d'Ivoire, for post-harvest mango preservation. This dose controls anthracnose symptoms in post-harvest mango preservation over a 21-day period.</w:t>
      </w:r>
    </w:p>
    <w:p w14:paraId="337EB9B6" w14:textId="77777777" w:rsidR="00A02301" w:rsidRDefault="00A02301" w:rsidP="00A02301">
      <w:pPr>
        <w:spacing w:line="360" w:lineRule="auto"/>
        <w:jc w:val="both"/>
        <w:rPr>
          <w:rFonts w:ascii="Times New Roman" w:eastAsia="Times New Roman" w:hAnsi="Times New Roman"/>
          <w:color w:val="000000" w:themeColor="text1"/>
          <w:lang w:eastAsia="fr-FR"/>
        </w:rPr>
      </w:pPr>
    </w:p>
    <w:p w14:paraId="006ED98E" w14:textId="77777777" w:rsidR="00C75798" w:rsidRDefault="00C75798" w:rsidP="0034612C">
      <w:pPr>
        <w:spacing w:before="240" w:line="360" w:lineRule="auto"/>
        <w:jc w:val="both"/>
        <w:rPr>
          <w:rFonts w:ascii="Times New Roman" w:hAnsi="Times New Roman"/>
          <w:b/>
          <w:bCs/>
          <w:color w:val="000000" w:themeColor="text1"/>
        </w:rPr>
      </w:pPr>
    </w:p>
    <w:p w14:paraId="5FB9F0F3" w14:textId="619E7267" w:rsidR="00201271" w:rsidRPr="007340DC" w:rsidRDefault="00201271" w:rsidP="0034612C">
      <w:pPr>
        <w:spacing w:before="240" w:line="360" w:lineRule="auto"/>
        <w:jc w:val="both"/>
        <w:rPr>
          <w:rFonts w:ascii="Times New Roman" w:hAnsi="Times New Roman"/>
          <w:b/>
          <w:bCs/>
          <w:color w:val="000000" w:themeColor="text1"/>
        </w:rPr>
      </w:pPr>
      <w:r w:rsidRPr="007340DC">
        <w:rPr>
          <w:rFonts w:ascii="Times New Roman" w:hAnsi="Times New Roman"/>
          <w:b/>
          <w:bCs/>
          <w:color w:val="000000" w:themeColor="text1"/>
        </w:rPr>
        <w:t xml:space="preserve">REFERENCES </w:t>
      </w:r>
      <w:bookmarkEnd w:id="43"/>
    </w:p>
    <w:bookmarkEnd w:id="0"/>
    <w:p w14:paraId="361E8832"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Kouamé L.M., Kouamé K.A., Ouattara L., N’guéssan K.F., Alloue W.M., Dje K.M. (2020). Constraints related to the production and marketing of mangoes (Mangifera indica) in Côte d’Ivoire: the case of varieties exported to Europe. Afrique Science, 17 (3): 16–27</w:t>
      </w:r>
    </w:p>
    <w:p w14:paraId="4C5BC506"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Pugnet, V. (2018) Country Fact Sheet, Mango in Côte d’Ivoire. Producer Fact Sheet, in FRuiTROP No. 255, March/April 2018, 78–83.</w:t>
      </w:r>
    </w:p>
    <w:p w14:paraId="77A24F5E"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Coulibaly B. (2022). Study on agricultural financing: the case of the mango sector in Côte d’Ivoire. HortiFresh Program in West Africa. 25p</w:t>
      </w:r>
    </w:p>
    <w:p w14:paraId="28CBC156"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Yikoa B.N., Nzossié E.J.F., and Temple L. (2022). The emergence of a fruit marketing activity in Ngaoundéré: between opportunities and constraints. Annals of the University of Moundou, Series A-FLASH, 9 (1): 35–55.</w:t>
      </w:r>
    </w:p>
    <w:p w14:paraId="2BC4C135"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Wang B., Wang J., Feng X., Lin L., Zhao Y., and Jiang W. (2009). Effects of 1-MCP and exogenous ethylene on fruit ripening and antioxidants in stored mango. Plant Growth Regul, 57, 185–192.</w:t>
      </w:r>
    </w:p>
    <w:p w14:paraId="3634D43D"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Kanté-Traoré H., Sawadogo-Lingani H., Seogo I., Kaboré D., and Dicko M.H. (2017). Mango processing processes and level of awareness of quality standards by production units in Burkina Faso. International Journal of Biolocal and Chemical Science 11 (1): 195-207</w:t>
      </w:r>
    </w:p>
    <w:p w14:paraId="23BEF4AA"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Bissardon F. (1999). Postharvest Physiology and Cold Storage of Mango. Engineering Dissertation: IARC: Ecole nationale supérieure des industries agricoles et alimentaires, Montpellier, France. 21 p.</w:t>
      </w:r>
    </w:p>
    <w:p w14:paraId="6FBCE2B0"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Raimbault A. (2011). Internal Browning of Pineapple (Ananas comosus (L). M) Induced by Postharvest Cold Treatment: Physiopathology, Development of Molecular Tools, Gene Expression, and Enzymatic Activities Involved in Protein Catabolism. PhD from the University of Paris Est CRETEIL-VAL DE MARNE. 202p</w:t>
      </w:r>
    </w:p>
    <w:p w14:paraId="3C517E56"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Silue Y. (2022). Improving the Cold Storage of “Kent” Variety Mangoes from Côte d’Ivoire. PhD Thesis, Agricultural Sciences. University of Avignon; Nangui Abrogoua University (Abidjan), Ivory Coast, 144 p.</w:t>
      </w:r>
    </w:p>
    <w:p w14:paraId="1D688196"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OBAM-CI. (2019). In: Analysis of the Value Chain of Processed Fruits in Burkina Faso, Mali, and Ivory Coast, CBI, Ivory Coast. pp. 42-44</w:t>
      </w:r>
    </w:p>
    <w:p w14:paraId="4D4010E3"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AOAC. (2000). Official Methods 942.15 Acidity (titratable) of Fruit Product Read with AOAC Official Preparation of Test Sample 149.17, th ed.</w:t>
      </w:r>
    </w:p>
    <w:p w14:paraId="2DD4B38D"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Thai T. H. (2000). Effect of Different Coatings on the Fresh Storage Characteristics of Mango. Montpellier: ENSIA-SIARC, 111 p. Master's Thesis: Mediterranean and Tropical Agri-Food Engineering: National School of Agricultural and Food Engineering, 76 p.</w:t>
      </w:r>
    </w:p>
    <w:p w14:paraId="53F8EEF4"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Cheema A., Padmanabhan P., Subramanian J., Blom T and Paliyath G. (2018). Improving quality of greenhouse tomato (Solanum lycopersicum L.) by pre- and postharvest applications of hexanal-containing formulations. Postharvest Biology and Technology, 95: 13–19.</w:t>
      </w:r>
    </w:p>
    <w:p w14:paraId="0FF3F277"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lastRenderedPageBreak/>
        <w:t>Hossain Md.A., Rana Md.M., Kimura Y. and Roslan H.A. (2014). Changes in biochemical characteristics and activities of ripening associated enzymes in mango fruit during the storage at different temperatures. BioMed Research International, 2014: 1-11.</w:t>
      </w:r>
    </w:p>
    <w:p w14:paraId="1CA98152"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Kouame K. G., Kouame K. D.; Kassi K. F. J-M and Kone D. (2021). Post-Harvest Control of Anthracnose of Mango (Mangifera indica L. var Kent) Using Essential Oils Extracted from Two Aromatic Plants (Cymbopogon citratus (D C) Stapf. and Melaleuca quinquenervia L.) of the Ivorian Flora. Int.J.Curr.Microbiol.App.Sci. 10(11): 277-293</w:t>
      </w:r>
    </w:p>
    <w:p w14:paraId="2DD2E235"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Kasse, M. (2015). Improving the preservation of 4th-range mangoes by using a coating, an antimicrobial treatment, and modified atmosphere packaging. Doctoral thesis. Cheikh Anta Diop University of Dakar, Senegal, 98 p.</w:t>
      </w:r>
    </w:p>
    <w:p w14:paraId="0E3CE6AB"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Aissaoui I. and Dahmouni A. (2021). Use of pomegranate (Punica granatum) peel extract to extend the shelf life of fresh orange juice. Master's thesis, Mohamed El Bachir El Ibrahimi B.B.A. University, Algeria.21p</w:t>
      </w:r>
    </w:p>
    <w:p w14:paraId="5169F8AD"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Al-Zoreky N. S. (2009). Antimicrobial activity of pomegranate (Punica granatum L.) fruit peels. International Journal of Food Microbiology,134(3):244-248.</w:t>
      </w:r>
    </w:p>
    <w:p w14:paraId="6975D46B"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Preethi P., Soorianathasundaram K., Sadasakthi A., Subramanian K.S., Paliyath G. and Subramanian J. (2018). Influence of Hexanal formulation on storage life and post-harvest quality of mango fruits. JEB 39, 1006–1014.</w:t>
      </w:r>
    </w:p>
    <w:p w14:paraId="015E3DCD" w14:textId="68630953" w:rsidR="00CA4344" w:rsidRPr="007340DC" w:rsidRDefault="0085487E" w:rsidP="0085487E">
      <w:pPr>
        <w:autoSpaceDE w:val="0"/>
        <w:autoSpaceDN w:val="0"/>
        <w:adjustRightInd w:val="0"/>
        <w:spacing w:before="240"/>
        <w:jc w:val="both"/>
        <w:rPr>
          <w:rFonts w:ascii="Times New Roman" w:hAnsi="Times New Roman"/>
          <w:b/>
          <w:bCs/>
          <w:color w:val="000000" w:themeColor="text1"/>
        </w:rPr>
      </w:pPr>
      <w:r w:rsidRPr="0085487E">
        <w:rPr>
          <w:rFonts w:ascii="Times New Roman" w:eastAsia="TimesNewRoman" w:hAnsi="Times New Roman"/>
          <w:color w:val="000000" w:themeColor="text1"/>
          <w:lang w:val="en-US"/>
          <w14:ligatures w14:val="standardContextual"/>
        </w:rPr>
        <w:t>Gill K.S., Dhaliwal H.S., Mahajan B.V.C., Paliyath G and Boora R.S. (2016). Enhancing postharvest shelf life and quality of guava (Psidium guajava L.) cv. Allahabad Safeda by pre-harvest application of hexanal containing aqueous formulation. Postharvest Biology and Technology 112:224–232.</w:t>
      </w:r>
    </w:p>
    <w:sectPr w:rsidR="00CA4344" w:rsidRPr="007340DC" w:rsidSect="00CF48D9">
      <w:headerReference w:type="even" r:id="rId32"/>
      <w:headerReference w:type="default" r:id="rId33"/>
      <w:headerReference w:type="first" r:id="rId34"/>
      <w:pgSz w:w="11900" w:h="16840"/>
      <w:pgMar w:top="946"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waghgba Elijah" w:date="2025-04-19T07:59:00Z" w:initials="KE">
    <w:p w14:paraId="7996BAA6" w14:textId="5A7573F2" w:rsidR="00FD7D5A" w:rsidRDefault="00FD7D5A">
      <w:pPr>
        <w:pStyle w:val="CommentText"/>
      </w:pPr>
      <w:r>
        <w:rPr>
          <w:rStyle w:val="CommentReference"/>
        </w:rPr>
        <w:annotationRef/>
      </w:r>
      <w:r>
        <w:t>Please indicate the statistically significant level of your results.</w:t>
      </w:r>
    </w:p>
  </w:comment>
  <w:comment w:id="2" w:author="Kwaghgba Elijah" w:date="2025-04-19T16:54:00Z" w:initials="KE">
    <w:p w14:paraId="79070E31" w14:textId="4B583772" w:rsidR="00EA2288" w:rsidRDefault="00EA2288">
      <w:pPr>
        <w:pStyle w:val="CommentText"/>
      </w:pPr>
      <w:r>
        <w:rPr>
          <w:rStyle w:val="CommentReference"/>
        </w:rPr>
        <w:annotationRef/>
      </w:r>
      <w:r w:rsidR="005B2814">
        <w:t>"Since the goal of the research is to enhance the shelf life of mango fruit, including a sensory evaluation of the treated fruit would have further strengthened the study’s findings."</w:t>
      </w:r>
    </w:p>
  </w:comment>
  <w:comment w:id="4" w:author="Kwaghgba Elijah" w:date="2025-04-19T17:06:00Z" w:initials="KE">
    <w:p w14:paraId="0B5E2C32" w14:textId="754961AF" w:rsidR="005B2814" w:rsidRDefault="005B2814">
      <w:pPr>
        <w:pStyle w:val="CommentText"/>
      </w:pPr>
      <w:r>
        <w:rPr>
          <w:rStyle w:val="CommentReference"/>
        </w:rPr>
        <w:annotationRef/>
      </w:r>
      <w:r w:rsidR="00253B3F">
        <w:t>Please up date these references</w:t>
      </w:r>
      <w:r>
        <w:t xml:space="preserve"> (e.g., Bissardon, 1999; Wang et al., 2009; Raimbault, 2011). </w:t>
      </w:r>
      <w:r w:rsidR="00253B3F">
        <w:t xml:space="preserve">To </w:t>
      </w:r>
      <w:r>
        <w:t>more recent studies</w:t>
      </w:r>
      <w:r w:rsidR="00253B3F">
        <w:t xml:space="preserve"> to</w:t>
      </w:r>
      <w:r>
        <w:t xml:space="preserve"> strengthen the literature review.</w:t>
      </w:r>
    </w:p>
  </w:comment>
  <w:comment w:id="6" w:author="Kwaghgba Elijah" w:date="2025-04-19T17:24:00Z" w:initials="KE">
    <w:p w14:paraId="7073D80F" w14:textId="127776EF" w:rsidR="00B44863" w:rsidRDefault="00B44863">
      <w:pPr>
        <w:pStyle w:val="CommentText"/>
      </w:pPr>
      <w:r>
        <w:rPr>
          <w:rStyle w:val="CommentReference"/>
        </w:rPr>
        <w:annotationRef/>
      </w:r>
      <w:r>
        <w:t xml:space="preserve"> </w:t>
      </w:r>
    </w:p>
    <w:p w14:paraId="69CA0632" w14:textId="77777777" w:rsidR="00B44863" w:rsidRDefault="00B44863">
      <w:pPr>
        <w:pStyle w:val="CommentText"/>
      </w:pPr>
      <w:r>
        <w:t xml:space="preserve">Please provide detailed methodology for the perparation of </w:t>
      </w:r>
      <w:r w:rsidRPr="007E1830">
        <w:rPr>
          <w:rFonts w:ascii="Times New Roman" w:hAnsi="Times New Roman"/>
          <w:color w:val="000000" w:themeColor="text1"/>
          <w:lang w:eastAsia="fr-FR"/>
        </w:rPr>
        <w:t>vegetable oil-based wax</w:t>
      </w:r>
      <w:r w:rsidR="00027487">
        <w:rPr>
          <w:rFonts w:ascii="Times New Roman" w:hAnsi="Times New Roman"/>
          <w:color w:val="000000" w:themeColor="text1"/>
          <w:lang w:eastAsia="fr-FR"/>
        </w:rPr>
        <w:t xml:space="preserve">, including </w:t>
      </w:r>
      <w:r w:rsidR="00027487">
        <w:t>formulation process, emulsifiers, viscosity and food grade status.</w:t>
      </w:r>
    </w:p>
    <w:p w14:paraId="194F8C78" w14:textId="4BAFA72B" w:rsidR="00027487" w:rsidRDefault="00027487">
      <w:pPr>
        <w:pStyle w:val="CommentText"/>
      </w:pPr>
      <w:r>
        <w:t xml:space="preserve">If it is a commercial product, the manufacturer and brand should be cited. </w:t>
      </w:r>
    </w:p>
  </w:comment>
  <w:comment w:id="7" w:author="Kwaghgba Elijah" w:date="2025-04-19T17:31:00Z" w:initials="KE">
    <w:p w14:paraId="04328AA0" w14:textId="753CDC4D" w:rsidR="00027487" w:rsidRDefault="00027487">
      <w:pPr>
        <w:pStyle w:val="CommentText"/>
      </w:pPr>
      <w:r>
        <w:rPr>
          <w:rStyle w:val="CommentReference"/>
        </w:rPr>
        <w:annotationRef/>
      </w:r>
      <w:r>
        <w:t xml:space="preserve">Please justify why </w:t>
      </w:r>
      <w:r w:rsidRPr="003D7F05">
        <w:rPr>
          <w:rFonts w:ascii="Times New Roman" w:hAnsi="Times New Roman"/>
          <w:color w:val="000000" w:themeColor="text1"/>
          <w:lang w:eastAsia="fr-FR"/>
        </w:rPr>
        <w:t>SCHOLAR</w:t>
      </w:r>
      <w:r>
        <w:rPr>
          <w:rStyle w:val="CommentReference"/>
        </w:rPr>
        <w:annotationRef/>
      </w:r>
      <w:r w:rsidRPr="003D7F05">
        <w:rPr>
          <w:rFonts w:ascii="Times New Roman" w:hAnsi="Times New Roman"/>
          <w:color w:val="000000" w:themeColor="text1"/>
          <w:lang w:eastAsia="fr-FR"/>
        </w:rPr>
        <w:t xml:space="preserve"> Max 230 SC </w:t>
      </w:r>
      <w:r>
        <w:rPr>
          <w:rFonts w:ascii="Times New Roman" w:hAnsi="Times New Roman"/>
          <w:color w:val="000000" w:themeColor="text1"/>
          <w:lang w:eastAsia="fr-FR"/>
        </w:rPr>
        <w:t xml:space="preserve">was </w:t>
      </w:r>
      <w:r>
        <w:t>selected as a reference.</w:t>
      </w:r>
    </w:p>
  </w:comment>
  <w:comment w:id="10" w:author="Kwaghgba Elijah" w:date="2025-04-19T17:35:00Z" w:initials="KE">
    <w:p w14:paraId="348966B9" w14:textId="674EBDF6" w:rsidR="00027487" w:rsidRDefault="00027487">
      <w:pPr>
        <w:pStyle w:val="CommentText"/>
      </w:pPr>
      <w:r>
        <w:rPr>
          <w:rStyle w:val="CommentReference"/>
        </w:rPr>
        <w:annotationRef/>
      </w:r>
      <w:r>
        <w:t xml:space="preserve">Please there is no mention of relative humidity values in </w:t>
      </w:r>
      <w:r w:rsidR="000633D7">
        <w:t xml:space="preserve">the </w:t>
      </w:r>
      <w:r>
        <w:t>cold storage and room temperature conditions</w:t>
      </w:r>
      <w:r w:rsidR="000633D7">
        <w:t>.</w:t>
      </w:r>
      <w:r>
        <w:t xml:space="preserve"> Since RH affects transpiration and fruit water loss, it should be reported</w:t>
      </w:r>
      <w:r w:rsidR="000633D7">
        <w:t>.</w:t>
      </w:r>
    </w:p>
  </w:comment>
  <w:comment w:id="11" w:author="Kwaghgba Elijah" w:date="2025-04-19T17:40:00Z" w:initials="KE">
    <w:p w14:paraId="52DA7556" w14:textId="5CFF497C" w:rsidR="000633D7" w:rsidRDefault="000633D7">
      <w:pPr>
        <w:pStyle w:val="CommentText"/>
      </w:pPr>
      <w:r>
        <w:rPr>
          <w:rStyle w:val="CommentReference"/>
        </w:rPr>
        <w:annotationRef/>
      </w:r>
      <w:r>
        <w:t>“mango colour index” without quantification. Was colorimeter or chromameter data (e.g., L*, a*, b*) collected? Subjective assessments introduce bias and should not be considered.</w:t>
      </w:r>
    </w:p>
  </w:comment>
  <w:comment w:id="31" w:author="Kwaghgba Elijah" w:date="2025-04-19T18:23:00Z" w:initials="KE">
    <w:p w14:paraId="44F3E949" w14:textId="778C235E" w:rsidR="003A5200" w:rsidRDefault="003A5200">
      <w:pPr>
        <w:pStyle w:val="CommentText"/>
      </w:pPr>
      <w:r>
        <w:rPr>
          <w:rStyle w:val="CommentReference"/>
        </w:rPr>
        <w:annotationRef/>
      </w:r>
      <w:r>
        <w:t>Please remove this paragraph from here</w:t>
      </w:r>
    </w:p>
  </w:comment>
  <w:comment w:id="33" w:author="Kwaghgba Elijah" w:date="2025-04-19T18:26:00Z" w:initials="KE">
    <w:p w14:paraId="5635C5B5" w14:textId="661443E0" w:rsidR="003A5200" w:rsidRDefault="003A5200">
      <w:pPr>
        <w:pStyle w:val="CommentText"/>
      </w:pPr>
      <w:r>
        <w:rPr>
          <w:rStyle w:val="CommentReference"/>
        </w:rPr>
        <w:annotationRef/>
      </w:r>
      <w:r>
        <w:t>Please include statistical interpertation in your results</w:t>
      </w:r>
    </w:p>
  </w:comment>
  <w:comment w:id="34" w:author="Kwaghgba Elijah" w:date="2025-04-19T18:29:00Z" w:initials="KE">
    <w:p w14:paraId="26438FEA" w14:textId="6468747C" w:rsidR="003A5200" w:rsidRDefault="003A5200">
      <w:pPr>
        <w:pStyle w:val="CommentText"/>
      </w:pPr>
      <w:r>
        <w:rPr>
          <w:rStyle w:val="CommentReference"/>
        </w:rPr>
        <w:annotationRef/>
      </w:r>
      <w:r>
        <w:rPr>
          <w:rFonts w:ascii="Times New Roman" w:hAnsi="Times New Roman"/>
          <w:color w:val="000000" w:themeColor="text1"/>
        </w:rPr>
        <w:t>I</w:t>
      </w:r>
      <w:r w:rsidRPr="00C70C62">
        <w:rPr>
          <w:rFonts w:ascii="Times New Roman" w:hAnsi="Times New Roman"/>
          <w:color w:val="000000" w:themeColor="text1"/>
        </w:rPr>
        <w:t>nhibiting phospholipase D</w:t>
      </w:r>
      <w:r>
        <w:rPr>
          <w:rStyle w:val="CommentReference"/>
        </w:rPr>
        <w:annotationRef/>
      </w:r>
      <w:r w:rsidRPr="00C70C62">
        <w:rPr>
          <w:rFonts w:ascii="Times New Roman" w:hAnsi="Times New Roman"/>
          <w:color w:val="000000" w:themeColor="text1"/>
        </w:rPr>
        <w:t xml:space="preserve"> activity </w:t>
      </w:r>
      <w:r>
        <w:rPr>
          <w:rFonts w:ascii="Times New Roman" w:hAnsi="Times New Roman"/>
          <w:color w:val="000000" w:themeColor="text1"/>
        </w:rPr>
        <w:t>is mostly found with hexanal application and can not be the</w:t>
      </w:r>
      <w:r w:rsidR="006F2E85">
        <w:rPr>
          <w:rFonts w:ascii="Times New Roman" w:hAnsi="Times New Roman"/>
          <w:color w:val="000000" w:themeColor="text1"/>
        </w:rPr>
        <w:t xml:space="preserve"> </w:t>
      </w:r>
      <w:bookmarkStart w:id="35" w:name="_GoBack"/>
      <w:bookmarkEnd w:id="35"/>
      <w:r>
        <w:rPr>
          <w:rFonts w:ascii="Times New Roman" w:hAnsi="Times New Roman"/>
          <w:color w:val="000000" w:themeColor="text1"/>
        </w:rPr>
        <w:t>same with this coating Please check ?</w:t>
      </w:r>
    </w:p>
  </w:comment>
  <w:comment w:id="36" w:author="Kwaghgba Elijah" w:date="2025-04-19T18:27:00Z" w:initials="KE">
    <w:p w14:paraId="327CC417" w14:textId="73E4A965" w:rsidR="003A5200" w:rsidRDefault="003A5200">
      <w:pPr>
        <w:pStyle w:val="CommentText"/>
      </w:pPr>
      <w:r>
        <w:rPr>
          <w:rStyle w:val="CommentReference"/>
        </w:rPr>
        <w:annotationRef/>
      </w:r>
      <w:r>
        <w:t>Please, what is the mechanism of action of the coating in the shelf life extension of fruits?</w:t>
      </w:r>
    </w:p>
  </w:comment>
  <w:comment w:id="37" w:author="Kwaghgba Elijah" w:date="2025-04-19T18:41:00Z" w:initials="KE">
    <w:p w14:paraId="2FE216A3" w14:textId="77777777" w:rsidR="004F7043" w:rsidRDefault="004F7043">
      <w:pPr>
        <w:pStyle w:val="CommentText"/>
      </w:pPr>
      <w:r>
        <w:rPr>
          <w:rStyle w:val="CommentReference"/>
        </w:rPr>
        <w:annotationRef/>
      </w:r>
      <w:r>
        <w:t>Please your pH results are presented in a contradictory manner.</w:t>
      </w:r>
    </w:p>
    <w:p w14:paraId="7E0D88B8" w14:textId="63CF1443" w:rsidR="004F7043" w:rsidRDefault="004F7043">
      <w:pPr>
        <w:pStyle w:val="CommentText"/>
      </w:pPr>
      <w:r>
        <w:t xml:space="preserve"> First, it is claimed that treatments lowered pulp pH, then stated they did not affect it significantly. Please use statistical values to clear this.</w:t>
      </w:r>
    </w:p>
  </w:comment>
  <w:comment w:id="38" w:author="Kwaghgba Elijah" w:date="2025-04-19T18:44:00Z" w:initials="KE">
    <w:p w14:paraId="1A4930E0" w14:textId="7572D6DD" w:rsidR="004F7043" w:rsidRDefault="004F7043">
      <w:pPr>
        <w:pStyle w:val="CommentText"/>
      </w:pPr>
      <w:r>
        <w:rPr>
          <w:rStyle w:val="CommentReference"/>
        </w:rPr>
        <w:annotationRef/>
      </w:r>
      <w:r>
        <w:t>There was no report of sensory evaluation of this study how did you come about the connection between pH and “mouthfeel” ?  Avoid overextending claims about consumer experience.</w:t>
      </w:r>
    </w:p>
  </w:comment>
  <w:comment w:id="39" w:author="Kwaghgba Elijah" w:date="2025-04-19T18:48:00Z" w:initials="KE">
    <w:p w14:paraId="51A9C4BC" w14:textId="3CFA8EE5" w:rsidR="004F7043" w:rsidRDefault="004F7043">
      <w:pPr>
        <w:pStyle w:val="CommentText"/>
      </w:pPr>
      <w:r>
        <w:rPr>
          <w:rStyle w:val="CommentReference"/>
        </w:rPr>
        <w:annotationRef/>
      </w:r>
      <w:r>
        <w:t xml:space="preserve">Please compara this wax-based coating with other biocoatings used in postharvest mango treatment (e.g., chitosan, gum arabic). </w:t>
      </w:r>
    </w:p>
  </w:comment>
  <w:comment w:id="41" w:author="Kwaghgba Elijah" w:date="2025-04-19T18:51:00Z" w:initials="KE">
    <w:p w14:paraId="7348CC31" w14:textId="0EA52720" w:rsidR="004F7043" w:rsidRPr="00FE4D1A" w:rsidRDefault="004F7043">
      <w:pPr>
        <w:pStyle w:val="CommentText"/>
      </w:pPr>
      <w:r>
        <w:rPr>
          <w:rStyle w:val="CommentReference"/>
        </w:rPr>
        <w:annotationRef/>
      </w:r>
      <w:r w:rsidR="00FE4D1A" w:rsidRPr="00FE4D1A">
        <w:t xml:space="preserve">Please the </w:t>
      </w:r>
      <w:r w:rsidR="00FE4D1A" w:rsidRPr="00FE4D1A">
        <w:rPr>
          <w:rStyle w:val="Strong"/>
          <w:b w:val="0"/>
          <w:bCs w:val="0"/>
        </w:rPr>
        <w:t>discussion requires clearer structure, stronger analytical depth, and improved language quality</w:t>
      </w:r>
      <w:r w:rsidR="00FE4D1A" w:rsidRPr="00FE4D1A">
        <w:t xml:space="preserve"> to meet the expectations of a high-impact journal</w:t>
      </w:r>
    </w:p>
  </w:comment>
  <w:comment w:id="42" w:author="Kwaghgba Elijah" w:date="2025-04-19T18:58:00Z" w:initials="KE">
    <w:p w14:paraId="65EE3A2C" w14:textId="76A830FB" w:rsidR="00FE4D1A" w:rsidRDefault="00FE4D1A">
      <w:pPr>
        <w:pStyle w:val="CommentText"/>
      </w:pPr>
      <w:r>
        <w:rPr>
          <w:rStyle w:val="CommentReference"/>
        </w:rPr>
        <w:annotationRef/>
      </w:r>
      <w:r>
        <w:t>Please make your conclusion base with statistical significance</w:t>
      </w:r>
    </w:p>
  </w:comment>
  <w:comment w:id="44" w:author="Kwaghgba Elijah" w:date="2025-04-19T19:02:00Z" w:initials="KE">
    <w:p w14:paraId="5E962B38" w14:textId="096E9628" w:rsidR="005D1463" w:rsidRDefault="005D1463">
      <w:pPr>
        <w:pStyle w:val="CommentText"/>
      </w:pPr>
      <w:r>
        <w:rPr>
          <w:rStyle w:val="CommentReference"/>
        </w:rPr>
        <w:annotationRef/>
      </w:r>
      <w:r>
        <w:t>Please, your recommendation “registration” of the 5% wax formulation for commercial use in Côte d'Ivoire based on a single study is premature and lacks regulatory and scientific justification. Please rehrase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96BAA6" w15:done="0"/>
  <w15:commentEx w15:paraId="79070E31" w15:done="0"/>
  <w15:commentEx w15:paraId="0B5E2C32" w15:done="0"/>
  <w15:commentEx w15:paraId="194F8C78" w15:done="0"/>
  <w15:commentEx w15:paraId="04328AA0" w15:done="0"/>
  <w15:commentEx w15:paraId="348966B9" w15:done="0"/>
  <w15:commentEx w15:paraId="52DA7556" w15:done="0"/>
  <w15:commentEx w15:paraId="44F3E949" w15:done="0"/>
  <w15:commentEx w15:paraId="5635C5B5" w15:done="0"/>
  <w15:commentEx w15:paraId="26438FEA" w15:done="0"/>
  <w15:commentEx w15:paraId="327CC417" w15:done="0"/>
  <w15:commentEx w15:paraId="7E0D88B8" w15:done="0"/>
  <w15:commentEx w15:paraId="1A4930E0" w15:done="0"/>
  <w15:commentEx w15:paraId="51A9C4BC" w15:done="0"/>
  <w15:commentEx w15:paraId="7348CC31" w15:done="0"/>
  <w15:commentEx w15:paraId="65EE3A2C" w15:done="0"/>
  <w15:commentEx w15:paraId="5E962B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DD662" w16cex:dateUtc="2025-04-19T06:59:00Z"/>
  <w16cex:commentExtensible w16cex:durableId="2BAE53DE" w16cex:dateUtc="2025-04-19T15:54:00Z"/>
  <w16cex:commentExtensible w16cex:durableId="2BAE568F" w16cex:dateUtc="2025-04-19T16:06:00Z"/>
  <w16cex:commentExtensible w16cex:durableId="2BAE5AD0" w16cex:dateUtc="2025-04-19T16:24:00Z"/>
  <w16cex:commentExtensible w16cex:durableId="2BAE5C84" w16cex:dateUtc="2025-04-19T16:31:00Z"/>
  <w16cex:commentExtensible w16cex:durableId="2BAE5D74" w16cex:dateUtc="2025-04-19T16:35:00Z"/>
  <w16cex:commentExtensible w16cex:durableId="2BAE5EA3" w16cex:dateUtc="2025-04-19T16:40:00Z"/>
  <w16cex:commentExtensible w16cex:durableId="2BAE68A5" w16cex:dateUtc="2025-04-19T17:23:00Z"/>
  <w16cex:commentExtensible w16cex:durableId="2BAE6947" w16cex:dateUtc="2025-04-19T17:26:00Z"/>
  <w16cex:commentExtensible w16cex:durableId="2BAE6A0A" w16cex:dateUtc="2025-04-19T17:29:00Z"/>
  <w16cex:commentExtensible w16cex:durableId="2BAE6994" w16cex:dateUtc="2025-04-19T17:27:00Z"/>
  <w16cex:commentExtensible w16cex:durableId="2BAE6CBD" w16cex:dateUtc="2025-04-19T17:41:00Z"/>
  <w16cex:commentExtensible w16cex:durableId="2BAE6DA8" w16cex:dateUtc="2025-04-19T17:44:00Z"/>
  <w16cex:commentExtensible w16cex:durableId="2BAE6E8F" w16cex:dateUtc="2025-04-19T17:48:00Z"/>
  <w16cex:commentExtensible w16cex:durableId="2BAE6F37" w16cex:dateUtc="2025-04-19T17:51:00Z"/>
  <w16cex:commentExtensible w16cex:durableId="2BAE70E7" w16cex:dateUtc="2025-04-19T17:58:00Z"/>
  <w16cex:commentExtensible w16cex:durableId="2BAE71CA" w16cex:dateUtc="2025-04-19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96BAA6" w16cid:durableId="2BADD662"/>
  <w16cid:commentId w16cid:paraId="79070E31" w16cid:durableId="2BAE53DE"/>
  <w16cid:commentId w16cid:paraId="0B5E2C32" w16cid:durableId="2BAE568F"/>
  <w16cid:commentId w16cid:paraId="194F8C78" w16cid:durableId="2BAE5AD0"/>
  <w16cid:commentId w16cid:paraId="04328AA0" w16cid:durableId="2BAE5C84"/>
  <w16cid:commentId w16cid:paraId="348966B9" w16cid:durableId="2BAE5D74"/>
  <w16cid:commentId w16cid:paraId="52DA7556" w16cid:durableId="2BAE5EA3"/>
  <w16cid:commentId w16cid:paraId="44F3E949" w16cid:durableId="2BAE68A5"/>
  <w16cid:commentId w16cid:paraId="5635C5B5" w16cid:durableId="2BAE6947"/>
  <w16cid:commentId w16cid:paraId="26438FEA" w16cid:durableId="2BAE6A0A"/>
  <w16cid:commentId w16cid:paraId="327CC417" w16cid:durableId="2BAE6994"/>
  <w16cid:commentId w16cid:paraId="7E0D88B8" w16cid:durableId="2BAE6CBD"/>
  <w16cid:commentId w16cid:paraId="1A4930E0" w16cid:durableId="2BAE6DA8"/>
  <w16cid:commentId w16cid:paraId="51A9C4BC" w16cid:durableId="2BAE6E8F"/>
  <w16cid:commentId w16cid:paraId="7348CC31" w16cid:durableId="2BAE6F37"/>
  <w16cid:commentId w16cid:paraId="65EE3A2C" w16cid:durableId="2BAE70E7"/>
  <w16cid:commentId w16cid:paraId="5E962B38" w16cid:durableId="2BAE71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6CA71" w14:textId="77777777" w:rsidR="00F34B3A" w:rsidRDefault="00F34B3A" w:rsidP="00D837AC">
      <w:r>
        <w:separator/>
      </w:r>
    </w:p>
  </w:endnote>
  <w:endnote w:type="continuationSeparator" w:id="0">
    <w:p w14:paraId="27FB7CE1" w14:textId="77777777" w:rsidR="00F34B3A" w:rsidRDefault="00F34B3A" w:rsidP="00D8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ZJEUG+LMRoman10-Regular">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MS Gothic"/>
    <w:charset w:val="00"/>
    <w:family w:val="roman"/>
    <w:pitch w:val="default"/>
    <w:sig w:usb0="00000003"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Apple Chancery">
    <w:altName w:val="Arial"/>
    <w:charset w:val="00"/>
    <w:family w:val="script"/>
    <w:pitch w:val="variable"/>
    <w:sig w:usb0="800000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CEC9D" w14:textId="77777777" w:rsidR="00222A19" w:rsidRDefault="00222A19" w:rsidP="00CF48D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AE3AC5" w14:textId="77777777" w:rsidR="00222A19" w:rsidRDefault="00222A19" w:rsidP="00CF48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6621C" w14:textId="77777777" w:rsidR="00235CA6" w:rsidRDefault="00235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9745C" w14:textId="77777777" w:rsidR="00235CA6" w:rsidRDefault="00235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9491A" w14:textId="77777777" w:rsidR="00F34B3A" w:rsidRDefault="00F34B3A" w:rsidP="00D837AC">
      <w:r>
        <w:separator/>
      </w:r>
    </w:p>
  </w:footnote>
  <w:footnote w:type="continuationSeparator" w:id="0">
    <w:p w14:paraId="04CA954A" w14:textId="77777777" w:rsidR="00F34B3A" w:rsidRDefault="00F34B3A" w:rsidP="00D8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FF7BC" w14:textId="0E62DA58" w:rsidR="00235CA6" w:rsidRDefault="00F34B3A">
    <w:pPr>
      <w:pStyle w:val="Header"/>
    </w:pPr>
    <w:r>
      <w:rPr>
        <w:noProof/>
      </w:rPr>
      <w:pict w14:anchorId="20AFA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7" o:spid="_x0000_s2050" type="#_x0000_t136" style="position:absolute;margin-left:0;margin-top:0;width:538.2pt;height:10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03AC9" w14:textId="5E23A987" w:rsidR="00235CA6" w:rsidRDefault="00F34B3A">
    <w:pPr>
      <w:pStyle w:val="Header"/>
    </w:pPr>
    <w:r>
      <w:rPr>
        <w:noProof/>
      </w:rPr>
      <w:pict w14:anchorId="5963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8" o:spid="_x0000_s2051" type="#_x0000_t136" style="position:absolute;margin-left:0;margin-top:0;width:538.2pt;height:10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E9A31" w14:textId="6891F640" w:rsidR="00235CA6" w:rsidRDefault="00F34B3A">
    <w:pPr>
      <w:pStyle w:val="Header"/>
    </w:pPr>
    <w:r>
      <w:rPr>
        <w:noProof/>
      </w:rPr>
      <w:pict w14:anchorId="48971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6" o:spid="_x0000_s2049" type="#_x0000_t136" style="position:absolute;margin-left:0;margin-top:0;width:538.2pt;height:10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DBA2" w14:textId="6772AF4A" w:rsidR="00235CA6" w:rsidRDefault="00F34B3A">
    <w:pPr>
      <w:pStyle w:val="Header"/>
    </w:pPr>
    <w:r>
      <w:rPr>
        <w:noProof/>
      </w:rPr>
      <w:pict w14:anchorId="575B5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50" o:spid="_x0000_s2053" type="#_x0000_t136" style="position:absolute;margin-left:0;margin-top:0;width:538.2pt;height:100.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EB55" w14:textId="6558D1F7" w:rsidR="00222A19" w:rsidRPr="00FC1D08" w:rsidRDefault="00F34B3A" w:rsidP="00CF48D9">
    <w:pPr>
      <w:rPr>
        <w:rFonts w:ascii="Apple Chancery" w:hAnsi="Apple Chancery" w:cs="Apple Chancery"/>
        <w:color w:val="000000"/>
      </w:rPr>
    </w:pPr>
    <w:r>
      <w:rPr>
        <w:noProof/>
      </w:rPr>
      <w:pict w14:anchorId="3A157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51" o:spid="_x0000_s2054" type="#_x0000_t136" style="position:absolute;margin-left:0;margin-top:0;width:538.2pt;height:100.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F40CC" w14:textId="7B844EC2" w:rsidR="00235CA6" w:rsidRDefault="00F34B3A">
    <w:pPr>
      <w:pStyle w:val="Header"/>
    </w:pPr>
    <w:r>
      <w:rPr>
        <w:noProof/>
      </w:rPr>
      <w:pict w14:anchorId="1A7E5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9" o:spid="_x0000_s2052" type="#_x0000_t136" style="position:absolute;margin-left:0;margin-top:0;width:538.2pt;height:100.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0A5D"/>
    <w:multiLevelType w:val="multilevel"/>
    <w:tmpl w:val="854C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50650"/>
    <w:multiLevelType w:val="multilevel"/>
    <w:tmpl w:val="AB16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66010"/>
    <w:multiLevelType w:val="hybridMultilevel"/>
    <w:tmpl w:val="211ED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A34DB"/>
    <w:multiLevelType w:val="multilevel"/>
    <w:tmpl w:val="EA622E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534FC"/>
    <w:multiLevelType w:val="hybridMultilevel"/>
    <w:tmpl w:val="12849C74"/>
    <w:lvl w:ilvl="0" w:tplc="B04E1D72">
      <w:start w:val="1"/>
      <w:numFmt w:val="upperRoman"/>
      <w:lvlText w:val="%1-"/>
      <w:lvlJc w:val="left"/>
      <w:pPr>
        <w:ind w:left="720" w:hanging="360"/>
      </w:pPr>
      <w:rPr>
        <w:rFonts w:ascii="Times New Roman" w:eastAsia="Batang"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84320E"/>
    <w:multiLevelType w:val="hybridMultilevel"/>
    <w:tmpl w:val="40A68AA2"/>
    <w:lvl w:ilvl="0" w:tplc="B7AE44F0">
      <w:start w:val="1"/>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8D1A9F"/>
    <w:multiLevelType w:val="hybridMultilevel"/>
    <w:tmpl w:val="0032FC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411CE0"/>
    <w:multiLevelType w:val="multilevel"/>
    <w:tmpl w:val="EB14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2685A"/>
    <w:multiLevelType w:val="hybridMultilevel"/>
    <w:tmpl w:val="C10A508A"/>
    <w:lvl w:ilvl="0" w:tplc="B3681CBC">
      <w:start w:val="2"/>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4725C6"/>
    <w:multiLevelType w:val="hybridMultilevel"/>
    <w:tmpl w:val="D07A6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ED5F2D"/>
    <w:multiLevelType w:val="multilevel"/>
    <w:tmpl w:val="3E84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E3D54"/>
    <w:multiLevelType w:val="hybridMultilevel"/>
    <w:tmpl w:val="BF98AE1A"/>
    <w:lvl w:ilvl="0" w:tplc="CC6270B2">
      <w:start w:val="1"/>
      <w:numFmt w:val="lowerLetter"/>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12" w15:restartNumberingAfterBreak="0">
    <w:nsid w:val="530249F8"/>
    <w:multiLevelType w:val="hybridMultilevel"/>
    <w:tmpl w:val="D4CAE1A8"/>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9250D"/>
    <w:multiLevelType w:val="hybridMultilevel"/>
    <w:tmpl w:val="B852B2B0"/>
    <w:lvl w:ilvl="0" w:tplc="452890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C97CB8"/>
    <w:multiLevelType w:val="hybridMultilevel"/>
    <w:tmpl w:val="C83EA6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5E1D27"/>
    <w:multiLevelType w:val="hybridMultilevel"/>
    <w:tmpl w:val="B7A47DA0"/>
    <w:lvl w:ilvl="0" w:tplc="A694EB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BC576B"/>
    <w:multiLevelType w:val="hybridMultilevel"/>
    <w:tmpl w:val="25822F0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0275609"/>
    <w:multiLevelType w:val="hybridMultilevel"/>
    <w:tmpl w:val="12D83BA0"/>
    <w:lvl w:ilvl="0" w:tplc="E0CCB242">
      <w:start w:val="4"/>
      <w:numFmt w:val="bullet"/>
      <w:lvlText w:val=""/>
      <w:lvlJc w:val="left"/>
      <w:pPr>
        <w:ind w:left="720"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5C587C"/>
    <w:multiLevelType w:val="hybridMultilevel"/>
    <w:tmpl w:val="1CEE240A"/>
    <w:lvl w:ilvl="0" w:tplc="FBCA1C1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15"/>
  </w:num>
  <w:num w:numId="7">
    <w:abstractNumId w:val="1"/>
  </w:num>
  <w:num w:numId="8">
    <w:abstractNumId w:val="7"/>
  </w:num>
  <w:num w:numId="9">
    <w:abstractNumId w:val="10"/>
  </w:num>
  <w:num w:numId="10">
    <w:abstractNumId w:val="0"/>
  </w:num>
  <w:num w:numId="11">
    <w:abstractNumId w:val="17"/>
  </w:num>
  <w:num w:numId="12">
    <w:abstractNumId w:val="11"/>
  </w:num>
  <w:num w:numId="13">
    <w:abstractNumId w:val="13"/>
  </w:num>
  <w:num w:numId="14">
    <w:abstractNumId w:val="5"/>
  </w:num>
  <w:num w:numId="15">
    <w:abstractNumId w:val="2"/>
  </w:num>
  <w:num w:numId="16">
    <w:abstractNumId w:val="8"/>
  </w:num>
  <w:num w:numId="17">
    <w:abstractNumId w:val="6"/>
  </w:num>
  <w:num w:numId="18">
    <w:abstractNumId w:val="14"/>
  </w:num>
  <w:num w:numId="19">
    <w:abstractNumId w:val="16"/>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waghgba Elijah">
    <w15:presenceInfo w15:providerId="Windows Live" w15:userId="d65ba3827ef22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71"/>
    <w:rsid w:val="0000281D"/>
    <w:rsid w:val="0000379B"/>
    <w:rsid w:val="000057ED"/>
    <w:rsid w:val="00005E5D"/>
    <w:rsid w:val="00010FD8"/>
    <w:rsid w:val="000114BC"/>
    <w:rsid w:val="0001371D"/>
    <w:rsid w:val="000233B6"/>
    <w:rsid w:val="00027426"/>
    <w:rsid w:val="00027487"/>
    <w:rsid w:val="00033CBB"/>
    <w:rsid w:val="000340A5"/>
    <w:rsid w:val="000361C1"/>
    <w:rsid w:val="00037AC4"/>
    <w:rsid w:val="0005236F"/>
    <w:rsid w:val="000556F4"/>
    <w:rsid w:val="0006041C"/>
    <w:rsid w:val="00060448"/>
    <w:rsid w:val="00062EF6"/>
    <w:rsid w:val="000633D7"/>
    <w:rsid w:val="00065248"/>
    <w:rsid w:val="00071847"/>
    <w:rsid w:val="00077AF0"/>
    <w:rsid w:val="00081B22"/>
    <w:rsid w:val="000850B9"/>
    <w:rsid w:val="00085563"/>
    <w:rsid w:val="000927ED"/>
    <w:rsid w:val="00093DC8"/>
    <w:rsid w:val="000A1651"/>
    <w:rsid w:val="000A530F"/>
    <w:rsid w:val="000B7381"/>
    <w:rsid w:val="000C13EB"/>
    <w:rsid w:val="000C3D15"/>
    <w:rsid w:val="000C5139"/>
    <w:rsid w:val="000C52F0"/>
    <w:rsid w:val="000C7C6E"/>
    <w:rsid w:val="000D29E2"/>
    <w:rsid w:val="000D642E"/>
    <w:rsid w:val="000E1169"/>
    <w:rsid w:val="000E23FC"/>
    <w:rsid w:val="000E31FA"/>
    <w:rsid w:val="000E4A5B"/>
    <w:rsid w:val="000F0F6B"/>
    <w:rsid w:val="000F65CC"/>
    <w:rsid w:val="000F6669"/>
    <w:rsid w:val="000F719D"/>
    <w:rsid w:val="0010109F"/>
    <w:rsid w:val="00102128"/>
    <w:rsid w:val="00102830"/>
    <w:rsid w:val="00104773"/>
    <w:rsid w:val="00107AAD"/>
    <w:rsid w:val="001275D3"/>
    <w:rsid w:val="00127B21"/>
    <w:rsid w:val="00130B5C"/>
    <w:rsid w:val="00131BF5"/>
    <w:rsid w:val="00134865"/>
    <w:rsid w:val="00136D99"/>
    <w:rsid w:val="0014191D"/>
    <w:rsid w:val="0014557C"/>
    <w:rsid w:val="00145881"/>
    <w:rsid w:val="00155AB8"/>
    <w:rsid w:val="00155EAE"/>
    <w:rsid w:val="001562DF"/>
    <w:rsid w:val="00160D86"/>
    <w:rsid w:val="001622CA"/>
    <w:rsid w:val="00162C62"/>
    <w:rsid w:val="00163EB6"/>
    <w:rsid w:val="001674F3"/>
    <w:rsid w:val="001709CC"/>
    <w:rsid w:val="001729FD"/>
    <w:rsid w:val="00173CC6"/>
    <w:rsid w:val="001740F3"/>
    <w:rsid w:val="00180DA1"/>
    <w:rsid w:val="00185831"/>
    <w:rsid w:val="00186D71"/>
    <w:rsid w:val="00187037"/>
    <w:rsid w:val="00187EF9"/>
    <w:rsid w:val="001920BA"/>
    <w:rsid w:val="00193C70"/>
    <w:rsid w:val="001956DC"/>
    <w:rsid w:val="001957A3"/>
    <w:rsid w:val="001A209B"/>
    <w:rsid w:val="001A2EE5"/>
    <w:rsid w:val="001B1D44"/>
    <w:rsid w:val="001C2F4C"/>
    <w:rsid w:val="001C400A"/>
    <w:rsid w:val="001C7D15"/>
    <w:rsid w:val="001D44D4"/>
    <w:rsid w:val="001D45BA"/>
    <w:rsid w:val="001F2298"/>
    <w:rsid w:val="001F6A98"/>
    <w:rsid w:val="001F6CB5"/>
    <w:rsid w:val="001F7BD6"/>
    <w:rsid w:val="00200258"/>
    <w:rsid w:val="00201271"/>
    <w:rsid w:val="002018D0"/>
    <w:rsid w:val="00201E4E"/>
    <w:rsid w:val="00205538"/>
    <w:rsid w:val="00210444"/>
    <w:rsid w:val="00210A06"/>
    <w:rsid w:val="00211C64"/>
    <w:rsid w:val="00214AD9"/>
    <w:rsid w:val="00214D48"/>
    <w:rsid w:val="00217573"/>
    <w:rsid w:val="002202DB"/>
    <w:rsid w:val="00221191"/>
    <w:rsid w:val="00222A19"/>
    <w:rsid w:val="00222B05"/>
    <w:rsid w:val="00223E3A"/>
    <w:rsid w:val="00226C5A"/>
    <w:rsid w:val="00230F26"/>
    <w:rsid w:val="0023437D"/>
    <w:rsid w:val="002346CA"/>
    <w:rsid w:val="00235CA6"/>
    <w:rsid w:val="0023692B"/>
    <w:rsid w:val="00241914"/>
    <w:rsid w:val="00242E45"/>
    <w:rsid w:val="00243685"/>
    <w:rsid w:val="00253B3F"/>
    <w:rsid w:val="00254691"/>
    <w:rsid w:val="00260E83"/>
    <w:rsid w:val="00262775"/>
    <w:rsid w:val="00270B9B"/>
    <w:rsid w:val="00271334"/>
    <w:rsid w:val="002723DF"/>
    <w:rsid w:val="002824D8"/>
    <w:rsid w:val="00284FE3"/>
    <w:rsid w:val="00292BF8"/>
    <w:rsid w:val="00293EDE"/>
    <w:rsid w:val="002961C2"/>
    <w:rsid w:val="002A19AE"/>
    <w:rsid w:val="002A4F0E"/>
    <w:rsid w:val="002A5CE1"/>
    <w:rsid w:val="002B0A6D"/>
    <w:rsid w:val="002C70EC"/>
    <w:rsid w:val="002C7294"/>
    <w:rsid w:val="002C7676"/>
    <w:rsid w:val="002D3803"/>
    <w:rsid w:val="002D5D01"/>
    <w:rsid w:val="002D5E3F"/>
    <w:rsid w:val="002E156E"/>
    <w:rsid w:val="002E2A59"/>
    <w:rsid w:val="002E41E5"/>
    <w:rsid w:val="002E5F43"/>
    <w:rsid w:val="002F3AB5"/>
    <w:rsid w:val="002F49EB"/>
    <w:rsid w:val="002F7861"/>
    <w:rsid w:val="003026BC"/>
    <w:rsid w:val="00304D5B"/>
    <w:rsid w:val="0030696E"/>
    <w:rsid w:val="00306B46"/>
    <w:rsid w:val="00307A18"/>
    <w:rsid w:val="00310D74"/>
    <w:rsid w:val="003117A8"/>
    <w:rsid w:val="00311EFC"/>
    <w:rsid w:val="00312E39"/>
    <w:rsid w:val="0032292C"/>
    <w:rsid w:val="00322DBC"/>
    <w:rsid w:val="00323D9A"/>
    <w:rsid w:val="00325C8C"/>
    <w:rsid w:val="00325F3B"/>
    <w:rsid w:val="00326447"/>
    <w:rsid w:val="003305DB"/>
    <w:rsid w:val="003306BD"/>
    <w:rsid w:val="003310C4"/>
    <w:rsid w:val="00336500"/>
    <w:rsid w:val="003443F3"/>
    <w:rsid w:val="00345F7F"/>
    <w:rsid w:val="0034612C"/>
    <w:rsid w:val="00347F9E"/>
    <w:rsid w:val="00354B34"/>
    <w:rsid w:val="003552A6"/>
    <w:rsid w:val="003619FA"/>
    <w:rsid w:val="0036235F"/>
    <w:rsid w:val="00363289"/>
    <w:rsid w:val="00364DFD"/>
    <w:rsid w:val="0037163E"/>
    <w:rsid w:val="003720EF"/>
    <w:rsid w:val="003735B9"/>
    <w:rsid w:val="00373823"/>
    <w:rsid w:val="003774A9"/>
    <w:rsid w:val="00380DCE"/>
    <w:rsid w:val="00380FF6"/>
    <w:rsid w:val="00382ACA"/>
    <w:rsid w:val="003834ED"/>
    <w:rsid w:val="003839A0"/>
    <w:rsid w:val="00393424"/>
    <w:rsid w:val="003A0C1E"/>
    <w:rsid w:val="003A2791"/>
    <w:rsid w:val="003A3622"/>
    <w:rsid w:val="003A3A32"/>
    <w:rsid w:val="003A41C6"/>
    <w:rsid w:val="003A4F4F"/>
    <w:rsid w:val="003A5200"/>
    <w:rsid w:val="003A5CCE"/>
    <w:rsid w:val="003A7C7F"/>
    <w:rsid w:val="003B22EB"/>
    <w:rsid w:val="003B4DB2"/>
    <w:rsid w:val="003B4F7B"/>
    <w:rsid w:val="003B6CA9"/>
    <w:rsid w:val="003B722F"/>
    <w:rsid w:val="003C3519"/>
    <w:rsid w:val="003C41E0"/>
    <w:rsid w:val="003C5D72"/>
    <w:rsid w:val="003C7351"/>
    <w:rsid w:val="003C76DB"/>
    <w:rsid w:val="003C7B24"/>
    <w:rsid w:val="003D0042"/>
    <w:rsid w:val="003D0419"/>
    <w:rsid w:val="003D1A97"/>
    <w:rsid w:val="003D44CD"/>
    <w:rsid w:val="003D486B"/>
    <w:rsid w:val="003D4D86"/>
    <w:rsid w:val="003D635A"/>
    <w:rsid w:val="003D6D16"/>
    <w:rsid w:val="003D7F05"/>
    <w:rsid w:val="003E3309"/>
    <w:rsid w:val="0040160E"/>
    <w:rsid w:val="00404DA6"/>
    <w:rsid w:val="0041062F"/>
    <w:rsid w:val="00410A36"/>
    <w:rsid w:val="00412D8E"/>
    <w:rsid w:val="00413990"/>
    <w:rsid w:val="00416057"/>
    <w:rsid w:val="0041627E"/>
    <w:rsid w:val="00416958"/>
    <w:rsid w:val="00417234"/>
    <w:rsid w:val="00421F3F"/>
    <w:rsid w:val="00422068"/>
    <w:rsid w:val="00424913"/>
    <w:rsid w:val="004269AD"/>
    <w:rsid w:val="00426B41"/>
    <w:rsid w:val="00427022"/>
    <w:rsid w:val="00432C30"/>
    <w:rsid w:val="00433036"/>
    <w:rsid w:val="00436EB0"/>
    <w:rsid w:val="00445348"/>
    <w:rsid w:val="00450371"/>
    <w:rsid w:val="004513CF"/>
    <w:rsid w:val="00451486"/>
    <w:rsid w:val="004600C8"/>
    <w:rsid w:val="004605E3"/>
    <w:rsid w:val="004610E9"/>
    <w:rsid w:val="00470145"/>
    <w:rsid w:val="00471F3F"/>
    <w:rsid w:val="00474D96"/>
    <w:rsid w:val="0048153D"/>
    <w:rsid w:val="00481B24"/>
    <w:rsid w:val="00481F8C"/>
    <w:rsid w:val="004858D5"/>
    <w:rsid w:val="00485D61"/>
    <w:rsid w:val="00486732"/>
    <w:rsid w:val="00492B0D"/>
    <w:rsid w:val="00492E46"/>
    <w:rsid w:val="00494886"/>
    <w:rsid w:val="0049786A"/>
    <w:rsid w:val="004A10CF"/>
    <w:rsid w:val="004A13BD"/>
    <w:rsid w:val="004A3034"/>
    <w:rsid w:val="004A6372"/>
    <w:rsid w:val="004A64BD"/>
    <w:rsid w:val="004B179D"/>
    <w:rsid w:val="004B3F5C"/>
    <w:rsid w:val="004B616A"/>
    <w:rsid w:val="004B6DCE"/>
    <w:rsid w:val="004B7BF4"/>
    <w:rsid w:val="004C0C90"/>
    <w:rsid w:val="004C593E"/>
    <w:rsid w:val="004C5CB2"/>
    <w:rsid w:val="004C6D3C"/>
    <w:rsid w:val="004D2A18"/>
    <w:rsid w:val="004E40AF"/>
    <w:rsid w:val="004F6A1C"/>
    <w:rsid w:val="004F7043"/>
    <w:rsid w:val="00505187"/>
    <w:rsid w:val="005059D0"/>
    <w:rsid w:val="00510372"/>
    <w:rsid w:val="00513401"/>
    <w:rsid w:val="00513A49"/>
    <w:rsid w:val="00513D3D"/>
    <w:rsid w:val="00525C16"/>
    <w:rsid w:val="00526769"/>
    <w:rsid w:val="005369E2"/>
    <w:rsid w:val="00540BC8"/>
    <w:rsid w:val="005414D5"/>
    <w:rsid w:val="00541E2F"/>
    <w:rsid w:val="00542376"/>
    <w:rsid w:val="00542D83"/>
    <w:rsid w:val="00547DA3"/>
    <w:rsid w:val="005620E9"/>
    <w:rsid w:val="00562252"/>
    <w:rsid w:val="00562683"/>
    <w:rsid w:val="005653A5"/>
    <w:rsid w:val="00570570"/>
    <w:rsid w:val="00570D19"/>
    <w:rsid w:val="005715F6"/>
    <w:rsid w:val="00571DA3"/>
    <w:rsid w:val="00576812"/>
    <w:rsid w:val="00576A07"/>
    <w:rsid w:val="00577040"/>
    <w:rsid w:val="00577866"/>
    <w:rsid w:val="00581F4B"/>
    <w:rsid w:val="00583A1D"/>
    <w:rsid w:val="00583FF3"/>
    <w:rsid w:val="0058573B"/>
    <w:rsid w:val="0058775B"/>
    <w:rsid w:val="0059590A"/>
    <w:rsid w:val="005A2F77"/>
    <w:rsid w:val="005A57D3"/>
    <w:rsid w:val="005B00B1"/>
    <w:rsid w:val="005B2814"/>
    <w:rsid w:val="005B303A"/>
    <w:rsid w:val="005B3AAE"/>
    <w:rsid w:val="005C4177"/>
    <w:rsid w:val="005C71A9"/>
    <w:rsid w:val="005D1463"/>
    <w:rsid w:val="005D2F32"/>
    <w:rsid w:val="005D616B"/>
    <w:rsid w:val="005D7221"/>
    <w:rsid w:val="005E080F"/>
    <w:rsid w:val="005E0D6C"/>
    <w:rsid w:val="005E4FCD"/>
    <w:rsid w:val="005E7E49"/>
    <w:rsid w:val="006005C7"/>
    <w:rsid w:val="00601C80"/>
    <w:rsid w:val="00602EE1"/>
    <w:rsid w:val="006052AA"/>
    <w:rsid w:val="00612E39"/>
    <w:rsid w:val="00615E99"/>
    <w:rsid w:val="00620FF2"/>
    <w:rsid w:val="00624967"/>
    <w:rsid w:val="00627A77"/>
    <w:rsid w:val="00631F90"/>
    <w:rsid w:val="00636571"/>
    <w:rsid w:val="00637B88"/>
    <w:rsid w:val="006403A1"/>
    <w:rsid w:val="006421B3"/>
    <w:rsid w:val="00645CA9"/>
    <w:rsid w:val="00646B25"/>
    <w:rsid w:val="006607A8"/>
    <w:rsid w:val="00663ACA"/>
    <w:rsid w:val="00664DEF"/>
    <w:rsid w:val="00665A50"/>
    <w:rsid w:val="00675A1D"/>
    <w:rsid w:val="00675DC9"/>
    <w:rsid w:val="0068070D"/>
    <w:rsid w:val="00682AA7"/>
    <w:rsid w:val="00682CEB"/>
    <w:rsid w:val="00682E86"/>
    <w:rsid w:val="0068586D"/>
    <w:rsid w:val="00687C89"/>
    <w:rsid w:val="00687FEF"/>
    <w:rsid w:val="00692C95"/>
    <w:rsid w:val="0069796C"/>
    <w:rsid w:val="006A2190"/>
    <w:rsid w:val="006A79B5"/>
    <w:rsid w:val="006C4098"/>
    <w:rsid w:val="006C5AAF"/>
    <w:rsid w:val="006C73EC"/>
    <w:rsid w:val="006D1BF9"/>
    <w:rsid w:val="006D5861"/>
    <w:rsid w:val="006D58E0"/>
    <w:rsid w:val="006E3596"/>
    <w:rsid w:val="006E4EA0"/>
    <w:rsid w:val="006F2E85"/>
    <w:rsid w:val="006F72AB"/>
    <w:rsid w:val="00700A4F"/>
    <w:rsid w:val="00700B30"/>
    <w:rsid w:val="00700F9F"/>
    <w:rsid w:val="00701B5C"/>
    <w:rsid w:val="0070593F"/>
    <w:rsid w:val="007119F7"/>
    <w:rsid w:val="007127B5"/>
    <w:rsid w:val="00712DC8"/>
    <w:rsid w:val="00713BA6"/>
    <w:rsid w:val="00716B30"/>
    <w:rsid w:val="0071706E"/>
    <w:rsid w:val="00717382"/>
    <w:rsid w:val="007175AB"/>
    <w:rsid w:val="00720FE5"/>
    <w:rsid w:val="007215B9"/>
    <w:rsid w:val="007227AC"/>
    <w:rsid w:val="00722CD7"/>
    <w:rsid w:val="00727722"/>
    <w:rsid w:val="007340DC"/>
    <w:rsid w:val="00735638"/>
    <w:rsid w:val="00736C38"/>
    <w:rsid w:val="007374E6"/>
    <w:rsid w:val="00741C3C"/>
    <w:rsid w:val="00744A9E"/>
    <w:rsid w:val="0074524B"/>
    <w:rsid w:val="00746A1D"/>
    <w:rsid w:val="007611E4"/>
    <w:rsid w:val="00762819"/>
    <w:rsid w:val="0076551F"/>
    <w:rsid w:val="007670A7"/>
    <w:rsid w:val="007737A6"/>
    <w:rsid w:val="00775358"/>
    <w:rsid w:val="007776BA"/>
    <w:rsid w:val="007777D4"/>
    <w:rsid w:val="0078477A"/>
    <w:rsid w:val="00790DC8"/>
    <w:rsid w:val="00791933"/>
    <w:rsid w:val="0079217D"/>
    <w:rsid w:val="00795C0D"/>
    <w:rsid w:val="007A1CD2"/>
    <w:rsid w:val="007A2771"/>
    <w:rsid w:val="007A284C"/>
    <w:rsid w:val="007A38A8"/>
    <w:rsid w:val="007A4135"/>
    <w:rsid w:val="007A4B77"/>
    <w:rsid w:val="007A5B44"/>
    <w:rsid w:val="007A5E38"/>
    <w:rsid w:val="007A71FE"/>
    <w:rsid w:val="007B4AE4"/>
    <w:rsid w:val="007B5E0F"/>
    <w:rsid w:val="007B656F"/>
    <w:rsid w:val="007C1A8F"/>
    <w:rsid w:val="007C1C86"/>
    <w:rsid w:val="007D5AA0"/>
    <w:rsid w:val="007D6DC5"/>
    <w:rsid w:val="007E01B5"/>
    <w:rsid w:val="007E1830"/>
    <w:rsid w:val="007E33FB"/>
    <w:rsid w:val="007E5A27"/>
    <w:rsid w:val="007E6711"/>
    <w:rsid w:val="007F6152"/>
    <w:rsid w:val="007F7D3B"/>
    <w:rsid w:val="008002B9"/>
    <w:rsid w:val="0080087C"/>
    <w:rsid w:val="0080300C"/>
    <w:rsid w:val="00804FEF"/>
    <w:rsid w:val="00806FDE"/>
    <w:rsid w:val="0080755A"/>
    <w:rsid w:val="00810270"/>
    <w:rsid w:val="00810F7E"/>
    <w:rsid w:val="008112E0"/>
    <w:rsid w:val="0081456D"/>
    <w:rsid w:val="0081506C"/>
    <w:rsid w:val="008210DA"/>
    <w:rsid w:val="00821F92"/>
    <w:rsid w:val="00825B6A"/>
    <w:rsid w:val="008266F0"/>
    <w:rsid w:val="00837B61"/>
    <w:rsid w:val="00842821"/>
    <w:rsid w:val="0084733C"/>
    <w:rsid w:val="0085487E"/>
    <w:rsid w:val="0085631F"/>
    <w:rsid w:val="00860514"/>
    <w:rsid w:val="00862BA6"/>
    <w:rsid w:val="008632E2"/>
    <w:rsid w:val="00863545"/>
    <w:rsid w:val="0086656C"/>
    <w:rsid w:val="0087553D"/>
    <w:rsid w:val="00883B7A"/>
    <w:rsid w:val="008841B7"/>
    <w:rsid w:val="008912AE"/>
    <w:rsid w:val="00892957"/>
    <w:rsid w:val="00894068"/>
    <w:rsid w:val="008961C9"/>
    <w:rsid w:val="008968B2"/>
    <w:rsid w:val="00896C55"/>
    <w:rsid w:val="0089734C"/>
    <w:rsid w:val="00897C1C"/>
    <w:rsid w:val="008A283B"/>
    <w:rsid w:val="008A6A82"/>
    <w:rsid w:val="008A75C1"/>
    <w:rsid w:val="008A7823"/>
    <w:rsid w:val="008B0894"/>
    <w:rsid w:val="008B124D"/>
    <w:rsid w:val="008B16FE"/>
    <w:rsid w:val="008B1F7E"/>
    <w:rsid w:val="008B4F00"/>
    <w:rsid w:val="008C14E3"/>
    <w:rsid w:val="008C1DF0"/>
    <w:rsid w:val="008C3A72"/>
    <w:rsid w:val="008C4995"/>
    <w:rsid w:val="008C6DCE"/>
    <w:rsid w:val="008D0EF7"/>
    <w:rsid w:val="008D2FD3"/>
    <w:rsid w:val="008D45E9"/>
    <w:rsid w:val="008D602C"/>
    <w:rsid w:val="008E02D3"/>
    <w:rsid w:val="008E3869"/>
    <w:rsid w:val="008E663D"/>
    <w:rsid w:val="008E7423"/>
    <w:rsid w:val="008E789E"/>
    <w:rsid w:val="008E7CE0"/>
    <w:rsid w:val="008F0F46"/>
    <w:rsid w:val="008F1BC9"/>
    <w:rsid w:val="008F2962"/>
    <w:rsid w:val="008F38AD"/>
    <w:rsid w:val="008F7BF0"/>
    <w:rsid w:val="009021D5"/>
    <w:rsid w:val="009074B5"/>
    <w:rsid w:val="0091056F"/>
    <w:rsid w:val="00910FE8"/>
    <w:rsid w:val="00912C0E"/>
    <w:rsid w:val="00913757"/>
    <w:rsid w:val="009137B4"/>
    <w:rsid w:val="00914987"/>
    <w:rsid w:val="00916CC8"/>
    <w:rsid w:val="00922863"/>
    <w:rsid w:val="00923B45"/>
    <w:rsid w:val="00925C22"/>
    <w:rsid w:val="00935365"/>
    <w:rsid w:val="00936E11"/>
    <w:rsid w:val="009437C5"/>
    <w:rsid w:val="009478C9"/>
    <w:rsid w:val="00954DE3"/>
    <w:rsid w:val="00957422"/>
    <w:rsid w:val="009577F4"/>
    <w:rsid w:val="00960935"/>
    <w:rsid w:val="00972AF4"/>
    <w:rsid w:val="009744A0"/>
    <w:rsid w:val="00974D11"/>
    <w:rsid w:val="00977104"/>
    <w:rsid w:val="009827C9"/>
    <w:rsid w:val="0098345A"/>
    <w:rsid w:val="00996986"/>
    <w:rsid w:val="009A2E17"/>
    <w:rsid w:val="009A338F"/>
    <w:rsid w:val="009A5F12"/>
    <w:rsid w:val="009B14ED"/>
    <w:rsid w:val="009B1795"/>
    <w:rsid w:val="009B1816"/>
    <w:rsid w:val="009B2B32"/>
    <w:rsid w:val="009B37BC"/>
    <w:rsid w:val="009B5918"/>
    <w:rsid w:val="009C3044"/>
    <w:rsid w:val="009C3BC5"/>
    <w:rsid w:val="009C4353"/>
    <w:rsid w:val="009C544C"/>
    <w:rsid w:val="009C6868"/>
    <w:rsid w:val="009D29CE"/>
    <w:rsid w:val="009D6F05"/>
    <w:rsid w:val="009E3C94"/>
    <w:rsid w:val="009E4732"/>
    <w:rsid w:val="009E4FC5"/>
    <w:rsid w:val="009E6D2D"/>
    <w:rsid w:val="009F3E89"/>
    <w:rsid w:val="009F7164"/>
    <w:rsid w:val="00A00BAA"/>
    <w:rsid w:val="00A02301"/>
    <w:rsid w:val="00A07515"/>
    <w:rsid w:val="00A07CB8"/>
    <w:rsid w:val="00A10B59"/>
    <w:rsid w:val="00A12F70"/>
    <w:rsid w:val="00A235F9"/>
    <w:rsid w:val="00A24E6E"/>
    <w:rsid w:val="00A26BC1"/>
    <w:rsid w:val="00A30AE8"/>
    <w:rsid w:val="00A34234"/>
    <w:rsid w:val="00A35AC8"/>
    <w:rsid w:val="00A42B9B"/>
    <w:rsid w:val="00A42F8E"/>
    <w:rsid w:val="00A47874"/>
    <w:rsid w:val="00A50733"/>
    <w:rsid w:val="00A51501"/>
    <w:rsid w:val="00A517AE"/>
    <w:rsid w:val="00A54602"/>
    <w:rsid w:val="00A579EE"/>
    <w:rsid w:val="00A6130A"/>
    <w:rsid w:val="00A61C54"/>
    <w:rsid w:val="00A64F25"/>
    <w:rsid w:val="00A65F20"/>
    <w:rsid w:val="00A70C8A"/>
    <w:rsid w:val="00A71098"/>
    <w:rsid w:val="00A716DB"/>
    <w:rsid w:val="00A7392C"/>
    <w:rsid w:val="00A76109"/>
    <w:rsid w:val="00A83C89"/>
    <w:rsid w:val="00A85721"/>
    <w:rsid w:val="00A91BFD"/>
    <w:rsid w:val="00A92D29"/>
    <w:rsid w:val="00A95D9D"/>
    <w:rsid w:val="00AA3B24"/>
    <w:rsid w:val="00AB2759"/>
    <w:rsid w:val="00AC0166"/>
    <w:rsid w:val="00AC5472"/>
    <w:rsid w:val="00AC74F7"/>
    <w:rsid w:val="00AD0D00"/>
    <w:rsid w:val="00AD2656"/>
    <w:rsid w:val="00AD322B"/>
    <w:rsid w:val="00AD452B"/>
    <w:rsid w:val="00AE0121"/>
    <w:rsid w:val="00AE0378"/>
    <w:rsid w:val="00AF01C1"/>
    <w:rsid w:val="00AF12D5"/>
    <w:rsid w:val="00AF1DAF"/>
    <w:rsid w:val="00B03EF1"/>
    <w:rsid w:val="00B0541C"/>
    <w:rsid w:val="00B06860"/>
    <w:rsid w:val="00B10F89"/>
    <w:rsid w:val="00B1297C"/>
    <w:rsid w:val="00B20C9E"/>
    <w:rsid w:val="00B21516"/>
    <w:rsid w:val="00B21B62"/>
    <w:rsid w:val="00B2409C"/>
    <w:rsid w:val="00B302E8"/>
    <w:rsid w:val="00B37AD7"/>
    <w:rsid w:val="00B37DB9"/>
    <w:rsid w:val="00B43126"/>
    <w:rsid w:val="00B43729"/>
    <w:rsid w:val="00B44863"/>
    <w:rsid w:val="00B45AE3"/>
    <w:rsid w:val="00B55F01"/>
    <w:rsid w:val="00B575FA"/>
    <w:rsid w:val="00B57CC0"/>
    <w:rsid w:val="00B71BC1"/>
    <w:rsid w:val="00B7334D"/>
    <w:rsid w:val="00B829EE"/>
    <w:rsid w:val="00B830A9"/>
    <w:rsid w:val="00B84127"/>
    <w:rsid w:val="00B86CA7"/>
    <w:rsid w:val="00B92256"/>
    <w:rsid w:val="00B9628C"/>
    <w:rsid w:val="00B96896"/>
    <w:rsid w:val="00BA302D"/>
    <w:rsid w:val="00BA3A35"/>
    <w:rsid w:val="00BB033E"/>
    <w:rsid w:val="00BB1125"/>
    <w:rsid w:val="00BB50F5"/>
    <w:rsid w:val="00BB5DA3"/>
    <w:rsid w:val="00BB79F6"/>
    <w:rsid w:val="00BC23A8"/>
    <w:rsid w:val="00BC32F5"/>
    <w:rsid w:val="00BC3B20"/>
    <w:rsid w:val="00BC4D9F"/>
    <w:rsid w:val="00BD33E8"/>
    <w:rsid w:val="00BD3D6D"/>
    <w:rsid w:val="00BD4EA5"/>
    <w:rsid w:val="00BE0232"/>
    <w:rsid w:val="00BE0795"/>
    <w:rsid w:val="00BE0DB7"/>
    <w:rsid w:val="00BE179E"/>
    <w:rsid w:val="00BE30BB"/>
    <w:rsid w:val="00BE4981"/>
    <w:rsid w:val="00BF1563"/>
    <w:rsid w:val="00BF4B60"/>
    <w:rsid w:val="00BF6269"/>
    <w:rsid w:val="00C04D34"/>
    <w:rsid w:val="00C1005E"/>
    <w:rsid w:val="00C10D69"/>
    <w:rsid w:val="00C10DAC"/>
    <w:rsid w:val="00C11213"/>
    <w:rsid w:val="00C125F5"/>
    <w:rsid w:val="00C12A03"/>
    <w:rsid w:val="00C16D11"/>
    <w:rsid w:val="00C23EDA"/>
    <w:rsid w:val="00C2439B"/>
    <w:rsid w:val="00C2552B"/>
    <w:rsid w:val="00C26030"/>
    <w:rsid w:val="00C26CCD"/>
    <w:rsid w:val="00C32CC1"/>
    <w:rsid w:val="00C36D82"/>
    <w:rsid w:val="00C41A81"/>
    <w:rsid w:val="00C43E39"/>
    <w:rsid w:val="00C52212"/>
    <w:rsid w:val="00C5328F"/>
    <w:rsid w:val="00C5462C"/>
    <w:rsid w:val="00C55301"/>
    <w:rsid w:val="00C5642A"/>
    <w:rsid w:val="00C56C01"/>
    <w:rsid w:val="00C61512"/>
    <w:rsid w:val="00C621FF"/>
    <w:rsid w:val="00C62DA8"/>
    <w:rsid w:val="00C63EE2"/>
    <w:rsid w:val="00C66315"/>
    <w:rsid w:val="00C66D3D"/>
    <w:rsid w:val="00C70C62"/>
    <w:rsid w:val="00C75798"/>
    <w:rsid w:val="00C75B90"/>
    <w:rsid w:val="00C76446"/>
    <w:rsid w:val="00C80D96"/>
    <w:rsid w:val="00C82721"/>
    <w:rsid w:val="00C83583"/>
    <w:rsid w:val="00C8358E"/>
    <w:rsid w:val="00C8491E"/>
    <w:rsid w:val="00C857D0"/>
    <w:rsid w:val="00C92C7A"/>
    <w:rsid w:val="00CA27F9"/>
    <w:rsid w:val="00CA3245"/>
    <w:rsid w:val="00CA4344"/>
    <w:rsid w:val="00CA58AE"/>
    <w:rsid w:val="00CB4E84"/>
    <w:rsid w:val="00CC152B"/>
    <w:rsid w:val="00CC1DA3"/>
    <w:rsid w:val="00CC23C3"/>
    <w:rsid w:val="00CC465E"/>
    <w:rsid w:val="00CC49E5"/>
    <w:rsid w:val="00CC51CA"/>
    <w:rsid w:val="00CD1872"/>
    <w:rsid w:val="00CD29AD"/>
    <w:rsid w:val="00CD2ECF"/>
    <w:rsid w:val="00CD346F"/>
    <w:rsid w:val="00CE0270"/>
    <w:rsid w:val="00CE0596"/>
    <w:rsid w:val="00CE10C1"/>
    <w:rsid w:val="00CE161C"/>
    <w:rsid w:val="00CE6EF2"/>
    <w:rsid w:val="00CF07DE"/>
    <w:rsid w:val="00CF12AB"/>
    <w:rsid w:val="00CF4826"/>
    <w:rsid w:val="00CF48D9"/>
    <w:rsid w:val="00CF49A1"/>
    <w:rsid w:val="00CF4D53"/>
    <w:rsid w:val="00CF593C"/>
    <w:rsid w:val="00CF7029"/>
    <w:rsid w:val="00CF73C4"/>
    <w:rsid w:val="00D00D53"/>
    <w:rsid w:val="00D00DDE"/>
    <w:rsid w:val="00D02CE1"/>
    <w:rsid w:val="00D05A9E"/>
    <w:rsid w:val="00D065D6"/>
    <w:rsid w:val="00D104C9"/>
    <w:rsid w:val="00D106D8"/>
    <w:rsid w:val="00D17724"/>
    <w:rsid w:val="00D215A4"/>
    <w:rsid w:val="00D22257"/>
    <w:rsid w:val="00D2228E"/>
    <w:rsid w:val="00D22BAC"/>
    <w:rsid w:val="00D31380"/>
    <w:rsid w:val="00D34F4F"/>
    <w:rsid w:val="00D36E7C"/>
    <w:rsid w:val="00D370AE"/>
    <w:rsid w:val="00D42715"/>
    <w:rsid w:val="00D42CDA"/>
    <w:rsid w:val="00D447A7"/>
    <w:rsid w:val="00D44EC7"/>
    <w:rsid w:val="00D46CAF"/>
    <w:rsid w:val="00D473CD"/>
    <w:rsid w:val="00D512C7"/>
    <w:rsid w:val="00D52E50"/>
    <w:rsid w:val="00D56C49"/>
    <w:rsid w:val="00D57E5F"/>
    <w:rsid w:val="00D61F5A"/>
    <w:rsid w:val="00D7017D"/>
    <w:rsid w:val="00D7103D"/>
    <w:rsid w:val="00D7351C"/>
    <w:rsid w:val="00D8264E"/>
    <w:rsid w:val="00D837AC"/>
    <w:rsid w:val="00D8635B"/>
    <w:rsid w:val="00D95427"/>
    <w:rsid w:val="00D9695B"/>
    <w:rsid w:val="00DA632F"/>
    <w:rsid w:val="00DA6881"/>
    <w:rsid w:val="00DA6989"/>
    <w:rsid w:val="00DA6B1A"/>
    <w:rsid w:val="00DB07DD"/>
    <w:rsid w:val="00DB0D9A"/>
    <w:rsid w:val="00DB0FE1"/>
    <w:rsid w:val="00DB3941"/>
    <w:rsid w:val="00DB5B70"/>
    <w:rsid w:val="00DC7F3C"/>
    <w:rsid w:val="00DD2EDF"/>
    <w:rsid w:val="00DD3425"/>
    <w:rsid w:val="00DD5832"/>
    <w:rsid w:val="00DD712A"/>
    <w:rsid w:val="00DE2FD2"/>
    <w:rsid w:val="00DE469F"/>
    <w:rsid w:val="00DE478D"/>
    <w:rsid w:val="00DE4B58"/>
    <w:rsid w:val="00DF29CE"/>
    <w:rsid w:val="00DF4E23"/>
    <w:rsid w:val="00DF5DC0"/>
    <w:rsid w:val="00DF756F"/>
    <w:rsid w:val="00E00AD6"/>
    <w:rsid w:val="00E031FB"/>
    <w:rsid w:val="00E052BC"/>
    <w:rsid w:val="00E073CB"/>
    <w:rsid w:val="00E079C0"/>
    <w:rsid w:val="00E10EB9"/>
    <w:rsid w:val="00E123D1"/>
    <w:rsid w:val="00E14587"/>
    <w:rsid w:val="00E1514D"/>
    <w:rsid w:val="00E24587"/>
    <w:rsid w:val="00E25630"/>
    <w:rsid w:val="00E256D6"/>
    <w:rsid w:val="00E27D6D"/>
    <w:rsid w:val="00E35DEA"/>
    <w:rsid w:val="00E36FB3"/>
    <w:rsid w:val="00E446C2"/>
    <w:rsid w:val="00E529BE"/>
    <w:rsid w:val="00E55C66"/>
    <w:rsid w:val="00E645B4"/>
    <w:rsid w:val="00E6508D"/>
    <w:rsid w:val="00E659BB"/>
    <w:rsid w:val="00E7054A"/>
    <w:rsid w:val="00E73295"/>
    <w:rsid w:val="00E7363C"/>
    <w:rsid w:val="00E74713"/>
    <w:rsid w:val="00E76048"/>
    <w:rsid w:val="00E778CF"/>
    <w:rsid w:val="00E80797"/>
    <w:rsid w:val="00E819DF"/>
    <w:rsid w:val="00E81F65"/>
    <w:rsid w:val="00E84CDB"/>
    <w:rsid w:val="00E906B3"/>
    <w:rsid w:val="00E94288"/>
    <w:rsid w:val="00E94FF2"/>
    <w:rsid w:val="00E951A3"/>
    <w:rsid w:val="00E97BD5"/>
    <w:rsid w:val="00EA1CE6"/>
    <w:rsid w:val="00EA1DD0"/>
    <w:rsid w:val="00EA2288"/>
    <w:rsid w:val="00EA280A"/>
    <w:rsid w:val="00EA2DD1"/>
    <w:rsid w:val="00EA6B6C"/>
    <w:rsid w:val="00EB01D7"/>
    <w:rsid w:val="00EB29BE"/>
    <w:rsid w:val="00EB2F17"/>
    <w:rsid w:val="00EB6EA1"/>
    <w:rsid w:val="00EC2868"/>
    <w:rsid w:val="00EC3215"/>
    <w:rsid w:val="00EC32D4"/>
    <w:rsid w:val="00EC69F8"/>
    <w:rsid w:val="00ED0726"/>
    <w:rsid w:val="00ED63F6"/>
    <w:rsid w:val="00ED71EC"/>
    <w:rsid w:val="00EF0ADF"/>
    <w:rsid w:val="00EF175D"/>
    <w:rsid w:val="00EF2597"/>
    <w:rsid w:val="00EF4653"/>
    <w:rsid w:val="00EF52E8"/>
    <w:rsid w:val="00EF5CC3"/>
    <w:rsid w:val="00EF7643"/>
    <w:rsid w:val="00F02F01"/>
    <w:rsid w:val="00F03DBF"/>
    <w:rsid w:val="00F074A5"/>
    <w:rsid w:val="00F07A12"/>
    <w:rsid w:val="00F07B9B"/>
    <w:rsid w:val="00F07F94"/>
    <w:rsid w:val="00F10579"/>
    <w:rsid w:val="00F135A1"/>
    <w:rsid w:val="00F14F5E"/>
    <w:rsid w:val="00F167BF"/>
    <w:rsid w:val="00F21193"/>
    <w:rsid w:val="00F31C46"/>
    <w:rsid w:val="00F32C04"/>
    <w:rsid w:val="00F33745"/>
    <w:rsid w:val="00F34B3A"/>
    <w:rsid w:val="00F34C0E"/>
    <w:rsid w:val="00F35199"/>
    <w:rsid w:val="00F3532E"/>
    <w:rsid w:val="00F3718F"/>
    <w:rsid w:val="00F37924"/>
    <w:rsid w:val="00F37A8F"/>
    <w:rsid w:val="00F37D41"/>
    <w:rsid w:val="00F50890"/>
    <w:rsid w:val="00F50EF7"/>
    <w:rsid w:val="00F541B3"/>
    <w:rsid w:val="00F55AA2"/>
    <w:rsid w:val="00F56543"/>
    <w:rsid w:val="00F63129"/>
    <w:rsid w:val="00F645D0"/>
    <w:rsid w:val="00F65EFD"/>
    <w:rsid w:val="00F66762"/>
    <w:rsid w:val="00F710EF"/>
    <w:rsid w:val="00F7625C"/>
    <w:rsid w:val="00F763B9"/>
    <w:rsid w:val="00F77273"/>
    <w:rsid w:val="00F87AD1"/>
    <w:rsid w:val="00F92A74"/>
    <w:rsid w:val="00F94187"/>
    <w:rsid w:val="00F97F8F"/>
    <w:rsid w:val="00FA031B"/>
    <w:rsid w:val="00FA2831"/>
    <w:rsid w:val="00FA2CD8"/>
    <w:rsid w:val="00FA328D"/>
    <w:rsid w:val="00FA3733"/>
    <w:rsid w:val="00FA3E1B"/>
    <w:rsid w:val="00FA3E7A"/>
    <w:rsid w:val="00FA41D9"/>
    <w:rsid w:val="00FA54A4"/>
    <w:rsid w:val="00FB19A1"/>
    <w:rsid w:val="00FB471C"/>
    <w:rsid w:val="00FB5A27"/>
    <w:rsid w:val="00FB7DE1"/>
    <w:rsid w:val="00FC17FD"/>
    <w:rsid w:val="00FC1A81"/>
    <w:rsid w:val="00FC7CAC"/>
    <w:rsid w:val="00FD3C8C"/>
    <w:rsid w:val="00FD6B27"/>
    <w:rsid w:val="00FD7D5A"/>
    <w:rsid w:val="00FE4148"/>
    <w:rsid w:val="00FE4D1A"/>
    <w:rsid w:val="00FF44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AA2B73"/>
  <w15:chartTrackingRefBased/>
  <w15:docId w15:val="{4A9E3E84-3702-4489-BE14-D7A6D4FF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16A"/>
    <w:pPr>
      <w:spacing w:after="0" w:line="240" w:lineRule="auto"/>
    </w:pPr>
    <w:rPr>
      <w:rFonts w:ascii="Calibri" w:eastAsia="Calibri" w:hAnsi="Calibri" w:cs="Times New Roman"/>
      <w:kern w:val="0"/>
      <w:sz w:val="24"/>
      <w:szCs w:val="24"/>
      <w14:ligatures w14:val="none"/>
    </w:rPr>
  </w:style>
  <w:style w:type="paragraph" w:styleId="Heading1">
    <w:name w:val="heading 1"/>
    <w:basedOn w:val="Normal"/>
    <w:next w:val="Normal"/>
    <w:link w:val="Heading1Char"/>
    <w:autoRedefine/>
    <w:uiPriority w:val="9"/>
    <w:qFormat/>
    <w:rsid w:val="00B86CA7"/>
    <w:pPr>
      <w:keepNext/>
      <w:keepLines/>
      <w:spacing w:before="240" w:line="360" w:lineRule="auto"/>
      <w:jc w:val="both"/>
      <w:outlineLvl w:val="0"/>
    </w:pPr>
    <w:rPr>
      <w:rFonts w:ascii="Times New Roman" w:eastAsia="Batang" w:hAnsi="Times New Roman"/>
      <w:b/>
      <w:lang w:eastAsia="fr-FR"/>
    </w:rPr>
  </w:style>
  <w:style w:type="paragraph" w:styleId="Heading2">
    <w:name w:val="heading 2"/>
    <w:basedOn w:val="Normal"/>
    <w:next w:val="Normal"/>
    <w:link w:val="Heading2Char"/>
    <w:uiPriority w:val="9"/>
    <w:unhideWhenUsed/>
    <w:qFormat/>
    <w:rsid w:val="002012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127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012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CA7"/>
    <w:rPr>
      <w:rFonts w:ascii="Times New Roman" w:eastAsia="Batang" w:hAnsi="Times New Roman" w:cs="Times New Roman"/>
      <w:b/>
      <w:kern w:val="0"/>
      <w:sz w:val="24"/>
      <w:szCs w:val="24"/>
      <w:lang w:eastAsia="fr-FR"/>
      <w14:ligatures w14:val="none"/>
    </w:rPr>
  </w:style>
  <w:style w:type="character" w:customStyle="1" w:styleId="Heading2Char">
    <w:name w:val="Heading 2 Char"/>
    <w:basedOn w:val="DefaultParagraphFont"/>
    <w:link w:val="Heading2"/>
    <w:uiPriority w:val="9"/>
    <w:rsid w:val="0020127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0127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201271"/>
    <w:rPr>
      <w:rFonts w:asciiTheme="majorHAnsi" w:eastAsiaTheme="majorEastAsia" w:hAnsiTheme="majorHAnsi" w:cstheme="majorBidi"/>
      <w:i/>
      <w:iCs/>
      <w:color w:val="2F5496" w:themeColor="accent1" w:themeShade="BF"/>
      <w:kern w:val="0"/>
      <w:sz w:val="24"/>
      <w:szCs w:val="24"/>
      <w14:ligatures w14:val="none"/>
    </w:rPr>
  </w:style>
  <w:style w:type="paragraph" w:styleId="Header">
    <w:name w:val="header"/>
    <w:basedOn w:val="Normal"/>
    <w:link w:val="HeaderChar"/>
    <w:uiPriority w:val="99"/>
    <w:unhideWhenUsed/>
    <w:rsid w:val="00201271"/>
    <w:pPr>
      <w:tabs>
        <w:tab w:val="center" w:pos="4536"/>
        <w:tab w:val="right" w:pos="9072"/>
      </w:tabs>
    </w:pPr>
  </w:style>
  <w:style w:type="character" w:customStyle="1" w:styleId="HeaderChar">
    <w:name w:val="Header Char"/>
    <w:basedOn w:val="DefaultParagraphFont"/>
    <w:link w:val="Header"/>
    <w:uiPriority w:val="99"/>
    <w:rsid w:val="00201271"/>
    <w:rPr>
      <w:rFonts w:ascii="Calibri" w:eastAsia="Calibri" w:hAnsi="Calibri" w:cs="Times New Roman"/>
      <w:kern w:val="0"/>
      <w:sz w:val="24"/>
      <w:szCs w:val="24"/>
      <w14:ligatures w14:val="none"/>
    </w:rPr>
  </w:style>
  <w:style w:type="paragraph" w:styleId="Footer">
    <w:name w:val="footer"/>
    <w:basedOn w:val="Normal"/>
    <w:link w:val="FooterChar"/>
    <w:uiPriority w:val="99"/>
    <w:unhideWhenUsed/>
    <w:rsid w:val="00201271"/>
    <w:pPr>
      <w:tabs>
        <w:tab w:val="center" w:pos="4536"/>
        <w:tab w:val="right" w:pos="9072"/>
      </w:tabs>
    </w:pPr>
  </w:style>
  <w:style w:type="character" w:customStyle="1" w:styleId="FooterChar">
    <w:name w:val="Footer Char"/>
    <w:basedOn w:val="DefaultParagraphFont"/>
    <w:link w:val="Footer"/>
    <w:uiPriority w:val="99"/>
    <w:rsid w:val="00201271"/>
    <w:rPr>
      <w:rFonts w:ascii="Calibri" w:eastAsia="Calibri" w:hAnsi="Calibri" w:cs="Times New Roman"/>
      <w:kern w:val="0"/>
      <w:sz w:val="24"/>
      <w:szCs w:val="24"/>
      <w14:ligatures w14:val="none"/>
    </w:rPr>
  </w:style>
  <w:style w:type="table" w:styleId="TableGrid">
    <w:name w:val="Table Grid"/>
    <w:basedOn w:val="TableNormal"/>
    <w:uiPriority w:val="39"/>
    <w:rsid w:val="00201271"/>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1271"/>
    <w:pPr>
      <w:spacing w:after="0" w:line="240" w:lineRule="auto"/>
    </w:pPr>
    <w:rPr>
      <w:rFonts w:eastAsiaTheme="minorEastAsia"/>
      <w:kern w:val="0"/>
      <w:lang w:val="en-US" w:eastAsia="zh-CN"/>
      <w14:ligatures w14:val="none"/>
    </w:rPr>
  </w:style>
  <w:style w:type="character" w:styleId="PageNumber">
    <w:name w:val="page number"/>
    <w:basedOn w:val="DefaultParagraphFont"/>
    <w:uiPriority w:val="99"/>
    <w:semiHidden/>
    <w:unhideWhenUsed/>
    <w:rsid w:val="00201271"/>
  </w:style>
  <w:style w:type="paragraph" w:styleId="ListParagraph">
    <w:name w:val="List Paragraph"/>
    <w:basedOn w:val="Normal"/>
    <w:uiPriority w:val="34"/>
    <w:qFormat/>
    <w:rsid w:val="00201271"/>
    <w:pPr>
      <w:spacing w:after="160" w:line="259" w:lineRule="auto"/>
      <w:ind w:left="720"/>
      <w:contextualSpacing/>
    </w:pPr>
    <w:rPr>
      <w:rFonts w:asciiTheme="minorHAnsi" w:eastAsiaTheme="minorHAnsi" w:hAnsiTheme="minorHAnsi" w:cstheme="minorBidi"/>
      <w:sz w:val="22"/>
      <w:szCs w:val="22"/>
    </w:rPr>
  </w:style>
  <w:style w:type="paragraph" w:styleId="BodyText2">
    <w:name w:val="Body Text 2"/>
    <w:basedOn w:val="Normal"/>
    <w:link w:val="BodyText2Char"/>
    <w:unhideWhenUsed/>
    <w:rsid w:val="00201271"/>
    <w:pPr>
      <w:spacing w:line="360" w:lineRule="auto"/>
      <w:jc w:val="both"/>
    </w:pPr>
    <w:rPr>
      <w:rFonts w:ascii="Times New Roman" w:eastAsia="Times New Roman" w:hAnsi="Times New Roman"/>
      <w:sz w:val="28"/>
      <w:szCs w:val="20"/>
      <w:lang w:eastAsia="fr-FR"/>
    </w:rPr>
  </w:style>
  <w:style w:type="character" w:customStyle="1" w:styleId="BodyText2Char">
    <w:name w:val="Body Text 2 Char"/>
    <w:basedOn w:val="DefaultParagraphFont"/>
    <w:link w:val="BodyText2"/>
    <w:rsid w:val="00201271"/>
    <w:rPr>
      <w:rFonts w:ascii="Times New Roman" w:eastAsia="Times New Roman" w:hAnsi="Times New Roman" w:cs="Times New Roman"/>
      <w:kern w:val="0"/>
      <w:sz w:val="28"/>
      <w:szCs w:val="20"/>
      <w:lang w:eastAsia="fr-FR"/>
      <w14:ligatures w14:val="none"/>
    </w:rPr>
  </w:style>
  <w:style w:type="paragraph" w:styleId="TOCHeading">
    <w:name w:val="TOC Heading"/>
    <w:basedOn w:val="Heading1"/>
    <w:next w:val="Normal"/>
    <w:uiPriority w:val="39"/>
    <w:unhideWhenUsed/>
    <w:qFormat/>
    <w:rsid w:val="00201271"/>
    <w:pPr>
      <w:spacing w:before="480" w:line="276" w:lineRule="auto"/>
      <w:outlineLvl w:val="9"/>
    </w:pPr>
    <w:rPr>
      <w:rFonts w:eastAsiaTheme="majorEastAsia"/>
      <w:bCs/>
      <w:sz w:val="28"/>
      <w:szCs w:val="28"/>
    </w:rPr>
  </w:style>
  <w:style w:type="paragraph" w:styleId="TOC1">
    <w:name w:val="toc 1"/>
    <w:basedOn w:val="Normal"/>
    <w:next w:val="Normal"/>
    <w:autoRedefine/>
    <w:uiPriority w:val="39"/>
    <w:unhideWhenUsed/>
    <w:rsid w:val="00201271"/>
    <w:pPr>
      <w:spacing w:before="120"/>
    </w:pPr>
    <w:rPr>
      <w:rFonts w:asciiTheme="minorHAnsi" w:hAnsiTheme="minorHAnsi"/>
      <w:b/>
      <w:bCs/>
    </w:rPr>
  </w:style>
  <w:style w:type="paragraph" w:styleId="TOC2">
    <w:name w:val="toc 2"/>
    <w:basedOn w:val="Normal"/>
    <w:next w:val="Normal"/>
    <w:autoRedefine/>
    <w:uiPriority w:val="39"/>
    <w:unhideWhenUsed/>
    <w:rsid w:val="00201271"/>
    <w:pPr>
      <w:ind w:left="240"/>
    </w:pPr>
    <w:rPr>
      <w:rFonts w:asciiTheme="minorHAnsi" w:hAnsiTheme="minorHAnsi"/>
      <w:b/>
      <w:bCs/>
      <w:sz w:val="22"/>
      <w:szCs w:val="22"/>
    </w:rPr>
  </w:style>
  <w:style w:type="paragraph" w:styleId="TOC3">
    <w:name w:val="toc 3"/>
    <w:basedOn w:val="Normal"/>
    <w:next w:val="Normal"/>
    <w:autoRedefine/>
    <w:uiPriority w:val="39"/>
    <w:unhideWhenUsed/>
    <w:rsid w:val="00201271"/>
    <w:pPr>
      <w:ind w:left="480"/>
    </w:pPr>
    <w:rPr>
      <w:rFonts w:asciiTheme="minorHAnsi" w:hAnsiTheme="minorHAnsi"/>
      <w:sz w:val="22"/>
      <w:szCs w:val="22"/>
    </w:rPr>
  </w:style>
  <w:style w:type="character" w:styleId="Hyperlink">
    <w:name w:val="Hyperlink"/>
    <w:basedOn w:val="DefaultParagraphFont"/>
    <w:uiPriority w:val="99"/>
    <w:unhideWhenUsed/>
    <w:rsid w:val="00201271"/>
    <w:rPr>
      <w:color w:val="0563C1" w:themeColor="hyperlink"/>
      <w:u w:val="single"/>
    </w:rPr>
  </w:style>
  <w:style w:type="paragraph" w:styleId="TOC4">
    <w:name w:val="toc 4"/>
    <w:basedOn w:val="Normal"/>
    <w:next w:val="Normal"/>
    <w:autoRedefine/>
    <w:uiPriority w:val="39"/>
    <w:semiHidden/>
    <w:unhideWhenUsed/>
    <w:rsid w:val="00201271"/>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0127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0127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0127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0127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01271"/>
    <w:pPr>
      <w:ind w:left="1920"/>
    </w:pPr>
    <w:rPr>
      <w:rFonts w:asciiTheme="minorHAnsi" w:hAnsiTheme="minorHAnsi"/>
      <w:sz w:val="20"/>
      <w:szCs w:val="20"/>
    </w:rPr>
  </w:style>
  <w:style w:type="character" w:styleId="Strong">
    <w:name w:val="Strong"/>
    <w:basedOn w:val="DefaultParagraphFont"/>
    <w:uiPriority w:val="22"/>
    <w:qFormat/>
    <w:rsid w:val="00ED71EC"/>
    <w:rPr>
      <w:b/>
      <w:bCs/>
    </w:rPr>
  </w:style>
  <w:style w:type="paragraph" w:customStyle="1" w:styleId="Default">
    <w:name w:val="Default"/>
    <w:rsid w:val="00217573"/>
    <w:pPr>
      <w:autoSpaceDE w:val="0"/>
      <w:autoSpaceDN w:val="0"/>
      <w:adjustRightInd w:val="0"/>
      <w:spacing w:after="0" w:line="240" w:lineRule="auto"/>
    </w:pPr>
    <w:rPr>
      <w:rFonts w:ascii="MZJEUG+LMRoman10-Regular" w:hAnsi="MZJEUG+LMRoman10-Regular" w:cs="MZJEUG+LMRoman10-Regular"/>
      <w:color w:val="000000"/>
      <w:kern w:val="0"/>
      <w:sz w:val="24"/>
      <w:szCs w:val="24"/>
    </w:rPr>
  </w:style>
  <w:style w:type="character" w:customStyle="1" w:styleId="fontstyle01">
    <w:name w:val="fontstyle01"/>
    <w:basedOn w:val="DefaultParagraphFont"/>
    <w:rsid w:val="00DC7F3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729FD"/>
    <w:rPr>
      <w:rFonts w:ascii="TimesNewRomanPS-BoldMT" w:hAnsi="TimesNewRomanPS-BoldMT" w:hint="default"/>
      <w:b/>
      <w:bCs/>
      <w:i w:val="0"/>
      <w:iCs w:val="0"/>
      <w:color w:val="000000"/>
      <w:sz w:val="24"/>
      <w:szCs w:val="24"/>
    </w:rPr>
  </w:style>
  <w:style w:type="table" w:customStyle="1" w:styleId="TableGrid0">
    <w:name w:val="TableGrid"/>
    <w:rsid w:val="00FA3E1B"/>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table" w:customStyle="1" w:styleId="TableGrid1">
    <w:name w:val="TableGrid1"/>
    <w:rsid w:val="000F65CC"/>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table" w:customStyle="1" w:styleId="TableGrid2">
    <w:name w:val="TableGrid2"/>
    <w:rsid w:val="000F65CC"/>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96C55"/>
    <w:rPr>
      <w:sz w:val="16"/>
      <w:szCs w:val="16"/>
    </w:rPr>
  </w:style>
  <w:style w:type="paragraph" w:styleId="CommentText">
    <w:name w:val="annotation text"/>
    <w:basedOn w:val="Normal"/>
    <w:link w:val="CommentTextChar"/>
    <w:uiPriority w:val="99"/>
    <w:unhideWhenUsed/>
    <w:rsid w:val="00896C55"/>
    <w:rPr>
      <w:sz w:val="20"/>
      <w:szCs w:val="20"/>
    </w:rPr>
  </w:style>
  <w:style w:type="character" w:customStyle="1" w:styleId="CommentTextChar">
    <w:name w:val="Comment Text Char"/>
    <w:basedOn w:val="DefaultParagraphFont"/>
    <w:link w:val="CommentText"/>
    <w:uiPriority w:val="99"/>
    <w:rsid w:val="00896C5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6C55"/>
    <w:rPr>
      <w:b/>
      <w:bCs/>
    </w:rPr>
  </w:style>
  <w:style w:type="character" w:customStyle="1" w:styleId="CommentSubjectChar">
    <w:name w:val="Comment Subject Char"/>
    <w:basedOn w:val="CommentTextChar"/>
    <w:link w:val="CommentSubject"/>
    <w:uiPriority w:val="99"/>
    <w:semiHidden/>
    <w:rsid w:val="00896C55"/>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C16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D11"/>
    <w:rPr>
      <w:rFonts w:ascii="Segoe UI" w:eastAsia="Calibri" w:hAnsi="Segoe UI" w:cs="Segoe UI"/>
      <w:kern w:val="0"/>
      <w:sz w:val="18"/>
      <w:szCs w:val="18"/>
      <w14:ligatures w14:val="none"/>
    </w:rPr>
  </w:style>
  <w:style w:type="character" w:customStyle="1" w:styleId="UnresolvedMention">
    <w:name w:val="Unresolved Mention"/>
    <w:basedOn w:val="DefaultParagraphFont"/>
    <w:uiPriority w:val="99"/>
    <w:semiHidden/>
    <w:unhideWhenUsed/>
    <w:rsid w:val="003D0419"/>
    <w:rPr>
      <w:color w:val="605E5C"/>
      <w:shd w:val="clear" w:color="auto" w:fill="E1DFDD"/>
    </w:rPr>
  </w:style>
  <w:style w:type="paragraph" w:customStyle="1" w:styleId="Author">
    <w:name w:val="Author"/>
    <w:basedOn w:val="Normal"/>
    <w:rsid w:val="002D3803"/>
    <w:pPr>
      <w:spacing w:line="280" w:lineRule="exact"/>
      <w:jc w:val="right"/>
    </w:pPr>
    <w:rPr>
      <w:rFonts w:ascii="Helvetica" w:eastAsia="Times New Roman" w:hAnsi="Helvetica"/>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18800">
      <w:bodyDiv w:val="1"/>
      <w:marLeft w:val="0"/>
      <w:marRight w:val="0"/>
      <w:marTop w:val="0"/>
      <w:marBottom w:val="0"/>
      <w:divBdr>
        <w:top w:val="none" w:sz="0" w:space="0" w:color="auto"/>
        <w:left w:val="none" w:sz="0" w:space="0" w:color="auto"/>
        <w:bottom w:val="none" w:sz="0" w:space="0" w:color="auto"/>
        <w:right w:val="none" w:sz="0" w:space="0" w:color="auto"/>
      </w:divBdr>
    </w:div>
    <w:div w:id="247157631">
      <w:bodyDiv w:val="1"/>
      <w:marLeft w:val="0"/>
      <w:marRight w:val="0"/>
      <w:marTop w:val="0"/>
      <w:marBottom w:val="0"/>
      <w:divBdr>
        <w:top w:val="none" w:sz="0" w:space="0" w:color="auto"/>
        <w:left w:val="none" w:sz="0" w:space="0" w:color="auto"/>
        <w:bottom w:val="none" w:sz="0" w:space="0" w:color="auto"/>
        <w:right w:val="none" w:sz="0" w:space="0" w:color="auto"/>
      </w:divBdr>
    </w:div>
    <w:div w:id="405806473">
      <w:bodyDiv w:val="1"/>
      <w:marLeft w:val="0"/>
      <w:marRight w:val="0"/>
      <w:marTop w:val="0"/>
      <w:marBottom w:val="0"/>
      <w:divBdr>
        <w:top w:val="none" w:sz="0" w:space="0" w:color="auto"/>
        <w:left w:val="none" w:sz="0" w:space="0" w:color="auto"/>
        <w:bottom w:val="none" w:sz="0" w:space="0" w:color="auto"/>
        <w:right w:val="none" w:sz="0" w:space="0" w:color="auto"/>
      </w:divBdr>
    </w:div>
    <w:div w:id="1062220194">
      <w:bodyDiv w:val="1"/>
      <w:marLeft w:val="0"/>
      <w:marRight w:val="0"/>
      <w:marTop w:val="0"/>
      <w:marBottom w:val="0"/>
      <w:divBdr>
        <w:top w:val="none" w:sz="0" w:space="0" w:color="auto"/>
        <w:left w:val="none" w:sz="0" w:space="0" w:color="auto"/>
        <w:bottom w:val="none" w:sz="0" w:space="0" w:color="auto"/>
        <w:right w:val="none" w:sz="0" w:space="0" w:color="auto"/>
      </w:divBdr>
      <w:divsChild>
        <w:div w:id="1800297206">
          <w:marLeft w:val="0"/>
          <w:marRight w:val="0"/>
          <w:marTop w:val="0"/>
          <w:marBottom w:val="0"/>
          <w:divBdr>
            <w:top w:val="none" w:sz="0" w:space="0" w:color="auto"/>
            <w:left w:val="none" w:sz="0" w:space="0" w:color="auto"/>
            <w:bottom w:val="none" w:sz="0" w:space="0" w:color="auto"/>
            <w:right w:val="none" w:sz="0" w:space="0" w:color="auto"/>
          </w:divBdr>
        </w:div>
      </w:divsChild>
    </w:div>
    <w:div w:id="1495147761">
      <w:bodyDiv w:val="1"/>
      <w:marLeft w:val="0"/>
      <w:marRight w:val="0"/>
      <w:marTop w:val="0"/>
      <w:marBottom w:val="0"/>
      <w:divBdr>
        <w:top w:val="none" w:sz="0" w:space="0" w:color="auto"/>
        <w:left w:val="none" w:sz="0" w:space="0" w:color="auto"/>
        <w:bottom w:val="none" w:sz="0" w:space="0" w:color="auto"/>
        <w:right w:val="none" w:sz="0" w:space="0" w:color="auto"/>
      </w:divBdr>
    </w:div>
    <w:div w:id="1523010867">
      <w:bodyDiv w:val="1"/>
      <w:marLeft w:val="0"/>
      <w:marRight w:val="0"/>
      <w:marTop w:val="0"/>
      <w:marBottom w:val="0"/>
      <w:divBdr>
        <w:top w:val="none" w:sz="0" w:space="0" w:color="auto"/>
        <w:left w:val="none" w:sz="0" w:space="0" w:color="auto"/>
        <w:bottom w:val="none" w:sz="0" w:space="0" w:color="auto"/>
        <w:right w:val="none" w:sz="0" w:space="0" w:color="auto"/>
      </w:divBdr>
    </w:div>
    <w:div w:id="1645969060">
      <w:bodyDiv w:val="1"/>
      <w:marLeft w:val="0"/>
      <w:marRight w:val="0"/>
      <w:marTop w:val="0"/>
      <w:marBottom w:val="0"/>
      <w:divBdr>
        <w:top w:val="none" w:sz="0" w:space="0" w:color="auto"/>
        <w:left w:val="none" w:sz="0" w:space="0" w:color="auto"/>
        <w:bottom w:val="none" w:sz="0" w:space="0" w:color="auto"/>
        <w:right w:val="none" w:sz="0" w:space="0" w:color="auto"/>
      </w:divBdr>
    </w:div>
    <w:div w:id="1861550579">
      <w:bodyDiv w:val="1"/>
      <w:marLeft w:val="0"/>
      <w:marRight w:val="0"/>
      <w:marTop w:val="0"/>
      <w:marBottom w:val="0"/>
      <w:divBdr>
        <w:top w:val="none" w:sz="0" w:space="0" w:color="auto"/>
        <w:left w:val="none" w:sz="0" w:space="0" w:color="auto"/>
        <w:bottom w:val="none" w:sz="0" w:space="0" w:color="auto"/>
        <w:right w:val="none" w:sz="0" w:space="0" w:color="auto"/>
      </w:divBdr>
    </w:div>
    <w:div w:id="1893072939">
      <w:bodyDiv w:val="1"/>
      <w:marLeft w:val="0"/>
      <w:marRight w:val="0"/>
      <w:marTop w:val="0"/>
      <w:marBottom w:val="0"/>
      <w:divBdr>
        <w:top w:val="none" w:sz="0" w:space="0" w:color="auto"/>
        <w:left w:val="none" w:sz="0" w:space="0" w:color="auto"/>
        <w:bottom w:val="none" w:sz="0" w:space="0" w:color="auto"/>
        <w:right w:val="none" w:sz="0" w:space="0" w:color="auto"/>
      </w:divBdr>
    </w:div>
    <w:div w:id="2109932956">
      <w:bodyDiv w:val="1"/>
      <w:marLeft w:val="0"/>
      <w:marRight w:val="0"/>
      <w:marTop w:val="0"/>
      <w:marBottom w:val="0"/>
      <w:divBdr>
        <w:top w:val="none" w:sz="0" w:space="0" w:color="auto"/>
        <w:left w:val="none" w:sz="0" w:space="0" w:color="auto"/>
        <w:bottom w:val="none" w:sz="0" w:space="0" w:color="auto"/>
        <w:right w:val="none" w:sz="0" w:space="0" w:color="auto"/>
      </w:divBdr>
      <w:divsChild>
        <w:div w:id="318778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10.png"/><Relationship Id="rId39" Type="http://schemas.microsoft.com/office/2016/09/relationships/commentsIds" Target="commentsIds.xml"/><Relationship Id="rId21" Type="http://schemas.openxmlformats.org/officeDocument/2006/relationships/image" Target="media/image6.jpeg"/><Relationship Id="rId34" Type="http://schemas.openxmlformats.org/officeDocument/2006/relationships/header" Target="header6.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image" Target="media/image9.png"/><Relationship Id="rId33" Type="http://schemas.openxmlformats.org/officeDocument/2006/relationships/header" Target="header5.xml"/><Relationship Id="rId38"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image" Target="media/image5.jpeg"/><Relationship Id="rId29"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hart" Target="charts/chart2.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image" Target="media/image8.png"/><Relationship Id="rId28" Type="http://schemas.openxmlformats.org/officeDocument/2006/relationships/chart" Target="charts/chart4.xm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jpeg"/><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AGRED-CI\Donn&#233;es%20Mangues\RESULTATS%20PERTE%20DE%20POIDS%20f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AGRED-CI\Donn&#233;es%20Mangues\RESULTATS%20PERTE%20DE%20POIDS%20f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AGRED-CI\Donn&#233;es%20Mangues\RESULTATS%20PERTE%20DE%20POIDS%20f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E:\AGRED-CI\Donn&#233;es%20Mangues\RESULTATS%20PERTE%20DE%20POIDS%20f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AGRED-CI\Donn&#233;es%20Mangues\RESULTATS%20PERTE%20DE%20POIDS%20f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AGRED-CI\Donn&#233;es%20Mangues\RESULTATS%20PERTE%20DE%20POIDS%20f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00608977400501"/>
          <c:y val="4.9866934977622103E-2"/>
          <c:w val="0.83697153942628999"/>
          <c:h val="0.72788636158673603"/>
        </c:manualLayout>
      </c:layout>
      <c:barChart>
        <c:barDir val="col"/>
        <c:grouping val="clustered"/>
        <c:varyColors val="0"/>
        <c:ser>
          <c:idx val="0"/>
          <c:order val="0"/>
          <c:tx>
            <c:strRef>
              <c:f>'Evolution Masse'!$AF$42</c:f>
              <c:strCache>
                <c:ptCount val="1"/>
                <c:pt idx="0">
                  <c:v>Perte de Masse</c:v>
                </c:pt>
              </c:strCache>
            </c:strRef>
          </c:tx>
          <c:spPr>
            <a:solidFill>
              <a:srgbClr val="00B0F0"/>
            </a:solid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2B-4AA5-97E1-5417457E0235}"/>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2B-4AA5-97E1-5417457E0235}"/>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2B-4AA5-97E1-5417457E0235}"/>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2B-4AA5-97E1-5417457E0235}"/>
                </c:ext>
              </c:extLst>
            </c:dLbl>
            <c:dLbl>
              <c:idx val="4"/>
              <c:layout>
                <c:manualLayout>
                  <c:x val="2.2356923372383328E-3"/>
                  <c:y val="-6.9963755207922479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2B-4AA5-97E1-5417457E0235}"/>
                </c:ext>
              </c:extLst>
            </c:dLbl>
            <c:dLbl>
              <c:idx val="5"/>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2B-4AA5-97E1-5417457E02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'Evolution Masse'!$AE$43:$AE$48</c:f>
              <c:strCache>
                <c:ptCount val="6"/>
                <c:pt idx="0">
                  <c:v>TO</c:v>
                </c:pt>
                <c:pt idx="1">
                  <c:v>T1</c:v>
                </c:pt>
                <c:pt idx="2">
                  <c:v>T2</c:v>
                </c:pt>
                <c:pt idx="3">
                  <c:v>T3</c:v>
                </c:pt>
                <c:pt idx="4">
                  <c:v>T4</c:v>
                </c:pt>
                <c:pt idx="5">
                  <c:v>T5</c:v>
                </c:pt>
              </c:strCache>
            </c:strRef>
          </c:cat>
          <c:val>
            <c:numRef>
              <c:f>'Evolution Masse'!$AF$43:$AF$48</c:f>
              <c:numCache>
                <c:formatCode>0.0000</c:formatCode>
                <c:ptCount val="6"/>
                <c:pt idx="0">
                  <c:v>8.2100000000000009</c:v>
                </c:pt>
                <c:pt idx="1">
                  <c:v>8.75</c:v>
                </c:pt>
                <c:pt idx="2">
                  <c:v>7.08</c:v>
                </c:pt>
                <c:pt idx="3">
                  <c:v>7.1499999999999986</c:v>
                </c:pt>
                <c:pt idx="4">
                  <c:v>8.17</c:v>
                </c:pt>
                <c:pt idx="5">
                  <c:v>9.43</c:v>
                </c:pt>
              </c:numCache>
            </c:numRef>
          </c:val>
          <c:extLst>
            <c:ext xmlns:c16="http://schemas.microsoft.com/office/drawing/2014/chart" uri="{C3380CC4-5D6E-409C-BE32-E72D297353CC}">
              <c16:uniqueId val="{00000006-002B-4AA5-97E1-5417457E0235}"/>
            </c:ext>
          </c:extLst>
        </c:ser>
        <c:dLbls>
          <c:showLegendKey val="0"/>
          <c:showVal val="0"/>
          <c:showCatName val="0"/>
          <c:showSerName val="0"/>
          <c:showPercent val="0"/>
          <c:showBubbleSize val="0"/>
        </c:dLbls>
        <c:gapWidth val="219"/>
        <c:overlap val="-27"/>
        <c:axId val="-139755920"/>
        <c:axId val="-139755376"/>
      </c:barChart>
      <c:catAx>
        <c:axId val="-1397559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fr-FR"/>
                  <a:t>Treatments</a:t>
                </a:r>
              </a:p>
            </c:rich>
          </c:tx>
          <c:layout>
            <c:manualLayout>
              <c:xMode val="edge"/>
              <c:yMode val="edge"/>
              <c:x val="0.43985308238909154"/>
              <c:y val="0.893539296479839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General" sourceLinked="1"/>
        <c:majorTickMark val="none"/>
        <c:minorTickMark val="out"/>
        <c:tickLblPos val="nextTo"/>
        <c:spPr>
          <a:noFill/>
          <a:ln w="15875" cap="flat" cmpd="sng" algn="ctr">
            <a:solidFill>
              <a:schemeClr val="accent1">
                <a:lumMod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39755376"/>
        <c:crosses val="autoZero"/>
        <c:auto val="1"/>
        <c:lblAlgn val="ctr"/>
        <c:lblOffset val="100"/>
        <c:noMultiLvlLbl val="0"/>
      </c:catAx>
      <c:valAx>
        <c:axId val="-139755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fr-FR"/>
                  <a:t>Mass loss</a:t>
                </a:r>
                <a:r>
                  <a:rPr lang="fr-FR" baseline="0"/>
                  <a:t> rate</a:t>
                </a:r>
                <a:r>
                  <a:rPr lang="fr-FR"/>
                  <a:t> (%)</a:t>
                </a:r>
              </a:p>
            </c:rich>
          </c:tx>
          <c:layout>
            <c:manualLayout>
              <c:xMode val="edge"/>
              <c:yMode val="edge"/>
              <c:x val="4.0706500864221243E-2"/>
              <c:y val="0.150751028784636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0" sourceLinked="0"/>
        <c:majorTickMark val="out"/>
        <c:minorTickMark val="none"/>
        <c:tickLblPos val="nextTo"/>
        <c:spPr>
          <a:noFill/>
          <a:ln w="15875">
            <a:solidFill>
              <a:srgbClr val="44546A">
                <a:lumMod val="75000"/>
              </a:srgbClr>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39755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BRUNISSEMENT!$V$49</c:f>
              <c:strCache>
                <c:ptCount val="1"/>
                <c:pt idx="0">
                  <c:v>BRUNISSEMENT Moyenne</c:v>
                </c:pt>
              </c:strCache>
            </c:strRef>
          </c:tx>
          <c:spPr>
            <a:solidFill>
              <a:schemeClr val="accent1"/>
            </a:solidFill>
            <a:ln>
              <a:noFill/>
            </a:ln>
            <a:effectLst/>
          </c:spPr>
          <c:invertIfNegative val="0"/>
          <c:dLbls>
            <c:dLbl>
              <c:idx val="0"/>
              <c:layout>
                <c:manualLayout>
                  <c:x val="-2.7342463158163744E-17"/>
                  <c:y val="-5.4726368159204071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93-4CFB-9ED8-648F23D8FC9D}"/>
                </c:ext>
              </c:extLst>
            </c:dLbl>
            <c:dLbl>
              <c:idx val="1"/>
              <c:layout>
                <c:manualLayout>
                  <c:x val="-5.4684926316327489E-17"/>
                  <c:y val="-4.975124378109453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93-4CFB-9ED8-648F23D8FC9D}"/>
                </c:ext>
              </c:extLst>
            </c:dLbl>
            <c:dLbl>
              <c:idx val="2"/>
              <c:layout>
                <c:manualLayout>
                  <c:x val="0"/>
                  <c:y val="-4.975124378109453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93-4CFB-9ED8-648F23D8FC9D}"/>
                </c:ext>
              </c:extLst>
            </c:dLbl>
            <c:dLbl>
              <c:idx val="3"/>
              <c:layout>
                <c:manualLayout>
                  <c:x val="0"/>
                  <c:y val="-5.4726368159203981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93-4CFB-9ED8-648F23D8FC9D}"/>
                </c:ext>
              </c:extLst>
            </c:dLbl>
            <c:dLbl>
              <c:idx val="4"/>
              <c:layout>
                <c:manualLayout>
                  <c:x val="0"/>
                  <c:y val="-6.965174129353234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93-4CFB-9ED8-648F23D8FC9D}"/>
                </c:ext>
              </c:extLst>
            </c:dLbl>
            <c:dLbl>
              <c:idx val="5"/>
              <c:layout>
                <c:manualLayout>
                  <c:x val="-1.0936985263265498E-16"/>
                  <c:y val="-5.9701492537313446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93-4CFB-9ED8-648F23D8FC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BRUNISSEMENT!$U$50:$U$55</c:f>
              <c:strCache>
                <c:ptCount val="6"/>
                <c:pt idx="0">
                  <c:v>T0</c:v>
                </c:pt>
                <c:pt idx="1">
                  <c:v>T1</c:v>
                </c:pt>
                <c:pt idx="2">
                  <c:v>T2</c:v>
                </c:pt>
                <c:pt idx="3">
                  <c:v>T3</c:v>
                </c:pt>
                <c:pt idx="4">
                  <c:v>T4</c:v>
                </c:pt>
                <c:pt idx="5">
                  <c:v>T5</c:v>
                </c:pt>
              </c:strCache>
            </c:strRef>
          </c:cat>
          <c:val>
            <c:numRef>
              <c:f>BRUNISSEMENT!$V$50:$V$55</c:f>
              <c:numCache>
                <c:formatCode>0.00000</c:formatCode>
                <c:ptCount val="6"/>
                <c:pt idx="0">
                  <c:v>0</c:v>
                </c:pt>
                <c:pt idx="1">
                  <c:v>13.25757575757576</c:v>
                </c:pt>
                <c:pt idx="2">
                  <c:v>20.45454545454545</c:v>
                </c:pt>
                <c:pt idx="3">
                  <c:v>26.89393939393938</c:v>
                </c:pt>
                <c:pt idx="4">
                  <c:v>5.2609427609427613</c:v>
                </c:pt>
                <c:pt idx="5">
                  <c:v>33.122895622895619</c:v>
                </c:pt>
              </c:numCache>
            </c:numRef>
          </c:val>
          <c:extLst>
            <c:ext xmlns:c16="http://schemas.microsoft.com/office/drawing/2014/chart" uri="{C3380CC4-5D6E-409C-BE32-E72D297353CC}">
              <c16:uniqueId val="{00000006-1B93-4CFB-9ED8-648F23D8FC9D}"/>
            </c:ext>
          </c:extLst>
        </c:ser>
        <c:dLbls>
          <c:showLegendKey val="0"/>
          <c:showVal val="0"/>
          <c:showCatName val="0"/>
          <c:showSerName val="0"/>
          <c:showPercent val="0"/>
          <c:showBubbleSize val="0"/>
        </c:dLbls>
        <c:gapWidth val="219"/>
        <c:overlap val="-27"/>
        <c:axId val="-1527120032"/>
        <c:axId val="-1527121664"/>
      </c:barChart>
      <c:catAx>
        <c:axId val="-15271200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527121664"/>
        <c:crosses val="autoZero"/>
        <c:auto val="1"/>
        <c:lblAlgn val="ctr"/>
        <c:lblOffset val="100"/>
        <c:noMultiLvlLbl val="0"/>
      </c:catAx>
      <c:valAx>
        <c:axId val="-1527121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Browning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527120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525371828521"/>
          <c:y val="5.0925925925925902E-2"/>
          <c:w val="0.81047462817147897"/>
          <c:h val="0.74065616797900302"/>
        </c:manualLayout>
      </c:layout>
      <c:barChart>
        <c:barDir val="col"/>
        <c:grouping val="clustered"/>
        <c:varyColors val="0"/>
        <c:ser>
          <c:idx val="0"/>
          <c:order val="0"/>
          <c:tx>
            <c:strRef>
              <c:f>'Acidité TR'!$O$75</c:f>
              <c:strCache>
                <c:ptCount val="1"/>
                <c:pt idx="0">
                  <c:v>ATT Moyenne</c:v>
                </c:pt>
              </c:strCache>
            </c:strRef>
          </c:tx>
          <c:spPr>
            <a:solidFill>
              <a:srgbClr val="ED7D3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82-4CBC-BA5A-D27D06DD60E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82-4CBC-BA5A-D27D06DD60E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82-4CBC-BA5A-D27D06DD60E1}"/>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82-4CBC-BA5A-D27D06DD60E1}"/>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82-4CBC-BA5A-D27D06DD60E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82-4CBC-BA5A-D27D06DD60E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'Acidité TR'!$N$76:$N$81</c:f>
              <c:strCache>
                <c:ptCount val="6"/>
                <c:pt idx="0">
                  <c:v>T0</c:v>
                </c:pt>
                <c:pt idx="1">
                  <c:v>T1</c:v>
                </c:pt>
                <c:pt idx="2">
                  <c:v>T2</c:v>
                </c:pt>
                <c:pt idx="3">
                  <c:v>T3</c:v>
                </c:pt>
                <c:pt idx="4">
                  <c:v>T4</c:v>
                </c:pt>
                <c:pt idx="5">
                  <c:v>T5</c:v>
                </c:pt>
              </c:strCache>
            </c:strRef>
          </c:cat>
          <c:val>
            <c:numRef>
              <c:f>'Acidité TR'!$O$76:$O$81</c:f>
              <c:numCache>
                <c:formatCode>0.000000</c:formatCode>
                <c:ptCount val="6"/>
                <c:pt idx="0">
                  <c:v>9.3000000000000025</c:v>
                </c:pt>
                <c:pt idx="1">
                  <c:v>9.9000000000000021</c:v>
                </c:pt>
                <c:pt idx="2">
                  <c:v>7.1333333333333329</c:v>
                </c:pt>
                <c:pt idx="3">
                  <c:v>8.3666666666666707</c:v>
                </c:pt>
                <c:pt idx="4">
                  <c:v>8.8666666666666707</c:v>
                </c:pt>
                <c:pt idx="5">
                  <c:v>9.3666666666666707</c:v>
                </c:pt>
              </c:numCache>
            </c:numRef>
          </c:val>
          <c:extLst>
            <c:ext xmlns:c16="http://schemas.microsoft.com/office/drawing/2014/chart" uri="{C3380CC4-5D6E-409C-BE32-E72D297353CC}">
              <c16:uniqueId val="{00000006-CB82-4CBC-BA5A-D27D06DD60E1}"/>
            </c:ext>
          </c:extLst>
        </c:ser>
        <c:dLbls>
          <c:showLegendKey val="0"/>
          <c:showVal val="0"/>
          <c:showCatName val="0"/>
          <c:showSerName val="0"/>
          <c:showPercent val="0"/>
          <c:showBubbleSize val="0"/>
        </c:dLbls>
        <c:gapWidth val="219"/>
        <c:overlap val="-27"/>
        <c:axId val="-131945568"/>
        <c:axId val="-131943936"/>
      </c:barChart>
      <c:catAx>
        <c:axId val="-131945568"/>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a:t>
                </a:r>
              </a:p>
            </c:rich>
          </c:tx>
          <c:layout>
            <c:manualLayout>
              <c:xMode val="edge"/>
              <c:yMode val="edge"/>
              <c:x val="0.49447485448738893"/>
              <c:y val="0.9087219866747425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3936"/>
        <c:crosses val="autoZero"/>
        <c:auto val="1"/>
        <c:lblAlgn val="ctr"/>
        <c:lblOffset val="100"/>
        <c:noMultiLvlLbl val="0"/>
      </c:catAx>
      <c:valAx>
        <c:axId val="-131943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r>
                  <a:rPr lang="fr-FR" sz="1000">
                    <a:latin typeface="+mn-lt"/>
                  </a:rPr>
                  <a:t>Titratable</a:t>
                </a:r>
                <a:r>
                  <a:rPr lang="fr-FR" sz="1000" baseline="0">
                    <a:latin typeface="+mn-lt"/>
                  </a:rPr>
                  <a:t> acidity </a:t>
                </a:r>
                <a:r>
                  <a:rPr lang="fr-FR" sz="1000">
                    <a:latin typeface="+mn-lt"/>
                  </a:rPr>
                  <a:t> (mEq.10-2 g)</a:t>
                </a:r>
              </a:p>
            </c:rich>
          </c:tx>
          <c:layout>
            <c:manualLayout>
              <c:xMode val="edge"/>
              <c:yMode val="edge"/>
              <c:x val="5.0199817317500839E-2"/>
              <c:y val="8.12106239597094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55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PH!$N$83</c:f>
              <c:strCache>
                <c:ptCount val="1"/>
                <c:pt idx="0">
                  <c:v>pH Moyenne</c:v>
                </c:pt>
              </c:strCache>
            </c:strRef>
          </c:tx>
          <c:spPr>
            <a:solidFill>
              <a:srgbClr val="00B050"/>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11-403C-B543-1BCAA2B61F84}"/>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11-403C-B543-1BCAA2B61F84}"/>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11-403C-B543-1BCAA2B61F84}"/>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11-403C-B543-1BCAA2B61F84}"/>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11-403C-B543-1BCAA2B61F84}"/>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11-403C-B543-1BCAA2B61F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PH!$M$84:$M$89</c:f>
              <c:strCache>
                <c:ptCount val="6"/>
                <c:pt idx="0">
                  <c:v>T0</c:v>
                </c:pt>
                <c:pt idx="1">
                  <c:v>T1</c:v>
                </c:pt>
                <c:pt idx="2">
                  <c:v>T2</c:v>
                </c:pt>
                <c:pt idx="3">
                  <c:v>T3</c:v>
                </c:pt>
                <c:pt idx="4">
                  <c:v>T4</c:v>
                </c:pt>
                <c:pt idx="5">
                  <c:v>T5</c:v>
                </c:pt>
              </c:strCache>
            </c:strRef>
          </c:cat>
          <c:val>
            <c:numRef>
              <c:f>PH!$N$84:$N$89</c:f>
              <c:numCache>
                <c:formatCode>0.000000</c:formatCode>
                <c:ptCount val="6"/>
                <c:pt idx="0">
                  <c:v>4.6733333333333329</c:v>
                </c:pt>
                <c:pt idx="1">
                  <c:v>4.7066666666666661</c:v>
                </c:pt>
                <c:pt idx="2">
                  <c:v>5.5666666666666673</c:v>
                </c:pt>
                <c:pt idx="3">
                  <c:v>6.3199999999999976</c:v>
                </c:pt>
                <c:pt idx="4">
                  <c:v>6.1466666666666674</c:v>
                </c:pt>
                <c:pt idx="5">
                  <c:v>4.753333333333333</c:v>
                </c:pt>
              </c:numCache>
            </c:numRef>
          </c:val>
          <c:extLst>
            <c:ext xmlns:c16="http://schemas.microsoft.com/office/drawing/2014/chart" uri="{C3380CC4-5D6E-409C-BE32-E72D297353CC}">
              <c16:uniqueId val="{00000006-8A11-403C-B543-1BCAA2B61F84}"/>
            </c:ext>
          </c:extLst>
        </c:ser>
        <c:dLbls>
          <c:showLegendKey val="0"/>
          <c:showVal val="0"/>
          <c:showCatName val="0"/>
          <c:showSerName val="0"/>
          <c:showPercent val="0"/>
          <c:showBubbleSize val="0"/>
        </c:dLbls>
        <c:gapWidth val="219"/>
        <c:overlap val="-27"/>
        <c:axId val="-131943392"/>
        <c:axId val="-131946656"/>
      </c:barChart>
      <c:catAx>
        <c:axId val="-1319433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6656"/>
        <c:crosses val="autoZero"/>
        <c:auto val="1"/>
        <c:lblAlgn val="ctr"/>
        <c:lblOffset val="100"/>
        <c:noMultiLvlLbl val="0"/>
      </c:catAx>
      <c:valAx>
        <c:axId val="-131946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3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SA!$T$51</c:f>
              <c:strCache>
                <c:ptCount val="1"/>
                <c:pt idx="0">
                  <c:v>S/A Moyenne</c:v>
                </c:pt>
              </c:strCache>
            </c:strRef>
          </c:tx>
          <c:spPr>
            <a:solidFill>
              <a:srgbClr val="7030A0"/>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4D-41FA-A8A5-6524C928568E}"/>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4D-41FA-A8A5-6524C928568E}"/>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4D-41FA-A8A5-6524C928568E}"/>
                </c:ext>
              </c:extLst>
            </c:dLbl>
            <c:dLbl>
              <c:idx val="3"/>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4D-41FA-A8A5-6524C928568E}"/>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4D-41FA-A8A5-6524C928568E}"/>
                </c:ext>
              </c:extLst>
            </c:dLbl>
            <c:dLbl>
              <c:idx val="5"/>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4D-41FA-A8A5-6524C92856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SA!$S$52:$S$57</c:f>
              <c:strCache>
                <c:ptCount val="6"/>
                <c:pt idx="0">
                  <c:v>T0</c:v>
                </c:pt>
                <c:pt idx="1">
                  <c:v>T1</c:v>
                </c:pt>
                <c:pt idx="2">
                  <c:v>T2</c:v>
                </c:pt>
                <c:pt idx="3">
                  <c:v>T3</c:v>
                </c:pt>
                <c:pt idx="4">
                  <c:v>T4</c:v>
                </c:pt>
                <c:pt idx="5">
                  <c:v>T5</c:v>
                </c:pt>
              </c:strCache>
            </c:strRef>
          </c:cat>
          <c:val>
            <c:numRef>
              <c:f>SA!$T$52:$T$57</c:f>
              <c:numCache>
                <c:formatCode>0.000000</c:formatCode>
                <c:ptCount val="6"/>
                <c:pt idx="0">
                  <c:v>2.3039241622574971</c:v>
                </c:pt>
                <c:pt idx="1">
                  <c:v>2.3626380766731621</c:v>
                </c:pt>
                <c:pt idx="2">
                  <c:v>3.1942680776014112</c:v>
                </c:pt>
                <c:pt idx="3">
                  <c:v>2.71106476856477</c:v>
                </c:pt>
                <c:pt idx="4">
                  <c:v>2.421363211951447</c:v>
                </c:pt>
                <c:pt idx="5">
                  <c:v>2.551463594884646</c:v>
                </c:pt>
              </c:numCache>
            </c:numRef>
          </c:val>
          <c:extLst>
            <c:ext xmlns:c16="http://schemas.microsoft.com/office/drawing/2014/chart" uri="{C3380CC4-5D6E-409C-BE32-E72D297353CC}">
              <c16:uniqueId val="{00000006-844D-41FA-A8A5-6524C928568E}"/>
            </c:ext>
          </c:extLst>
        </c:ser>
        <c:dLbls>
          <c:showLegendKey val="0"/>
          <c:showVal val="0"/>
          <c:showCatName val="0"/>
          <c:showSerName val="0"/>
          <c:showPercent val="0"/>
          <c:showBubbleSize val="0"/>
        </c:dLbls>
        <c:gapWidth val="219"/>
        <c:overlap val="-27"/>
        <c:axId val="-131942304"/>
        <c:axId val="-131947744"/>
      </c:barChart>
      <c:catAx>
        <c:axId val="-1319423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a:t>
                </a:r>
              </a:p>
            </c:rich>
          </c:tx>
          <c:layout>
            <c:manualLayout>
              <c:xMode val="edge"/>
              <c:yMode val="edge"/>
              <c:x val="0.475929352580927"/>
              <c:y val="0.8647914843977839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7744"/>
        <c:crosses val="autoZero"/>
        <c:auto val="1"/>
        <c:lblAlgn val="ctr"/>
        <c:lblOffset val="100"/>
        <c:noMultiLvlLbl val="0"/>
      </c:catAx>
      <c:valAx>
        <c:axId val="-13194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Sugar - to-acid ratio</a:t>
                </a:r>
              </a:p>
            </c:rich>
          </c:tx>
          <c:overlay val="0"/>
          <c:spPr>
            <a:noFill/>
            <a:ln>
              <a:solidFill>
                <a:sysClr val="windowText" lastClr="000000"/>
              </a:solid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23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SA!$AA$16</c:f>
              <c:strCache>
                <c:ptCount val="1"/>
                <c:pt idx="0">
                  <c:v>T0</c:v>
                </c:pt>
              </c:strCache>
            </c:strRef>
          </c:tx>
          <c:spPr>
            <a:ln w="28575" cap="rnd">
              <a:solidFill>
                <a:schemeClr val="accent1"/>
              </a:solidFill>
              <a:round/>
            </a:ln>
            <a:effectLst/>
          </c:spPr>
          <c:marker>
            <c:symbol val="none"/>
          </c:marker>
          <c:cat>
            <c:numRef>
              <c:f>SA!$AB$15:$AD$15</c:f>
              <c:numCache>
                <c:formatCode>General</c:formatCode>
                <c:ptCount val="3"/>
                <c:pt idx="0">
                  <c:v>16</c:v>
                </c:pt>
                <c:pt idx="1">
                  <c:v>18</c:v>
                </c:pt>
                <c:pt idx="2">
                  <c:v>20</c:v>
                </c:pt>
              </c:numCache>
            </c:numRef>
          </c:cat>
          <c:val>
            <c:numRef>
              <c:f>SA!$AB$16:$AD$16</c:f>
              <c:numCache>
                <c:formatCode>0.000000</c:formatCode>
                <c:ptCount val="3"/>
                <c:pt idx="0">
                  <c:v>2.3412962962962962</c:v>
                </c:pt>
                <c:pt idx="1">
                  <c:v>2.3466666666666658</c:v>
                </c:pt>
                <c:pt idx="2">
                  <c:v>2.2238095238095239</c:v>
                </c:pt>
              </c:numCache>
            </c:numRef>
          </c:val>
          <c:smooth val="0"/>
          <c:extLst>
            <c:ext xmlns:c16="http://schemas.microsoft.com/office/drawing/2014/chart" uri="{C3380CC4-5D6E-409C-BE32-E72D297353CC}">
              <c16:uniqueId val="{00000000-8E53-4859-B5BB-7B9FC946AC9F}"/>
            </c:ext>
          </c:extLst>
        </c:ser>
        <c:ser>
          <c:idx val="1"/>
          <c:order val="1"/>
          <c:tx>
            <c:strRef>
              <c:f>SA!$AA$17</c:f>
              <c:strCache>
                <c:ptCount val="1"/>
                <c:pt idx="0">
                  <c:v>T1</c:v>
                </c:pt>
              </c:strCache>
            </c:strRef>
          </c:tx>
          <c:spPr>
            <a:ln w="28575" cap="rnd">
              <a:solidFill>
                <a:schemeClr val="accent2"/>
              </a:solidFill>
              <a:round/>
            </a:ln>
            <a:effectLst/>
          </c:spPr>
          <c:marker>
            <c:symbol val="none"/>
          </c:marker>
          <c:cat>
            <c:numRef>
              <c:f>SA!$AB$15:$AD$15</c:f>
              <c:numCache>
                <c:formatCode>General</c:formatCode>
                <c:ptCount val="3"/>
                <c:pt idx="0">
                  <c:v>16</c:v>
                </c:pt>
                <c:pt idx="1">
                  <c:v>18</c:v>
                </c:pt>
                <c:pt idx="2">
                  <c:v>20</c:v>
                </c:pt>
              </c:numCache>
            </c:numRef>
          </c:cat>
          <c:val>
            <c:numRef>
              <c:f>SA!$AB$17:$AD$17</c:f>
              <c:numCache>
                <c:formatCode>0.000000</c:formatCode>
                <c:ptCount val="3"/>
                <c:pt idx="0">
                  <c:v>2.9529100529100529</c:v>
                </c:pt>
                <c:pt idx="1">
                  <c:v>1.8064327485380121</c:v>
                </c:pt>
                <c:pt idx="2">
                  <c:v>2.3285714285714301</c:v>
                </c:pt>
              </c:numCache>
            </c:numRef>
          </c:val>
          <c:smooth val="0"/>
          <c:extLst>
            <c:ext xmlns:c16="http://schemas.microsoft.com/office/drawing/2014/chart" uri="{C3380CC4-5D6E-409C-BE32-E72D297353CC}">
              <c16:uniqueId val="{00000001-8E53-4859-B5BB-7B9FC946AC9F}"/>
            </c:ext>
          </c:extLst>
        </c:ser>
        <c:ser>
          <c:idx val="2"/>
          <c:order val="2"/>
          <c:tx>
            <c:strRef>
              <c:f>SA!$AA$18</c:f>
              <c:strCache>
                <c:ptCount val="1"/>
                <c:pt idx="0">
                  <c:v>T2</c:v>
                </c:pt>
              </c:strCache>
            </c:strRef>
          </c:tx>
          <c:spPr>
            <a:ln w="28575" cap="rnd">
              <a:solidFill>
                <a:schemeClr val="accent3"/>
              </a:solidFill>
              <a:round/>
            </a:ln>
            <a:effectLst/>
          </c:spPr>
          <c:marker>
            <c:symbol val="none"/>
          </c:marker>
          <c:cat>
            <c:numRef>
              <c:f>SA!$AB$15:$AD$15</c:f>
              <c:numCache>
                <c:formatCode>General</c:formatCode>
                <c:ptCount val="3"/>
                <c:pt idx="0">
                  <c:v>16</c:v>
                </c:pt>
                <c:pt idx="1">
                  <c:v>18</c:v>
                </c:pt>
                <c:pt idx="2">
                  <c:v>20</c:v>
                </c:pt>
              </c:numCache>
            </c:numRef>
          </c:cat>
          <c:val>
            <c:numRef>
              <c:f>SA!$AB$18:$AD$18</c:f>
              <c:numCache>
                <c:formatCode>0.000000</c:formatCode>
                <c:ptCount val="3"/>
                <c:pt idx="0">
                  <c:v>3.439682539682539</c:v>
                </c:pt>
                <c:pt idx="1">
                  <c:v>2.8566137566137568</c:v>
                </c:pt>
                <c:pt idx="2">
                  <c:v>3.2865079365079368</c:v>
                </c:pt>
              </c:numCache>
            </c:numRef>
          </c:val>
          <c:smooth val="0"/>
          <c:extLst>
            <c:ext xmlns:c16="http://schemas.microsoft.com/office/drawing/2014/chart" uri="{C3380CC4-5D6E-409C-BE32-E72D297353CC}">
              <c16:uniqueId val="{00000002-8E53-4859-B5BB-7B9FC946AC9F}"/>
            </c:ext>
          </c:extLst>
        </c:ser>
        <c:ser>
          <c:idx val="3"/>
          <c:order val="3"/>
          <c:tx>
            <c:strRef>
              <c:f>SA!$AA$19</c:f>
              <c:strCache>
                <c:ptCount val="1"/>
                <c:pt idx="0">
                  <c:v>T3</c:v>
                </c:pt>
              </c:strCache>
            </c:strRef>
          </c:tx>
          <c:spPr>
            <a:ln w="28575" cap="rnd">
              <a:solidFill>
                <a:schemeClr val="accent4"/>
              </a:solidFill>
              <a:round/>
            </a:ln>
            <a:effectLst/>
          </c:spPr>
          <c:marker>
            <c:symbol val="none"/>
          </c:marker>
          <c:cat>
            <c:numRef>
              <c:f>SA!$AB$15:$AD$15</c:f>
              <c:numCache>
                <c:formatCode>General</c:formatCode>
                <c:ptCount val="3"/>
                <c:pt idx="0">
                  <c:v>16</c:v>
                </c:pt>
                <c:pt idx="1">
                  <c:v>18</c:v>
                </c:pt>
                <c:pt idx="2">
                  <c:v>20</c:v>
                </c:pt>
              </c:numCache>
            </c:numRef>
          </c:cat>
          <c:val>
            <c:numRef>
              <c:f>SA!$AB$19:$AD$19</c:f>
              <c:numCache>
                <c:formatCode>0.000000</c:formatCode>
                <c:ptCount val="3"/>
                <c:pt idx="0">
                  <c:v>2.4733333333333332</c:v>
                </c:pt>
                <c:pt idx="1">
                  <c:v>3.030932400932401</c:v>
                </c:pt>
                <c:pt idx="2">
                  <c:v>2.6289285714285722</c:v>
                </c:pt>
              </c:numCache>
            </c:numRef>
          </c:val>
          <c:smooth val="0"/>
          <c:extLst>
            <c:ext xmlns:c16="http://schemas.microsoft.com/office/drawing/2014/chart" uri="{C3380CC4-5D6E-409C-BE32-E72D297353CC}">
              <c16:uniqueId val="{00000003-8E53-4859-B5BB-7B9FC946AC9F}"/>
            </c:ext>
          </c:extLst>
        </c:ser>
        <c:ser>
          <c:idx val="4"/>
          <c:order val="4"/>
          <c:tx>
            <c:strRef>
              <c:f>SA!$AA$20</c:f>
              <c:strCache>
                <c:ptCount val="1"/>
                <c:pt idx="0">
                  <c:v>T4</c:v>
                </c:pt>
              </c:strCache>
            </c:strRef>
          </c:tx>
          <c:spPr>
            <a:ln w="28575" cap="rnd">
              <a:solidFill>
                <a:schemeClr val="accent5"/>
              </a:solidFill>
              <a:round/>
            </a:ln>
            <a:effectLst/>
          </c:spPr>
          <c:marker>
            <c:symbol val="none"/>
          </c:marker>
          <c:cat>
            <c:numRef>
              <c:f>SA!$AB$15:$AD$15</c:f>
              <c:numCache>
                <c:formatCode>General</c:formatCode>
                <c:ptCount val="3"/>
                <c:pt idx="0">
                  <c:v>16</c:v>
                </c:pt>
                <c:pt idx="1">
                  <c:v>18</c:v>
                </c:pt>
                <c:pt idx="2">
                  <c:v>20</c:v>
                </c:pt>
              </c:numCache>
            </c:numRef>
          </c:cat>
          <c:val>
            <c:numRef>
              <c:f>SA!$AB$20:$AD$20</c:f>
              <c:numCache>
                <c:formatCode>0.000000</c:formatCode>
                <c:ptCount val="3"/>
                <c:pt idx="0">
                  <c:v>2.5642857142857141</c:v>
                </c:pt>
                <c:pt idx="1">
                  <c:v>2.6418674136321192</c:v>
                </c:pt>
                <c:pt idx="2">
                  <c:v>2.0579365079365082</c:v>
                </c:pt>
              </c:numCache>
            </c:numRef>
          </c:val>
          <c:smooth val="0"/>
          <c:extLst>
            <c:ext xmlns:c16="http://schemas.microsoft.com/office/drawing/2014/chart" uri="{C3380CC4-5D6E-409C-BE32-E72D297353CC}">
              <c16:uniqueId val="{00000004-8E53-4859-B5BB-7B9FC946AC9F}"/>
            </c:ext>
          </c:extLst>
        </c:ser>
        <c:ser>
          <c:idx val="5"/>
          <c:order val="5"/>
          <c:tx>
            <c:strRef>
              <c:f>SA!$AA$21</c:f>
              <c:strCache>
                <c:ptCount val="1"/>
                <c:pt idx="0">
                  <c:v>T5</c:v>
                </c:pt>
              </c:strCache>
            </c:strRef>
          </c:tx>
          <c:spPr>
            <a:ln w="28575" cap="rnd">
              <a:solidFill>
                <a:schemeClr val="accent6"/>
              </a:solidFill>
              <a:round/>
            </a:ln>
            <a:effectLst/>
          </c:spPr>
          <c:marker>
            <c:symbol val="none"/>
          </c:marker>
          <c:cat>
            <c:numRef>
              <c:f>SA!$AB$15:$AD$15</c:f>
              <c:numCache>
                <c:formatCode>General</c:formatCode>
                <c:ptCount val="3"/>
                <c:pt idx="0">
                  <c:v>16</c:v>
                </c:pt>
                <c:pt idx="1">
                  <c:v>18</c:v>
                </c:pt>
                <c:pt idx="2">
                  <c:v>20</c:v>
                </c:pt>
              </c:numCache>
            </c:numRef>
          </c:cat>
          <c:val>
            <c:numRef>
              <c:f>SA!$AB$21:$AD$21</c:f>
              <c:numCache>
                <c:formatCode>0.000000</c:formatCode>
                <c:ptCount val="3"/>
                <c:pt idx="0">
                  <c:v>2.3518518518518512</c:v>
                </c:pt>
                <c:pt idx="1">
                  <c:v>2.3745474798106372</c:v>
                </c:pt>
                <c:pt idx="2">
                  <c:v>2.9279914529914541</c:v>
                </c:pt>
              </c:numCache>
            </c:numRef>
          </c:val>
          <c:smooth val="0"/>
          <c:extLst>
            <c:ext xmlns:c16="http://schemas.microsoft.com/office/drawing/2014/chart" uri="{C3380CC4-5D6E-409C-BE32-E72D297353CC}">
              <c16:uniqueId val="{00000005-8E53-4859-B5BB-7B9FC946AC9F}"/>
            </c:ext>
          </c:extLst>
        </c:ser>
        <c:dLbls>
          <c:showLegendKey val="0"/>
          <c:showVal val="0"/>
          <c:showCatName val="0"/>
          <c:showSerName val="0"/>
          <c:showPercent val="0"/>
          <c:showBubbleSize val="0"/>
        </c:dLbls>
        <c:smooth val="0"/>
        <c:axId val="-1533173968"/>
        <c:axId val="-1533172336"/>
      </c:lineChart>
      <c:catAx>
        <c:axId val="-153317396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a:t>Time (days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5875" cap="flat" cmpd="sng" algn="ctr">
            <a:solidFill>
              <a:srgbClr val="002060"/>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533172336"/>
        <c:crosses val="autoZero"/>
        <c:auto val="1"/>
        <c:lblAlgn val="ctr"/>
        <c:lblOffset val="100"/>
        <c:noMultiLvlLbl val="0"/>
      </c:catAx>
      <c:valAx>
        <c:axId val="-1533172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a:t>Sugar-</a:t>
                </a:r>
                <a:r>
                  <a:rPr lang="fr-FR" sz="1100" baseline="0"/>
                  <a:t> to-</a:t>
                </a:r>
                <a:r>
                  <a:rPr lang="fr-FR" sz="1100"/>
                  <a:t>acid ratio</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w="15875">
            <a:solidFill>
              <a:srgbClr val="002060"/>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533173968"/>
        <c:crosses val="autoZero"/>
        <c:crossBetween val="midCat"/>
      </c:valAx>
      <c:spPr>
        <a:noFill/>
        <a:ln>
          <a:noFill/>
        </a:ln>
        <a:effectLst/>
      </c:spPr>
    </c:plotArea>
    <c:legend>
      <c:legendPos val="r"/>
      <c:layout>
        <c:manualLayout>
          <c:xMode val="edge"/>
          <c:yMode val="edge"/>
          <c:x val="0.87077777777777798"/>
          <c:y val="0.24039260717410299"/>
          <c:w val="0.11255555555555601"/>
          <c:h val="0.57939997083697903"/>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3379</TotalTime>
  <Pages>18</Pages>
  <Words>5292</Words>
  <Characters>30169</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Bossombra ANGUIBY</dc:creator>
  <cp:keywords/>
  <dc:description/>
  <cp:lastModifiedBy>SDI CPU 1130</cp:lastModifiedBy>
  <cp:revision>49</cp:revision>
  <dcterms:created xsi:type="dcterms:W3CDTF">2024-12-07T20:15:00Z</dcterms:created>
  <dcterms:modified xsi:type="dcterms:W3CDTF">2025-04-22T04:31:00Z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a6b649b38abfebed8ac7373e8f79295a27cada4f5067785ddc1073dd2fb775cd</vt:lpwstr>
  </property>
</Properties>
</file>