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787" w:rsidRPr="006669E2" w:rsidRDefault="008B178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8B1787" w:rsidRPr="006669E2" w:rsidTr="007A46E6">
        <w:trPr>
          <w:trHeight w:val="290"/>
        </w:trPr>
        <w:tc>
          <w:tcPr>
            <w:tcW w:w="5194" w:type="dxa"/>
          </w:tcPr>
          <w:p w:rsidR="008B1787" w:rsidRPr="006669E2" w:rsidRDefault="00D664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Journal</w:t>
            </w:r>
            <w:r w:rsidRPr="006669E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856" w:type="dxa"/>
          </w:tcPr>
          <w:p w:rsidR="008B1787" w:rsidRPr="006669E2" w:rsidRDefault="00C55F0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European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Nutrition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Food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D664D6" w:rsidRPr="006669E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Safety</w:t>
              </w:r>
            </w:hyperlink>
          </w:p>
        </w:tc>
      </w:tr>
      <w:tr w:rsidR="008B1787" w:rsidRPr="006669E2" w:rsidTr="007A46E6">
        <w:trPr>
          <w:trHeight w:val="290"/>
        </w:trPr>
        <w:tc>
          <w:tcPr>
            <w:tcW w:w="5194" w:type="dxa"/>
          </w:tcPr>
          <w:p w:rsidR="008B1787" w:rsidRPr="006669E2" w:rsidRDefault="00D664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Manuscript</w:t>
            </w:r>
            <w:r w:rsidRPr="006669E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8B1787" w:rsidRPr="006669E2" w:rsidRDefault="00D664D6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Ms_EJNFS_138220</w:t>
            </w:r>
          </w:p>
        </w:tc>
      </w:tr>
      <w:tr w:rsidR="008B1787" w:rsidRPr="006669E2" w:rsidTr="007A46E6">
        <w:trPr>
          <w:trHeight w:val="650"/>
        </w:trPr>
        <w:tc>
          <w:tcPr>
            <w:tcW w:w="5194" w:type="dxa"/>
          </w:tcPr>
          <w:p w:rsidR="008B1787" w:rsidRPr="006669E2" w:rsidRDefault="00D664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Title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8B1787" w:rsidRPr="006669E2" w:rsidRDefault="00D664D6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Standardization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Process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Multi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Millets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Instant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Halwa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(A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sweet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dish)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66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8B1787" w:rsidRPr="006669E2" w:rsidTr="007A46E6">
        <w:trPr>
          <w:trHeight w:val="333"/>
        </w:trPr>
        <w:tc>
          <w:tcPr>
            <w:tcW w:w="5194" w:type="dxa"/>
          </w:tcPr>
          <w:p w:rsidR="008B1787" w:rsidRPr="006669E2" w:rsidRDefault="00D664D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Type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8B1787" w:rsidRPr="006669E2" w:rsidRDefault="00D664D6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669E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7A46E6" w:rsidRPr="006669E2" w:rsidTr="007A46E6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7A46E6" w:rsidRPr="006669E2" w:rsidRDefault="007A46E6" w:rsidP="007A46E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669E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669E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7A46E6" w:rsidRPr="006669E2" w:rsidTr="007A46E6">
        <w:trPr>
          <w:trHeight w:val="964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669E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7A46E6" w:rsidRPr="006669E2" w:rsidRDefault="007A46E6" w:rsidP="007A46E6">
            <w:pPr>
              <w:pStyle w:val="TableParagraph"/>
              <w:ind w:left="108"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669E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669E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669E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669E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669E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669E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669E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(It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mandatory</w:t>
            </w:r>
            <w:r w:rsidRPr="006669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that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authors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should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write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A46E6" w:rsidRPr="006669E2" w:rsidTr="007A46E6">
        <w:trPr>
          <w:trHeight w:val="2071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ind w:left="108"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Millets often known as ‘Nutri-cereals’, have gained global interest due to nutraceutical and pharmacological potential. Multi-millet Halwa mix is rich in dietary </w:t>
            </w:r>
            <w:proofErr w:type="spell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fibres</w:t>
            </w:r>
            <w:proofErr w:type="spellEnd"/>
            <w:r w:rsidRPr="006669E2">
              <w:rPr>
                <w:rFonts w:ascii="Arial" w:hAnsi="Arial" w:cs="Arial"/>
                <w:b/>
                <w:sz w:val="20"/>
                <w:szCs w:val="20"/>
              </w:rPr>
              <w:t>, essential nutrients, antioxidants,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proteins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vitamins. Due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to low glycemic index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gluten-free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nature, it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safe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celiac patients. Being a good source of Ca, it restores optimum bone density and strengthen bones. Negligible levels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cholesterol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supports heart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wellness.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amount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vitamin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vitamin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E boosts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immune,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skin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hair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health.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proofErr w:type="gramEnd"/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 significant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calories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unsaturated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fats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make this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Indian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recipe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superfood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obtain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mental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 physical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benefits.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Thus</w:t>
            </w:r>
            <w:proofErr w:type="gramEnd"/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standardization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 its preparation process and its quality evaluation will definitely add to the existing knowledge and</w:t>
            </w:r>
          </w:p>
          <w:p w:rsidR="007A46E6" w:rsidRPr="006669E2" w:rsidRDefault="007A46E6" w:rsidP="007A46E6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contribute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community.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E6" w:rsidRPr="006669E2" w:rsidTr="007A46E6">
        <w:trPr>
          <w:trHeight w:val="1262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A46E6" w:rsidRPr="006669E2" w:rsidRDefault="007A46E6" w:rsidP="007A46E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E6" w:rsidRPr="006669E2" w:rsidTr="007A46E6">
        <w:trPr>
          <w:trHeight w:val="1261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accurate.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outlines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methods, key findings and significance of the work. Limitations and future perspectives are missing.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E6" w:rsidRPr="006669E2" w:rsidTr="007A46E6">
        <w:trPr>
          <w:trHeight w:val="3451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66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ind w:left="108" w:right="176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Manuscript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correct.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relevance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to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topic.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Overall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organization of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text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appropriate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but it needs improvement in the following sections: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right="505" w:firstLine="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Gramineae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now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considered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obsolete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by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most botanists.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preferred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name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 ‘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Poaceae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>’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 xml:space="preserve">modern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classification.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3"/>
              </w:numPr>
              <w:tabs>
                <w:tab w:val="left" w:pos="440"/>
              </w:tabs>
              <w:ind w:right="5622" w:firstLine="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Botanical names are not in Italic. (3</w:t>
            </w:r>
            <w:proofErr w:type="gramStart"/>
            <w:r w:rsidRPr="006669E2">
              <w:rPr>
                <w:rFonts w:ascii="Arial" w:hAnsi="Arial" w:cs="Arial"/>
                <w:sz w:val="20"/>
                <w:szCs w:val="20"/>
              </w:rPr>
              <w:t>).Correction</w:t>
            </w:r>
            <w:proofErr w:type="gramEnd"/>
            <w:r w:rsidRPr="00666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Table</w:t>
            </w:r>
            <w:r w:rsidRPr="00666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numbering</w:t>
            </w:r>
            <w:r w:rsidRPr="00666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needed.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right="658" w:firstLine="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Incorporation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most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important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recent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research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field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 xml:space="preserve">lacking. </w:t>
            </w:r>
            <w:proofErr w:type="gramStart"/>
            <w:r w:rsidRPr="006669E2">
              <w:rPr>
                <w:rFonts w:ascii="Arial" w:hAnsi="Arial" w:cs="Arial"/>
                <w:sz w:val="20"/>
                <w:szCs w:val="20"/>
              </w:rPr>
              <w:t>Thus</w:t>
            </w:r>
            <w:proofErr w:type="gramEnd"/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add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latest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findings.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right="367" w:firstLine="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Mention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briefly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mechanism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action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bioactive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compounds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(polyphenols,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flavonoids,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etc.) of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 selected millets to justify their pharmacological activities.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2"/>
              </w:numPr>
              <w:tabs>
                <w:tab w:val="left" w:pos="439"/>
              </w:tabs>
              <w:ind w:right="575" w:firstLine="0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Provide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adequate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justification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for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obtained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results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by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citing both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supporting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contrasting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findings (through ROL) in the discussion section.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3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Discuss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anti-nutritional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factors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adverse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effects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millets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used.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2"/>
              </w:numPr>
              <w:tabs>
                <w:tab w:val="left" w:pos="440"/>
              </w:tabs>
              <w:ind w:left="440" w:hanging="332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Provide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promising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avenues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for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future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field.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6E6" w:rsidRPr="006669E2" w:rsidTr="007A46E6">
        <w:trPr>
          <w:trHeight w:val="3218"/>
        </w:trPr>
        <w:tc>
          <w:tcPr>
            <w:tcW w:w="5352" w:type="dxa"/>
          </w:tcPr>
          <w:p w:rsidR="007A46E6" w:rsidRPr="006669E2" w:rsidRDefault="007A46E6" w:rsidP="007A46E6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7A46E6" w:rsidRPr="006669E2" w:rsidRDefault="007A46E6" w:rsidP="007A46E6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Citation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accurate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adhere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to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journal’s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style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guidelines.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Cited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references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 relevant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to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topic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but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 not sufficient. Some recent and appropriate references are to be added such as: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31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Millets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nutraceutical,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combines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nutritional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pharmaceutical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potential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(Joshi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al.,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2025;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 xml:space="preserve">Awasthi et al., 2025; 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Sahu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 xml:space="preserve"> et al., 2025).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77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2.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They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super-grains</w:t>
            </w:r>
            <w:r w:rsidRPr="006669E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for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healthy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food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product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(Anal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al.,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20240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can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be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used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 xml:space="preserve">an ingredient for products that are nutrient rich, climate 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resilence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>, sustainable, and health promoting (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Mohanan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 xml:space="preserve"> et al., 2025; Kumar et al., 2024).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Nutritional,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phytochemical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functional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potential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pearl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millets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Tanwar</w:t>
            </w:r>
            <w:proofErr w:type="spellEnd"/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al.,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2025);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finger millets (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Sowunmi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 xml:space="preserve"> et al.,2025); foxtail (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Gunalan</w:t>
            </w:r>
            <w:proofErr w:type="spellEnd"/>
            <w:r w:rsidRPr="006669E2">
              <w:rPr>
                <w:rFonts w:ascii="Arial" w:hAnsi="Arial" w:cs="Arial"/>
                <w:sz w:val="20"/>
                <w:szCs w:val="20"/>
              </w:rPr>
              <w:t xml:space="preserve"> et al., 2025); Great millet (sorghum</w:t>
            </w:r>
            <w:proofErr w:type="gramStart"/>
            <w:r w:rsidRPr="006669E2">
              <w:rPr>
                <w:rFonts w:ascii="Arial" w:hAnsi="Arial" w:cs="Arial"/>
                <w:sz w:val="20"/>
                <w:szCs w:val="20"/>
              </w:rPr>
              <w:t>)(</w:t>
            </w:r>
            <w:proofErr w:type="gramEnd"/>
            <w:r w:rsidRPr="006669E2">
              <w:rPr>
                <w:rFonts w:ascii="Arial" w:hAnsi="Arial" w:cs="Arial"/>
                <w:sz w:val="20"/>
                <w:szCs w:val="20"/>
              </w:rPr>
              <w:t>Chaudhary et al., 2024; Rather et al., 2023).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Key mechanisms through which millets can control diabetes (Kumar et al., 2025), exert anticancer activity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(Khan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Khan,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2025;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Mani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Verma,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2025),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combat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obesity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(Lakhani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al.,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2024)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other like gastro-protective, immunomodulatory, neuroprotective, anti-inflammatory, hypolipidemic activity.</w:t>
            </w:r>
          </w:p>
          <w:p w:rsidR="007A46E6" w:rsidRPr="006669E2" w:rsidRDefault="007A46E6" w:rsidP="007A46E6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Anti-nutritional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factors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millets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their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adverse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effects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in</w:t>
            </w:r>
            <w:r w:rsidRPr="006669E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human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health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6669E2">
              <w:rPr>
                <w:rFonts w:ascii="Arial" w:hAnsi="Arial" w:cs="Arial"/>
                <w:sz w:val="20"/>
                <w:szCs w:val="20"/>
              </w:rPr>
              <w:t>Bakshi</w:t>
            </w:r>
            <w:proofErr w:type="spellEnd"/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et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al.,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2025)</w:t>
            </w:r>
          </w:p>
        </w:tc>
        <w:tc>
          <w:tcPr>
            <w:tcW w:w="6445" w:type="dxa"/>
          </w:tcPr>
          <w:p w:rsidR="007A46E6" w:rsidRPr="006669E2" w:rsidRDefault="007A46E6" w:rsidP="007A46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787" w:rsidRPr="006669E2" w:rsidRDefault="008B1787">
      <w:pPr>
        <w:rPr>
          <w:rFonts w:ascii="Arial" w:hAnsi="Arial" w:cs="Arial"/>
          <w:sz w:val="20"/>
          <w:szCs w:val="20"/>
        </w:rPr>
      </w:pPr>
    </w:p>
    <w:p w:rsidR="006669E2" w:rsidRPr="006669E2" w:rsidRDefault="006669E2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669E2" w:rsidRPr="006669E2" w:rsidTr="006669E2">
        <w:trPr>
          <w:trHeight w:val="690"/>
        </w:trPr>
        <w:tc>
          <w:tcPr>
            <w:tcW w:w="5352" w:type="dxa"/>
          </w:tcPr>
          <w:p w:rsidR="006669E2" w:rsidRPr="006669E2" w:rsidRDefault="006669E2" w:rsidP="006669E2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669E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669E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669E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669E2" w:rsidRPr="006669E2" w:rsidRDefault="006669E2" w:rsidP="006669E2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sz w:val="20"/>
                <w:szCs w:val="20"/>
              </w:rPr>
              <w:t>Language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revision</w:t>
            </w:r>
            <w:r w:rsidRPr="00666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minor</w:t>
            </w:r>
            <w:r w:rsidRPr="006669E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grammatical</w:t>
            </w:r>
            <w:r w:rsidRPr="006669E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corrections</w:t>
            </w:r>
            <w:r w:rsidRPr="006669E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z w:val="20"/>
                <w:szCs w:val="20"/>
              </w:rPr>
              <w:t>are</w:t>
            </w:r>
            <w:r w:rsidRPr="006669E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5" w:type="dxa"/>
          </w:tcPr>
          <w:p w:rsidR="006669E2" w:rsidRPr="006669E2" w:rsidRDefault="006669E2" w:rsidP="006669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9E2" w:rsidRPr="006669E2" w:rsidTr="006669E2">
        <w:trPr>
          <w:trHeight w:val="1178"/>
        </w:trPr>
        <w:tc>
          <w:tcPr>
            <w:tcW w:w="5352" w:type="dxa"/>
          </w:tcPr>
          <w:p w:rsidR="006669E2" w:rsidRPr="006669E2" w:rsidRDefault="006669E2" w:rsidP="006669E2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6669E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669E2" w:rsidRPr="006669E2" w:rsidRDefault="006669E2" w:rsidP="006669E2">
            <w:pPr>
              <w:pStyle w:val="TableParagraph"/>
              <w:ind w:left="108" w:right="176"/>
              <w:rPr>
                <w:rFonts w:ascii="Arial" w:hAnsi="Arial" w:cs="Arial"/>
                <w:b/>
                <w:sz w:val="20"/>
                <w:szCs w:val="20"/>
              </w:rPr>
            </w:pP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6669E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interesting.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summarises</w:t>
            </w:r>
            <w:proofErr w:type="spellEnd"/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669E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author/s</w:t>
            </w:r>
            <w:r w:rsidRPr="006669E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key</w:t>
            </w:r>
            <w:r w:rsidRPr="006669E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669E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credibility of the study. Statistical analysis and its interpretation </w:t>
            </w:r>
            <w:proofErr w:type="gram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 appropriate. Conclusions drawn are well supported by the results presented in the tables and are clear enough to accurately assess the work. </w:t>
            </w:r>
            <w:proofErr w:type="gramStart"/>
            <w:r w:rsidRPr="006669E2">
              <w:rPr>
                <w:rFonts w:ascii="Arial" w:hAnsi="Arial" w:cs="Arial"/>
                <w:b/>
                <w:sz w:val="20"/>
                <w:szCs w:val="20"/>
              </w:rPr>
              <w:t>Thus</w:t>
            </w:r>
            <w:proofErr w:type="gramEnd"/>
            <w:r w:rsidRPr="006669E2">
              <w:rPr>
                <w:rFonts w:ascii="Arial" w:hAnsi="Arial" w:cs="Arial"/>
                <w:b/>
                <w:sz w:val="20"/>
                <w:szCs w:val="20"/>
              </w:rPr>
              <w:t xml:space="preserve"> little improvement is required in the above mentioned sections to update the manuscript.</w:t>
            </w:r>
          </w:p>
        </w:tc>
        <w:tc>
          <w:tcPr>
            <w:tcW w:w="6445" w:type="dxa"/>
          </w:tcPr>
          <w:p w:rsidR="006669E2" w:rsidRPr="006669E2" w:rsidRDefault="006669E2" w:rsidP="006669E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69E2" w:rsidRPr="006669E2" w:rsidRDefault="006669E2">
      <w:pPr>
        <w:rPr>
          <w:rFonts w:ascii="Arial" w:hAnsi="Arial" w:cs="Arial"/>
          <w:sz w:val="20"/>
          <w:szCs w:val="20"/>
        </w:rPr>
      </w:pPr>
    </w:p>
    <w:p w:rsidR="007A46E6" w:rsidRPr="006669E2" w:rsidRDefault="007A46E6">
      <w:pPr>
        <w:rPr>
          <w:rFonts w:ascii="Arial" w:hAnsi="Arial" w:cs="Arial"/>
          <w:sz w:val="20"/>
          <w:szCs w:val="20"/>
        </w:rPr>
      </w:pPr>
    </w:p>
    <w:p w:rsidR="006669E2" w:rsidRPr="006669E2" w:rsidRDefault="006669E2">
      <w:pPr>
        <w:rPr>
          <w:rFonts w:ascii="Arial" w:hAnsi="Arial" w:cs="Arial"/>
          <w:sz w:val="20"/>
          <w:szCs w:val="20"/>
        </w:rPr>
      </w:pPr>
    </w:p>
    <w:p w:rsidR="006669E2" w:rsidRPr="006669E2" w:rsidRDefault="006669E2">
      <w:pPr>
        <w:rPr>
          <w:rFonts w:ascii="Arial" w:hAnsi="Arial" w:cs="Arial"/>
          <w:sz w:val="20"/>
          <w:szCs w:val="20"/>
        </w:rPr>
        <w:sectPr w:rsidR="006669E2" w:rsidRPr="006669E2">
          <w:headerReference w:type="default" r:id="rId8"/>
          <w:footerReference w:type="default" r:id="rId9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</w:p>
    <w:tbl>
      <w:tblPr>
        <w:tblpPr w:leftFromText="180" w:rightFromText="180" w:vertAnchor="text" w:horzAnchor="margin" w:tblpY="-3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6C46EB" w:rsidRPr="006669E2" w:rsidTr="006C46E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6669E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669E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C46EB" w:rsidRPr="006669E2" w:rsidTr="006C46E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46EB" w:rsidRPr="006669E2" w:rsidRDefault="006C46EB" w:rsidP="006C46E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669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46EB" w:rsidRPr="006669E2" w:rsidRDefault="006C46EB" w:rsidP="006C46EB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669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669E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669E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C46EB" w:rsidRPr="006669E2" w:rsidTr="006C46E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669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669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669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669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C46EB" w:rsidRPr="006669E2" w:rsidRDefault="006C46EB" w:rsidP="006C46EB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7A46E6" w:rsidRPr="006669E2" w:rsidRDefault="007A46E6" w:rsidP="007A46E6">
      <w:pPr>
        <w:pStyle w:val="TableParagraph"/>
        <w:ind w:left="0"/>
        <w:rPr>
          <w:rFonts w:ascii="Arial" w:hAnsi="Arial" w:cs="Arial"/>
          <w:sz w:val="20"/>
          <w:szCs w:val="20"/>
        </w:rPr>
      </w:pPr>
    </w:p>
    <w:p w:rsidR="006669E2" w:rsidRPr="006669E2" w:rsidRDefault="006669E2" w:rsidP="007A46E6">
      <w:pPr>
        <w:pStyle w:val="TableParagraph"/>
        <w:ind w:left="0"/>
        <w:rPr>
          <w:rFonts w:ascii="Arial" w:hAnsi="Arial" w:cs="Arial"/>
          <w:sz w:val="20"/>
          <w:szCs w:val="20"/>
        </w:rPr>
      </w:pPr>
    </w:p>
    <w:p w:rsidR="006669E2" w:rsidRPr="006669E2" w:rsidRDefault="006669E2" w:rsidP="006669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669E2">
        <w:rPr>
          <w:rFonts w:ascii="Arial" w:hAnsi="Arial" w:cs="Arial"/>
          <w:b/>
          <w:u w:val="single"/>
        </w:rPr>
        <w:t>Reviewer details:</w:t>
      </w:r>
    </w:p>
    <w:p w:rsidR="006669E2" w:rsidRPr="006669E2" w:rsidRDefault="006669E2" w:rsidP="007A46E6">
      <w:pPr>
        <w:pStyle w:val="TableParagraph"/>
        <w:ind w:left="0"/>
        <w:rPr>
          <w:rFonts w:ascii="Arial" w:hAnsi="Arial" w:cs="Arial"/>
          <w:sz w:val="20"/>
          <w:szCs w:val="20"/>
        </w:rPr>
      </w:pPr>
    </w:p>
    <w:p w:rsidR="006669E2" w:rsidRPr="006669E2" w:rsidRDefault="006669E2" w:rsidP="007A46E6">
      <w:pPr>
        <w:pStyle w:val="TableParagraph"/>
        <w:ind w:left="0"/>
        <w:rPr>
          <w:rFonts w:ascii="Arial" w:hAnsi="Arial" w:cs="Arial"/>
          <w:sz w:val="20"/>
          <w:szCs w:val="20"/>
        </w:rPr>
      </w:pPr>
    </w:p>
    <w:p w:rsidR="006669E2" w:rsidRPr="006669E2" w:rsidRDefault="006669E2" w:rsidP="007A46E6">
      <w:pPr>
        <w:pStyle w:val="TableParagraph"/>
        <w:ind w:left="0"/>
        <w:rPr>
          <w:rFonts w:ascii="Arial" w:hAnsi="Arial" w:cs="Arial"/>
          <w:b/>
          <w:sz w:val="20"/>
          <w:szCs w:val="20"/>
        </w:rPr>
        <w:sectPr w:rsidR="006669E2" w:rsidRPr="006669E2">
          <w:pgSz w:w="23820" w:h="16840" w:orient="landscape"/>
          <w:pgMar w:top="1820" w:right="1275" w:bottom="1682" w:left="1275" w:header="1280" w:footer="699" w:gutter="0"/>
          <w:cols w:space="720"/>
        </w:sectPr>
      </w:pPr>
      <w:bookmarkStart w:id="2" w:name="_Hlk201144284"/>
      <w:bookmarkStart w:id="3" w:name="_GoBack"/>
      <w:r w:rsidRPr="006669E2">
        <w:rPr>
          <w:rFonts w:ascii="Arial" w:hAnsi="Arial" w:cs="Arial"/>
          <w:b/>
          <w:color w:val="000000"/>
          <w:sz w:val="20"/>
          <w:szCs w:val="20"/>
        </w:rPr>
        <w:t>Sunita Jain</w:t>
      </w:r>
      <w:r w:rsidRPr="006669E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6669E2">
        <w:rPr>
          <w:rFonts w:ascii="Arial" w:hAnsi="Arial" w:cs="Arial"/>
          <w:b/>
          <w:color w:val="000000"/>
          <w:sz w:val="20"/>
          <w:szCs w:val="20"/>
        </w:rPr>
        <w:t>Bhupal</w:t>
      </w:r>
      <w:proofErr w:type="spellEnd"/>
      <w:r w:rsidRPr="006669E2">
        <w:rPr>
          <w:rFonts w:ascii="Arial" w:hAnsi="Arial" w:cs="Arial"/>
          <w:b/>
          <w:color w:val="000000"/>
          <w:sz w:val="20"/>
          <w:szCs w:val="20"/>
        </w:rPr>
        <w:t xml:space="preserve"> Nobles’ University</w:t>
      </w:r>
      <w:r w:rsidRPr="006669E2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6669E2">
        <w:rPr>
          <w:rFonts w:ascii="Arial" w:hAnsi="Arial" w:cs="Arial"/>
          <w:b/>
          <w:color w:val="000000"/>
          <w:sz w:val="20"/>
          <w:szCs w:val="20"/>
        </w:rPr>
        <w:t>India</w:t>
      </w:r>
    </w:p>
    <w:bookmarkEnd w:id="2"/>
    <w:bookmarkEnd w:id="3"/>
    <w:p w:rsidR="008B1787" w:rsidRPr="006669E2" w:rsidRDefault="008B1787" w:rsidP="00934A40">
      <w:pPr>
        <w:spacing w:before="14"/>
        <w:rPr>
          <w:rFonts w:ascii="Arial" w:hAnsi="Arial" w:cs="Arial"/>
          <w:sz w:val="20"/>
          <w:szCs w:val="20"/>
        </w:rPr>
      </w:pPr>
    </w:p>
    <w:sectPr w:rsidR="008B1787" w:rsidRPr="006669E2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F0F" w:rsidRDefault="00C55F0F">
      <w:r>
        <w:separator/>
      </w:r>
    </w:p>
  </w:endnote>
  <w:endnote w:type="continuationSeparator" w:id="0">
    <w:p w:rsidR="00C55F0F" w:rsidRDefault="00C5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787" w:rsidRDefault="00D664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787" w:rsidRDefault="00D664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8B1787" w:rsidRDefault="00D664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787" w:rsidRDefault="00D664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8B1787" w:rsidRDefault="00D664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787" w:rsidRDefault="00D664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8B1787" w:rsidRDefault="00D664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787" w:rsidRDefault="00D664D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8B1787" w:rsidRDefault="00D664D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F0F" w:rsidRDefault="00C55F0F">
      <w:r>
        <w:separator/>
      </w:r>
    </w:p>
  </w:footnote>
  <w:footnote w:type="continuationSeparator" w:id="0">
    <w:p w:rsidR="00C55F0F" w:rsidRDefault="00C5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1787" w:rsidRDefault="00D664D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1787" w:rsidRDefault="00D664D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8B1787" w:rsidRDefault="00D664D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A3212"/>
    <w:multiLevelType w:val="hybridMultilevel"/>
    <w:tmpl w:val="2E862EA8"/>
    <w:lvl w:ilvl="0" w:tplc="4FAA86A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F2A3E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F9EAE9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41E4EDC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506325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D84A7D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7D826D6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B58AFFC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43BCFD8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6D4D28"/>
    <w:multiLevelType w:val="hybridMultilevel"/>
    <w:tmpl w:val="646269CA"/>
    <w:lvl w:ilvl="0" w:tplc="F8DA75DC">
      <w:start w:val="1"/>
      <w:numFmt w:val="decimal"/>
      <w:lvlText w:val="(%1)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B4A73BE">
      <w:numFmt w:val="bullet"/>
      <w:lvlText w:val="•"/>
      <w:lvlJc w:val="left"/>
      <w:pPr>
        <w:ind w:left="1024" w:hanging="335"/>
      </w:pPr>
      <w:rPr>
        <w:rFonts w:hint="default"/>
        <w:lang w:val="en-US" w:eastAsia="en-US" w:bidi="ar-SA"/>
      </w:rPr>
    </w:lvl>
    <w:lvl w:ilvl="2" w:tplc="99B2F24E">
      <w:numFmt w:val="bullet"/>
      <w:lvlText w:val="•"/>
      <w:lvlJc w:val="left"/>
      <w:pPr>
        <w:ind w:left="1949" w:hanging="335"/>
      </w:pPr>
      <w:rPr>
        <w:rFonts w:hint="default"/>
        <w:lang w:val="en-US" w:eastAsia="en-US" w:bidi="ar-SA"/>
      </w:rPr>
    </w:lvl>
    <w:lvl w:ilvl="3" w:tplc="62282C7A">
      <w:numFmt w:val="bullet"/>
      <w:lvlText w:val="•"/>
      <w:lvlJc w:val="left"/>
      <w:pPr>
        <w:ind w:left="2873" w:hanging="335"/>
      </w:pPr>
      <w:rPr>
        <w:rFonts w:hint="default"/>
        <w:lang w:val="en-US" w:eastAsia="en-US" w:bidi="ar-SA"/>
      </w:rPr>
    </w:lvl>
    <w:lvl w:ilvl="4" w:tplc="9FD06718">
      <w:numFmt w:val="bullet"/>
      <w:lvlText w:val="•"/>
      <w:lvlJc w:val="left"/>
      <w:pPr>
        <w:ind w:left="3798" w:hanging="335"/>
      </w:pPr>
      <w:rPr>
        <w:rFonts w:hint="default"/>
        <w:lang w:val="en-US" w:eastAsia="en-US" w:bidi="ar-SA"/>
      </w:rPr>
    </w:lvl>
    <w:lvl w:ilvl="5" w:tplc="7D500BE4">
      <w:numFmt w:val="bullet"/>
      <w:lvlText w:val="•"/>
      <w:lvlJc w:val="left"/>
      <w:pPr>
        <w:ind w:left="4723" w:hanging="335"/>
      </w:pPr>
      <w:rPr>
        <w:rFonts w:hint="default"/>
        <w:lang w:val="en-US" w:eastAsia="en-US" w:bidi="ar-SA"/>
      </w:rPr>
    </w:lvl>
    <w:lvl w:ilvl="6" w:tplc="7ADA7086">
      <w:numFmt w:val="bullet"/>
      <w:lvlText w:val="•"/>
      <w:lvlJc w:val="left"/>
      <w:pPr>
        <w:ind w:left="5647" w:hanging="335"/>
      </w:pPr>
      <w:rPr>
        <w:rFonts w:hint="default"/>
        <w:lang w:val="en-US" w:eastAsia="en-US" w:bidi="ar-SA"/>
      </w:rPr>
    </w:lvl>
    <w:lvl w:ilvl="7" w:tplc="60DC430C">
      <w:numFmt w:val="bullet"/>
      <w:lvlText w:val="•"/>
      <w:lvlJc w:val="left"/>
      <w:pPr>
        <w:ind w:left="6572" w:hanging="335"/>
      </w:pPr>
      <w:rPr>
        <w:rFonts w:hint="default"/>
        <w:lang w:val="en-US" w:eastAsia="en-US" w:bidi="ar-SA"/>
      </w:rPr>
    </w:lvl>
    <w:lvl w:ilvl="8" w:tplc="B4C44462">
      <w:numFmt w:val="bullet"/>
      <w:lvlText w:val="•"/>
      <w:lvlJc w:val="left"/>
      <w:pPr>
        <w:ind w:left="7496" w:hanging="335"/>
      </w:pPr>
      <w:rPr>
        <w:rFonts w:hint="default"/>
        <w:lang w:val="en-US" w:eastAsia="en-US" w:bidi="ar-SA"/>
      </w:rPr>
    </w:lvl>
  </w:abstractNum>
  <w:abstractNum w:abstractNumId="2" w15:restartNumberingAfterBreak="0">
    <w:nsid w:val="5E5A7B40"/>
    <w:multiLevelType w:val="hybridMultilevel"/>
    <w:tmpl w:val="300E00BC"/>
    <w:lvl w:ilvl="0" w:tplc="67BAEB78">
      <w:start w:val="4"/>
      <w:numFmt w:val="decimal"/>
      <w:lvlText w:val="(%1)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39ED38A">
      <w:numFmt w:val="bullet"/>
      <w:lvlText w:val="•"/>
      <w:lvlJc w:val="left"/>
      <w:pPr>
        <w:ind w:left="1024" w:hanging="335"/>
      </w:pPr>
      <w:rPr>
        <w:rFonts w:hint="default"/>
        <w:lang w:val="en-US" w:eastAsia="en-US" w:bidi="ar-SA"/>
      </w:rPr>
    </w:lvl>
    <w:lvl w:ilvl="2" w:tplc="02862784">
      <w:numFmt w:val="bullet"/>
      <w:lvlText w:val="•"/>
      <w:lvlJc w:val="left"/>
      <w:pPr>
        <w:ind w:left="1949" w:hanging="335"/>
      </w:pPr>
      <w:rPr>
        <w:rFonts w:hint="default"/>
        <w:lang w:val="en-US" w:eastAsia="en-US" w:bidi="ar-SA"/>
      </w:rPr>
    </w:lvl>
    <w:lvl w:ilvl="3" w:tplc="615C7B82">
      <w:numFmt w:val="bullet"/>
      <w:lvlText w:val="•"/>
      <w:lvlJc w:val="left"/>
      <w:pPr>
        <w:ind w:left="2873" w:hanging="335"/>
      </w:pPr>
      <w:rPr>
        <w:rFonts w:hint="default"/>
        <w:lang w:val="en-US" w:eastAsia="en-US" w:bidi="ar-SA"/>
      </w:rPr>
    </w:lvl>
    <w:lvl w:ilvl="4" w:tplc="A2E25DBC">
      <w:numFmt w:val="bullet"/>
      <w:lvlText w:val="•"/>
      <w:lvlJc w:val="left"/>
      <w:pPr>
        <w:ind w:left="3798" w:hanging="335"/>
      </w:pPr>
      <w:rPr>
        <w:rFonts w:hint="default"/>
        <w:lang w:val="en-US" w:eastAsia="en-US" w:bidi="ar-SA"/>
      </w:rPr>
    </w:lvl>
    <w:lvl w:ilvl="5" w:tplc="7AF6967A">
      <w:numFmt w:val="bullet"/>
      <w:lvlText w:val="•"/>
      <w:lvlJc w:val="left"/>
      <w:pPr>
        <w:ind w:left="4723" w:hanging="335"/>
      </w:pPr>
      <w:rPr>
        <w:rFonts w:hint="default"/>
        <w:lang w:val="en-US" w:eastAsia="en-US" w:bidi="ar-SA"/>
      </w:rPr>
    </w:lvl>
    <w:lvl w:ilvl="6" w:tplc="5A528E7A">
      <w:numFmt w:val="bullet"/>
      <w:lvlText w:val="•"/>
      <w:lvlJc w:val="left"/>
      <w:pPr>
        <w:ind w:left="5647" w:hanging="335"/>
      </w:pPr>
      <w:rPr>
        <w:rFonts w:hint="default"/>
        <w:lang w:val="en-US" w:eastAsia="en-US" w:bidi="ar-SA"/>
      </w:rPr>
    </w:lvl>
    <w:lvl w:ilvl="7" w:tplc="5134C260">
      <w:numFmt w:val="bullet"/>
      <w:lvlText w:val="•"/>
      <w:lvlJc w:val="left"/>
      <w:pPr>
        <w:ind w:left="6572" w:hanging="335"/>
      </w:pPr>
      <w:rPr>
        <w:rFonts w:hint="default"/>
        <w:lang w:val="en-US" w:eastAsia="en-US" w:bidi="ar-SA"/>
      </w:rPr>
    </w:lvl>
    <w:lvl w:ilvl="8" w:tplc="70A4E57C">
      <w:numFmt w:val="bullet"/>
      <w:lvlText w:val="•"/>
      <w:lvlJc w:val="left"/>
      <w:pPr>
        <w:ind w:left="7496" w:hanging="335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787"/>
    <w:rsid w:val="005F4C25"/>
    <w:rsid w:val="006669E2"/>
    <w:rsid w:val="006C46EB"/>
    <w:rsid w:val="007A46E6"/>
    <w:rsid w:val="007D21C6"/>
    <w:rsid w:val="008B1787"/>
    <w:rsid w:val="00934A40"/>
    <w:rsid w:val="00C55F0F"/>
    <w:rsid w:val="00D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2321"/>
  <w15:docId w15:val="{4F6039AF-29C8-42D1-8840-6721FBC7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F4C25"/>
    <w:rPr>
      <w:color w:val="0000FF"/>
      <w:u w:val="single"/>
    </w:rPr>
  </w:style>
  <w:style w:type="paragraph" w:customStyle="1" w:styleId="Affiliation">
    <w:name w:val="Affiliation"/>
    <w:basedOn w:val="Normal"/>
    <w:rsid w:val="006669E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index.php/EJNF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812</Words>
  <Characters>4631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2025-06-13T07:17:00Z</dcterms:created>
  <dcterms:modified xsi:type="dcterms:W3CDTF">2025-06-18T07:34:00Z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2025-06-13T00:00:00Z</vt:filetime>
  </property>
  <property fmtid="{D5CDD505-2E9C-101B-9397-08002B2CF9AE}" pid="5" name="Producer">
    <vt:lpwstr>3-Heights(TM) PDF Security Shell 4.8.25.2 (http://www.pdf-tools.com)</vt:lpwstr>
  </property>
</Properties>
</file>