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Original Research Article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jc w:val="righ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PROFESSIONAL PREPARATION AND CURRICULUM ASSESSMENT OF PUBLIC SECONDARY SCHOOL TEACHERS IN THE K-12 EDUCATION CONTEXT</w:t>
      </w:r>
    </w:p>
    <w:p w:rsidR="00000000" w:rsidDel="00000000" w:rsidP="00000000" w:rsidRDefault="00000000" w:rsidRPr="00000000" w14:paraId="00000004">
      <w:pPr>
        <w:jc w:val="righ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ind w:left="2880" w:firstLine="0"/>
        <w:rPr>
          <w:rFonts w:ascii="Arial" w:cs="Arial" w:eastAsia="Arial" w:hAnsi="Arial"/>
          <w:i w:val="1"/>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016" w:top="1170" w:left="2016" w:right="2016" w:header="720" w:footer="1296"/>
          <w:pgNumType w:start="1"/>
        </w:sectPr>
      </w:pPr>
      <w:r w:rsidDel="00000000" w:rsidR="00000000" w:rsidRPr="00000000">
        <w:rPr>
          <w:rFonts w:ascii="Arial" w:cs="Arial" w:eastAsia="Arial" w:hAnsi="Arial"/>
          <w:rtl w:val="0"/>
        </w:rPr>
        <w:t xml:space="preserve">                    </w:t>
        <w:tab/>
      </w:r>
      <w:r w:rsidDel="00000000" w:rsidR="00000000" w:rsidRPr="00000000">
        <w:rPr>
          <w:rtl w:val="0"/>
        </w:rPr>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ABSTRACT </w:t>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tbl>
      <w:tblPr>
        <w:tblStyle w:val="Table1"/>
        <w:tblW w:w="8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98"/>
        <w:tblGridChange w:id="0">
          <w:tblGrid>
            <w:gridCol w:w="8198"/>
          </w:tblGrid>
        </w:tblGridChange>
      </w:tblGrid>
      <w:tr>
        <w:trPr>
          <w:cantSplit w:val="0"/>
          <w:trHeight w:val="3167" w:hRule="atLeast"/>
          <w:tblHeader w:val="0"/>
        </w:trPr>
        <w:tc>
          <w:tcPr>
            <w:shd w:fill="f2f2f2" w:val="clear"/>
          </w:tcPr>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This study aimed to investigate the relationship between professional preparation and curriculum assessment among public elementary school teachers in the K-12 education system in Mati Central District, Division of Mati City. A descriptive-correlational research design was employed, involving a sample of 171 teachers from </w:t>
            </w:r>
            <w:commentRangeStart w:id="0"/>
            <w:r w:rsidDel="00000000" w:rsidR="00000000" w:rsidRPr="00000000">
              <w:rPr>
                <w:rFonts w:ascii="Arial" w:cs="Arial" w:eastAsia="Arial" w:hAnsi="Arial"/>
                <w:rtl w:val="0"/>
              </w:rPr>
              <w:t xml:space="preserve">various</w:t>
            </w:r>
            <w:commentRangeEnd w:id="0"/>
            <w:r w:rsidDel="00000000" w:rsidR="00000000" w:rsidRPr="00000000">
              <w:commentReference w:id="0"/>
            </w:r>
            <w:r w:rsidDel="00000000" w:rsidR="00000000" w:rsidRPr="00000000">
              <w:rPr>
                <w:rFonts w:ascii="Arial" w:cs="Arial" w:eastAsia="Arial" w:hAnsi="Arial"/>
                <w:rtl w:val="0"/>
              </w:rPr>
              <w:t xml:space="preserve"> public elementary schools in Mati Central District, Division of Mati City. Data were collected using standardized questionnaires administered through face-to-face surveys. The data were analyzed using mean, standard deviation (SD), Pearson product-moment correlation, and multiple linear regression techniques. The results indicated that professional preparation was at a very extensive level, while curriculum assessment was at an extensive level among the teachers. Correlation analysis revealed a significant relationship between professional preparation and curriculum assessment. In particular, the domains of professional preparation planning, executing, and evaluating were found to significantly influence the way teachers assessed the curriculum. Based on these findings, it is recommended that school administrators focus on strengthening these domains of professional preparation by providing professional development opportunities that emphasize the planning, execution, and evaluation of curricula. By enhancing teachers’ skills in these key areas, they will be better equipped to assess and adjust the curriculum effectively, ensuring that the K-12 education system remains responsive to students’ evolving needs.</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i w:val="1"/>
          <w:rtl w:val="0"/>
        </w:rPr>
        <w:t xml:space="preserve">Keywords</w:t>
      </w:r>
      <w:r w:rsidDel="00000000" w:rsidR="00000000" w:rsidRPr="00000000">
        <w:rPr>
          <w:rFonts w:ascii="Arial" w:cs="Arial" w:eastAsia="Arial" w:hAnsi="Arial"/>
          <w:rtl w:val="0"/>
        </w:rPr>
        <w:t xml:space="preserve">: Professional Preparation, Curriculum Assessment, Descriptive Correlational, Education, Public Elementary Schools</w:t>
      </w:r>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1. INTRODUCTION</w:t>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Curriculum assessment plays a crucial role in ensuring the effectiveness of teaching and learning processes. However, poor curriculum assessment among teachers has been a persistent issue that affects educational outcomes. When teachers fail to properly assess the curriculum, they may struggle to align learning objectives with instructional strategies, leading to gaps in student achievement. Additionally, inadequate assessment methods can hinder the identification of areas that require curriculum improvements, affecting the overall quality of education. As a result, the inability to conduct effective curriculum assessments contributes to inconsistencies in educational delivery, limiting students' academic growth and preparedness for higher education or the workforce.</w:t>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Internationally, poor curriculum assessment has been a challenge in various educational systems, particularly in developing countries. In Denmark, many teachers face difficulties in implementing effective assessment strategies due to a lack of professional training and limited access to updated educational resources (Chen et al., 2021). Research has shown that teachers in Turkey rely heavily on outdated assessment methods that do not align with modern pedagogical approaches, leading to ineffective evaluation of student learning (Meylani, 2023). Furthermore, in Mexico, standardized testing has become the primary mode of assessment, often neglecting the importance of formative and alternative assessments that provide a more comprehensive understanding of student progress (Schissel et al., 2021). </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However, professional preparation plays a crucial role in enhancing curriculum assessment among teachers (Callaway-Cole &amp; Kimble, 2021). Adequate training equips educators with the necessary skills to design, implement, and evaluate assessment strategies effectively (Bowers et al., 2022). Through continuous professional development, teachers gain exposure to modern assessment methodologies, ensuring that their evaluation practices align with current educational standards (Byrd &amp; Alexander, 2020). Additionally, professional preparation fosters critical thinking and adaptability, enabling teachers to tailor assessments to diverse learning needs (Doran, 2020). </w:t>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jc w:val="both"/>
        <w:rPr>
          <w:rFonts w:ascii="Arial" w:cs="Arial" w:eastAsia="Arial" w:hAnsi="Arial"/>
        </w:rPr>
      </w:pPr>
      <w:commentRangeStart w:id="1"/>
      <w:r w:rsidDel="00000000" w:rsidR="00000000" w:rsidRPr="00000000">
        <w:rPr>
          <w:rFonts w:ascii="Arial" w:cs="Arial" w:eastAsia="Arial" w:hAnsi="Arial"/>
          <w:rtl w:val="0"/>
        </w:rPr>
        <w:t xml:space="preserve">Moreover, several research studies have explored the relationship between professional preparation and curriculum assessment, emphasizing how continuous professional development influences educators' ability to evaluate and refine curricula effectively. Professional preparation, which include workshops, seminars, and other learning opportunities, have been shown to improve teachers' skills in assessing and adjusting curricula to meet student needs and educational standards (Smith &amp; Gillespie, 2023). Teachers who participate in such programs are better equipped to engage in reflective practices that enhance the quality of curriculum assessment, ensuring that it remains aligned with both academic goals and student learning outcomes (Kilag et al., 2023).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5">
      <w:pPr>
        <w:jc w:val="both"/>
        <w:rPr>
          <w:rFonts w:ascii="Arial" w:cs="Arial" w:eastAsia="Arial" w:hAnsi="Arial"/>
        </w:rPr>
      </w:pPr>
      <w:r w:rsidDel="00000000" w:rsidR="00000000" w:rsidRPr="00000000">
        <w:rPr>
          <w:rtl w:val="0"/>
        </w:rPr>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rtl w:val="0"/>
        </w:rPr>
        <w:t xml:space="preserve">In the Philippines, particularly in Bataan, the issue of poor curriculum assessment among teachers remains a significant concern. Many educators struggle with assessing the curriculum effectively due to factors such as inadequate teacher training, insufficient resources, and the rapid implementation of curriculum reforms (Bongco &amp; David, 2020). The K-12 curriculum, for instance, introduced major changes in the education system, but many teachers were not adequately prepared to assess its effectiveness (Abragan et al., 2022). Additionally, in Manila, a lack of clear assessment guidelines and limited professional development opportunities have made it challenging for teachers to evaluate learning outcomes effectively (Alonzo et al., 2023). As a result, students may experience learning gaps, ultimately affecting their academic performance and future opportunities. </w:t>
      </w:r>
    </w:p>
    <w:p w:rsidR="00000000" w:rsidDel="00000000" w:rsidP="00000000" w:rsidRDefault="00000000" w:rsidRPr="00000000" w14:paraId="00000017">
      <w:pPr>
        <w:jc w:val="both"/>
        <w:rPr>
          <w:rFonts w:ascii="Arial" w:cs="Arial" w:eastAsia="Arial" w:hAnsi="Arial"/>
        </w:rPr>
      </w:pPr>
      <w:r w:rsidDel="00000000" w:rsidR="00000000" w:rsidRPr="00000000">
        <w:rPr>
          <w:rtl w:val="0"/>
        </w:rPr>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Furthermore, studies suggest that professional preparation provide teachers with valuable opportunities for collaboration, enabling them to work together in teams to assess curricula more effectively across grade levels and subjects (Martinez, 2022). This collaborative approach not only improves individual teaching practices but also fosters a culture of shared responsibility for curriculum quality within schools (Meyer et al., 2023). Teachers who participate in these programs are more likely to engage in ongoing dialogue about curriculum assessment, ensuring continuous improvement and adaptation to the changing needs of students (Pak, 2020). </w:t>
      </w:r>
    </w:p>
    <w:p w:rsidR="00000000" w:rsidDel="00000000" w:rsidP="00000000" w:rsidRDefault="00000000" w:rsidRPr="00000000" w14:paraId="00000019">
      <w:pPr>
        <w:jc w:val="both"/>
        <w:rPr>
          <w:rFonts w:ascii="Arial" w:cs="Arial" w:eastAsia="Arial" w:hAnsi="Arial"/>
        </w:rPr>
      </w:pPr>
      <w:r w:rsidDel="00000000" w:rsidR="00000000" w:rsidRPr="00000000">
        <w:rPr>
          <w:rtl w:val="0"/>
        </w:rPr>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In schools where professional preparation is emphasized, there tends to be a noticeable improvement in the quality of curriculum assessment, which positively impacts student achievement and long-term academic success (Firdausih &amp; Aslan, 2024). Teachers' ability to critically analyze and adjust curricula based on formative and summative assessments leads to more effective teaching practices and better student outcomes. Ultimately, the integration of professional preparation with curriculum assessment not only benefits teachers' professional growth but also enhances the overall quality of education provided to students (Sancar et al.,2021). </w:t>
      </w:r>
    </w:p>
    <w:p w:rsidR="00000000" w:rsidDel="00000000" w:rsidP="00000000" w:rsidRDefault="00000000" w:rsidRPr="00000000" w14:paraId="0000001B">
      <w:pPr>
        <w:jc w:val="both"/>
        <w:rPr>
          <w:rFonts w:ascii="Arial" w:cs="Arial" w:eastAsia="Arial" w:hAnsi="Arial"/>
        </w:rPr>
      </w:pPr>
      <w:commentRangeStart w:id="2"/>
      <w:r w:rsidDel="00000000" w:rsidR="00000000" w:rsidRPr="00000000">
        <w:rPr>
          <w:rFonts w:ascii="Arial" w:cs="Arial" w:eastAsia="Arial" w:hAnsi="Arial"/>
          <w:rtl w:val="0"/>
        </w:rPr>
        <w:t xml:space="preserve">In Mati Central District, Division of Mati City, the problem of poor curriculum assessment among teachers is also evident in various schools. Many educators report difficulties in adapting to curriculum changes and assessing student performance accurately . Factors such as large class sizes, insufficient training, and limited access to updated assessment tools contribute to the challenge. Additionally, some schools face resource constraints, making it difficult to implement effective curriculum assessment strategies. Without proper assessment, it becomes challenging to identify areas for improvement, leading to inconsistent teaching practices and student learning outcomes. </w:t>
      </w:r>
    </w:p>
    <w:p w:rsidR="00000000" w:rsidDel="00000000" w:rsidP="00000000" w:rsidRDefault="00000000" w:rsidRPr="00000000" w14:paraId="0000001C">
      <w:pPr>
        <w:jc w:val="both"/>
        <w:rPr>
          <w:rFonts w:ascii="Arial" w:cs="Arial" w:eastAsia="Arial" w:hAnsi="Arial"/>
        </w:rPr>
      </w:pP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D">
      <w:pPr>
        <w:jc w:val="both"/>
        <w:rPr>
          <w:rFonts w:ascii="Arial" w:cs="Arial" w:eastAsia="Arial" w:hAnsi="Arial"/>
          <w:b w:val="1"/>
        </w:rPr>
      </w:pPr>
      <w:r w:rsidDel="00000000" w:rsidR="00000000" w:rsidRPr="00000000">
        <w:rPr>
          <w:rFonts w:ascii="Arial" w:cs="Arial" w:eastAsia="Arial" w:hAnsi="Arial"/>
          <w:rtl w:val="0"/>
        </w:rPr>
        <w:t xml:space="preserve">To strengthen quality instructional assessment and evaluation, this study aims to determine the relationship between teachers' professional preparation and their ability to conduct effective curriculum assessments. Given the pressing need to improve educational quality, this research is urgent as it seeks to identify key factors that influence assessment practices and highlight areas requiring intervention. By understanding this relationship, policymakers and educational institutions can develop targeted training programs that enhance teachers' competency in curriculum assessment. The significance of this study lies in its potential to inform curriculum development strategies, improve teaching methodologies, and contribute to the overall advancement of education, particularly in public elementary schools in Mati Central District, Division of Mati City.</w:t>
      </w:r>
      <w:r w:rsidDel="00000000" w:rsidR="00000000" w:rsidRPr="00000000">
        <w:rPr>
          <w:rtl w:val="0"/>
        </w:rPr>
      </w:r>
    </w:p>
    <w:p w:rsidR="00000000" w:rsidDel="00000000" w:rsidP="00000000" w:rsidRDefault="00000000" w:rsidRPr="00000000" w14:paraId="0000001E">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2">
      <w:pPr>
        <w:jc w:val="center"/>
        <w:rPr>
          <w:rFonts w:ascii="Arial" w:cs="Arial" w:eastAsia="Arial" w:hAnsi="Arial"/>
          <w:b w:val="1"/>
        </w:rPr>
      </w:pPr>
      <w:r w:rsidDel="00000000" w:rsidR="00000000" w:rsidRPr="00000000">
        <w:rPr>
          <w:rFonts w:ascii="Arial" w:cs="Arial" w:eastAsia="Arial" w:hAnsi="Arial"/>
          <w:b w:val="1"/>
        </w:rPr>
        <w:drawing>
          <wp:inline distB="0" distT="0" distL="0" distR="0">
            <wp:extent cx="2179060" cy="1713672"/>
            <wp:effectExtent b="0" l="0" r="0" 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179060" cy="1713672"/>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4">
      <w:pPr>
        <w:jc w:val="center"/>
        <w:rPr>
          <w:rFonts w:ascii="Arial" w:cs="Arial" w:eastAsia="Arial" w:hAnsi="Arial"/>
        </w:rPr>
      </w:pPr>
      <w:r w:rsidDel="00000000" w:rsidR="00000000" w:rsidRPr="00000000">
        <w:rPr>
          <w:rFonts w:ascii="Arial" w:cs="Arial" w:eastAsia="Arial" w:hAnsi="Arial"/>
          <w:b w:val="1"/>
          <w:rtl w:val="0"/>
        </w:rPr>
        <w:t xml:space="preserve">Figure 1:  </w:t>
      </w:r>
      <w:r w:rsidDel="00000000" w:rsidR="00000000" w:rsidRPr="00000000">
        <w:rPr>
          <w:rFonts w:ascii="Arial" w:cs="Arial" w:eastAsia="Arial" w:hAnsi="Arial"/>
          <w:rtl w:val="0"/>
        </w:rPr>
        <w:t xml:space="preserve">Conceptual Framework of the Study</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 xml:space="preserve">1.1 Statement of the Problem</w:t>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rPr>
      </w:pPr>
      <w:commentRangeStart w:id="3"/>
      <w:r w:rsidDel="00000000" w:rsidR="00000000" w:rsidRPr="00000000">
        <w:rPr>
          <w:rFonts w:ascii="Arial" w:cs="Arial" w:eastAsia="Arial" w:hAnsi="Arial"/>
          <w:rtl w:val="0"/>
        </w:rPr>
        <w:t xml:space="preserve">This study aimed to determine the significant relationship between professional preparation and curriculum coherence of public elementary school teachers in Mati Central District, Division of Davao Oriental. Specifically, it sought to answer the following questions: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1. What is the degree of professional preparation of teachers in terms of: </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1.1. planning; </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1.2. executing; and </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1.3. evaluating? </w:t>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2. What is the degree of curriculum assessment of teachers in terms of: </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2.1. curriculum content; </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2.2. curriculum objectives;   </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2.3. educational effectiveness; and </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2.4. resource materials and facilities? </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3. Is there a significant relationship between professional preparation and the curriculum assessment of teachers in Mati Central District, Division of Davao Oriental.? </w:t>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4. Which domains of professional preparation significantly influence the curriculum assessment of teachers in Mati Central District, Division of Davao Oriental.?</w:t>
      </w:r>
    </w:p>
    <w:p w:rsidR="00000000" w:rsidDel="00000000" w:rsidP="00000000" w:rsidRDefault="00000000" w:rsidRPr="00000000" w14:paraId="00000037">
      <w:pPr>
        <w:rPr>
          <w:rFonts w:ascii="Arial" w:cs="Arial" w:eastAsia="Arial" w:hAnsi="Arial"/>
          <w:b w:val="1"/>
        </w:rPr>
      </w:pPr>
      <w:r w:rsidDel="00000000" w:rsidR="00000000" w:rsidRPr="00000000">
        <w:rPr>
          <w:rtl w:val="0"/>
        </w:rPr>
      </w:r>
    </w:p>
    <w:p w:rsidR="00000000" w:rsidDel="00000000" w:rsidP="00000000" w:rsidRDefault="00000000" w:rsidRPr="00000000" w14:paraId="00000038">
      <w:pPr>
        <w:rPr>
          <w:rFonts w:ascii="Arial" w:cs="Arial" w:eastAsia="Arial" w:hAnsi="Arial"/>
          <w:b w:val="1"/>
        </w:rPr>
      </w:pPr>
      <w:r w:rsidDel="00000000" w:rsidR="00000000" w:rsidRPr="00000000">
        <w:rPr>
          <w:rFonts w:ascii="Arial" w:cs="Arial" w:eastAsia="Arial" w:hAnsi="Arial"/>
          <w:b w:val="1"/>
          <w:rtl w:val="0"/>
        </w:rPr>
        <w:t xml:space="preserve">1.2 Hypotheses</w:t>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ind w:firstLine="720"/>
        <w:jc w:val="both"/>
        <w:rPr>
          <w:rFonts w:ascii="Arial" w:cs="Arial" w:eastAsia="Arial" w:hAnsi="Arial"/>
        </w:rPr>
      </w:pPr>
      <w:r w:rsidDel="00000000" w:rsidR="00000000" w:rsidRPr="00000000">
        <w:rPr>
          <w:rFonts w:ascii="Arial" w:cs="Arial" w:eastAsia="Arial" w:hAnsi="Arial"/>
          <w:rtl w:val="0"/>
        </w:rPr>
        <w:t xml:space="preserve">Ho1: There is no significant relationship between professional preparation and the curriculum assessment of public elementary school teachers. </w:t>
      </w:r>
    </w:p>
    <w:p w:rsidR="00000000" w:rsidDel="00000000" w:rsidP="00000000" w:rsidRDefault="00000000" w:rsidRPr="00000000" w14:paraId="0000003B">
      <w:pPr>
        <w:ind w:firstLine="720"/>
        <w:jc w:val="both"/>
        <w:rPr>
          <w:rFonts w:ascii="Arial" w:cs="Arial" w:eastAsia="Arial" w:hAnsi="Arial"/>
        </w:rPr>
      </w:pPr>
      <w:r w:rsidDel="00000000" w:rsidR="00000000" w:rsidRPr="00000000">
        <w:rPr>
          <w:rFonts w:ascii="Arial" w:cs="Arial" w:eastAsia="Arial" w:hAnsi="Arial"/>
          <w:rtl w:val="0"/>
        </w:rPr>
        <w:t xml:space="preserve">Ho2: None of the domains of professional preparation significantly influence the curriculum assessment of public elementary school teachers.</w:t>
      </w:r>
    </w:p>
    <w:p w:rsidR="00000000" w:rsidDel="00000000" w:rsidP="00000000" w:rsidRDefault="00000000" w:rsidRPr="00000000" w14:paraId="0000003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2. methodology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rPr>
          <w:rFonts w:ascii="Arial" w:cs="Arial" w:eastAsia="Arial" w:hAnsi="Arial"/>
          <w:b w:val="1"/>
        </w:rPr>
      </w:pPr>
      <w:r w:rsidDel="00000000" w:rsidR="00000000" w:rsidRPr="00000000">
        <w:rPr>
          <w:rFonts w:ascii="Arial" w:cs="Arial" w:eastAsia="Arial" w:hAnsi="Arial"/>
          <w:b w:val="1"/>
          <w:rtl w:val="0"/>
        </w:rPr>
        <w:t xml:space="preserve">2.1 Research Design</w:t>
      </w:r>
    </w:p>
    <w:p w:rsidR="00000000" w:rsidDel="00000000" w:rsidP="00000000" w:rsidRDefault="00000000" w:rsidRPr="00000000" w14:paraId="00000041">
      <w:pPr>
        <w:rPr>
          <w:rFonts w:ascii="Arial" w:cs="Arial" w:eastAsia="Arial" w:hAnsi="Arial"/>
          <w:b w:val="1"/>
        </w:rPr>
      </w:pPr>
      <w:r w:rsidDel="00000000" w:rsidR="00000000" w:rsidRPr="00000000">
        <w:rPr>
          <w:rtl w:val="0"/>
        </w:rPr>
      </w:r>
    </w:p>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rtl w:val="0"/>
        </w:rPr>
        <w:t xml:space="preserve">The study employed a quantitative research design, specifically utilizing a descriptive correlational approach. Quantitative research involved the systematic collection of numerical data, with statistical, mathematical, or computational techniques to ensure objective, accurate, and measurable results (Mohajan, 2020). </w:t>
      </w:r>
      <w:commentRangeStart w:id="4"/>
      <w:r w:rsidDel="00000000" w:rsidR="00000000" w:rsidRPr="00000000">
        <w:rPr>
          <w:rFonts w:ascii="Arial" w:cs="Arial" w:eastAsia="Arial" w:hAnsi="Arial"/>
          <w:rtl w:val="0"/>
        </w:rPr>
        <w:t xml:space="preserve">To achieved</w:t>
      </w:r>
      <w:commentRangeEnd w:id="4"/>
      <w:r w:rsidDel="00000000" w:rsidR="00000000" w:rsidRPr="00000000">
        <w:commentReference w:id="4"/>
      </w:r>
      <w:r w:rsidDel="00000000" w:rsidR="00000000" w:rsidRPr="00000000">
        <w:rPr>
          <w:rFonts w:ascii="Arial" w:cs="Arial" w:eastAsia="Arial" w:hAnsi="Arial"/>
          <w:rtl w:val="0"/>
        </w:rPr>
        <w:t xml:space="preserve"> reliable findings, the study used standardized and controlled data collection methods, such as surveys, to quantify variables and test hypotheses (Rassel et al., 2020). </w:t>
      </w:r>
    </w:p>
    <w:p w:rsidR="00000000" w:rsidDel="00000000" w:rsidP="00000000" w:rsidRDefault="00000000" w:rsidRPr="00000000" w14:paraId="00000043">
      <w:pPr>
        <w:jc w:val="both"/>
        <w:rPr>
          <w:rFonts w:ascii="Arial" w:cs="Arial" w:eastAsia="Arial" w:hAnsi="Arial"/>
        </w:rPr>
      </w:pPr>
      <w:r w:rsidDel="00000000" w:rsidR="00000000" w:rsidRPr="00000000">
        <w:rPr>
          <w:rtl w:val="0"/>
        </w:rPr>
      </w:r>
    </w:p>
    <w:p w:rsidR="00000000" w:rsidDel="00000000" w:rsidP="00000000" w:rsidRDefault="00000000" w:rsidRPr="00000000" w14:paraId="00000044">
      <w:pPr>
        <w:jc w:val="both"/>
        <w:rPr>
          <w:rFonts w:ascii="Arial" w:cs="Arial" w:eastAsia="Arial" w:hAnsi="Arial"/>
        </w:rPr>
      </w:pPr>
      <w:r w:rsidDel="00000000" w:rsidR="00000000" w:rsidRPr="00000000">
        <w:rPr>
          <w:rFonts w:ascii="Arial" w:cs="Arial" w:eastAsia="Arial" w:hAnsi="Arial"/>
          <w:rtl w:val="0"/>
        </w:rPr>
        <w:t xml:space="preserve">Additionally, the research followed a non-experimental framework, which focused on observing and analyzing naturally occurring relationships between variables (Roberts, 2021). Unlike experimental research, which manipulates variables to explore cause-and-effect relationships, non-experimental research aimed to understand and describe relationships as they naturally unfold in real-world settings (Gamage, 2025). </w:t>
      </w:r>
    </w:p>
    <w:p w:rsidR="00000000" w:rsidDel="00000000" w:rsidP="00000000" w:rsidRDefault="00000000" w:rsidRPr="00000000" w14:paraId="00000045">
      <w:pPr>
        <w:jc w:val="both"/>
        <w:rPr>
          <w:rFonts w:ascii="Arial" w:cs="Arial" w:eastAsia="Arial" w:hAnsi="Arial"/>
        </w:rPr>
      </w:pPr>
      <w:r w:rsidDel="00000000" w:rsidR="00000000" w:rsidRPr="00000000">
        <w:rPr>
          <w:rtl w:val="0"/>
        </w:rPr>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Furthermore, a descriptive correlational research approach was applied to explore and describe the connections between two or more variables without altering them. The primary goal of this approach was to identify and understand patterns, relationships, or associations between variables (Mertler, 2024). Unlike experimental research, which sought to establish causality by manipulating conditions, descriptive correlational research focuses on measuring the strength and direction of relationships as they naturally occur (Seeram, 2022). </w:t>
      </w:r>
    </w:p>
    <w:p w:rsidR="00000000" w:rsidDel="00000000" w:rsidP="00000000" w:rsidRDefault="00000000" w:rsidRPr="00000000" w14:paraId="00000047">
      <w:pPr>
        <w:jc w:val="both"/>
        <w:rPr>
          <w:rFonts w:ascii="Arial" w:cs="Arial" w:eastAsia="Arial" w:hAnsi="Arial"/>
        </w:rPr>
      </w:pPr>
      <w:r w:rsidDel="00000000" w:rsidR="00000000" w:rsidRPr="00000000">
        <w:rPr>
          <w:rtl w:val="0"/>
        </w:rPr>
      </w:r>
    </w:p>
    <w:p w:rsidR="00000000" w:rsidDel="00000000" w:rsidP="00000000" w:rsidRDefault="00000000" w:rsidRPr="00000000" w14:paraId="00000048">
      <w:pPr>
        <w:jc w:val="both"/>
        <w:rPr>
          <w:rFonts w:ascii="Arial" w:cs="Arial" w:eastAsia="Arial" w:hAnsi="Arial"/>
          <w:b w:val="1"/>
        </w:rPr>
      </w:pPr>
      <w:r w:rsidDel="00000000" w:rsidR="00000000" w:rsidRPr="00000000">
        <w:rPr>
          <w:rFonts w:ascii="Arial" w:cs="Arial" w:eastAsia="Arial" w:hAnsi="Arial"/>
          <w:rtl w:val="0"/>
        </w:rPr>
        <w:t xml:space="preserve">In the context of this study, the descriptive-correlational research design was deemed appropriate because it aimed </w:t>
      </w:r>
      <w:commentRangeStart w:id="5"/>
      <w:r w:rsidDel="00000000" w:rsidR="00000000" w:rsidRPr="00000000">
        <w:rPr>
          <w:rFonts w:ascii="Arial" w:cs="Arial" w:eastAsia="Arial" w:hAnsi="Arial"/>
          <w:rtl w:val="0"/>
        </w:rPr>
        <w:t xml:space="preserve">to described</w:t>
      </w:r>
      <w:commentRangeEnd w:id="5"/>
      <w:r w:rsidDel="00000000" w:rsidR="00000000" w:rsidRPr="00000000">
        <w:commentReference w:id="5"/>
      </w:r>
      <w:r w:rsidDel="00000000" w:rsidR="00000000" w:rsidRPr="00000000">
        <w:rPr>
          <w:rFonts w:ascii="Arial" w:cs="Arial" w:eastAsia="Arial" w:hAnsi="Arial"/>
          <w:rtl w:val="0"/>
        </w:rPr>
        <w:t xml:space="preserve"> the extent of professional preparation and curriculum assessment among public elementary school teachers. It also sought to determine the significant relationship between professional preparation and curriculum assessment.</w:t>
      </w:r>
      <w:r w:rsidDel="00000000" w:rsidR="00000000" w:rsidRPr="00000000">
        <w:rPr>
          <w:rtl w:val="0"/>
        </w:rPr>
      </w:r>
    </w:p>
    <w:p w:rsidR="00000000" w:rsidDel="00000000" w:rsidP="00000000" w:rsidRDefault="00000000" w:rsidRPr="00000000" w14:paraId="00000049">
      <w:pPr>
        <w:rPr>
          <w:rFonts w:ascii="Arial" w:cs="Arial" w:eastAsia="Arial" w:hAnsi="Arial"/>
          <w:b w:val="1"/>
        </w:rPr>
      </w:pPr>
      <w:r w:rsidDel="00000000" w:rsidR="00000000" w:rsidRPr="00000000">
        <w:rPr>
          <w:rtl w:val="0"/>
        </w:rPr>
      </w:r>
    </w:p>
    <w:p w:rsidR="00000000" w:rsidDel="00000000" w:rsidP="00000000" w:rsidRDefault="00000000" w:rsidRPr="00000000" w14:paraId="0000004A">
      <w:pPr>
        <w:rPr>
          <w:rFonts w:ascii="Arial" w:cs="Arial" w:eastAsia="Arial" w:hAnsi="Arial"/>
          <w:b w:val="1"/>
        </w:rPr>
      </w:pPr>
      <w:r w:rsidDel="00000000" w:rsidR="00000000" w:rsidRPr="00000000">
        <w:rPr>
          <w:rFonts w:ascii="Arial" w:cs="Arial" w:eastAsia="Arial" w:hAnsi="Arial"/>
          <w:b w:val="1"/>
          <w:rtl w:val="0"/>
        </w:rPr>
        <w:t xml:space="preserve">2.2 Research Respondents</w:t>
      </w:r>
    </w:p>
    <w:p w:rsidR="00000000" w:rsidDel="00000000" w:rsidP="00000000" w:rsidRDefault="00000000" w:rsidRPr="00000000" w14:paraId="0000004B">
      <w:pPr>
        <w:rPr>
          <w:rFonts w:ascii="Arial" w:cs="Arial" w:eastAsia="Arial" w:hAnsi="Arial"/>
          <w:b w:val="1"/>
        </w:rPr>
      </w:pPr>
      <w:r w:rsidDel="00000000" w:rsidR="00000000" w:rsidRPr="00000000">
        <w:rPr>
          <w:rtl w:val="0"/>
        </w:rPr>
      </w:r>
    </w:p>
    <w:p w:rsidR="00000000" w:rsidDel="00000000" w:rsidP="00000000" w:rsidRDefault="00000000" w:rsidRPr="00000000" w14:paraId="0000004C">
      <w:pPr>
        <w:jc w:val="both"/>
        <w:rPr>
          <w:rFonts w:ascii="Arial" w:cs="Arial" w:eastAsia="Arial" w:hAnsi="Arial"/>
        </w:rPr>
      </w:pPr>
      <w:r w:rsidDel="00000000" w:rsidR="00000000" w:rsidRPr="00000000">
        <w:rPr>
          <w:rFonts w:ascii="Arial" w:cs="Arial" w:eastAsia="Arial" w:hAnsi="Arial"/>
          <w:rtl w:val="0"/>
        </w:rPr>
        <w:t xml:space="preserve">This study was conducted in Mati Central District, Division of Mati City. This study included the four secondary schools of Mati Central District. There were 171 teachers who were involved as respondents of the study out of 299 population using the Slovin’s Formula, who rated the Professional Preparation and Curriculum Assessment of Public Elementary School </w:t>
      </w:r>
    </w:p>
    <w:p w:rsidR="00000000" w:rsidDel="00000000" w:rsidP="00000000" w:rsidRDefault="00000000" w:rsidRPr="00000000" w14:paraId="0000004D">
      <w:pPr>
        <w:jc w:val="both"/>
        <w:rPr>
          <w:rFonts w:ascii="Arial" w:cs="Arial" w:eastAsia="Arial" w:hAnsi="Arial"/>
        </w:rPr>
      </w:pPr>
      <w:r w:rsidDel="00000000" w:rsidR="00000000" w:rsidRPr="00000000">
        <w:rPr>
          <w:rtl w:val="0"/>
        </w:rPr>
      </w:r>
    </w:p>
    <w:p w:rsidR="00000000" w:rsidDel="00000000" w:rsidP="00000000" w:rsidRDefault="00000000" w:rsidRPr="00000000" w14:paraId="0000004E">
      <w:pPr>
        <w:jc w:val="both"/>
        <w:rPr>
          <w:rFonts w:ascii="Arial" w:cs="Arial" w:eastAsia="Arial" w:hAnsi="Arial"/>
        </w:rPr>
      </w:pPr>
      <w:r w:rsidDel="00000000" w:rsidR="00000000" w:rsidRPr="00000000">
        <w:rPr>
          <w:rFonts w:ascii="Arial" w:cs="Arial" w:eastAsia="Arial" w:hAnsi="Arial"/>
          <w:rtl w:val="0"/>
        </w:rPr>
        <w:t xml:space="preserve">Teachers in the K-12 Education Context.  This were conducted during the school year 2024-2025. In selecting the respondents, the researcher employed a simple random utilizing the lottery sampling or fishbowl </w:t>
      </w:r>
      <w:commentRangeStart w:id="6"/>
      <w:r w:rsidDel="00000000" w:rsidR="00000000" w:rsidRPr="00000000">
        <w:rPr>
          <w:rFonts w:ascii="Arial" w:cs="Arial" w:eastAsia="Arial" w:hAnsi="Arial"/>
          <w:rtl w:val="0"/>
        </w:rPr>
        <w:t xml:space="preserve">technique. Numbers were assigned to the respondents in the population assembling them in a container big enough to allow the rolled pieces of paper to move freely in all directions when they were shaken. The researcher picked out the desired numbers of participants for the study.Teachers with at least three years in service were chosen as respondents. </w:t>
      </w:r>
    </w:p>
    <w:p w:rsidR="00000000" w:rsidDel="00000000" w:rsidP="00000000" w:rsidRDefault="00000000" w:rsidRPr="00000000" w14:paraId="0000004F">
      <w:pPr>
        <w:jc w:val="both"/>
        <w:rPr>
          <w:rFonts w:ascii="Arial" w:cs="Arial" w:eastAsia="Arial" w:hAnsi="Arial"/>
        </w:rPr>
      </w:pPr>
      <w:r w:rsidDel="00000000" w:rsidR="00000000" w:rsidRPr="00000000">
        <w:rPr>
          <w:rtl w:val="0"/>
        </w:rPr>
      </w:r>
    </w:p>
    <w:p w:rsidR="00000000" w:rsidDel="00000000" w:rsidP="00000000" w:rsidRDefault="00000000" w:rsidRPr="00000000" w14:paraId="00000050">
      <w:pPr>
        <w:jc w:val="both"/>
        <w:rPr>
          <w:rFonts w:ascii="Arial" w:cs="Arial" w:eastAsia="Arial" w:hAnsi="Arial"/>
        </w:rPr>
      </w:pPr>
      <w:r w:rsidDel="00000000" w:rsidR="00000000" w:rsidRPr="00000000">
        <w:rPr>
          <w:rFonts w:ascii="Arial" w:cs="Arial" w:eastAsia="Arial" w:hAnsi="Arial"/>
          <w:rtl w:val="0"/>
        </w:rPr>
        <w:t xml:space="preserve">The inclusion criteria were as follows: first, the teacher must be currently employed at a public secondary school within the Mati Central District, Division of Mati City during the 2024-2025 school year. Second, the teacher must have at least three years of teaching experience in any subject. Lastly, teachers who attended the training/seminar on Matatag Training. Teachers who do not meet these criteria are excluded.</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rPr>
          <w:rFonts w:ascii="Arial" w:cs="Arial" w:eastAsia="Arial" w:hAnsi="Arial"/>
          <w:b w:val="1"/>
        </w:rPr>
      </w:pPr>
      <w:r w:rsidDel="00000000" w:rsidR="00000000" w:rsidRPr="00000000">
        <w:rPr>
          <w:rFonts w:ascii="Arial" w:cs="Arial" w:eastAsia="Arial" w:hAnsi="Arial"/>
          <w:b w:val="1"/>
          <w:rtl w:val="0"/>
        </w:rPr>
        <w:t xml:space="preserve">2.3 Research Instrument</w:t>
      </w:r>
    </w:p>
    <w:p w:rsidR="00000000" w:rsidDel="00000000" w:rsidP="00000000" w:rsidRDefault="00000000" w:rsidRPr="00000000" w14:paraId="00000053">
      <w:pPr>
        <w:rPr>
          <w:rFonts w:ascii="Arial" w:cs="Arial" w:eastAsia="Arial" w:hAnsi="Arial"/>
          <w:b w:val="1"/>
        </w:rPr>
      </w:pPr>
      <w:r w:rsidDel="00000000" w:rsidR="00000000" w:rsidRPr="00000000">
        <w:rPr>
          <w:rtl w:val="0"/>
        </w:rPr>
      </w:r>
    </w:p>
    <w:p w:rsidR="00000000" w:rsidDel="00000000" w:rsidP="00000000" w:rsidRDefault="00000000" w:rsidRPr="00000000" w14:paraId="00000054">
      <w:pPr>
        <w:jc w:val="both"/>
        <w:rPr>
          <w:rFonts w:ascii="Arial" w:cs="Arial" w:eastAsia="Arial" w:hAnsi="Arial"/>
        </w:rPr>
      </w:pPr>
      <w:r w:rsidDel="00000000" w:rsidR="00000000" w:rsidRPr="00000000">
        <w:rPr>
          <w:rFonts w:ascii="Arial" w:cs="Arial" w:eastAsia="Arial" w:hAnsi="Arial"/>
          <w:rtl w:val="0"/>
        </w:rPr>
        <w:t xml:space="preserve">The first part of the questionnaire was based on the Professional Preparation Scale by Shakuna et al. (2016), as cited in Nurkhin et al. (2023). This scale included multiple dimensions such as planning, executing and evaluating. Its overall Cronbach’s alpha coefficient is 0.950, which supports the reliability of the questionnaire for measuring the variable of future thinking skills. In this study, the Professional Preparation Scale also demonstrated excellent reliability, with a Cronbach’s alpha value of 0.988.</w:t>
      </w:r>
    </w:p>
    <w:p w:rsidR="00000000" w:rsidDel="00000000" w:rsidP="00000000" w:rsidRDefault="00000000" w:rsidRPr="00000000" w14:paraId="00000055">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6">
      <w:pPr>
        <w:jc w:val="both"/>
        <w:rPr>
          <w:rFonts w:ascii="Arial" w:cs="Arial" w:eastAsia="Arial" w:hAnsi="Arial"/>
        </w:rPr>
      </w:pPr>
      <w:r w:rsidDel="00000000" w:rsidR="00000000" w:rsidRPr="00000000">
        <w:rPr>
          <w:rFonts w:ascii="Arial" w:cs="Arial" w:eastAsia="Arial" w:hAnsi="Arial"/>
          <w:rtl w:val="0"/>
        </w:rPr>
        <w:t xml:space="preserve">The second part of the questionnaire was developed by Quijano (2023) to assess curriculum assessment. The scale included four dimensions: curriculum content, curriculum objectives, educational effectiveness and resource materials and facilities. The overall Cronbach’s alpha coefficient for the scale is 0.810, indicating that the questionnaire was reliable for measuring the variable of curriculum coherence. Additionally, the curriculum assessment questionnaire demonstrated excellent reliability in this study, with a Cronbach’s alpha value of 0.994.</w:t>
      </w:r>
    </w:p>
    <w:p w:rsidR="00000000" w:rsidDel="00000000" w:rsidP="00000000" w:rsidRDefault="00000000" w:rsidRPr="00000000" w14:paraId="00000057">
      <w:pPr>
        <w:rPr>
          <w:rFonts w:ascii="Arial" w:cs="Arial" w:eastAsia="Arial" w:hAnsi="Arial"/>
          <w:b w:val="1"/>
        </w:rPr>
      </w:pPr>
      <w:r w:rsidDel="00000000" w:rsidR="00000000" w:rsidRPr="00000000">
        <w:rPr>
          <w:rtl w:val="0"/>
        </w:rPr>
      </w:r>
    </w:p>
    <w:p w:rsidR="00000000" w:rsidDel="00000000" w:rsidP="00000000" w:rsidRDefault="00000000" w:rsidRPr="00000000" w14:paraId="00000058">
      <w:pPr>
        <w:rPr>
          <w:rFonts w:ascii="Arial" w:cs="Arial" w:eastAsia="Arial" w:hAnsi="Arial"/>
          <w:b w:val="1"/>
        </w:rPr>
      </w:pPr>
      <w:r w:rsidDel="00000000" w:rsidR="00000000" w:rsidRPr="00000000">
        <w:rPr>
          <w:rFonts w:ascii="Arial" w:cs="Arial" w:eastAsia="Arial" w:hAnsi="Arial"/>
          <w:b w:val="1"/>
          <w:rtl w:val="0"/>
        </w:rPr>
        <w:t xml:space="preserve">2.4 Data Gathering Procedure</w:t>
      </w:r>
    </w:p>
    <w:p w:rsidR="00000000" w:rsidDel="00000000" w:rsidP="00000000" w:rsidRDefault="00000000" w:rsidRPr="00000000" w14:paraId="00000059">
      <w:pPr>
        <w:rPr>
          <w:rFonts w:ascii="Arial" w:cs="Arial" w:eastAsia="Arial" w:hAnsi="Arial"/>
          <w:b w:val="1"/>
        </w:rPr>
      </w:pPr>
      <w:r w:rsidDel="00000000" w:rsidR="00000000" w:rsidRPr="00000000">
        <w:rPr>
          <w:rtl w:val="0"/>
        </w:rPr>
      </w:r>
    </w:p>
    <w:p w:rsidR="00000000" w:rsidDel="00000000" w:rsidP="00000000" w:rsidRDefault="00000000" w:rsidRPr="00000000" w14:paraId="0000005A">
      <w:pPr>
        <w:pStyle w:val="Heading1"/>
        <w:jc w:val="both"/>
        <w:rPr>
          <w:b w:val="0"/>
          <w:sz w:val="20"/>
          <w:szCs w:val="20"/>
        </w:rPr>
      </w:pPr>
      <w:r w:rsidDel="00000000" w:rsidR="00000000" w:rsidRPr="00000000">
        <w:rPr>
          <w:b w:val="0"/>
          <w:sz w:val="20"/>
          <w:szCs w:val="20"/>
          <w:rtl w:val="0"/>
        </w:rPr>
        <w:t xml:space="preserve">The data collection procedure for this study were carried out in a systematic manner to ensure ethical adherence and obtain the necessary approvals. Initially, formal permission was requested from the Dean of the Graduate School. Once granted, the request was forwarded to the School's Division Superintendent for further evaluation. This step-by-step approval process ensured that all institutional and educational guidelines were followed.</w:t>
      </w:r>
    </w:p>
    <w:p w:rsidR="00000000" w:rsidDel="00000000" w:rsidP="00000000" w:rsidRDefault="00000000" w:rsidRPr="00000000" w14:paraId="0000005B">
      <w:pPr>
        <w:pStyle w:val="Heading1"/>
        <w:jc w:val="both"/>
        <w:rPr>
          <w:b w:val="0"/>
          <w:sz w:val="20"/>
          <w:szCs w:val="20"/>
        </w:rPr>
      </w:pPr>
      <w:r w:rsidDel="00000000" w:rsidR="00000000" w:rsidRPr="00000000">
        <w:rPr>
          <w:b w:val="0"/>
          <w:sz w:val="20"/>
          <w:szCs w:val="20"/>
          <w:rtl w:val="0"/>
        </w:rPr>
        <w:t xml:space="preserve">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w:t>
      </w:r>
    </w:p>
    <w:p w:rsidR="00000000" w:rsidDel="00000000" w:rsidP="00000000" w:rsidRDefault="00000000" w:rsidRPr="00000000" w14:paraId="0000005C">
      <w:pPr>
        <w:pStyle w:val="Heading1"/>
        <w:jc w:val="both"/>
        <w:rPr>
          <w:b w:val="0"/>
          <w:sz w:val="20"/>
          <w:szCs w:val="20"/>
        </w:rPr>
      </w:pPr>
      <w:r w:rsidDel="00000000" w:rsidR="00000000" w:rsidRPr="00000000">
        <w:rPr>
          <w:b w:val="0"/>
          <w:sz w:val="20"/>
          <w:szCs w:val="20"/>
          <w:rtl w:val="0"/>
        </w:rPr>
        <w:t xml:space="preserve">After data collection, the retrieval process involved carefully organizing and analyzing the collected information. The completed questionnaires were counted, and responses were systematically recorded for statistical evaluation using statistical tools such as mean, standard deviation, and correlation analysis</w:t>
      </w:r>
    </w:p>
    <w:p w:rsidR="00000000" w:rsidDel="00000000" w:rsidP="00000000" w:rsidRDefault="00000000" w:rsidRPr="00000000" w14:paraId="0000005D">
      <w:pPr>
        <w:pStyle w:val="Heading1"/>
        <w:jc w:val="both"/>
        <w:rPr>
          <w:sz w:val="20"/>
          <w:szCs w:val="20"/>
        </w:rPr>
      </w:pPr>
      <w:r w:rsidDel="00000000" w:rsidR="00000000" w:rsidRPr="00000000">
        <w:rPr>
          <w:sz w:val="20"/>
          <w:szCs w:val="20"/>
          <w:rtl w:val="0"/>
        </w:rPr>
        <w:t xml:space="preserve">2.5 Data Analysis</w:t>
      </w:r>
    </w:p>
    <w:p w:rsidR="00000000" w:rsidDel="00000000" w:rsidP="00000000" w:rsidRDefault="00000000" w:rsidRPr="00000000" w14:paraId="0000005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analyzing and interpreting the data gathered for this study, several statistical tools were utilized to determine the aim of the study. </w:t>
      </w:r>
    </w:p>
    <w:p w:rsidR="00000000" w:rsidDel="00000000" w:rsidP="00000000" w:rsidRDefault="00000000" w:rsidRPr="00000000" w14:paraId="0000006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 was used to assess the extent of professional preparation and curriculum assessment among public elementary school teachers. </w:t>
      </w:r>
    </w:p>
    <w:p w:rsidR="00000000" w:rsidDel="00000000" w:rsidP="00000000" w:rsidRDefault="00000000" w:rsidRPr="00000000" w14:paraId="0000006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Pearson r-moment correlation analysis was applied to examine the strength and direction of the relationship between professional preparation and curriculum assessment among public elementary school teachers. </w:t>
      </w:r>
    </w:p>
    <w:p w:rsidR="00000000" w:rsidDel="00000000" w:rsidP="00000000" w:rsidRDefault="00000000" w:rsidRPr="00000000" w14:paraId="0000006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Multiple linear regression analysis was used to identify which domains of professional preparation would most influence the curriculum assessment of public elementary school teachers.</w:t>
      </w:r>
    </w:p>
    <w:p w:rsidR="00000000" w:rsidDel="00000000" w:rsidP="00000000" w:rsidRDefault="00000000" w:rsidRPr="00000000" w14:paraId="0000006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3. results and discussion</w:t>
      </w:r>
    </w:p>
    <w:p w:rsidR="00000000" w:rsidDel="00000000" w:rsidP="00000000" w:rsidRDefault="00000000" w:rsidRPr="00000000" w14:paraId="00000064">
      <w:pPr>
        <w:rPr>
          <w:rFonts w:ascii="Arial" w:cs="Arial" w:eastAsia="Arial" w:hAnsi="Arial"/>
          <w:b w:val="1"/>
          <w:i w:val="1"/>
        </w:rPr>
      </w:pPr>
      <w:r w:rsidDel="00000000" w:rsidR="00000000" w:rsidRPr="00000000">
        <w:rPr>
          <w:rtl w:val="0"/>
        </w:rPr>
      </w:r>
    </w:p>
    <w:p w:rsidR="00000000" w:rsidDel="00000000" w:rsidP="00000000" w:rsidRDefault="00000000" w:rsidRPr="00000000" w14:paraId="00000065">
      <w:pPr>
        <w:jc w:val="both"/>
        <w:rPr>
          <w:rFonts w:ascii="Arial" w:cs="Arial" w:eastAsia="Arial" w:hAnsi="Arial"/>
          <w:b w:val="1"/>
        </w:rPr>
      </w:pPr>
      <w:r w:rsidDel="00000000" w:rsidR="00000000" w:rsidRPr="00000000">
        <w:rPr>
          <w:rFonts w:ascii="Arial" w:cs="Arial" w:eastAsia="Arial" w:hAnsi="Arial"/>
          <w:b w:val="1"/>
          <w:rtl w:val="0"/>
        </w:rPr>
        <w:t xml:space="preserve">3.1 Extent of Professional Preparation among Public Secondary School Teachers in the K-12 Education Context</w:t>
      </w:r>
    </w:p>
    <w:p w:rsidR="00000000" w:rsidDel="00000000" w:rsidP="00000000" w:rsidRDefault="00000000" w:rsidRPr="00000000" w14:paraId="00000066">
      <w:pPr>
        <w:rPr>
          <w:rFonts w:ascii="Arial" w:cs="Arial" w:eastAsia="Arial" w:hAnsi="Arial"/>
          <w:b w:val="1"/>
        </w:rPr>
      </w:pPr>
      <w:r w:rsidDel="00000000" w:rsidR="00000000" w:rsidRPr="00000000">
        <w:rPr>
          <w:rtl w:val="0"/>
        </w:rPr>
      </w:r>
    </w:p>
    <w:p w:rsidR="00000000" w:rsidDel="00000000" w:rsidP="00000000" w:rsidRDefault="00000000" w:rsidRPr="00000000" w14:paraId="00000067">
      <w:pPr>
        <w:jc w:val="both"/>
        <w:rPr>
          <w:rFonts w:ascii="Arial" w:cs="Arial" w:eastAsia="Arial" w:hAnsi="Arial"/>
          <w:i w:val="1"/>
        </w:rPr>
      </w:pPr>
      <w:r w:rsidDel="00000000" w:rsidR="00000000" w:rsidRPr="00000000">
        <w:rPr>
          <w:rFonts w:ascii="Arial" w:cs="Arial" w:eastAsia="Arial" w:hAnsi="Arial"/>
          <w:rtl w:val="0"/>
        </w:rPr>
        <w:t xml:space="preserve">Table 1.</w:t>
      </w:r>
      <w:r w:rsidDel="00000000" w:rsidR="00000000" w:rsidRPr="00000000">
        <w:rPr>
          <w:rtl w:val="0"/>
        </w:rPr>
        <w:t xml:space="preserve"> </w:t>
      </w:r>
      <w:r w:rsidDel="00000000" w:rsidR="00000000" w:rsidRPr="00000000">
        <w:rPr>
          <w:rFonts w:ascii="Arial" w:cs="Arial" w:eastAsia="Arial" w:hAnsi="Arial"/>
          <w:i w:val="1"/>
          <w:rtl w:val="0"/>
        </w:rPr>
        <w:t xml:space="preserve">Extent of Professional Preparation among Public Secondary School Teachers in the K-12 Education Context</w:t>
      </w:r>
    </w:p>
    <w:p w:rsidR="00000000" w:rsidDel="00000000" w:rsidP="00000000" w:rsidRDefault="00000000" w:rsidRPr="00000000" w14:paraId="00000068">
      <w:pPr>
        <w:jc w:val="both"/>
        <w:rPr>
          <w:rFonts w:ascii="Arial" w:cs="Arial" w:eastAsia="Arial" w:hAnsi="Arial"/>
          <w:i w:val="1"/>
        </w:rPr>
      </w:pPr>
      <w:r w:rsidDel="00000000" w:rsidR="00000000" w:rsidRPr="00000000">
        <w:rPr>
          <w:rtl w:val="0"/>
        </w:rPr>
      </w:r>
    </w:p>
    <w:tbl>
      <w:tblPr>
        <w:tblStyle w:val="Table2"/>
        <w:tblW w:w="4368.0" w:type="dxa"/>
        <w:jc w:val="center"/>
        <w:tblLayout w:type="fixed"/>
        <w:tblLook w:val="0400"/>
      </w:tblPr>
      <w:tblGrid>
        <w:gridCol w:w="1172"/>
        <w:gridCol w:w="606"/>
        <w:gridCol w:w="728"/>
        <w:gridCol w:w="1862"/>
        <w:tblGridChange w:id="0">
          <w:tblGrid>
            <w:gridCol w:w="1172"/>
            <w:gridCol w:w="606"/>
            <w:gridCol w:w="728"/>
            <w:gridCol w:w="1862"/>
          </w:tblGrid>
        </w:tblGridChange>
      </w:tblGrid>
      <w:tr>
        <w:trPr>
          <w:cantSplit w:val="0"/>
          <w:trHeight w:val="35" w:hRule="atLeast"/>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9">
            <w:pPr>
              <w:jc w:val="both"/>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Indicators</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SD</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Mean</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Descriptive Level</w:t>
            </w:r>
            <w:r w:rsidDel="00000000" w:rsidR="00000000" w:rsidRPr="00000000">
              <w:rPr>
                <w:rtl w:val="0"/>
              </w:rPr>
            </w:r>
          </w:p>
        </w:tc>
      </w:tr>
      <w:tr>
        <w:trPr>
          <w:cantSplit w:val="0"/>
          <w:trHeight w:val="269" w:hRule="atLeast"/>
          <w:tblHeader w:val="0"/>
        </w:trPr>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Planning</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0.70</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4.40</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Very Extensive</w:t>
            </w:r>
            <w:r w:rsidDel="00000000" w:rsidR="00000000" w:rsidRPr="00000000">
              <w:rPr>
                <w:rtl w:val="0"/>
              </w:rPr>
            </w:r>
          </w:p>
        </w:tc>
      </w:tr>
      <w:tr>
        <w:trPr>
          <w:cantSplit w:val="0"/>
          <w:trHeight w:val="280" w:hRule="atLeast"/>
          <w:tblHeader w:val="0"/>
        </w:trPr>
        <w:tc>
          <w:tcPr>
            <w:tcMar>
              <w:top w:w="0.0" w:type="dxa"/>
              <w:left w:w="108.0" w:type="dxa"/>
              <w:bottom w:w="0.0" w:type="dxa"/>
              <w:right w:w="108.0" w:type="dxa"/>
            </w:tcMar>
          </w:tcPr>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Executing</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0.65</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4.39</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Very Extensive</w:t>
            </w:r>
            <w:r w:rsidDel="00000000" w:rsidR="00000000" w:rsidRPr="00000000">
              <w:rPr>
                <w:rtl w:val="0"/>
              </w:rPr>
            </w:r>
          </w:p>
        </w:tc>
      </w:tr>
      <w:tr>
        <w:trPr>
          <w:cantSplit w:val="0"/>
          <w:trHeight w:val="280" w:hRule="atLeast"/>
          <w:tblHeader w:val="0"/>
        </w:trPr>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Evaluating</w:t>
            </w: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0.73</w:t>
            </w: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4.40</w:t>
            </w: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Very Extensive</w:t>
            </w:r>
            <w:r w:rsidDel="00000000" w:rsidR="00000000" w:rsidRPr="00000000">
              <w:rPr>
                <w:rtl w:val="0"/>
              </w:rPr>
            </w:r>
          </w:p>
        </w:tc>
      </w:tr>
      <w:tr>
        <w:trPr>
          <w:cantSplit w:val="0"/>
          <w:trHeight w:val="264" w:hRule="atLeast"/>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Overall</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0.55</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4.40</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Very Extensive</w:t>
            </w:r>
            <w:r w:rsidDel="00000000" w:rsidR="00000000" w:rsidRPr="00000000">
              <w:rPr>
                <w:rtl w:val="0"/>
              </w:rPr>
            </w:r>
          </w:p>
        </w:tc>
      </w:tr>
    </w:tbl>
    <w:p w:rsidR="00000000" w:rsidDel="00000000" w:rsidP="00000000" w:rsidRDefault="00000000" w:rsidRPr="00000000" w14:paraId="0000007D">
      <w:pPr>
        <w:jc w:val="both"/>
        <w:rPr>
          <w:rFonts w:ascii="Arial" w:cs="Arial" w:eastAsia="Arial" w:hAnsi="Arial"/>
        </w:rPr>
      </w:pPr>
      <w:r w:rsidDel="00000000" w:rsidR="00000000" w:rsidRPr="00000000">
        <w:rPr>
          <w:rtl w:val="0"/>
        </w:rPr>
      </w:r>
    </w:p>
    <w:p w:rsidR="00000000" w:rsidDel="00000000" w:rsidP="00000000" w:rsidRDefault="00000000" w:rsidRPr="00000000" w14:paraId="0000007E">
      <w:pPr>
        <w:jc w:val="both"/>
        <w:rPr>
          <w:rFonts w:ascii="Arial" w:cs="Arial" w:eastAsia="Arial" w:hAnsi="Arial"/>
        </w:rPr>
      </w:pPr>
      <w:r w:rsidDel="00000000" w:rsidR="00000000" w:rsidRPr="00000000">
        <w:rPr>
          <w:rFonts w:ascii="Arial" w:cs="Arial" w:eastAsia="Arial" w:hAnsi="Arial"/>
          <w:rtl w:val="0"/>
        </w:rPr>
        <w:t xml:space="preserve">Presented in Table 1 is the summary of the indicators in the extent of professional preparation of teachers, including planning, executing, and evaluating, based on the mean scores and standard deviations. The indicator of planning has a mean of 4.40, categorized as "very extensive," followed by evaluating, which also received a mean of 4.40, categorized as "very extensive." The indicator of executing has a mean of 4.39, categorized as "very extensive."</w:t>
      </w:r>
    </w:p>
    <w:p w:rsidR="00000000" w:rsidDel="00000000" w:rsidP="00000000" w:rsidRDefault="00000000" w:rsidRPr="00000000" w14:paraId="0000007F">
      <w:pPr>
        <w:jc w:val="both"/>
        <w:rPr>
          <w:rFonts w:ascii="Arial" w:cs="Arial" w:eastAsia="Arial" w:hAnsi="Arial"/>
        </w:rPr>
      </w:pPr>
      <w:r w:rsidDel="00000000" w:rsidR="00000000" w:rsidRPr="00000000">
        <w:rPr>
          <w:rtl w:val="0"/>
        </w:rPr>
      </w:r>
    </w:p>
    <w:p w:rsidR="00000000" w:rsidDel="00000000" w:rsidP="00000000" w:rsidRDefault="00000000" w:rsidRPr="00000000" w14:paraId="00000080">
      <w:pPr>
        <w:jc w:val="both"/>
        <w:rPr>
          <w:rFonts w:ascii="Arial" w:cs="Arial" w:eastAsia="Arial" w:hAnsi="Arial"/>
        </w:rPr>
      </w:pPr>
      <w:r w:rsidDel="00000000" w:rsidR="00000000" w:rsidRPr="00000000">
        <w:rPr>
          <w:rFonts w:ascii="Arial" w:cs="Arial" w:eastAsia="Arial" w:hAnsi="Arial"/>
          <w:rtl w:val="0"/>
        </w:rPr>
        <w:t xml:space="preserve">The overall mean of 4.40 is described as "very extensive," indicating that teachers generally implement curriculum preparation practices to a very high degree across these indicators.</w:t>
      </w:r>
    </w:p>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This suggests that teachers consistently and thoroughly engage in the processes of planning, executing, and evaluating the curriculum. Their professional preparation in these areas is comprehensive, likely contributing to their overall teaching effectiveness. The overall standard deviation of 0.55, being less than 1, indicates that the ratings were consistent or closely clustered around the mean.</w:t>
      </w:r>
    </w:p>
    <w:p w:rsidR="00000000" w:rsidDel="00000000" w:rsidP="00000000" w:rsidRDefault="00000000" w:rsidRPr="00000000" w14:paraId="00000082">
      <w:pPr>
        <w:jc w:val="both"/>
        <w:rPr>
          <w:rFonts w:ascii="Arial" w:cs="Arial" w:eastAsia="Arial" w:hAnsi="Arial"/>
        </w:rPr>
      </w:pPr>
      <w:r w:rsidDel="00000000" w:rsidR="00000000" w:rsidRPr="00000000">
        <w:rPr>
          <w:rtl w:val="0"/>
        </w:rPr>
      </w:r>
    </w:p>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rtl w:val="0"/>
        </w:rPr>
        <w:t xml:space="preserve">This finding is consistent with the research of Kelley et al. (2020), which suggests that a strong levels of professional preparation significantly enhance teachers' ability to plan, execute, and evaluate their teaching effectively. Teachers who receive thorough professional development are more equipped to implement effective strategies in the classroom, contributing to improved student outcomes. Furthermore, Byrd et al. (2020) found that teachers with strong professional preparation can adapt their teaching styles to meet the diverse needs of their students better, leading to a more inclusive and effective learning environment. Similarly, Mansfield (2020) highlighted that professional preparation not only improves teachers' knowledge but also empowers them to handle challenges with greater confidence and skill.</w:t>
      </w:r>
    </w:p>
    <w:p w:rsidR="00000000" w:rsidDel="00000000" w:rsidP="00000000" w:rsidRDefault="00000000" w:rsidRPr="00000000" w14:paraId="0000008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85">
      <w:pPr>
        <w:jc w:val="both"/>
        <w:rPr>
          <w:rFonts w:ascii="Arial" w:cs="Arial" w:eastAsia="Arial" w:hAnsi="Arial"/>
          <w:b w:val="1"/>
        </w:rPr>
      </w:pPr>
      <w:r w:rsidDel="00000000" w:rsidR="00000000" w:rsidRPr="00000000">
        <w:rPr>
          <w:rFonts w:ascii="Arial" w:cs="Arial" w:eastAsia="Arial" w:hAnsi="Arial"/>
          <w:b w:val="1"/>
          <w:rtl w:val="0"/>
        </w:rPr>
        <w:t xml:space="preserve">3.2. Extent of Curriculum Assessment among Public Secondary School Teachers in the K-12 Education Context</w:t>
      </w:r>
    </w:p>
    <w:p w:rsidR="00000000" w:rsidDel="00000000" w:rsidP="00000000" w:rsidRDefault="00000000" w:rsidRPr="00000000" w14:paraId="0000008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87">
      <w:pPr>
        <w:jc w:val="both"/>
        <w:rPr>
          <w:rFonts w:ascii="Arial" w:cs="Arial" w:eastAsia="Arial" w:hAnsi="Arial"/>
          <w:i w:val="1"/>
        </w:rPr>
      </w:pPr>
      <w:r w:rsidDel="00000000" w:rsidR="00000000" w:rsidRPr="00000000">
        <w:rPr>
          <w:rFonts w:ascii="Arial" w:cs="Arial" w:eastAsia="Arial" w:hAnsi="Arial"/>
          <w:rtl w:val="0"/>
        </w:rPr>
        <w:t xml:space="preserve">Table 2. </w:t>
      </w:r>
      <w:r w:rsidDel="00000000" w:rsidR="00000000" w:rsidRPr="00000000">
        <w:rPr>
          <w:rFonts w:ascii="Arial" w:cs="Arial" w:eastAsia="Arial" w:hAnsi="Arial"/>
          <w:i w:val="1"/>
          <w:rtl w:val="0"/>
        </w:rPr>
        <w:t xml:space="preserve">Extent of Curriculum Assessment among Public Secondary School Teachers in the K-12 Education Context</w:t>
      </w:r>
    </w:p>
    <w:p w:rsidR="00000000" w:rsidDel="00000000" w:rsidP="00000000" w:rsidRDefault="00000000" w:rsidRPr="00000000" w14:paraId="00000088">
      <w:pPr>
        <w:jc w:val="both"/>
        <w:rPr>
          <w:rFonts w:ascii="Arial" w:cs="Arial" w:eastAsia="Arial" w:hAnsi="Arial"/>
          <w:i w:val="1"/>
        </w:rPr>
      </w:pPr>
      <w:r w:rsidDel="00000000" w:rsidR="00000000" w:rsidRPr="00000000">
        <w:rPr>
          <w:rtl w:val="0"/>
        </w:rPr>
      </w:r>
    </w:p>
    <w:tbl>
      <w:tblPr>
        <w:tblStyle w:val="Table3"/>
        <w:tblW w:w="6358.0" w:type="dxa"/>
        <w:jc w:val="center"/>
        <w:tblLayout w:type="fixed"/>
        <w:tblLook w:val="0400"/>
      </w:tblPr>
      <w:tblGrid>
        <w:gridCol w:w="3162"/>
        <w:gridCol w:w="606"/>
        <w:gridCol w:w="728"/>
        <w:gridCol w:w="1862"/>
        <w:tblGridChange w:id="0">
          <w:tblGrid>
            <w:gridCol w:w="3162"/>
            <w:gridCol w:w="606"/>
            <w:gridCol w:w="728"/>
            <w:gridCol w:w="1862"/>
          </w:tblGrid>
        </w:tblGridChange>
      </w:tblGrid>
      <w:tr>
        <w:trPr>
          <w:cantSplit w:val="0"/>
          <w:trHeight w:val="207" w:hRule="atLeast"/>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Indicators</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A">
            <w:pPr>
              <w:jc w:val="cente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SD</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B">
            <w:pPr>
              <w:jc w:val="cente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Mean</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C">
            <w:pPr>
              <w:jc w:val="cente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Descriptive Level</w:t>
            </w:r>
            <w:r w:rsidDel="00000000" w:rsidR="00000000" w:rsidRPr="00000000">
              <w:rPr>
                <w:rtl w:val="0"/>
              </w:rPr>
            </w:r>
          </w:p>
        </w:tc>
      </w:tr>
      <w:tr>
        <w:trPr>
          <w:cantSplit w:val="0"/>
          <w:trHeight w:val="269" w:hRule="atLeast"/>
          <w:tblHeader w:val="0"/>
        </w:trPr>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Curriculum Content</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8E">
            <w:pPr>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0.68</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8F">
            <w:pPr>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4.11</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90">
            <w:pPr>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Extensive</w:t>
            </w:r>
            <w:r w:rsidDel="00000000" w:rsidR="00000000" w:rsidRPr="00000000">
              <w:rPr>
                <w:rtl w:val="0"/>
              </w:rPr>
            </w:r>
          </w:p>
        </w:tc>
      </w:tr>
      <w:tr>
        <w:trPr>
          <w:cantSplit w:val="0"/>
          <w:trHeight w:val="280" w:hRule="atLeast"/>
          <w:tblHeader w:val="0"/>
        </w:trPr>
        <w:tc>
          <w:tcPr>
            <w:tcMar>
              <w:top w:w="0.0" w:type="dxa"/>
              <w:left w:w="108.0" w:type="dxa"/>
              <w:bottom w:w="0.0" w:type="dxa"/>
              <w:right w:w="108.0" w:type="dxa"/>
            </w:tcMar>
          </w:tcPr>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Curriculum Objectives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92">
            <w:pPr>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0.65</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93">
            <w:pPr>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4.13</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94">
            <w:pPr>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Extensive</w:t>
            </w:r>
            <w:r w:rsidDel="00000000" w:rsidR="00000000" w:rsidRPr="00000000">
              <w:rPr>
                <w:rtl w:val="0"/>
              </w:rPr>
            </w:r>
          </w:p>
        </w:tc>
      </w:tr>
      <w:tr>
        <w:trPr>
          <w:cantSplit w:val="0"/>
          <w:trHeight w:val="280" w:hRule="atLeast"/>
          <w:tblHeader w:val="0"/>
        </w:trPr>
        <w:tc>
          <w:tcPr>
            <w:tcMar>
              <w:top w:w="0.0" w:type="dxa"/>
              <w:left w:w="108.0" w:type="dxa"/>
              <w:bottom w:w="0.0" w:type="dxa"/>
              <w:right w:w="108.0" w:type="dxa"/>
            </w:tcMar>
          </w:tcPr>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Educational Effectiveness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96">
            <w:pPr>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0.60</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97">
            <w:pPr>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4.15</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98">
            <w:pPr>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Extensive</w:t>
            </w:r>
            <w:r w:rsidDel="00000000" w:rsidR="00000000" w:rsidRPr="00000000">
              <w:rPr>
                <w:rtl w:val="0"/>
              </w:rPr>
            </w:r>
          </w:p>
        </w:tc>
      </w:tr>
      <w:tr>
        <w:trPr>
          <w:cantSplit w:val="0"/>
          <w:trHeight w:val="280" w:hRule="atLeast"/>
          <w:tblHeader w:val="0"/>
        </w:trPr>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Resource Materials and Facilities</w:t>
            </w: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9A">
            <w:pPr>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0.58</w:t>
            </w: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9B">
            <w:pPr>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3.95</w:t>
            </w: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9C">
            <w:pPr>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Extensive</w:t>
            </w:r>
            <w:r w:rsidDel="00000000" w:rsidR="00000000" w:rsidRPr="00000000">
              <w:rPr>
                <w:rtl w:val="0"/>
              </w:rPr>
            </w:r>
          </w:p>
        </w:tc>
      </w:tr>
      <w:tr>
        <w:trPr>
          <w:cantSplit w:val="0"/>
          <w:trHeight w:val="264" w:hRule="atLeast"/>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Overall</w:t>
            </w: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9F">
            <w:pPr>
              <w:jc w:val="cente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0.48</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A0">
            <w:pPr>
              <w:jc w:val="cente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4.37</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A1">
            <w:pPr>
              <w:jc w:val="cente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Extensive</w:t>
            </w:r>
            <w:r w:rsidDel="00000000" w:rsidR="00000000" w:rsidRPr="00000000">
              <w:rPr>
                <w:rtl w:val="0"/>
              </w:rPr>
            </w:r>
          </w:p>
        </w:tc>
      </w:tr>
    </w:tbl>
    <w:p w:rsidR="00000000" w:rsidDel="00000000" w:rsidP="00000000" w:rsidRDefault="00000000" w:rsidRPr="00000000" w14:paraId="000000A2">
      <w:pPr>
        <w:jc w:val="both"/>
        <w:rPr>
          <w:rFonts w:ascii="Arial" w:cs="Arial" w:eastAsia="Arial" w:hAnsi="Arial"/>
        </w:rPr>
      </w:pPr>
      <w:r w:rsidDel="00000000" w:rsidR="00000000" w:rsidRPr="00000000">
        <w:rPr>
          <w:rtl w:val="0"/>
        </w:rPr>
      </w:r>
    </w:p>
    <w:p w:rsidR="00000000" w:rsidDel="00000000" w:rsidP="00000000" w:rsidRDefault="00000000" w:rsidRPr="00000000" w14:paraId="000000A3">
      <w:pPr>
        <w:jc w:val="both"/>
        <w:rPr>
          <w:rFonts w:ascii="Arial" w:cs="Arial" w:eastAsia="Arial" w:hAnsi="Arial"/>
        </w:rPr>
      </w:pPr>
      <w:r w:rsidDel="00000000" w:rsidR="00000000" w:rsidRPr="00000000">
        <w:rPr>
          <w:rtl w:val="0"/>
        </w:rPr>
      </w:r>
    </w:p>
    <w:p w:rsidR="00000000" w:rsidDel="00000000" w:rsidP="00000000" w:rsidRDefault="00000000" w:rsidRPr="00000000" w14:paraId="000000A4">
      <w:pPr>
        <w:jc w:val="both"/>
        <w:rPr>
          <w:rFonts w:ascii="Arial" w:cs="Arial" w:eastAsia="Arial" w:hAnsi="Arial"/>
        </w:rPr>
      </w:pPr>
      <w:r w:rsidDel="00000000" w:rsidR="00000000" w:rsidRPr="00000000">
        <w:rPr>
          <w:rFonts w:ascii="Arial" w:cs="Arial" w:eastAsia="Arial" w:hAnsi="Arial"/>
          <w:rtl w:val="0"/>
        </w:rPr>
        <w:t xml:space="preserve">Presented in Table 2 is the summary of the indicators in the extent of curriculum assessment of teachers, including curriculum content, curriculum objectives, educational effectiveness, and resource materials and facilities, based on the mean scores and standard deviations. The indicator of educational effectiveness has the highest mean of 4.15, which is categorized as "extensive," followed by curriculum objectives with a mean of 4.13, also categorized as "extensive." The indicator of curriculum content received a mean of 4.11, categorized as "extensive." The indicator of resource materials and facilities received the lowest mean of 3.95, categorized as "extensive." The overall mean of 4.37 is described as "extensive," indicating that teachers generally implement curriculum assessment practices to a high degree across these indicators.</w:t>
      </w:r>
    </w:p>
    <w:p w:rsidR="00000000" w:rsidDel="00000000" w:rsidP="00000000" w:rsidRDefault="00000000" w:rsidRPr="00000000" w14:paraId="000000A5">
      <w:pPr>
        <w:jc w:val="both"/>
        <w:rPr>
          <w:rFonts w:ascii="Arial" w:cs="Arial" w:eastAsia="Arial" w:hAnsi="Arial"/>
        </w:rPr>
      </w:pPr>
      <w:r w:rsidDel="00000000" w:rsidR="00000000" w:rsidRPr="00000000">
        <w:rPr>
          <w:rtl w:val="0"/>
        </w:rPr>
      </w:r>
    </w:p>
    <w:p w:rsidR="00000000" w:rsidDel="00000000" w:rsidP="00000000" w:rsidRDefault="00000000" w:rsidRPr="00000000" w14:paraId="000000A6">
      <w:pPr>
        <w:jc w:val="both"/>
        <w:rPr>
          <w:rFonts w:ascii="Arial" w:cs="Arial" w:eastAsia="Arial" w:hAnsi="Arial"/>
        </w:rPr>
      </w:pPr>
      <w:r w:rsidDel="00000000" w:rsidR="00000000" w:rsidRPr="00000000">
        <w:rPr>
          <w:rFonts w:ascii="Arial" w:cs="Arial" w:eastAsia="Arial" w:hAnsi="Arial"/>
          <w:rtl w:val="0"/>
        </w:rPr>
        <w:t xml:space="preserve">This suggests that teachers prioritize educational effectiveness and curriculum objectives in their assessments, with curriculum content also being highly emphasized. However, resource materials and facilities seem to be less emphasized compared to other indicators.</w:t>
      </w:r>
    </w:p>
    <w:p w:rsidR="00000000" w:rsidDel="00000000" w:rsidP="00000000" w:rsidRDefault="00000000" w:rsidRPr="00000000" w14:paraId="000000A7">
      <w:pPr>
        <w:jc w:val="both"/>
        <w:rPr>
          <w:rFonts w:ascii="Arial" w:cs="Arial" w:eastAsia="Arial" w:hAnsi="Arial"/>
        </w:rPr>
      </w:pPr>
      <w:r w:rsidDel="00000000" w:rsidR="00000000" w:rsidRPr="00000000">
        <w:rPr>
          <w:rFonts w:ascii="Arial" w:cs="Arial" w:eastAsia="Arial" w:hAnsi="Arial"/>
          <w:rtl w:val="0"/>
        </w:rPr>
        <w:t xml:space="preserve">The overall standard deviation of 0.48, being less than 1, indicates that the ratings were consistent or closely clustered around the mean.</w:t>
      </w:r>
    </w:p>
    <w:p w:rsidR="00000000" w:rsidDel="00000000" w:rsidP="00000000" w:rsidRDefault="00000000" w:rsidRPr="00000000" w14:paraId="000000A8">
      <w:pPr>
        <w:jc w:val="both"/>
        <w:rPr>
          <w:rFonts w:ascii="Arial" w:cs="Arial" w:eastAsia="Arial" w:hAnsi="Arial"/>
        </w:rPr>
      </w:pPr>
      <w:r w:rsidDel="00000000" w:rsidR="00000000" w:rsidRPr="00000000">
        <w:rPr>
          <w:rtl w:val="0"/>
        </w:rPr>
      </w:r>
    </w:p>
    <w:p w:rsidR="00000000" w:rsidDel="00000000" w:rsidP="00000000" w:rsidRDefault="00000000" w:rsidRPr="00000000" w14:paraId="000000A9">
      <w:pPr>
        <w:jc w:val="both"/>
        <w:rPr>
          <w:rFonts w:ascii="Arial" w:cs="Arial" w:eastAsia="Arial" w:hAnsi="Arial"/>
        </w:rPr>
      </w:pPr>
      <w:r w:rsidDel="00000000" w:rsidR="00000000" w:rsidRPr="00000000">
        <w:rPr>
          <w:rFonts w:ascii="Arial" w:cs="Arial" w:eastAsia="Arial" w:hAnsi="Arial"/>
          <w:rtl w:val="0"/>
        </w:rPr>
        <w:t xml:space="preserve">This finding supports the conclusions drawn by Hamilton et al. (2021), who found that a high level of curriculum assessment is linked to more effective teaching practices and improved student outcomes. Teachers who engage in thorough curriculum assessment are better equipped to evaluate the alignment between learning objectives, content, and assessments, which ultimately enhances the coherence and relevance of their teaching. Furthermore, a study by Kusmawan et al. (2025) found that teachers who actively assess and adjust their curriculum based on feedback and results are able to better meet the needs of their students, leading to higher levels of student engagement and academic success. Additionally, Harrington et al. (2021) argue that continuous curriculum assessment is crucial for fostering an adaptive teaching environment, where adjustments are made to ensure both content relevance and educational effectiveness.</w:t>
      </w:r>
    </w:p>
    <w:p w:rsidR="00000000" w:rsidDel="00000000" w:rsidP="00000000" w:rsidRDefault="00000000" w:rsidRPr="00000000" w14:paraId="000000AA">
      <w:pPr>
        <w:jc w:val="both"/>
        <w:rPr>
          <w:rFonts w:ascii="Arial" w:cs="Arial" w:eastAsia="Arial" w:hAnsi="Arial"/>
        </w:rPr>
      </w:pPr>
      <w:r w:rsidDel="00000000" w:rsidR="00000000" w:rsidRPr="00000000">
        <w:rPr>
          <w:rtl w:val="0"/>
        </w:rPr>
      </w:r>
    </w:p>
    <w:p w:rsidR="00000000" w:rsidDel="00000000" w:rsidP="00000000" w:rsidRDefault="00000000" w:rsidRPr="00000000" w14:paraId="000000AB">
      <w:pPr>
        <w:jc w:val="both"/>
        <w:rPr>
          <w:rFonts w:ascii="Arial" w:cs="Arial" w:eastAsia="Arial" w:hAnsi="Arial"/>
        </w:rPr>
      </w:pPr>
      <w:r w:rsidDel="00000000" w:rsidR="00000000" w:rsidRPr="00000000">
        <w:rPr>
          <w:rFonts w:ascii="Arial" w:cs="Arial" w:eastAsia="Arial" w:hAnsi="Arial"/>
          <w:b w:val="1"/>
          <w:rtl w:val="0"/>
        </w:rPr>
        <w:t xml:space="preserve">3.3 Significant Relationship between Professional Preparation and Curriculum Assessment of Public Elementary School Teachers</w:t>
      </w:r>
      <w:r w:rsidDel="00000000" w:rsidR="00000000" w:rsidRPr="00000000">
        <w:rPr>
          <w:rtl w:val="0"/>
        </w:rPr>
      </w:r>
    </w:p>
    <w:p w:rsidR="00000000" w:rsidDel="00000000" w:rsidP="00000000" w:rsidRDefault="00000000" w:rsidRPr="00000000" w14:paraId="000000AC">
      <w:pPr>
        <w:jc w:val="both"/>
        <w:rPr>
          <w:rFonts w:ascii="Arial" w:cs="Arial" w:eastAsia="Arial" w:hAnsi="Arial"/>
          <w:i w:val="1"/>
        </w:rPr>
      </w:pPr>
      <w:r w:rsidDel="00000000" w:rsidR="00000000" w:rsidRPr="00000000">
        <w:rPr>
          <w:rFonts w:ascii="Arial" w:cs="Arial" w:eastAsia="Arial" w:hAnsi="Arial"/>
          <w:rtl w:val="0"/>
        </w:rPr>
        <w:t xml:space="preserve">Table 3.  </w:t>
      </w:r>
      <w:r w:rsidDel="00000000" w:rsidR="00000000" w:rsidRPr="00000000">
        <w:rPr>
          <w:rFonts w:ascii="Arial" w:cs="Arial" w:eastAsia="Arial" w:hAnsi="Arial"/>
          <w:i w:val="1"/>
          <w:rtl w:val="0"/>
        </w:rPr>
        <w:t xml:space="preserve">Significant Relationship between Professional Preparation and Curriculum Assessment of Public Elementary School Teachers</w:t>
      </w:r>
    </w:p>
    <w:p w:rsidR="00000000" w:rsidDel="00000000" w:rsidP="00000000" w:rsidRDefault="00000000" w:rsidRPr="00000000" w14:paraId="000000AD">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0AE">
      <w:pPr>
        <w:jc w:val="both"/>
        <w:rPr>
          <w:rFonts w:ascii="Arial" w:cs="Arial" w:eastAsia="Arial" w:hAnsi="Arial"/>
        </w:rPr>
      </w:pPr>
      <w:r w:rsidDel="00000000" w:rsidR="00000000" w:rsidRPr="00000000">
        <w:rPr>
          <w:rtl w:val="0"/>
        </w:rPr>
      </w:r>
    </w:p>
    <w:tbl>
      <w:tblPr>
        <w:tblStyle w:val="Table4"/>
        <w:tblW w:w="8208.0" w:type="dxa"/>
        <w:jc w:val="center"/>
        <w:tblLayout w:type="fixed"/>
        <w:tblLook w:val="0400"/>
      </w:tblPr>
      <w:tblGrid>
        <w:gridCol w:w="1837"/>
        <w:gridCol w:w="728"/>
        <w:gridCol w:w="606"/>
        <w:gridCol w:w="606"/>
        <w:gridCol w:w="606"/>
        <w:gridCol w:w="1883"/>
        <w:gridCol w:w="818"/>
        <w:gridCol w:w="1124"/>
        <w:tblGridChange w:id="0">
          <w:tblGrid>
            <w:gridCol w:w="1837"/>
            <w:gridCol w:w="728"/>
            <w:gridCol w:w="606"/>
            <w:gridCol w:w="606"/>
            <w:gridCol w:w="606"/>
            <w:gridCol w:w="1883"/>
            <w:gridCol w:w="818"/>
            <w:gridCol w:w="1124"/>
          </w:tblGrid>
        </w:tblGridChange>
      </w:tblGrid>
      <w:tr>
        <w:trPr>
          <w:cantSplit w:val="0"/>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Variables</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Mean</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SD</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R</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B3">
            <w:pPr>
              <w:shd w:fill="ffffff" w:val="clea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R²</w:t>
            </w: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Degree of Relationship</w:t>
            </w: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p-value</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Decision</w:t>
            </w:r>
            <w:r w:rsidDel="00000000" w:rsidR="00000000" w:rsidRPr="00000000">
              <w:rPr>
                <w:rtl w:val="0"/>
              </w:rPr>
            </w:r>
          </w:p>
        </w:tc>
      </w:tr>
      <w:tr>
        <w:trPr>
          <w:cantSplit w:val="0"/>
          <w:tblHeader w:val="0"/>
        </w:trPr>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Professional Preparation</w:t>
            </w: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BB">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4.25</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0.62</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C2">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tc>
        <w:tc>
          <w:tcPr>
            <w:tcMar>
              <w:top w:w="0.0" w:type="dxa"/>
              <w:left w:w="108.0" w:type="dxa"/>
              <w:bottom w:w="0.0" w:type="dxa"/>
              <w:right w:w="108.0" w:type="dxa"/>
            </w:tcMar>
          </w:tcPr>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0.46</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0.21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C7">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Moderate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0.000</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C9">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Reject Ho1</w:t>
            </w:r>
            <w:r w:rsidDel="00000000" w:rsidR="00000000" w:rsidRPr="00000000">
              <w:rPr>
                <w:rtl w:val="0"/>
              </w:rPr>
            </w:r>
          </w:p>
        </w:tc>
      </w:tr>
      <w:tr>
        <w:trPr>
          <w:cantSplit w:val="0"/>
          <w:tblHeader w:val="0"/>
        </w:trPr>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CA">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Curriculum Assessment</w:t>
            </w: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CC">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3.95</w:t>
            </w: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CD">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0.48</w:t>
            </w: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D3">
      <w:pPr>
        <w:jc w:val="both"/>
        <w:rPr>
          <w:rFonts w:ascii="Arial" w:cs="Arial" w:eastAsia="Arial" w:hAnsi="Arial"/>
        </w:rPr>
      </w:pPr>
      <w:r w:rsidDel="00000000" w:rsidR="00000000" w:rsidRPr="00000000">
        <w:rPr>
          <w:rtl w:val="0"/>
        </w:rPr>
      </w:r>
    </w:p>
    <w:p w:rsidR="00000000" w:rsidDel="00000000" w:rsidP="00000000" w:rsidRDefault="00000000" w:rsidRPr="00000000" w14:paraId="000000D4">
      <w:pPr>
        <w:jc w:val="both"/>
        <w:rPr>
          <w:rFonts w:ascii="Arial" w:cs="Arial" w:eastAsia="Arial" w:hAnsi="Arial"/>
        </w:rPr>
      </w:pPr>
      <w:r w:rsidDel="00000000" w:rsidR="00000000" w:rsidRPr="00000000">
        <w:rPr>
          <w:rFonts w:ascii="Arial" w:cs="Arial" w:eastAsia="Arial" w:hAnsi="Arial"/>
          <w:rtl w:val="0"/>
        </w:rPr>
        <w:t xml:space="preserve">Presented in Table 3 is the correlation analysis between professional preparation and curriculum assessment of public elementary school teachers. The relationship between professional preparation and curriculum assessment has a correlation coefficient of 0.46 with a p-value of 0.000, which is less than the 0.05 significance level. This indicates a moderate and statistically significant positive relationship between professional preparation and curriculum assessment. The R² value of 0.21 suggests that approximately 21% of the variation in curriculum assessment can be explained by professional preparation. Given that the p-value is less than 0.05, the null hypothesis (Ho1) is rejected, supporting the claim that professional preparation significantly influences the implementation of curriculum assessment.</w:t>
      </w:r>
    </w:p>
    <w:p w:rsidR="00000000" w:rsidDel="00000000" w:rsidP="00000000" w:rsidRDefault="00000000" w:rsidRPr="00000000" w14:paraId="000000D5">
      <w:pPr>
        <w:jc w:val="both"/>
        <w:rPr>
          <w:rFonts w:ascii="Arial" w:cs="Arial" w:eastAsia="Arial" w:hAnsi="Arial"/>
        </w:rPr>
      </w:pPr>
      <w:r w:rsidDel="00000000" w:rsidR="00000000" w:rsidRPr="00000000">
        <w:rPr>
          <w:rtl w:val="0"/>
        </w:rPr>
      </w:r>
    </w:p>
    <w:p w:rsidR="00000000" w:rsidDel="00000000" w:rsidP="00000000" w:rsidRDefault="00000000" w:rsidRPr="00000000" w14:paraId="000000D6">
      <w:pPr>
        <w:jc w:val="both"/>
        <w:rPr>
          <w:rFonts w:ascii="Arial" w:cs="Arial" w:eastAsia="Arial" w:hAnsi="Arial"/>
          <w:b w:val="1"/>
        </w:rPr>
      </w:pPr>
      <w:r w:rsidDel="00000000" w:rsidR="00000000" w:rsidRPr="00000000">
        <w:rPr>
          <w:rFonts w:ascii="Arial" w:cs="Arial" w:eastAsia="Arial" w:hAnsi="Arial"/>
          <w:rtl w:val="0"/>
        </w:rPr>
        <w:t xml:space="preserve">This suggests that teachers who engage in high levels of professional preparation are more likely to implement curriculum assessment practices in their classrooms effectively. Well-prepared teachers tend to have a deeper understanding of the curriculum and assessment strategies, enabling them to assess and adjust the curriculum more effectively based on student needs and learning outcomes. This connection highlights the importance of continuous professional development in supporting teachers' ability to assess and refine the curriculum to improve student learning.</w:t>
      </w:r>
      <w:r w:rsidDel="00000000" w:rsidR="00000000" w:rsidRPr="00000000">
        <w:rPr>
          <w:rtl w:val="0"/>
        </w:rPr>
      </w:r>
    </w:p>
    <w:p w:rsidR="00000000" w:rsidDel="00000000" w:rsidP="00000000" w:rsidRDefault="00000000" w:rsidRPr="00000000" w14:paraId="000000D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D8">
      <w:pPr>
        <w:jc w:val="both"/>
        <w:rPr>
          <w:rFonts w:ascii="Arial" w:cs="Arial" w:eastAsia="Arial" w:hAnsi="Arial"/>
        </w:rPr>
      </w:pPr>
      <w:r w:rsidDel="00000000" w:rsidR="00000000" w:rsidRPr="00000000">
        <w:rPr>
          <w:rFonts w:ascii="Arial" w:cs="Arial" w:eastAsia="Arial" w:hAnsi="Arial"/>
          <w:rtl w:val="0"/>
        </w:rPr>
        <w:t xml:space="preserve">This finding aligns with the work of Byrd et al. (2020), who found that teachers with strong professional preparation are better equipped to assess curriculum effectiveness and make necessary adjustments to meet educational goals. Their research indicated that well-prepared teachers are more adept at using assessments to guide instruction and improve overall curriculum quality. Additionally, the study by Iqbal et al. (2024) suggested that a teacher’s professional preparation is essential in fostering a reflective approach to curriculum assessment, helping educators identify areas for improvement and enhancing the overall teaching-learning process. Furthermore, Sancar et al. (2021) argued that when teachers engage in comprehensive professional development, they gain the skills needed to conduct effective curriculum assessments, leading to more impactful and efficient educational practices.</w:t>
      </w:r>
    </w:p>
    <w:p w:rsidR="00000000" w:rsidDel="00000000" w:rsidP="00000000" w:rsidRDefault="00000000" w:rsidRPr="00000000" w14:paraId="000000D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DA">
      <w:pPr>
        <w:jc w:val="both"/>
        <w:rPr>
          <w:rFonts w:ascii="Arial" w:cs="Arial" w:eastAsia="Arial" w:hAnsi="Arial"/>
          <w:b w:val="1"/>
        </w:rPr>
      </w:pPr>
      <w:r w:rsidDel="00000000" w:rsidR="00000000" w:rsidRPr="00000000">
        <w:rPr>
          <w:rFonts w:ascii="Arial" w:cs="Arial" w:eastAsia="Arial" w:hAnsi="Arial"/>
          <w:b w:val="1"/>
          <w:rtl w:val="0"/>
        </w:rPr>
        <w:t xml:space="preserve">3.4. Domains of Professional Preparation that Significantly Influence the Curriculum Assessment of Public Elementary School Teachers</w:t>
      </w:r>
    </w:p>
    <w:p w:rsidR="00000000" w:rsidDel="00000000" w:rsidP="00000000" w:rsidRDefault="00000000" w:rsidRPr="00000000" w14:paraId="000000DB">
      <w:pPr>
        <w:rPr>
          <w:rFonts w:ascii="Arial" w:cs="Arial" w:eastAsia="Arial" w:hAnsi="Arial"/>
          <w:b w:val="1"/>
        </w:rPr>
      </w:pPr>
      <w:r w:rsidDel="00000000" w:rsidR="00000000" w:rsidRPr="00000000">
        <w:rPr>
          <w:rtl w:val="0"/>
        </w:rPr>
      </w:r>
    </w:p>
    <w:p w:rsidR="00000000" w:rsidDel="00000000" w:rsidP="00000000" w:rsidRDefault="00000000" w:rsidRPr="00000000" w14:paraId="000000DC">
      <w:pPr>
        <w:jc w:val="both"/>
        <w:rPr>
          <w:rFonts w:ascii="Arial" w:cs="Arial" w:eastAsia="Arial" w:hAnsi="Arial"/>
          <w:i w:val="1"/>
        </w:rPr>
      </w:pPr>
      <w:r w:rsidDel="00000000" w:rsidR="00000000" w:rsidRPr="00000000">
        <w:rPr>
          <w:rFonts w:ascii="Arial" w:cs="Arial" w:eastAsia="Arial" w:hAnsi="Arial"/>
          <w:b w:val="1"/>
          <w:rtl w:val="0"/>
        </w:rPr>
        <w:t xml:space="preserve">Table 4. </w:t>
      </w:r>
      <w:r w:rsidDel="00000000" w:rsidR="00000000" w:rsidRPr="00000000">
        <w:rPr>
          <w:rFonts w:ascii="Arial" w:cs="Arial" w:eastAsia="Arial" w:hAnsi="Arial"/>
          <w:i w:val="1"/>
          <w:rtl w:val="0"/>
        </w:rPr>
        <w:t xml:space="preserve">Domains of Professional Preparation that Significantly Influence the Curriculum Assessment of Public Elementary School Teachers</w:t>
      </w:r>
    </w:p>
    <w:p w:rsidR="00000000" w:rsidDel="00000000" w:rsidP="00000000" w:rsidRDefault="00000000" w:rsidRPr="00000000" w14:paraId="000000DD">
      <w:pPr>
        <w:jc w:val="both"/>
        <w:rPr>
          <w:rFonts w:ascii="Arial" w:cs="Arial" w:eastAsia="Arial" w:hAnsi="Arial"/>
        </w:rPr>
      </w:pPr>
      <w:r w:rsidDel="00000000" w:rsidR="00000000" w:rsidRPr="00000000">
        <w:rPr>
          <w:rtl w:val="0"/>
        </w:rPr>
      </w:r>
    </w:p>
    <w:tbl>
      <w:tblPr>
        <w:tblStyle w:val="Table5"/>
        <w:tblW w:w="7954.0" w:type="dxa"/>
        <w:jc w:val="center"/>
        <w:tblLayout w:type="fixed"/>
        <w:tblLook w:val="0400"/>
      </w:tblPr>
      <w:tblGrid>
        <w:gridCol w:w="1585"/>
        <w:gridCol w:w="835"/>
        <w:gridCol w:w="835"/>
        <w:gridCol w:w="896"/>
        <w:gridCol w:w="971"/>
        <w:gridCol w:w="1263"/>
        <w:gridCol w:w="1569"/>
        <w:tblGridChange w:id="0">
          <w:tblGrid>
            <w:gridCol w:w="1585"/>
            <w:gridCol w:w="835"/>
            <w:gridCol w:w="835"/>
            <w:gridCol w:w="896"/>
            <w:gridCol w:w="971"/>
            <w:gridCol w:w="1263"/>
            <w:gridCol w:w="1569"/>
          </w:tblGrid>
        </w:tblGridChange>
      </w:tblGrid>
      <w:tr>
        <w:trPr>
          <w:cantSplit w:val="0"/>
          <w:trHeight w:val="323" w:hRule="atLeast"/>
          <w:tblHeader w:val="0"/>
        </w:trPr>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DE">
            <w:pPr>
              <w:spacing w:line="480" w:lineRule="auto"/>
              <w:jc w:val="cente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Domains</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DF">
            <w:pPr>
              <w:spacing w:line="480" w:lineRule="auto"/>
              <w:jc w:val="cente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B</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E0">
            <w:pPr>
              <w:spacing w:line="480" w:lineRule="auto"/>
              <w:jc w:val="cente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BE</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E1">
            <w:pPr>
              <w:spacing w:line="480" w:lineRule="auto"/>
              <w:jc w:val="cente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Beta</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E2">
            <w:pPr>
              <w:spacing w:line="480" w:lineRule="auto"/>
              <w:jc w:val="cente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t-stat</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E3">
            <w:pPr>
              <w:spacing w:line="480" w:lineRule="auto"/>
              <w:jc w:val="cente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p-value</w:t>
            </w:r>
            <w:r w:rsidDel="00000000" w:rsidR="00000000" w:rsidRPr="00000000">
              <w:rPr>
                <w:rtl w:val="0"/>
              </w:rPr>
            </w:r>
          </w:p>
        </w:tc>
        <w:tc>
          <w:tcPr>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E4">
            <w:pPr>
              <w:spacing w:line="480" w:lineRule="auto"/>
              <w:jc w:val="cente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Decision</w:t>
            </w:r>
            <w:r w:rsidDel="00000000" w:rsidR="00000000" w:rsidRPr="00000000">
              <w:rPr>
                <w:rtl w:val="0"/>
              </w:rPr>
            </w:r>
          </w:p>
        </w:tc>
      </w:tr>
      <w:tr>
        <w:trPr>
          <w:cantSplit w:val="0"/>
          <w:trHeight w:val="536" w:hRule="atLeast"/>
          <w:tblHeader w:val="0"/>
        </w:trPr>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E5">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Constant</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E6">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2.20</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E7">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0.65</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E9">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4.25</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EA">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0.000</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EB">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Significant</w:t>
            </w:r>
            <w:r w:rsidDel="00000000" w:rsidR="00000000" w:rsidRPr="00000000">
              <w:rPr>
                <w:rtl w:val="0"/>
              </w:rPr>
            </w:r>
          </w:p>
        </w:tc>
      </w:tr>
      <w:tr>
        <w:trPr>
          <w:cantSplit w:val="0"/>
          <w:trHeight w:val="521" w:hRule="atLeast"/>
          <w:tblHeader w:val="0"/>
        </w:trPr>
        <w:tc>
          <w:tcPr>
            <w:tcMar>
              <w:top w:w="0.0" w:type="dxa"/>
              <w:left w:w="108.0" w:type="dxa"/>
              <w:bottom w:w="0.0" w:type="dxa"/>
              <w:right w:w="108.0" w:type="dxa"/>
            </w:tcMar>
          </w:tcPr>
          <w:p w:rsidR="00000000" w:rsidDel="00000000" w:rsidP="00000000" w:rsidRDefault="00000000" w:rsidRPr="00000000" w14:paraId="000000EC">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Planning</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ED">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0.60</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EE">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0.35</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EF">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0.36</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F0">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2.32</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F1">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0.000</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F2">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Significant</w:t>
            </w:r>
            <w:r w:rsidDel="00000000" w:rsidR="00000000" w:rsidRPr="00000000">
              <w:rPr>
                <w:rtl w:val="0"/>
              </w:rPr>
            </w:r>
          </w:p>
        </w:tc>
      </w:tr>
      <w:tr>
        <w:trPr>
          <w:cantSplit w:val="0"/>
          <w:trHeight w:val="521" w:hRule="atLeast"/>
          <w:tblHeader w:val="0"/>
        </w:trPr>
        <w:tc>
          <w:tcPr>
            <w:tcMar>
              <w:top w:w="0.0" w:type="dxa"/>
              <w:left w:w="108.0" w:type="dxa"/>
              <w:bottom w:w="0.0" w:type="dxa"/>
              <w:right w:w="108.0" w:type="dxa"/>
            </w:tcMar>
          </w:tcPr>
          <w:p w:rsidR="00000000" w:rsidDel="00000000" w:rsidP="00000000" w:rsidRDefault="00000000" w:rsidRPr="00000000" w14:paraId="000000F3">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Executing</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F4">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0.62</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F5">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0.24</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F6">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0.32</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F7">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2.56</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F8">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0.000</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F9">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Significant</w:t>
            </w:r>
            <w:r w:rsidDel="00000000" w:rsidR="00000000" w:rsidRPr="00000000">
              <w:rPr>
                <w:rtl w:val="0"/>
              </w:rPr>
            </w:r>
          </w:p>
        </w:tc>
      </w:tr>
      <w:tr>
        <w:trPr>
          <w:cantSplit w:val="0"/>
          <w:trHeight w:val="521" w:hRule="atLeast"/>
          <w:tblHeader w:val="0"/>
        </w:trPr>
        <w:tc>
          <w:tcPr>
            <w:tcMar>
              <w:top w:w="0.0" w:type="dxa"/>
              <w:left w:w="108.0" w:type="dxa"/>
              <w:bottom w:w="0.0" w:type="dxa"/>
              <w:right w:w="108.0" w:type="dxa"/>
            </w:tcMar>
          </w:tcPr>
          <w:p w:rsidR="00000000" w:rsidDel="00000000" w:rsidP="00000000" w:rsidRDefault="00000000" w:rsidRPr="00000000" w14:paraId="000000FA">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Evaluating</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FB">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0.58</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FC">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0.20</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FD">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0.30</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FE">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2.18</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FF">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0.000</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00">
            <w:pPr>
              <w:spacing w:line="480" w:lineRule="auto"/>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Significant</w:t>
            </w:r>
            <w:r w:rsidDel="00000000" w:rsidR="00000000" w:rsidRPr="00000000">
              <w:rPr>
                <w:rtl w:val="0"/>
              </w:rPr>
            </w:r>
          </w:p>
        </w:tc>
      </w:tr>
      <w:tr>
        <w:trPr>
          <w:cantSplit w:val="0"/>
          <w:trHeight w:val="536" w:hRule="atLeast"/>
          <w:tblHeader w:val="0"/>
        </w:trPr>
        <w:tc>
          <w:tcPr>
            <w:tcMar>
              <w:top w:w="0.0" w:type="dxa"/>
              <w:left w:w="108.0" w:type="dxa"/>
              <w:bottom w:w="0.0" w:type="dxa"/>
              <w:right w:w="108.0" w:type="dxa"/>
            </w:tcMar>
          </w:tcPr>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tl w:val="0"/>
              </w:rPr>
            </w:r>
          </w:p>
        </w:tc>
      </w:tr>
      <w:tr>
        <w:trPr>
          <w:cantSplit w:val="0"/>
          <w:trHeight w:val="521" w:hRule="atLeast"/>
          <w:tblHeader w:val="0"/>
        </w:trPr>
        <w:tc>
          <w:tcPr>
            <w:gridSpan w:val="7"/>
            <w:tcMar>
              <w:top w:w="0.0" w:type="dxa"/>
              <w:left w:w="108.0" w:type="dxa"/>
              <w:bottom w:w="0.0" w:type="dxa"/>
              <w:right w:w="108.0" w:type="dxa"/>
            </w:tcMar>
          </w:tcPr>
          <w:p w:rsidR="00000000" w:rsidDel="00000000" w:rsidP="00000000" w:rsidRDefault="00000000" w:rsidRPr="00000000" w14:paraId="00000108">
            <w:pPr>
              <w:spacing w:line="480" w:lineRule="auto"/>
              <w:jc w:val="both"/>
              <w:rPr>
                <w:rFonts w:ascii="Times New Roman" w:cs="Times New Roman" w:eastAsia="Times New Roman" w:hAnsi="Times New Roman"/>
              </w:rPr>
            </w:pPr>
            <w:r w:rsidDel="00000000" w:rsidR="00000000" w:rsidRPr="00000000">
              <w:rPr>
                <w:rFonts w:ascii="Arial" w:cs="Arial" w:eastAsia="Arial" w:hAnsi="Arial"/>
                <w:b w:val="1"/>
                <w:color w:val="000000"/>
                <w:u w:val="single"/>
                <w:rtl w:val="0"/>
              </w:rPr>
              <w:t xml:space="preserve">Regression Model</w:t>
            </w:r>
            <w:r w:rsidDel="00000000" w:rsidR="00000000" w:rsidRPr="00000000">
              <w:rPr>
                <w:rtl w:val="0"/>
              </w:rPr>
            </w:r>
          </w:p>
        </w:tc>
      </w:tr>
      <w:tr>
        <w:trPr>
          <w:cantSplit w:val="0"/>
          <w:trHeight w:val="521" w:hRule="atLeast"/>
          <w:tblHeader w:val="0"/>
        </w:trPr>
        <w:tc>
          <w:tcPr>
            <w:gridSpan w:val="7"/>
            <w:tcMar>
              <w:top w:w="0.0" w:type="dxa"/>
              <w:left w:w="108.0" w:type="dxa"/>
              <w:bottom w:w="0.0" w:type="dxa"/>
              <w:right w:w="108.0" w:type="dxa"/>
            </w:tcMar>
          </w:tcPr>
          <w:p w:rsidR="00000000" w:rsidDel="00000000" w:rsidP="00000000" w:rsidRDefault="00000000" w:rsidRPr="00000000" w14:paraId="0000010F">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Curriculum Assessment =2.20 + 0.60 (Planning) + 0.62 (Executing) + 0.58 (Evaluating) </w:t>
            </w: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tl w:val="0"/>
              </w:rPr>
            </w:r>
          </w:p>
        </w:tc>
      </w:tr>
      <w:tr>
        <w:trPr>
          <w:cantSplit w:val="0"/>
          <w:trHeight w:val="80" w:hRule="atLeast"/>
          <w:tblHeader w:val="0"/>
        </w:trPr>
        <w:tc>
          <w:tcPr>
            <w:gridSpan w:val="7"/>
            <w:tcBorders>
              <w:bottom w:color="000000" w:space="0" w:sz="4" w:val="single"/>
            </w:tcBorders>
            <w:tcMar>
              <w:top w:w="0.0" w:type="dxa"/>
              <w:left w:w="108.0" w:type="dxa"/>
              <w:bottom w:w="0.0" w:type="dxa"/>
              <w:right w:w="108.0" w:type="dxa"/>
            </w:tcMar>
          </w:tcPr>
          <w:p w:rsidR="00000000" w:rsidDel="00000000" w:rsidP="00000000" w:rsidRDefault="00000000" w:rsidRPr="00000000" w14:paraId="00000117">
            <w:pPr>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R=0.46; R²=0.211; F=16.25; p-value=0.000</w:t>
            </w:r>
            <w:r w:rsidDel="00000000" w:rsidR="00000000" w:rsidRPr="00000000">
              <w:rPr>
                <w:rtl w:val="0"/>
              </w:rPr>
            </w:r>
          </w:p>
        </w:tc>
      </w:tr>
    </w:tbl>
    <w:p w:rsidR="00000000" w:rsidDel="00000000" w:rsidP="00000000" w:rsidRDefault="00000000" w:rsidRPr="00000000" w14:paraId="0000011E">
      <w:pPr>
        <w:jc w:val="both"/>
        <w:rPr>
          <w:rFonts w:ascii="Arial" w:cs="Arial" w:eastAsia="Arial" w:hAnsi="Arial"/>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Presented in Table 4 is the analysis of how different domains of professional preparation—planning, executing, and evaluating significantly influence the curriculum assessment of public elementary school teachers. The regression model shows that all three domains positively contribute to curriculum assessment. Specifically, planning (with a Beta of 0.36) has the strongest relationship with curriculum assessment, followed by executing (Beta of 0.32), and evaluating (Beta of 0.30). The t-statistics for each domain (2.32 for planning, 2.56 for executing, and 2.18 for evaluating) and the p-values (all 0.000) confirm that these relationships are statistically significant.</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regression equation, Curriculum Assessment = 2.20 + 0.60(Planning) + 0.62(Executing) + 0.58(Evaluating), reveals that the overall model explains 21.1% of the variance in curriculum assessment (R² = 0.211). Additionally, the model's F-value of 16.25 and its p-value of 0.000 indicate that the model is statistically significant.</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suggests that teachers who engage in thorough planning, executing, and evaluating are more likely to implement effective curriculum assessment practices. Teachers who prioritize planning are better at aligning curriculum objectives with learning goals, while those who excel in executing and evaluating their instructional strategies are better positioned to assess and adjust their curriculum based on real-time classroom dynamics.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a result, teachers who invest in professional preparation are more likely to improve the overall effectiveness of curriculum assessment, ensuring a high-quality learning experience for students.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finding supports the research of König et al. (2020), who emphasized the importance of professional preparation in shaping effective curriculum assessment. Their study found that teachers who plan, execute, and evaluate their lessons thoughtfully tend to assess and adjust the curriculum in a way that enhances student learning. Additionally, Rouben et al. (2023) suggested that teachers who have a strong foundation in planning, executing, and evaluating their lessons are more likely to adjust the curriculum based on real-time classroom dynamics. Their research highlighted that a well-structured approach to professional preparation equips teachers to make data-informed decisions, enhancing their ability to assess students effectively and adapt teaching strategies to meet learning goals. Moreover, Trinter and Hughes (2021) found that teachers who engage in thoughtful planning, effective execution, and continuous evaluation are better able to align their teaching strategies with curriculum goals. Their study emphasized that professional preparation not only improves the teachers' ability to assess the curriculum but also fosters a more dynamic and responsive learning environment.</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CONCLUSIONS</w:t>
      </w:r>
    </w:p>
    <w:p w:rsidR="00000000" w:rsidDel="00000000" w:rsidP="00000000" w:rsidRDefault="00000000" w:rsidRPr="00000000" w14:paraId="0000012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Based on the findings of the study, the following conclusions were formulated:</w:t>
      </w:r>
    </w:p>
    <w:p w:rsidR="00000000" w:rsidDel="00000000" w:rsidP="00000000" w:rsidRDefault="00000000" w:rsidRPr="00000000" w14:paraId="0000012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Firstly, the extent of professional preparation among teachers is always observed, with teachers consistently demonstrating a strong commitment to planning, executing, and evaluating their teaching practices. This indicates that teachers prioritize preparation in all stages of their instructional process, ensuring that they are well-equipped to deliver effective lessons and respond to student needs. The consistent focus on professional preparation is essential in maintaining high standards of teaching and contributing to a more organized and effective classroom environment.</w:t>
      </w:r>
    </w:p>
    <w:p w:rsidR="00000000" w:rsidDel="00000000" w:rsidP="00000000" w:rsidRDefault="00000000" w:rsidRPr="00000000" w14:paraId="0000012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Secondly, the extent of curriculum assessment among teachers is oftentimes observed, reflecting that teachers regularly engage in assessing their curriculum content, objectives, and the effectiveness of their teaching practices. While the observation of curriculum assessment is positive, it suggests that there may be occasional variations in the degree to which teachers consistently evaluate and adapt their curriculum. Nevertheless, the findings emphasize that regular assessment and reflection are key to enhancing the quality of instruction and ensuring that curriculum goals are met effectively.</w:t>
      </w:r>
    </w:p>
    <w:p w:rsidR="00000000" w:rsidDel="00000000" w:rsidP="00000000" w:rsidRDefault="00000000" w:rsidRPr="00000000" w14:paraId="0000012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Thirdly, a significant relationship between professional preparation and curriculum assessment was observed. This indicates that teachers who engage in high levels of professional preparation are more likely to assess and refine their curriculum effectively. The findings suggest that well-prepared teachers are better equipped to evaluate and improve their curriculum, ultimately contributing to more successful teaching and learning outcomes.</w:t>
      </w:r>
    </w:p>
    <w:p w:rsidR="00000000" w:rsidDel="00000000" w:rsidP="00000000" w:rsidRDefault="00000000" w:rsidRPr="00000000" w14:paraId="0000012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Finally, the domains of professional preparation significantly influence the development and implementation of curriculum assessment. This underscores the role of comprehensive teacher preparation in ensuring that curriculum assessment practices are carefully integrated into the instructional process. Teachers who engage deeply in preparation are more likely to actively assess their curriculum, adapt it to meet educational goals, and enhance the overall learning experience for their students. </w:t>
      </w:r>
    </w:p>
    <w:p w:rsidR="00000000" w:rsidDel="00000000" w:rsidP="00000000" w:rsidRDefault="00000000" w:rsidRPr="00000000" w14:paraId="0000012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findings of this study indicate that the domains of professional preparation (planning, executing, and evaluating) significantly influence curriculum assessment and validate the theories of professional development theory, constructivist learning theory, and social learning theory. </w:t>
      </w:r>
    </w:p>
    <w:p w:rsidR="00000000" w:rsidDel="00000000" w:rsidP="00000000" w:rsidRDefault="00000000" w:rsidRPr="00000000" w14:paraId="0000012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According to Professional Development Theory by Guskey (2024), as cited by Mallillin &amp; Laurel (2022), continuous learning and skill development are essential for teachers to enhance their instructional practices. Teachers who engage in professional preparation, particularly in planning, executing, and evaluating, are better equipped to assess and improve their curricula. Effective professional development leads to improved teaching performance and better curriculum assessment. </w:t>
      </w:r>
    </w:p>
    <w:p w:rsidR="00000000" w:rsidDel="00000000" w:rsidP="00000000" w:rsidRDefault="00000000" w:rsidRPr="00000000" w14:paraId="0000012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Additionally, Constructivist Learning Theory by Efgivia et al. (2021), as cited by Dolmacı &amp; Sarıgöz (2024), emphasizes the importance of active, student-centered learning, which extends to curriculum assessment. Teachers who engage in professional preparation grounded in constructivist principles are more likely to design curricula that foster critical thinking and problem-solving, which improves their ability to assess and adapt their curriculum based on students' needs. </w:t>
      </w:r>
    </w:p>
    <w:p w:rsidR="00000000" w:rsidDel="00000000" w:rsidP="00000000" w:rsidRDefault="00000000" w:rsidRPr="00000000" w14:paraId="0000012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Finally, Social Learning Theory by Bandura (1977), as cited by Rumjaun and Narod (2020), stresses the role of social interactions and peer collaboration in learning process. Teachers who work collaboratively and share best practices in professional development settings, such as professional learning communities, are better prepared to evaluate and revise their curriculum. This collaboration enhances their ability to assess  in a way that meets the evolving needs of their students, reflecting the core tenets of Social Learning Theory.</w:t>
      </w:r>
    </w:p>
    <w:p w:rsidR="00000000" w:rsidDel="00000000" w:rsidP="00000000" w:rsidRDefault="00000000" w:rsidRPr="00000000" w14:paraId="0000012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 RECOMMENDATIONS</w:t>
      </w:r>
      <w:r w:rsidDel="00000000" w:rsidR="00000000" w:rsidRPr="00000000">
        <w:rPr>
          <w:rtl w:val="0"/>
        </w:rPr>
      </w:r>
    </w:p>
    <w:p w:rsidR="00000000" w:rsidDel="00000000" w:rsidP="00000000" w:rsidRDefault="00000000" w:rsidRPr="00000000" w14:paraId="0000013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Firstly, given that professional preparation is very extensive among teachers, it may be important for school administrators to continue fostering and enhancing teachers' professional development programs. School administrators may organize targeted training that strengthens teachers’ skills in all aspects of professional preparation, particularly in areas such as planning, executing, and evaluating curricula. These professional development initiatives may focus on enhancing teachers' ability to assess and adapt curriculum content to meet students' needs better. As professional preparation is already very strong, these programs may further emphasize advanced strategies to sustain and deepen teachers' ability to improve educational outcomes. Teachers themselves may also actively seek out additional professional development opportunities to stay informed about the latest research and best practices in curriculum design and assessment.</w:t>
      </w:r>
    </w:p>
    <w:p w:rsidR="00000000" w:rsidDel="00000000" w:rsidP="00000000" w:rsidRDefault="00000000" w:rsidRPr="00000000" w14:paraId="0000013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Secondly, since curriculum assessment is extensive among teachers, school administrators may prioritize continuous efforts to support teachers in ensuring the alignment of curriculum objectives, content, and assessments. Administrators may provide opportunities for teachers to collaborate and exchange best practices on curriculum evaluation and adjustment. Encouraging teachers to reflect on how they assess the effectiveness of their teaching may lead to more responsive and dynamic curricula. Additionally, providing teachers with regular feedback on their curriculum assessment strategies may help refine their practices and ensure they meet evolving student needs effectively.</w:t>
      </w:r>
    </w:p>
    <w:p w:rsidR="00000000" w:rsidDel="00000000" w:rsidP="00000000" w:rsidRDefault="00000000" w:rsidRPr="00000000" w14:paraId="0000013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Thirdly, given the significant relationship between professional preparation and curriculum assessment, school administrators may integrate professional preparation more closely with curriculum assessment. By developing programs that link the two, teachers may be better equipped to assess their teaching practices and adapt their curriculum accordingly. Workshops, seminars, or collaborative sessions may explore how effective professional preparation influences the quality and accuracy of curriculum assessment. This integration may help ensure that teachers' assessments are aligned with the best practices learned through professional development. Future researchers may also explore how different professional development models and curriculum assessment techniques can be linked in a way that promotes more cohesive teaching practices.</w:t>
      </w:r>
    </w:p>
    <w:p w:rsidR="00000000" w:rsidDel="00000000" w:rsidP="00000000" w:rsidRDefault="00000000" w:rsidRPr="00000000" w14:paraId="0000013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Finally, recognizing that professional preparation significantly influences curriculum assessment, it may be recommended that school administrators prioritize ongoing support for teachers' professional growth in this area. Regularly scheduled peer feedback sessions and collaborative learning communities may help teachers refine their approaches to both professional preparation and curriculum assessment. Additionally, providing teachers with the tools to evaluate and adjust their curricula regularly may ensure that their teaching methods remain effective and responsive to students' changing needs. Teachers are encouraged to engage in self-reflection and adapt their practices, ensuring that the learning experiences they provide are both meaningful and forward-focused. Future researchers may investigate the long-term impact of professional development on curriculum assessment and overall student outcomes to contribute valuable insights for continuous improvement.</w:t>
      </w:r>
    </w:p>
    <w:p w:rsidR="00000000" w:rsidDel="00000000" w:rsidP="00000000" w:rsidRDefault="00000000" w:rsidRPr="00000000" w14:paraId="0000013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Consent (where ever applicable)</w:t>
      </w:r>
    </w:p>
    <w:p w:rsidR="00000000" w:rsidDel="00000000" w:rsidP="00000000" w:rsidRDefault="00000000" w:rsidRPr="00000000" w14:paraId="0000013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study was conducted in accordance with established ethical standards to ensure the safety, dignity, and well-being of all participants. Prior to data collection, the researcher secured all required approvals, including an endorsement from the Dean of the Graduate School of Rizal Memorial Colleges and ethical clearance from the institution’s Ethics Review Committee. The ethical procedures applied were guided by the framework of Pregoner et al. (2025), aligning with current protocols for research involving human participants in educational settings. Participation was completely voluntary, with all individuals thoroughly informed of the study’s purpose, scope, and their right to decline or withdraw at any time without consequence. Informed consent was obtained to confirm each participant’s understanding and willingness to participate. To ensure confidentiality, no personally identifiable information was collected, and all data were treated with the highest level of confidentiality. The information gathered was used solely for academic purposes. These measures ensured that the research was carried out with ethical transparency, integrity, and professional accountability.</w:t>
      </w:r>
    </w:p>
    <w:p w:rsidR="00000000" w:rsidDel="00000000" w:rsidP="00000000" w:rsidRDefault="00000000" w:rsidRPr="00000000" w14:paraId="0000013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Disclaimer (Artificial Intelligence)</w:t>
      </w:r>
    </w:p>
    <w:p w:rsidR="00000000" w:rsidDel="00000000" w:rsidP="00000000" w:rsidRDefault="00000000" w:rsidRPr="00000000" w14:paraId="0000013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13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13D">
      <w:pPr>
        <w:jc w:val="both"/>
        <w:rPr>
          <w:rFonts w:ascii="Arial" w:cs="Arial" w:eastAsia="Arial" w:hAnsi="Arial"/>
          <w:highlight w:val="yellow"/>
        </w:rPr>
      </w:pPr>
      <w:r w:rsidDel="00000000" w:rsidR="00000000" w:rsidRPr="00000000">
        <w:rPr>
          <w:rFonts w:ascii="Arial" w:cs="Arial" w:eastAsia="Arial" w:hAnsi="Arial"/>
          <w:highlight w:val="yellow"/>
          <w:rtl w:val="0"/>
        </w:rPr>
        <w:t xml:space="preserve">The author(s) hereby declare that generative AI technologies have been used during the writing and editing of this manuscript. The details of the AI usage are as follows: </w:t>
      </w:r>
    </w:p>
    <w:p w:rsidR="00000000" w:rsidDel="00000000" w:rsidP="00000000" w:rsidRDefault="00000000" w:rsidRPr="00000000" w14:paraId="0000013E">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13F">
      <w:pPr>
        <w:numPr>
          <w:ilvl w:val="0"/>
          <w:numId w:val="1"/>
        </w:numPr>
        <w:ind w:left="540" w:hanging="360"/>
        <w:jc w:val="both"/>
        <w:rPr>
          <w:rFonts w:ascii="Arial" w:cs="Arial" w:eastAsia="Arial" w:hAnsi="Arial"/>
          <w:highlight w:val="yellow"/>
        </w:rPr>
      </w:pPr>
      <w:r w:rsidDel="00000000" w:rsidR="00000000" w:rsidRPr="00000000">
        <w:rPr>
          <w:rFonts w:ascii="Arial" w:cs="Arial" w:eastAsia="Arial" w:hAnsi="Arial"/>
          <w:highlight w:val="yellow"/>
          <w:rtl w:val="0"/>
        </w:rPr>
        <w:t xml:space="preserve">Grammarly: Used for grammar and spellchecking, as well as suggestions for improving sentence structure and overall clarity. </w:t>
      </w:r>
    </w:p>
    <w:p w:rsidR="00000000" w:rsidDel="00000000" w:rsidP="00000000" w:rsidRDefault="00000000" w:rsidRPr="00000000" w14:paraId="00000140">
      <w:pPr>
        <w:numPr>
          <w:ilvl w:val="0"/>
          <w:numId w:val="1"/>
        </w:numPr>
        <w:ind w:left="540" w:hanging="360"/>
        <w:jc w:val="both"/>
        <w:rPr>
          <w:rFonts w:ascii="Arial" w:cs="Arial" w:eastAsia="Arial" w:hAnsi="Arial"/>
          <w:highlight w:val="yellow"/>
        </w:rPr>
      </w:pPr>
      <w:r w:rsidDel="00000000" w:rsidR="00000000" w:rsidRPr="00000000">
        <w:rPr>
          <w:rFonts w:ascii="Arial" w:cs="Arial" w:eastAsia="Arial" w:hAnsi="Arial"/>
          <w:highlight w:val="yellow"/>
          <w:rtl w:val="0"/>
        </w:rPr>
        <w:t xml:space="preserve">Quillbot: Employed for paraphrasing and refining sentence flow to enhance readability and coherence.</w:t>
      </w:r>
    </w:p>
    <w:p w:rsidR="00000000" w:rsidDel="00000000" w:rsidP="00000000" w:rsidRDefault="00000000" w:rsidRPr="00000000" w14:paraId="0000014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References</w:t>
      </w:r>
    </w:p>
    <w:p w:rsidR="00000000" w:rsidDel="00000000" w:rsidP="00000000" w:rsidRDefault="00000000" w:rsidRPr="00000000" w14:paraId="0000014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Abragan, F., Abarcas, V., Aquıno, I. M., &amp; Bagongon, R. E. (2022). Research review on K-12 curriculum implementation in the Philippines: A generic perspective. </w:t>
      </w:r>
      <w:r w:rsidDel="00000000" w:rsidR="00000000" w:rsidRPr="00000000">
        <w:rPr>
          <w:rFonts w:ascii="Arial" w:cs="Arial" w:eastAsia="Arial" w:hAnsi="Arial"/>
          <w:i w:val="1"/>
          <w:highlight w:val="white"/>
          <w:rtl w:val="0"/>
        </w:rPr>
        <w:t xml:space="preserve">European Journal of Educational and Social Sciences</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7</w:t>
      </w:r>
      <w:r w:rsidDel="00000000" w:rsidR="00000000" w:rsidRPr="00000000">
        <w:rPr>
          <w:rFonts w:ascii="Arial" w:cs="Arial" w:eastAsia="Arial" w:hAnsi="Arial"/>
          <w:highlight w:val="white"/>
          <w:rtl w:val="0"/>
        </w:rPr>
        <w:t xml:space="preserve">(1), 1-8.</w:t>
      </w:r>
      <w:r w:rsidDel="00000000" w:rsidR="00000000" w:rsidRPr="00000000">
        <w:rPr>
          <w:rFonts w:ascii="Arial" w:cs="Arial" w:eastAsia="Arial" w:hAnsi="Arial"/>
          <w:rtl w:val="0"/>
        </w:rPr>
        <w:t xml:space="preserve"> </w:t>
      </w:r>
      <w:hyperlink r:id="rId14">
        <w:r w:rsidDel="00000000" w:rsidR="00000000" w:rsidRPr="00000000">
          <w:rPr>
            <w:rFonts w:ascii="Arial" w:cs="Arial" w:eastAsia="Arial" w:hAnsi="Arial"/>
            <w:color w:val="000000"/>
            <w:highlight w:val="white"/>
            <w:u w:val="none"/>
            <w:rtl w:val="0"/>
          </w:rPr>
          <w:t xml:space="preserve">https://dergipark.org.tr/en/download/article-file/2198595</w:t>
        </w:r>
      </w:hyperlink>
      <w:r w:rsidDel="00000000" w:rsidR="00000000" w:rsidRPr="00000000">
        <w:rPr>
          <w:rtl w:val="0"/>
        </w:rPr>
      </w:r>
    </w:p>
    <w:p w:rsidR="00000000" w:rsidDel="00000000" w:rsidP="00000000" w:rsidRDefault="00000000" w:rsidRPr="00000000" w14:paraId="00000147">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Alonzo, D., Bejano, J., &amp; Labad, V. (2023). Alignment between teachers’ assessment practices and principles of outcomes-based education in the context of Philippine education reform. International Journal of Instruction, 16(1), 489-506.</w:t>
      </w:r>
      <w:r w:rsidDel="00000000" w:rsidR="00000000" w:rsidRPr="00000000">
        <w:rPr>
          <w:rFonts w:ascii="Arial" w:cs="Arial" w:eastAsia="Arial" w:hAnsi="Arial"/>
          <w:rtl w:val="0"/>
        </w:rPr>
        <w:t xml:space="preserve"> </w:t>
      </w:r>
      <w:hyperlink r:id="rId15">
        <w:r w:rsidDel="00000000" w:rsidR="00000000" w:rsidRPr="00000000">
          <w:rPr>
            <w:rFonts w:ascii="Arial" w:cs="Arial" w:eastAsia="Arial" w:hAnsi="Arial"/>
            <w:color w:val="000000"/>
            <w:highlight w:val="white"/>
            <w:u w:val="none"/>
            <w:rtl w:val="0"/>
          </w:rPr>
          <w:t xml:space="preserve">https://e-iji.net/ats/index.php/pub/article/view/205/289</w:t>
        </w:r>
      </w:hyperlink>
      <w:r w:rsidDel="00000000" w:rsidR="00000000" w:rsidRPr="00000000">
        <w:rPr>
          <w:rtl w:val="0"/>
        </w:rPr>
      </w:r>
    </w:p>
    <w:p w:rsidR="00000000" w:rsidDel="00000000" w:rsidP="00000000" w:rsidRDefault="00000000" w:rsidRPr="00000000" w14:paraId="00000148">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Bongco, R. T., &amp; David, A. P. (2020). Filipino teachers' experiences as curriculum policy implementers in the evolving K to 12 landscape. </w:t>
      </w:r>
      <w:r w:rsidDel="00000000" w:rsidR="00000000" w:rsidRPr="00000000">
        <w:rPr>
          <w:rFonts w:ascii="Arial" w:cs="Arial" w:eastAsia="Arial" w:hAnsi="Arial"/>
          <w:i w:val="1"/>
          <w:highlight w:val="white"/>
          <w:rtl w:val="0"/>
        </w:rPr>
        <w:t xml:space="preserve">Issues in Educational Research</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30</w:t>
      </w:r>
      <w:r w:rsidDel="00000000" w:rsidR="00000000" w:rsidRPr="00000000">
        <w:rPr>
          <w:rFonts w:ascii="Arial" w:cs="Arial" w:eastAsia="Arial" w:hAnsi="Arial"/>
          <w:highlight w:val="white"/>
          <w:rtl w:val="0"/>
        </w:rPr>
        <w:t xml:space="preserve">(1), 19-34.</w:t>
      </w:r>
    </w:p>
    <w:p w:rsidR="00000000" w:rsidDel="00000000" w:rsidP="00000000" w:rsidRDefault="00000000" w:rsidRPr="00000000" w14:paraId="00000149">
      <w:pPr>
        <w:ind w:left="1080" w:hanging="1080"/>
        <w:rPr>
          <w:rFonts w:ascii="Arial" w:cs="Arial" w:eastAsia="Arial" w:hAnsi="Arial"/>
        </w:rPr>
      </w:pPr>
      <w:r w:rsidDel="00000000" w:rsidR="00000000" w:rsidRPr="00000000">
        <w:rPr>
          <w:rFonts w:ascii="Arial" w:cs="Arial" w:eastAsia="Arial" w:hAnsi="Arial"/>
          <w:highlight w:val="white"/>
          <w:rtl w:val="0"/>
        </w:rPr>
        <w:t xml:space="preserve">Bowers, D. S., Sabin, M., Raj, R. K., &amp; Impagliazzo, J. (2022, March). Computing competencies: CC2020 dispositions versus sfia responsibility characteristics. In </w:t>
      </w:r>
      <w:r w:rsidDel="00000000" w:rsidR="00000000" w:rsidRPr="00000000">
        <w:rPr>
          <w:rFonts w:ascii="Arial" w:cs="Arial" w:eastAsia="Arial" w:hAnsi="Arial"/>
          <w:i w:val="1"/>
          <w:highlight w:val="white"/>
          <w:rtl w:val="0"/>
        </w:rPr>
        <w:t xml:space="preserve">EDUCON2022–IEEE Global Engineering Education Conference</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w:t>
      </w:r>
      <w:hyperlink r:id="rId16">
        <w:r w:rsidDel="00000000" w:rsidR="00000000" w:rsidRPr="00000000">
          <w:rPr>
            <w:rFonts w:ascii="Arial" w:cs="Arial" w:eastAsia="Arial" w:hAnsi="Arial"/>
            <w:color w:val="000000"/>
            <w:u w:val="none"/>
            <w:rtl w:val="0"/>
          </w:rPr>
          <w:t xml:space="preserve">https://par.nsf.gov/servlets/purl/10405672</w:t>
        </w:r>
      </w:hyperlink>
      <w:r w:rsidDel="00000000" w:rsidR="00000000" w:rsidRPr="00000000">
        <w:rPr>
          <w:rtl w:val="0"/>
        </w:rPr>
      </w:r>
    </w:p>
    <w:p w:rsidR="00000000" w:rsidDel="00000000" w:rsidP="00000000" w:rsidRDefault="00000000" w:rsidRPr="00000000" w14:paraId="0000014A">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Byrd, D. R., &amp; Alexander, M. (2020). Investigating special education teachers’ knowledge and skills: Preparing general teacher preparation for professional development. </w:t>
      </w:r>
      <w:r w:rsidDel="00000000" w:rsidR="00000000" w:rsidRPr="00000000">
        <w:rPr>
          <w:rFonts w:ascii="Arial" w:cs="Arial" w:eastAsia="Arial" w:hAnsi="Arial"/>
          <w:i w:val="1"/>
          <w:highlight w:val="white"/>
          <w:rtl w:val="0"/>
        </w:rPr>
        <w:t xml:space="preserve">Journal of Pedagogical Research</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4</w:t>
      </w:r>
      <w:r w:rsidDel="00000000" w:rsidR="00000000" w:rsidRPr="00000000">
        <w:rPr>
          <w:rFonts w:ascii="Arial" w:cs="Arial" w:eastAsia="Arial" w:hAnsi="Arial"/>
          <w:highlight w:val="white"/>
          <w:rtl w:val="0"/>
        </w:rPr>
        <w:t xml:space="preserve">(2), 72-82.</w:t>
      </w:r>
      <w:r w:rsidDel="00000000" w:rsidR="00000000" w:rsidRPr="00000000">
        <w:rPr>
          <w:rFonts w:ascii="Arial" w:cs="Arial" w:eastAsia="Arial" w:hAnsi="Arial"/>
          <w:rtl w:val="0"/>
        </w:rPr>
        <w:t xml:space="preserve"> </w:t>
      </w:r>
      <w:hyperlink r:id="rId17">
        <w:r w:rsidDel="00000000" w:rsidR="00000000" w:rsidRPr="00000000">
          <w:rPr>
            <w:rFonts w:ascii="Arial" w:cs="Arial" w:eastAsia="Arial" w:hAnsi="Arial"/>
            <w:color w:val="000000"/>
            <w:highlight w:val="white"/>
            <w:u w:val="none"/>
            <w:rtl w:val="0"/>
          </w:rPr>
          <w:t xml:space="preserve">https://www.ijopr.com/download/investigating-special-education-teachers-knowledge-and-skills-preparing-general-teacher-preparation-8204.pdf</w:t>
        </w:r>
      </w:hyperlink>
      <w:r w:rsidDel="00000000" w:rsidR="00000000" w:rsidRPr="00000000">
        <w:rPr>
          <w:rtl w:val="0"/>
        </w:rPr>
      </w:r>
    </w:p>
    <w:p w:rsidR="00000000" w:rsidDel="00000000" w:rsidP="00000000" w:rsidRDefault="00000000" w:rsidRPr="00000000" w14:paraId="0000014B">
      <w:pPr>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Callaway-Cole, L., &amp; Kimble, A. (2021). Maintaining professional standards in early childhood teacher preparation: Evaluating adaptations to fieldwork-based experiences during COVID-19. Early Childhood Education Journal, 49(5), 841-853.</w:t>
      </w:r>
      <w:r w:rsidDel="00000000" w:rsidR="00000000" w:rsidRPr="00000000">
        <w:rPr>
          <w:rFonts w:ascii="Arial" w:cs="Arial" w:eastAsia="Arial" w:hAnsi="Arial"/>
          <w:rtl w:val="0"/>
        </w:rPr>
        <w:t xml:space="preserve"> </w:t>
      </w:r>
      <w:hyperlink r:id="rId18">
        <w:r w:rsidDel="00000000" w:rsidR="00000000" w:rsidRPr="00000000">
          <w:rPr>
            <w:rFonts w:ascii="Arial" w:cs="Arial" w:eastAsia="Arial" w:hAnsi="Arial"/>
            <w:color w:val="000000"/>
            <w:highlight w:val="white"/>
            <w:u w:val="none"/>
            <w:rtl w:val="0"/>
          </w:rPr>
          <w:t xml:space="preserve">https://link.springer.com/content/pdf/10.1007/s10643-021-01227-9.pdf</w:t>
        </w:r>
      </w:hyperlink>
      <w:r w:rsidDel="00000000" w:rsidR="00000000" w:rsidRPr="00000000">
        <w:rPr>
          <w:rtl w:val="0"/>
        </w:rPr>
      </w:r>
    </w:p>
    <w:p w:rsidR="00000000" w:rsidDel="00000000" w:rsidP="00000000" w:rsidRDefault="00000000" w:rsidRPr="00000000" w14:paraId="0000014C">
      <w:pPr>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Chen, J., Kolmos, A., &amp; Du, X. (2021). Forms of implementation and challenges of PBL in engineering education: a review of literature. </w:t>
      </w:r>
      <w:r w:rsidDel="00000000" w:rsidR="00000000" w:rsidRPr="00000000">
        <w:rPr>
          <w:rFonts w:ascii="Arial" w:cs="Arial" w:eastAsia="Arial" w:hAnsi="Arial"/>
          <w:i w:val="1"/>
          <w:highlight w:val="white"/>
          <w:rtl w:val="0"/>
        </w:rPr>
        <w:t xml:space="preserve">European Journal of Engineering Education</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46</w:t>
      </w:r>
      <w:r w:rsidDel="00000000" w:rsidR="00000000" w:rsidRPr="00000000">
        <w:rPr>
          <w:rFonts w:ascii="Arial" w:cs="Arial" w:eastAsia="Arial" w:hAnsi="Arial"/>
          <w:highlight w:val="white"/>
          <w:rtl w:val="0"/>
        </w:rPr>
        <w:t xml:space="preserve">(1), 90-115.</w:t>
      </w:r>
      <w:r w:rsidDel="00000000" w:rsidR="00000000" w:rsidRPr="00000000">
        <w:rPr>
          <w:rFonts w:ascii="Arial" w:cs="Arial" w:eastAsia="Arial" w:hAnsi="Arial"/>
          <w:rtl w:val="0"/>
        </w:rPr>
        <w:t xml:space="preserve"> </w:t>
      </w:r>
      <w:hyperlink r:id="rId19">
        <w:r w:rsidDel="00000000" w:rsidR="00000000" w:rsidRPr="00000000">
          <w:rPr>
            <w:rFonts w:ascii="Arial" w:cs="Arial" w:eastAsia="Arial" w:hAnsi="Arial"/>
            <w:color w:val="000000"/>
            <w:highlight w:val="white"/>
            <w:u w:val="none"/>
            <w:rtl w:val="0"/>
          </w:rPr>
          <w:t xml:space="preserve">https://www.tandfonline.com/doi/pdf/10.1080/03043797.2020.1718615</w:t>
        </w:r>
      </w:hyperlink>
      <w:r w:rsidDel="00000000" w:rsidR="00000000" w:rsidRPr="00000000">
        <w:rPr>
          <w:rtl w:val="0"/>
        </w:rPr>
      </w:r>
    </w:p>
    <w:p w:rsidR="00000000" w:rsidDel="00000000" w:rsidP="00000000" w:rsidRDefault="00000000" w:rsidRPr="00000000" w14:paraId="0000014D">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Dolmacı, A., &amp; Sarıgöz, İ. H. (2024). Developing spiral vocabulary teaching model: A communicative and social constructivist-language instruction perspective. </w:t>
      </w:r>
      <w:r w:rsidDel="00000000" w:rsidR="00000000" w:rsidRPr="00000000">
        <w:rPr>
          <w:rFonts w:ascii="Arial" w:cs="Arial" w:eastAsia="Arial" w:hAnsi="Arial"/>
          <w:i w:val="1"/>
          <w:highlight w:val="white"/>
          <w:rtl w:val="0"/>
        </w:rPr>
        <w:t xml:space="preserve">Language Teaching and Educational Research</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7</w:t>
      </w:r>
      <w:r w:rsidDel="00000000" w:rsidR="00000000" w:rsidRPr="00000000">
        <w:rPr>
          <w:rFonts w:ascii="Arial" w:cs="Arial" w:eastAsia="Arial" w:hAnsi="Arial"/>
          <w:highlight w:val="white"/>
          <w:rtl w:val="0"/>
        </w:rPr>
        <w:t xml:space="preserve">(2), 51-67.</w:t>
      </w:r>
      <w:r w:rsidDel="00000000" w:rsidR="00000000" w:rsidRPr="00000000">
        <w:rPr>
          <w:rFonts w:ascii="Arial" w:cs="Arial" w:eastAsia="Arial" w:hAnsi="Arial"/>
          <w:rtl w:val="0"/>
        </w:rPr>
        <w:t xml:space="preserve"> </w:t>
      </w:r>
      <w:hyperlink r:id="rId20">
        <w:r w:rsidDel="00000000" w:rsidR="00000000" w:rsidRPr="00000000">
          <w:rPr>
            <w:rFonts w:ascii="Arial" w:cs="Arial" w:eastAsia="Arial" w:hAnsi="Arial"/>
            <w:color w:val="000000"/>
            <w:highlight w:val="white"/>
            <w:u w:val="none"/>
            <w:rtl w:val="0"/>
          </w:rPr>
          <w:t xml:space="preserve">https://dergipark.org.tr/en/download/article-file/3717354</w:t>
        </w:r>
      </w:hyperlink>
      <w:r w:rsidDel="00000000" w:rsidR="00000000" w:rsidRPr="00000000">
        <w:rPr>
          <w:rtl w:val="0"/>
        </w:rPr>
      </w:r>
    </w:p>
    <w:p w:rsidR="00000000" w:rsidDel="00000000" w:rsidP="00000000" w:rsidRDefault="00000000" w:rsidRPr="00000000" w14:paraId="0000014E">
      <w:pPr>
        <w:ind w:left="1080" w:hanging="1080"/>
        <w:rPr>
          <w:rFonts w:ascii="Arial" w:cs="Arial" w:eastAsia="Arial" w:hAnsi="Arial"/>
        </w:rPr>
      </w:pPr>
      <w:r w:rsidDel="00000000" w:rsidR="00000000" w:rsidRPr="00000000">
        <w:rPr>
          <w:rFonts w:ascii="Arial" w:cs="Arial" w:eastAsia="Arial" w:hAnsi="Arial"/>
          <w:rtl w:val="0"/>
        </w:rPr>
        <w:t xml:space="preserve">Doran, P. R. (2020). What They Didn't Teach Us: New Teachers Reflect on Their Preparation Experiences. Professional Educator, 43(1), 59-69. </w:t>
      </w:r>
      <w:hyperlink r:id="rId21">
        <w:r w:rsidDel="00000000" w:rsidR="00000000" w:rsidRPr="00000000">
          <w:rPr>
            <w:rFonts w:ascii="Arial" w:cs="Arial" w:eastAsia="Arial" w:hAnsi="Arial"/>
            <w:color w:val="000000"/>
            <w:u w:val="none"/>
            <w:rtl w:val="0"/>
          </w:rPr>
          <w:t xml:space="preserve">https://files.eric.ed.gov/fulltext/EJ1276115.pdf</w:t>
        </w:r>
      </w:hyperlink>
      <w:r w:rsidDel="00000000" w:rsidR="00000000" w:rsidRPr="00000000">
        <w:rPr>
          <w:rtl w:val="0"/>
        </w:rPr>
      </w:r>
    </w:p>
    <w:p w:rsidR="00000000" w:rsidDel="00000000" w:rsidP="00000000" w:rsidRDefault="00000000" w:rsidRPr="00000000" w14:paraId="0000014F">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Efgivia, M. G., Rinanda, R. A., Hidayat, A., Maulana, I., &amp; Budiarjo, A. (2021, October). Analysis of constructivism learning theory. In </w:t>
      </w:r>
      <w:r w:rsidDel="00000000" w:rsidR="00000000" w:rsidRPr="00000000">
        <w:rPr>
          <w:rFonts w:ascii="Arial" w:cs="Arial" w:eastAsia="Arial" w:hAnsi="Arial"/>
          <w:i w:val="1"/>
          <w:highlight w:val="white"/>
          <w:rtl w:val="0"/>
        </w:rPr>
        <w:t xml:space="preserve">1st UMGESHIC International Seminar on Health, Social Science and Humanities (UMGESHIC-ISHSSH 2020)</w:t>
      </w:r>
      <w:r w:rsidDel="00000000" w:rsidR="00000000" w:rsidRPr="00000000">
        <w:rPr>
          <w:rFonts w:ascii="Arial" w:cs="Arial" w:eastAsia="Arial" w:hAnsi="Arial"/>
          <w:highlight w:val="white"/>
          <w:rtl w:val="0"/>
        </w:rPr>
        <w:t xml:space="preserve"> (pp. 208-212). Atlantis Press.</w:t>
      </w:r>
      <w:r w:rsidDel="00000000" w:rsidR="00000000" w:rsidRPr="00000000">
        <w:rPr>
          <w:rFonts w:ascii="Arial" w:cs="Arial" w:eastAsia="Arial" w:hAnsi="Arial"/>
          <w:rtl w:val="0"/>
        </w:rPr>
        <w:t xml:space="preserve"> </w:t>
      </w:r>
      <w:hyperlink r:id="rId22">
        <w:r w:rsidDel="00000000" w:rsidR="00000000" w:rsidRPr="00000000">
          <w:rPr>
            <w:rFonts w:ascii="Arial" w:cs="Arial" w:eastAsia="Arial" w:hAnsi="Arial"/>
            <w:color w:val="000000"/>
            <w:highlight w:val="white"/>
            <w:u w:val="none"/>
            <w:rtl w:val="0"/>
          </w:rPr>
          <w:t xml:space="preserve">https://www.atlantis-press.com/article/125961875.pdf</w:t>
        </w:r>
      </w:hyperlink>
      <w:r w:rsidDel="00000000" w:rsidR="00000000" w:rsidRPr="00000000">
        <w:rPr>
          <w:rtl w:val="0"/>
        </w:rPr>
      </w:r>
    </w:p>
    <w:p w:rsidR="00000000" w:rsidDel="00000000" w:rsidP="00000000" w:rsidRDefault="00000000" w:rsidRPr="00000000" w14:paraId="00000150">
      <w:pPr>
        <w:ind w:left="1080" w:hanging="1080"/>
        <w:rPr>
          <w:rFonts w:ascii="Arial" w:cs="Arial" w:eastAsia="Arial" w:hAnsi="Arial"/>
        </w:rPr>
      </w:pPr>
      <w:r w:rsidDel="00000000" w:rsidR="00000000" w:rsidRPr="00000000">
        <w:rPr>
          <w:rFonts w:ascii="Arial" w:cs="Arial" w:eastAsia="Arial" w:hAnsi="Arial"/>
          <w:highlight w:val="white"/>
          <w:rtl w:val="0"/>
        </w:rPr>
        <w:t xml:space="preserve">Firdausih, F., &amp; Aslan, A. (2024). Literature review: The effect of project-based learning on student motivation and achievement in science. </w:t>
      </w:r>
      <w:r w:rsidDel="00000000" w:rsidR="00000000" w:rsidRPr="00000000">
        <w:rPr>
          <w:rFonts w:ascii="Arial" w:cs="Arial" w:eastAsia="Arial" w:hAnsi="Arial"/>
          <w:i w:val="1"/>
          <w:highlight w:val="white"/>
          <w:rtl w:val="0"/>
        </w:rPr>
        <w:t xml:space="preserve">Indonesian Journal of Education (INJOE)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4</w:t>
      </w:r>
      <w:r w:rsidDel="00000000" w:rsidR="00000000" w:rsidRPr="00000000">
        <w:rPr>
          <w:rFonts w:ascii="Arial" w:cs="Arial" w:eastAsia="Arial" w:hAnsi="Arial"/>
          <w:highlight w:val="white"/>
          <w:rtl w:val="0"/>
        </w:rPr>
        <w:t xml:space="preserve">(3), 1011-1022. </w:t>
      </w:r>
      <w:hyperlink r:id="rId23">
        <w:r w:rsidDel="00000000" w:rsidR="00000000" w:rsidRPr="00000000">
          <w:rPr>
            <w:rFonts w:ascii="Arial" w:cs="Arial" w:eastAsia="Arial" w:hAnsi="Arial"/>
            <w:color w:val="000000"/>
            <w:highlight w:val="white"/>
            <w:u w:val="none"/>
            <w:rtl w:val="0"/>
          </w:rPr>
          <w:t xml:space="preserve">https://www.injoe.org/index.php/INJOE/article/download/176/204</w:t>
        </w:r>
      </w:hyperlink>
      <w:r w:rsidDel="00000000" w:rsidR="00000000" w:rsidRPr="00000000">
        <w:rPr>
          <w:rtl w:val="0"/>
        </w:rPr>
      </w:r>
    </w:p>
    <w:p w:rsidR="00000000" w:rsidDel="00000000" w:rsidP="00000000" w:rsidRDefault="00000000" w:rsidRPr="00000000" w14:paraId="00000151">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Gamage, A. N. (2025). Research Design, Philosophy, and Quantitative Approaches in Scientific Research Methodology. </w:t>
      </w:r>
      <w:r w:rsidDel="00000000" w:rsidR="00000000" w:rsidRPr="00000000">
        <w:rPr>
          <w:rFonts w:ascii="Arial" w:cs="Arial" w:eastAsia="Arial" w:hAnsi="Arial"/>
          <w:i w:val="1"/>
          <w:highlight w:val="white"/>
          <w:rtl w:val="0"/>
        </w:rPr>
        <w:t xml:space="preserve">Sch J Eng Tech</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2</w:t>
      </w:r>
      <w:r w:rsidDel="00000000" w:rsidR="00000000" w:rsidRPr="00000000">
        <w:rPr>
          <w:rFonts w:ascii="Arial" w:cs="Arial" w:eastAsia="Arial" w:hAnsi="Arial"/>
          <w:highlight w:val="white"/>
          <w:rtl w:val="0"/>
        </w:rPr>
        <w:t xml:space="preserve">, 91-103.</w:t>
      </w:r>
      <w:r w:rsidDel="00000000" w:rsidR="00000000" w:rsidRPr="00000000">
        <w:rPr>
          <w:rFonts w:ascii="Arial" w:cs="Arial" w:eastAsia="Arial" w:hAnsi="Arial"/>
          <w:rtl w:val="0"/>
        </w:rPr>
        <w:t xml:space="preserve"> </w:t>
      </w:r>
      <w:hyperlink r:id="rId24">
        <w:r w:rsidDel="00000000" w:rsidR="00000000" w:rsidRPr="00000000">
          <w:rPr>
            <w:rFonts w:ascii="Arial" w:cs="Arial" w:eastAsia="Arial" w:hAnsi="Arial"/>
            <w:color w:val="000000"/>
            <w:highlight w:val="white"/>
            <w:u w:val="none"/>
            <w:rtl w:val="0"/>
          </w:rPr>
          <w:t xml:space="preserve">https://www.researchgate.net/profile/Amila-Gamage/publication/389026547_Research_Design_Philosophy_and_Quantitative_Approaches_in_Scientific_Research_Methodology/links/67b0ad04207c0c20fa8add82/Research-Design-Philosophy-and-Quantitative-Approaches-in-Scientific-Research-Methodology.pdf</w:t>
        </w:r>
      </w:hyperlink>
      <w:r w:rsidDel="00000000" w:rsidR="00000000" w:rsidRPr="00000000">
        <w:rPr>
          <w:rtl w:val="0"/>
        </w:rPr>
      </w:r>
    </w:p>
    <w:p w:rsidR="00000000" w:rsidDel="00000000" w:rsidP="00000000" w:rsidRDefault="00000000" w:rsidRPr="00000000" w14:paraId="00000152">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Guskey, T. R. (2024). Look beyond the satisfaction survey: a framework to evaluate results of professional learning. </w:t>
      </w:r>
      <w:r w:rsidDel="00000000" w:rsidR="00000000" w:rsidRPr="00000000">
        <w:rPr>
          <w:rFonts w:ascii="Arial" w:cs="Arial" w:eastAsia="Arial" w:hAnsi="Arial"/>
          <w:i w:val="1"/>
          <w:highlight w:val="white"/>
          <w:rtl w:val="0"/>
        </w:rPr>
        <w:t xml:space="preserve">The Learning Professional</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45</w:t>
      </w:r>
      <w:r w:rsidDel="00000000" w:rsidR="00000000" w:rsidRPr="00000000">
        <w:rPr>
          <w:rFonts w:ascii="Arial" w:cs="Arial" w:eastAsia="Arial" w:hAnsi="Arial"/>
          <w:highlight w:val="white"/>
          <w:rtl w:val="0"/>
        </w:rPr>
        <w:t xml:space="preserve">(1), 28-33.</w:t>
      </w:r>
      <w:r w:rsidDel="00000000" w:rsidR="00000000" w:rsidRPr="00000000">
        <w:rPr>
          <w:rFonts w:ascii="Arial" w:cs="Arial" w:eastAsia="Arial" w:hAnsi="Arial"/>
          <w:rtl w:val="0"/>
        </w:rPr>
        <w:t xml:space="preserve"> </w:t>
      </w:r>
      <w:hyperlink r:id="rId25">
        <w:r w:rsidDel="00000000" w:rsidR="00000000" w:rsidRPr="00000000">
          <w:rPr>
            <w:rFonts w:ascii="Arial" w:cs="Arial" w:eastAsia="Arial" w:hAnsi="Arial"/>
            <w:color w:val="000000"/>
            <w:highlight w:val="white"/>
            <w:u w:val="none"/>
            <w:rtl w:val="0"/>
          </w:rPr>
          <w:t xml:space="preserve">https://tguskey.com/wp-content/uploads/LP-24-Prof-Lrng-Eval-PDF.pdf</w:t>
        </w:r>
      </w:hyperlink>
      <w:r w:rsidDel="00000000" w:rsidR="00000000" w:rsidRPr="00000000">
        <w:rPr>
          <w:rtl w:val="0"/>
        </w:rPr>
      </w:r>
    </w:p>
    <w:p w:rsidR="00000000" w:rsidDel="00000000" w:rsidP="00000000" w:rsidRDefault="00000000" w:rsidRPr="00000000" w14:paraId="00000153">
      <w:pPr>
        <w:ind w:left="1080" w:hanging="1080"/>
        <w:rPr>
          <w:rFonts w:ascii="Arial" w:cs="Arial" w:eastAsia="Arial" w:hAnsi="Arial"/>
        </w:rPr>
      </w:pPr>
      <w:r w:rsidDel="00000000" w:rsidR="00000000" w:rsidRPr="00000000">
        <w:rPr>
          <w:rFonts w:ascii="Arial" w:cs="Arial" w:eastAsia="Arial" w:hAnsi="Arial"/>
          <w:highlight w:val="white"/>
          <w:rtl w:val="0"/>
        </w:rPr>
        <w:t xml:space="preserve">Hamilton, D., McKechnie, J., Edgerton, E., &amp; Wilson, C. (2021). Immersive virtual reality as a pedagogical tool in education: a systematic literature review of quantitative learning outcomes and experimental design. </w:t>
      </w:r>
      <w:r w:rsidDel="00000000" w:rsidR="00000000" w:rsidRPr="00000000">
        <w:rPr>
          <w:rFonts w:ascii="Arial" w:cs="Arial" w:eastAsia="Arial" w:hAnsi="Arial"/>
          <w:i w:val="1"/>
          <w:highlight w:val="white"/>
          <w:rtl w:val="0"/>
        </w:rPr>
        <w:t xml:space="preserve">Journal of Computers in Education</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8</w:t>
      </w:r>
      <w:r w:rsidDel="00000000" w:rsidR="00000000" w:rsidRPr="00000000">
        <w:rPr>
          <w:rFonts w:ascii="Arial" w:cs="Arial" w:eastAsia="Arial" w:hAnsi="Arial"/>
          <w:highlight w:val="white"/>
          <w:rtl w:val="0"/>
        </w:rPr>
        <w:t xml:space="preserve">(1), 1-32. </w:t>
      </w:r>
      <w:hyperlink r:id="rId26">
        <w:r w:rsidDel="00000000" w:rsidR="00000000" w:rsidRPr="00000000">
          <w:rPr>
            <w:rFonts w:ascii="Arial" w:cs="Arial" w:eastAsia="Arial" w:hAnsi="Arial"/>
            <w:color w:val="000000"/>
            <w:highlight w:val="white"/>
            <w:u w:val="none"/>
            <w:rtl w:val="0"/>
          </w:rPr>
          <w:t xml:space="preserve">https://link.springer.com/content/pdf/10.1007/s40692-020-00169-2.pdf</w:t>
        </w:r>
      </w:hyperlink>
      <w:r w:rsidDel="00000000" w:rsidR="00000000" w:rsidRPr="00000000">
        <w:rPr>
          <w:rtl w:val="0"/>
        </w:rPr>
      </w:r>
    </w:p>
    <w:p w:rsidR="00000000" w:rsidDel="00000000" w:rsidP="00000000" w:rsidRDefault="00000000" w:rsidRPr="00000000" w14:paraId="00000154">
      <w:pPr>
        <w:ind w:left="1080" w:hanging="1080"/>
        <w:rPr>
          <w:rFonts w:ascii="Arial" w:cs="Arial" w:eastAsia="Arial" w:hAnsi="Arial"/>
        </w:rPr>
      </w:pPr>
      <w:r w:rsidDel="00000000" w:rsidR="00000000" w:rsidRPr="00000000">
        <w:rPr>
          <w:rFonts w:ascii="Arial" w:cs="Arial" w:eastAsia="Arial" w:hAnsi="Arial"/>
          <w:highlight w:val="white"/>
          <w:rtl w:val="0"/>
        </w:rPr>
        <w:t xml:space="preserve">Harrington, K., Sinfield, S., &amp; Burns, T. (2021). Student engagement. </w:t>
      </w:r>
      <w:r w:rsidDel="00000000" w:rsidR="00000000" w:rsidRPr="00000000">
        <w:rPr>
          <w:rFonts w:ascii="Arial" w:cs="Arial" w:eastAsia="Arial" w:hAnsi="Arial"/>
          <w:i w:val="1"/>
          <w:highlight w:val="white"/>
          <w:rtl w:val="0"/>
        </w:rPr>
        <w:t xml:space="preserve">in HIGHER EDUCATION</w:t>
      </w:r>
      <w:r w:rsidDel="00000000" w:rsidR="00000000" w:rsidRPr="00000000">
        <w:rPr>
          <w:rFonts w:ascii="Arial" w:cs="Arial" w:eastAsia="Arial" w:hAnsi="Arial"/>
          <w:highlight w:val="white"/>
          <w:rtl w:val="0"/>
        </w:rPr>
        <w:t xml:space="preserve">, 106. </w:t>
      </w:r>
      <w:hyperlink r:id="rId27">
        <w:r w:rsidDel="00000000" w:rsidR="00000000" w:rsidRPr="00000000">
          <w:rPr>
            <w:rFonts w:ascii="Arial" w:cs="Arial" w:eastAsia="Arial" w:hAnsi="Arial"/>
            <w:color w:val="000000"/>
            <w:highlight w:val="white"/>
            <w:u w:val="none"/>
            <w:rtl w:val="0"/>
          </w:rPr>
          <w:t xml:space="preserve">https://repository.londonmet.ac.uk/5178/1/Harrington%20et%20al%20%20%282016%29%20Student%20Engagement%20%28chapter%206%20-%20proof%20copy%29.pdf</w:t>
        </w:r>
      </w:hyperlink>
      <w:r w:rsidDel="00000000" w:rsidR="00000000" w:rsidRPr="00000000">
        <w:rPr>
          <w:rtl w:val="0"/>
        </w:rPr>
      </w:r>
    </w:p>
    <w:p w:rsidR="00000000" w:rsidDel="00000000" w:rsidP="00000000" w:rsidRDefault="00000000" w:rsidRPr="00000000" w14:paraId="00000155">
      <w:pPr>
        <w:ind w:left="1080" w:hanging="1080"/>
        <w:rPr>
          <w:rFonts w:ascii="Arial" w:cs="Arial" w:eastAsia="Arial" w:hAnsi="Arial"/>
        </w:rPr>
      </w:pPr>
      <w:r w:rsidDel="00000000" w:rsidR="00000000" w:rsidRPr="00000000">
        <w:rPr>
          <w:rFonts w:ascii="Arial" w:cs="Arial" w:eastAsia="Arial" w:hAnsi="Arial"/>
          <w:highlight w:val="white"/>
          <w:rtl w:val="0"/>
        </w:rPr>
        <w:t xml:space="preserve">Iqbal, M. Z., &amp; Ali, M. Q. (2024). Improving Practicum Outcomes: Common Errors and Reflective Practices of Future Educators. </w:t>
      </w:r>
      <w:r w:rsidDel="00000000" w:rsidR="00000000" w:rsidRPr="00000000">
        <w:rPr>
          <w:rFonts w:ascii="Arial" w:cs="Arial" w:eastAsia="Arial" w:hAnsi="Arial"/>
          <w:i w:val="1"/>
          <w:highlight w:val="white"/>
          <w:rtl w:val="0"/>
        </w:rPr>
        <w:t xml:space="preserve">Journal of Policy Options</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7</w:t>
      </w:r>
      <w:r w:rsidDel="00000000" w:rsidR="00000000" w:rsidRPr="00000000">
        <w:rPr>
          <w:rFonts w:ascii="Arial" w:cs="Arial" w:eastAsia="Arial" w:hAnsi="Arial"/>
          <w:highlight w:val="white"/>
          <w:rtl w:val="0"/>
        </w:rPr>
        <w:t xml:space="preserve">(2), 20-28. </w:t>
      </w:r>
      <w:hyperlink r:id="rId28">
        <w:r w:rsidDel="00000000" w:rsidR="00000000" w:rsidRPr="00000000">
          <w:rPr>
            <w:rFonts w:ascii="Arial" w:cs="Arial" w:eastAsia="Arial" w:hAnsi="Arial"/>
            <w:color w:val="000000"/>
            <w:highlight w:val="white"/>
            <w:u w:val="none"/>
            <w:rtl w:val="0"/>
          </w:rPr>
          <w:t xml:space="preserve">https://resdojournals.com/index.php/jpo/article/download/364/509</w:t>
        </w:r>
      </w:hyperlink>
      <w:r w:rsidDel="00000000" w:rsidR="00000000" w:rsidRPr="00000000">
        <w:rPr>
          <w:rtl w:val="0"/>
        </w:rPr>
      </w:r>
    </w:p>
    <w:p w:rsidR="00000000" w:rsidDel="00000000" w:rsidP="00000000" w:rsidRDefault="00000000" w:rsidRPr="00000000" w14:paraId="00000156">
      <w:pPr>
        <w:ind w:left="1080" w:hanging="1080"/>
        <w:rPr>
          <w:rFonts w:ascii="Arial" w:cs="Arial" w:eastAsia="Arial" w:hAnsi="Arial"/>
        </w:rPr>
      </w:pPr>
      <w:r w:rsidDel="00000000" w:rsidR="00000000" w:rsidRPr="00000000">
        <w:rPr>
          <w:rFonts w:ascii="Arial" w:cs="Arial" w:eastAsia="Arial" w:hAnsi="Arial"/>
          <w:highlight w:val="white"/>
          <w:rtl w:val="0"/>
        </w:rPr>
        <w:t xml:space="preserve">Kelley, T. R., Knowles, J. G., Holland, J. D., &amp; Han, J. (2020). Increasing high school teachers self-efficacy for integrated STEM instruction through a collaborative community of practice. </w:t>
      </w:r>
      <w:r w:rsidDel="00000000" w:rsidR="00000000" w:rsidRPr="00000000">
        <w:rPr>
          <w:rFonts w:ascii="Arial" w:cs="Arial" w:eastAsia="Arial" w:hAnsi="Arial"/>
          <w:i w:val="1"/>
          <w:highlight w:val="white"/>
          <w:rtl w:val="0"/>
        </w:rPr>
        <w:t xml:space="preserve">International Journal of STEM Education</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7</w:t>
      </w:r>
      <w:r w:rsidDel="00000000" w:rsidR="00000000" w:rsidRPr="00000000">
        <w:rPr>
          <w:rFonts w:ascii="Arial" w:cs="Arial" w:eastAsia="Arial" w:hAnsi="Arial"/>
          <w:highlight w:val="white"/>
          <w:rtl w:val="0"/>
        </w:rPr>
        <w:t xml:space="preserve">, 1-13. </w:t>
      </w:r>
      <w:hyperlink r:id="rId29">
        <w:r w:rsidDel="00000000" w:rsidR="00000000" w:rsidRPr="00000000">
          <w:rPr>
            <w:rFonts w:ascii="Arial" w:cs="Arial" w:eastAsia="Arial" w:hAnsi="Arial"/>
            <w:color w:val="000000"/>
            <w:highlight w:val="white"/>
            <w:u w:val="none"/>
            <w:rtl w:val="0"/>
          </w:rPr>
          <w:t xml:space="preserve">https://link.springer.com/content/pdf/10.1186/s40594-020-00211-w.pdf</w:t>
        </w:r>
      </w:hyperlink>
      <w:r w:rsidDel="00000000" w:rsidR="00000000" w:rsidRPr="00000000">
        <w:rPr>
          <w:rtl w:val="0"/>
        </w:rPr>
      </w:r>
    </w:p>
    <w:p w:rsidR="00000000" w:rsidDel="00000000" w:rsidP="00000000" w:rsidRDefault="00000000" w:rsidRPr="00000000" w14:paraId="00000157">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Kilag, O. K. T., Uy, F. T., Abendan, C. F. K., &amp; Malbas, M. H. (2023). Teaching leadership: an examination of best practices for leadership educators. Science and Education, 4(7), 430-445. </w:t>
      </w:r>
      <w:hyperlink r:id="rId30">
        <w:r w:rsidDel="00000000" w:rsidR="00000000" w:rsidRPr="00000000">
          <w:rPr>
            <w:rFonts w:ascii="Arial" w:cs="Arial" w:eastAsia="Arial" w:hAnsi="Arial"/>
            <w:color w:val="000000"/>
            <w:highlight w:val="white"/>
            <w:u w:val="none"/>
            <w:rtl w:val="0"/>
          </w:rPr>
          <w:t xml:space="preserve">https://journals.researchsynergypress.com/index.php/jess/article/download/1379/756</w:t>
        </w:r>
      </w:hyperlink>
      <w:r w:rsidDel="00000000" w:rsidR="00000000" w:rsidRPr="00000000">
        <w:rPr>
          <w:rtl w:val="0"/>
        </w:rPr>
      </w:r>
    </w:p>
    <w:p w:rsidR="00000000" w:rsidDel="00000000" w:rsidP="00000000" w:rsidRDefault="00000000" w:rsidRPr="00000000" w14:paraId="00000158">
      <w:pPr>
        <w:ind w:left="1080" w:hanging="1080"/>
        <w:rPr>
          <w:rFonts w:ascii="Arial" w:cs="Arial" w:eastAsia="Arial" w:hAnsi="Arial"/>
        </w:rPr>
      </w:pPr>
      <w:r w:rsidDel="00000000" w:rsidR="00000000" w:rsidRPr="00000000">
        <w:rPr>
          <w:rFonts w:ascii="Arial" w:cs="Arial" w:eastAsia="Arial" w:hAnsi="Arial"/>
          <w:rtl w:val="0"/>
        </w:rPr>
        <w:t xml:space="preserve">König, J., Bremerich-Vos, A., Buchholtz, C., &amp; Glutsch, N. (2020). General pedagogical knowledge, pedagogical adaptivity in written lesson plans, and instructional practice among preservice teachers. Journal of curriculum studies, 52(6), 800-822. https://www.tandfonline.com/doi/pdf/10.1080/00220272.2020.1752804</w:t>
      </w:r>
    </w:p>
    <w:p w:rsidR="00000000" w:rsidDel="00000000" w:rsidP="00000000" w:rsidRDefault="00000000" w:rsidRPr="00000000" w14:paraId="00000159">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Kusmawan, A., Rahman, R., Anis, N., &amp; Arifudin, O. (2025). The Relationship Between Teacher Involvement in Curriculum Development and Student Learning Outcomes. </w:t>
      </w:r>
      <w:r w:rsidDel="00000000" w:rsidR="00000000" w:rsidRPr="00000000">
        <w:rPr>
          <w:rFonts w:ascii="Arial" w:cs="Arial" w:eastAsia="Arial" w:hAnsi="Arial"/>
          <w:i w:val="1"/>
          <w:highlight w:val="white"/>
          <w:rtl w:val="0"/>
        </w:rPr>
        <w:t xml:space="preserve">International Journal of Educatio Elementaria and Psychologia</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2</w:t>
      </w:r>
      <w:r w:rsidDel="00000000" w:rsidR="00000000" w:rsidRPr="00000000">
        <w:rPr>
          <w:rFonts w:ascii="Arial" w:cs="Arial" w:eastAsia="Arial" w:hAnsi="Arial"/>
          <w:highlight w:val="white"/>
          <w:rtl w:val="0"/>
        </w:rPr>
        <w:t xml:space="preserve">(1), 1-12.</w:t>
      </w:r>
      <w:r w:rsidDel="00000000" w:rsidR="00000000" w:rsidRPr="00000000">
        <w:rPr>
          <w:rFonts w:ascii="Arial" w:cs="Arial" w:eastAsia="Arial" w:hAnsi="Arial"/>
          <w:rtl w:val="0"/>
        </w:rPr>
        <w:t xml:space="preserve"> </w:t>
      </w:r>
      <w:hyperlink r:id="rId31">
        <w:r w:rsidDel="00000000" w:rsidR="00000000" w:rsidRPr="00000000">
          <w:rPr>
            <w:rFonts w:ascii="Arial" w:cs="Arial" w:eastAsia="Arial" w:hAnsi="Arial"/>
            <w:color w:val="000000"/>
            <w:highlight w:val="white"/>
            <w:u w:val="none"/>
            <w:rtl w:val="0"/>
          </w:rPr>
          <w:t xml:space="preserve">https://journal.ypidathu.or.id/index.php/ijeep/article/download/1890/1329</w:t>
        </w:r>
      </w:hyperlink>
      <w:r w:rsidDel="00000000" w:rsidR="00000000" w:rsidRPr="00000000">
        <w:rPr>
          <w:rtl w:val="0"/>
        </w:rPr>
      </w:r>
    </w:p>
    <w:p w:rsidR="00000000" w:rsidDel="00000000" w:rsidP="00000000" w:rsidRDefault="00000000" w:rsidRPr="00000000" w14:paraId="0000015A">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Mallillin, L. L. D., &amp; Laurel, R. D. (2022). Professional development system theory for quality education. European Journal of Education Studies, 9(8). </w:t>
      </w:r>
      <w:hyperlink r:id="rId32">
        <w:r w:rsidDel="00000000" w:rsidR="00000000" w:rsidRPr="00000000">
          <w:rPr>
            <w:rFonts w:ascii="Arial" w:cs="Arial" w:eastAsia="Arial" w:hAnsi="Arial"/>
            <w:color w:val="000000"/>
            <w:highlight w:val="white"/>
            <w:u w:val="none"/>
            <w:rtl w:val="0"/>
          </w:rPr>
          <w:t xml:space="preserve">https://oapub.org/edu/index.php/ejes/article/download/4407/7042</w:t>
        </w:r>
      </w:hyperlink>
      <w:r w:rsidDel="00000000" w:rsidR="00000000" w:rsidRPr="00000000">
        <w:rPr>
          <w:rtl w:val="0"/>
        </w:rPr>
      </w:r>
    </w:p>
    <w:p w:rsidR="00000000" w:rsidDel="00000000" w:rsidP="00000000" w:rsidRDefault="00000000" w:rsidRPr="00000000" w14:paraId="0000015B">
      <w:pPr>
        <w:ind w:left="1080" w:hanging="1080"/>
        <w:rPr>
          <w:rFonts w:ascii="Arial" w:cs="Arial" w:eastAsia="Arial" w:hAnsi="Arial"/>
        </w:rPr>
      </w:pPr>
      <w:r w:rsidDel="00000000" w:rsidR="00000000" w:rsidRPr="00000000">
        <w:rPr>
          <w:rFonts w:ascii="Arial" w:cs="Arial" w:eastAsia="Arial" w:hAnsi="Arial"/>
          <w:rtl w:val="0"/>
        </w:rPr>
        <w:t xml:space="preserve">Mansfield, C. F., Beltman, S., &amp; Weatherby-Fell, N. (2020). " I actually felt more confident": An online resource for enhancing pre-service teacher resilience during professional experience. Australian Journal of Teacher Education (Online), 45(4), 30-48. </w:t>
      </w:r>
      <w:hyperlink r:id="rId33">
        <w:r w:rsidDel="00000000" w:rsidR="00000000" w:rsidRPr="00000000">
          <w:rPr>
            <w:rFonts w:ascii="Arial" w:cs="Arial" w:eastAsia="Arial" w:hAnsi="Arial"/>
            <w:color w:val="000000"/>
            <w:u w:val="none"/>
            <w:rtl w:val="0"/>
          </w:rPr>
          <w:t xml:space="preserve">https://files.eric.ed.gov/fulltext/EJ1261069.pdf</w:t>
        </w:r>
      </w:hyperlink>
      <w:r w:rsidDel="00000000" w:rsidR="00000000" w:rsidRPr="00000000">
        <w:rPr>
          <w:rtl w:val="0"/>
        </w:rPr>
      </w:r>
    </w:p>
    <w:p w:rsidR="00000000" w:rsidDel="00000000" w:rsidP="00000000" w:rsidRDefault="00000000" w:rsidRPr="00000000" w14:paraId="0000015C">
      <w:pPr>
        <w:ind w:left="1080" w:hanging="1080"/>
        <w:rPr>
          <w:rFonts w:ascii="Arial" w:cs="Arial" w:eastAsia="Arial" w:hAnsi="Arial"/>
        </w:rPr>
      </w:pPr>
      <w:r w:rsidDel="00000000" w:rsidR="00000000" w:rsidRPr="00000000">
        <w:rPr>
          <w:rFonts w:ascii="Arial" w:cs="Arial" w:eastAsia="Arial" w:hAnsi="Arial"/>
          <w:rtl w:val="0"/>
        </w:rPr>
        <w:t xml:space="preserve">Martinez, C. (2022). Developing 21st century teaching skills: A case study of teaching and learning through project-based curriculum. Cogent Education, 9(1), 2024936. </w:t>
      </w:r>
      <w:hyperlink r:id="rId34">
        <w:r w:rsidDel="00000000" w:rsidR="00000000" w:rsidRPr="00000000">
          <w:rPr>
            <w:rFonts w:ascii="Arial" w:cs="Arial" w:eastAsia="Arial" w:hAnsi="Arial"/>
            <w:color w:val="000000"/>
            <w:u w:val="none"/>
            <w:rtl w:val="0"/>
          </w:rPr>
          <w:t xml:space="preserve">https://www.tandfonline.com/doi/pdf/10.1080/2331186X.2021.2024936</w:t>
        </w:r>
      </w:hyperlink>
      <w:r w:rsidDel="00000000" w:rsidR="00000000" w:rsidRPr="00000000">
        <w:rPr>
          <w:rtl w:val="0"/>
        </w:rPr>
      </w:r>
    </w:p>
    <w:p w:rsidR="00000000" w:rsidDel="00000000" w:rsidP="00000000" w:rsidRDefault="00000000" w:rsidRPr="00000000" w14:paraId="0000015D">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Mertler, C. A. (2024). </w:t>
      </w:r>
      <w:r w:rsidDel="00000000" w:rsidR="00000000" w:rsidRPr="00000000">
        <w:rPr>
          <w:rFonts w:ascii="Arial" w:cs="Arial" w:eastAsia="Arial" w:hAnsi="Arial"/>
          <w:i w:val="1"/>
          <w:highlight w:val="white"/>
          <w:rtl w:val="0"/>
        </w:rPr>
        <w:t xml:space="preserve">Action research: Improving schools and empowering educators</w:t>
      </w:r>
      <w:r w:rsidDel="00000000" w:rsidR="00000000" w:rsidRPr="00000000">
        <w:rPr>
          <w:rFonts w:ascii="Arial" w:cs="Arial" w:eastAsia="Arial" w:hAnsi="Arial"/>
          <w:highlight w:val="white"/>
          <w:rtl w:val="0"/>
        </w:rPr>
        <w:t xml:space="preserve">. Sage Publications.</w:t>
      </w:r>
      <w:r w:rsidDel="00000000" w:rsidR="00000000" w:rsidRPr="00000000">
        <w:rPr>
          <w:rFonts w:ascii="Arial" w:cs="Arial" w:eastAsia="Arial" w:hAnsi="Arial"/>
          <w:rtl w:val="0"/>
        </w:rPr>
        <w:t xml:space="preserve"> </w:t>
      </w:r>
      <w:hyperlink r:id="rId35">
        <w:r w:rsidDel="00000000" w:rsidR="00000000" w:rsidRPr="00000000">
          <w:rPr>
            <w:rFonts w:ascii="Arial" w:cs="Arial" w:eastAsia="Arial" w:hAnsi="Arial"/>
            <w:color w:val="000000"/>
            <w:highlight w:val="white"/>
            <w:u w:val="none"/>
            <w:rtl w:val="0"/>
          </w:rPr>
          <w:t xml:space="preserve">https://journalhosting.ucalgary.ca/index.php/ajer/article/download/56076/pdf/0</w:t>
        </w:r>
      </w:hyperlink>
      <w:r w:rsidDel="00000000" w:rsidR="00000000" w:rsidRPr="00000000">
        <w:rPr>
          <w:rtl w:val="0"/>
        </w:rPr>
      </w:r>
    </w:p>
    <w:p w:rsidR="00000000" w:rsidDel="00000000" w:rsidP="00000000" w:rsidRDefault="00000000" w:rsidRPr="00000000" w14:paraId="0000015E">
      <w:pPr>
        <w:ind w:left="1080" w:hanging="1080"/>
        <w:rPr>
          <w:rFonts w:ascii="Arial" w:cs="Arial" w:eastAsia="Arial" w:hAnsi="Arial"/>
        </w:rPr>
      </w:pPr>
      <w:r w:rsidDel="00000000" w:rsidR="00000000" w:rsidRPr="00000000">
        <w:rPr>
          <w:rFonts w:ascii="Arial" w:cs="Arial" w:eastAsia="Arial" w:hAnsi="Arial"/>
          <w:highlight w:val="white"/>
          <w:rtl w:val="0"/>
        </w:rPr>
        <w:t xml:space="preserve">Meyer, A., Hartung-Beck, V., Gronostaj, A., Krüger, S., &amp; Richter, D. (2023). How can principal leadership practices promote teacher collaboration and organizational change? A longitudinal multiple case study of three school improvement initiatives. </w:t>
      </w:r>
      <w:r w:rsidDel="00000000" w:rsidR="00000000" w:rsidRPr="00000000">
        <w:rPr>
          <w:rFonts w:ascii="Arial" w:cs="Arial" w:eastAsia="Arial" w:hAnsi="Arial"/>
          <w:i w:val="1"/>
          <w:highlight w:val="white"/>
          <w:rtl w:val="0"/>
        </w:rPr>
        <w:t xml:space="preserve">Journal of Educational Change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24</w:t>
      </w:r>
      <w:r w:rsidDel="00000000" w:rsidR="00000000" w:rsidRPr="00000000">
        <w:rPr>
          <w:rFonts w:ascii="Arial" w:cs="Arial" w:eastAsia="Arial" w:hAnsi="Arial"/>
          <w:highlight w:val="white"/>
          <w:rtl w:val="0"/>
        </w:rPr>
        <w:t xml:space="preserve">(3), 425-455. </w:t>
      </w:r>
      <w:hyperlink r:id="rId36">
        <w:r w:rsidDel="00000000" w:rsidR="00000000" w:rsidRPr="00000000">
          <w:rPr>
            <w:rFonts w:ascii="Arial" w:cs="Arial" w:eastAsia="Arial" w:hAnsi="Arial"/>
            <w:color w:val="000000"/>
            <w:highlight w:val="white"/>
            <w:u w:val="none"/>
            <w:rtl w:val="0"/>
          </w:rPr>
          <w:t xml:space="preserve">https://link.springer.com/content/pdf/10.1007/s10833-022-09451-9.pdf</w:t>
        </w:r>
      </w:hyperlink>
      <w:r w:rsidDel="00000000" w:rsidR="00000000" w:rsidRPr="00000000">
        <w:rPr>
          <w:rtl w:val="0"/>
        </w:rPr>
      </w:r>
    </w:p>
    <w:p w:rsidR="00000000" w:rsidDel="00000000" w:rsidP="00000000" w:rsidRDefault="00000000" w:rsidRPr="00000000" w14:paraId="0000015F">
      <w:pPr>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Meylani, R. (2023). A comparative analysis of traditional and modern approaches to assessment and evaluation in education. </w:t>
      </w:r>
      <w:r w:rsidDel="00000000" w:rsidR="00000000" w:rsidRPr="00000000">
        <w:rPr>
          <w:rFonts w:ascii="Arial" w:cs="Arial" w:eastAsia="Arial" w:hAnsi="Arial"/>
          <w:i w:val="1"/>
          <w:highlight w:val="white"/>
          <w:rtl w:val="0"/>
        </w:rPr>
        <w:t xml:space="preserve">Batı Anadolu Eğitim Bilimleri Dergisi</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15</w:t>
      </w:r>
      <w:r w:rsidDel="00000000" w:rsidR="00000000" w:rsidRPr="00000000">
        <w:rPr>
          <w:rFonts w:ascii="Arial" w:cs="Arial" w:eastAsia="Arial" w:hAnsi="Arial"/>
          <w:highlight w:val="white"/>
          <w:rtl w:val="0"/>
        </w:rPr>
        <w:t xml:space="preserve">(1), 520-555.</w:t>
      </w:r>
      <w:r w:rsidDel="00000000" w:rsidR="00000000" w:rsidRPr="00000000">
        <w:rPr>
          <w:rFonts w:ascii="Arial" w:cs="Arial" w:eastAsia="Arial" w:hAnsi="Arial"/>
          <w:rtl w:val="0"/>
        </w:rPr>
        <w:t xml:space="preserve"> </w:t>
      </w:r>
      <w:hyperlink r:id="rId37">
        <w:r w:rsidDel="00000000" w:rsidR="00000000" w:rsidRPr="00000000">
          <w:rPr>
            <w:rFonts w:ascii="Arial" w:cs="Arial" w:eastAsia="Arial" w:hAnsi="Arial"/>
            <w:color w:val="000000"/>
            <w:highlight w:val="white"/>
            <w:u w:val="none"/>
            <w:rtl w:val="0"/>
          </w:rPr>
          <w:t xml:space="preserve">https://dergipark.org.tr/en/download/article-file/3519788</w:t>
        </w:r>
      </w:hyperlink>
      <w:r w:rsidDel="00000000" w:rsidR="00000000" w:rsidRPr="00000000">
        <w:rPr>
          <w:rtl w:val="0"/>
        </w:rPr>
      </w:r>
    </w:p>
    <w:p w:rsidR="00000000" w:rsidDel="00000000" w:rsidP="00000000" w:rsidRDefault="00000000" w:rsidRPr="00000000" w14:paraId="00000160">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Mohajan, H. K. (2020). Quantitative research: A successful investigation in natural and social sciences. </w:t>
      </w:r>
      <w:r w:rsidDel="00000000" w:rsidR="00000000" w:rsidRPr="00000000">
        <w:rPr>
          <w:rFonts w:ascii="Arial" w:cs="Arial" w:eastAsia="Arial" w:hAnsi="Arial"/>
          <w:i w:val="1"/>
          <w:highlight w:val="white"/>
          <w:rtl w:val="0"/>
        </w:rPr>
        <w:t xml:space="preserve">Journal of economic development, environment and people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9</w:t>
      </w:r>
      <w:r w:rsidDel="00000000" w:rsidR="00000000" w:rsidRPr="00000000">
        <w:rPr>
          <w:rFonts w:ascii="Arial" w:cs="Arial" w:eastAsia="Arial" w:hAnsi="Arial"/>
          <w:highlight w:val="white"/>
          <w:rtl w:val="0"/>
        </w:rPr>
        <w:t xml:space="preserve">(4), 50-79.</w:t>
      </w:r>
      <w:r w:rsidDel="00000000" w:rsidR="00000000" w:rsidRPr="00000000">
        <w:rPr>
          <w:rFonts w:ascii="Arial" w:cs="Arial" w:eastAsia="Arial" w:hAnsi="Arial"/>
          <w:rtl w:val="0"/>
        </w:rPr>
        <w:t xml:space="preserve"> </w:t>
      </w:r>
      <w:hyperlink r:id="rId38">
        <w:r w:rsidDel="00000000" w:rsidR="00000000" w:rsidRPr="00000000">
          <w:rPr>
            <w:rFonts w:ascii="Arial" w:cs="Arial" w:eastAsia="Arial" w:hAnsi="Arial"/>
            <w:color w:val="000000"/>
            <w:highlight w:val="white"/>
            <w:u w:val="none"/>
            <w:rtl w:val="0"/>
          </w:rPr>
          <w:t xml:space="preserve">https://mpra.ub.uni-muenchen.de/105149/1/MPRA_paper_105149.pdf</w:t>
        </w:r>
      </w:hyperlink>
      <w:r w:rsidDel="00000000" w:rsidR="00000000" w:rsidRPr="00000000">
        <w:rPr>
          <w:rtl w:val="0"/>
        </w:rPr>
      </w:r>
    </w:p>
    <w:p w:rsidR="00000000" w:rsidDel="00000000" w:rsidP="00000000" w:rsidRDefault="00000000" w:rsidRPr="00000000" w14:paraId="00000161">
      <w:pPr>
        <w:ind w:left="1080" w:hanging="1080"/>
        <w:rPr>
          <w:rFonts w:ascii="Arial" w:cs="Arial" w:eastAsia="Arial" w:hAnsi="Arial"/>
        </w:rPr>
      </w:pPr>
      <w:r w:rsidDel="00000000" w:rsidR="00000000" w:rsidRPr="00000000">
        <w:rPr>
          <w:rFonts w:ascii="Arial" w:cs="Arial" w:eastAsia="Arial" w:hAnsi="Arial"/>
          <w:rtl w:val="0"/>
        </w:rPr>
        <w:t xml:space="preserve">Nurkhin, A., Mulyono, K. B., Saputro, I. H., Pramono, D., &amp; Utomo, A. P. Y. (2023). European Journal of Educational Research. European Journal of Educational Research, 12(2), 605-621. </w:t>
      </w:r>
      <w:hyperlink r:id="rId39">
        <w:r w:rsidDel="00000000" w:rsidR="00000000" w:rsidRPr="00000000">
          <w:rPr>
            <w:rFonts w:ascii="Arial" w:cs="Arial" w:eastAsia="Arial" w:hAnsi="Arial"/>
            <w:color w:val="000000"/>
            <w:u w:val="none"/>
            <w:rtl w:val="0"/>
          </w:rPr>
          <w:t xml:space="preserve">https://www.academia.edu/download/101770947/EU-JER_12_2_605.pdf</w:t>
        </w:r>
      </w:hyperlink>
      <w:r w:rsidDel="00000000" w:rsidR="00000000" w:rsidRPr="00000000">
        <w:rPr>
          <w:rtl w:val="0"/>
        </w:rPr>
      </w:r>
    </w:p>
    <w:p w:rsidR="00000000" w:rsidDel="00000000" w:rsidP="00000000" w:rsidRDefault="00000000" w:rsidRPr="00000000" w14:paraId="00000162">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Pak, K., Polikoff, M. S., Desimone, L. M., &amp; Saldívar García, E. (2020). The adaptive challenges of curriculum implementation: Insights for educational leaders driving standards-based reform. </w:t>
      </w:r>
      <w:r w:rsidDel="00000000" w:rsidR="00000000" w:rsidRPr="00000000">
        <w:rPr>
          <w:rFonts w:ascii="Arial" w:cs="Arial" w:eastAsia="Arial" w:hAnsi="Arial"/>
          <w:i w:val="1"/>
          <w:highlight w:val="white"/>
          <w:rtl w:val="0"/>
        </w:rPr>
        <w:t xml:space="preserve">Aera Open</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6</w:t>
      </w:r>
      <w:r w:rsidDel="00000000" w:rsidR="00000000" w:rsidRPr="00000000">
        <w:rPr>
          <w:rFonts w:ascii="Arial" w:cs="Arial" w:eastAsia="Arial" w:hAnsi="Arial"/>
          <w:highlight w:val="white"/>
          <w:rtl w:val="0"/>
        </w:rPr>
        <w:t xml:space="preserve">(2), 2332858420932828. </w:t>
      </w:r>
      <w:hyperlink r:id="rId40">
        <w:r w:rsidDel="00000000" w:rsidR="00000000" w:rsidRPr="00000000">
          <w:rPr>
            <w:rFonts w:ascii="Arial" w:cs="Arial" w:eastAsia="Arial" w:hAnsi="Arial"/>
            <w:color w:val="000000"/>
            <w:highlight w:val="white"/>
            <w:u w:val="none"/>
            <w:rtl w:val="0"/>
          </w:rPr>
          <w:t xml:space="preserve">https://journals.sagepub.com/doi/pdf/10.1177/2332858420932828</w:t>
        </w:r>
      </w:hyperlink>
      <w:r w:rsidDel="00000000" w:rsidR="00000000" w:rsidRPr="00000000">
        <w:rPr>
          <w:rtl w:val="0"/>
        </w:rPr>
      </w:r>
    </w:p>
    <w:p w:rsidR="00000000" w:rsidDel="00000000" w:rsidP="00000000" w:rsidRDefault="00000000" w:rsidRPr="00000000" w14:paraId="00000163">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Pregoner, J. D., Leopardas, R., Ganancial, I. J., Baguhin, M., &amp; Sedo, F. (2025). Ethical Issues in Conducting Research Using Human Participants in the Post-COVID Era. </w:t>
      </w:r>
      <w:r w:rsidDel="00000000" w:rsidR="00000000" w:rsidRPr="00000000">
        <w:rPr>
          <w:rFonts w:ascii="Arial" w:cs="Arial" w:eastAsia="Arial" w:hAnsi="Arial"/>
          <w:i w:val="1"/>
          <w:highlight w:val="white"/>
          <w:rtl w:val="0"/>
        </w:rPr>
        <w:t xml:space="preserve">IMCC Journal of Science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5</w:t>
      </w:r>
      <w:r w:rsidDel="00000000" w:rsidR="00000000" w:rsidRPr="00000000">
        <w:rPr>
          <w:rFonts w:ascii="Arial" w:cs="Arial" w:eastAsia="Arial" w:hAnsi="Arial"/>
          <w:highlight w:val="white"/>
          <w:rtl w:val="0"/>
        </w:rPr>
        <w:t xml:space="preserve">(1), 1-9. </w:t>
      </w:r>
      <w:hyperlink r:id="rId41">
        <w:r w:rsidDel="00000000" w:rsidR="00000000" w:rsidRPr="00000000">
          <w:rPr>
            <w:rFonts w:ascii="Arial" w:cs="Arial" w:eastAsia="Arial" w:hAnsi="Arial"/>
            <w:color w:val="000000"/>
            <w:highlight w:val="white"/>
            <w:u w:val="none"/>
            <w:rtl w:val="0"/>
          </w:rPr>
          <w:t xml:space="preserve">https://hal.science/hal-05073466/</w:t>
        </w:r>
      </w:hyperlink>
      <w:r w:rsidDel="00000000" w:rsidR="00000000" w:rsidRPr="00000000">
        <w:rPr>
          <w:rtl w:val="0"/>
        </w:rPr>
      </w:r>
    </w:p>
    <w:p w:rsidR="00000000" w:rsidDel="00000000" w:rsidP="00000000" w:rsidRDefault="00000000" w:rsidRPr="00000000" w14:paraId="00000164">
      <w:pPr>
        <w:ind w:left="1080" w:hanging="1080"/>
        <w:rPr>
          <w:rFonts w:ascii="Arial" w:cs="Arial" w:eastAsia="Arial" w:hAnsi="Arial"/>
        </w:rPr>
      </w:pPr>
      <w:r w:rsidDel="00000000" w:rsidR="00000000" w:rsidRPr="00000000">
        <w:rPr>
          <w:rFonts w:ascii="Arial" w:cs="Arial" w:eastAsia="Arial" w:hAnsi="Arial"/>
          <w:highlight w:val="white"/>
          <w:rtl w:val="0"/>
        </w:rPr>
        <w:t xml:space="preserve">Quijano, G. (2023). Assessing the K-12 program implementation in the Philippines as an input to school-based policy plan. </w:t>
      </w:r>
      <w:r w:rsidDel="00000000" w:rsidR="00000000" w:rsidRPr="00000000">
        <w:rPr>
          <w:rFonts w:ascii="Arial" w:cs="Arial" w:eastAsia="Arial" w:hAnsi="Arial"/>
          <w:i w:val="1"/>
          <w:highlight w:val="white"/>
          <w:rtl w:val="0"/>
        </w:rPr>
        <w:t xml:space="preserve">JETT</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14</w:t>
      </w:r>
      <w:r w:rsidDel="00000000" w:rsidR="00000000" w:rsidRPr="00000000">
        <w:rPr>
          <w:rFonts w:ascii="Arial" w:cs="Arial" w:eastAsia="Arial" w:hAnsi="Arial"/>
          <w:highlight w:val="white"/>
          <w:rtl w:val="0"/>
        </w:rPr>
        <w:t xml:space="preserve">(1), 248-266. </w:t>
      </w:r>
      <w:hyperlink r:id="rId42">
        <w:r w:rsidDel="00000000" w:rsidR="00000000" w:rsidRPr="00000000">
          <w:rPr>
            <w:rFonts w:ascii="Arial" w:cs="Arial" w:eastAsia="Arial" w:hAnsi="Arial"/>
            <w:color w:val="000000"/>
            <w:highlight w:val="white"/>
            <w:u w:val="none"/>
            <w:rtl w:val="0"/>
          </w:rPr>
          <w:t xml:space="preserve">https://dialnet.unirioja.es/descarga/articulo/8928334.pdf</w:t>
        </w:r>
      </w:hyperlink>
      <w:r w:rsidDel="00000000" w:rsidR="00000000" w:rsidRPr="00000000">
        <w:rPr>
          <w:rtl w:val="0"/>
        </w:rPr>
      </w:r>
    </w:p>
    <w:p w:rsidR="00000000" w:rsidDel="00000000" w:rsidP="00000000" w:rsidRDefault="00000000" w:rsidRPr="00000000" w14:paraId="00000165">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Rassel, G., Leland, S., Mohr, Z., &amp; O'Sullivan, E. (2020). </w:t>
      </w:r>
      <w:r w:rsidDel="00000000" w:rsidR="00000000" w:rsidRPr="00000000">
        <w:rPr>
          <w:rFonts w:ascii="Arial" w:cs="Arial" w:eastAsia="Arial" w:hAnsi="Arial"/>
          <w:i w:val="1"/>
          <w:highlight w:val="white"/>
          <w:rtl w:val="0"/>
        </w:rPr>
        <w:t xml:space="preserve">Research methods for public administrators</w:t>
      </w:r>
      <w:r w:rsidDel="00000000" w:rsidR="00000000" w:rsidRPr="00000000">
        <w:rPr>
          <w:rFonts w:ascii="Arial" w:cs="Arial" w:eastAsia="Arial" w:hAnsi="Arial"/>
          <w:highlight w:val="white"/>
          <w:rtl w:val="0"/>
        </w:rPr>
        <w:t xml:space="preserve">. Routledge.</w:t>
      </w:r>
      <w:r w:rsidDel="00000000" w:rsidR="00000000" w:rsidRPr="00000000">
        <w:rPr>
          <w:rFonts w:ascii="Arial" w:cs="Arial" w:eastAsia="Arial" w:hAnsi="Arial"/>
          <w:rtl w:val="0"/>
        </w:rPr>
        <w:t xml:space="preserve"> </w:t>
      </w:r>
      <w:hyperlink r:id="rId43">
        <w:r w:rsidDel="00000000" w:rsidR="00000000" w:rsidRPr="00000000">
          <w:rPr>
            <w:rFonts w:ascii="Arial" w:cs="Arial" w:eastAsia="Arial" w:hAnsi="Arial"/>
            <w:color w:val="000000"/>
            <w:highlight w:val="white"/>
            <w:u w:val="none"/>
            <w:rtl w:val="0"/>
          </w:rPr>
          <w:t xml:space="preserve">https://mlodyobywatel.ceo.org.pl/sites/mlodyobywatel.ceo.org.pl/files/webform/research-methods-for-public-administrators-elizabethann-osullivan-gary-rassel-maureen-berner-jocelyn-dev-pdf-download-free-book-b8d1097.pdf</w:t>
        </w:r>
      </w:hyperlink>
      <w:r w:rsidDel="00000000" w:rsidR="00000000" w:rsidRPr="00000000">
        <w:rPr>
          <w:rtl w:val="0"/>
        </w:rPr>
      </w:r>
    </w:p>
    <w:p w:rsidR="00000000" w:rsidDel="00000000" w:rsidP="00000000" w:rsidRDefault="00000000" w:rsidRPr="00000000" w14:paraId="00000166">
      <w:pPr>
        <w:ind w:left="1080" w:hanging="1080"/>
        <w:rPr>
          <w:rFonts w:ascii="Arial" w:cs="Arial" w:eastAsia="Arial" w:hAnsi="Arial"/>
        </w:rPr>
      </w:pPr>
      <w:r w:rsidDel="00000000" w:rsidR="00000000" w:rsidRPr="00000000">
        <w:rPr>
          <w:rFonts w:ascii="Arial" w:cs="Arial" w:eastAsia="Arial" w:hAnsi="Arial"/>
          <w:highlight w:val="white"/>
          <w:rtl w:val="0"/>
        </w:rPr>
        <w:t xml:space="preserve">Roberts, J. L., &amp; Inman, T. F. (2023). </w:t>
      </w:r>
      <w:r w:rsidDel="00000000" w:rsidR="00000000" w:rsidRPr="00000000">
        <w:rPr>
          <w:rFonts w:ascii="Arial" w:cs="Arial" w:eastAsia="Arial" w:hAnsi="Arial"/>
          <w:i w:val="1"/>
          <w:highlight w:val="white"/>
          <w:rtl w:val="0"/>
        </w:rPr>
        <w:t xml:space="preserve">Strategies for differentiating instruction: Best practices for the classroom</w:t>
      </w:r>
      <w:r w:rsidDel="00000000" w:rsidR="00000000" w:rsidRPr="00000000">
        <w:rPr>
          <w:rFonts w:ascii="Arial" w:cs="Arial" w:eastAsia="Arial" w:hAnsi="Arial"/>
          <w:highlight w:val="white"/>
          <w:rtl w:val="0"/>
        </w:rPr>
        <w:t xml:space="preserve">. Routledge. </w:t>
      </w:r>
      <w:hyperlink r:id="rId44">
        <w:r w:rsidDel="00000000" w:rsidR="00000000" w:rsidRPr="00000000">
          <w:rPr>
            <w:rFonts w:ascii="Arial" w:cs="Arial" w:eastAsia="Arial" w:hAnsi="Arial"/>
            <w:color w:val="000000"/>
            <w:highlight w:val="white"/>
            <w:u w:val="none"/>
            <w:rtl w:val="0"/>
          </w:rPr>
          <w:t xml:space="preserve">http://cehd.gmu.edu/assets/docs/syllabi/2012/syllabus_15558.pdf</w:t>
        </w:r>
      </w:hyperlink>
      <w:r w:rsidDel="00000000" w:rsidR="00000000" w:rsidRPr="00000000">
        <w:rPr>
          <w:rtl w:val="0"/>
        </w:rPr>
      </w:r>
    </w:p>
    <w:p w:rsidR="00000000" w:rsidDel="00000000" w:rsidP="00000000" w:rsidRDefault="00000000" w:rsidRPr="00000000" w14:paraId="00000167">
      <w:pPr>
        <w:ind w:left="1080" w:hanging="1080"/>
        <w:rPr>
          <w:rFonts w:ascii="Arial" w:cs="Arial" w:eastAsia="Arial" w:hAnsi="Arial"/>
        </w:rPr>
      </w:pPr>
      <w:r w:rsidDel="00000000" w:rsidR="00000000" w:rsidRPr="00000000">
        <w:rPr>
          <w:rFonts w:ascii="Arial" w:cs="Arial" w:eastAsia="Arial" w:hAnsi="Arial"/>
          <w:rtl w:val="0"/>
        </w:rPr>
        <w:t xml:space="preserve">Rouben, J., Carola, A., Seong-Ho, L., &amp; Ratimir, T. (2023). Investigating the Impact of Real-Time Feedback Formative Assessment on High School Algebra Learning Outcomes in the United States. Research and Advances in Education, 2(12), 7-16. </w:t>
      </w:r>
      <w:hyperlink r:id="rId45">
        <w:r w:rsidDel="00000000" w:rsidR="00000000" w:rsidRPr="00000000">
          <w:rPr>
            <w:rFonts w:ascii="Arial" w:cs="Arial" w:eastAsia="Arial" w:hAnsi="Arial"/>
            <w:color w:val="000000"/>
            <w:u w:val="none"/>
            <w:rtl w:val="0"/>
          </w:rPr>
          <w:t xml:space="preserve">https://www.paradigmpress.org/rae/article/download/913/787</w:t>
        </w:r>
      </w:hyperlink>
      <w:r w:rsidDel="00000000" w:rsidR="00000000" w:rsidRPr="00000000">
        <w:rPr>
          <w:rtl w:val="0"/>
        </w:rPr>
      </w:r>
    </w:p>
    <w:p w:rsidR="00000000" w:rsidDel="00000000" w:rsidP="00000000" w:rsidRDefault="00000000" w:rsidRPr="00000000" w14:paraId="00000168">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Rumjaun, A., &amp; Narod, F. (2020). Social learning theory—albert bandura. </w:t>
      </w:r>
      <w:r w:rsidDel="00000000" w:rsidR="00000000" w:rsidRPr="00000000">
        <w:rPr>
          <w:rFonts w:ascii="Arial" w:cs="Arial" w:eastAsia="Arial" w:hAnsi="Arial"/>
          <w:i w:val="1"/>
          <w:highlight w:val="white"/>
          <w:rtl w:val="0"/>
        </w:rPr>
        <w:t xml:space="preserve">Science education in theory and practice: An introductory guide to learning theory</w:t>
      </w:r>
      <w:r w:rsidDel="00000000" w:rsidR="00000000" w:rsidRPr="00000000">
        <w:rPr>
          <w:rFonts w:ascii="Arial" w:cs="Arial" w:eastAsia="Arial" w:hAnsi="Arial"/>
          <w:highlight w:val="white"/>
          <w:rtl w:val="0"/>
        </w:rPr>
        <w:t xml:space="preserve">, 85-99. </w:t>
      </w:r>
      <w:hyperlink r:id="rId46">
        <w:r w:rsidDel="00000000" w:rsidR="00000000" w:rsidRPr="00000000">
          <w:rPr>
            <w:rFonts w:ascii="Arial" w:cs="Arial" w:eastAsia="Arial" w:hAnsi="Arial"/>
            <w:color w:val="000000"/>
            <w:highlight w:val="white"/>
            <w:u w:val="none"/>
            <w:rtl w:val="0"/>
          </w:rPr>
          <w:t xml:space="preserve">https://link.springer.com/chapter/10.1007/978-3-030-43620-9_7</w:t>
        </w:r>
      </w:hyperlink>
      <w:r w:rsidDel="00000000" w:rsidR="00000000" w:rsidRPr="00000000">
        <w:rPr>
          <w:rtl w:val="0"/>
        </w:rPr>
      </w:r>
    </w:p>
    <w:p w:rsidR="00000000" w:rsidDel="00000000" w:rsidP="00000000" w:rsidRDefault="00000000" w:rsidRPr="00000000" w14:paraId="00000169">
      <w:pPr>
        <w:ind w:left="1080" w:hanging="1080"/>
        <w:rPr>
          <w:rFonts w:ascii="Arial" w:cs="Arial" w:eastAsia="Arial" w:hAnsi="Arial"/>
        </w:rPr>
      </w:pPr>
      <w:r w:rsidDel="00000000" w:rsidR="00000000" w:rsidRPr="00000000">
        <w:rPr>
          <w:rFonts w:ascii="Arial" w:cs="Arial" w:eastAsia="Arial" w:hAnsi="Arial"/>
          <w:highlight w:val="white"/>
          <w:rtl w:val="0"/>
        </w:rPr>
        <w:t xml:space="preserve">Sancar, R., Atal, D., &amp; Deryakulu, D. (2021). A new framework for teachers’ professional development. </w:t>
      </w:r>
      <w:r w:rsidDel="00000000" w:rsidR="00000000" w:rsidRPr="00000000">
        <w:rPr>
          <w:rFonts w:ascii="Arial" w:cs="Arial" w:eastAsia="Arial" w:hAnsi="Arial"/>
          <w:i w:val="1"/>
          <w:highlight w:val="white"/>
          <w:rtl w:val="0"/>
        </w:rPr>
        <w:t xml:space="preserve">Teaching and teacher education</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101</w:t>
      </w:r>
      <w:r w:rsidDel="00000000" w:rsidR="00000000" w:rsidRPr="00000000">
        <w:rPr>
          <w:rFonts w:ascii="Arial" w:cs="Arial" w:eastAsia="Arial" w:hAnsi="Arial"/>
          <w:highlight w:val="white"/>
          <w:rtl w:val="0"/>
        </w:rPr>
        <w:t xml:space="preserve">, 103305. </w:t>
      </w:r>
      <w:hyperlink r:id="rId47">
        <w:r w:rsidDel="00000000" w:rsidR="00000000" w:rsidRPr="00000000">
          <w:rPr>
            <w:rFonts w:ascii="Arial" w:cs="Arial" w:eastAsia="Arial" w:hAnsi="Arial"/>
            <w:color w:val="000000"/>
            <w:highlight w:val="white"/>
            <w:u w:val="none"/>
            <w:rtl w:val="0"/>
          </w:rPr>
          <w:t xml:space="preserve">https://openaccess.ahievran.edu.tr/xmlui/bitstream/handle/20.500.12513/7091/Raziye%20Sancar.pdf?sequence=1&amp;isAllowed=y</w:t>
        </w:r>
      </w:hyperlink>
      <w:r w:rsidDel="00000000" w:rsidR="00000000" w:rsidRPr="00000000">
        <w:rPr>
          <w:rtl w:val="0"/>
        </w:rPr>
      </w:r>
    </w:p>
    <w:p w:rsidR="00000000" w:rsidDel="00000000" w:rsidP="00000000" w:rsidRDefault="00000000" w:rsidRPr="00000000" w14:paraId="0000016A">
      <w:pPr>
        <w:ind w:left="720" w:hanging="720"/>
        <w:rPr>
          <w:rFonts w:ascii="Arial" w:cs="Arial" w:eastAsia="Arial" w:hAnsi="Arial"/>
          <w:highlight w:val="white"/>
        </w:rPr>
      </w:pPr>
      <w:r w:rsidDel="00000000" w:rsidR="00000000" w:rsidRPr="00000000">
        <w:rPr>
          <w:rFonts w:ascii="Arial" w:cs="Arial" w:eastAsia="Arial" w:hAnsi="Arial"/>
          <w:highlight w:val="white"/>
          <w:rtl w:val="0"/>
        </w:rPr>
        <w:t xml:space="preserve">Schissel, J. L., De Korne, H., &amp; López-Gopar, M. (2021). Grappling with translanguaging for teaching and assessment in culturally and linguistically diverse contexts: Teacher perspectives from Oaxaca, Mexico. </w:t>
      </w:r>
      <w:r w:rsidDel="00000000" w:rsidR="00000000" w:rsidRPr="00000000">
        <w:rPr>
          <w:rFonts w:ascii="Arial" w:cs="Arial" w:eastAsia="Arial" w:hAnsi="Arial"/>
          <w:i w:val="1"/>
          <w:highlight w:val="white"/>
          <w:rtl w:val="0"/>
        </w:rPr>
        <w:t xml:space="preserve">International Journal of Bilingual Education and Bilingualism</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24</w:t>
      </w:r>
      <w:r w:rsidDel="00000000" w:rsidR="00000000" w:rsidRPr="00000000">
        <w:rPr>
          <w:rFonts w:ascii="Arial" w:cs="Arial" w:eastAsia="Arial" w:hAnsi="Arial"/>
          <w:highlight w:val="white"/>
          <w:rtl w:val="0"/>
        </w:rPr>
        <w:t xml:space="preserve">(3), 340-356.</w:t>
      </w:r>
      <w:r w:rsidDel="00000000" w:rsidR="00000000" w:rsidRPr="00000000">
        <w:rPr>
          <w:rFonts w:ascii="Arial" w:cs="Arial" w:eastAsia="Arial" w:hAnsi="Arial"/>
          <w:rtl w:val="0"/>
        </w:rPr>
        <w:t xml:space="preserve"> </w:t>
      </w:r>
      <w:hyperlink r:id="rId48">
        <w:r w:rsidDel="00000000" w:rsidR="00000000" w:rsidRPr="00000000">
          <w:rPr>
            <w:rFonts w:ascii="Arial" w:cs="Arial" w:eastAsia="Arial" w:hAnsi="Arial"/>
            <w:color w:val="000000"/>
            <w:highlight w:val="white"/>
            <w:u w:val="none"/>
            <w:rtl w:val="0"/>
          </w:rPr>
          <w:t xml:space="preserve">https://www.duo.uio.no/bitstream/handle/10852/67440/IJBEB_revisions2.pdf?sequence=1</w:t>
        </w:r>
      </w:hyperlink>
      <w:r w:rsidDel="00000000" w:rsidR="00000000" w:rsidRPr="00000000">
        <w:rPr>
          <w:rtl w:val="0"/>
        </w:rPr>
      </w:r>
    </w:p>
    <w:p w:rsidR="00000000" w:rsidDel="00000000" w:rsidP="00000000" w:rsidRDefault="00000000" w:rsidRPr="00000000" w14:paraId="0000016B">
      <w:pPr>
        <w:ind w:left="1080" w:hanging="1080"/>
        <w:rPr>
          <w:rFonts w:ascii="Arial" w:cs="Arial" w:eastAsia="Arial" w:hAnsi="Arial"/>
          <w:highlight w:val="white"/>
        </w:rPr>
      </w:pPr>
      <w:r w:rsidDel="00000000" w:rsidR="00000000" w:rsidRPr="00000000">
        <w:rPr>
          <w:rFonts w:ascii="Arial" w:cs="Arial" w:eastAsia="Arial" w:hAnsi="Arial"/>
          <w:highlight w:val="white"/>
          <w:rtl w:val="0"/>
        </w:rPr>
        <w:t xml:space="preserve">Seeram, E. (2022). Quantitative and qualitative research: An overview of approaches. </w:t>
      </w:r>
      <w:r w:rsidDel="00000000" w:rsidR="00000000" w:rsidRPr="00000000">
        <w:rPr>
          <w:rFonts w:ascii="Arial" w:cs="Arial" w:eastAsia="Arial" w:hAnsi="Arial"/>
          <w:i w:val="1"/>
          <w:highlight w:val="white"/>
          <w:rtl w:val="0"/>
        </w:rPr>
        <w:t xml:space="preserve">Research for Medical Imaging and Radiation Sciences</w:t>
      </w:r>
      <w:r w:rsidDel="00000000" w:rsidR="00000000" w:rsidRPr="00000000">
        <w:rPr>
          <w:rFonts w:ascii="Arial" w:cs="Arial" w:eastAsia="Arial" w:hAnsi="Arial"/>
          <w:highlight w:val="white"/>
          <w:rtl w:val="0"/>
        </w:rPr>
        <w:t xml:space="preserve">, 13-23.</w:t>
      </w:r>
      <w:r w:rsidDel="00000000" w:rsidR="00000000" w:rsidRPr="00000000">
        <w:rPr>
          <w:rFonts w:ascii="Arial" w:cs="Arial" w:eastAsia="Arial" w:hAnsi="Arial"/>
          <w:rtl w:val="0"/>
        </w:rPr>
        <w:t xml:space="preserve"> </w:t>
      </w:r>
      <w:hyperlink r:id="rId49">
        <w:r w:rsidDel="00000000" w:rsidR="00000000" w:rsidRPr="00000000">
          <w:rPr>
            <w:rFonts w:ascii="Arial" w:cs="Arial" w:eastAsia="Arial" w:hAnsi="Arial"/>
            <w:color w:val="000000"/>
            <w:highlight w:val="white"/>
            <w:u w:val="none"/>
            <w:rtl w:val="0"/>
          </w:rPr>
          <w:t xml:space="preserve">https://www.dufuhselibrary.com.ng/eBM/RGY/2022%20Research%20for%20Medical%20Imaging%20and%20Radiation%20Sciences.pdf#page=26</w:t>
        </w:r>
      </w:hyperlink>
      <w:r w:rsidDel="00000000" w:rsidR="00000000" w:rsidRPr="00000000">
        <w:rPr>
          <w:rtl w:val="0"/>
        </w:rPr>
      </w:r>
    </w:p>
    <w:p w:rsidR="00000000" w:rsidDel="00000000" w:rsidP="00000000" w:rsidRDefault="00000000" w:rsidRPr="00000000" w14:paraId="0000016C">
      <w:pPr>
        <w:ind w:left="1080" w:hanging="1080"/>
        <w:rPr>
          <w:rFonts w:ascii="Arial" w:cs="Arial" w:eastAsia="Arial" w:hAnsi="Arial"/>
        </w:rPr>
      </w:pPr>
      <w:r w:rsidDel="00000000" w:rsidR="00000000" w:rsidRPr="00000000">
        <w:rPr>
          <w:rFonts w:ascii="Arial" w:cs="Arial" w:eastAsia="Arial" w:hAnsi="Arial"/>
          <w:rtl w:val="0"/>
        </w:rPr>
        <w:t xml:space="preserve">Shakuna, K. S., Mohamed, M., &amp; Ali, A. B. (2016). Professional development of teachers scale (DDTS): Using confirmatory factor analysis. International Journal of Science and Research, 5(8), 1510-1515. </w:t>
      </w:r>
      <w:hyperlink r:id="rId50">
        <w:r w:rsidDel="00000000" w:rsidR="00000000" w:rsidRPr="00000000">
          <w:rPr>
            <w:rFonts w:ascii="Arial" w:cs="Arial" w:eastAsia="Arial" w:hAnsi="Arial"/>
            <w:color w:val="000000"/>
            <w:u w:val="none"/>
            <w:rtl w:val="0"/>
          </w:rPr>
          <w:t xml:space="preserve">https://www.academia.edu/download/99021104/ART20161270.pdf</w:t>
        </w:r>
      </w:hyperlink>
      <w:r w:rsidDel="00000000" w:rsidR="00000000" w:rsidRPr="00000000">
        <w:rPr>
          <w:rtl w:val="0"/>
        </w:rPr>
      </w:r>
    </w:p>
    <w:p w:rsidR="00000000" w:rsidDel="00000000" w:rsidP="00000000" w:rsidRDefault="00000000" w:rsidRPr="00000000" w14:paraId="0000016D">
      <w:pPr>
        <w:ind w:left="1080" w:hanging="1080"/>
        <w:rPr>
          <w:rFonts w:ascii="Arial" w:cs="Arial" w:eastAsia="Arial" w:hAnsi="Arial"/>
        </w:rPr>
      </w:pPr>
      <w:r w:rsidDel="00000000" w:rsidR="00000000" w:rsidRPr="00000000">
        <w:rPr>
          <w:rFonts w:ascii="Arial" w:cs="Arial" w:eastAsia="Arial" w:hAnsi="Arial"/>
          <w:highlight w:val="white"/>
          <w:rtl w:val="0"/>
        </w:rPr>
        <w:t xml:space="preserve">Smith, C., &amp; Gillespie, M. (2023). Research on professional development and teacher change: Implications for adult basic education. In </w:t>
      </w:r>
      <w:r w:rsidDel="00000000" w:rsidR="00000000" w:rsidRPr="00000000">
        <w:rPr>
          <w:rFonts w:ascii="Arial" w:cs="Arial" w:eastAsia="Arial" w:hAnsi="Arial"/>
          <w:i w:val="1"/>
          <w:highlight w:val="white"/>
          <w:rtl w:val="0"/>
        </w:rPr>
        <w:t xml:space="preserve">Review of Adult Learning and Literacy, Volume 7</w:t>
      </w:r>
      <w:r w:rsidDel="00000000" w:rsidR="00000000" w:rsidRPr="00000000">
        <w:rPr>
          <w:rFonts w:ascii="Arial" w:cs="Arial" w:eastAsia="Arial" w:hAnsi="Arial"/>
          <w:highlight w:val="white"/>
          <w:rtl w:val="0"/>
        </w:rPr>
        <w:t xml:space="preserve"> (pp. 205-244). Routledge. </w:t>
      </w:r>
      <w:hyperlink r:id="rId51">
        <w:r w:rsidDel="00000000" w:rsidR="00000000" w:rsidRPr="00000000">
          <w:rPr>
            <w:rFonts w:ascii="Arial" w:cs="Arial" w:eastAsia="Arial" w:hAnsi="Arial"/>
            <w:color w:val="000000"/>
            <w:highlight w:val="white"/>
            <w:u w:val="none"/>
            <w:rtl w:val="0"/>
          </w:rPr>
          <w:t xml:space="preserve">https://www.academia.edu/download/78625272/smith-gillespie-07.pdf</w:t>
        </w:r>
      </w:hyperlink>
      <w:r w:rsidDel="00000000" w:rsidR="00000000" w:rsidRPr="00000000">
        <w:rPr>
          <w:rtl w:val="0"/>
        </w:rPr>
      </w:r>
    </w:p>
    <w:p w:rsidR="00000000" w:rsidDel="00000000" w:rsidP="00000000" w:rsidRDefault="00000000" w:rsidRPr="00000000" w14:paraId="0000016E">
      <w:pPr>
        <w:ind w:left="1080" w:hanging="1080"/>
        <w:rPr>
          <w:rFonts w:ascii="Arial" w:cs="Arial" w:eastAsia="Arial" w:hAnsi="Arial"/>
        </w:rPr>
      </w:pPr>
      <w:r w:rsidDel="00000000" w:rsidR="00000000" w:rsidRPr="00000000">
        <w:rPr>
          <w:rFonts w:ascii="Arial" w:cs="Arial" w:eastAsia="Arial" w:hAnsi="Arial"/>
          <w:highlight w:val="white"/>
          <w:rtl w:val="0"/>
        </w:rPr>
        <w:t xml:space="preserve">Trinter, C. P., &amp; Hughes, H. E. (2021). Teachers as curriculum designers: Inviting teachers into the productive struggle. </w:t>
      </w:r>
      <w:r w:rsidDel="00000000" w:rsidR="00000000" w:rsidRPr="00000000">
        <w:rPr>
          <w:rFonts w:ascii="Arial" w:cs="Arial" w:eastAsia="Arial" w:hAnsi="Arial"/>
          <w:i w:val="1"/>
          <w:highlight w:val="white"/>
          <w:rtl w:val="0"/>
        </w:rPr>
        <w:t xml:space="preserve">RMLE online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highlight w:val="white"/>
          <w:rtl w:val="0"/>
        </w:rPr>
        <w:t xml:space="preserve">44</w:t>
      </w:r>
      <w:r w:rsidDel="00000000" w:rsidR="00000000" w:rsidRPr="00000000">
        <w:rPr>
          <w:rFonts w:ascii="Arial" w:cs="Arial" w:eastAsia="Arial" w:hAnsi="Arial"/>
          <w:highlight w:val="white"/>
          <w:rtl w:val="0"/>
        </w:rPr>
        <w:t xml:space="preserve">(3), 1-16. </w:t>
      </w:r>
      <w:hyperlink r:id="rId52">
        <w:r w:rsidDel="00000000" w:rsidR="00000000" w:rsidRPr="00000000">
          <w:rPr>
            <w:rFonts w:ascii="Arial" w:cs="Arial" w:eastAsia="Arial" w:hAnsi="Arial"/>
            <w:color w:val="000000"/>
            <w:highlight w:val="white"/>
            <w:u w:val="none"/>
            <w:rtl w:val="0"/>
          </w:rPr>
          <w:t xml:space="preserve">https://www.tandfonline.com/doi/pdf/10.1080/19404476.2021.1878417</w:t>
        </w:r>
      </w:hyperlink>
      <w:r w:rsidDel="00000000" w:rsidR="00000000" w:rsidRPr="00000000">
        <w:rPr>
          <w:rtl w:val="0"/>
        </w:rPr>
      </w:r>
    </w:p>
    <w:p w:rsidR="00000000" w:rsidDel="00000000" w:rsidP="00000000" w:rsidRDefault="00000000" w:rsidRPr="00000000" w14:paraId="0000016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0">
      <w:pPr>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171">
      <w:pPr>
        <w:ind w:left="720" w:hanging="720"/>
        <w:rPr>
          <w:color w:val="000000"/>
        </w:rPr>
      </w:pPr>
      <w:r w:rsidDel="00000000" w:rsidR="00000000" w:rsidRPr="00000000">
        <w:rPr>
          <w:rtl w:val="0"/>
        </w:rPr>
      </w:r>
    </w:p>
    <w:p w:rsidR="00000000" w:rsidDel="00000000" w:rsidP="00000000" w:rsidRDefault="00000000" w:rsidRPr="00000000" w14:paraId="00000172">
      <w:pPr>
        <w:tabs>
          <w:tab w:val="left" w:leader="none" w:pos="270"/>
        </w:tabs>
        <w:rPr>
          <w:rFonts w:ascii="Arial" w:cs="Arial" w:eastAsia="Arial" w:hAnsi="Arial"/>
          <w:b w:val="1"/>
        </w:rPr>
      </w:pPr>
      <w:r w:rsidDel="00000000" w:rsidR="00000000" w:rsidRPr="00000000">
        <w:rPr>
          <w:rtl w:val="0"/>
        </w:rPr>
      </w:r>
    </w:p>
    <w:sectPr>
      <w:headerReference r:id="rId53" w:type="default"/>
      <w:headerReference r:id="rId54" w:type="first"/>
      <w:headerReference r:id="rId55" w:type="even"/>
      <w:footerReference r:id="rId56" w:type="default"/>
      <w:type w:val="continuous"/>
      <w:pgSz w:h="15840" w:w="12240" w:orient="portrait"/>
      <w:pgMar w:bottom="2016" w:top="1440" w:left="2016" w:right="2016" w:header="720" w:footer="1123"/>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bimboandrew6@gmail.com" w:id="4" w:date="2025-06-17T21:10:09Z">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grammar </w:t>
      </w:r>
    </w:p>
  </w:comment>
  <w:comment w:author="bimboandrew6@gmail.com" w:id="0" w:date="2025-06-17T21:12:39Z">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Mention the number of schools</w:t>
      </w:r>
    </w:p>
  </w:comment>
  <w:comment w:author="bimboandrew6@gmail.com" w:id="5" w:date="2025-06-17T21:11:25Z">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 grammar </w:t>
      </w:r>
    </w:p>
  </w:comment>
  <w:comment w:author="bimboandrew6@gmail.com" w:id="1" w:date="2025-06-17T20:57:03Z">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did these several studies not consider that your study considered? What is the gap in research?</w:t>
      </w:r>
    </w:p>
  </w:comment>
  <w:comment w:author="bimboandrew6@gmail.com" w:id="3" w:date="2025-06-17T21:07:54Z">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problem? What has done about it? What has not been done? What do you intend to do? This here seems like the objective of the study.</w:t>
      </w:r>
    </w:p>
  </w:comment>
  <w:comment w:author="bimboandrew6@gmail.com" w:id="2" w:date="2025-06-17T21:01:10Z">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Source? Any data available?</w:t>
      </w:r>
    </w:p>
  </w:comment>
  <w:comment w:author="bimboandrew6@gmail.com" w:id="6" w:date="2025-06-17T21:16:30Z">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Purposive and Simple Random. Seems a multi Stage sampling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Helvetica Neue"/>
  <w:font w:name="Aria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*Corresponding author: Email: XYZ@ABC.COM</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6"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4"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5">
    <w:pPr>
      <w:ind w:left="2160" w:firstLine="0"/>
      <w:jc w:val="center"/>
      <w:rPr>
        <w:rFonts w:ascii="Times New Roman" w:cs="Times New Roman" w:eastAsia="Times New Roman" w:hAnsi="Times New Roman"/>
        <w:i w:val="1"/>
        <w:sz w:val="18"/>
        <w:szCs w:val="18"/>
      </w:rPr>
    </w:pPr>
    <w:r w:rsidDel="00000000" w:rsidR="00000000" w:rsidRPr="00000000">
      <w:rPr/>
      <w:pict>
        <v:shape id="PowerPlusWaterMarkObject5"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p w:rsidR="00000000" w:rsidDel="00000000" w:rsidP="00000000" w:rsidRDefault="00000000" w:rsidRPr="00000000" w14:paraId="00000176">
    <w:pPr>
      <w:ind w:left="4320"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177">
    <w:pPr>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w:t>
    </w:r>
  </w:p>
  <w:p w:rsidR="00000000" w:rsidDel="00000000" w:rsidP="00000000" w:rsidRDefault="00000000" w:rsidRPr="00000000" w14:paraId="00000178">
    <w:pPr>
      <w:spacing w:after="200" w:lineRule="auto"/>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              . </w:t>
    </w:r>
  </w:p>
  <w:p w:rsidR="00000000" w:rsidDel="00000000" w:rsidP="00000000" w:rsidRDefault="00000000" w:rsidRPr="00000000" w14:paraId="00000179">
    <w:pPr>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17A">
    <w:pPr>
      <w:tabs>
        <w:tab w:val="left" w:leader="none" w:pos="2145"/>
      </w:tabs>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ab/>
      <w:t xml:space="preserve">.</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2"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3"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1"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before="40" w:lineRule="auto"/>
    </w:pPr>
    <w:rPr>
      <w:rFonts w:ascii="Cambria" w:cs="Cambria" w:eastAsia="Cambria" w:hAnsi="Cambria"/>
      <w:color w:val="244061"/>
      <w:sz w:val="24"/>
      <w:szCs w:val="24"/>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60" w:lineRule="auto"/>
      <w:jc w:val="right"/>
    </w:pPr>
    <w:rPr>
      <w:b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journals.sagepub.com/doi/pdf/10.1177/2332858420932828" TargetMode="External"/><Relationship Id="rId42" Type="http://schemas.openxmlformats.org/officeDocument/2006/relationships/hyperlink" Target="https://dialnet.unirioja.es/descarga/articulo/8928334.pdf" TargetMode="External"/><Relationship Id="rId41" Type="http://schemas.openxmlformats.org/officeDocument/2006/relationships/hyperlink" Target="https://hal.science/hal-05073466/" TargetMode="External"/><Relationship Id="rId44" Type="http://schemas.openxmlformats.org/officeDocument/2006/relationships/hyperlink" Target="http://cehd.gmu.edu/assets/docs/syllabi/2012/syllabus_15558.pdf" TargetMode="External"/><Relationship Id="rId43" Type="http://schemas.openxmlformats.org/officeDocument/2006/relationships/hyperlink" Target="https://mlodyobywatel.ceo.org.pl/sites/mlodyobywatel.ceo.org.pl/files/webform/research-methods-for-public-administrators-elizabethann-osullivan-gary-rassel-maureen-berner-jocelyn-dev-pdf-download-free-book-b8d1097.pdf" TargetMode="External"/><Relationship Id="rId46" Type="http://schemas.openxmlformats.org/officeDocument/2006/relationships/hyperlink" Target="https://link.springer.com/chapter/10.1007/978-3-030-43620-9_7" TargetMode="External"/><Relationship Id="rId45" Type="http://schemas.openxmlformats.org/officeDocument/2006/relationships/hyperlink" Target="https://www.paradigmpress.org/rae/article/download/913/787"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48" Type="http://schemas.openxmlformats.org/officeDocument/2006/relationships/hyperlink" Target="https://www.duo.uio.no/bitstream/handle/10852/67440/IJBEB_revisions2.pdf?sequence=1" TargetMode="External"/><Relationship Id="rId47" Type="http://schemas.openxmlformats.org/officeDocument/2006/relationships/hyperlink" Target="https://openaccess.ahievran.edu.tr/xmlui/bitstream/handle/20.500.12513/7091/Raziye%20Sancar.pdf?sequence=1&amp;isAllowed=y" TargetMode="External"/><Relationship Id="rId49" Type="http://schemas.openxmlformats.org/officeDocument/2006/relationships/hyperlink" Target="https://www.dufuhselibrary.com.ng/eBM/RGY/2022%20Research%20for%20Medical%20Imaging%20and%20Radiation%20Sciences.pdf#page=26"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3.xml"/><Relationship Id="rId31" Type="http://schemas.openxmlformats.org/officeDocument/2006/relationships/hyperlink" Target="https://journal.ypidathu.or.id/index.php/ijeep/article/download/1890/1329" TargetMode="External"/><Relationship Id="rId30" Type="http://schemas.openxmlformats.org/officeDocument/2006/relationships/hyperlink" Target="https://journals.researchsynergypress.com/index.php/jess/article/download/1379/756" TargetMode="External"/><Relationship Id="rId33" Type="http://schemas.openxmlformats.org/officeDocument/2006/relationships/hyperlink" Target="https://files.eric.ed.gov/fulltext/EJ1261069.pdf" TargetMode="External"/><Relationship Id="rId32" Type="http://schemas.openxmlformats.org/officeDocument/2006/relationships/hyperlink" Target="https://oapub.org/edu/index.php/ejes/article/download/4407/7042" TargetMode="External"/><Relationship Id="rId35" Type="http://schemas.openxmlformats.org/officeDocument/2006/relationships/hyperlink" Target="https://journalhosting.ucalgary.ca/index.php/ajer/article/download/56076/pdf/0" TargetMode="External"/><Relationship Id="rId34" Type="http://schemas.openxmlformats.org/officeDocument/2006/relationships/hyperlink" Target="https://www.tandfonline.com/doi/pdf/10.1080/2331186X.2021.2024936" TargetMode="External"/><Relationship Id="rId37" Type="http://schemas.openxmlformats.org/officeDocument/2006/relationships/hyperlink" Target="https://dergipark.org.tr/en/download/article-file/3519788" TargetMode="External"/><Relationship Id="rId36" Type="http://schemas.openxmlformats.org/officeDocument/2006/relationships/hyperlink" Target="https://link.springer.com/content/pdf/10.1007/s10833-022-09451-9.pdf" TargetMode="External"/><Relationship Id="rId39" Type="http://schemas.openxmlformats.org/officeDocument/2006/relationships/hyperlink" Target="https://www.academia.edu/download/101770947/EU-JER_12_2_605.pdf" TargetMode="External"/><Relationship Id="rId38" Type="http://schemas.openxmlformats.org/officeDocument/2006/relationships/hyperlink" Target="https://mpra.ub.uni-muenchen.de/105149/1/MPRA_paper_105149.pdf" TargetMode="External"/><Relationship Id="rId20" Type="http://schemas.openxmlformats.org/officeDocument/2006/relationships/hyperlink" Target="https://dergipark.org.tr/en/download/article-file/3717354" TargetMode="External"/><Relationship Id="rId22" Type="http://schemas.openxmlformats.org/officeDocument/2006/relationships/hyperlink" Target="https://www.atlantis-press.com/article/125961875.pdf" TargetMode="External"/><Relationship Id="rId21" Type="http://schemas.openxmlformats.org/officeDocument/2006/relationships/hyperlink" Target="https://files.eric.ed.gov/fulltext/EJ1276115.pdf" TargetMode="External"/><Relationship Id="rId24" Type="http://schemas.openxmlformats.org/officeDocument/2006/relationships/hyperlink" Target="https://www.researchgate.net/profile/Amila-Gamage/publication/389026547_Research_Design_Philosophy_and_Quantitative_Approaches_in_Scientific_Research_Methodology/links/67b0ad04207c0c20fa8add82/Research-Design-Philosophy-and-Quantitative-Approaches-in-Scientific-Research-Methodology.pdf" TargetMode="External"/><Relationship Id="rId23" Type="http://schemas.openxmlformats.org/officeDocument/2006/relationships/hyperlink" Target="https://www.injoe.org/index.php/INJOE/article/download/176/204" TargetMode="External"/><Relationship Id="rId26" Type="http://schemas.openxmlformats.org/officeDocument/2006/relationships/hyperlink" Target="https://link.springer.com/content/pdf/10.1007/s40692-020-00169-2.pdf" TargetMode="External"/><Relationship Id="rId25" Type="http://schemas.openxmlformats.org/officeDocument/2006/relationships/hyperlink" Target="https://tguskey.com/wp-content/uploads/LP-24-Prof-Lrng-Eval-PDF.pdf" TargetMode="External"/><Relationship Id="rId28" Type="http://schemas.openxmlformats.org/officeDocument/2006/relationships/hyperlink" Target="https://resdojournals.com/index.php/jpo/article/download/364/509" TargetMode="External"/><Relationship Id="rId27" Type="http://schemas.openxmlformats.org/officeDocument/2006/relationships/hyperlink" Target="https://repository.londonmet.ac.uk/5178/1/Harrington%20et%20al%20%20%282016%29%20Student%20Engagement%20%28chapter%206%20-%20proof%20copy%29.pdf" TargetMode="External"/><Relationship Id="rId29" Type="http://schemas.openxmlformats.org/officeDocument/2006/relationships/hyperlink" Target="https://link.springer.com/content/pdf/10.1186/s40594-020-00211-w.pdf" TargetMode="External"/><Relationship Id="rId51" Type="http://schemas.openxmlformats.org/officeDocument/2006/relationships/hyperlink" Target="https://www.academia.edu/download/78625272/smith-gillespie-07.pdf" TargetMode="External"/><Relationship Id="rId50" Type="http://schemas.openxmlformats.org/officeDocument/2006/relationships/hyperlink" Target="https://www.academia.edu/download/99021104/ART20161270.pdf" TargetMode="External"/><Relationship Id="rId53" Type="http://schemas.openxmlformats.org/officeDocument/2006/relationships/header" Target="header4.xml"/><Relationship Id="rId52" Type="http://schemas.openxmlformats.org/officeDocument/2006/relationships/hyperlink" Target="https://www.tandfonline.com/doi/pdf/10.1080/19404476.2021.1878417" TargetMode="External"/><Relationship Id="rId11" Type="http://schemas.openxmlformats.org/officeDocument/2006/relationships/footer" Target="footer2.xml"/><Relationship Id="rId55" Type="http://schemas.openxmlformats.org/officeDocument/2006/relationships/header" Target="header5.xml"/><Relationship Id="rId10" Type="http://schemas.openxmlformats.org/officeDocument/2006/relationships/footer" Target="footer3.xml"/><Relationship Id="rId54" Type="http://schemas.openxmlformats.org/officeDocument/2006/relationships/header" Target="header6.xml"/><Relationship Id="rId13" Type="http://schemas.openxmlformats.org/officeDocument/2006/relationships/image" Target="media/image1.png"/><Relationship Id="rId12" Type="http://schemas.openxmlformats.org/officeDocument/2006/relationships/footer" Target="footer1.xml"/><Relationship Id="rId56" Type="http://schemas.openxmlformats.org/officeDocument/2006/relationships/footer" Target="footer4.xml"/><Relationship Id="rId15" Type="http://schemas.openxmlformats.org/officeDocument/2006/relationships/hyperlink" Target="https://e-iji.net/ats/index.php/pub/article/view/205/289" TargetMode="External"/><Relationship Id="rId14" Type="http://schemas.openxmlformats.org/officeDocument/2006/relationships/hyperlink" Target="https://dergipark.org.tr/en/download/article-file/2198595" TargetMode="External"/><Relationship Id="rId17" Type="http://schemas.openxmlformats.org/officeDocument/2006/relationships/hyperlink" Target="https://www.ijopr.com/download/investigating-special-education-teachers-knowledge-and-skills-preparing-general-teacher-preparation-8204.pdf" TargetMode="External"/><Relationship Id="rId16" Type="http://schemas.openxmlformats.org/officeDocument/2006/relationships/hyperlink" Target="https://par.nsf.gov/servlets/purl/10405672" TargetMode="External"/><Relationship Id="rId19" Type="http://schemas.openxmlformats.org/officeDocument/2006/relationships/hyperlink" Target="https://www.tandfonline.com/doi/pdf/10.1080/03043797.2020.1718615" TargetMode="External"/><Relationship Id="rId18" Type="http://schemas.openxmlformats.org/officeDocument/2006/relationships/hyperlink" Target="https://link.springer.com/content/pdf/10.1007/s10643-021-0122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