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3BFC2" w14:textId="13D74E55" w:rsidR="00754C9A" w:rsidRPr="00766B2B" w:rsidRDefault="00766B2B" w:rsidP="00766B2B">
      <w:pPr>
        <w:pStyle w:val="Title"/>
        <w:spacing w:after="0"/>
        <w:jc w:val="left"/>
        <w:rPr>
          <w:rFonts w:ascii="Arial" w:hAnsi="Arial" w:cs="Arial"/>
          <w:sz w:val="28"/>
          <w:szCs w:val="16"/>
          <w:u w:val="single"/>
        </w:rPr>
      </w:pPr>
      <w:r w:rsidRPr="00766B2B">
        <w:rPr>
          <w:rFonts w:ascii="Arial" w:hAnsi="Arial" w:cs="Arial"/>
          <w:sz w:val="28"/>
          <w:szCs w:val="16"/>
          <w:u w:val="single"/>
        </w:rPr>
        <w:t>Original Research Article</w:t>
      </w:r>
    </w:p>
    <w:p w14:paraId="7FE05E99" w14:textId="77777777" w:rsidR="00A258C3" w:rsidRDefault="00804792" w:rsidP="00804792">
      <w:pPr>
        <w:pStyle w:val="Author"/>
        <w:spacing w:line="240" w:lineRule="auto"/>
        <w:jc w:val="center"/>
        <w:rPr>
          <w:rFonts w:ascii="Arial" w:hAnsi="Arial" w:cs="Arial"/>
          <w:bCs/>
          <w:iCs/>
          <w:kern w:val="28"/>
          <w:sz w:val="36"/>
        </w:rPr>
      </w:pPr>
      <w:r>
        <w:rPr>
          <w:rFonts w:ascii="Arial" w:hAnsi="Arial" w:cs="Arial"/>
          <w:bCs/>
          <w:iCs/>
          <w:kern w:val="28"/>
          <w:sz w:val="36"/>
        </w:rPr>
        <w:t xml:space="preserve">Sedation versus General </w:t>
      </w:r>
      <w:proofErr w:type="spellStart"/>
      <w:r>
        <w:rPr>
          <w:rFonts w:ascii="Arial" w:hAnsi="Arial" w:cs="Arial"/>
          <w:bCs/>
          <w:iCs/>
          <w:kern w:val="28"/>
          <w:sz w:val="36"/>
        </w:rPr>
        <w:t>Anaesthesia</w:t>
      </w:r>
      <w:proofErr w:type="spellEnd"/>
      <w:r>
        <w:rPr>
          <w:rFonts w:ascii="Arial" w:hAnsi="Arial" w:cs="Arial"/>
          <w:bCs/>
          <w:iCs/>
          <w:kern w:val="28"/>
          <w:sz w:val="36"/>
        </w:rPr>
        <w:t xml:space="preserve"> for Trans</w:t>
      </w:r>
      <w:r w:rsidRPr="00804792">
        <w:rPr>
          <w:rFonts w:ascii="Arial" w:hAnsi="Arial" w:cs="Arial"/>
          <w:bCs/>
          <w:iCs/>
          <w:kern w:val="28"/>
          <w:sz w:val="36"/>
        </w:rPr>
        <w:t>catheter Aortic Valve Replacement (TAVR)</w:t>
      </w:r>
    </w:p>
    <w:p w14:paraId="5D9A0DB7" w14:textId="77777777" w:rsidR="00804792" w:rsidRPr="00790ADA" w:rsidRDefault="00804792" w:rsidP="00804792">
      <w:pPr>
        <w:pStyle w:val="Author"/>
        <w:spacing w:line="240" w:lineRule="auto"/>
        <w:jc w:val="center"/>
        <w:rPr>
          <w:rFonts w:ascii="Arial" w:hAnsi="Arial" w:cs="Arial"/>
          <w:sz w:val="36"/>
        </w:rPr>
      </w:pPr>
    </w:p>
    <w:p w14:paraId="1933A096" w14:textId="77777777" w:rsidR="00B01FCD" w:rsidRPr="00FB3A86" w:rsidRDefault="000B5876" w:rsidP="00441B6F">
      <w:pPr>
        <w:pStyle w:val="Copyright"/>
        <w:spacing w:after="0" w:line="240" w:lineRule="auto"/>
        <w:jc w:val="both"/>
        <w:rPr>
          <w:rFonts w:ascii="Arial" w:hAnsi="Arial" w:cs="Arial"/>
        </w:rPr>
        <w:sectPr w:rsidR="00B01FCD" w:rsidRPr="00FB3A86" w:rsidSect="00365562">
          <w:headerReference w:type="even" r:id="rId8"/>
          <w:headerReference w:type="default" r:id="rId9"/>
          <w:headerReference w:type="first" r:id="rId10"/>
          <w:footerReference w:type="first" r:id="rId11"/>
          <w:pgSz w:w="12240" w:h="15840" w:code="1"/>
          <w:pgMar w:top="1440" w:right="2016" w:bottom="2016" w:left="2016" w:header="720" w:footer="1296" w:gutter="0"/>
          <w:cols w:space="720"/>
          <w:docGrid w:linePitch="272"/>
        </w:sectPr>
      </w:pPr>
      <w:r>
        <w:rPr>
          <w:rFonts w:ascii="Arial" w:hAnsi="Arial" w:cs="Arial"/>
          <w:noProof/>
          <w:lang w:val="en-IE" w:eastAsia="en-IE"/>
        </w:rPr>
        <mc:AlternateContent>
          <mc:Choice Requires="wps">
            <w:drawing>
              <wp:inline distT="0" distB="0" distL="0" distR="0" wp14:anchorId="03109A0B" wp14:editId="2EF24EB2">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B9D6B69"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" strokeweight="1.5pt">
                <w10:anchorlock/>
              </v:shape>
            </w:pict>
          </mc:Fallback>
        </mc:AlternateContent>
      </w:r>
      <w:r w:rsidR="00FB3A86">
        <w:rPr>
          <w:rFonts w:ascii="Arial" w:hAnsi="Arial" w:cs="Arial"/>
        </w:rPr>
        <w:t>.</w:t>
      </w:r>
    </w:p>
    <w:p w14:paraId="6CA44C2B"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804792">
        <w:rPr>
          <w:rFonts w:ascii="Arial" w:hAnsi="Arial" w:cs="Arial"/>
        </w:rPr>
        <w:t xml:space="preserve"> </w:t>
      </w:r>
    </w:p>
    <w:p w14:paraId="760AF7D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FAC20B2" w14:textId="77777777" w:rsidTr="001E44FE">
        <w:tc>
          <w:tcPr>
            <w:tcW w:w="9576" w:type="dxa"/>
            <w:shd w:val="clear" w:color="auto" w:fill="F2F2F2"/>
          </w:tcPr>
          <w:p w14:paraId="1DD3EF5E" w14:textId="77777777" w:rsidR="00804792" w:rsidRPr="00804792" w:rsidRDefault="00804792" w:rsidP="00804792">
            <w:pPr>
              <w:pStyle w:val="Body"/>
              <w:rPr>
                <w:rFonts w:ascii="Arial" w:eastAsia="Calibri" w:hAnsi="Arial" w:cs="Arial"/>
                <w:szCs w:val="22"/>
              </w:rPr>
            </w:pPr>
            <w:r w:rsidRPr="00804792">
              <w:rPr>
                <w:rFonts w:ascii="Arial" w:eastAsia="Calibri" w:hAnsi="Arial" w:cs="Arial"/>
                <w:b/>
                <w:bCs/>
                <w:szCs w:val="22"/>
              </w:rPr>
              <w:t>Objective</w:t>
            </w:r>
            <w:r w:rsidRPr="00804792">
              <w:rPr>
                <w:rFonts w:ascii="Arial" w:eastAsia="Calibri" w:hAnsi="Arial" w:cs="Arial"/>
                <w:szCs w:val="22"/>
              </w:rPr>
              <w:t xml:space="preserve">: This study aims to </w:t>
            </w:r>
            <w:commentRangeStart w:id="0"/>
            <w:r w:rsidRPr="00A108B4">
              <w:rPr>
                <w:rFonts w:ascii="Arial" w:eastAsia="Calibri" w:hAnsi="Arial" w:cs="Arial"/>
                <w:szCs w:val="22"/>
                <w:highlight w:val="yellow"/>
              </w:rPr>
              <w:t>report</w:t>
            </w:r>
            <w:commentRangeEnd w:id="0"/>
            <w:r w:rsidR="00A108B4">
              <w:rPr>
                <w:rStyle w:val="CommentReference"/>
                <w:rFonts w:ascii="Times New Roman" w:hAnsi="Times New Roman"/>
                <w:lang w:val="nb-NO" w:eastAsia="nb-NO"/>
              </w:rPr>
              <w:commentReference w:id="0"/>
            </w:r>
            <w:r w:rsidRPr="00A108B4">
              <w:rPr>
                <w:rFonts w:ascii="Arial" w:eastAsia="Calibri" w:hAnsi="Arial" w:cs="Arial"/>
                <w:szCs w:val="22"/>
                <w:highlight w:val="yellow"/>
              </w:rPr>
              <w:t xml:space="preserve"> on</w:t>
            </w:r>
            <w:r w:rsidRPr="00804792">
              <w:rPr>
                <w:rFonts w:ascii="Arial" w:eastAsia="Calibri" w:hAnsi="Arial" w:cs="Arial"/>
                <w:szCs w:val="22"/>
              </w:rPr>
              <w:t xml:space="preserve"> the use of sedation and general </w:t>
            </w:r>
            <w:proofErr w:type="spellStart"/>
            <w:r w:rsidRPr="00804792">
              <w:rPr>
                <w:rFonts w:ascii="Arial" w:eastAsia="Calibri" w:hAnsi="Arial" w:cs="Arial"/>
                <w:szCs w:val="22"/>
              </w:rPr>
              <w:t>anaesthesia</w:t>
            </w:r>
            <w:proofErr w:type="spellEnd"/>
            <w:r w:rsidRPr="00804792">
              <w:rPr>
                <w:rFonts w:ascii="Arial" w:eastAsia="Calibri" w:hAnsi="Arial" w:cs="Arial"/>
                <w:szCs w:val="22"/>
              </w:rPr>
              <w:t xml:space="preserve"> in trans-catheter aortic valve replacement and </w:t>
            </w:r>
            <w:proofErr w:type="spellStart"/>
            <w:r w:rsidRPr="00804792">
              <w:rPr>
                <w:rFonts w:ascii="Arial" w:eastAsia="Calibri" w:hAnsi="Arial" w:cs="Arial"/>
                <w:szCs w:val="22"/>
              </w:rPr>
              <w:t>analyse</w:t>
            </w:r>
            <w:proofErr w:type="spellEnd"/>
            <w:r w:rsidRPr="00804792">
              <w:rPr>
                <w:rFonts w:ascii="Arial" w:eastAsia="Calibri" w:hAnsi="Arial" w:cs="Arial"/>
                <w:szCs w:val="22"/>
              </w:rPr>
              <w:t xml:space="preserve"> the impact on the outcome.</w:t>
            </w:r>
          </w:p>
          <w:p w14:paraId="6692BC64" w14:textId="77777777" w:rsidR="00804792" w:rsidRPr="00804792" w:rsidRDefault="00804792" w:rsidP="00804792">
            <w:pPr>
              <w:pStyle w:val="Body"/>
              <w:rPr>
                <w:rFonts w:ascii="Arial" w:eastAsia="Calibri" w:hAnsi="Arial" w:cs="Arial"/>
                <w:szCs w:val="22"/>
              </w:rPr>
            </w:pPr>
            <w:r w:rsidRPr="00804792">
              <w:rPr>
                <w:rFonts w:ascii="Arial" w:eastAsia="Calibri" w:hAnsi="Arial" w:cs="Arial"/>
                <w:b/>
                <w:bCs/>
                <w:szCs w:val="22"/>
              </w:rPr>
              <w:t>Methods</w:t>
            </w:r>
            <w:r w:rsidRPr="00804792">
              <w:rPr>
                <w:rFonts w:ascii="Arial" w:eastAsia="Calibri" w:hAnsi="Arial" w:cs="Arial"/>
                <w:szCs w:val="22"/>
              </w:rPr>
              <w:t xml:space="preserve">: Retrospective observational analysis </w:t>
            </w:r>
            <w:commentRangeStart w:id="1"/>
            <w:r w:rsidRPr="00A108B4">
              <w:rPr>
                <w:rFonts w:ascii="Arial" w:eastAsia="Calibri" w:hAnsi="Arial" w:cs="Arial"/>
                <w:szCs w:val="22"/>
                <w:highlight w:val="yellow"/>
              </w:rPr>
              <w:t>of</w:t>
            </w:r>
            <w:commentRangeEnd w:id="1"/>
            <w:r w:rsidR="00A108B4" w:rsidRPr="00A108B4">
              <w:rPr>
                <w:rStyle w:val="CommentReference"/>
                <w:rFonts w:ascii="Times New Roman" w:hAnsi="Times New Roman"/>
                <w:highlight w:val="yellow"/>
                <w:lang w:val="nb-NO" w:eastAsia="nb-NO"/>
              </w:rPr>
              <w:commentReference w:id="1"/>
            </w:r>
            <w:r w:rsidRPr="00804792">
              <w:rPr>
                <w:rFonts w:ascii="Arial" w:eastAsia="Calibri" w:hAnsi="Arial" w:cs="Arial"/>
                <w:szCs w:val="22"/>
              </w:rPr>
              <w:t xml:space="preserve"> patients’ </w:t>
            </w:r>
            <w:commentRangeStart w:id="2"/>
            <w:r w:rsidRPr="00804792">
              <w:rPr>
                <w:rFonts w:ascii="Arial" w:eastAsia="Calibri" w:hAnsi="Arial" w:cs="Arial"/>
                <w:szCs w:val="22"/>
              </w:rPr>
              <w:t>data</w:t>
            </w:r>
            <w:commentRangeEnd w:id="2"/>
            <w:r w:rsidR="00A108B4">
              <w:rPr>
                <w:rStyle w:val="CommentReference"/>
                <w:rFonts w:ascii="Times New Roman" w:hAnsi="Times New Roman"/>
                <w:lang w:val="nb-NO" w:eastAsia="nb-NO"/>
              </w:rPr>
              <w:commentReference w:id="2"/>
            </w:r>
            <w:r w:rsidRPr="00804792">
              <w:rPr>
                <w:rFonts w:ascii="Arial" w:eastAsia="Calibri" w:hAnsi="Arial" w:cs="Arial"/>
                <w:szCs w:val="22"/>
              </w:rPr>
              <w:t xml:space="preserve"> presented for trans-catheter aortic valve replacement (TAVR) at Queen Alia Heart Institute (QAHI) over 5 years (in the period between February 2020 and March </w:t>
            </w:r>
            <w:commentRangeStart w:id="3"/>
            <w:r w:rsidRPr="00804792">
              <w:rPr>
                <w:rFonts w:ascii="Arial" w:eastAsia="Calibri" w:hAnsi="Arial" w:cs="Arial"/>
                <w:szCs w:val="22"/>
              </w:rPr>
              <w:t>2025</w:t>
            </w:r>
            <w:commentRangeEnd w:id="3"/>
            <w:r w:rsidR="00A108B4">
              <w:rPr>
                <w:rStyle w:val="CommentReference"/>
                <w:rFonts w:ascii="Times New Roman" w:hAnsi="Times New Roman"/>
                <w:lang w:val="nb-NO" w:eastAsia="nb-NO"/>
              </w:rPr>
              <w:commentReference w:id="3"/>
            </w:r>
            <w:r w:rsidRPr="00A108B4">
              <w:rPr>
                <w:rFonts w:ascii="Arial" w:eastAsia="Calibri" w:hAnsi="Arial" w:cs="Arial"/>
                <w:szCs w:val="22"/>
                <w:highlight w:val="yellow"/>
              </w:rPr>
              <w:t>).</w:t>
            </w:r>
            <w:r w:rsidRPr="00804792">
              <w:rPr>
                <w:rFonts w:ascii="Arial" w:eastAsia="Calibri" w:hAnsi="Arial" w:cs="Arial"/>
                <w:szCs w:val="22"/>
              </w:rPr>
              <w:t xml:space="preserve"> Patients were divided into two groups regarding their </w:t>
            </w:r>
            <w:proofErr w:type="spellStart"/>
            <w:r w:rsidRPr="00804792">
              <w:rPr>
                <w:rFonts w:ascii="Arial" w:eastAsia="Calibri" w:hAnsi="Arial" w:cs="Arial"/>
                <w:szCs w:val="22"/>
              </w:rPr>
              <w:t>anaesthetic</w:t>
            </w:r>
            <w:proofErr w:type="spellEnd"/>
            <w:r w:rsidRPr="00804792">
              <w:rPr>
                <w:rFonts w:ascii="Arial" w:eastAsia="Calibri" w:hAnsi="Arial" w:cs="Arial"/>
                <w:szCs w:val="22"/>
              </w:rPr>
              <w:t xml:space="preserve"> technique during the procedure: the general </w:t>
            </w:r>
            <w:proofErr w:type="spellStart"/>
            <w:r w:rsidRPr="00804792">
              <w:rPr>
                <w:rFonts w:ascii="Arial" w:eastAsia="Calibri" w:hAnsi="Arial" w:cs="Arial"/>
                <w:szCs w:val="22"/>
              </w:rPr>
              <w:t>anaesthetic</w:t>
            </w:r>
            <w:proofErr w:type="spellEnd"/>
            <w:r w:rsidRPr="00804792">
              <w:rPr>
                <w:rFonts w:ascii="Arial" w:eastAsia="Calibri" w:hAnsi="Arial" w:cs="Arial"/>
                <w:szCs w:val="22"/>
              </w:rPr>
              <w:t xml:space="preserve"> group (GA) and the sedation group. Both groups were compared according to their demographic, clinical, perioperative characteristics, </w:t>
            </w:r>
            <w:commentRangeStart w:id="4"/>
            <w:r w:rsidRPr="00A108B4">
              <w:rPr>
                <w:rFonts w:ascii="Arial" w:eastAsia="Calibri" w:hAnsi="Arial" w:cs="Arial"/>
                <w:szCs w:val="22"/>
                <w:highlight w:val="yellow"/>
              </w:rPr>
              <w:t>hospital</w:t>
            </w:r>
            <w:commentRangeEnd w:id="4"/>
            <w:r w:rsidR="00A108B4" w:rsidRPr="00A108B4">
              <w:rPr>
                <w:rStyle w:val="CommentReference"/>
                <w:rFonts w:ascii="Times New Roman" w:hAnsi="Times New Roman"/>
                <w:highlight w:val="yellow"/>
                <w:lang w:val="nb-NO" w:eastAsia="nb-NO"/>
              </w:rPr>
              <w:commentReference w:id="4"/>
            </w:r>
            <w:r w:rsidRPr="00A108B4">
              <w:rPr>
                <w:rFonts w:ascii="Arial" w:eastAsia="Calibri" w:hAnsi="Arial" w:cs="Arial"/>
                <w:szCs w:val="22"/>
                <w:highlight w:val="yellow"/>
              </w:rPr>
              <w:t xml:space="preserve"> stay,</w:t>
            </w:r>
            <w:r w:rsidRPr="00804792">
              <w:rPr>
                <w:rFonts w:ascii="Arial" w:eastAsia="Calibri" w:hAnsi="Arial" w:cs="Arial"/>
                <w:szCs w:val="22"/>
              </w:rPr>
              <w:t xml:space="preserve"> complications, and outcomes.</w:t>
            </w:r>
          </w:p>
          <w:p w14:paraId="265240F7" w14:textId="77777777" w:rsidR="00804792" w:rsidRPr="00804792" w:rsidRDefault="00804792" w:rsidP="00804792">
            <w:pPr>
              <w:pStyle w:val="Body"/>
              <w:rPr>
                <w:rFonts w:ascii="Arial" w:eastAsia="Calibri" w:hAnsi="Arial" w:cs="Arial"/>
                <w:szCs w:val="22"/>
              </w:rPr>
            </w:pPr>
            <w:r w:rsidRPr="00804792">
              <w:rPr>
                <w:rFonts w:ascii="Arial" w:eastAsia="Calibri" w:hAnsi="Arial" w:cs="Arial"/>
                <w:b/>
                <w:bCs/>
                <w:szCs w:val="22"/>
              </w:rPr>
              <w:t>Results</w:t>
            </w:r>
            <w:r w:rsidRPr="00804792">
              <w:rPr>
                <w:rFonts w:ascii="Arial" w:eastAsia="Calibri" w:hAnsi="Arial" w:cs="Arial"/>
                <w:szCs w:val="22"/>
              </w:rPr>
              <w:t xml:space="preserve">: </w:t>
            </w:r>
            <w:r w:rsidRPr="00CD249D">
              <w:rPr>
                <w:rFonts w:ascii="Arial" w:eastAsia="Calibri" w:hAnsi="Arial" w:cs="Arial"/>
                <w:szCs w:val="22"/>
                <w:highlight w:val="yellow"/>
              </w:rPr>
              <w:t xml:space="preserve">During the study </w:t>
            </w:r>
            <w:commentRangeStart w:id="5"/>
            <w:r w:rsidRPr="00CD249D">
              <w:rPr>
                <w:rFonts w:ascii="Arial" w:eastAsia="Calibri" w:hAnsi="Arial" w:cs="Arial"/>
                <w:szCs w:val="22"/>
                <w:highlight w:val="yellow"/>
              </w:rPr>
              <w:t>period</w:t>
            </w:r>
            <w:commentRangeEnd w:id="5"/>
            <w:r w:rsidR="00CD249D">
              <w:rPr>
                <w:rStyle w:val="CommentReference"/>
                <w:rFonts w:ascii="Times New Roman" w:hAnsi="Times New Roman"/>
                <w:lang w:val="nb-NO" w:eastAsia="nb-NO"/>
              </w:rPr>
              <w:commentReference w:id="5"/>
            </w:r>
            <w:r w:rsidRPr="00804792">
              <w:rPr>
                <w:rFonts w:ascii="Arial" w:eastAsia="Calibri" w:hAnsi="Arial" w:cs="Arial"/>
                <w:szCs w:val="22"/>
              </w:rPr>
              <w:t xml:space="preserve"> 69 patients underwent the </w:t>
            </w:r>
            <w:commentRangeStart w:id="6"/>
            <w:r w:rsidRPr="006E5B1B">
              <w:rPr>
                <w:rFonts w:ascii="Arial" w:eastAsia="Calibri" w:hAnsi="Arial" w:cs="Arial"/>
                <w:szCs w:val="22"/>
                <w:highlight w:val="yellow"/>
              </w:rPr>
              <w:t>TAVI</w:t>
            </w:r>
            <w:commentRangeEnd w:id="6"/>
            <w:r w:rsidR="006E5B1B">
              <w:rPr>
                <w:rStyle w:val="CommentReference"/>
                <w:rFonts w:ascii="Times New Roman" w:hAnsi="Times New Roman"/>
                <w:lang w:val="nb-NO" w:eastAsia="nb-NO"/>
              </w:rPr>
              <w:commentReference w:id="6"/>
            </w:r>
            <w:r w:rsidRPr="00804792">
              <w:rPr>
                <w:rFonts w:ascii="Arial" w:eastAsia="Calibri" w:hAnsi="Arial" w:cs="Arial"/>
                <w:szCs w:val="22"/>
              </w:rPr>
              <w:t xml:space="preserve"> procedure. The average age of </w:t>
            </w:r>
            <w:commentRangeStart w:id="7"/>
            <w:r w:rsidRPr="00804792">
              <w:rPr>
                <w:rFonts w:ascii="Arial" w:eastAsia="Calibri" w:hAnsi="Arial" w:cs="Arial"/>
                <w:szCs w:val="22"/>
              </w:rPr>
              <w:t>patients</w:t>
            </w:r>
            <w:commentRangeEnd w:id="7"/>
            <w:r w:rsidR="00CD249D">
              <w:rPr>
                <w:rStyle w:val="CommentReference"/>
                <w:rFonts w:ascii="Times New Roman" w:hAnsi="Times New Roman"/>
                <w:lang w:val="nb-NO" w:eastAsia="nb-NO"/>
              </w:rPr>
              <w:commentReference w:id="7"/>
            </w:r>
            <w:r w:rsidRPr="00804792">
              <w:rPr>
                <w:rFonts w:ascii="Arial" w:eastAsia="Calibri" w:hAnsi="Arial" w:cs="Arial"/>
                <w:szCs w:val="22"/>
              </w:rPr>
              <w:t xml:space="preserve"> was 76.7 years (ranging from 57 to 93 years). </w:t>
            </w:r>
            <w:commentRangeStart w:id="8"/>
            <w:r w:rsidRPr="00804792">
              <w:rPr>
                <w:rFonts w:ascii="Arial" w:eastAsia="Calibri" w:hAnsi="Arial" w:cs="Arial"/>
                <w:szCs w:val="22"/>
              </w:rPr>
              <w:t>Female</w:t>
            </w:r>
            <w:commentRangeEnd w:id="8"/>
            <w:r w:rsidR="00CD249D">
              <w:rPr>
                <w:rStyle w:val="CommentReference"/>
                <w:rFonts w:ascii="Times New Roman" w:hAnsi="Times New Roman"/>
                <w:lang w:val="nb-NO" w:eastAsia="nb-NO"/>
              </w:rPr>
              <w:commentReference w:id="8"/>
            </w:r>
            <w:r w:rsidRPr="00804792">
              <w:rPr>
                <w:rFonts w:ascii="Arial" w:eastAsia="Calibri" w:hAnsi="Arial" w:cs="Arial"/>
                <w:szCs w:val="22"/>
              </w:rPr>
              <w:t xml:space="preserve"> patients were 57.9 %. </w:t>
            </w:r>
            <w:commentRangeStart w:id="9"/>
            <w:r w:rsidRPr="00804792">
              <w:rPr>
                <w:rFonts w:ascii="Arial" w:eastAsia="Calibri" w:hAnsi="Arial" w:cs="Arial"/>
                <w:szCs w:val="22"/>
              </w:rPr>
              <w:t>Female</w:t>
            </w:r>
            <w:commentRangeEnd w:id="9"/>
            <w:r w:rsidR="00CD249D">
              <w:rPr>
                <w:rStyle w:val="CommentReference"/>
                <w:rFonts w:ascii="Times New Roman" w:hAnsi="Times New Roman"/>
                <w:lang w:val="nb-NO" w:eastAsia="nb-NO"/>
              </w:rPr>
              <w:commentReference w:id="9"/>
            </w:r>
            <w:r w:rsidRPr="00804792">
              <w:rPr>
                <w:rFonts w:ascii="Arial" w:eastAsia="Calibri" w:hAnsi="Arial" w:cs="Arial"/>
                <w:szCs w:val="22"/>
              </w:rPr>
              <w:t xml:space="preserve"> to male ratio was 1.4:1. The average BMI was 31.5 Kg/m². Incidence of comorbidities was high among the TAVI population: 91.3% were hypertensive, 49.3% were diabetic, 11.6% </w:t>
            </w:r>
            <w:r w:rsidRPr="00CD249D">
              <w:rPr>
                <w:rFonts w:ascii="Arial" w:eastAsia="Calibri" w:hAnsi="Arial" w:cs="Arial"/>
                <w:szCs w:val="22"/>
                <w:highlight w:val="yellow"/>
              </w:rPr>
              <w:t xml:space="preserve">were </w:t>
            </w:r>
            <w:commentRangeStart w:id="10"/>
            <w:r w:rsidRPr="00CD249D">
              <w:rPr>
                <w:rFonts w:ascii="Arial" w:eastAsia="Calibri" w:hAnsi="Arial" w:cs="Arial"/>
                <w:szCs w:val="22"/>
                <w:highlight w:val="yellow"/>
              </w:rPr>
              <w:t>hypothyroid</w:t>
            </w:r>
            <w:commentRangeEnd w:id="10"/>
            <w:r w:rsidR="00CD249D" w:rsidRPr="00CD249D">
              <w:rPr>
                <w:rStyle w:val="CommentReference"/>
                <w:rFonts w:ascii="Times New Roman" w:hAnsi="Times New Roman"/>
                <w:highlight w:val="yellow"/>
                <w:lang w:val="nb-NO" w:eastAsia="nb-NO"/>
              </w:rPr>
              <w:commentReference w:id="10"/>
            </w:r>
            <w:r w:rsidRPr="00804792">
              <w:rPr>
                <w:rFonts w:ascii="Arial" w:eastAsia="Calibri" w:hAnsi="Arial" w:cs="Arial"/>
                <w:szCs w:val="22"/>
              </w:rPr>
              <w:t xml:space="preserve">, 8.7% had a previous cerebrovascular accident (CVA) or transient </w:t>
            </w:r>
            <w:commentRangeStart w:id="11"/>
            <w:proofErr w:type="spellStart"/>
            <w:r w:rsidRPr="00CD249D">
              <w:rPr>
                <w:rFonts w:ascii="Arial" w:eastAsia="Calibri" w:hAnsi="Arial" w:cs="Arial"/>
                <w:szCs w:val="22"/>
                <w:highlight w:val="yellow"/>
              </w:rPr>
              <w:t>ischaemic</w:t>
            </w:r>
            <w:commentRangeEnd w:id="11"/>
            <w:proofErr w:type="spellEnd"/>
            <w:r w:rsidR="00CD249D">
              <w:rPr>
                <w:rStyle w:val="CommentReference"/>
                <w:rFonts w:ascii="Times New Roman" w:hAnsi="Times New Roman"/>
                <w:lang w:val="nb-NO" w:eastAsia="nb-NO"/>
              </w:rPr>
              <w:commentReference w:id="11"/>
            </w:r>
            <w:r w:rsidRPr="00804792">
              <w:rPr>
                <w:rFonts w:ascii="Arial" w:eastAsia="Calibri" w:hAnsi="Arial" w:cs="Arial"/>
                <w:szCs w:val="22"/>
              </w:rPr>
              <w:t xml:space="preserve"> attack (TIA), 7.2% had chronic respiratory disease and 10.1% had chronic kidney disease (CKD). The incidence of smoking was 30.4%.  The average pre-procedural mean pressure gradient across the aortic valve was 49.4 mmHg. TAVI was performed under sedation in more than half </w:t>
            </w:r>
            <w:commentRangeStart w:id="12"/>
            <w:commentRangeStart w:id="13"/>
            <w:r w:rsidRPr="00804792">
              <w:rPr>
                <w:rFonts w:ascii="Arial" w:eastAsia="Calibri" w:hAnsi="Arial" w:cs="Arial"/>
                <w:szCs w:val="22"/>
              </w:rPr>
              <w:t>of</w:t>
            </w:r>
            <w:commentRangeEnd w:id="12"/>
            <w:r w:rsidR="00CD249D">
              <w:rPr>
                <w:rStyle w:val="CommentReference"/>
                <w:rFonts w:ascii="Times New Roman" w:hAnsi="Times New Roman"/>
                <w:lang w:val="nb-NO" w:eastAsia="nb-NO"/>
              </w:rPr>
              <w:commentReference w:id="12"/>
            </w:r>
            <w:commentRangeEnd w:id="13"/>
            <w:r w:rsidR="00D01C14">
              <w:rPr>
                <w:rStyle w:val="CommentReference"/>
                <w:rFonts w:ascii="Times New Roman" w:hAnsi="Times New Roman"/>
                <w:lang w:val="nb-NO" w:eastAsia="nb-NO"/>
              </w:rPr>
              <w:commentReference w:id="13"/>
            </w:r>
            <w:r w:rsidRPr="00804792">
              <w:rPr>
                <w:rFonts w:ascii="Arial" w:eastAsia="Calibri" w:hAnsi="Arial" w:cs="Arial"/>
                <w:szCs w:val="22"/>
              </w:rPr>
              <w:t xml:space="preserve"> patients (56.5%), while 43.5% had a general </w:t>
            </w:r>
            <w:commentRangeStart w:id="14"/>
            <w:proofErr w:type="spellStart"/>
            <w:r w:rsidRPr="00D01C14">
              <w:rPr>
                <w:rFonts w:ascii="Arial" w:eastAsia="Calibri" w:hAnsi="Arial" w:cs="Arial"/>
                <w:szCs w:val="22"/>
                <w:highlight w:val="yellow"/>
              </w:rPr>
              <w:t>anaesthetic</w:t>
            </w:r>
            <w:commentRangeEnd w:id="14"/>
            <w:proofErr w:type="spellEnd"/>
            <w:r w:rsidR="00D01C14">
              <w:rPr>
                <w:rStyle w:val="CommentReference"/>
                <w:rFonts w:ascii="Times New Roman" w:hAnsi="Times New Roman"/>
                <w:lang w:val="nb-NO" w:eastAsia="nb-NO"/>
              </w:rPr>
              <w:commentReference w:id="14"/>
            </w:r>
            <w:r w:rsidRPr="00804792">
              <w:rPr>
                <w:rFonts w:ascii="Arial" w:eastAsia="Calibri" w:hAnsi="Arial" w:cs="Arial"/>
                <w:szCs w:val="22"/>
              </w:rPr>
              <w:t xml:space="preserve">. The average length of hospital stay was 3.9 days after the procedure. Patients who had </w:t>
            </w:r>
            <w:r w:rsidRPr="003074B5">
              <w:rPr>
                <w:rFonts w:ascii="Arial" w:eastAsia="Calibri" w:hAnsi="Arial" w:cs="Arial"/>
                <w:szCs w:val="22"/>
                <w:highlight w:val="yellow"/>
              </w:rPr>
              <w:t xml:space="preserve">the </w:t>
            </w:r>
            <w:commentRangeStart w:id="15"/>
            <w:r w:rsidRPr="003074B5">
              <w:rPr>
                <w:rFonts w:ascii="Arial" w:eastAsia="Calibri" w:hAnsi="Arial" w:cs="Arial"/>
                <w:szCs w:val="22"/>
                <w:highlight w:val="yellow"/>
              </w:rPr>
              <w:t>procedure</w:t>
            </w:r>
            <w:commentRangeEnd w:id="15"/>
            <w:r w:rsidR="003074B5">
              <w:rPr>
                <w:rStyle w:val="CommentReference"/>
                <w:rFonts w:ascii="Times New Roman" w:hAnsi="Times New Roman"/>
                <w:lang w:val="nb-NO" w:eastAsia="nb-NO"/>
              </w:rPr>
              <w:commentReference w:id="15"/>
            </w:r>
            <w:r w:rsidRPr="003074B5">
              <w:rPr>
                <w:rFonts w:ascii="Arial" w:eastAsia="Calibri" w:hAnsi="Arial" w:cs="Arial"/>
                <w:szCs w:val="22"/>
                <w:highlight w:val="yellow"/>
              </w:rPr>
              <w:t xml:space="preserve"> performed</w:t>
            </w:r>
            <w:r w:rsidRPr="00804792">
              <w:rPr>
                <w:rFonts w:ascii="Arial" w:eastAsia="Calibri" w:hAnsi="Arial" w:cs="Arial"/>
                <w:szCs w:val="22"/>
              </w:rPr>
              <w:t xml:space="preserve"> under sedation had a shorter hospital stay (3.6 days) in comparison to the GA group (4 days). The overall mortality was 5.8%.</w:t>
            </w:r>
          </w:p>
          <w:p w14:paraId="3C930824" w14:textId="77777777" w:rsidR="00505F06" w:rsidRPr="00BA1B01" w:rsidRDefault="00804792" w:rsidP="00804792">
            <w:pPr>
              <w:pStyle w:val="Body"/>
              <w:spacing w:after="0"/>
              <w:rPr>
                <w:rFonts w:ascii="Arial" w:eastAsia="Calibri" w:hAnsi="Arial" w:cs="Arial"/>
                <w:szCs w:val="22"/>
              </w:rPr>
            </w:pPr>
            <w:r w:rsidRPr="00804792">
              <w:rPr>
                <w:rFonts w:ascii="Arial" w:eastAsia="Calibri" w:hAnsi="Arial" w:cs="Arial"/>
                <w:b/>
                <w:bCs/>
                <w:szCs w:val="22"/>
              </w:rPr>
              <w:t>Conclusion</w:t>
            </w:r>
            <w:r w:rsidRPr="00804792">
              <w:rPr>
                <w:rFonts w:ascii="Arial" w:eastAsia="Calibri" w:hAnsi="Arial" w:cs="Arial"/>
                <w:szCs w:val="22"/>
              </w:rPr>
              <w:t xml:space="preserve">: TAVI procedure is more commonly performed under conscious sedation than general </w:t>
            </w:r>
            <w:proofErr w:type="spellStart"/>
            <w:r w:rsidRPr="00804792">
              <w:rPr>
                <w:rFonts w:ascii="Arial" w:eastAsia="Calibri" w:hAnsi="Arial" w:cs="Arial"/>
                <w:szCs w:val="22"/>
              </w:rPr>
              <w:t>anaesthesia</w:t>
            </w:r>
            <w:proofErr w:type="spellEnd"/>
            <w:r w:rsidRPr="00804792">
              <w:rPr>
                <w:rFonts w:ascii="Arial" w:eastAsia="Calibri" w:hAnsi="Arial" w:cs="Arial"/>
                <w:szCs w:val="22"/>
              </w:rPr>
              <w:t xml:space="preserve">. Patients who underwent the TAVI procedure under sedation or general </w:t>
            </w:r>
            <w:proofErr w:type="spellStart"/>
            <w:r w:rsidRPr="00804792">
              <w:rPr>
                <w:rFonts w:ascii="Arial" w:eastAsia="Calibri" w:hAnsi="Arial" w:cs="Arial"/>
                <w:szCs w:val="22"/>
              </w:rPr>
              <w:t>anaesthesia</w:t>
            </w:r>
            <w:proofErr w:type="spellEnd"/>
            <w:r w:rsidRPr="00804792">
              <w:rPr>
                <w:rFonts w:ascii="Arial" w:eastAsia="Calibri" w:hAnsi="Arial" w:cs="Arial"/>
                <w:szCs w:val="22"/>
              </w:rPr>
              <w:t xml:space="preserve"> had the same incidence of complications. The use of conscious sedation was associated with shorter hospital stay than general </w:t>
            </w:r>
            <w:proofErr w:type="spellStart"/>
            <w:r w:rsidRPr="00804792">
              <w:rPr>
                <w:rFonts w:ascii="Arial" w:eastAsia="Calibri" w:hAnsi="Arial" w:cs="Arial"/>
                <w:szCs w:val="22"/>
              </w:rPr>
              <w:t>anaesthesia</w:t>
            </w:r>
            <w:proofErr w:type="spellEnd"/>
            <w:r w:rsidRPr="00804792">
              <w:rPr>
                <w:rFonts w:ascii="Arial" w:eastAsia="Calibri" w:hAnsi="Arial" w:cs="Arial"/>
                <w:szCs w:val="22"/>
              </w:rPr>
              <w:t>.</w:t>
            </w:r>
          </w:p>
        </w:tc>
      </w:tr>
    </w:tbl>
    <w:p w14:paraId="396F41C7" w14:textId="77777777" w:rsidR="00636EB2" w:rsidRDefault="00636EB2" w:rsidP="00441B6F">
      <w:pPr>
        <w:pStyle w:val="Body"/>
        <w:spacing w:after="0"/>
        <w:rPr>
          <w:rFonts w:ascii="Arial" w:hAnsi="Arial" w:cs="Arial"/>
          <w:i/>
        </w:rPr>
      </w:pPr>
    </w:p>
    <w:p w14:paraId="7C3B4588" w14:textId="77777777" w:rsidR="00A24E7E" w:rsidRPr="003074B5" w:rsidRDefault="00804792" w:rsidP="00441B6F">
      <w:pPr>
        <w:pStyle w:val="Body"/>
        <w:spacing w:after="0"/>
        <w:rPr>
          <w:rFonts w:ascii="Arial" w:hAnsi="Arial" w:cs="Arial"/>
          <w:i/>
          <w:color w:val="FF0000"/>
        </w:rPr>
      </w:pPr>
      <w:r>
        <w:rPr>
          <w:rFonts w:ascii="Arial" w:hAnsi="Arial" w:cs="Arial"/>
          <w:i/>
        </w:rPr>
        <w:t>Keywords</w:t>
      </w:r>
      <w:commentRangeStart w:id="16"/>
      <w:r>
        <w:rPr>
          <w:rFonts w:ascii="Arial" w:hAnsi="Arial" w:cs="Arial"/>
          <w:i/>
        </w:rPr>
        <w:t xml:space="preserve">: </w:t>
      </w:r>
      <w:proofErr w:type="spellStart"/>
      <w:r w:rsidRPr="00D01C14">
        <w:rPr>
          <w:rFonts w:ascii="Arial" w:hAnsi="Arial" w:cs="Arial"/>
          <w:i/>
          <w:color w:val="FF0000"/>
          <w:highlight w:val="yellow"/>
        </w:rPr>
        <w:t>Anaesthesia</w:t>
      </w:r>
      <w:proofErr w:type="spellEnd"/>
      <w:r w:rsidRPr="00D01C14">
        <w:rPr>
          <w:rFonts w:ascii="Arial" w:hAnsi="Arial" w:cs="Arial"/>
          <w:i/>
          <w:color w:val="FF0000"/>
          <w:highlight w:val="yellow"/>
        </w:rPr>
        <w:t>, Cardiac, Sedation, TAVI, Outcome, Hospital stay</w:t>
      </w:r>
      <w:commentRangeEnd w:id="16"/>
      <w:r w:rsidR="003539F2" w:rsidRPr="00D01C14">
        <w:rPr>
          <w:rStyle w:val="CommentReference"/>
          <w:rFonts w:ascii="Times New Roman" w:hAnsi="Times New Roman"/>
          <w:highlight w:val="yellow"/>
          <w:lang w:val="nb-NO" w:eastAsia="nb-NO"/>
        </w:rPr>
        <w:commentReference w:id="16"/>
      </w:r>
    </w:p>
    <w:p w14:paraId="08E7753C" w14:textId="77777777" w:rsidR="00790ADA" w:rsidRPr="003074B5" w:rsidRDefault="00790ADA" w:rsidP="00441B6F">
      <w:pPr>
        <w:pStyle w:val="Body"/>
        <w:spacing w:after="0"/>
        <w:rPr>
          <w:rFonts w:ascii="Arial" w:hAnsi="Arial" w:cs="Arial"/>
          <w:i/>
          <w:color w:val="FF0000"/>
        </w:rPr>
      </w:pPr>
    </w:p>
    <w:p w14:paraId="328937F8" w14:textId="77777777" w:rsidR="00B52896" w:rsidRDefault="00B52896" w:rsidP="00125FC0">
      <w:pPr>
        <w:pStyle w:val="Body"/>
        <w:spacing w:after="0"/>
        <w:rPr>
          <w:rFonts w:ascii="Arial" w:hAnsi="Arial" w:cs="Arial"/>
          <w:i/>
          <w:sz w:val="18"/>
        </w:rPr>
      </w:pPr>
    </w:p>
    <w:p w14:paraId="5534EF46" w14:textId="77777777" w:rsidR="0024282C" w:rsidRDefault="0024282C" w:rsidP="00441B6F">
      <w:pPr>
        <w:pStyle w:val="Body"/>
        <w:spacing w:after="0"/>
        <w:rPr>
          <w:rFonts w:ascii="Arial" w:hAnsi="Arial" w:cs="Arial"/>
          <w:i/>
          <w:sz w:val="18"/>
        </w:rPr>
      </w:pPr>
    </w:p>
    <w:p w14:paraId="6ACC2386" w14:textId="77777777" w:rsidR="00505F06" w:rsidRPr="00A24E7E" w:rsidRDefault="00505F06" w:rsidP="00441B6F">
      <w:pPr>
        <w:pStyle w:val="Body"/>
        <w:spacing w:after="0"/>
        <w:rPr>
          <w:rFonts w:ascii="Arial" w:hAnsi="Arial" w:cs="Arial"/>
          <w:i/>
        </w:rPr>
      </w:pPr>
    </w:p>
    <w:p w14:paraId="347BB661"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125FC0">
        <w:rPr>
          <w:rFonts w:ascii="Arial" w:hAnsi="Arial" w:cs="Arial"/>
        </w:rPr>
        <w:t xml:space="preserve"> </w:t>
      </w:r>
    </w:p>
    <w:p w14:paraId="091073E5" w14:textId="77777777" w:rsidR="00790ADA" w:rsidRPr="00FB3A86" w:rsidRDefault="00790ADA" w:rsidP="00441B6F">
      <w:pPr>
        <w:pStyle w:val="AbstHead"/>
        <w:spacing w:after="0"/>
        <w:jc w:val="both"/>
        <w:rPr>
          <w:rFonts w:ascii="Arial" w:hAnsi="Arial" w:cs="Arial"/>
        </w:rPr>
      </w:pPr>
    </w:p>
    <w:p w14:paraId="573AC4B3" w14:textId="77777777" w:rsidR="00125FC0" w:rsidRPr="00125FC0" w:rsidRDefault="00125FC0" w:rsidP="00125FC0">
      <w:pPr>
        <w:pStyle w:val="Body"/>
        <w:rPr>
          <w:rFonts w:ascii="Arial" w:hAnsi="Arial" w:cs="Arial"/>
        </w:rPr>
      </w:pPr>
      <w:r w:rsidRPr="00125FC0">
        <w:rPr>
          <w:rFonts w:ascii="Arial" w:hAnsi="Arial" w:cs="Arial"/>
        </w:rPr>
        <w:t xml:space="preserve">Aortic stenosis (AS) is the most common valvular heart disease and the third most common cardiovascular disease after hypertension and coronary artery disease in the Western world. [1] AS is more common in elderly patients and is a major cause of mortality and morbidity. [2] It has a prevalence of around 2% </w:t>
      </w:r>
      <w:commentRangeStart w:id="17"/>
      <w:r w:rsidRPr="003074B5">
        <w:rPr>
          <w:rFonts w:ascii="Arial" w:hAnsi="Arial" w:cs="Arial"/>
          <w:highlight w:val="yellow"/>
        </w:rPr>
        <w:t>of</w:t>
      </w:r>
      <w:commentRangeEnd w:id="17"/>
      <w:r w:rsidR="003074B5">
        <w:rPr>
          <w:rStyle w:val="CommentReference"/>
          <w:rFonts w:ascii="Times New Roman" w:hAnsi="Times New Roman"/>
          <w:lang w:val="nb-NO" w:eastAsia="nb-NO"/>
        </w:rPr>
        <w:commentReference w:id="17"/>
      </w:r>
      <w:r w:rsidRPr="00125FC0">
        <w:rPr>
          <w:rFonts w:ascii="Arial" w:hAnsi="Arial" w:cs="Arial"/>
        </w:rPr>
        <w:t xml:space="preserve"> the population aged more than 65 years and over 4% </w:t>
      </w:r>
      <w:commentRangeStart w:id="18"/>
      <w:r w:rsidRPr="003074B5">
        <w:rPr>
          <w:rFonts w:ascii="Arial" w:hAnsi="Arial" w:cs="Arial"/>
          <w:highlight w:val="yellow"/>
        </w:rPr>
        <w:t>of</w:t>
      </w:r>
      <w:commentRangeEnd w:id="18"/>
      <w:r w:rsidR="003074B5">
        <w:rPr>
          <w:rStyle w:val="CommentReference"/>
          <w:rFonts w:ascii="Times New Roman" w:hAnsi="Times New Roman"/>
          <w:lang w:val="nb-NO" w:eastAsia="nb-NO"/>
        </w:rPr>
        <w:commentReference w:id="18"/>
      </w:r>
      <w:r w:rsidRPr="00125FC0">
        <w:rPr>
          <w:rFonts w:ascii="Arial" w:hAnsi="Arial" w:cs="Arial"/>
        </w:rPr>
        <w:t xml:space="preserve"> octogenarians. [3] Surgical aortic valve replacement (AVR) remains the gold-standard intervention for improving life expectancy and quality. [</w:t>
      </w:r>
      <w:proofErr w:type="gramStart"/>
      <w:r w:rsidRPr="00125FC0">
        <w:rPr>
          <w:rFonts w:ascii="Arial" w:hAnsi="Arial" w:cs="Arial"/>
        </w:rPr>
        <w:t>4]Transcatheter</w:t>
      </w:r>
      <w:proofErr w:type="gramEnd"/>
      <w:r w:rsidRPr="00125FC0">
        <w:rPr>
          <w:rFonts w:ascii="Arial" w:hAnsi="Arial" w:cs="Arial"/>
        </w:rPr>
        <w:t xml:space="preserve"> Aortic Valve Replacement (TAVR) may provide a less invasive alternative to the standard surgical aortic valve replacement (SAVR) for eligible patients with a high risk of SAVR. [5] Transcatheter aortic valve implantation (TAVI) is a relatively novel procedure that has undergone rapid development since its introduction and is expected to expand further in the near future. [6] Its main indication is in the treatment of severe symptomatic aortic valve stenosis. [7] Initially, the procedure was only indicated for high-risk patients who were not suitable for surgical aortic valve </w:t>
      </w:r>
      <w:r w:rsidRPr="00125FC0">
        <w:rPr>
          <w:rFonts w:ascii="Arial" w:hAnsi="Arial" w:cs="Arial"/>
        </w:rPr>
        <w:lastRenderedPageBreak/>
        <w:t xml:space="preserve">replacement (SAVR). [8] These patients are often old, and frail with significant comorbid conditions. However, rapid advances in the technology and the operators' skills required for TAVI have allowed the widening of the indications </w:t>
      </w:r>
      <w:r w:rsidRPr="00D01C14">
        <w:rPr>
          <w:rFonts w:ascii="Arial" w:hAnsi="Arial" w:cs="Arial"/>
          <w:highlight w:val="yellow"/>
        </w:rPr>
        <w:t>for its</w:t>
      </w:r>
      <w:r w:rsidRPr="00125FC0">
        <w:rPr>
          <w:rFonts w:ascii="Arial" w:hAnsi="Arial" w:cs="Arial"/>
        </w:rPr>
        <w:t xml:space="preserve"> </w:t>
      </w:r>
      <w:commentRangeStart w:id="19"/>
      <w:r w:rsidRPr="00333314">
        <w:rPr>
          <w:rFonts w:ascii="Arial" w:hAnsi="Arial" w:cs="Arial"/>
          <w:highlight w:val="yellow"/>
        </w:rPr>
        <w:t>use</w:t>
      </w:r>
      <w:commentRangeEnd w:id="19"/>
      <w:r w:rsidR="00333314">
        <w:rPr>
          <w:rStyle w:val="CommentReference"/>
          <w:rFonts w:ascii="Times New Roman" w:hAnsi="Times New Roman"/>
          <w:lang w:val="nb-NO" w:eastAsia="nb-NO"/>
        </w:rPr>
        <w:commentReference w:id="19"/>
      </w:r>
      <w:r w:rsidRPr="00125FC0">
        <w:rPr>
          <w:rFonts w:ascii="Arial" w:hAnsi="Arial" w:cs="Arial"/>
        </w:rPr>
        <w:t xml:space="preserve"> such as aortic regurgitation, bicuspid valve, or valve-in-valve in degenerative bio-prosthetic surgical valves. [9] The first successful trans-catheter valve replacement procedure in the world was performed on 16 April 2002, by the Interventional Cardiologists Alain </w:t>
      </w:r>
      <w:proofErr w:type="spellStart"/>
      <w:r w:rsidRPr="00125FC0">
        <w:rPr>
          <w:rFonts w:ascii="Arial" w:hAnsi="Arial" w:cs="Arial"/>
        </w:rPr>
        <w:t>Cribier</w:t>
      </w:r>
      <w:proofErr w:type="spellEnd"/>
      <w:r w:rsidRPr="00125FC0">
        <w:rPr>
          <w:rFonts w:ascii="Arial" w:hAnsi="Arial" w:cs="Arial"/>
        </w:rPr>
        <w:t xml:space="preserve">. [10] Alain </w:t>
      </w:r>
      <w:proofErr w:type="spellStart"/>
      <w:r w:rsidRPr="00125FC0">
        <w:rPr>
          <w:rFonts w:ascii="Arial" w:hAnsi="Arial" w:cs="Arial"/>
        </w:rPr>
        <w:t>Cribier</w:t>
      </w:r>
      <w:proofErr w:type="spellEnd"/>
      <w:r w:rsidRPr="00125FC0">
        <w:rPr>
          <w:rFonts w:ascii="Arial" w:hAnsi="Arial" w:cs="Arial"/>
        </w:rPr>
        <w:t xml:space="preserve"> is also known for performing the first transcatheter mitral commissurotomy in 1995 and the first balloon aortic valvuloplasty in 1986. [11]</w:t>
      </w:r>
    </w:p>
    <w:p w14:paraId="0498DCD3" w14:textId="77777777" w:rsidR="00125FC0" w:rsidRPr="00125FC0" w:rsidRDefault="00125FC0" w:rsidP="00125FC0">
      <w:pPr>
        <w:pStyle w:val="Body"/>
        <w:rPr>
          <w:rFonts w:ascii="Arial" w:hAnsi="Arial" w:cs="Arial"/>
        </w:rPr>
      </w:pPr>
      <w:r w:rsidRPr="00125FC0">
        <w:rPr>
          <w:rFonts w:ascii="Arial" w:hAnsi="Arial" w:cs="Arial"/>
        </w:rPr>
        <w:t xml:space="preserve">There is currently a significant debate regarding the best </w:t>
      </w:r>
      <w:proofErr w:type="spellStart"/>
      <w:r w:rsidRPr="00125FC0">
        <w:rPr>
          <w:rFonts w:ascii="Arial" w:hAnsi="Arial" w:cs="Arial"/>
        </w:rPr>
        <w:t>anaesthetic</w:t>
      </w:r>
      <w:proofErr w:type="spellEnd"/>
      <w:r w:rsidRPr="00125FC0">
        <w:rPr>
          <w:rFonts w:ascii="Arial" w:hAnsi="Arial" w:cs="Arial"/>
        </w:rPr>
        <w:t xml:space="preserve"> management for patients undergoing trans-catheter aortic valve replacement (TAVR). [12] Both general </w:t>
      </w:r>
      <w:proofErr w:type="spellStart"/>
      <w:r w:rsidRPr="00125FC0">
        <w:rPr>
          <w:rFonts w:ascii="Arial" w:hAnsi="Arial" w:cs="Arial"/>
        </w:rPr>
        <w:t>anaesthesia</w:t>
      </w:r>
      <w:proofErr w:type="spellEnd"/>
      <w:r w:rsidRPr="00125FC0">
        <w:rPr>
          <w:rFonts w:ascii="Arial" w:hAnsi="Arial" w:cs="Arial"/>
        </w:rPr>
        <w:t xml:space="preserve"> and sedation are used in different institutions. [13] Sedation is a minimal mode of </w:t>
      </w:r>
      <w:proofErr w:type="spellStart"/>
      <w:r w:rsidRPr="00125FC0">
        <w:rPr>
          <w:rFonts w:ascii="Arial" w:hAnsi="Arial" w:cs="Arial"/>
        </w:rPr>
        <w:t>anaesthesia</w:t>
      </w:r>
      <w:proofErr w:type="spellEnd"/>
      <w:r w:rsidRPr="00125FC0">
        <w:rPr>
          <w:rFonts w:ascii="Arial" w:hAnsi="Arial" w:cs="Arial"/>
        </w:rPr>
        <w:t xml:space="preserve">; in which intubation is not needed, </w:t>
      </w:r>
      <w:commentRangeStart w:id="20"/>
      <w:r w:rsidRPr="00333314">
        <w:rPr>
          <w:rFonts w:ascii="Arial" w:hAnsi="Arial" w:cs="Arial"/>
          <w:highlight w:val="yellow"/>
        </w:rPr>
        <w:t>which</w:t>
      </w:r>
      <w:commentRangeEnd w:id="20"/>
      <w:r w:rsidR="00333314">
        <w:rPr>
          <w:rStyle w:val="CommentReference"/>
          <w:rFonts w:ascii="Times New Roman" w:hAnsi="Times New Roman"/>
          <w:lang w:val="nb-NO" w:eastAsia="nb-NO"/>
        </w:rPr>
        <w:commentReference w:id="20"/>
      </w:r>
      <w:r w:rsidRPr="00125FC0">
        <w:rPr>
          <w:rFonts w:ascii="Arial" w:hAnsi="Arial" w:cs="Arial"/>
        </w:rPr>
        <w:t xml:space="preserve"> can potentially </w:t>
      </w:r>
      <w:proofErr w:type="spellStart"/>
      <w:r w:rsidRPr="00125FC0">
        <w:rPr>
          <w:rFonts w:ascii="Arial" w:hAnsi="Arial" w:cs="Arial"/>
        </w:rPr>
        <w:t>minimise</w:t>
      </w:r>
      <w:proofErr w:type="spellEnd"/>
      <w:r w:rsidRPr="00125FC0">
        <w:rPr>
          <w:rFonts w:ascii="Arial" w:hAnsi="Arial" w:cs="Arial"/>
        </w:rPr>
        <w:t xml:space="preserve"> respiratory complications in elderly and frail patients</w:t>
      </w:r>
      <w:r w:rsidRPr="00333314">
        <w:rPr>
          <w:rFonts w:ascii="Arial" w:hAnsi="Arial" w:cs="Arial"/>
          <w:highlight w:val="yellow"/>
        </w:rPr>
        <w:t xml:space="preserve">; as is often the case </w:t>
      </w:r>
      <w:commentRangeStart w:id="21"/>
      <w:r w:rsidRPr="00333314">
        <w:rPr>
          <w:rFonts w:ascii="Arial" w:hAnsi="Arial" w:cs="Arial"/>
          <w:highlight w:val="yellow"/>
        </w:rPr>
        <w:t>in</w:t>
      </w:r>
      <w:commentRangeEnd w:id="21"/>
      <w:r w:rsidR="00333314">
        <w:rPr>
          <w:rStyle w:val="CommentReference"/>
          <w:rFonts w:ascii="Times New Roman" w:hAnsi="Times New Roman"/>
          <w:lang w:val="nb-NO" w:eastAsia="nb-NO"/>
        </w:rPr>
        <w:commentReference w:id="21"/>
      </w:r>
      <w:r w:rsidRPr="00125FC0">
        <w:rPr>
          <w:rFonts w:ascii="Arial" w:hAnsi="Arial" w:cs="Arial"/>
        </w:rPr>
        <w:t xml:space="preserve"> trans-catheter aortic valve replacement (TAVR) </w:t>
      </w:r>
      <w:commentRangeStart w:id="22"/>
      <w:r w:rsidRPr="00F551F9">
        <w:rPr>
          <w:rFonts w:ascii="Arial" w:hAnsi="Arial" w:cs="Arial"/>
          <w:color w:val="FF0000"/>
          <w:highlight w:val="yellow"/>
        </w:rPr>
        <w:t>patients</w:t>
      </w:r>
      <w:commentRangeEnd w:id="22"/>
      <w:r w:rsidR="00F551F9" w:rsidRPr="00F551F9">
        <w:rPr>
          <w:rStyle w:val="CommentReference"/>
          <w:rFonts w:ascii="Times New Roman" w:hAnsi="Times New Roman"/>
          <w:highlight w:val="yellow"/>
          <w:lang w:val="nb-NO" w:eastAsia="nb-NO"/>
        </w:rPr>
        <w:commentReference w:id="22"/>
      </w:r>
      <w:r w:rsidRPr="00125FC0">
        <w:rPr>
          <w:rFonts w:ascii="Arial" w:hAnsi="Arial" w:cs="Arial"/>
        </w:rPr>
        <w:t xml:space="preserve">. [14] Trans-catheter aortic valve implantation is nowadays a routine therapy for elderly patients with severe aortic stenosis and high perioperative risk. [15] With growing experience, further development of the devices, and the expansion to “intermediate-risk” patients, there is increasing interest in performing this procedure under conscious sedation. [16] Complications occurring during TAVI under sedation may mandate conversion to general </w:t>
      </w:r>
      <w:proofErr w:type="spellStart"/>
      <w:r w:rsidRPr="00125FC0">
        <w:rPr>
          <w:rFonts w:ascii="Arial" w:hAnsi="Arial" w:cs="Arial"/>
        </w:rPr>
        <w:t>anaesthesia</w:t>
      </w:r>
      <w:proofErr w:type="spellEnd"/>
      <w:r w:rsidRPr="00125FC0">
        <w:rPr>
          <w:rFonts w:ascii="Arial" w:hAnsi="Arial" w:cs="Arial"/>
        </w:rPr>
        <w:t xml:space="preserve"> (GA) with unplanned endotracheal intubation. [17]</w:t>
      </w:r>
    </w:p>
    <w:p w14:paraId="775C3D4D" w14:textId="77777777" w:rsidR="00790ADA" w:rsidRDefault="00125FC0" w:rsidP="00125FC0">
      <w:pPr>
        <w:pStyle w:val="Body"/>
        <w:spacing w:after="0"/>
        <w:rPr>
          <w:rFonts w:ascii="Arial" w:hAnsi="Arial" w:cs="Arial"/>
        </w:rPr>
      </w:pPr>
      <w:r w:rsidRPr="00125FC0">
        <w:rPr>
          <w:rFonts w:ascii="Arial" w:hAnsi="Arial" w:cs="Arial"/>
        </w:rPr>
        <w:t xml:space="preserve">In this study, we </w:t>
      </w:r>
      <w:r w:rsidRPr="00F551F9">
        <w:rPr>
          <w:rFonts w:ascii="Arial" w:hAnsi="Arial" w:cs="Arial"/>
          <w:highlight w:val="yellow"/>
        </w:rPr>
        <w:t xml:space="preserve">will </w:t>
      </w:r>
      <w:commentRangeStart w:id="23"/>
      <w:r w:rsidRPr="00F551F9">
        <w:rPr>
          <w:rFonts w:ascii="Arial" w:hAnsi="Arial" w:cs="Arial"/>
          <w:highlight w:val="yellow"/>
        </w:rPr>
        <w:t>discuss</w:t>
      </w:r>
      <w:commentRangeEnd w:id="23"/>
      <w:r w:rsidR="00C234A3" w:rsidRPr="00F551F9">
        <w:rPr>
          <w:rStyle w:val="CommentReference"/>
          <w:rFonts w:ascii="Times New Roman" w:hAnsi="Times New Roman"/>
          <w:highlight w:val="yellow"/>
          <w:lang w:val="nb-NO" w:eastAsia="nb-NO"/>
        </w:rPr>
        <w:commentReference w:id="23"/>
      </w:r>
      <w:r w:rsidRPr="00125FC0">
        <w:rPr>
          <w:rFonts w:ascii="Arial" w:hAnsi="Arial" w:cs="Arial"/>
        </w:rPr>
        <w:t xml:space="preserve"> the </w:t>
      </w:r>
      <w:r w:rsidRPr="00F551F9">
        <w:rPr>
          <w:rFonts w:ascii="Arial" w:hAnsi="Arial" w:cs="Arial"/>
          <w:color w:val="000000" w:themeColor="text1"/>
        </w:rPr>
        <w:t>incidence of</w:t>
      </w:r>
      <w:r w:rsidRPr="00F551F9">
        <w:rPr>
          <w:rFonts w:ascii="Arial" w:hAnsi="Arial" w:cs="Arial"/>
          <w:color w:val="92D050"/>
        </w:rPr>
        <w:t xml:space="preserve"> </w:t>
      </w:r>
      <w:r w:rsidRPr="00F551F9">
        <w:rPr>
          <w:rFonts w:ascii="Arial" w:hAnsi="Arial" w:cs="Arial"/>
          <w:color w:val="92D050"/>
          <w:highlight w:val="yellow"/>
        </w:rPr>
        <w:t xml:space="preserve">use of sedation </w:t>
      </w:r>
      <w:r w:rsidRPr="00F551F9">
        <w:rPr>
          <w:rFonts w:ascii="Arial" w:hAnsi="Arial" w:cs="Arial"/>
          <w:highlight w:val="yellow"/>
        </w:rPr>
        <w:t xml:space="preserve">and </w:t>
      </w:r>
      <w:commentRangeStart w:id="24"/>
      <w:r w:rsidRPr="00F551F9">
        <w:rPr>
          <w:rFonts w:ascii="Arial" w:hAnsi="Arial" w:cs="Arial"/>
          <w:highlight w:val="yellow"/>
        </w:rPr>
        <w:t>GA</w:t>
      </w:r>
      <w:commentRangeEnd w:id="24"/>
      <w:r w:rsidR="003539F2" w:rsidRPr="00F551F9">
        <w:rPr>
          <w:rStyle w:val="CommentReference"/>
          <w:rFonts w:ascii="Times New Roman" w:hAnsi="Times New Roman"/>
          <w:highlight w:val="yellow"/>
          <w:lang w:val="nb-NO" w:eastAsia="nb-NO"/>
        </w:rPr>
        <w:commentReference w:id="24"/>
      </w:r>
      <w:r w:rsidRPr="00125FC0">
        <w:rPr>
          <w:rFonts w:ascii="Arial" w:hAnsi="Arial" w:cs="Arial"/>
        </w:rPr>
        <w:t xml:space="preserve"> for trans-femoral TAVI, and we </w:t>
      </w:r>
      <w:commentRangeStart w:id="25"/>
      <w:r w:rsidRPr="004139EB">
        <w:rPr>
          <w:rFonts w:ascii="Arial" w:hAnsi="Arial" w:cs="Arial"/>
          <w:highlight w:val="yellow"/>
        </w:rPr>
        <w:t>will</w:t>
      </w:r>
      <w:commentRangeEnd w:id="25"/>
      <w:r w:rsidR="004139EB">
        <w:rPr>
          <w:rStyle w:val="CommentReference"/>
          <w:rFonts w:ascii="Times New Roman" w:hAnsi="Times New Roman"/>
          <w:lang w:val="nb-NO" w:eastAsia="nb-NO"/>
        </w:rPr>
        <w:commentReference w:id="25"/>
      </w:r>
      <w:r w:rsidRPr="004139EB">
        <w:rPr>
          <w:rFonts w:ascii="Arial" w:hAnsi="Arial" w:cs="Arial"/>
          <w:highlight w:val="yellow"/>
        </w:rPr>
        <w:t xml:space="preserve"> report</w:t>
      </w:r>
      <w:r w:rsidRPr="00125FC0">
        <w:rPr>
          <w:rFonts w:ascii="Arial" w:hAnsi="Arial" w:cs="Arial"/>
        </w:rPr>
        <w:t xml:space="preserve"> the incidence of complications and outcome after TAVI in a </w:t>
      </w:r>
      <w:proofErr w:type="spellStart"/>
      <w:r w:rsidRPr="00125FC0">
        <w:rPr>
          <w:rFonts w:ascii="Arial" w:hAnsi="Arial" w:cs="Arial"/>
        </w:rPr>
        <w:t>specialised</w:t>
      </w:r>
      <w:proofErr w:type="spellEnd"/>
      <w:r w:rsidRPr="00125FC0">
        <w:rPr>
          <w:rFonts w:ascii="Arial" w:hAnsi="Arial" w:cs="Arial"/>
        </w:rPr>
        <w:t xml:space="preserve"> tertiary cardiac </w:t>
      </w:r>
      <w:proofErr w:type="spellStart"/>
      <w:r w:rsidRPr="00125FC0">
        <w:rPr>
          <w:rFonts w:ascii="Arial" w:hAnsi="Arial" w:cs="Arial"/>
        </w:rPr>
        <w:t>centre</w:t>
      </w:r>
      <w:proofErr w:type="spellEnd"/>
      <w:r w:rsidRPr="00125FC0">
        <w:rPr>
          <w:rFonts w:ascii="Arial" w:hAnsi="Arial" w:cs="Arial"/>
        </w:rPr>
        <w:t>.</w:t>
      </w:r>
    </w:p>
    <w:p w14:paraId="28A8AB16" w14:textId="77777777" w:rsidR="00125FC0" w:rsidRPr="00FB3A86" w:rsidRDefault="00125FC0" w:rsidP="00125FC0">
      <w:pPr>
        <w:pStyle w:val="Body"/>
        <w:spacing w:after="0"/>
        <w:rPr>
          <w:rFonts w:ascii="Arial" w:hAnsi="Arial" w:cs="Arial"/>
        </w:rPr>
      </w:pPr>
    </w:p>
    <w:p w14:paraId="69B8250F" w14:textId="77777777" w:rsidR="007F7B32" w:rsidRDefault="00125FC0" w:rsidP="00441B6F">
      <w:pPr>
        <w:pStyle w:val="AbstHead"/>
        <w:spacing w:after="0"/>
        <w:jc w:val="both"/>
        <w:rPr>
          <w:rFonts w:ascii="Arial" w:hAnsi="Arial" w:cs="Arial"/>
        </w:rPr>
      </w:pPr>
      <w:r>
        <w:rPr>
          <w:rFonts w:ascii="Arial" w:hAnsi="Arial" w:cs="Arial"/>
        </w:rPr>
        <w:t xml:space="preserve">2. </w:t>
      </w:r>
      <w:r w:rsidR="00902823">
        <w:rPr>
          <w:rFonts w:ascii="Arial" w:hAnsi="Arial" w:cs="Arial"/>
        </w:rPr>
        <w:t>method</w:t>
      </w:r>
      <w:r>
        <w:rPr>
          <w:rFonts w:ascii="Arial" w:hAnsi="Arial" w:cs="Arial"/>
        </w:rPr>
        <w:t xml:space="preserve">s </w:t>
      </w:r>
    </w:p>
    <w:p w14:paraId="5872A7E2" w14:textId="77777777" w:rsidR="00790ADA" w:rsidRPr="00FB3A86" w:rsidRDefault="00790ADA" w:rsidP="00441B6F">
      <w:pPr>
        <w:pStyle w:val="AbstHead"/>
        <w:spacing w:after="0"/>
        <w:jc w:val="both"/>
        <w:rPr>
          <w:rFonts w:ascii="Arial" w:hAnsi="Arial" w:cs="Arial"/>
        </w:rPr>
      </w:pPr>
    </w:p>
    <w:p w14:paraId="419F7779" w14:textId="77777777" w:rsidR="00790ADA" w:rsidRDefault="00125FC0" w:rsidP="00441B6F">
      <w:pPr>
        <w:pStyle w:val="Body"/>
        <w:spacing w:after="0"/>
        <w:rPr>
          <w:rFonts w:ascii="Arial" w:hAnsi="Arial" w:cs="Arial"/>
        </w:rPr>
      </w:pPr>
      <w:r w:rsidRPr="00125FC0">
        <w:rPr>
          <w:rFonts w:ascii="Arial" w:hAnsi="Arial" w:cs="Arial"/>
        </w:rPr>
        <w:t xml:space="preserve">This study is a retrospective observational analysis of patients presented for trans-catheter aortic valve replacement (TAVR) at Queen Alia Heart Institute (QAHI) over 5 years (in the period between February 2020 and March 2025). Patients were compared concerning their </w:t>
      </w:r>
      <w:proofErr w:type="spellStart"/>
      <w:r w:rsidRPr="00125FC0">
        <w:rPr>
          <w:rFonts w:ascii="Arial" w:hAnsi="Arial" w:cs="Arial"/>
        </w:rPr>
        <w:t>anaesthetic</w:t>
      </w:r>
      <w:proofErr w:type="spellEnd"/>
      <w:r w:rsidRPr="00125FC0">
        <w:rPr>
          <w:rFonts w:ascii="Arial" w:hAnsi="Arial" w:cs="Arial"/>
        </w:rPr>
        <w:t xml:space="preserve"> technique during the procedure and were divided into two groups: the general </w:t>
      </w:r>
      <w:commentRangeStart w:id="26"/>
      <w:proofErr w:type="spellStart"/>
      <w:r w:rsidRPr="00C234A3">
        <w:rPr>
          <w:rFonts w:ascii="Arial" w:hAnsi="Arial" w:cs="Arial"/>
          <w:highlight w:val="yellow"/>
        </w:rPr>
        <w:t>anaesthetic</w:t>
      </w:r>
      <w:commentRangeEnd w:id="26"/>
      <w:proofErr w:type="spellEnd"/>
      <w:r w:rsidR="00C234A3">
        <w:rPr>
          <w:rStyle w:val="CommentReference"/>
          <w:rFonts w:ascii="Times New Roman" w:hAnsi="Times New Roman"/>
          <w:lang w:val="nb-NO" w:eastAsia="nb-NO"/>
        </w:rPr>
        <w:commentReference w:id="26"/>
      </w:r>
      <w:r w:rsidRPr="00125FC0">
        <w:rPr>
          <w:rFonts w:ascii="Arial" w:hAnsi="Arial" w:cs="Arial"/>
        </w:rPr>
        <w:t xml:space="preserve"> (GA) group and the sedation group. Both groups were compared according to their demographic, clinical, </w:t>
      </w:r>
      <w:r w:rsidRPr="004A7C23">
        <w:rPr>
          <w:rFonts w:ascii="Arial" w:hAnsi="Arial" w:cs="Arial"/>
        </w:rPr>
        <w:t>perioperative</w:t>
      </w:r>
      <w:r w:rsidRPr="00125FC0">
        <w:rPr>
          <w:rFonts w:ascii="Arial" w:hAnsi="Arial" w:cs="Arial"/>
        </w:rPr>
        <w:t xml:space="preserve"> characteristics, hospital stay, complications, and outcomes. Ethical committee approval was obtained from the Institutional Review Board (IRB). Data was statistically </w:t>
      </w:r>
      <w:proofErr w:type="spellStart"/>
      <w:r w:rsidRPr="00125FC0">
        <w:rPr>
          <w:rFonts w:ascii="Arial" w:hAnsi="Arial" w:cs="Arial"/>
        </w:rPr>
        <w:t>analysed</w:t>
      </w:r>
      <w:proofErr w:type="spellEnd"/>
      <w:r w:rsidRPr="00125FC0">
        <w:rPr>
          <w:rFonts w:ascii="Arial" w:hAnsi="Arial" w:cs="Arial"/>
        </w:rPr>
        <w:t xml:space="preserve"> </w:t>
      </w:r>
      <w:r w:rsidRPr="005E6B02">
        <w:rPr>
          <w:rFonts w:ascii="Arial" w:hAnsi="Arial" w:cs="Arial"/>
          <w:highlight w:val="yellow"/>
        </w:rPr>
        <w:t xml:space="preserve">using </w:t>
      </w:r>
      <w:r w:rsidRPr="005E6B02">
        <w:rPr>
          <w:rFonts w:ascii="Arial" w:hAnsi="Arial" w:cs="Arial"/>
          <w:color w:val="92D050"/>
          <w:highlight w:val="yellow"/>
        </w:rPr>
        <w:t xml:space="preserve">Word </w:t>
      </w:r>
      <w:commentRangeStart w:id="27"/>
      <w:r w:rsidRPr="005E6B02">
        <w:rPr>
          <w:rFonts w:ascii="Arial" w:hAnsi="Arial" w:cs="Arial"/>
          <w:color w:val="92D050"/>
          <w:highlight w:val="yellow"/>
        </w:rPr>
        <w:t>Excel</w:t>
      </w:r>
      <w:commentRangeEnd w:id="27"/>
      <w:r w:rsidR="005E6B02">
        <w:rPr>
          <w:rStyle w:val="CommentReference"/>
          <w:rFonts w:ascii="Times New Roman" w:hAnsi="Times New Roman"/>
          <w:lang w:val="nb-NO" w:eastAsia="nb-NO"/>
        </w:rPr>
        <w:commentReference w:id="27"/>
      </w:r>
      <w:r w:rsidRPr="00125FC0">
        <w:rPr>
          <w:rFonts w:ascii="Arial" w:hAnsi="Arial" w:cs="Arial"/>
        </w:rPr>
        <w:t>.</w:t>
      </w:r>
    </w:p>
    <w:p w14:paraId="1DB725CA" w14:textId="77777777" w:rsidR="0042332B" w:rsidRPr="00FB3A86" w:rsidRDefault="0042332B" w:rsidP="00441B6F">
      <w:pPr>
        <w:pStyle w:val="Body"/>
        <w:spacing w:after="0"/>
        <w:rPr>
          <w:rFonts w:ascii="Arial" w:hAnsi="Arial" w:cs="Arial"/>
        </w:rPr>
      </w:pPr>
    </w:p>
    <w:p w14:paraId="16317F24"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125FC0">
        <w:rPr>
          <w:rFonts w:ascii="Arial" w:hAnsi="Arial" w:cs="Arial"/>
        </w:rPr>
        <w:t>results</w:t>
      </w:r>
    </w:p>
    <w:p w14:paraId="03E749DF" w14:textId="77777777" w:rsidR="004A3603" w:rsidRDefault="004A3603" w:rsidP="00441B6F">
      <w:pPr>
        <w:pStyle w:val="Head1"/>
        <w:spacing w:after="0"/>
        <w:jc w:val="both"/>
        <w:rPr>
          <w:rFonts w:ascii="Arial" w:hAnsi="Arial" w:cs="Arial"/>
        </w:rPr>
      </w:pPr>
    </w:p>
    <w:p w14:paraId="5B098F8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 xml:space="preserve">Data from 69 patients presented for TAVI was analysed. The average age </w:t>
      </w:r>
      <w:commentRangeStart w:id="28"/>
      <w:r w:rsidRPr="00125FC0">
        <w:rPr>
          <w:rFonts w:ascii="Arial" w:hAnsi="Arial" w:cs="Arial"/>
          <w:lang w:val="en-IE"/>
        </w:rPr>
        <w:t>of</w:t>
      </w:r>
      <w:commentRangeEnd w:id="28"/>
      <w:r w:rsidR="00C234A3">
        <w:rPr>
          <w:rStyle w:val="CommentReference"/>
          <w:rFonts w:ascii="Times New Roman" w:hAnsi="Times New Roman"/>
          <w:lang w:val="nb-NO" w:eastAsia="nb-NO"/>
        </w:rPr>
        <w:commentReference w:id="28"/>
      </w:r>
      <w:r w:rsidRPr="00125FC0">
        <w:rPr>
          <w:rFonts w:ascii="Arial" w:hAnsi="Arial" w:cs="Arial"/>
          <w:lang w:val="en-IE"/>
        </w:rPr>
        <w:t xml:space="preserve"> patients was 76.7 years (ranging from 57 to 93 years). Female patients were 40 (57.97%); while male patients were 29 (42.03%). </w:t>
      </w:r>
      <w:commentRangeStart w:id="29"/>
      <w:r w:rsidRPr="00125FC0">
        <w:rPr>
          <w:rFonts w:ascii="Arial" w:hAnsi="Arial" w:cs="Arial"/>
          <w:lang w:val="en-IE"/>
        </w:rPr>
        <w:t>Female</w:t>
      </w:r>
      <w:commentRangeEnd w:id="29"/>
      <w:r w:rsidR="00C234A3">
        <w:rPr>
          <w:rStyle w:val="CommentReference"/>
          <w:rFonts w:ascii="Times New Roman" w:hAnsi="Times New Roman"/>
          <w:lang w:val="nb-NO" w:eastAsia="nb-NO"/>
        </w:rPr>
        <w:commentReference w:id="29"/>
      </w:r>
      <w:r w:rsidRPr="00125FC0">
        <w:rPr>
          <w:rFonts w:ascii="Arial" w:hAnsi="Arial" w:cs="Arial"/>
          <w:lang w:val="en-IE"/>
        </w:rPr>
        <w:t xml:space="preserve"> to male ratio was 1.4:1. The body mass index (BMI) </w:t>
      </w:r>
      <w:commentRangeStart w:id="30"/>
      <w:r w:rsidRPr="00125FC0">
        <w:rPr>
          <w:rFonts w:ascii="Arial" w:hAnsi="Arial" w:cs="Arial"/>
          <w:lang w:val="en-IE"/>
        </w:rPr>
        <w:t>of</w:t>
      </w:r>
      <w:commentRangeEnd w:id="30"/>
      <w:r w:rsidR="00C234A3">
        <w:rPr>
          <w:rStyle w:val="CommentReference"/>
          <w:rFonts w:ascii="Times New Roman" w:hAnsi="Times New Roman"/>
          <w:lang w:val="nb-NO" w:eastAsia="nb-NO"/>
        </w:rPr>
        <w:commentReference w:id="30"/>
      </w:r>
      <w:r w:rsidRPr="00125FC0">
        <w:rPr>
          <w:rFonts w:ascii="Arial" w:hAnsi="Arial" w:cs="Arial"/>
          <w:lang w:val="en-IE"/>
        </w:rPr>
        <w:t xml:space="preserve"> patients ranged from 15.02 Kg/m² to 58.7 Kg/m² with an average BMI of 31.5 Kg/m². Incidence of comorbidities was high; as 63 patients (91.3%) were hypertensive, 34 patients (49.3%) were diabetic, 8 patients (11.6%) </w:t>
      </w:r>
      <w:r w:rsidRPr="00C234A3">
        <w:rPr>
          <w:rFonts w:ascii="Arial" w:hAnsi="Arial" w:cs="Arial"/>
          <w:highlight w:val="yellow"/>
          <w:lang w:val="en-IE"/>
        </w:rPr>
        <w:t>were hypothyroid</w:t>
      </w:r>
      <w:r w:rsidRPr="00125FC0">
        <w:rPr>
          <w:rFonts w:ascii="Arial" w:hAnsi="Arial" w:cs="Arial"/>
          <w:lang w:val="en-IE"/>
        </w:rPr>
        <w:t>, 6 patients (8.7%) had previous cerebrovascular accident (CVA) or transient ischaemic attack (TIA), 5 patients (7.2%) had chronic respiratory disease and 7 patients (10.1%) had chronic kidney disease (CKD). The incidence of smoking was 30.4%.  The average Pre-procedural mean pressure gradient across the aortic valve was 49.4 mmHg indicating severe aortic stenosis. (Table 1: Demographic and clinical characteristics)</w:t>
      </w:r>
    </w:p>
    <w:p w14:paraId="18D5267C" w14:textId="77777777" w:rsidR="00125FC0" w:rsidRPr="00125FC0" w:rsidRDefault="00125FC0" w:rsidP="00125FC0">
      <w:pPr>
        <w:pStyle w:val="Body"/>
        <w:spacing w:after="0"/>
        <w:rPr>
          <w:rFonts w:ascii="Arial" w:hAnsi="Arial" w:cs="Arial"/>
          <w:lang w:val="en-IE"/>
        </w:rPr>
      </w:pPr>
    </w:p>
    <w:p w14:paraId="44322C1A" w14:textId="77777777" w:rsidR="00125FC0" w:rsidRPr="0042332B" w:rsidRDefault="00125FC0" w:rsidP="00125FC0">
      <w:pPr>
        <w:pStyle w:val="Body"/>
        <w:spacing w:after="0"/>
        <w:rPr>
          <w:rFonts w:ascii="Arial" w:hAnsi="Arial" w:cs="Arial"/>
          <w:b/>
          <w:bCs/>
          <w:lang w:val="en-IE"/>
        </w:rPr>
      </w:pPr>
      <w:r w:rsidRPr="0042332B">
        <w:rPr>
          <w:rFonts w:ascii="Arial" w:hAnsi="Arial" w:cs="Arial"/>
          <w:b/>
          <w:bCs/>
          <w:lang w:val="en-IE"/>
        </w:rPr>
        <w:t>Table 1: Demographic and clinical characteristics:</w:t>
      </w:r>
    </w:p>
    <w:tbl>
      <w:tblPr>
        <w:tblStyle w:val="TableGrid"/>
        <w:tblW w:w="0" w:type="auto"/>
        <w:tblLook w:val="04A0" w:firstRow="1" w:lastRow="0" w:firstColumn="1" w:lastColumn="0" w:noHBand="0" w:noVBand="1"/>
      </w:tblPr>
      <w:tblGrid>
        <w:gridCol w:w="4361"/>
        <w:gridCol w:w="142"/>
        <w:gridCol w:w="1134"/>
        <w:gridCol w:w="1275"/>
        <w:gridCol w:w="142"/>
        <w:gridCol w:w="1370"/>
      </w:tblGrid>
      <w:tr w:rsidR="00125FC0" w:rsidRPr="00125FC0" w14:paraId="10647C1E" w14:textId="77777777" w:rsidTr="0042332B">
        <w:tc>
          <w:tcPr>
            <w:tcW w:w="4361" w:type="dxa"/>
          </w:tcPr>
          <w:p w14:paraId="53D2BF1B"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Characteristic:</w:t>
            </w:r>
          </w:p>
        </w:tc>
        <w:tc>
          <w:tcPr>
            <w:tcW w:w="1276" w:type="dxa"/>
            <w:gridSpan w:val="2"/>
          </w:tcPr>
          <w:p w14:paraId="56FA4A98"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Minimal</w:t>
            </w:r>
          </w:p>
        </w:tc>
        <w:tc>
          <w:tcPr>
            <w:tcW w:w="1417" w:type="dxa"/>
            <w:gridSpan w:val="2"/>
          </w:tcPr>
          <w:p w14:paraId="5B0C969D"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Maximal</w:t>
            </w:r>
          </w:p>
        </w:tc>
        <w:tc>
          <w:tcPr>
            <w:tcW w:w="1370" w:type="dxa"/>
          </w:tcPr>
          <w:p w14:paraId="0CFAE65F"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Mean</w:t>
            </w:r>
          </w:p>
        </w:tc>
      </w:tr>
      <w:tr w:rsidR="00125FC0" w:rsidRPr="00125FC0" w14:paraId="23E3DB91" w14:textId="77777777" w:rsidTr="0042332B">
        <w:tc>
          <w:tcPr>
            <w:tcW w:w="4361" w:type="dxa"/>
          </w:tcPr>
          <w:p w14:paraId="79FA47D0"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Age (years)</w:t>
            </w:r>
          </w:p>
        </w:tc>
        <w:tc>
          <w:tcPr>
            <w:tcW w:w="1276" w:type="dxa"/>
            <w:gridSpan w:val="2"/>
          </w:tcPr>
          <w:p w14:paraId="11A1EA41"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57</w:t>
            </w:r>
          </w:p>
        </w:tc>
        <w:tc>
          <w:tcPr>
            <w:tcW w:w="1417" w:type="dxa"/>
            <w:gridSpan w:val="2"/>
          </w:tcPr>
          <w:p w14:paraId="0BA4847A"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93</w:t>
            </w:r>
          </w:p>
        </w:tc>
        <w:tc>
          <w:tcPr>
            <w:tcW w:w="1370" w:type="dxa"/>
          </w:tcPr>
          <w:p w14:paraId="417AED06"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76.7</w:t>
            </w:r>
          </w:p>
        </w:tc>
      </w:tr>
      <w:tr w:rsidR="00125FC0" w:rsidRPr="00125FC0" w14:paraId="3CECD758" w14:textId="77777777" w:rsidTr="0042332B">
        <w:tc>
          <w:tcPr>
            <w:tcW w:w="4361" w:type="dxa"/>
          </w:tcPr>
          <w:p w14:paraId="776B2217"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Body mass index (BMI) (Kg/m²)</w:t>
            </w:r>
          </w:p>
        </w:tc>
        <w:tc>
          <w:tcPr>
            <w:tcW w:w="1276" w:type="dxa"/>
            <w:gridSpan w:val="2"/>
          </w:tcPr>
          <w:p w14:paraId="6407B315"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15.02</w:t>
            </w:r>
          </w:p>
        </w:tc>
        <w:tc>
          <w:tcPr>
            <w:tcW w:w="1417" w:type="dxa"/>
            <w:gridSpan w:val="2"/>
          </w:tcPr>
          <w:p w14:paraId="166E07AB"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58.7</w:t>
            </w:r>
          </w:p>
        </w:tc>
        <w:tc>
          <w:tcPr>
            <w:tcW w:w="1370" w:type="dxa"/>
          </w:tcPr>
          <w:p w14:paraId="1628F933"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31.5</w:t>
            </w:r>
          </w:p>
        </w:tc>
      </w:tr>
      <w:tr w:rsidR="00125FC0" w:rsidRPr="00125FC0" w14:paraId="49F08C05" w14:textId="77777777" w:rsidTr="0042332B">
        <w:tc>
          <w:tcPr>
            <w:tcW w:w="4361" w:type="dxa"/>
          </w:tcPr>
          <w:p w14:paraId="650E1F30"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Pre-procedural haematocrit (%)</w:t>
            </w:r>
          </w:p>
        </w:tc>
        <w:tc>
          <w:tcPr>
            <w:tcW w:w="1276" w:type="dxa"/>
            <w:gridSpan w:val="2"/>
          </w:tcPr>
          <w:p w14:paraId="69CF5491"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27.1</w:t>
            </w:r>
          </w:p>
        </w:tc>
        <w:tc>
          <w:tcPr>
            <w:tcW w:w="1417" w:type="dxa"/>
            <w:gridSpan w:val="2"/>
          </w:tcPr>
          <w:p w14:paraId="51EC409A"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49.9</w:t>
            </w:r>
          </w:p>
        </w:tc>
        <w:tc>
          <w:tcPr>
            <w:tcW w:w="1370" w:type="dxa"/>
          </w:tcPr>
          <w:p w14:paraId="6F772C6F"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35.7</w:t>
            </w:r>
          </w:p>
        </w:tc>
      </w:tr>
      <w:tr w:rsidR="00125FC0" w:rsidRPr="00125FC0" w14:paraId="31A14E18" w14:textId="77777777" w:rsidTr="0042332B">
        <w:tc>
          <w:tcPr>
            <w:tcW w:w="4361" w:type="dxa"/>
          </w:tcPr>
          <w:p w14:paraId="2C3872A9" w14:textId="77777777" w:rsidR="00125FC0" w:rsidRPr="009D08E3" w:rsidRDefault="00125FC0" w:rsidP="00125FC0">
            <w:pPr>
              <w:pStyle w:val="Body"/>
              <w:spacing w:after="0"/>
              <w:rPr>
                <w:rFonts w:ascii="Arial" w:hAnsi="Arial" w:cs="Arial"/>
                <w:highlight w:val="yellow"/>
                <w:lang w:val="en-IE"/>
              </w:rPr>
            </w:pPr>
            <w:r w:rsidRPr="009D08E3">
              <w:rPr>
                <w:rFonts w:ascii="Arial" w:hAnsi="Arial" w:cs="Arial"/>
                <w:highlight w:val="yellow"/>
                <w:lang w:val="en-IE"/>
              </w:rPr>
              <w:t>Pre-procedural mean pressure gradient across the aortic valve (mmHg)</w:t>
            </w:r>
          </w:p>
        </w:tc>
        <w:tc>
          <w:tcPr>
            <w:tcW w:w="1276" w:type="dxa"/>
            <w:gridSpan w:val="2"/>
          </w:tcPr>
          <w:p w14:paraId="0C9384E1"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20</w:t>
            </w:r>
          </w:p>
        </w:tc>
        <w:tc>
          <w:tcPr>
            <w:tcW w:w="1417" w:type="dxa"/>
            <w:gridSpan w:val="2"/>
          </w:tcPr>
          <w:p w14:paraId="125D6A28"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90</w:t>
            </w:r>
          </w:p>
        </w:tc>
        <w:tc>
          <w:tcPr>
            <w:tcW w:w="1370" w:type="dxa"/>
          </w:tcPr>
          <w:p w14:paraId="24BE3FC6"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49.4</w:t>
            </w:r>
          </w:p>
        </w:tc>
      </w:tr>
      <w:tr w:rsidR="00125FC0" w:rsidRPr="00125FC0" w14:paraId="656B94B0" w14:textId="77777777" w:rsidTr="0042332B">
        <w:tc>
          <w:tcPr>
            <w:tcW w:w="4361" w:type="dxa"/>
          </w:tcPr>
          <w:p w14:paraId="143DCD48" w14:textId="77777777" w:rsidR="00125FC0" w:rsidRPr="009D08E3" w:rsidRDefault="00125FC0" w:rsidP="00125FC0">
            <w:pPr>
              <w:pStyle w:val="Body"/>
              <w:spacing w:after="0"/>
              <w:rPr>
                <w:rFonts w:ascii="Arial" w:hAnsi="Arial" w:cs="Arial"/>
                <w:highlight w:val="yellow"/>
                <w:lang w:val="en-IE"/>
              </w:rPr>
            </w:pPr>
            <w:r w:rsidRPr="009D08E3">
              <w:rPr>
                <w:rFonts w:ascii="Arial" w:hAnsi="Arial" w:cs="Arial"/>
                <w:highlight w:val="yellow"/>
                <w:lang w:val="en-IE"/>
              </w:rPr>
              <w:t>Pre-</w:t>
            </w:r>
            <w:commentRangeStart w:id="31"/>
            <w:r w:rsidRPr="009D08E3">
              <w:rPr>
                <w:rFonts w:ascii="Arial" w:hAnsi="Arial" w:cs="Arial"/>
                <w:highlight w:val="yellow"/>
                <w:lang w:val="en-IE"/>
              </w:rPr>
              <w:t>procedural</w:t>
            </w:r>
            <w:commentRangeEnd w:id="31"/>
            <w:r w:rsidR="004139EB" w:rsidRPr="009D08E3">
              <w:rPr>
                <w:rStyle w:val="CommentReference"/>
                <w:rFonts w:ascii="Times New Roman" w:eastAsia="Times New Roman" w:hAnsi="Times New Roman"/>
                <w:highlight w:val="yellow"/>
                <w:lang w:val="nb-NO" w:eastAsia="nb-NO"/>
              </w:rPr>
              <w:commentReference w:id="31"/>
            </w:r>
            <w:r w:rsidRPr="009D08E3">
              <w:rPr>
                <w:rFonts w:ascii="Arial" w:hAnsi="Arial" w:cs="Arial"/>
                <w:highlight w:val="yellow"/>
                <w:lang w:val="en-IE"/>
              </w:rPr>
              <w:t xml:space="preserve"> maximal pressure gradient across the aortic valve (mmHg)</w:t>
            </w:r>
          </w:p>
        </w:tc>
        <w:tc>
          <w:tcPr>
            <w:tcW w:w="1276" w:type="dxa"/>
            <w:gridSpan w:val="2"/>
          </w:tcPr>
          <w:p w14:paraId="21F8FF7A"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38</w:t>
            </w:r>
          </w:p>
        </w:tc>
        <w:tc>
          <w:tcPr>
            <w:tcW w:w="1417" w:type="dxa"/>
            <w:gridSpan w:val="2"/>
          </w:tcPr>
          <w:p w14:paraId="686DA743"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130</w:t>
            </w:r>
          </w:p>
        </w:tc>
        <w:tc>
          <w:tcPr>
            <w:tcW w:w="1370" w:type="dxa"/>
          </w:tcPr>
          <w:p w14:paraId="51B69B2B"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76.7</w:t>
            </w:r>
          </w:p>
        </w:tc>
      </w:tr>
      <w:tr w:rsidR="00125FC0" w:rsidRPr="00125FC0" w14:paraId="493617F1" w14:textId="77777777" w:rsidTr="0042332B">
        <w:tc>
          <w:tcPr>
            <w:tcW w:w="8424" w:type="dxa"/>
            <w:gridSpan w:val="6"/>
          </w:tcPr>
          <w:p w14:paraId="6B341C7F" w14:textId="77777777" w:rsidR="00125FC0" w:rsidRPr="00125FC0" w:rsidRDefault="00125FC0" w:rsidP="00125FC0">
            <w:pPr>
              <w:pStyle w:val="Body"/>
              <w:spacing w:after="0"/>
              <w:rPr>
                <w:rFonts w:ascii="Arial" w:hAnsi="Arial" w:cs="Arial"/>
                <w:lang w:val="en-IE"/>
              </w:rPr>
            </w:pPr>
          </w:p>
        </w:tc>
      </w:tr>
      <w:tr w:rsidR="00125FC0" w:rsidRPr="00125FC0" w14:paraId="42E531E0" w14:textId="77777777" w:rsidTr="0042332B">
        <w:tc>
          <w:tcPr>
            <w:tcW w:w="4503" w:type="dxa"/>
            <w:gridSpan w:val="2"/>
          </w:tcPr>
          <w:p w14:paraId="3B41504B"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Characteristic:</w:t>
            </w:r>
          </w:p>
        </w:tc>
        <w:tc>
          <w:tcPr>
            <w:tcW w:w="2409" w:type="dxa"/>
            <w:gridSpan w:val="2"/>
          </w:tcPr>
          <w:p w14:paraId="53B21B9F"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Number of patients</w:t>
            </w:r>
          </w:p>
        </w:tc>
        <w:tc>
          <w:tcPr>
            <w:tcW w:w="1512" w:type="dxa"/>
            <w:gridSpan w:val="2"/>
          </w:tcPr>
          <w:p w14:paraId="72DA7C73"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Percentage</w:t>
            </w:r>
          </w:p>
        </w:tc>
      </w:tr>
      <w:tr w:rsidR="00125FC0" w:rsidRPr="00125FC0" w14:paraId="5F07A180" w14:textId="77777777" w:rsidTr="0042332B">
        <w:tc>
          <w:tcPr>
            <w:tcW w:w="4503" w:type="dxa"/>
            <w:gridSpan w:val="2"/>
          </w:tcPr>
          <w:p w14:paraId="6DB74001"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Females</w:t>
            </w:r>
          </w:p>
        </w:tc>
        <w:tc>
          <w:tcPr>
            <w:tcW w:w="2409" w:type="dxa"/>
            <w:gridSpan w:val="2"/>
          </w:tcPr>
          <w:p w14:paraId="2A1F5A3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40</w:t>
            </w:r>
          </w:p>
        </w:tc>
        <w:tc>
          <w:tcPr>
            <w:tcW w:w="1512" w:type="dxa"/>
            <w:gridSpan w:val="2"/>
          </w:tcPr>
          <w:p w14:paraId="0FD44FD7"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57.97%</w:t>
            </w:r>
          </w:p>
        </w:tc>
      </w:tr>
      <w:tr w:rsidR="00125FC0" w:rsidRPr="00125FC0" w14:paraId="5DFB88BB" w14:textId="77777777" w:rsidTr="0042332B">
        <w:tc>
          <w:tcPr>
            <w:tcW w:w="4503" w:type="dxa"/>
            <w:gridSpan w:val="2"/>
          </w:tcPr>
          <w:p w14:paraId="42CBA6C2"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Males</w:t>
            </w:r>
          </w:p>
        </w:tc>
        <w:tc>
          <w:tcPr>
            <w:tcW w:w="2409" w:type="dxa"/>
            <w:gridSpan w:val="2"/>
          </w:tcPr>
          <w:p w14:paraId="19C9329A"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29</w:t>
            </w:r>
          </w:p>
        </w:tc>
        <w:tc>
          <w:tcPr>
            <w:tcW w:w="1512" w:type="dxa"/>
            <w:gridSpan w:val="2"/>
          </w:tcPr>
          <w:p w14:paraId="56A6F46B"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42.03%</w:t>
            </w:r>
          </w:p>
        </w:tc>
      </w:tr>
      <w:tr w:rsidR="00125FC0" w:rsidRPr="00125FC0" w14:paraId="02973A40" w14:textId="77777777" w:rsidTr="0042332B">
        <w:tc>
          <w:tcPr>
            <w:tcW w:w="4503" w:type="dxa"/>
            <w:gridSpan w:val="2"/>
          </w:tcPr>
          <w:p w14:paraId="15B9624D"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Hypertensive</w:t>
            </w:r>
          </w:p>
        </w:tc>
        <w:tc>
          <w:tcPr>
            <w:tcW w:w="2409" w:type="dxa"/>
            <w:gridSpan w:val="2"/>
          </w:tcPr>
          <w:p w14:paraId="03FCDAD3"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63</w:t>
            </w:r>
          </w:p>
        </w:tc>
        <w:tc>
          <w:tcPr>
            <w:tcW w:w="1512" w:type="dxa"/>
            <w:gridSpan w:val="2"/>
          </w:tcPr>
          <w:p w14:paraId="166382A2"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91.3%</w:t>
            </w:r>
          </w:p>
        </w:tc>
      </w:tr>
      <w:tr w:rsidR="00125FC0" w:rsidRPr="00125FC0" w14:paraId="376BA198" w14:textId="77777777" w:rsidTr="0042332B">
        <w:tc>
          <w:tcPr>
            <w:tcW w:w="4503" w:type="dxa"/>
            <w:gridSpan w:val="2"/>
          </w:tcPr>
          <w:p w14:paraId="7EA261F8"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Diabetic</w:t>
            </w:r>
          </w:p>
        </w:tc>
        <w:tc>
          <w:tcPr>
            <w:tcW w:w="2409" w:type="dxa"/>
            <w:gridSpan w:val="2"/>
          </w:tcPr>
          <w:p w14:paraId="36955431"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34</w:t>
            </w:r>
          </w:p>
        </w:tc>
        <w:tc>
          <w:tcPr>
            <w:tcW w:w="1512" w:type="dxa"/>
            <w:gridSpan w:val="2"/>
          </w:tcPr>
          <w:p w14:paraId="19CBB857"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49.3%</w:t>
            </w:r>
          </w:p>
        </w:tc>
      </w:tr>
      <w:tr w:rsidR="00125FC0" w:rsidRPr="00125FC0" w14:paraId="2030F678" w14:textId="77777777" w:rsidTr="0042332B">
        <w:tc>
          <w:tcPr>
            <w:tcW w:w="4503" w:type="dxa"/>
            <w:gridSpan w:val="2"/>
          </w:tcPr>
          <w:p w14:paraId="372322B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Hypothyroidism</w:t>
            </w:r>
          </w:p>
        </w:tc>
        <w:tc>
          <w:tcPr>
            <w:tcW w:w="2409" w:type="dxa"/>
            <w:gridSpan w:val="2"/>
          </w:tcPr>
          <w:p w14:paraId="59F72F1A"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8</w:t>
            </w:r>
          </w:p>
        </w:tc>
        <w:tc>
          <w:tcPr>
            <w:tcW w:w="1512" w:type="dxa"/>
            <w:gridSpan w:val="2"/>
          </w:tcPr>
          <w:p w14:paraId="7AD6DED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11.6%</w:t>
            </w:r>
          </w:p>
        </w:tc>
      </w:tr>
      <w:tr w:rsidR="00125FC0" w:rsidRPr="00125FC0" w14:paraId="58FCC759" w14:textId="77777777" w:rsidTr="0042332B">
        <w:tc>
          <w:tcPr>
            <w:tcW w:w="4503" w:type="dxa"/>
            <w:gridSpan w:val="2"/>
          </w:tcPr>
          <w:p w14:paraId="116C0AFA"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Chronic Kidney disease (CKD)</w:t>
            </w:r>
          </w:p>
        </w:tc>
        <w:tc>
          <w:tcPr>
            <w:tcW w:w="2409" w:type="dxa"/>
            <w:gridSpan w:val="2"/>
          </w:tcPr>
          <w:p w14:paraId="78EDC0D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7</w:t>
            </w:r>
          </w:p>
        </w:tc>
        <w:tc>
          <w:tcPr>
            <w:tcW w:w="1512" w:type="dxa"/>
            <w:gridSpan w:val="2"/>
          </w:tcPr>
          <w:p w14:paraId="540B8511"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10.1%</w:t>
            </w:r>
          </w:p>
        </w:tc>
      </w:tr>
      <w:tr w:rsidR="00125FC0" w:rsidRPr="00125FC0" w14:paraId="5BC29B46" w14:textId="77777777" w:rsidTr="0042332B">
        <w:tc>
          <w:tcPr>
            <w:tcW w:w="4503" w:type="dxa"/>
            <w:gridSpan w:val="2"/>
          </w:tcPr>
          <w:p w14:paraId="747889E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lastRenderedPageBreak/>
              <w:t>Previous cerebrovascular accident (CVA) or transient ischaemic attack (TIA)</w:t>
            </w:r>
          </w:p>
        </w:tc>
        <w:tc>
          <w:tcPr>
            <w:tcW w:w="2409" w:type="dxa"/>
            <w:gridSpan w:val="2"/>
          </w:tcPr>
          <w:p w14:paraId="4F505F2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6</w:t>
            </w:r>
          </w:p>
        </w:tc>
        <w:tc>
          <w:tcPr>
            <w:tcW w:w="1512" w:type="dxa"/>
            <w:gridSpan w:val="2"/>
          </w:tcPr>
          <w:p w14:paraId="59603AF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8.7%</w:t>
            </w:r>
          </w:p>
        </w:tc>
      </w:tr>
      <w:tr w:rsidR="00125FC0" w:rsidRPr="00125FC0" w14:paraId="434B30C6" w14:textId="77777777" w:rsidTr="0042332B">
        <w:tc>
          <w:tcPr>
            <w:tcW w:w="4503" w:type="dxa"/>
            <w:gridSpan w:val="2"/>
          </w:tcPr>
          <w:p w14:paraId="53CBB73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Alzheimer</w:t>
            </w:r>
          </w:p>
        </w:tc>
        <w:tc>
          <w:tcPr>
            <w:tcW w:w="2409" w:type="dxa"/>
            <w:gridSpan w:val="2"/>
          </w:tcPr>
          <w:p w14:paraId="49401983"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512" w:type="dxa"/>
            <w:gridSpan w:val="2"/>
          </w:tcPr>
          <w:p w14:paraId="3B1F8557"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054AC4C4" w14:textId="77777777" w:rsidTr="0042332B">
        <w:tc>
          <w:tcPr>
            <w:tcW w:w="4503" w:type="dxa"/>
            <w:gridSpan w:val="2"/>
          </w:tcPr>
          <w:p w14:paraId="369AF16C"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Epilepsy</w:t>
            </w:r>
          </w:p>
        </w:tc>
        <w:tc>
          <w:tcPr>
            <w:tcW w:w="2409" w:type="dxa"/>
            <w:gridSpan w:val="2"/>
          </w:tcPr>
          <w:p w14:paraId="712C9FBD"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512" w:type="dxa"/>
            <w:gridSpan w:val="2"/>
          </w:tcPr>
          <w:p w14:paraId="57F8F7E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1B11CB66" w14:textId="77777777" w:rsidTr="0042332B">
        <w:tc>
          <w:tcPr>
            <w:tcW w:w="4503" w:type="dxa"/>
            <w:gridSpan w:val="2"/>
          </w:tcPr>
          <w:p w14:paraId="206B4C00"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Parkinsonism</w:t>
            </w:r>
          </w:p>
        </w:tc>
        <w:tc>
          <w:tcPr>
            <w:tcW w:w="2409" w:type="dxa"/>
            <w:gridSpan w:val="2"/>
          </w:tcPr>
          <w:p w14:paraId="4F4F69B3"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512" w:type="dxa"/>
            <w:gridSpan w:val="2"/>
          </w:tcPr>
          <w:p w14:paraId="3496DFBB"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23E5A139" w14:textId="77777777" w:rsidTr="0042332B">
        <w:tc>
          <w:tcPr>
            <w:tcW w:w="4503" w:type="dxa"/>
            <w:gridSpan w:val="2"/>
          </w:tcPr>
          <w:p w14:paraId="14B4BFF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Bronchial Asthma</w:t>
            </w:r>
          </w:p>
        </w:tc>
        <w:tc>
          <w:tcPr>
            <w:tcW w:w="2409" w:type="dxa"/>
            <w:gridSpan w:val="2"/>
          </w:tcPr>
          <w:p w14:paraId="7534BA72"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w:t>
            </w:r>
          </w:p>
        </w:tc>
        <w:tc>
          <w:tcPr>
            <w:tcW w:w="1512" w:type="dxa"/>
            <w:gridSpan w:val="2"/>
          </w:tcPr>
          <w:p w14:paraId="02E19A35"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2.9%</w:t>
            </w:r>
          </w:p>
        </w:tc>
      </w:tr>
      <w:tr w:rsidR="00125FC0" w:rsidRPr="00125FC0" w14:paraId="69B05E88" w14:textId="77777777" w:rsidTr="0042332B">
        <w:tc>
          <w:tcPr>
            <w:tcW w:w="4503" w:type="dxa"/>
            <w:gridSpan w:val="2"/>
          </w:tcPr>
          <w:p w14:paraId="3B66C381"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Chronic obstructive pulmonary disease (COPD)</w:t>
            </w:r>
          </w:p>
        </w:tc>
        <w:tc>
          <w:tcPr>
            <w:tcW w:w="2409" w:type="dxa"/>
            <w:gridSpan w:val="2"/>
          </w:tcPr>
          <w:p w14:paraId="7066F46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w:t>
            </w:r>
          </w:p>
        </w:tc>
        <w:tc>
          <w:tcPr>
            <w:tcW w:w="1512" w:type="dxa"/>
            <w:gridSpan w:val="2"/>
          </w:tcPr>
          <w:p w14:paraId="38BA99F0"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2.9%</w:t>
            </w:r>
          </w:p>
        </w:tc>
      </w:tr>
      <w:tr w:rsidR="00125FC0" w:rsidRPr="00125FC0" w14:paraId="37F04A84" w14:textId="77777777" w:rsidTr="0042332B">
        <w:tc>
          <w:tcPr>
            <w:tcW w:w="4503" w:type="dxa"/>
            <w:gridSpan w:val="2"/>
          </w:tcPr>
          <w:p w14:paraId="2E277926"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Lung fibrosis</w:t>
            </w:r>
          </w:p>
        </w:tc>
        <w:tc>
          <w:tcPr>
            <w:tcW w:w="2409" w:type="dxa"/>
            <w:gridSpan w:val="2"/>
          </w:tcPr>
          <w:p w14:paraId="3B5F764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512" w:type="dxa"/>
            <w:gridSpan w:val="2"/>
          </w:tcPr>
          <w:p w14:paraId="584A5D76"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0936130C" w14:textId="77777777" w:rsidTr="0042332B">
        <w:tc>
          <w:tcPr>
            <w:tcW w:w="4503" w:type="dxa"/>
            <w:gridSpan w:val="2"/>
          </w:tcPr>
          <w:p w14:paraId="18676AD8"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Chronic Anaemia</w:t>
            </w:r>
          </w:p>
        </w:tc>
        <w:tc>
          <w:tcPr>
            <w:tcW w:w="2409" w:type="dxa"/>
            <w:gridSpan w:val="2"/>
          </w:tcPr>
          <w:p w14:paraId="527A9F7C"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9</w:t>
            </w:r>
          </w:p>
        </w:tc>
        <w:tc>
          <w:tcPr>
            <w:tcW w:w="1512" w:type="dxa"/>
            <w:gridSpan w:val="2"/>
          </w:tcPr>
          <w:p w14:paraId="454528AB"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13%</w:t>
            </w:r>
          </w:p>
        </w:tc>
      </w:tr>
      <w:tr w:rsidR="00125FC0" w:rsidRPr="00125FC0" w14:paraId="1138929D" w14:textId="77777777" w:rsidTr="0042332B">
        <w:tc>
          <w:tcPr>
            <w:tcW w:w="4503" w:type="dxa"/>
            <w:gridSpan w:val="2"/>
          </w:tcPr>
          <w:p w14:paraId="7A856E8D"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Systemic Lupus Erythematosus (SLE)</w:t>
            </w:r>
          </w:p>
        </w:tc>
        <w:tc>
          <w:tcPr>
            <w:tcW w:w="2409" w:type="dxa"/>
            <w:gridSpan w:val="2"/>
          </w:tcPr>
          <w:p w14:paraId="6BEF0417"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512" w:type="dxa"/>
            <w:gridSpan w:val="2"/>
          </w:tcPr>
          <w:p w14:paraId="4B7CE3B6"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44F35451" w14:textId="77777777" w:rsidTr="0042332B">
        <w:tc>
          <w:tcPr>
            <w:tcW w:w="4503" w:type="dxa"/>
            <w:gridSpan w:val="2"/>
          </w:tcPr>
          <w:p w14:paraId="425D4E2D"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Polymyalgia Rheumatica</w:t>
            </w:r>
          </w:p>
        </w:tc>
        <w:tc>
          <w:tcPr>
            <w:tcW w:w="2409" w:type="dxa"/>
            <w:gridSpan w:val="2"/>
          </w:tcPr>
          <w:p w14:paraId="108CF695"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512" w:type="dxa"/>
            <w:gridSpan w:val="2"/>
          </w:tcPr>
          <w:p w14:paraId="0ADC6AA1"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23215C3C" w14:textId="77777777" w:rsidTr="0042332B">
        <w:tc>
          <w:tcPr>
            <w:tcW w:w="4503" w:type="dxa"/>
            <w:gridSpan w:val="2"/>
          </w:tcPr>
          <w:p w14:paraId="45F6793F"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Osteoporosis</w:t>
            </w:r>
          </w:p>
        </w:tc>
        <w:tc>
          <w:tcPr>
            <w:tcW w:w="2409" w:type="dxa"/>
            <w:gridSpan w:val="2"/>
          </w:tcPr>
          <w:p w14:paraId="1B964D37"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w:t>
            </w:r>
          </w:p>
        </w:tc>
        <w:tc>
          <w:tcPr>
            <w:tcW w:w="1512" w:type="dxa"/>
            <w:gridSpan w:val="2"/>
          </w:tcPr>
          <w:p w14:paraId="701CFCF6"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2.9%</w:t>
            </w:r>
          </w:p>
        </w:tc>
      </w:tr>
      <w:tr w:rsidR="00125FC0" w:rsidRPr="00125FC0" w14:paraId="52CBCD6A" w14:textId="77777777" w:rsidTr="0042332B">
        <w:tc>
          <w:tcPr>
            <w:tcW w:w="4503" w:type="dxa"/>
            <w:gridSpan w:val="2"/>
          </w:tcPr>
          <w:p w14:paraId="51DC2EC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Gout</w:t>
            </w:r>
          </w:p>
        </w:tc>
        <w:tc>
          <w:tcPr>
            <w:tcW w:w="2409" w:type="dxa"/>
            <w:gridSpan w:val="2"/>
          </w:tcPr>
          <w:p w14:paraId="06FC79D8"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512" w:type="dxa"/>
            <w:gridSpan w:val="2"/>
          </w:tcPr>
          <w:p w14:paraId="1EDB0141"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735B3E27" w14:textId="77777777" w:rsidTr="0042332B">
        <w:tc>
          <w:tcPr>
            <w:tcW w:w="4503" w:type="dxa"/>
            <w:gridSpan w:val="2"/>
          </w:tcPr>
          <w:p w14:paraId="6F943B30"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Heart failure (HF)</w:t>
            </w:r>
          </w:p>
        </w:tc>
        <w:tc>
          <w:tcPr>
            <w:tcW w:w="2409" w:type="dxa"/>
            <w:gridSpan w:val="2"/>
          </w:tcPr>
          <w:p w14:paraId="24AF9EEB"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w:t>
            </w:r>
          </w:p>
        </w:tc>
        <w:tc>
          <w:tcPr>
            <w:tcW w:w="1512" w:type="dxa"/>
            <w:gridSpan w:val="2"/>
          </w:tcPr>
          <w:p w14:paraId="0070683B"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2.9%</w:t>
            </w:r>
          </w:p>
        </w:tc>
      </w:tr>
      <w:tr w:rsidR="00125FC0" w:rsidRPr="00125FC0" w14:paraId="4E77D1E9" w14:textId="77777777" w:rsidTr="0042332B">
        <w:tc>
          <w:tcPr>
            <w:tcW w:w="4503" w:type="dxa"/>
            <w:gridSpan w:val="2"/>
          </w:tcPr>
          <w:p w14:paraId="0E6C4A25"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Mitral valve disease</w:t>
            </w:r>
          </w:p>
        </w:tc>
        <w:tc>
          <w:tcPr>
            <w:tcW w:w="2409" w:type="dxa"/>
            <w:gridSpan w:val="2"/>
          </w:tcPr>
          <w:p w14:paraId="6B6522B7"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512" w:type="dxa"/>
            <w:gridSpan w:val="2"/>
          </w:tcPr>
          <w:p w14:paraId="21F1A5F1"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48BCE1A4" w14:textId="77777777" w:rsidTr="0042332B">
        <w:tc>
          <w:tcPr>
            <w:tcW w:w="4503" w:type="dxa"/>
            <w:gridSpan w:val="2"/>
          </w:tcPr>
          <w:p w14:paraId="65BCBCCC"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Peripheral vascular disease (PVD)</w:t>
            </w:r>
          </w:p>
        </w:tc>
        <w:tc>
          <w:tcPr>
            <w:tcW w:w="2409" w:type="dxa"/>
            <w:gridSpan w:val="2"/>
          </w:tcPr>
          <w:p w14:paraId="14A3C032"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512" w:type="dxa"/>
            <w:gridSpan w:val="2"/>
          </w:tcPr>
          <w:p w14:paraId="6910E8B9"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4D6EFFF7" w14:textId="77777777" w:rsidTr="0042332B">
        <w:tc>
          <w:tcPr>
            <w:tcW w:w="4503" w:type="dxa"/>
            <w:gridSpan w:val="2"/>
          </w:tcPr>
          <w:p w14:paraId="112921A7"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Smokers</w:t>
            </w:r>
          </w:p>
        </w:tc>
        <w:tc>
          <w:tcPr>
            <w:tcW w:w="2409" w:type="dxa"/>
            <w:gridSpan w:val="2"/>
          </w:tcPr>
          <w:p w14:paraId="71FCCBAC"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21</w:t>
            </w:r>
          </w:p>
        </w:tc>
        <w:tc>
          <w:tcPr>
            <w:tcW w:w="1512" w:type="dxa"/>
            <w:gridSpan w:val="2"/>
          </w:tcPr>
          <w:p w14:paraId="0A1E74A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30.4%</w:t>
            </w:r>
          </w:p>
        </w:tc>
      </w:tr>
      <w:tr w:rsidR="00125FC0" w:rsidRPr="00125FC0" w14:paraId="00BDA52F" w14:textId="77777777" w:rsidTr="0042332B">
        <w:tc>
          <w:tcPr>
            <w:tcW w:w="4503" w:type="dxa"/>
            <w:gridSpan w:val="2"/>
          </w:tcPr>
          <w:p w14:paraId="365E8EE2"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Non-smokers</w:t>
            </w:r>
          </w:p>
        </w:tc>
        <w:tc>
          <w:tcPr>
            <w:tcW w:w="2409" w:type="dxa"/>
            <w:gridSpan w:val="2"/>
          </w:tcPr>
          <w:p w14:paraId="649C3A02"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43</w:t>
            </w:r>
          </w:p>
        </w:tc>
        <w:tc>
          <w:tcPr>
            <w:tcW w:w="1512" w:type="dxa"/>
            <w:gridSpan w:val="2"/>
          </w:tcPr>
          <w:p w14:paraId="586A4A9F"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62.3%</w:t>
            </w:r>
          </w:p>
        </w:tc>
      </w:tr>
      <w:tr w:rsidR="00125FC0" w:rsidRPr="00125FC0" w14:paraId="26C8D9DC" w14:textId="77777777" w:rsidTr="0042332B">
        <w:tc>
          <w:tcPr>
            <w:tcW w:w="4503" w:type="dxa"/>
            <w:gridSpan w:val="2"/>
          </w:tcPr>
          <w:p w14:paraId="0676B360"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Ex-smokers</w:t>
            </w:r>
          </w:p>
        </w:tc>
        <w:tc>
          <w:tcPr>
            <w:tcW w:w="2409" w:type="dxa"/>
            <w:gridSpan w:val="2"/>
          </w:tcPr>
          <w:p w14:paraId="12CC1F4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5</w:t>
            </w:r>
          </w:p>
        </w:tc>
        <w:tc>
          <w:tcPr>
            <w:tcW w:w="1512" w:type="dxa"/>
            <w:gridSpan w:val="2"/>
          </w:tcPr>
          <w:p w14:paraId="3BD99F81"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7.2%</w:t>
            </w:r>
          </w:p>
        </w:tc>
      </w:tr>
    </w:tbl>
    <w:p w14:paraId="025A893E" w14:textId="77777777" w:rsidR="00125FC0" w:rsidRPr="00125FC0" w:rsidRDefault="00125FC0" w:rsidP="00125FC0">
      <w:pPr>
        <w:pStyle w:val="Body"/>
        <w:spacing w:after="0"/>
        <w:rPr>
          <w:rFonts w:ascii="Arial" w:hAnsi="Arial" w:cs="Arial"/>
          <w:lang w:val="en-IE"/>
        </w:rPr>
      </w:pPr>
    </w:p>
    <w:p w14:paraId="664FCB77" w14:textId="77777777" w:rsidR="00125FC0" w:rsidRDefault="00125FC0" w:rsidP="00125FC0">
      <w:pPr>
        <w:pStyle w:val="Body"/>
        <w:spacing w:after="0"/>
        <w:rPr>
          <w:rFonts w:ascii="Arial" w:hAnsi="Arial" w:cs="Arial"/>
          <w:lang w:val="en-IE"/>
        </w:rPr>
      </w:pPr>
      <w:r w:rsidRPr="00125FC0">
        <w:rPr>
          <w:rFonts w:ascii="Arial" w:hAnsi="Arial" w:cs="Arial"/>
          <w:lang w:val="en-IE"/>
        </w:rPr>
        <w:t xml:space="preserve">Trans-femoral TAVI </w:t>
      </w:r>
      <w:r w:rsidRPr="00C66E10">
        <w:rPr>
          <w:rFonts w:ascii="Arial" w:hAnsi="Arial" w:cs="Arial"/>
          <w:highlight w:val="yellow"/>
          <w:lang w:val="en-IE"/>
        </w:rPr>
        <w:t xml:space="preserve">was </w:t>
      </w:r>
      <w:commentRangeStart w:id="32"/>
      <w:r w:rsidRPr="00C66E10">
        <w:rPr>
          <w:rFonts w:ascii="Arial" w:hAnsi="Arial" w:cs="Arial"/>
          <w:highlight w:val="yellow"/>
          <w:lang w:val="en-IE"/>
        </w:rPr>
        <w:t>performed</w:t>
      </w:r>
      <w:commentRangeEnd w:id="32"/>
      <w:r w:rsidR="00C66E10">
        <w:rPr>
          <w:rStyle w:val="CommentReference"/>
          <w:rFonts w:ascii="Times New Roman" w:hAnsi="Times New Roman"/>
          <w:lang w:val="nb-NO" w:eastAsia="nb-NO"/>
        </w:rPr>
        <w:commentReference w:id="32"/>
      </w:r>
      <w:r w:rsidRPr="00125FC0">
        <w:rPr>
          <w:rFonts w:ascii="Arial" w:hAnsi="Arial" w:cs="Arial"/>
          <w:lang w:val="en-IE"/>
        </w:rPr>
        <w:t xml:space="preserve"> under sedation in more than half of the patients (56.5%), while 43.5% had a general anaesthetic (G.A.). Of note, four patients (5.8%) </w:t>
      </w:r>
      <w:r w:rsidRPr="00C66E10">
        <w:rPr>
          <w:rFonts w:ascii="Arial" w:hAnsi="Arial" w:cs="Arial"/>
          <w:highlight w:val="yellow"/>
          <w:lang w:val="en-IE"/>
        </w:rPr>
        <w:t xml:space="preserve">of </w:t>
      </w:r>
      <w:commentRangeStart w:id="33"/>
      <w:r w:rsidRPr="00C66E10">
        <w:rPr>
          <w:rFonts w:ascii="Arial" w:hAnsi="Arial" w:cs="Arial"/>
          <w:highlight w:val="yellow"/>
          <w:lang w:val="en-IE"/>
        </w:rPr>
        <w:t>patients</w:t>
      </w:r>
      <w:commentRangeEnd w:id="33"/>
      <w:r w:rsidR="00C66E10">
        <w:rPr>
          <w:rStyle w:val="CommentReference"/>
          <w:rFonts w:ascii="Times New Roman" w:hAnsi="Times New Roman"/>
          <w:lang w:val="nb-NO" w:eastAsia="nb-NO"/>
        </w:rPr>
        <w:commentReference w:id="33"/>
      </w:r>
      <w:r w:rsidRPr="00125FC0">
        <w:rPr>
          <w:rFonts w:ascii="Arial" w:hAnsi="Arial" w:cs="Arial"/>
          <w:lang w:val="en-IE"/>
        </w:rPr>
        <w:t xml:space="preserve"> had the procedure under sedation initially; however, the procedure </w:t>
      </w:r>
      <w:r w:rsidRPr="00C66E10">
        <w:rPr>
          <w:rFonts w:ascii="Arial" w:hAnsi="Arial" w:cs="Arial"/>
          <w:highlight w:val="yellow"/>
          <w:lang w:val="en-IE"/>
        </w:rPr>
        <w:t xml:space="preserve">was </w:t>
      </w:r>
      <w:commentRangeStart w:id="34"/>
      <w:r w:rsidRPr="00C66E10">
        <w:rPr>
          <w:rFonts w:ascii="Arial" w:hAnsi="Arial" w:cs="Arial"/>
          <w:highlight w:val="yellow"/>
          <w:lang w:val="en-IE"/>
        </w:rPr>
        <w:t>converted</w:t>
      </w:r>
      <w:commentRangeEnd w:id="34"/>
      <w:r w:rsidR="00C66E10">
        <w:rPr>
          <w:rStyle w:val="CommentReference"/>
          <w:rFonts w:ascii="Times New Roman" w:hAnsi="Times New Roman"/>
          <w:lang w:val="nb-NO" w:eastAsia="nb-NO"/>
        </w:rPr>
        <w:commentReference w:id="34"/>
      </w:r>
      <w:r w:rsidRPr="00125FC0">
        <w:rPr>
          <w:rFonts w:ascii="Arial" w:hAnsi="Arial" w:cs="Arial"/>
          <w:lang w:val="en-IE"/>
        </w:rPr>
        <w:t xml:space="preserve"> </w:t>
      </w:r>
      <w:r w:rsidRPr="009D08E3">
        <w:rPr>
          <w:rFonts w:ascii="Arial" w:hAnsi="Arial" w:cs="Arial"/>
          <w:color w:val="000000" w:themeColor="text1"/>
          <w:lang w:val="en-IE"/>
        </w:rPr>
        <w:t>under</w:t>
      </w:r>
      <w:r w:rsidRPr="00125FC0">
        <w:rPr>
          <w:rFonts w:ascii="Arial" w:hAnsi="Arial" w:cs="Arial"/>
          <w:lang w:val="en-IE"/>
        </w:rPr>
        <w:t xml:space="preserve"> G.A. eventually. (Figure 1: Sedation versus G.A.)  Blood transfusion was needed in 59.4% </w:t>
      </w:r>
      <w:commentRangeStart w:id="35"/>
      <w:r w:rsidRPr="00125FC0">
        <w:rPr>
          <w:rFonts w:ascii="Arial" w:hAnsi="Arial" w:cs="Arial"/>
          <w:lang w:val="en-IE"/>
        </w:rPr>
        <w:t>of</w:t>
      </w:r>
      <w:commentRangeEnd w:id="35"/>
      <w:r w:rsidR="009D08E3">
        <w:rPr>
          <w:rStyle w:val="CommentReference"/>
          <w:rFonts w:ascii="Times New Roman" w:hAnsi="Times New Roman"/>
          <w:lang w:val="nb-NO" w:eastAsia="nb-NO"/>
        </w:rPr>
        <w:commentReference w:id="35"/>
      </w:r>
      <w:r w:rsidRPr="00125FC0">
        <w:rPr>
          <w:rFonts w:ascii="Arial" w:hAnsi="Arial" w:cs="Arial"/>
          <w:lang w:val="en-IE"/>
        </w:rPr>
        <w:t xml:space="preserve"> patients. Overall, there was a drop in haematocrit from 35.7% before the procedure; to 31.3% thereafter. (Table 2: Peri-procedural characteristics) Cardiac pacing was needed in 14 patients (20.3%). After the TAVI procedure, the average length of hospital stay was 3.9 days (ranging from one day to 36 days). The median length of hospitalisation </w:t>
      </w:r>
      <w:commentRangeStart w:id="36"/>
      <w:r w:rsidRPr="00C66E10">
        <w:rPr>
          <w:rFonts w:ascii="Arial" w:hAnsi="Arial" w:cs="Arial"/>
          <w:highlight w:val="yellow"/>
          <w:lang w:val="en-IE"/>
        </w:rPr>
        <w:t>is</w:t>
      </w:r>
      <w:commentRangeEnd w:id="36"/>
      <w:r w:rsidR="00C66E10">
        <w:rPr>
          <w:rStyle w:val="CommentReference"/>
          <w:rFonts w:ascii="Times New Roman" w:hAnsi="Times New Roman"/>
          <w:lang w:val="nb-NO" w:eastAsia="nb-NO"/>
        </w:rPr>
        <w:commentReference w:id="36"/>
      </w:r>
      <w:r w:rsidRPr="00125FC0">
        <w:rPr>
          <w:rFonts w:ascii="Arial" w:hAnsi="Arial" w:cs="Arial"/>
          <w:lang w:val="en-IE"/>
        </w:rPr>
        <w:t xml:space="preserve"> 2.5 days and </w:t>
      </w:r>
      <w:r w:rsidRPr="00C66E10">
        <w:rPr>
          <w:rFonts w:ascii="Arial" w:hAnsi="Arial" w:cs="Arial"/>
          <w:highlight w:val="yellow"/>
          <w:lang w:val="en-IE"/>
        </w:rPr>
        <w:t xml:space="preserve">the </w:t>
      </w:r>
      <w:commentRangeStart w:id="37"/>
      <w:r w:rsidRPr="00C66E10">
        <w:rPr>
          <w:rFonts w:ascii="Arial" w:hAnsi="Arial" w:cs="Arial"/>
          <w:highlight w:val="yellow"/>
          <w:lang w:val="en-IE"/>
        </w:rPr>
        <w:t>mode</w:t>
      </w:r>
      <w:commentRangeEnd w:id="37"/>
      <w:r w:rsidR="00C66E10">
        <w:rPr>
          <w:rStyle w:val="CommentReference"/>
          <w:rFonts w:ascii="Times New Roman" w:hAnsi="Times New Roman"/>
          <w:lang w:val="nb-NO" w:eastAsia="nb-NO"/>
        </w:rPr>
        <w:commentReference w:id="37"/>
      </w:r>
      <w:r w:rsidRPr="00125FC0">
        <w:rPr>
          <w:rFonts w:ascii="Arial" w:hAnsi="Arial" w:cs="Arial"/>
          <w:lang w:val="en-IE"/>
        </w:rPr>
        <w:t xml:space="preserve"> </w:t>
      </w:r>
      <w:commentRangeStart w:id="38"/>
      <w:r w:rsidRPr="00C66E10">
        <w:rPr>
          <w:rFonts w:ascii="Arial" w:hAnsi="Arial" w:cs="Arial"/>
          <w:highlight w:val="yellow"/>
          <w:lang w:val="en-IE"/>
        </w:rPr>
        <w:t>is</w:t>
      </w:r>
      <w:commentRangeEnd w:id="38"/>
      <w:r w:rsidR="00C66E10">
        <w:rPr>
          <w:rStyle w:val="CommentReference"/>
          <w:rFonts w:ascii="Times New Roman" w:hAnsi="Times New Roman"/>
          <w:lang w:val="nb-NO" w:eastAsia="nb-NO"/>
        </w:rPr>
        <w:commentReference w:id="38"/>
      </w:r>
      <w:r w:rsidRPr="00125FC0">
        <w:rPr>
          <w:rFonts w:ascii="Arial" w:hAnsi="Arial" w:cs="Arial"/>
          <w:lang w:val="en-IE"/>
        </w:rPr>
        <w:t xml:space="preserve"> 2 days.</w:t>
      </w:r>
    </w:p>
    <w:p w14:paraId="1E3D7A10" w14:textId="77777777" w:rsidR="004A3603" w:rsidRDefault="004A3603" w:rsidP="00125FC0">
      <w:pPr>
        <w:pStyle w:val="Body"/>
        <w:spacing w:after="0"/>
        <w:rPr>
          <w:rFonts w:ascii="Arial" w:hAnsi="Arial" w:cs="Arial"/>
          <w:lang w:val="en-IE"/>
        </w:rPr>
      </w:pPr>
    </w:p>
    <w:p w14:paraId="37807C86" w14:textId="77777777" w:rsidR="00125FC0" w:rsidRPr="00125FC0" w:rsidRDefault="00125FC0" w:rsidP="00125FC0">
      <w:pPr>
        <w:pStyle w:val="Body"/>
        <w:spacing w:after="0"/>
        <w:rPr>
          <w:rFonts w:ascii="Arial" w:hAnsi="Arial" w:cs="Arial"/>
          <w:lang w:val="en-IE"/>
        </w:rPr>
      </w:pPr>
    </w:p>
    <w:p w14:paraId="5735E9CF" w14:textId="77777777" w:rsidR="00125FC0" w:rsidRPr="00125FC0" w:rsidRDefault="00125FC0" w:rsidP="00125FC0">
      <w:pPr>
        <w:pStyle w:val="Body"/>
        <w:spacing w:after="0"/>
        <w:jc w:val="center"/>
        <w:rPr>
          <w:rFonts w:ascii="Arial" w:hAnsi="Arial" w:cs="Arial"/>
          <w:b/>
          <w:bCs/>
          <w:lang w:val="en-IE"/>
        </w:rPr>
      </w:pPr>
      <w:r w:rsidRPr="004A7C23">
        <w:rPr>
          <w:rFonts w:ascii="Arial" w:hAnsi="Arial" w:cs="Arial"/>
          <w:b/>
          <w:bCs/>
          <w:highlight w:val="yellow"/>
          <w:lang w:val="en-IE"/>
        </w:rPr>
        <w:t xml:space="preserve">Figure 1: Sedation versus G.A. in </w:t>
      </w:r>
      <w:commentRangeStart w:id="39"/>
      <w:r w:rsidRPr="004A7C23">
        <w:rPr>
          <w:rFonts w:ascii="Arial" w:hAnsi="Arial" w:cs="Arial"/>
          <w:b/>
          <w:bCs/>
          <w:highlight w:val="yellow"/>
          <w:lang w:val="en-IE"/>
        </w:rPr>
        <w:t>TAVI</w:t>
      </w:r>
      <w:commentRangeEnd w:id="39"/>
      <w:r w:rsidR="004A7C23">
        <w:rPr>
          <w:rStyle w:val="CommentReference"/>
          <w:rFonts w:ascii="Times New Roman" w:hAnsi="Times New Roman"/>
          <w:lang w:val="nb-NO" w:eastAsia="nb-NO"/>
        </w:rPr>
        <w:commentReference w:id="39"/>
      </w:r>
    </w:p>
    <w:p w14:paraId="4A578ED4" w14:textId="77777777" w:rsidR="00125FC0" w:rsidRPr="00125FC0" w:rsidRDefault="00125FC0" w:rsidP="00125FC0">
      <w:pPr>
        <w:pStyle w:val="Body"/>
        <w:spacing w:after="0"/>
        <w:jc w:val="center"/>
        <w:rPr>
          <w:rFonts w:ascii="Arial" w:hAnsi="Arial" w:cs="Arial"/>
          <w:lang w:val="en-IE"/>
        </w:rPr>
      </w:pPr>
      <w:r w:rsidRPr="00125FC0">
        <w:rPr>
          <w:rFonts w:ascii="Arial" w:hAnsi="Arial" w:cs="Arial"/>
          <w:noProof/>
          <w:lang w:val="en-IE"/>
        </w:rPr>
        <w:drawing>
          <wp:inline distT="0" distB="0" distL="0" distR="0" wp14:anchorId="20C1CD13" wp14:editId="45E5042E">
            <wp:extent cx="3924018" cy="2412000"/>
            <wp:effectExtent l="0" t="0" r="63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924018" cy="2412000"/>
                    </a:xfrm>
                    <a:prstGeom prst="rect">
                      <a:avLst/>
                    </a:prstGeom>
                    <a:noFill/>
                  </pic:spPr>
                </pic:pic>
              </a:graphicData>
            </a:graphic>
          </wp:inline>
        </w:drawing>
      </w:r>
    </w:p>
    <w:p w14:paraId="1C0F32AF" w14:textId="77777777" w:rsidR="00125FC0" w:rsidRDefault="00125FC0" w:rsidP="00125FC0">
      <w:pPr>
        <w:pStyle w:val="Body"/>
        <w:spacing w:after="0"/>
        <w:jc w:val="center"/>
        <w:rPr>
          <w:rFonts w:ascii="Arial" w:hAnsi="Arial" w:cs="Arial"/>
          <w:lang w:val="en-IE"/>
        </w:rPr>
      </w:pPr>
    </w:p>
    <w:p w14:paraId="0E182AFC" w14:textId="77777777" w:rsidR="00125FC0" w:rsidRPr="00125FC0" w:rsidRDefault="00125FC0" w:rsidP="00125FC0">
      <w:pPr>
        <w:pStyle w:val="Body"/>
        <w:spacing w:after="0"/>
        <w:jc w:val="center"/>
        <w:rPr>
          <w:rFonts w:ascii="Arial" w:hAnsi="Arial" w:cs="Arial"/>
          <w:lang w:val="en-IE"/>
        </w:rPr>
      </w:pPr>
    </w:p>
    <w:p w14:paraId="5035BCFE" w14:textId="77777777" w:rsidR="00125FC0" w:rsidRPr="00125FC0" w:rsidRDefault="00125FC0" w:rsidP="00125FC0">
      <w:pPr>
        <w:pStyle w:val="Body"/>
        <w:spacing w:after="0"/>
        <w:rPr>
          <w:rFonts w:ascii="Arial" w:hAnsi="Arial" w:cs="Arial"/>
          <w:b/>
          <w:bCs/>
          <w:lang w:val="en-IE"/>
        </w:rPr>
      </w:pPr>
      <w:r w:rsidRPr="00125FC0">
        <w:rPr>
          <w:rFonts w:ascii="Arial" w:hAnsi="Arial" w:cs="Arial"/>
          <w:b/>
          <w:bCs/>
          <w:lang w:val="en-IE"/>
        </w:rPr>
        <w:t>Table 2: Peri-procedural characteristics:</w:t>
      </w:r>
    </w:p>
    <w:tbl>
      <w:tblPr>
        <w:tblStyle w:val="TableGrid"/>
        <w:tblW w:w="0" w:type="auto"/>
        <w:tblLook w:val="04A0" w:firstRow="1" w:lastRow="0" w:firstColumn="1" w:lastColumn="0" w:noHBand="0" w:noVBand="1"/>
      </w:tblPr>
      <w:tblGrid>
        <w:gridCol w:w="5917"/>
        <w:gridCol w:w="2623"/>
        <w:gridCol w:w="2250"/>
      </w:tblGrid>
      <w:tr w:rsidR="00125FC0" w:rsidRPr="00125FC0" w14:paraId="4CAE5D3A" w14:textId="77777777" w:rsidTr="001153BE">
        <w:tc>
          <w:tcPr>
            <w:tcW w:w="7789" w:type="dxa"/>
          </w:tcPr>
          <w:p w14:paraId="38A045FF"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Characteristic:</w:t>
            </w:r>
          </w:p>
        </w:tc>
        <w:tc>
          <w:tcPr>
            <w:tcW w:w="3402" w:type="dxa"/>
          </w:tcPr>
          <w:p w14:paraId="77AA2CC9"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Number of patients</w:t>
            </w:r>
          </w:p>
        </w:tc>
        <w:tc>
          <w:tcPr>
            <w:tcW w:w="2672" w:type="dxa"/>
          </w:tcPr>
          <w:p w14:paraId="56852377"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Percentage</w:t>
            </w:r>
          </w:p>
        </w:tc>
      </w:tr>
      <w:tr w:rsidR="00125FC0" w:rsidRPr="00125FC0" w14:paraId="52E39C00" w14:textId="77777777" w:rsidTr="001153BE">
        <w:tc>
          <w:tcPr>
            <w:tcW w:w="7789" w:type="dxa"/>
          </w:tcPr>
          <w:p w14:paraId="583B6178"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TAVI under sedation</w:t>
            </w:r>
          </w:p>
        </w:tc>
        <w:tc>
          <w:tcPr>
            <w:tcW w:w="3402" w:type="dxa"/>
          </w:tcPr>
          <w:p w14:paraId="79172BE8"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39</w:t>
            </w:r>
          </w:p>
        </w:tc>
        <w:tc>
          <w:tcPr>
            <w:tcW w:w="2672" w:type="dxa"/>
          </w:tcPr>
          <w:p w14:paraId="08FC5207"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56.5%</w:t>
            </w:r>
          </w:p>
        </w:tc>
      </w:tr>
      <w:tr w:rsidR="00125FC0" w:rsidRPr="00125FC0" w14:paraId="4A89F3CD" w14:textId="77777777" w:rsidTr="001153BE">
        <w:tc>
          <w:tcPr>
            <w:tcW w:w="7789" w:type="dxa"/>
          </w:tcPr>
          <w:p w14:paraId="00E4947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TAVI under general anaesthesia</w:t>
            </w:r>
          </w:p>
        </w:tc>
        <w:tc>
          <w:tcPr>
            <w:tcW w:w="3402" w:type="dxa"/>
          </w:tcPr>
          <w:p w14:paraId="5C1FE18F"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30</w:t>
            </w:r>
          </w:p>
        </w:tc>
        <w:tc>
          <w:tcPr>
            <w:tcW w:w="2672" w:type="dxa"/>
          </w:tcPr>
          <w:p w14:paraId="4E1D065D"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43.5%</w:t>
            </w:r>
          </w:p>
        </w:tc>
      </w:tr>
      <w:tr w:rsidR="00125FC0" w:rsidRPr="00125FC0" w14:paraId="6F8DF080" w14:textId="77777777" w:rsidTr="001153BE">
        <w:tc>
          <w:tcPr>
            <w:tcW w:w="7789" w:type="dxa"/>
          </w:tcPr>
          <w:p w14:paraId="295AED65"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Conversion from sedation to general anaesthesia</w:t>
            </w:r>
          </w:p>
        </w:tc>
        <w:tc>
          <w:tcPr>
            <w:tcW w:w="3402" w:type="dxa"/>
          </w:tcPr>
          <w:p w14:paraId="2052011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4</w:t>
            </w:r>
          </w:p>
        </w:tc>
        <w:tc>
          <w:tcPr>
            <w:tcW w:w="2672" w:type="dxa"/>
          </w:tcPr>
          <w:p w14:paraId="05001763"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5.8%</w:t>
            </w:r>
          </w:p>
        </w:tc>
      </w:tr>
      <w:tr w:rsidR="00125FC0" w:rsidRPr="00125FC0" w14:paraId="42232240" w14:textId="77777777" w:rsidTr="001153BE">
        <w:tc>
          <w:tcPr>
            <w:tcW w:w="7789" w:type="dxa"/>
          </w:tcPr>
          <w:p w14:paraId="33505FE7"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Need for blood transfusion</w:t>
            </w:r>
          </w:p>
        </w:tc>
        <w:tc>
          <w:tcPr>
            <w:tcW w:w="3402" w:type="dxa"/>
          </w:tcPr>
          <w:p w14:paraId="2D7BEF12"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41</w:t>
            </w:r>
          </w:p>
        </w:tc>
        <w:tc>
          <w:tcPr>
            <w:tcW w:w="2672" w:type="dxa"/>
          </w:tcPr>
          <w:p w14:paraId="068F4A5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59.4%</w:t>
            </w:r>
          </w:p>
        </w:tc>
      </w:tr>
      <w:tr w:rsidR="00125FC0" w:rsidRPr="00125FC0" w14:paraId="36D10D19" w14:textId="77777777" w:rsidTr="001153BE">
        <w:tc>
          <w:tcPr>
            <w:tcW w:w="7789" w:type="dxa"/>
          </w:tcPr>
          <w:p w14:paraId="58E5D1C2"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Need for pacemaker</w:t>
            </w:r>
          </w:p>
        </w:tc>
        <w:tc>
          <w:tcPr>
            <w:tcW w:w="3402" w:type="dxa"/>
          </w:tcPr>
          <w:p w14:paraId="03ACD785"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14</w:t>
            </w:r>
          </w:p>
        </w:tc>
        <w:tc>
          <w:tcPr>
            <w:tcW w:w="2672" w:type="dxa"/>
          </w:tcPr>
          <w:p w14:paraId="18D4CD3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20.3%</w:t>
            </w:r>
          </w:p>
        </w:tc>
      </w:tr>
      <w:tr w:rsidR="00125FC0" w:rsidRPr="00125FC0" w14:paraId="30705B3D" w14:textId="77777777" w:rsidTr="001153BE">
        <w:tc>
          <w:tcPr>
            <w:tcW w:w="7789" w:type="dxa"/>
          </w:tcPr>
          <w:p w14:paraId="0CF03D52" w14:textId="77777777" w:rsidR="00125FC0" w:rsidRPr="00125FC0" w:rsidRDefault="00125FC0" w:rsidP="00125FC0">
            <w:pPr>
              <w:pStyle w:val="Body"/>
              <w:spacing w:after="0"/>
              <w:rPr>
                <w:rFonts w:ascii="Arial" w:hAnsi="Arial" w:cs="Arial"/>
                <w:b/>
                <w:bCs/>
                <w:i/>
                <w:iCs/>
                <w:lang w:val="en-IE"/>
              </w:rPr>
            </w:pPr>
            <w:commentRangeStart w:id="40"/>
            <w:r w:rsidRPr="004A7C23">
              <w:rPr>
                <w:rFonts w:ascii="Arial" w:hAnsi="Arial" w:cs="Arial"/>
                <w:b/>
                <w:bCs/>
                <w:i/>
                <w:iCs/>
                <w:highlight w:val="yellow"/>
                <w:lang w:val="en-IE"/>
              </w:rPr>
              <w:lastRenderedPageBreak/>
              <w:t>Characteristic</w:t>
            </w:r>
            <w:commentRangeEnd w:id="40"/>
            <w:r w:rsidR="004A7C23">
              <w:rPr>
                <w:rStyle w:val="CommentReference"/>
                <w:rFonts w:ascii="Times New Roman" w:eastAsia="Times New Roman" w:hAnsi="Times New Roman"/>
                <w:lang w:val="nb-NO" w:eastAsia="nb-NO"/>
              </w:rPr>
              <w:commentReference w:id="40"/>
            </w:r>
            <w:r w:rsidRPr="004A7C23">
              <w:rPr>
                <w:rFonts w:ascii="Arial" w:hAnsi="Arial" w:cs="Arial"/>
                <w:b/>
                <w:bCs/>
                <w:i/>
                <w:iCs/>
                <w:highlight w:val="yellow"/>
                <w:lang w:val="en-IE"/>
              </w:rPr>
              <w:t>:</w:t>
            </w:r>
          </w:p>
        </w:tc>
        <w:tc>
          <w:tcPr>
            <w:tcW w:w="6074" w:type="dxa"/>
            <w:gridSpan w:val="2"/>
          </w:tcPr>
          <w:p w14:paraId="776D1FF8"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Value</w:t>
            </w:r>
          </w:p>
        </w:tc>
      </w:tr>
      <w:tr w:rsidR="00125FC0" w:rsidRPr="00125FC0" w14:paraId="051C1101" w14:textId="77777777" w:rsidTr="001153BE">
        <w:tc>
          <w:tcPr>
            <w:tcW w:w="7789" w:type="dxa"/>
          </w:tcPr>
          <w:p w14:paraId="61690D99"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Average post-procedural haematocrit (%)</w:t>
            </w:r>
          </w:p>
        </w:tc>
        <w:tc>
          <w:tcPr>
            <w:tcW w:w="6074" w:type="dxa"/>
            <w:gridSpan w:val="2"/>
          </w:tcPr>
          <w:p w14:paraId="163B89A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31.3</w:t>
            </w:r>
          </w:p>
        </w:tc>
      </w:tr>
      <w:tr w:rsidR="00125FC0" w:rsidRPr="00125FC0" w14:paraId="4A5B1541" w14:textId="77777777" w:rsidTr="001153BE">
        <w:tc>
          <w:tcPr>
            <w:tcW w:w="7789" w:type="dxa"/>
          </w:tcPr>
          <w:p w14:paraId="20C4FE39"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Average post-procedural mean pressure gradient across the aortic valve (mmHg)</w:t>
            </w:r>
          </w:p>
        </w:tc>
        <w:tc>
          <w:tcPr>
            <w:tcW w:w="6074" w:type="dxa"/>
            <w:gridSpan w:val="2"/>
          </w:tcPr>
          <w:p w14:paraId="4059A6A6"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9.1</w:t>
            </w:r>
          </w:p>
        </w:tc>
      </w:tr>
      <w:tr w:rsidR="00125FC0" w:rsidRPr="00125FC0" w14:paraId="1BFB1FCF" w14:textId="77777777" w:rsidTr="001153BE">
        <w:tc>
          <w:tcPr>
            <w:tcW w:w="7789" w:type="dxa"/>
          </w:tcPr>
          <w:p w14:paraId="234B4E7C"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Average post-procedural maximal pressure gradient across the aortic valve (mmHg)</w:t>
            </w:r>
          </w:p>
        </w:tc>
        <w:tc>
          <w:tcPr>
            <w:tcW w:w="6074" w:type="dxa"/>
            <w:gridSpan w:val="2"/>
          </w:tcPr>
          <w:p w14:paraId="1B0EA5CB"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16.2</w:t>
            </w:r>
          </w:p>
        </w:tc>
      </w:tr>
      <w:tr w:rsidR="00125FC0" w:rsidRPr="00125FC0" w14:paraId="3FBD3EE4" w14:textId="77777777" w:rsidTr="001153BE">
        <w:tc>
          <w:tcPr>
            <w:tcW w:w="7789" w:type="dxa"/>
          </w:tcPr>
          <w:p w14:paraId="0C00117C"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 xml:space="preserve">Average length of hospital </w:t>
            </w:r>
            <w:proofErr w:type="gramStart"/>
            <w:r w:rsidRPr="00125FC0">
              <w:rPr>
                <w:rFonts w:ascii="Arial" w:hAnsi="Arial" w:cs="Arial"/>
                <w:lang w:val="en-IE"/>
              </w:rPr>
              <w:t>stay</w:t>
            </w:r>
            <w:proofErr w:type="gramEnd"/>
            <w:r w:rsidRPr="00125FC0">
              <w:rPr>
                <w:rFonts w:ascii="Arial" w:hAnsi="Arial" w:cs="Arial"/>
                <w:lang w:val="en-IE"/>
              </w:rPr>
              <w:t xml:space="preserve"> after procedure (days)</w:t>
            </w:r>
          </w:p>
        </w:tc>
        <w:tc>
          <w:tcPr>
            <w:tcW w:w="6074" w:type="dxa"/>
            <w:gridSpan w:val="2"/>
          </w:tcPr>
          <w:p w14:paraId="79AB67E2"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3.9</w:t>
            </w:r>
          </w:p>
        </w:tc>
      </w:tr>
    </w:tbl>
    <w:p w14:paraId="5A2278FC" w14:textId="77777777" w:rsidR="00125FC0" w:rsidRPr="00125FC0" w:rsidRDefault="00125FC0" w:rsidP="00125FC0">
      <w:pPr>
        <w:pStyle w:val="Body"/>
        <w:spacing w:after="0"/>
        <w:rPr>
          <w:rFonts w:ascii="Arial" w:hAnsi="Arial" w:cs="Arial"/>
          <w:lang w:val="en-IE"/>
        </w:rPr>
      </w:pPr>
    </w:p>
    <w:p w14:paraId="77883250" w14:textId="77777777" w:rsidR="00125FC0" w:rsidRDefault="00125FC0" w:rsidP="00125FC0">
      <w:pPr>
        <w:pStyle w:val="Body"/>
        <w:spacing w:after="0"/>
        <w:rPr>
          <w:rFonts w:ascii="Arial" w:hAnsi="Arial" w:cs="Arial"/>
          <w:lang w:val="en-IE"/>
        </w:rPr>
      </w:pPr>
      <w:r w:rsidRPr="00125FC0">
        <w:rPr>
          <w:rFonts w:ascii="Arial" w:hAnsi="Arial" w:cs="Arial"/>
          <w:lang w:val="en-IE"/>
        </w:rPr>
        <w:t>Most of the patients had no complications during the TAVI procedure (59.4%). The most frequent complications were related to arrhythmias, as 14.5% had complete heart block after the procedure. The second most frequent type of complication was related to bleeding, vascular injury, and haematoma formation, which occurred in around one-tenth of the patients (10.1%). The in-hospital mortality after the TAVI procedure was 5.8%. (Table 3: TAVI procedural and post-procedural complications)</w:t>
      </w:r>
    </w:p>
    <w:p w14:paraId="3EFF0DF0" w14:textId="77777777" w:rsidR="00125FC0" w:rsidRPr="00125FC0" w:rsidRDefault="00125FC0" w:rsidP="00125FC0">
      <w:pPr>
        <w:pStyle w:val="Body"/>
        <w:spacing w:after="0"/>
        <w:rPr>
          <w:rFonts w:ascii="Arial" w:hAnsi="Arial" w:cs="Arial"/>
          <w:lang w:val="en-IE"/>
        </w:rPr>
      </w:pPr>
    </w:p>
    <w:p w14:paraId="59C69929" w14:textId="77777777" w:rsidR="00125FC0" w:rsidRPr="00125FC0" w:rsidRDefault="00125FC0" w:rsidP="00125FC0">
      <w:pPr>
        <w:pStyle w:val="Body"/>
        <w:spacing w:after="0"/>
        <w:rPr>
          <w:rFonts w:ascii="Arial" w:hAnsi="Arial" w:cs="Arial"/>
          <w:b/>
          <w:bCs/>
          <w:lang w:val="en-IE"/>
        </w:rPr>
      </w:pPr>
      <w:r w:rsidRPr="00125FC0">
        <w:rPr>
          <w:rFonts w:ascii="Arial" w:hAnsi="Arial" w:cs="Arial"/>
          <w:b/>
          <w:bCs/>
          <w:lang w:val="en-IE"/>
        </w:rPr>
        <w:t>Table 3: TAVI procedural and post-procedural complications:</w:t>
      </w:r>
    </w:p>
    <w:tbl>
      <w:tblPr>
        <w:tblStyle w:val="TableGrid"/>
        <w:tblW w:w="0" w:type="auto"/>
        <w:tblLook w:val="04A0" w:firstRow="1" w:lastRow="0" w:firstColumn="1" w:lastColumn="0" w:noHBand="0" w:noVBand="1"/>
      </w:tblPr>
      <w:tblGrid>
        <w:gridCol w:w="5521"/>
        <w:gridCol w:w="2551"/>
        <w:gridCol w:w="1843"/>
      </w:tblGrid>
      <w:tr w:rsidR="00125FC0" w:rsidRPr="00125FC0" w14:paraId="743DBFF2" w14:textId="77777777" w:rsidTr="001153BE">
        <w:tc>
          <w:tcPr>
            <w:tcW w:w="5521" w:type="dxa"/>
          </w:tcPr>
          <w:p w14:paraId="32EEA618" w14:textId="77777777" w:rsidR="00125FC0" w:rsidRPr="00125FC0" w:rsidRDefault="00125FC0" w:rsidP="00125FC0">
            <w:pPr>
              <w:pStyle w:val="Body"/>
              <w:spacing w:after="0"/>
              <w:rPr>
                <w:rFonts w:ascii="Arial" w:hAnsi="Arial" w:cs="Arial"/>
                <w:lang w:val="en-IE"/>
              </w:rPr>
            </w:pPr>
          </w:p>
        </w:tc>
        <w:tc>
          <w:tcPr>
            <w:tcW w:w="2551" w:type="dxa"/>
          </w:tcPr>
          <w:p w14:paraId="0866A54A"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Number of patients</w:t>
            </w:r>
          </w:p>
        </w:tc>
        <w:tc>
          <w:tcPr>
            <w:tcW w:w="1843" w:type="dxa"/>
          </w:tcPr>
          <w:p w14:paraId="64DFAEB2"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Percentage</w:t>
            </w:r>
          </w:p>
        </w:tc>
      </w:tr>
      <w:tr w:rsidR="00125FC0" w:rsidRPr="00125FC0" w14:paraId="771CADDB" w14:textId="77777777" w:rsidTr="001153BE">
        <w:tc>
          <w:tcPr>
            <w:tcW w:w="5521" w:type="dxa"/>
          </w:tcPr>
          <w:p w14:paraId="7FF9AC95"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No complications</w:t>
            </w:r>
          </w:p>
        </w:tc>
        <w:tc>
          <w:tcPr>
            <w:tcW w:w="2551" w:type="dxa"/>
          </w:tcPr>
          <w:p w14:paraId="285ED222"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41</w:t>
            </w:r>
          </w:p>
        </w:tc>
        <w:tc>
          <w:tcPr>
            <w:tcW w:w="1843" w:type="dxa"/>
          </w:tcPr>
          <w:p w14:paraId="58B01B85"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59.4%</w:t>
            </w:r>
          </w:p>
        </w:tc>
      </w:tr>
      <w:tr w:rsidR="00125FC0" w:rsidRPr="00125FC0" w14:paraId="5F22210D" w14:textId="77777777" w:rsidTr="001153BE">
        <w:tc>
          <w:tcPr>
            <w:tcW w:w="5521" w:type="dxa"/>
          </w:tcPr>
          <w:p w14:paraId="2246A405"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Bleeding, vascular injury, and haematoma formation</w:t>
            </w:r>
          </w:p>
        </w:tc>
        <w:tc>
          <w:tcPr>
            <w:tcW w:w="2551" w:type="dxa"/>
          </w:tcPr>
          <w:p w14:paraId="0B0F183B"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7</w:t>
            </w:r>
          </w:p>
        </w:tc>
        <w:tc>
          <w:tcPr>
            <w:tcW w:w="1843" w:type="dxa"/>
          </w:tcPr>
          <w:p w14:paraId="5D213CB0"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10.1%</w:t>
            </w:r>
          </w:p>
        </w:tc>
      </w:tr>
      <w:tr w:rsidR="00125FC0" w:rsidRPr="00125FC0" w14:paraId="2C80517B" w14:textId="77777777" w:rsidTr="001153BE">
        <w:tc>
          <w:tcPr>
            <w:tcW w:w="5521" w:type="dxa"/>
          </w:tcPr>
          <w:p w14:paraId="3B5AC5E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Complete heart block</w:t>
            </w:r>
          </w:p>
        </w:tc>
        <w:tc>
          <w:tcPr>
            <w:tcW w:w="2551" w:type="dxa"/>
          </w:tcPr>
          <w:p w14:paraId="24669153"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10</w:t>
            </w:r>
          </w:p>
        </w:tc>
        <w:tc>
          <w:tcPr>
            <w:tcW w:w="1843" w:type="dxa"/>
          </w:tcPr>
          <w:p w14:paraId="0DE1DA4C"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14.5%</w:t>
            </w:r>
          </w:p>
        </w:tc>
      </w:tr>
      <w:tr w:rsidR="00125FC0" w:rsidRPr="00125FC0" w14:paraId="36960CFD" w14:textId="77777777" w:rsidTr="001153BE">
        <w:tc>
          <w:tcPr>
            <w:tcW w:w="5521" w:type="dxa"/>
          </w:tcPr>
          <w:p w14:paraId="51C2942E" w14:textId="77777777" w:rsidR="00125FC0" w:rsidRPr="00125FC0" w:rsidRDefault="00125FC0" w:rsidP="00125FC0">
            <w:pPr>
              <w:pStyle w:val="Body"/>
              <w:spacing w:after="0"/>
              <w:rPr>
                <w:rFonts w:ascii="Arial" w:hAnsi="Arial" w:cs="Arial"/>
                <w:lang w:val="en-IE"/>
              </w:rPr>
            </w:pPr>
            <w:proofErr w:type="spellStart"/>
            <w:r w:rsidRPr="00125FC0">
              <w:rPr>
                <w:rFonts w:ascii="Arial" w:hAnsi="Arial" w:cs="Arial"/>
                <w:lang w:val="en-IE"/>
              </w:rPr>
              <w:t>Trifascicular</w:t>
            </w:r>
            <w:proofErr w:type="spellEnd"/>
            <w:r w:rsidRPr="00125FC0">
              <w:rPr>
                <w:rFonts w:ascii="Arial" w:hAnsi="Arial" w:cs="Arial"/>
                <w:lang w:val="en-IE"/>
              </w:rPr>
              <w:t xml:space="preserve"> block</w:t>
            </w:r>
          </w:p>
        </w:tc>
        <w:tc>
          <w:tcPr>
            <w:tcW w:w="2551" w:type="dxa"/>
          </w:tcPr>
          <w:p w14:paraId="30BB80E7"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w:t>
            </w:r>
          </w:p>
        </w:tc>
        <w:tc>
          <w:tcPr>
            <w:tcW w:w="1843" w:type="dxa"/>
          </w:tcPr>
          <w:p w14:paraId="244CEFB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2.9%</w:t>
            </w:r>
          </w:p>
        </w:tc>
      </w:tr>
      <w:tr w:rsidR="00125FC0" w:rsidRPr="00125FC0" w14:paraId="63ADD49D" w14:textId="77777777" w:rsidTr="001153BE">
        <w:tc>
          <w:tcPr>
            <w:tcW w:w="5521" w:type="dxa"/>
          </w:tcPr>
          <w:p w14:paraId="357D0BE5"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Left bundle branch block</w:t>
            </w:r>
          </w:p>
        </w:tc>
        <w:tc>
          <w:tcPr>
            <w:tcW w:w="2551" w:type="dxa"/>
          </w:tcPr>
          <w:p w14:paraId="193E1CB2"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843" w:type="dxa"/>
          </w:tcPr>
          <w:p w14:paraId="7EDF9D98"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4A1257BC" w14:textId="77777777" w:rsidTr="001153BE">
        <w:tc>
          <w:tcPr>
            <w:tcW w:w="5521" w:type="dxa"/>
          </w:tcPr>
          <w:p w14:paraId="1EC289B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Atrial fibrillation</w:t>
            </w:r>
          </w:p>
        </w:tc>
        <w:tc>
          <w:tcPr>
            <w:tcW w:w="2551" w:type="dxa"/>
          </w:tcPr>
          <w:p w14:paraId="282AF76C"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843" w:type="dxa"/>
          </w:tcPr>
          <w:p w14:paraId="1362A2F5"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6F23E9F2" w14:textId="77777777" w:rsidTr="001153BE">
        <w:tc>
          <w:tcPr>
            <w:tcW w:w="5521" w:type="dxa"/>
          </w:tcPr>
          <w:p w14:paraId="3CBCB31F"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Cardiopulmonary arrest</w:t>
            </w:r>
          </w:p>
        </w:tc>
        <w:tc>
          <w:tcPr>
            <w:tcW w:w="2551" w:type="dxa"/>
          </w:tcPr>
          <w:p w14:paraId="2E306E5A"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4</w:t>
            </w:r>
          </w:p>
        </w:tc>
        <w:tc>
          <w:tcPr>
            <w:tcW w:w="1843" w:type="dxa"/>
          </w:tcPr>
          <w:p w14:paraId="13062E1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5.8%</w:t>
            </w:r>
          </w:p>
        </w:tc>
      </w:tr>
      <w:tr w:rsidR="00125FC0" w:rsidRPr="00125FC0" w14:paraId="049BB9B7" w14:textId="77777777" w:rsidTr="001153BE">
        <w:tc>
          <w:tcPr>
            <w:tcW w:w="5521" w:type="dxa"/>
          </w:tcPr>
          <w:p w14:paraId="4FD2D9D5"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Respiratory arrest</w:t>
            </w:r>
          </w:p>
        </w:tc>
        <w:tc>
          <w:tcPr>
            <w:tcW w:w="2551" w:type="dxa"/>
          </w:tcPr>
          <w:p w14:paraId="66FB9007"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843" w:type="dxa"/>
          </w:tcPr>
          <w:p w14:paraId="5BD1399A"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03C482B6" w14:textId="77777777" w:rsidTr="001153BE">
        <w:tc>
          <w:tcPr>
            <w:tcW w:w="5521" w:type="dxa"/>
          </w:tcPr>
          <w:p w14:paraId="6530631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Brain infarction</w:t>
            </w:r>
          </w:p>
        </w:tc>
        <w:tc>
          <w:tcPr>
            <w:tcW w:w="2551" w:type="dxa"/>
          </w:tcPr>
          <w:p w14:paraId="0C57543D"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843" w:type="dxa"/>
          </w:tcPr>
          <w:p w14:paraId="0D474F93"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33316B1F" w14:textId="77777777" w:rsidTr="001153BE">
        <w:tc>
          <w:tcPr>
            <w:tcW w:w="5521" w:type="dxa"/>
          </w:tcPr>
          <w:p w14:paraId="24D73E76"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Acute Kidney Injury</w:t>
            </w:r>
          </w:p>
        </w:tc>
        <w:tc>
          <w:tcPr>
            <w:tcW w:w="2551" w:type="dxa"/>
          </w:tcPr>
          <w:p w14:paraId="7083ED23"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843" w:type="dxa"/>
          </w:tcPr>
          <w:p w14:paraId="102D415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7DA5F176" w14:textId="77777777" w:rsidTr="001153BE">
        <w:tc>
          <w:tcPr>
            <w:tcW w:w="5521" w:type="dxa"/>
          </w:tcPr>
          <w:p w14:paraId="09E7520A"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Failure of procedure</w:t>
            </w:r>
          </w:p>
        </w:tc>
        <w:tc>
          <w:tcPr>
            <w:tcW w:w="2551" w:type="dxa"/>
          </w:tcPr>
          <w:p w14:paraId="0A4311F1"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w:t>
            </w:r>
          </w:p>
        </w:tc>
        <w:tc>
          <w:tcPr>
            <w:tcW w:w="1843" w:type="dxa"/>
          </w:tcPr>
          <w:p w14:paraId="4A1408E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w:t>
            </w:r>
          </w:p>
        </w:tc>
      </w:tr>
      <w:tr w:rsidR="00125FC0" w:rsidRPr="00125FC0" w14:paraId="6EA5FED9" w14:textId="77777777" w:rsidTr="001153BE">
        <w:tc>
          <w:tcPr>
            <w:tcW w:w="5521" w:type="dxa"/>
          </w:tcPr>
          <w:p w14:paraId="622D258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Mortality</w:t>
            </w:r>
          </w:p>
        </w:tc>
        <w:tc>
          <w:tcPr>
            <w:tcW w:w="2551" w:type="dxa"/>
          </w:tcPr>
          <w:p w14:paraId="79051749"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4</w:t>
            </w:r>
          </w:p>
        </w:tc>
        <w:tc>
          <w:tcPr>
            <w:tcW w:w="1843" w:type="dxa"/>
          </w:tcPr>
          <w:p w14:paraId="535B3FA8"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5.8%</w:t>
            </w:r>
          </w:p>
        </w:tc>
      </w:tr>
    </w:tbl>
    <w:p w14:paraId="712EBD78" w14:textId="77777777" w:rsidR="00125FC0" w:rsidRPr="00125FC0" w:rsidRDefault="00125FC0" w:rsidP="00125FC0">
      <w:pPr>
        <w:pStyle w:val="Body"/>
        <w:spacing w:after="0"/>
        <w:rPr>
          <w:rFonts w:ascii="Arial" w:hAnsi="Arial" w:cs="Arial"/>
          <w:lang w:val="en-IE"/>
        </w:rPr>
      </w:pPr>
    </w:p>
    <w:p w14:paraId="2927A180" w14:textId="77777777" w:rsidR="00125FC0" w:rsidRDefault="00125FC0" w:rsidP="00125FC0">
      <w:pPr>
        <w:pStyle w:val="Body"/>
        <w:spacing w:after="0"/>
        <w:rPr>
          <w:rFonts w:ascii="Arial" w:hAnsi="Arial" w:cs="Arial"/>
          <w:lang w:val="en-IE"/>
        </w:rPr>
      </w:pPr>
      <w:r w:rsidRPr="00125FC0">
        <w:rPr>
          <w:rFonts w:ascii="Arial" w:hAnsi="Arial" w:cs="Arial"/>
          <w:lang w:val="en-IE"/>
        </w:rPr>
        <w:t xml:space="preserve">The comparison between sedation and general anaesthesia (G.A.) for TAVI procedure showed almost similar age of patients (76.2 and 77.5 years, respectively), similar post-procedural haematocrit (31.4 and 31.3%), similar mean and maximal pressure gradients across the aortic valve and </w:t>
      </w:r>
      <w:r w:rsidRPr="004A7C23">
        <w:rPr>
          <w:rFonts w:ascii="Arial" w:hAnsi="Arial" w:cs="Arial"/>
          <w:highlight w:val="yellow"/>
          <w:lang w:val="en-IE"/>
        </w:rPr>
        <w:t xml:space="preserve">same </w:t>
      </w:r>
      <w:commentRangeStart w:id="41"/>
      <w:r w:rsidRPr="004A7C23">
        <w:rPr>
          <w:rFonts w:ascii="Arial" w:hAnsi="Arial" w:cs="Arial"/>
          <w:highlight w:val="yellow"/>
          <w:lang w:val="en-IE"/>
        </w:rPr>
        <w:t>mortality</w:t>
      </w:r>
      <w:commentRangeEnd w:id="41"/>
      <w:r w:rsidR="00AA08CB">
        <w:rPr>
          <w:rStyle w:val="CommentReference"/>
          <w:rFonts w:ascii="Times New Roman" w:hAnsi="Times New Roman"/>
          <w:lang w:val="nb-NO" w:eastAsia="nb-NO"/>
        </w:rPr>
        <w:commentReference w:id="41"/>
      </w:r>
      <w:r w:rsidRPr="004A7C23">
        <w:rPr>
          <w:rFonts w:ascii="Arial" w:hAnsi="Arial" w:cs="Arial"/>
          <w:highlight w:val="yellow"/>
          <w:lang w:val="en-IE"/>
        </w:rPr>
        <w:t xml:space="preserve"> rate</w:t>
      </w:r>
      <w:r w:rsidRPr="00125FC0">
        <w:rPr>
          <w:rFonts w:ascii="Arial" w:hAnsi="Arial" w:cs="Arial"/>
          <w:lang w:val="en-IE"/>
        </w:rPr>
        <w:t>. (Table 4: Comparison between sedation and general anaesthesia (G.A.) for TAVI procedure)</w:t>
      </w:r>
    </w:p>
    <w:p w14:paraId="706B7D8B" w14:textId="77777777" w:rsidR="00125FC0" w:rsidRPr="00125FC0" w:rsidRDefault="00125FC0" w:rsidP="00125FC0">
      <w:pPr>
        <w:pStyle w:val="Body"/>
        <w:spacing w:after="0"/>
        <w:rPr>
          <w:rFonts w:ascii="Arial" w:hAnsi="Arial" w:cs="Arial"/>
          <w:lang w:val="en-IE"/>
        </w:rPr>
      </w:pPr>
    </w:p>
    <w:p w14:paraId="66BC39BA" w14:textId="77777777" w:rsidR="00125FC0" w:rsidRPr="00125FC0" w:rsidRDefault="00125FC0" w:rsidP="00125FC0">
      <w:pPr>
        <w:pStyle w:val="Body"/>
        <w:spacing w:after="0"/>
        <w:rPr>
          <w:rFonts w:ascii="Arial" w:hAnsi="Arial" w:cs="Arial"/>
          <w:b/>
          <w:bCs/>
          <w:lang w:val="en-IE"/>
        </w:rPr>
      </w:pPr>
      <w:r w:rsidRPr="00125FC0">
        <w:rPr>
          <w:rFonts w:ascii="Arial" w:hAnsi="Arial" w:cs="Arial"/>
          <w:b/>
          <w:bCs/>
          <w:lang w:val="en-IE"/>
        </w:rPr>
        <w:t>Table 4: Comparison between sedation and general anaesthesia (G.A.) for TAVI procedure:</w:t>
      </w:r>
    </w:p>
    <w:tbl>
      <w:tblPr>
        <w:tblStyle w:val="TableGrid"/>
        <w:tblW w:w="0" w:type="auto"/>
        <w:tblLook w:val="04A0" w:firstRow="1" w:lastRow="0" w:firstColumn="1" w:lastColumn="0" w:noHBand="0" w:noVBand="1"/>
      </w:tblPr>
      <w:tblGrid>
        <w:gridCol w:w="7363"/>
        <w:gridCol w:w="1272"/>
        <w:gridCol w:w="1280"/>
      </w:tblGrid>
      <w:tr w:rsidR="00125FC0" w:rsidRPr="00125FC0" w14:paraId="3C01BCAF" w14:textId="77777777" w:rsidTr="001153BE">
        <w:tc>
          <w:tcPr>
            <w:tcW w:w="7363" w:type="dxa"/>
          </w:tcPr>
          <w:p w14:paraId="5DFF74B4" w14:textId="77777777" w:rsidR="00125FC0" w:rsidRPr="00125FC0" w:rsidRDefault="00125FC0" w:rsidP="00125FC0">
            <w:pPr>
              <w:pStyle w:val="Body"/>
              <w:spacing w:after="0"/>
              <w:rPr>
                <w:rFonts w:ascii="Arial" w:hAnsi="Arial" w:cs="Arial"/>
                <w:lang w:val="en-IE"/>
              </w:rPr>
            </w:pPr>
          </w:p>
        </w:tc>
        <w:tc>
          <w:tcPr>
            <w:tcW w:w="1272" w:type="dxa"/>
          </w:tcPr>
          <w:p w14:paraId="2C2CF8F4"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Sedation</w:t>
            </w:r>
          </w:p>
        </w:tc>
        <w:tc>
          <w:tcPr>
            <w:tcW w:w="1280" w:type="dxa"/>
          </w:tcPr>
          <w:p w14:paraId="54578121" w14:textId="77777777" w:rsidR="00125FC0" w:rsidRPr="00125FC0" w:rsidRDefault="00125FC0" w:rsidP="00125FC0">
            <w:pPr>
              <w:pStyle w:val="Body"/>
              <w:spacing w:after="0"/>
              <w:rPr>
                <w:rFonts w:ascii="Arial" w:hAnsi="Arial" w:cs="Arial"/>
                <w:b/>
                <w:bCs/>
                <w:i/>
                <w:iCs/>
                <w:lang w:val="en-IE"/>
              </w:rPr>
            </w:pPr>
            <w:r w:rsidRPr="00125FC0">
              <w:rPr>
                <w:rFonts w:ascii="Arial" w:hAnsi="Arial" w:cs="Arial"/>
                <w:b/>
                <w:bCs/>
                <w:i/>
                <w:iCs/>
                <w:lang w:val="en-IE"/>
              </w:rPr>
              <w:t>G.A.</w:t>
            </w:r>
          </w:p>
        </w:tc>
      </w:tr>
      <w:tr w:rsidR="00125FC0" w:rsidRPr="00125FC0" w14:paraId="099B60A3" w14:textId="77777777" w:rsidTr="001153BE">
        <w:tc>
          <w:tcPr>
            <w:tcW w:w="7363" w:type="dxa"/>
          </w:tcPr>
          <w:p w14:paraId="29B05C6B"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Number of patients (n, %)</w:t>
            </w:r>
          </w:p>
        </w:tc>
        <w:tc>
          <w:tcPr>
            <w:tcW w:w="1272" w:type="dxa"/>
          </w:tcPr>
          <w:p w14:paraId="6DD63C5A"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39 (56.5%)</w:t>
            </w:r>
          </w:p>
        </w:tc>
        <w:tc>
          <w:tcPr>
            <w:tcW w:w="1280" w:type="dxa"/>
          </w:tcPr>
          <w:p w14:paraId="4ED62D79"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30 (43.5%)</w:t>
            </w:r>
          </w:p>
        </w:tc>
      </w:tr>
      <w:tr w:rsidR="00125FC0" w:rsidRPr="00125FC0" w14:paraId="2E07898C" w14:textId="77777777" w:rsidTr="001153BE">
        <w:tc>
          <w:tcPr>
            <w:tcW w:w="7363" w:type="dxa"/>
          </w:tcPr>
          <w:p w14:paraId="28D71359"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Females (n, %)</w:t>
            </w:r>
          </w:p>
        </w:tc>
        <w:tc>
          <w:tcPr>
            <w:tcW w:w="1272" w:type="dxa"/>
          </w:tcPr>
          <w:p w14:paraId="5E0E17C5"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25 (64.1%)</w:t>
            </w:r>
          </w:p>
        </w:tc>
        <w:tc>
          <w:tcPr>
            <w:tcW w:w="1280" w:type="dxa"/>
          </w:tcPr>
          <w:p w14:paraId="5DB2C39F"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 (50%)</w:t>
            </w:r>
          </w:p>
        </w:tc>
      </w:tr>
      <w:tr w:rsidR="00125FC0" w:rsidRPr="00125FC0" w14:paraId="408BECA6" w14:textId="77777777" w:rsidTr="001153BE">
        <w:tc>
          <w:tcPr>
            <w:tcW w:w="7363" w:type="dxa"/>
          </w:tcPr>
          <w:p w14:paraId="7234911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Males (n, %)</w:t>
            </w:r>
          </w:p>
        </w:tc>
        <w:tc>
          <w:tcPr>
            <w:tcW w:w="1272" w:type="dxa"/>
          </w:tcPr>
          <w:p w14:paraId="65AEA892"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14 (35.9%)</w:t>
            </w:r>
          </w:p>
        </w:tc>
        <w:tc>
          <w:tcPr>
            <w:tcW w:w="1280" w:type="dxa"/>
          </w:tcPr>
          <w:p w14:paraId="7885D010"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15 (50%)</w:t>
            </w:r>
          </w:p>
        </w:tc>
      </w:tr>
      <w:tr w:rsidR="00125FC0" w:rsidRPr="00125FC0" w14:paraId="0F233B3F" w14:textId="77777777" w:rsidTr="001153BE">
        <w:tc>
          <w:tcPr>
            <w:tcW w:w="7363" w:type="dxa"/>
          </w:tcPr>
          <w:p w14:paraId="53027971"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Mean age (years)</w:t>
            </w:r>
          </w:p>
        </w:tc>
        <w:tc>
          <w:tcPr>
            <w:tcW w:w="1272" w:type="dxa"/>
          </w:tcPr>
          <w:p w14:paraId="20F9B56D"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76.2</w:t>
            </w:r>
          </w:p>
        </w:tc>
        <w:tc>
          <w:tcPr>
            <w:tcW w:w="1280" w:type="dxa"/>
          </w:tcPr>
          <w:p w14:paraId="26B1D41E"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77.5</w:t>
            </w:r>
          </w:p>
        </w:tc>
      </w:tr>
      <w:tr w:rsidR="00125FC0" w:rsidRPr="00125FC0" w14:paraId="51CB020F" w14:textId="77777777" w:rsidTr="001153BE">
        <w:tc>
          <w:tcPr>
            <w:tcW w:w="7363" w:type="dxa"/>
          </w:tcPr>
          <w:p w14:paraId="55A4AA2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Mean post-procedural haematocrit (%)</w:t>
            </w:r>
          </w:p>
        </w:tc>
        <w:tc>
          <w:tcPr>
            <w:tcW w:w="1272" w:type="dxa"/>
          </w:tcPr>
          <w:p w14:paraId="29200125"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31.4</w:t>
            </w:r>
          </w:p>
        </w:tc>
        <w:tc>
          <w:tcPr>
            <w:tcW w:w="1280" w:type="dxa"/>
          </w:tcPr>
          <w:p w14:paraId="4BD8A8A8"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31.3</w:t>
            </w:r>
          </w:p>
        </w:tc>
      </w:tr>
      <w:tr w:rsidR="00125FC0" w:rsidRPr="00125FC0" w14:paraId="600D0F66" w14:textId="77777777" w:rsidTr="001153BE">
        <w:tc>
          <w:tcPr>
            <w:tcW w:w="7363" w:type="dxa"/>
          </w:tcPr>
          <w:p w14:paraId="741AC8CC"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Mean post-procedural mean pressure gradient via the aortic valve (mmHg)</w:t>
            </w:r>
          </w:p>
        </w:tc>
        <w:tc>
          <w:tcPr>
            <w:tcW w:w="1272" w:type="dxa"/>
          </w:tcPr>
          <w:p w14:paraId="429621A9"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9.08</w:t>
            </w:r>
          </w:p>
        </w:tc>
        <w:tc>
          <w:tcPr>
            <w:tcW w:w="1280" w:type="dxa"/>
          </w:tcPr>
          <w:p w14:paraId="14962B6F"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9.07</w:t>
            </w:r>
          </w:p>
        </w:tc>
      </w:tr>
      <w:tr w:rsidR="00125FC0" w:rsidRPr="00125FC0" w14:paraId="2A914D0E" w14:textId="77777777" w:rsidTr="001153BE">
        <w:tc>
          <w:tcPr>
            <w:tcW w:w="7363" w:type="dxa"/>
          </w:tcPr>
          <w:p w14:paraId="7014A03B"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Mean post-procedural maximal pressure gradient via the aortic valve (mmHg)</w:t>
            </w:r>
          </w:p>
        </w:tc>
        <w:tc>
          <w:tcPr>
            <w:tcW w:w="1272" w:type="dxa"/>
          </w:tcPr>
          <w:p w14:paraId="6253F20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16.2</w:t>
            </w:r>
          </w:p>
        </w:tc>
        <w:tc>
          <w:tcPr>
            <w:tcW w:w="1280" w:type="dxa"/>
          </w:tcPr>
          <w:p w14:paraId="49786396"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16.1</w:t>
            </w:r>
          </w:p>
        </w:tc>
      </w:tr>
      <w:tr w:rsidR="00125FC0" w:rsidRPr="00125FC0" w14:paraId="7BD55B93" w14:textId="77777777" w:rsidTr="001153BE">
        <w:tc>
          <w:tcPr>
            <w:tcW w:w="7363" w:type="dxa"/>
          </w:tcPr>
          <w:p w14:paraId="2345EA94"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Mortality (n, %)</w:t>
            </w:r>
          </w:p>
        </w:tc>
        <w:tc>
          <w:tcPr>
            <w:tcW w:w="1272" w:type="dxa"/>
          </w:tcPr>
          <w:p w14:paraId="4C44F719"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 (5.1%)</w:t>
            </w:r>
          </w:p>
        </w:tc>
        <w:tc>
          <w:tcPr>
            <w:tcW w:w="1280" w:type="dxa"/>
          </w:tcPr>
          <w:p w14:paraId="0CC850ED"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2 (6.7%)</w:t>
            </w:r>
          </w:p>
        </w:tc>
      </w:tr>
      <w:tr w:rsidR="00125FC0" w:rsidRPr="00125FC0" w14:paraId="6526EC1F" w14:textId="77777777" w:rsidTr="001153BE">
        <w:tc>
          <w:tcPr>
            <w:tcW w:w="7363" w:type="dxa"/>
          </w:tcPr>
          <w:p w14:paraId="4327218B"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Mean length of hospital stay after procedure (days)</w:t>
            </w:r>
          </w:p>
        </w:tc>
        <w:tc>
          <w:tcPr>
            <w:tcW w:w="1272" w:type="dxa"/>
          </w:tcPr>
          <w:p w14:paraId="4F3EB72C"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3.6</w:t>
            </w:r>
          </w:p>
        </w:tc>
        <w:tc>
          <w:tcPr>
            <w:tcW w:w="1280" w:type="dxa"/>
          </w:tcPr>
          <w:p w14:paraId="3405FF7B" w14:textId="77777777" w:rsidR="00125FC0" w:rsidRPr="00125FC0" w:rsidRDefault="00125FC0" w:rsidP="00125FC0">
            <w:pPr>
              <w:pStyle w:val="Body"/>
              <w:spacing w:after="0"/>
              <w:rPr>
                <w:rFonts w:ascii="Arial" w:hAnsi="Arial" w:cs="Arial"/>
                <w:lang w:val="en-IE"/>
              </w:rPr>
            </w:pPr>
            <w:r w:rsidRPr="00125FC0">
              <w:rPr>
                <w:rFonts w:ascii="Arial" w:hAnsi="Arial" w:cs="Arial"/>
                <w:lang w:val="en-IE"/>
              </w:rPr>
              <w:t>4</w:t>
            </w:r>
          </w:p>
        </w:tc>
      </w:tr>
    </w:tbl>
    <w:p w14:paraId="213D4452" w14:textId="77777777" w:rsidR="00125FC0" w:rsidRPr="00125FC0" w:rsidRDefault="00125FC0" w:rsidP="00125FC0">
      <w:pPr>
        <w:pStyle w:val="Body"/>
        <w:spacing w:after="0"/>
        <w:rPr>
          <w:rFonts w:ascii="Arial" w:hAnsi="Arial" w:cs="Arial"/>
          <w:lang w:val="en-IE"/>
        </w:rPr>
      </w:pPr>
    </w:p>
    <w:p w14:paraId="4672B636" w14:textId="77777777" w:rsidR="00C30A0F" w:rsidRDefault="00C30A0F" w:rsidP="00441B6F">
      <w:pPr>
        <w:pStyle w:val="Body"/>
        <w:spacing w:after="0"/>
        <w:rPr>
          <w:rFonts w:ascii="Arial" w:hAnsi="Arial" w:cs="Arial"/>
        </w:rPr>
      </w:pPr>
    </w:p>
    <w:p w14:paraId="39C506D7" w14:textId="77777777" w:rsidR="00E053D0" w:rsidRDefault="00E053D0" w:rsidP="00441B6F">
      <w:pPr>
        <w:pStyle w:val="Body"/>
        <w:spacing w:after="0"/>
        <w:rPr>
          <w:rFonts w:ascii="Arial" w:hAnsi="Arial" w:cs="Arial"/>
        </w:rPr>
      </w:pPr>
    </w:p>
    <w:p w14:paraId="56A43C0C" w14:textId="77777777" w:rsidR="00790ADA" w:rsidRPr="00FB3A86" w:rsidRDefault="00790ADA" w:rsidP="00441B6F">
      <w:pPr>
        <w:pStyle w:val="Body"/>
        <w:spacing w:after="0"/>
        <w:rPr>
          <w:rFonts w:ascii="Arial" w:hAnsi="Arial" w:cs="Arial"/>
        </w:rPr>
      </w:pPr>
    </w:p>
    <w:p w14:paraId="75A07F4F"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42332B">
        <w:rPr>
          <w:rFonts w:ascii="Arial" w:hAnsi="Arial" w:cs="Arial"/>
        </w:rPr>
        <w:t>Discusion</w:t>
      </w:r>
    </w:p>
    <w:p w14:paraId="2940E992" w14:textId="77777777" w:rsidR="00790ADA" w:rsidRPr="00FB3A86" w:rsidRDefault="00790ADA" w:rsidP="00441B6F">
      <w:pPr>
        <w:pStyle w:val="ConcHead"/>
        <w:spacing w:after="0"/>
        <w:jc w:val="both"/>
        <w:rPr>
          <w:rFonts w:ascii="Arial" w:hAnsi="Arial" w:cs="Arial"/>
        </w:rPr>
      </w:pPr>
    </w:p>
    <w:p w14:paraId="3A4D40DC" w14:textId="77777777" w:rsidR="0042332B" w:rsidRPr="003539F2" w:rsidRDefault="0042332B" w:rsidP="0042332B">
      <w:pPr>
        <w:pStyle w:val="Body"/>
        <w:rPr>
          <w:rFonts w:ascii="Arial" w:hAnsi="Arial" w:cs="Arial"/>
          <w:color w:val="FF0000"/>
        </w:rPr>
      </w:pPr>
      <w:r w:rsidRPr="003539F2">
        <w:rPr>
          <w:rFonts w:ascii="Arial" w:hAnsi="Arial" w:cs="Arial"/>
          <w:highlight w:val="yellow"/>
        </w:rPr>
        <w:t xml:space="preserve">Transcatheter aortic valve implantation (TAVI) was introduced experimentally in 1989, based on newly developed heart valve prosthesis, the stent-valve. This new stent valve was revolutionary because it is foldable and could be inserted via a catheter through an artery in the groin, without the need for sternal incision or cardiopulmonary bypass. [18] Since the first-in-human procedure in 2002, TAVI has become a new therapeutic method for elderly patients with severe co-morbidities and severe symptomatic aortic stenosis and is offered increasingly to patients </w:t>
      </w:r>
      <w:commentRangeStart w:id="42"/>
      <w:r w:rsidRPr="003539F2">
        <w:rPr>
          <w:rFonts w:ascii="Arial" w:hAnsi="Arial" w:cs="Arial"/>
          <w:highlight w:val="yellow"/>
        </w:rPr>
        <w:t>at</w:t>
      </w:r>
      <w:commentRangeEnd w:id="42"/>
      <w:r w:rsidR="00E752B3" w:rsidRPr="003539F2">
        <w:rPr>
          <w:rStyle w:val="CommentReference"/>
          <w:rFonts w:ascii="Times New Roman" w:hAnsi="Times New Roman"/>
          <w:highlight w:val="yellow"/>
          <w:lang w:val="nb-NO" w:eastAsia="nb-NO"/>
        </w:rPr>
        <w:commentReference w:id="42"/>
      </w:r>
      <w:r w:rsidRPr="003539F2">
        <w:rPr>
          <w:rFonts w:ascii="Arial" w:hAnsi="Arial" w:cs="Arial"/>
          <w:highlight w:val="yellow"/>
        </w:rPr>
        <w:t xml:space="preserve"> lower surgical risk. [19] TAVI can be performed by several routes: trans-femoral (most common), trans-subclavian, trans-aortic, or trans-apical. [20] The trans-carotid and transvenous routes have recently been described in the literature as alternative access routes where vessel access is difficult but is uncommonly </w:t>
      </w:r>
      <w:commentRangeStart w:id="43"/>
      <w:r w:rsidRPr="003539F2">
        <w:rPr>
          <w:rFonts w:ascii="Arial" w:hAnsi="Arial" w:cs="Arial"/>
          <w:highlight w:val="yellow"/>
        </w:rPr>
        <w:t>performed</w:t>
      </w:r>
      <w:commentRangeEnd w:id="43"/>
      <w:r w:rsidR="003539F2">
        <w:rPr>
          <w:rStyle w:val="CommentReference"/>
          <w:rFonts w:ascii="Times New Roman" w:hAnsi="Times New Roman"/>
          <w:lang w:val="nb-NO" w:eastAsia="nb-NO"/>
        </w:rPr>
        <w:commentReference w:id="43"/>
      </w:r>
      <w:r w:rsidRPr="0042332B">
        <w:rPr>
          <w:rFonts w:ascii="Arial" w:hAnsi="Arial" w:cs="Arial"/>
        </w:rPr>
        <w:t>. [21</w:t>
      </w:r>
      <w:commentRangeStart w:id="44"/>
      <w:r w:rsidRPr="003539F2">
        <w:rPr>
          <w:rFonts w:ascii="Arial" w:hAnsi="Arial" w:cs="Arial"/>
          <w:color w:val="FF0000"/>
        </w:rPr>
        <w:t xml:space="preserve">] In our </w:t>
      </w:r>
      <w:proofErr w:type="spellStart"/>
      <w:r w:rsidRPr="003539F2">
        <w:rPr>
          <w:rFonts w:ascii="Arial" w:hAnsi="Arial" w:cs="Arial"/>
          <w:color w:val="FF0000"/>
        </w:rPr>
        <w:t>centre</w:t>
      </w:r>
      <w:proofErr w:type="spellEnd"/>
      <w:r w:rsidRPr="003539F2">
        <w:rPr>
          <w:rFonts w:ascii="Arial" w:hAnsi="Arial" w:cs="Arial"/>
          <w:color w:val="FF0000"/>
        </w:rPr>
        <w:t xml:space="preserve">, all the patients in this study, had the TAVI valve implanted via the trans-femoral route. </w:t>
      </w:r>
      <w:commentRangeEnd w:id="44"/>
      <w:r w:rsidR="003539F2">
        <w:rPr>
          <w:rStyle w:val="CommentReference"/>
          <w:rFonts w:ascii="Times New Roman" w:hAnsi="Times New Roman"/>
          <w:lang w:val="nb-NO" w:eastAsia="nb-NO"/>
        </w:rPr>
        <w:commentReference w:id="44"/>
      </w:r>
    </w:p>
    <w:p w14:paraId="40BE01F4" w14:textId="77777777" w:rsidR="0042332B" w:rsidRPr="0042332B" w:rsidRDefault="0042332B" w:rsidP="0042332B">
      <w:pPr>
        <w:pStyle w:val="Body"/>
        <w:rPr>
          <w:rFonts w:ascii="Arial" w:hAnsi="Arial" w:cs="Arial"/>
        </w:rPr>
      </w:pPr>
      <w:proofErr w:type="spellStart"/>
      <w:r w:rsidRPr="0042332B">
        <w:rPr>
          <w:rFonts w:ascii="Arial" w:hAnsi="Arial" w:cs="Arial"/>
        </w:rPr>
        <w:t>Anaesthetic</w:t>
      </w:r>
      <w:proofErr w:type="spellEnd"/>
      <w:r w:rsidRPr="0042332B">
        <w:rPr>
          <w:rFonts w:ascii="Arial" w:hAnsi="Arial" w:cs="Arial"/>
        </w:rPr>
        <w:t xml:space="preserve"> management in TAVI replacement has traditionally been general </w:t>
      </w:r>
      <w:proofErr w:type="spellStart"/>
      <w:r w:rsidRPr="0042332B">
        <w:rPr>
          <w:rFonts w:ascii="Arial" w:hAnsi="Arial" w:cs="Arial"/>
        </w:rPr>
        <w:t>anaesthesia</w:t>
      </w:r>
      <w:proofErr w:type="spellEnd"/>
      <w:r w:rsidRPr="0042332B">
        <w:rPr>
          <w:rFonts w:ascii="Arial" w:hAnsi="Arial" w:cs="Arial"/>
        </w:rPr>
        <w:t xml:space="preserve"> (GA). [22] When GA is used for TAVI, the GA is of a ‘cardiac’ type; including high-dose opioids, neuromuscular blockade, tracheal intubation, </w:t>
      </w:r>
      <w:proofErr w:type="spellStart"/>
      <w:r w:rsidRPr="0042332B">
        <w:rPr>
          <w:rFonts w:ascii="Arial" w:hAnsi="Arial" w:cs="Arial"/>
        </w:rPr>
        <w:t>transoesophageal</w:t>
      </w:r>
      <w:proofErr w:type="spellEnd"/>
      <w:r w:rsidRPr="0042332B">
        <w:rPr>
          <w:rFonts w:ascii="Arial" w:hAnsi="Arial" w:cs="Arial"/>
        </w:rPr>
        <w:t xml:space="preserve"> echocardiography (TOE), invasive arterial monitoring, and central venous access. [23] However, with growing experience, further development of the stent-valves used and the expansion to "intermediate-risk" patients, there is increasing interest in performing this procedure under conscious sedation or monitored </w:t>
      </w:r>
      <w:proofErr w:type="spellStart"/>
      <w:r w:rsidRPr="0042332B">
        <w:rPr>
          <w:rFonts w:ascii="Arial" w:hAnsi="Arial" w:cs="Arial"/>
        </w:rPr>
        <w:t>anaesthesia</w:t>
      </w:r>
      <w:proofErr w:type="spellEnd"/>
      <w:r w:rsidRPr="0042332B">
        <w:rPr>
          <w:rFonts w:ascii="Arial" w:hAnsi="Arial" w:cs="Arial"/>
        </w:rPr>
        <w:t xml:space="preserve"> care (MAC) rather than the previously </w:t>
      </w:r>
      <w:proofErr w:type="spellStart"/>
      <w:r w:rsidRPr="0042332B">
        <w:rPr>
          <w:rFonts w:ascii="Arial" w:hAnsi="Arial" w:cs="Arial"/>
        </w:rPr>
        <w:t>favoured</w:t>
      </w:r>
      <w:proofErr w:type="spellEnd"/>
      <w:r w:rsidRPr="0042332B">
        <w:rPr>
          <w:rFonts w:ascii="Arial" w:hAnsi="Arial" w:cs="Arial"/>
        </w:rPr>
        <w:t xml:space="preserve"> approach of general </w:t>
      </w:r>
      <w:proofErr w:type="spellStart"/>
      <w:r w:rsidRPr="0042332B">
        <w:rPr>
          <w:rFonts w:ascii="Arial" w:hAnsi="Arial" w:cs="Arial"/>
        </w:rPr>
        <w:t>anaesthesia</w:t>
      </w:r>
      <w:proofErr w:type="spellEnd"/>
      <w:r w:rsidRPr="0042332B">
        <w:rPr>
          <w:rFonts w:ascii="Arial" w:hAnsi="Arial" w:cs="Arial"/>
        </w:rPr>
        <w:t xml:space="preserve">. [24] The proposed benefits of performing TAVI under sedation with local and regional </w:t>
      </w:r>
      <w:proofErr w:type="spellStart"/>
      <w:r w:rsidRPr="0042332B">
        <w:rPr>
          <w:rFonts w:ascii="Arial" w:hAnsi="Arial" w:cs="Arial"/>
        </w:rPr>
        <w:t>anaesthesia</w:t>
      </w:r>
      <w:proofErr w:type="spellEnd"/>
      <w:r w:rsidRPr="0042332B">
        <w:rPr>
          <w:rFonts w:ascii="Arial" w:hAnsi="Arial" w:cs="Arial"/>
        </w:rPr>
        <w:t xml:space="preserve"> include; reduced procedure time, shorter intensive care unit (ICU) length of stay, reduced need for intra-procedural vasopressor support, rapid assessment of any neurological complications, avoidance of respiratory complications and rapid recovery with earlier hospital discharge. [25]</w:t>
      </w:r>
    </w:p>
    <w:p w14:paraId="545DB2CC" w14:textId="77777777" w:rsidR="0042332B" w:rsidRPr="0042332B" w:rsidRDefault="0042332B" w:rsidP="0042332B">
      <w:pPr>
        <w:pStyle w:val="Body"/>
        <w:rPr>
          <w:rFonts w:ascii="Arial" w:hAnsi="Arial" w:cs="Arial"/>
        </w:rPr>
      </w:pPr>
      <w:r w:rsidRPr="0042332B">
        <w:rPr>
          <w:rFonts w:ascii="Arial" w:hAnsi="Arial" w:cs="Arial"/>
        </w:rPr>
        <w:t xml:space="preserve">In this study, most of the patients presented for TAVI had several comorbidities and </w:t>
      </w:r>
      <w:commentRangeStart w:id="45"/>
      <w:r w:rsidRPr="001C38DF">
        <w:rPr>
          <w:rFonts w:ascii="Arial" w:hAnsi="Arial" w:cs="Arial"/>
          <w:highlight w:val="yellow"/>
        </w:rPr>
        <w:t>advanced</w:t>
      </w:r>
      <w:commentRangeEnd w:id="45"/>
      <w:r w:rsidR="001C38DF">
        <w:rPr>
          <w:rStyle w:val="CommentReference"/>
          <w:rFonts w:ascii="Times New Roman" w:hAnsi="Times New Roman"/>
          <w:lang w:val="nb-NO" w:eastAsia="nb-NO"/>
        </w:rPr>
        <w:commentReference w:id="45"/>
      </w:r>
      <w:r w:rsidRPr="0042332B">
        <w:rPr>
          <w:rFonts w:ascii="Arial" w:hAnsi="Arial" w:cs="Arial"/>
        </w:rPr>
        <w:t xml:space="preserve"> age (Table 1), and they </w:t>
      </w:r>
      <w:commentRangeStart w:id="46"/>
      <w:r w:rsidRPr="001C38DF">
        <w:rPr>
          <w:rFonts w:ascii="Arial" w:hAnsi="Arial" w:cs="Arial"/>
          <w:highlight w:val="yellow"/>
        </w:rPr>
        <w:t>were</w:t>
      </w:r>
      <w:commentRangeEnd w:id="46"/>
      <w:r w:rsidR="001C38DF">
        <w:rPr>
          <w:rStyle w:val="CommentReference"/>
          <w:rFonts w:ascii="Times New Roman" w:hAnsi="Times New Roman"/>
          <w:lang w:val="nb-NO" w:eastAsia="nb-NO"/>
        </w:rPr>
        <w:commentReference w:id="46"/>
      </w:r>
      <w:r w:rsidRPr="0042332B">
        <w:rPr>
          <w:rFonts w:ascii="Arial" w:hAnsi="Arial" w:cs="Arial"/>
        </w:rPr>
        <w:t xml:space="preserve"> referred for TAVI as they </w:t>
      </w:r>
      <w:commentRangeStart w:id="47"/>
      <w:r w:rsidRPr="001C38DF">
        <w:rPr>
          <w:rFonts w:ascii="Arial" w:hAnsi="Arial" w:cs="Arial"/>
          <w:highlight w:val="yellow"/>
        </w:rPr>
        <w:t>were</w:t>
      </w:r>
      <w:commentRangeEnd w:id="47"/>
      <w:r w:rsidR="001C38DF">
        <w:rPr>
          <w:rStyle w:val="CommentReference"/>
          <w:rFonts w:ascii="Times New Roman" w:hAnsi="Times New Roman"/>
          <w:lang w:val="nb-NO" w:eastAsia="nb-NO"/>
        </w:rPr>
        <w:commentReference w:id="47"/>
      </w:r>
      <w:r w:rsidRPr="0042332B">
        <w:rPr>
          <w:rFonts w:ascii="Arial" w:hAnsi="Arial" w:cs="Arial"/>
        </w:rPr>
        <w:t xml:space="preserve"> deemed to be high-risk and so frail for surgical aortic valve replacement (AVR). Sedation </w:t>
      </w:r>
      <w:commentRangeStart w:id="48"/>
      <w:r w:rsidRPr="001C38DF">
        <w:rPr>
          <w:rFonts w:ascii="Arial" w:hAnsi="Arial" w:cs="Arial"/>
          <w:highlight w:val="yellow"/>
        </w:rPr>
        <w:t>was</w:t>
      </w:r>
      <w:commentRangeEnd w:id="48"/>
      <w:r w:rsidR="001C38DF">
        <w:rPr>
          <w:rStyle w:val="CommentReference"/>
          <w:rFonts w:ascii="Times New Roman" w:hAnsi="Times New Roman"/>
          <w:lang w:val="nb-NO" w:eastAsia="nb-NO"/>
        </w:rPr>
        <w:commentReference w:id="48"/>
      </w:r>
      <w:r w:rsidRPr="0042332B">
        <w:rPr>
          <w:rFonts w:ascii="Arial" w:hAnsi="Arial" w:cs="Arial"/>
        </w:rPr>
        <w:t xml:space="preserve"> used as the primary </w:t>
      </w:r>
      <w:proofErr w:type="spellStart"/>
      <w:r w:rsidRPr="0042332B">
        <w:rPr>
          <w:rFonts w:ascii="Arial" w:hAnsi="Arial" w:cs="Arial"/>
        </w:rPr>
        <w:t>anaesthetic</w:t>
      </w:r>
      <w:proofErr w:type="spellEnd"/>
      <w:r w:rsidRPr="0042332B">
        <w:rPr>
          <w:rFonts w:ascii="Arial" w:hAnsi="Arial" w:cs="Arial"/>
        </w:rPr>
        <w:t xml:space="preserve"> technique (with local/ regional </w:t>
      </w:r>
      <w:proofErr w:type="spellStart"/>
      <w:r w:rsidRPr="0042332B">
        <w:rPr>
          <w:rFonts w:ascii="Arial" w:hAnsi="Arial" w:cs="Arial"/>
        </w:rPr>
        <w:t>anaesthesia</w:t>
      </w:r>
      <w:proofErr w:type="spellEnd"/>
      <w:r w:rsidRPr="0042332B">
        <w:rPr>
          <w:rFonts w:ascii="Arial" w:hAnsi="Arial" w:cs="Arial"/>
        </w:rPr>
        <w:t>) in 56% of the study population. There were few cases of conversion from sedation to GA due to procedural complications such as vascular injury, bleeding, or heart rhythm disturbances (Table 3); however, most of the patients had no complications.</w:t>
      </w:r>
    </w:p>
    <w:p w14:paraId="29A12F0D" w14:textId="77777777" w:rsidR="00790ADA" w:rsidRDefault="0042332B" w:rsidP="0042332B">
      <w:pPr>
        <w:pStyle w:val="Body"/>
        <w:spacing w:after="0"/>
        <w:rPr>
          <w:rFonts w:ascii="Arial" w:hAnsi="Arial" w:cs="Arial"/>
        </w:rPr>
      </w:pPr>
      <w:r w:rsidRPr="0042332B">
        <w:rPr>
          <w:rFonts w:ascii="Arial" w:hAnsi="Arial" w:cs="Arial"/>
        </w:rPr>
        <w:t xml:space="preserve">When comparing Sedation and GA, the results of our study showed no difference in the rate of complications, post-procedural pressure gradient through the aortic valve, or </w:t>
      </w:r>
      <w:commentRangeStart w:id="49"/>
      <w:commentRangeStart w:id="50"/>
      <w:r w:rsidRPr="0048118A">
        <w:rPr>
          <w:rFonts w:ascii="Arial" w:hAnsi="Arial" w:cs="Arial"/>
          <w:color w:val="FF0000"/>
          <w:highlight w:val="yellow"/>
        </w:rPr>
        <w:t>mortality</w:t>
      </w:r>
      <w:commentRangeEnd w:id="49"/>
      <w:r w:rsidR="001C38DF" w:rsidRPr="0048118A">
        <w:rPr>
          <w:rStyle w:val="CommentReference"/>
          <w:rFonts w:ascii="Times New Roman" w:hAnsi="Times New Roman"/>
          <w:highlight w:val="yellow"/>
          <w:lang w:val="nb-NO" w:eastAsia="nb-NO"/>
        </w:rPr>
        <w:commentReference w:id="49"/>
      </w:r>
      <w:commentRangeEnd w:id="50"/>
      <w:r w:rsidR="0048118A">
        <w:rPr>
          <w:rStyle w:val="CommentReference"/>
          <w:rFonts w:ascii="Times New Roman" w:hAnsi="Times New Roman"/>
          <w:lang w:val="nb-NO" w:eastAsia="nb-NO"/>
        </w:rPr>
        <w:commentReference w:id="50"/>
      </w:r>
      <w:r w:rsidRPr="0042332B">
        <w:rPr>
          <w:rFonts w:ascii="Arial" w:hAnsi="Arial" w:cs="Arial"/>
        </w:rPr>
        <w:t xml:space="preserve">. The overall hospital stay was shorter in </w:t>
      </w:r>
      <w:commentRangeStart w:id="51"/>
      <w:r w:rsidRPr="0042332B">
        <w:rPr>
          <w:rFonts w:ascii="Arial" w:hAnsi="Arial" w:cs="Arial"/>
        </w:rPr>
        <w:t>patients</w:t>
      </w:r>
      <w:commentRangeEnd w:id="51"/>
      <w:r w:rsidR="001C38DF">
        <w:rPr>
          <w:rStyle w:val="CommentReference"/>
          <w:rFonts w:ascii="Times New Roman" w:hAnsi="Times New Roman"/>
          <w:lang w:val="nb-NO" w:eastAsia="nb-NO"/>
        </w:rPr>
        <w:commentReference w:id="51"/>
      </w:r>
      <w:r w:rsidRPr="0042332B">
        <w:rPr>
          <w:rFonts w:ascii="Arial" w:hAnsi="Arial" w:cs="Arial"/>
        </w:rPr>
        <w:t xml:space="preserve"> who underwent TAVI under sedation than those </w:t>
      </w:r>
      <w:r w:rsidRPr="0048118A">
        <w:rPr>
          <w:rFonts w:ascii="Arial" w:hAnsi="Arial" w:cs="Arial"/>
          <w:highlight w:val="yellow"/>
        </w:rPr>
        <w:t xml:space="preserve">who had </w:t>
      </w:r>
      <w:commentRangeStart w:id="52"/>
      <w:r w:rsidRPr="0048118A">
        <w:rPr>
          <w:rFonts w:ascii="Arial" w:hAnsi="Arial" w:cs="Arial"/>
          <w:highlight w:val="yellow"/>
        </w:rPr>
        <w:t>a</w:t>
      </w:r>
      <w:commentRangeEnd w:id="52"/>
      <w:r w:rsidR="001C38DF" w:rsidRPr="0048118A">
        <w:rPr>
          <w:rStyle w:val="CommentReference"/>
          <w:rFonts w:ascii="Times New Roman" w:hAnsi="Times New Roman"/>
          <w:highlight w:val="yellow"/>
          <w:lang w:val="nb-NO" w:eastAsia="nb-NO"/>
        </w:rPr>
        <w:commentReference w:id="52"/>
      </w:r>
      <w:r w:rsidRPr="0042332B">
        <w:rPr>
          <w:rFonts w:ascii="Arial" w:hAnsi="Arial" w:cs="Arial"/>
        </w:rPr>
        <w:t xml:space="preserve"> GA. Similar results were published in the literature by Hyman et al. with shorter hospital stay after TAVI procedure under sedation when compared to GA. [26]</w:t>
      </w:r>
    </w:p>
    <w:p w14:paraId="2796D1A0" w14:textId="77777777" w:rsidR="0042332B" w:rsidRPr="00FB3A86" w:rsidRDefault="0042332B" w:rsidP="0042332B">
      <w:pPr>
        <w:pStyle w:val="Body"/>
        <w:spacing w:after="0"/>
        <w:rPr>
          <w:rFonts w:ascii="Arial" w:hAnsi="Arial" w:cs="Arial"/>
        </w:rPr>
      </w:pPr>
    </w:p>
    <w:p w14:paraId="5FF4C10A" w14:textId="77777777" w:rsidR="00B01FCD" w:rsidRDefault="0042332B" w:rsidP="00441B6F">
      <w:pPr>
        <w:pStyle w:val="AcknHead"/>
        <w:spacing w:after="0"/>
        <w:jc w:val="both"/>
        <w:rPr>
          <w:rFonts w:ascii="Arial" w:hAnsi="Arial" w:cs="Arial"/>
        </w:rPr>
      </w:pPr>
      <w:r>
        <w:rPr>
          <w:rFonts w:ascii="Arial" w:hAnsi="Arial" w:cs="Arial"/>
        </w:rPr>
        <w:t>5. Conclusion</w:t>
      </w:r>
    </w:p>
    <w:p w14:paraId="4B9E7546" w14:textId="77777777" w:rsidR="00790ADA" w:rsidRPr="00FB3A86" w:rsidRDefault="00790ADA" w:rsidP="00441B6F">
      <w:pPr>
        <w:pStyle w:val="AcknHead"/>
        <w:spacing w:after="0"/>
        <w:jc w:val="both"/>
        <w:rPr>
          <w:rFonts w:ascii="Arial" w:hAnsi="Arial" w:cs="Arial"/>
        </w:rPr>
      </w:pPr>
    </w:p>
    <w:p w14:paraId="1905D3B3" w14:textId="77777777" w:rsidR="00315186" w:rsidRDefault="0042332B" w:rsidP="00441B6F">
      <w:pPr>
        <w:rPr>
          <w:rFonts w:ascii="Arial" w:hAnsi="Arial" w:cs="Arial"/>
        </w:rPr>
      </w:pPr>
      <w:r w:rsidRPr="0042332B">
        <w:rPr>
          <w:rFonts w:ascii="Arial" w:hAnsi="Arial" w:cs="Arial"/>
        </w:rPr>
        <w:t xml:space="preserve">Conscious sedation was more commonly used than general </w:t>
      </w:r>
      <w:proofErr w:type="spellStart"/>
      <w:r w:rsidRPr="0042332B">
        <w:rPr>
          <w:rFonts w:ascii="Arial" w:hAnsi="Arial" w:cs="Arial"/>
        </w:rPr>
        <w:t>anaesthesia</w:t>
      </w:r>
      <w:proofErr w:type="spellEnd"/>
      <w:r w:rsidRPr="0042332B">
        <w:rPr>
          <w:rFonts w:ascii="Arial" w:hAnsi="Arial" w:cs="Arial"/>
        </w:rPr>
        <w:t xml:space="preserve"> for the TAVI procedure. The use of sedation or general </w:t>
      </w:r>
      <w:proofErr w:type="spellStart"/>
      <w:r w:rsidRPr="0042332B">
        <w:rPr>
          <w:rFonts w:ascii="Arial" w:hAnsi="Arial" w:cs="Arial"/>
        </w:rPr>
        <w:t>anaesthesia</w:t>
      </w:r>
      <w:proofErr w:type="spellEnd"/>
      <w:r w:rsidRPr="0042332B">
        <w:rPr>
          <w:rFonts w:ascii="Arial" w:hAnsi="Arial" w:cs="Arial"/>
        </w:rPr>
        <w:t xml:space="preserve"> had no impact on the incidence of complications. The use of conscious sedation was associated with shorter hospital stay than general </w:t>
      </w:r>
      <w:proofErr w:type="spellStart"/>
      <w:r w:rsidRPr="0042332B">
        <w:rPr>
          <w:rFonts w:ascii="Arial" w:hAnsi="Arial" w:cs="Arial"/>
        </w:rPr>
        <w:t>anaesthesia</w:t>
      </w:r>
      <w:proofErr w:type="spellEnd"/>
      <w:r w:rsidRPr="0042332B">
        <w:rPr>
          <w:rFonts w:ascii="Arial" w:hAnsi="Arial" w:cs="Arial"/>
        </w:rPr>
        <w:t xml:space="preserve"> after the TAVI </w:t>
      </w:r>
      <w:commentRangeStart w:id="53"/>
      <w:r w:rsidRPr="0042332B">
        <w:rPr>
          <w:rFonts w:ascii="Arial" w:hAnsi="Arial" w:cs="Arial"/>
        </w:rPr>
        <w:t>procedure</w:t>
      </w:r>
      <w:commentRangeEnd w:id="53"/>
      <w:r w:rsidR="001C38DF">
        <w:rPr>
          <w:rStyle w:val="CommentReference"/>
          <w:rFonts w:ascii="Times New Roman" w:hAnsi="Times New Roman"/>
          <w:lang w:val="nb-NO" w:eastAsia="nb-NO"/>
        </w:rPr>
        <w:commentReference w:id="53"/>
      </w:r>
      <w:r w:rsidRPr="0042332B">
        <w:rPr>
          <w:rFonts w:ascii="Arial" w:hAnsi="Arial" w:cs="Arial"/>
        </w:rPr>
        <w:t>.</w:t>
      </w:r>
    </w:p>
    <w:p w14:paraId="0F9748A1" w14:textId="77777777" w:rsidR="00A25654" w:rsidRDefault="00A25654" w:rsidP="00441B6F">
      <w:pPr>
        <w:rPr>
          <w:rFonts w:ascii="Arial" w:hAnsi="Arial" w:cs="Arial"/>
        </w:rPr>
      </w:pPr>
    </w:p>
    <w:p w14:paraId="161FE798" w14:textId="77777777" w:rsidR="00A25654" w:rsidRDefault="00A25654" w:rsidP="00441B6F">
      <w:pPr>
        <w:rPr>
          <w:rFonts w:ascii="Arial" w:hAnsi="Arial" w:cs="Arial"/>
        </w:rPr>
      </w:pPr>
    </w:p>
    <w:p w14:paraId="61046DA3" w14:textId="77777777" w:rsidR="00A25654" w:rsidRDefault="00A25654" w:rsidP="00441B6F">
      <w:pPr>
        <w:rPr>
          <w:b/>
          <w:bCs/>
        </w:rPr>
      </w:pPr>
      <w:r w:rsidRPr="00A25654">
        <w:rPr>
          <w:b/>
          <w:bCs/>
        </w:rPr>
        <w:t>DISCLAIMER (ARTIFICIAL INTELLIGENCE)</w:t>
      </w:r>
    </w:p>
    <w:p w14:paraId="01EEE1A2" w14:textId="77777777" w:rsidR="004A3603" w:rsidRPr="00A25654" w:rsidRDefault="004A3603" w:rsidP="00441B6F">
      <w:pPr>
        <w:rPr>
          <w:b/>
          <w:bCs/>
        </w:rPr>
      </w:pPr>
    </w:p>
    <w:p w14:paraId="4452A80B" w14:textId="77777777" w:rsidR="00315186" w:rsidRPr="00315186" w:rsidRDefault="00A25654" w:rsidP="00441B6F">
      <w:r w:rsidRPr="00A25654">
        <w:t>Author(</w:t>
      </w:r>
      <w:proofErr w:type="gramStart"/>
      <w:r w:rsidRPr="00A25654">
        <w:t>s)  hereby</w:t>
      </w:r>
      <w:proofErr w:type="gramEnd"/>
      <w:r w:rsidRPr="00A25654">
        <w:t xml:space="preserve">  declare  t</w:t>
      </w:r>
      <w:r>
        <w:t xml:space="preserve">hat no </w:t>
      </w:r>
      <w:r w:rsidRPr="00A25654">
        <w:t>generat</w:t>
      </w:r>
      <w:r w:rsidR="004A3603">
        <w:t xml:space="preserve">ive  AI technologies such as </w:t>
      </w:r>
      <w:r w:rsidRPr="00A25654">
        <w:t>Lar</w:t>
      </w:r>
      <w:r w:rsidR="004A3603">
        <w:t>ge Language Models (</w:t>
      </w:r>
      <w:proofErr w:type="spellStart"/>
      <w:r w:rsidR="004A3603">
        <w:t>ChatGPT</w:t>
      </w:r>
      <w:proofErr w:type="spellEnd"/>
      <w:r w:rsidR="004A3603">
        <w:t xml:space="preserve">, COPILOT,   </w:t>
      </w:r>
      <w:proofErr w:type="spellStart"/>
      <w:r w:rsidR="004A3603">
        <w:t>etc</w:t>
      </w:r>
      <w:proofErr w:type="spellEnd"/>
      <w:r w:rsidR="004A3603">
        <w:t xml:space="preserve">) and </w:t>
      </w:r>
      <w:r w:rsidRPr="00A25654">
        <w:t>text-to-image genera</w:t>
      </w:r>
      <w:r w:rsidR="004A3603">
        <w:t xml:space="preserve">tors  have  been  used  during writing </w:t>
      </w:r>
      <w:r w:rsidRPr="00A25654">
        <w:t>or editing of this manuscript.</w:t>
      </w:r>
    </w:p>
    <w:p w14:paraId="32057D93" w14:textId="77777777" w:rsidR="00315186" w:rsidRPr="00315186" w:rsidRDefault="00315186" w:rsidP="00441B6F"/>
    <w:p w14:paraId="19D85639" w14:textId="77777777" w:rsidR="00A25654" w:rsidRDefault="00A25654" w:rsidP="00441B6F">
      <w:pPr>
        <w:pStyle w:val="ReferHead"/>
        <w:spacing w:after="0"/>
        <w:jc w:val="both"/>
        <w:rPr>
          <w:rFonts w:ascii="Arial" w:hAnsi="Arial" w:cs="Arial"/>
          <w:b w:val="0"/>
          <w:caps w:val="0"/>
          <w:sz w:val="20"/>
        </w:rPr>
      </w:pPr>
    </w:p>
    <w:p w14:paraId="1B709343" w14:textId="77777777" w:rsidR="00A25654" w:rsidRPr="004A3603" w:rsidRDefault="00A25654" w:rsidP="00441B6F">
      <w:pPr>
        <w:pStyle w:val="ReferHead"/>
        <w:spacing w:after="0"/>
        <w:jc w:val="both"/>
        <w:rPr>
          <w:rFonts w:ascii="Arial" w:hAnsi="Arial" w:cs="Arial"/>
          <w:bCs/>
          <w:caps w:val="0"/>
          <w:szCs w:val="22"/>
        </w:rPr>
      </w:pPr>
      <w:r w:rsidRPr="004A3603">
        <w:rPr>
          <w:rFonts w:ascii="Arial" w:hAnsi="Arial" w:cs="Arial"/>
          <w:bCs/>
          <w:caps w:val="0"/>
          <w:szCs w:val="22"/>
        </w:rPr>
        <w:t>CONSENT</w:t>
      </w:r>
    </w:p>
    <w:p w14:paraId="48CE40EA" w14:textId="77777777" w:rsidR="00A25654" w:rsidRPr="00A25654" w:rsidRDefault="00A25654" w:rsidP="00441B6F">
      <w:pPr>
        <w:pStyle w:val="ReferHead"/>
        <w:spacing w:after="0"/>
        <w:jc w:val="both"/>
        <w:rPr>
          <w:rFonts w:ascii="Arial" w:hAnsi="Arial" w:cs="Arial"/>
          <w:bCs/>
          <w:caps w:val="0"/>
          <w:sz w:val="20"/>
        </w:rPr>
      </w:pPr>
    </w:p>
    <w:p w14:paraId="2B9D271A" w14:textId="77777777" w:rsidR="00A25654" w:rsidRDefault="00A25654" w:rsidP="00441B6F">
      <w:pPr>
        <w:pStyle w:val="ReferHead"/>
        <w:spacing w:after="0"/>
        <w:jc w:val="both"/>
        <w:rPr>
          <w:rFonts w:ascii="Arial" w:hAnsi="Arial" w:cs="Arial"/>
          <w:b w:val="0"/>
          <w:caps w:val="0"/>
          <w:sz w:val="20"/>
        </w:rPr>
      </w:pPr>
      <w:r w:rsidRPr="00A25654">
        <w:rPr>
          <w:rFonts w:ascii="Arial" w:hAnsi="Arial" w:cs="Arial"/>
          <w:b w:val="0"/>
          <w:caps w:val="0"/>
          <w:sz w:val="20"/>
        </w:rPr>
        <w:t>It is not applicable</w:t>
      </w:r>
    </w:p>
    <w:p w14:paraId="46F1DEF8" w14:textId="77777777" w:rsidR="005C784C" w:rsidRDefault="005C784C" w:rsidP="00441B6F">
      <w:pPr>
        <w:pStyle w:val="ReferHead"/>
        <w:spacing w:after="0"/>
        <w:jc w:val="both"/>
        <w:rPr>
          <w:rFonts w:ascii="Arial" w:hAnsi="Arial" w:cs="Arial"/>
          <w:b w:val="0"/>
          <w:caps w:val="0"/>
          <w:sz w:val="20"/>
        </w:rPr>
      </w:pPr>
    </w:p>
    <w:p w14:paraId="4803B7B8"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51ABEFB3" w14:textId="77777777" w:rsidR="005C784C" w:rsidRPr="002B685A" w:rsidRDefault="005C784C" w:rsidP="00441B6F">
      <w:pPr>
        <w:pStyle w:val="ReferHead"/>
        <w:spacing w:after="0"/>
        <w:jc w:val="both"/>
        <w:rPr>
          <w:rFonts w:ascii="Arial" w:hAnsi="Arial" w:cs="Arial"/>
          <w:bCs/>
        </w:rPr>
      </w:pPr>
    </w:p>
    <w:p w14:paraId="4C178868" w14:textId="77777777" w:rsidR="00860000" w:rsidRDefault="004A3603" w:rsidP="00441B6F">
      <w:pPr>
        <w:pStyle w:val="ReferHead"/>
        <w:spacing w:after="0"/>
        <w:jc w:val="both"/>
        <w:rPr>
          <w:rFonts w:ascii="Arial" w:hAnsi="Arial" w:cs="Arial"/>
          <w:b w:val="0"/>
          <w:caps w:val="0"/>
          <w:sz w:val="20"/>
        </w:rPr>
      </w:pPr>
      <w:r>
        <w:rPr>
          <w:rFonts w:ascii="Arial" w:hAnsi="Arial" w:cs="Arial"/>
          <w:b w:val="0"/>
          <w:caps w:val="0"/>
          <w:sz w:val="20"/>
        </w:rPr>
        <w:t xml:space="preserve">The </w:t>
      </w:r>
      <w:r w:rsidR="00A25654" w:rsidRPr="00A25654">
        <w:rPr>
          <w:rFonts w:ascii="Arial" w:hAnsi="Arial" w:cs="Arial"/>
          <w:b w:val="0"/>
          <w:caps w:val="0"/>
          <w:sz w:val="20"/>
        </w:rPr>
        <w:t>stud</w:t>
      </w:r>
      <w:r>
        <w:rPr>
          <w:rFonts w:ascii="Arial" w:hAnsi="Arial" w:cs="Arial"/>
          <w:b w:val="0"/>
          <w:caps w:val="0"/>
          <w:sz w:val="20"/>
        </w:rPr>
        <w:t xml:space="preserve">y was approved by the </w:t>
      </w:r>
      <w:r w:rsidR="00A25654" w:rsidRPr="00A25654">
        <w:rPr>
          <w:rFonts w:ascii="Arial" w:hAnsi="Arial" w:cs="Arial"/>
          <w:b w:val="0"/>
          <w:caps w:val="0"/>
          <w:sz w:val="20"/>
        </w:rPr>
        <w:t>institutional ethics committee</w:t>
      </w:r>
    </w:p>
    <w:p w14:paraId="3DD8EA94" w14:textId="77777777" w:rsidR="00A25654" w:rsidRDefault="00A25654" w:rsidP="00441B6F">
      <w:pPr>
        <w:pStyle w:val="ReferHead"/>
        <w:spacing w:after="0"/>
        <w:jc w:val="both"/>
        <w:rPr>
          <w:rFonts w:ascii="Arial" w:hAnsi="Arial" w:cs="Arial"/>
        </w:rPr>
      </w:pPr>
    </w:p>
    <w:p w14:paraId="45ABFFB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27DE20C" w14:textId="77777777" w:rsidR="00790ADA" w:rsidRPr="00FB3A86" w:rsidRDefault="00790ADA" w:rsidP="00441B6F">
      <w:pPr>
        <w:pStyle w:val="ReferHead"/>
        <w:spacing w:after="0"/>
        <w:jc w:val="both"/>
        <w:rPr>
          <w:rFonts w:ascii="Arial" w:hAnsi="Arial" w:cs="Arial"/>
        </w:rPr>
      </w:pPr>
    </w:p>
    <w:p w14:paraId="6255ED01" w14:textId="77777777" w:rsidR="00A25654" w:rsidRPr="00A25654" w:rsidRDefault="00A25654" w:rsidP="00A25654">
      <w:pPr>
        <w:pStyle w:val="Appendix"/>
        <w:jc w:val="both"/>
        <w:rPr>
          <w:b w:val="0"/>
          <w:caps w:val="0"/>
          <w:sz w:val="20"/>
        </w:rPr>
      </w:pPr>
      <w:r w:rsidRPr="00A25654">
        <w:rPr>
          <w:b w:val="0"/>
          <w:caps w:val="0"/>
          <w:sz w:val="20"/>
        </w:rPr>
        <w:t>1)</w:t>
      </w:r>
      <w:r w:rsidRPr="00A25654">
        <w:rPr>
          <w:b w:val="0"/>
          <w:caps w:val="0"/>
          <w:sz w:val="20"/>
        </w:rPr>
        <w:tab/>
        <w:t xml:space="preserve">Nathaniel S, </w:t>
      </w:r>
      <w:proofErr w:type="spellStart"/>
      <w:r w:rsidRPr="00A25654">
        <w:rPr>
          <w:b w:val="0"/>
          <w:caps w:val="0"/>
          <w:sz w:val="20"/>
        </w:rPr>
        <w:t>Saligram</w:t>
      </w:r>
      <w:proofErr w:type="spellEnd"/>
      <w:r w:rsidRPr="00A25654">
        <w:rPr>
          <w:b w:val="0"/>
          <w:caps w:val="0"/>
          <w:sz w:val="20"/>
        </w:rPr>
        <w:t xml:space="preserve"> S, </w:t>
      </w:r>
      <w:proofErr w:type="spellStart"/>
      <w:r w:rsidRPr="00A25654">
        <w:rPr>
          <w:b w:val="0"/>
          <w:caps w:val="0"/>
          <w:sz w:val="20"/>
        </w:rPr>
        <w:t>Innasimuthu</w:t>
      </w:r>
      <w:proofErr w:type="spellEnd"/>
      <w:r w:rsidRPr="00A25654">
        <w:rPr>
          <w:b w:val="0"/>
          <w:caps w:val="0"/>
          <w:sz w:val="20"/>
        </w:rPr>
        <w:t xml:space="preserve"> AL. Aortic stenosis: An update. World J </w:t>
      </w:r>
      <w:proofErr w:type="spellStart"/>
      <w:r w:rsidRPr="00A25654">
        <w:rPr>
          <w:b w:val="0"/>
          <w:caps w:val="0"/>
          <w:sz w:val="20"/>
        </w:rPr>
        <w:t>Cardiol</w:t>
      </w:r>
      <w:proofErr w:type="spellEnd"/>
      <w:r w:rsidRPr="00A25654">
        <w:rPr>
          <w:b w:val="0"/>
          <w:caps w:val="0"/>
          <w:sz w:val="20"/>
        </w:rPr>
        <w:t xml:space="preserve">. 2010 Jun 26;2(6):135-9. </w:t>
      </w:r>
      <w:proofErr w:type="spellStart"/>
      <w:r w:rsidRPr="00A25654">
        <w:rPr>
          <w:b w:val="0"/>
          <w:caps w:val="0"/>
          <w:sz w:val="20"/>
        </w:rPr>
        <w:t>doi</w:t>
      </w:r>
      <w:proofErr w:type="spellEnd"/>
      <w:r w:rsidRPr="00A25654">
        <w:rPr>
          <w:b w:val="0"/>
          <w:caps w:val="0"/>
          <w:sz w:val="20"/>
        </w:rPr>
        <w:t>: 10.4330/</w:t>
      </w:r>
      <w:proofErr w:type="gramStart"/>
      <w:r w:rsidRPr="00A25654">
        <w:rPr>
          <w:b w:val="0"/>
          <w:caps w:val="0"/>
          <w:sz w:val="20"/>
        </w:rPr>
        <w:t>wjc.v</w:t>
      </w:r>
      <w:proofErr w:type="gramEnd"/>
      <w:r w:rsidRPr="00A25654">
        <w:rPr>
          <w:b w:val="0"/>
          <w:caps w:val="0"/>
          <w:sz w:val="20"/>
        </w:rPr>
        <w:t>2.i6.135. PMID: 21160731; PMCID: PMC2999052.</w:t>
      </w:r>
    </w:p>
    <w:p w14:paraId="157228F1" w14:textId="77777777" w:rsidR="00A25654" w:rsidRPr="00A25654" w:rsidRDefault="00A25654" w:rsidP="00A25654">
      <w:pPr>
        <w:pStyle w:val="Appendix"/>
        <w:jc w:val="both"/>
        <w:rPr>
          <w:b w:val="0"/>
          <w:caps w:val="0"/>
          <w:sz w:val="20"/>
        </w:rPr>
      </w:pPr>
      <w:r w:rsidRPr="00A25654">
        <w:rPr>
          <w:b w:val="0"/>
          <w:caps w:val="0"/>
          <w:sz w:val="20"/>
        </w:rPr>
        <w:t>2)</w:t>
      </w:r>
      <w:r w:rsidRPr="00A25654">
        <w:rPr>
          <w:b w:val="0"/>
          <w:caps w:val="0"/>
          <w:sz w:val="20"/>
        </w:rPr>
        <w:tab/>
        <w:t xml:space="preserve">Pujari SH, </w:t>
      </w:r>
      <w:proofErr w:type="spellStart"/>
      <w:r w:rsidRPr="00A25654">
        <w:rPr>
          <w:b w:val="0"/>
          <w:caps w:val="0"/>
          <w:sz w:val="20"/>
        </w:rPr>
        <w:t>Agasthi</w:t>
      </w:r>
      <w:proofErr w:type="spellEnd"/>
      <w:r w:rsidRPr="00A25654">
        <w:rPr>
          <w:b w:val="0"/>
          <w:caps w:val="0"/>
          <w:sz w:val="20"/>
        </w:rPr>
        <w:t xml:space="preserve"> P. Aortic Stenosis. 2023 Apr 16. In: </w:t>
      </w:r>
      <w:proofErr w:type="spellStart"/>
      <w:r w:rsidRPr="00A25654">
        <w:rPr>
          <w:b w:val="0"/>
          <w:caps w:val="0"/>
          <w:sz w:val="20"/>
        </w:rPr>
        <w:t>StatPearls</w:t>
      </w:r>
      <w:proofErr w:type="spellEnd"/>
      <w:r w:rsidRPr="00A25654">
        <w:rPr>
          <w:b w:val="0"/>
          <w:caps w:val="0"/>
          <w:sz w:val="20"/>
        </w:rPr>
        <w:t xml:space="preserve"> [Internet]. Treasure Island (FL): </w:t>
      </w:r>
      <w:proofErr w:type="spellStart"/>
      <w:r w:rsidRPr="00A25654">
        <w:rPr>
          <w:b w:val="0"/>
          <w:caps w:val="0"/>
          <w:sz w:val="20"/>
        </w:rPr>
        <w:t>StatPearls</w:t>
      </w:r>
      <w:proofErr w:type="spellEnd"/>
      <w:r w:rsidRPr="00A25654">
        <w:rPr>
          <w:b w:val="0"/>
          <w:caps w:val="0"/>
          <w:sz w:val="20"/>
        </w:rPr>
        <w:t xml:space="preserve"> Publishing; 2025 Jan–. PMID: 32491560.</w:t>
      </w:r>
    </w:p>
    <w:p w14:paraId="57995667" w14:textId="77777777" w:rsidR="00A25654" w:rsidRPr="00A25654" w:rsidRDefault="00A25654" w:rsidP="00A25654">
      <w:pPr>
        <w:pStyle w:val="Appendix"/>
        <w:jc w:val="both"/>
        <w:rPr>
          <w:b w:val="0"/>
          <w:caps w:val="0"/>
          <w:sz w:val="20"/>
        </w:rPr>
      </w:pPr>
      <w:r w:rsidRPr="00A25654">
        <w:rPr>
          <w:b w:val="0"/>
          <w:caps w:val="0"/>
          <w:sz w:val="20"/>
        </w:rPr>
        <w:t>3)</w:t>
      </w:r>
      <w:r w:rsidRPr="00A25654">
        <w:rPr>
          <w:b w:val="0"/>
          <w:caps w:val="0"/>
          <w:sz w:val="20"/>
        </w:rPr>
        <w:tab/>
      </w:r>
      <w:proofErr w:type="spellStart"/>
      <w:r w:rsidRPr="00A25654">
        <w:rPr>
          <w:b w:val="0"/>
          <w:caps w:val="0"/>
          <w:sz w:val="20"/>
        </w:rPr>
        <w:t>Decotto</w:t>
      </w:r>
      <w:proofErr w:type="spellEnd"/>
      <w:r w:rsidRPr="00A25654">
        <w:rPr>
          <w:b w:val="0"/>
          <w:caps w:val="0"/>
          <w:sz w:val="20"/>
        </w:rPr>
        <w:t xml:space="preserve"> S, </w:t>
      </w:r>
      <w:proofErr w:type="spellStart"/>
      <w:r w:rsidRPr="00A25654">
        <w:rPr>
          <w:b w:val="0"/>
          <w:caps w:val="0"/>
          <w:sz w:val="20"/>
        </w:rPr>
        <w:t>Corna</w:t>
      </w:r>
      <w:proofErr w:type="spellEnd"/>
      <w:r w:rsidRPr="00A25654">
        <w:rPr>
          <w:b w:val="0"/>
          <w:caps w:val="0"/>
          <w:sz w:val="20"/>
        </w:rPr>
        <w:t xml:space="preserve"> G, Villanueva E, </w:t>
      </w:r>
      <w:proofErr w:type="spellStart"/>
      <w:r w:rsidRPr="00A25654">
        <w:rPr>
          <w:b w:val="0"/>
          <w:caps w:val="0"/>
          <w:sz w:val="20"/>
        </w:rPr>
        <w:t>Arenaza</w:t>
      </w:r>
      <w:proofErr w:type="spellEnd"/>
      <w:r w:rsidRPr="00A25654">
        <w:rPr>
          <w:b w:val="0"/>
          <w:caps w:val="0"/>
          <w:sz w:val="20"/>
        </w:rPr>
        <w:t xml:space="preserve"> DP, </w:t>
      </w:r>
      <w:proofErr w:type="spellStart"/>
      <w:r w:rsidRPr="00A25654">
        <w:rPr>
          <w:b w:val="0"/>
          <w:caps w:val="0"/>
          <w:sz w:val="20"/>
        </w:rPr>
        <w:t>Seropian</w:t>
      </w:r>
      <w:proofErr w:type="spellEnd"/>
      <w:r w:rsidRPr="00A25654">
        <w:rPr>
          <w:b w:val="0"/>
          <w:caps w:val="0"/>
          <w:sz w:val="20"/>
        </w:rPr>
        <w:t xml:space="preserve"> I, </w:t>
      </w:r>
      <w:proofErr w:type="spellStart"/>
      <w:r w:rsidRPr="00A25654">
        <w:rPr>
          <w:b w:val="0"/>
          <w:caps w:val="0"/>
          <w:sz w:val="20"/>
        </w:rPr>
        <w:t>Falconi</w:t>
      </w:r>
      <w:proofErr w:type="spellEnd"/>
      <w:r w:rsidRPr="00A25654">
        <w:rPr>
          <w:b w:val="0"/>
          <w:caps w:val="0"/>
          <w:sz w:val="20"/>
        </w:rPr>
        <w:t xml:space="preserve"> M, </w:t>
      </w:r>
      <w:proofErr w:type="spellStart"/>
      <w:r w:rsidRPr="00A25654">
        <w:rPr>
          <w:b w:val="0"/>
          <w:caps w:val="0"/>
          <w:sz w:val="20"/>
        </w:rPr>
        <w:t>Oberti</w:t>
      </w:r>
      <w:proofErr w:type="spellEnd"/>
      <w:r w:rsidRPr="00A25654">
        <w:rPr>
          <w:b w:val="0"/>
          <w:caps w:val="0"/>
          <w:sz w:val="20"/>
        </w:rPr>
        <w:t xml:space="preserve"> P, Aguirre MA, Posadas-Martínez ML, </w:t>
      </w:r>
      <w:proofErr w:type="spellStart"/>
      <w:r w:rsidRPr="00A25654">
        <w:rPr>
          <w:b w:val="0"/>
          <w:caps w:val="0"/>
          <w:sz w:val="20"/>
        </w:rPr>
        <w:t>Carretero</w:t>
      </w:r>
      <w:proofErr w:type="spellEnd"/>
      <w:r w:rsidRPr="00A25654">
        <w:rPr>
          <w:b w:val="0"/>
          <w:caps w:val="0"/>
          <w:sz w:val="20"/>
        </w:rPr>
        <w:t xml:space="preserve"> M, </w:t>
      </w:r>
      <w:proofErr w:type="spellStart"/>
      <w:r w:rsidRPr="00A25654">
        <w:rPr>
          <w:b w:val="0"/>
          <w:caps w:val="0"/>
          <w:sz w:val="20"/>
        </w:rPr>
        <w:t>Agatiello</w:t>
      </w:r>
      <w:proofErr w:type="spellEnd"/>
      <w:r w:rsidRPr="00A25654">
        <w:rPr>
          <w:b w:val="0"/>
          <w:caps w:val="0"/>
          <w:sz w:val="20"/>
        </w:rPr>
        <w:t xml:space="preserve"> CR, Pizarro R. Prevalence of moderate-severe aortic stenosis in patients with cardiac amyloidosis in a referral center. Arch </w:t>
      </w:r>
      <w:proofErr w:type="spellStart"/>
      <w:r w:rsidRPr="00A25654">
        <w:rPr>
          <w:b w:val="0"/>
          <w:caps w:val="0"/>
          <w:sz w:val="20"/>
        </w:rPr>
        <w:t>Cardiol</w:t>
      </w:r>
      <w:proofErr w:type="spellEnd"/>
      <w:r w:rsidRPr="00A25654">
        <w:rPr>
          <w:b w:val="0"/>
          <w:caps w:val="0"/>
          <w:sz w:val="20"/>
        </w:rPr>
        <w:t xml:space="preserve"> Mex. 2024;94(1):71-78. English. </w:t>
      </w:r>
      <w:proofErr w:type="spellStart"/>
      <w:r w:rsidRPr="00A25654">
        <w:rPr>
          <w:b w:val="0"/>
          <w:caps w:val="0"/>
          <w:sz w:val="20"/>
        </w:rPr>
        <w:t>doi</w:t>
      </w:r>
      <w:proofErr w:type="spellEnd"/>
      <w:r w:rsidRPr="00A25654">
        <w:rPr>
          <w:b w:val="0"/>
          <w:caps w:val="0"/>
          <w:sz w:val="20"/>
        </w:rPr>
        <w:t>: 10.24875/ACM.22000074. PMID: 38507302; PMCID: PMC11160519.</w:t>
      </w:r>
    </w:p>
    <w:p w14:paraId="309497BE" w14:textId="77777777" w:rsidR="00A25654" w:rsidRPr="00A25654" w:rsidRDefault="00A25654" w:rsidP="00A25654">
      <w:pPr>
        <w:pStyle w:val="Appendix"/>
        <w:jc w:val="both"/>
        <w:rPr>
          <w:b w:val="0"/>
          <w:caps w:val="0"/>
          <w:sz w:val="20"/>
        </w:rPr>
      </w:pPr>
      <w:r w:rsidRPr="00A25654">
        <w:rPr>
          <w:b w:val="0"/>
          <w:caps w:val="0"/>
          <w:sz w:val="20"/>
        </w:rPr>
        <w:t>4)</w:t>
      </w:r>
      <w:r w:rsidRPr="00A25654">
        <w:rPr>
          <w:b w:val="0"/>
          <w:caps w:val="0"/>
          <w:sz w:val="20"/>
        </w:rPr>
        <w:tab/>
      </w:r>
      <w:proofErr w:type="spellStart"/>
      <w:r w:rsidRPr="00A25654">
        <w:rPr>
          <w:b w:val="0"/>
          <w:caps w:val="0"/>
          <w:sz w:val="20"/>
        </w:rPr>
        <w:t>Sigala</w:t>
      </w:r>
      <w:proofErr w:type="spellEnd"/>
      <w:r w:rsidRPr="00A25654">
        <w:rPr>
          <w:b w:val="0"/>
          <w:caps w:val="0"/>
          <w:sz w:val="20"/>
        </w:rPr>
        <w:t xml:space="preserve"> E, </w:t>
      </w:r>
      <w:proofErr w:type="spellStart"/>
      <w:r w:rsidRPr="00A25654">
        <w:rPr>
          <w:b w:val="0"/>
          <w:caps w:val="0"/>
          <w:sz w:val="20"/>
        </w:rPr>
        <w:t>Kelesi</w:t>
      </w:r>
      <w:proofErr w:type="spellEnd"/>
      <w:r w:rsidRPr="00A25654">
        <w:rPr>
          <w:b w:val="0"/>
          <w:caps w:val="0"/>
          <w:sz w:val="20"/>
        </w:rPr>
        <w:t xml:space="preserve"> M, </w:t>
      </w:r>
      <w:proofErr w:type="spellStart"/>
      <w:r w:rsidRPr="00A25654">
        <w:rPr>
          <w:b w:val="0"/>
          <w:caps w:val="0"/>
          <w:sz w:val="20"/>
        </w:rPr>
        <w:t>Terentes-Printzios</w:t>
      </w:r>
      <w:proofErr w:type="spellEnd"/>
      <w:r w:rsidRPr="00A25654">
        <w:rPr>
          <w:b w:val="0"/>
          <w:caps w:val="0"/>
          <w:sz w:val="20"/>
        </w:rPr>
        <w:t xml:space="preserve"> D, </w:t>
      </w:r>
      <w:proofErr w:type="spellStart"/>
      <w:r w:rsidRPr="00A25654">
        <w:rPr>
          <w:b w:val="0"/>
          <w:caps w:val="0"/>
          <w:sz w:val="20"/>
        </w:rPr>
        <w:t>Vasilopoulos</w:t>
      </w:r>
      <w:proofErr w:type="spellEnd"/>
      <w:r w:rsidRPr="00A25654">
        <w:rPr>
          <w:b w:val="0"/>
          <w:caps w:val="0"/>
          <w:sz w:val="20"/>
        </w:rPr>
        <w:t xml:space="preserve"> G, </w:t>
      </w:r>
      <w:proofErr w:type="spellStart"/>
      <w:r w:rsidRPr="00A25654">
        <w:rPr>
          <w:b w:val="0"/>
          <w:caps w:val="0"/>
          <w:sz w:val="20"/>
        </w:rPr>
        <w:t>Kapadohos</w:t>
      </w:r>
      <w:proofErr w:type="spellEnd"/>
      <w:r w:rsidRPr="00A25654">
        <w:rPr>
          <w:b w:val="0"/>
          <w:caps w:val="0"/>
          <w:sz w:val="20"/>
        </w:rPr>
        <w:t xml:space="preserve"> T, </w:t>
      </w:r>
      <w:proofErr w:type="spellStart"/>
      <w:r w:rsidRPr="00A25654">
        <w:rPr>
          <w:b w:val="0"/>
          <w:caps w:val="0"/>
          <w:sz w:val="20"/>
        </w:rPr>
        <w:t>Papageorgiou</w:t>
      </w:r>
      <w:proofErr w:type="spellEnd"/>
      <w:r w:rsidRPr="00A25654">
        <w:rPr>
          <w:b w:val="0"/>
          <w:caps w:val="0"/>
          <w:sz w:val="20"/>
        </w:rPr>
        <w:t xml:space="preserve"> D, </w:t>
      </w:r>
      <w:proofErr w:type="spellStart"/>
      <w:r w:rsidRPr="00A25654">
        <w:rPr>
          <w:b w:val="0"/>
          <w:caps w:val="0"/>
          <w:sz w:val="20"/>
        </w:rPr>
        <w:t>Tzatzou</w:t>
      </w:r>
      <w:proofErr w:type="spellEnd"/>
      <w:r w:rsidRPr="00A25654">
        <w:rPr>
          <w:b w:val="0"/>
          <w:caps w:val="0"/>
          <w:sz w:val="20"/>
        </w:rPr>
        <w:t xml:space="preserve"> A, </w:t>
      </w:r>
      <w:proofErr w:type="spellStart"/>
      <w:r w:rsidRPr="00A25654">
        <w:rPr>
          <w:b w:val="0"/>
          <w:caps w:val="0"/>
          <w:sz w:val="20"/>
        </w:rPr>
        <w:t>Vlachopoulos</w:t>
      </w:r>
      <w:proofErr w:type="spellEnd"/>
      <w:r w:rsidRPr="00A25654">
        <w:rPr>
          <w:b w:val="0"/>
          <w:caps w:val="0"/>
          <w:sz w:val="20"/>
        </w:rPr>
        <w:t xml:space="preserve"> C, </w:t>
      </w:r>
      <w:proofErr w:type="spellStart"/>
      <w:r w:rsidRPr="00A25654">
        <w:rPr>
          <w:b w:val="0"/>
          <w:caps w:val="0"/>
          <w:sz w:val="20"/>
        </w:rPr>
        <w:t>Stavropoulou</w:t>
      </w:r>
      <w:proofErr w:type="spellEnd"/>
      <w:r w:rsidRPr="00A25654">
        <w:rPr>
          <w:b w:val="0"/>
          <w:caps w:val="0"/>
          <w:sz w:val="20"/>
        </w:rPr>
        <w:t xml:space="preserve"> A. Surgical Aortic Valve Replacement in Patients Aged 50 to 70 Years: Mechanical or Bioprosthetic Valve? A Systematic Review. Healthcare (Basel). 2023 Jun 15;11(12):1771. </w:t>
      </w:r>
      <w:proofErr w:type="spellStart"/>
      <w:r w:rsidRPr="00A25654">
        <w:rPr>
          <w:b w:val="0"/>
          <w:caps w:val="0"/>
          <w:sz w:val="20"/>
        </w:rPr>
        <w:t>doi</w:t>
      </w:r>
      <w:proofErr w:type="spellEnd"/>
      <w:r w:rsidRPr="00A25654">
        <w:rPr>
          <w:b w:val="0"/>
          <w:caps w:val="0"/>
          <w:sz w:val="20"/>
        </w:rPr>
        <w:t>: 10.3390/healthcare11121771. PMID: 37372888; PMCID: PMC10298478.</w:t>
      </w:r>
    </w:p>
    <w:p w14:paraId="4F8E2432" w14:textId="77777777" w:rsidR="00A25654" w:rsidRPr="00A25654" w:rsidRDefault="00A25654" w:rsidP="00A25654">
      <w:pPr>
        <w:pStyle w:val="Appendix"/>
        <w:jc w:val="both"/>
        <w:rPr>
          <w:b w:val="0"/>
          <w:caps w:val="0"/>
          <w:sz w:val="20"/>
        </w:rPr>
      </w:pPr>
      <w:r w:rsidRPr="00A25654">
        <w:rPr>
          <w:b w:val="0"/>
          <w:caps w:val="0"/>
          <w:sz w:val="20"/>
        </w:rPr>
        <w:t>5)</w:t>
      </w:r>
      <w:r w:rsidRPr="00A25654">
        <w:rPr>
          <w:b w:val="0"/>
          <w:caps w:val="0"/>
          <w:sz w:val="20"/>
        </w:rPr>
        <w:tab/>
      </w:r>
      <w:proofErr w:type="spellStart"/>
      <w:r w:rsidRPr="00A25654">
        <w:rPr>
          <w:b w:val="0"/>
          <w:caps w:val="0"/>
          <w:sz w:val="20"/>
        </w:rPr>
        <w:t>Ternacle</w:t>
      </w:r>
      <w:proofErr w:type="spellEnd"/>
      <w:r w:rsidRPr="00A25654">
        <w:rPr>
          <w:b w:val="0"/>
          <w:caps w:val="0"/>
          <w:sz w:val="20"/>
        </w:rPr>
        <w:t xml:space="preserve"> J, Hecht S, </w:t>
      </w:r>
      <w:proofErr w:type="spellStart"/>
      <w:r w:rsidRPr="00A25654">
        <w:rPr>
          <w:b w:val="0"/>
          <w:caps w:val="0"/>
          <w:sz w:val="20"/>
        </w:rPr>
        <w:t>Eltchaninoff</w:t>
      </w:r>
      <w:proofErr w:type="spellEnd"/>
      <w:r w:rsidRPr="00A25654">
        <w:rPr>
          <w:b w:val="0"/>
          <w:caps w:val="0"/>
          <w:sz w:val="20"/>
        </w:rPr>
        <w:t xml:space="preserve"> H, </w:t>
      </w:r>
      <w:proofErr w:type="spellStart"/>
      <w:r w:rsidRPr="00A25654">
        <w:rPr>
          <w:b w:val="0"/>
          <w:caps w:val="0"/>
          <w:sz w:val="20"/>
        </w:rPr>
        <w:t>Salaun</w:t>
      </w:r>
      <w:proofErr w:type="spellEnd"/>
      <w:r w:rsidRPr="00A25654">
        <w:rPr>
          <w:b w:val="0"/>
          <w:caps w:val="0"/>
          <w:sz w:val="20"/>
        </w:rPr>
        <w:t xml:space="preserve"> E, </w:t>
      </w:r>
      <w:proofErr w:type="spellStart"/>
      <w:r w:rsidRPr="00A25654">
        <w:rPr>
          <w:b w:val="0"/>
          <w:caps w:val="0"/>
          <w:sz w:val="20"/>
        </w:rPr>
        <w:t>Clavel</w:t>
      </w:r>
      <w:proofErr w:type="spellEnd"/>
      <w:r w:rsidRPr="00A25654">
        <w:rPr>
          <w:b w:val="0"/>
          <w:caps w:val="0"/>
          <w:sz w:val="20"/>
        </w:rPr>
        <w:t xml:space="preserve"> MA, </w:t>
      </w:r>
      <w:proofErr w:type="spellStart"/>
      <w:r w:rsidRPr="00A25654">
        <w:rPr>
          <w:b w:val="0"/>
          <w:caps w:val="0"/>
          <w:sz w:val="20"/>
        </w:rPr>
        <w:t>Côté</w:t>
      </w:r>
      <w:proofErr w:type="spellEnd"/>
      <w:r w:rsidRPr="00A25654">
        <w:rPr>
          <w:b w:val="0"/>
          <w:caps w:val="0"/>
          <w:sz w:val="20"/>
        </w:rPr>
        <w:t xml:space="preserve"> N, </w:t>
      </w:r>
      <w:proofErr w:type="spellStart"/>
      <w:r w:rsidRPr="00A25654">
        <w:rPr>
          <w:b w:val="0"/>
          <w:caps w:val="0"/>
          <w:sz w:val="20"/>
        </w:rPr>
        <w:t>Pibarot</w:t>
      </w:r>
      <w:proofErr w:type="spellEnd"/>
      <w:r w:rsidRPr="00A25654">
        <w:rPr>
          <w:b w:val="0"/>
          <w:caps w:val="0"/>
          <w:sz w:val="20"/>
        </w:rPr>
        <w:t xml:space="preserve"> P. Durability of transcatheter aortic valve implantation. </w:t>
      </w:r>
      <w:proofErr w:type="spellStart"/>
      <w:r w:rsidRPr="00A25654">
        <w:rPr>
          <w:b w:val="0"/>
          <w:caps w:val="0"/>
          <w:sz w:val="20"/>
        </w:rPr>
        <w:t>EuroIntervention</w:t>
      </w:r>
      <w:proofErr w:type="spellEnd"/>
      <w:r w:rsidRPr="00A25654">
        <w:rPr>
          <w:b w:val="0"/>
          <w:caps w:val="0"/>
          <w:sz w:val="20"/>
        </w:rPr>
        <w:t>. 2024 Jul 15;20(14</w:t>
      </w:r>
      <w:proofErr w:type="gramStart"/>
      <w:r w:rsidRPr="00A25654">
        <w:rPr>
          <w:b w:val="0"/>
          <w:caps w:val="0"/>
          <w:sz w:val="20"/>
        </w:rPr>
        <w:t>):e</w:t>
      </w:r>
      <w:proofErr w:type="gramEnd"/>
      <w:r w:rsidRPr="00A25654">
        <w:rPr>
          <w:b w:val="0"/>
          <w:caps w:val="0"/>
          <w:sz w:val="20"/>
        </w:rPr>
        <w:t xml:space="preserve">845-e864. </w:t>
      </w:r>
      <w:proofErr w:type="spellStart"/>
      <w:r w:rsidRPr="00A25654">
        <w:rPr>
          <w:b w:val="0"/>
          <w:caps w:val="0"/>
          <w:sz w:val="20"/>
        </w:rPr>
        <w:t>doi</w:t>
      </w:r>
      <w:proofErr w:type="spellEnd"/>
      <w:r w:rsidRPr="00A25654">
        <w:rPr>
          <w:b w:val="0"/>
          <w:caps w:val="0"/>
          <w:sz w:val="20"/>
        </w:rPr>
        <w:t>: 10.4244/EIJ-D-23-01050. PMID: 39007831; PMCID: PMC11228542.</w:t>
      </w:r>
    </w:p>
    <w:p w14:paraId="1B0F79A5" w14:textId="77777777" w:rsidR="00A25654" w:rsidRPr="00A25654" w:rsidRDefault="00A25654" w:rsidP="00A25654">
      <w:pPr>
        <w:pStyle w:val="Appendix"/>
        <w:jc w:val="both"/>
        <w:rPr>
          <w:b w:val="0"/>
          <w:caps w:val="0"/>
          <w:sz w:val="20"/>
        </w:rPr>
      </w:pPr>
      <w:r w:rsidRPr="00A25654">
        <w:rPr>
          <w:b w:val="0"/>
          <w:caps w:val="0"/>
          <w:sz w:val="20"/>
        </w:rPr>
        <w:t>6)</w:t>
      </w:r>
      <w:r w:rsidRPr="00A25654">
        <w:rPr>
          <w:b w:val="0"/>
          <w:caps w:val="0"/>
          <w:sz w:val="20"/>
        </w:rPr>
        <w:tab/>
        <w:t xml:space="preserve">Reddy RK, Howard JP, Mack MJ, Reardon MJ, </w:t>
      </w:r>
      <w:proofErr w:type="spellStart"/>
      <w:r w:rsidRPr="00A25654">
        <w:rPr>
          <w:b w:val="0"/>
          <w:caps w:val="0"/>
          <w:sz w:val="20"/>
        </w:rPr>
        <w:t>Jørgensen</w:t>
      </w:r>
      <w:proofErr w:type="spellEnd"/>
      <w:r w:rsidRPr="00A25654">
        <w:rPr>
          <w:b w:val="0"/>
          <w:caps w:val="0"/>
          <w:sz w:val="20"/>
        </w:rPr>
        <w:t xml:space="preserve"> TH, </w:t>
      </w:r>
      <w:proofErr w:type="spellStart"/>
      <w:r w:rsidRPr="00A25654">
        <w:rPr>
          <w:b w:val="0"/>
          <w:caps w:val="0"/>
          <w:sz w:val="20"/>
        </w:rPr>
        <w:t>Hørsted</w:t>
      </w:r>
      <w:proofErr w:type="spellEnd"/>
      <w:r w:rsidRPr="00A25654">
        <w:rPr>
          <w:b w:val="0"/>
          <w:caps w:val="0"/>
          <w:sz w:val="20"/>
        </w:rPr>
        <w:t xml:space="preserve"> </w:t>
      </w:r>
      <w:proofErr w:type="spellStart"/>
      <w:r w:rsidRPr="00A25654">
        <w:rPr>
          <w:b w:val="0"/>
          <w:caps w:val="0"/>
          <w:sz w:val="20"/>
        </w:rPr>
        <w:t>Thyregod</w:t>
      </w:r>
      <w:proofErr w:type="spellEnd"/>
      <w:r w:rsidRPr="00A25654">
        <w:rPr>
          <w:b w:val="0"/>
          <w:caps w:val="0"/>
          <w:sz w:val="20"/>
        </w:rPr>
        <w:t xml:space="preserve"> HG, Toff WD, Van </w:t>
      </w:r>
      <w:proofErr w:type="spellStart"/>
      <w:r w:rsidRPr="00A25654">
        <w:rPr>
          <w:b w:val="0"/>
          <w:caps w:val="0"/>
          <w:sz w:val="20"/>
        </w:rPr>
        <w:t>Mieghem</w:t>
      </w:r>
      <w:proofErr w:type="spellEnd"/>
      <w:r w:rsidRPr="00A25654">
        <w:rPr>
          <w:b w:val="0"/>
          <w:caps w:val="0"/>
          <w:sz w:val="20"/>
        </w:rPr>
        <w:t xml:space="preserve"> NM, Vora AN, </w:t>
      </w:r>
      <w:proofErr w:type="spellStart"/>
      <w:r w:rsidRPr="00A25654">
        <w:rPr>
          <w:b w:val="0"/>
          <w:caps w:val="0"/>
          <w:sz w:val="20"/>
        </w:rPr>
        <w:t>Makkar</w:t>
      </w:r>
      <w:proofErr w:type="spellEnd"/>
      <w:r w:rsidRPr="00A25654">
        <w:rPr>
          <w:b w:val="0"/>
          <w:caps w:val="0"/>
          <w:sz w:val="20"/>
        </w:rPr>
        <w:t xml:space="preserve"> RR, Kapadia S, Forrest JK, Leon MB, Ahmad Y. Transcatheter vs Surgical Aortic Valve Replacement in Lower-Risk Patients: An Updated Meta-Analysis of Randomized Controlled Trials. J Am Coll </w:t>
      </w:r>
      <w:proofErr w:type="spellStart"/>
      <w:r w:rsidRPr="00A25654">
        <w:rPr>
          <w:b w:val="0"/>
          <w:caps w:val="0"/>
          <w:sz w:val="20"/>
        </w:rPr>
        <w:t>Cardiol</w:t>
      </w:r>
      <w:proofErr w:type="spellEnd"/>
      <w:r w:rsidRPr="00A25654">
        <w:rPr>
          <w:b w:val="0"/>
          <w:caps w:val="0"/>
          <w:sz w:val="20"/>
        </w:rPr>
        <w:t xml:space="preserve">. 2025 Mar 11;85(9):926-940. </w:t>
      </w:r>
      <w:proofErr w:type="spellStart"/>
      <w:r w:rsidRPr="00A25654">
        <w:rPr>
          <w:b w:val="0"/>
          <w:caps w:val="0"/>
          <w:sz w:val="20"/>
        </w:rPr>
        <w:t>doi</w:t>
      </w:r>
      <w:proofErr w:type="spellEnd"/>
      <w:r w:rsidRPr="00A25654">
        <w:rPr>
          <w:b w:val="0"/>
          <w:caps w:val="0"/>
          <w:sz w:val="20"/>
        </w:rPr>
        <w:t>: 10.1016/j.jacc.2024.12.031. PMID: 40044297.</w:t>
      </w:r>
    </w:p>
    <w:p w14:paraId="3BBA5C80" w14:textId="77777777" w:rsidR="00A25654" w:rsidRPr="00A25654" w:rsidRDefault="00A25654" w:rsidP="00A25654">
      <w:pPr>
        <w:pStyle w:val="Appendix"/>
        <w:jc w:val="both"/>
        <w:rPr>
          <w:b w:val="0"/>
          <w:caps w:val="0"/>
          <w:sz w:val="20"/>
        </w:rPr>
      </w:pPr>
      <w:r w:rsidRPr="00A25654">
        <w:rPr>
          <w:b w:val="0"/>
          <w:caps w:val="0"/>
          <w:sz w:val="20"/>
        </w:rPr>
        <w:t>7)</w:t>
      </w:r>
      <w:r w:rsidRPr="00A25654">
        <w:rPr>
          <w:b w:val="0"/>
          <w:caps w:val="0"/>
          <w:sz w:val="20"/>
        </w:rPr>
        <w:tab/>
        <w:t xml:space="preserve">McCann GP, Newby DE, Hillis GS. TAVI for asymptomatic aortic stenosis? More compelling outcome data are needed. Heart. 2025 Apr </w:t>
      </w:r>
      <w:proofErr w:type="gramStart"/>
      <w:r w:rsidRPr="00A25654">
        <w:rPr>
          <w:b w:val="0"/>
          <w:caps w:val="0"/>
          <w:sz w:val="20"/>
        </w:rPr>
        <w:t>15:heartjnl</w:t>
      </w:r>
      <w:proofErr w:type="gramEnd"/>
      <w:r w:rsidRPr="00A25654">
        <w:rPr>
          <w:b w:val="0"/>
          <w:caps w:val="0"/>
          <w:sz w:val="20"/>
        </w:rPr>
        <w:t xml:space="preserve">-2025-325767. </w:t>
      </w:r>
      <w:proofErr w:type="spellStart"/>
      <w:r w:rsidRPr="00A25654">
        <w:rPr>
          <w:b w:val="0"/>
          <w:caps w:val="0"/>
          <w:sz w:val="20"/>
        </w:rPr>
        <w:t>doi</w:t>
      </w:r>
      <w:proofErr w:type="spellEnd"/>
      <w:r w:rsidRPr="00A25654">
        <w:rPr>
          <w:b w:val="0"/>
          <w:caps w:val="0"/>
          <w:sz w:val="20"/>
        </w:rPr>
        <w:t xml:space="preserve">: 10.1136/heartjnl-2025-325767. </w:t>
      </w:r>
      <w:proofErr w:type="spellStart"/>
      <w:r w:rsidRPr="00A25654">
        <w:rPr>
          <w:b w:val="0"/>
          <w:caps w:val="0"/>
          <w:sz w:val="20"/>
        </w:rPr>
        <w:t>Epub</w:t>
      </w:r>
      <w:proofErr w:type="spellEnd"/>
      <w:r w:rsidRPr="00A25654">
        <w:rPr>
          <w:b w:val="0"/>
          <w:caps w:val="0"/>
          <w:sz w:val="20"/>
        </w:rPr>
        <w:t xml:space="preserve"> ahead of print. PMID: 40234042.</w:t>
      </w:r>
    </w:p>
    <w:p w14:paraId="777B5EC2" w14:textId="77777777" w:rsidR="00A25654" w:rsidRPr="00A25654" w:rsidRDefault="00A25654" w:rsidP="00A25654">
      <w:pPr>
        <w:pStyle w:val="Appendix"/>
        <w:jc w:val="both"/>
        <w:rPr>
          <w:b w:val="0"/>
          <w:caps w:val="0"/>
          <w:sz w:val="20"/>
        </w:rPr>
      </w:pPr>
      <w:r w:rsidRPr="00A25654">
        <w:rPr>
          <w:b w:val="0"/>
          <w:caps w:val="0"/>
          <w:sz w:val="20"/>
        </w:rPr>
        <w:t>8)</w:t>
      </w:r>
      <w:r w:rsidRPr="00A25654">
        <w:rPr>
          <w:b w:val="0"/>
          <w:caps w:val="0"/>
          <w:sz w:val="20"/>
        </w:rPr>
        <w:tab/>
        <w:t xml:space="preserve">Soleimani A, </w:t>
      </w:r>
      <w:proofErr w:type="spellStart"/>
      <w:r w:rsidRPr="00A25654">
        <w:rPr>
          <w:b w:val="0"/>
          <w:caps w:val="0"/>
          <w:sz w:val="20"/>
        </w:rPr>
        <w:t>Maghsoodi</w:t>
      </w:r>
      <w:proofErr w:type="spellEnd"/>
      <w:r w:rsidRPr="00A25654">
        <w:rPr>
          <w:b w:val="0"/>
          <w:caps w:val="0"/>
          <w:sz w:val="20"/>
        </w:rPr>
        <w:t xml:space="preserve"> M, </w:t>
      </w:r>
      <w:proofErr w:type="spellStart"/>
      <w:r w:rsidRPr="00A25654">
        <w:rPr>
          <w:b w:val="0"/>
          <w:caps w:val="0"/>
          <w:sz w:val="20"/>
        </w:rPr>
        <w:t>Bahrani</w:t>
      </w:r>
      <w:proofErr w:type="spellEnd"/>
      <w:r w:rsidRPr="00A25654">
        <w:rPr>
          <w:b w:val="0"/>
          <w:caps w:val="0"/>
          <w:sz w:val="20"/>
        </w:rPr>
        <w:t xml:space="preserve"> S, </w:t>
      </w:r>
      <w:proofErr w:type="spellStart"/>
      <w:r w:rsidRPr="00A25654">
        <w:rPr>
          <w:b w:val="0"/>
          <w:caps w:val="0"/>
          <w:sz w:val="20"/>
        </w:rPr>
        <w:t>Amerizadeh</w:t>
      </w:r>
      <w:proofErr w:type="spellEnd"/>
      <w:r w:rsidRPr="00A25654">
        <w:rPr>
          <w:b w:val="0"/>
          <w:caps w:val="0"/>
          <w:sz w:val="20"/>
        </w:rPr>
        <w:t xml:space="preserve"> A, </w:t>
      </w:r>
      <w:proofErr w:type="spellStart"/>
      <w:r w:rsidRPr="00A25654">
        <w:rPr>
          <w:b w:val="0"/>
          <w:caps w:val="0"/>
          <w:sz w:val="20"/>
        </w:rPr>
        <w:t>Teimouri-Jervekani</w:t>
      </w:r>
      <w:proofErr w:type="spellEnd"/>
      <w:r w:rsidRPr="00A25654">
        <w:rPr>
          <w:b w:val="0"/>
          <w:caps w:val="0"/>
          <w:sz w:val="20"/>
        </w:rPr>
        <w:t xml:space="preserve"> Z. Investigating the results of transcatheter aortic valve implantation (TAVI) in non-diabetic and diabetic patients: a systematic review and meta-analysis. BMC Cardiovasc </w:t>
      </w:r>
      <w:proofErr w:type="spellStart"/>
      <w:r w:rsidRPr="00A25654">
        <w:rPr>
          <w:b w:val="0"/>
          <w:caps w:val="0"/>
          <w:sz w:val="20"/>
        </w:rPr>
        <w:t>Disord</w:t>
      </w:r>
      <w:proofErr w:type="spellEnd"/>
      <w:r w:rsidRPr="00A25654">
        <w:rPr>
          <w:b w:val="0"/>
          <w:caps w:val="0"/>
          <w:sz w:val="20"/>
        </w:rPr>
        <w:t xml:space="preserve">. 2025 Mar 21;25(1):205. </w:t>
      </w:r>
      <w:proofErr w:type="spellStart"/>
      <w:r w:rsidRPr="00A25654">
        <w:rPr>
          <w:b w:val="0"/>
          <w:caps w:val="0"/>
          <w:sz w:val="20"/>
        </w:rPr>
        <w:t>doi</w:t>
      </w:r>
      <w:proofErr w:type="spellEnd"/>
      <w:r w:rsidRPr="00A25654">
        <w:rPr>
          <w:b w:val="0"/>
          <w:caps w:val="0"/>
          <w:sz w:val="20"/>
        </w:rPr>
        <w:t>: 10.1186/s12872-025-04646-3. PMID: 40119289; PMCID: PMC11927261.</w:t>
      </w:r>
    </w:p>
    <w:p w14:paraId="52EF2486" w14:textId="77777777" w:rsidR="00A25654" w:rsidRPr="00A25654" w:rsidRDefault="00A25654" w:rsidP="00A25654">
      <w:pPr>
        <w:pStyle w:val="Appendix"/>
        <w:jc w:val="both"/>
        <w:rPr>
          <w:b w:val="0"/>
          <w:caps w:val="0"/>
          <w:sz w:val="20"/>
        </w:rPr>
      </w:pPr>
      <w:r w:rsidRPr="00A25654">
        <w:rPr>
          <w:b w:val="0"/>
          <w:caps w:val="0"/>
          <w:sz w:val="20"/>
        </w:rPr>
        <w:t>9)</w:t>
      </w:r>
      <w:r w:rsidRPr="00A25654">
        <w:rPr>
          <w:b w:val="0"/>
          <w:caps w:val="0"/>
          <w:sz w:val="20"/>
        </w:rPr>
        <w:tab/>
      </w:r>
      <w:proofErr w:type="spellStart"/>
      <w:r w:rsidRPr="00A25654">
        <w:rPr>
          <w:b w:val="0"/>
          <w:caps w:val="0"/>
          <w:sz w:val="20"/>
        </w:rPr>
        <w:t>Ferrarotto</w:t>
      </w:r>
      <w:proofErr w:type="spellEnd"/>
      <w:r w:rsidRPr="00A25654">
        <w:rPr>
          <w:b w:val="0"/>
          <w:caps w:val="0"/>
          <w:sz w:val="20"/>
        </w:rPr>
        <w:t xml:space="preserve"> L, </w:t>
      </w:r>
      <w:proofErr w:type="spellStart"/>
      <w:r w:rsidRPr="00A25654">
        <w:rPr>
          <w:b w:val="0"/>
          <w:caps w:val="0"/>
          <w:sz w:val="20"/>
        </w:rPr>
        <w:t>Immè</w:t>
      </w:r>
      <w:proofErr w:type="spellEnd"/>
      <w:r w:rsidRPr="00A25654">
        <w:rPr>
          <w:b w:val="0"/>
          <w:caps w:val="0"/>
          <w:sz w:val="20"/>
        </w:rPr>
        <w:t xml:space="preserve"> S, </w:t>
      </w:r>
      <w:proofErr w:type="spellStart"/>
      <w:r w:rsidRPr="00A25654">
        <w:rPr>
          <w:b w:val="0"/>
          <w:caps w:val="0"/>
          <w:sz w:val="20"/>
        </w:rPr>
        <w:t>Tamburino</w:t>
      </w:r>
      <w:proofErr w:type="spellEnd"/>
      <w:r w:rsidRPr="00A25654">
        <w:rPr>
          <w:b w:val="0"/>
          <w:caps w:val="0"/>
          <w:sz w:val="20"/>
        </w:rPr>
        <w:t xml:space="preserve"> C, </w:t>
      </w:r>
      <w:proofErr w:type="spellStart"/>
      <w:r w:rsidRPr="00A25654">
        <w:rPr>
          <w:b w:val="0"/>
          <w:caps w:val="0"/>
          <w:sz w:val="20"/>
        </w:rPr>
        <w:t>Tamburino</w:t>
      </w:r>
      <w:proofErr w:type="spellEnd"/>
      <w:r w:rsidRPr="00A25654">
        <w:rPr>
          <w:b w:val="0"/>
          <w:caps w:val="0"/>
          <w:sz w:val="20"/>
        </w:rPr>
        <w:t xml:space="preserve"> C. Ten years of transcatheter aortic valve implantation in the NOTION study: the good and the bad. Eur Heart J Suppl. 2025 Apr 16;27(Suppl 3</w:t>
      </w:r>
      <w:proofErr w:type="gramStart"/>
      <w:r w:rsidRPr="00A25654">
        <w:rPr>
          <w:b w:val="0"/>
          <w:caps w:val="0"/>
          <w:sz w:val="20"/>
        </w:rPr>
        <w:t>):iii</w:t>
      </w:r>
      <w:proofErr w:type="gramEnd"/>
      <w:r w:rsidRPr="00A25654">
        <w:rPr>
          <w:b w:val="0"/>
          <w:caps w:val="0"/>
          <w:sz w:val="20"/>
        </w:rPr>
        <w:t xml:space="preserve">153-iii155. </w:t>
      </w:r>
      <w:proofErr w:type="spellStart"/>
      <w:r w:rsidRPr="00A25654">
        <w:rPr>
          <w:b w:val="0"/>
          <w:caps w:val="0"/>
          <w:sz w:val="20"/>
        </w:rPr>
        <w:t>doi</w:t>
      </w:r>
      <w:proofErr w:type="spellEnd"/>
      <w:r w:rsidRPr="00A25654">
        <w:rPr>
          <w:b w:val="0"/>
          <w:caps w:val="0"/>
          <w:sz w:val="20"/>
        </w:rPr>
        <w:t>: 10.1093/</w:t>
      </w:r>
      <w:proofErr w:type="spellStart"/>
      <w:r w:rsidRPr="00A25654">
        <w:rPr>
          <w:b w:val="0"/>
          <w:caps w:val="0"/>
          <w:sz w:val="20"/>
        </w:rPr>
        <w:t>eurheartjsupp</w:t>
      </w:r>
      <w:proofErr w:type="spellEnd"/>
      <w:r w:rsidRPr="00A25654">
        <w:rPr>
          <w:b w:val="0"/>
          <w:caps w:val="0"/>
          <w:sz w:val="20"/>
        </w:rPr>
        <w:t>/suaf039. PMID: 40248298; PMCID: PMC12001784.</w:t>
      </w:r>
    </w:p>
    <w:p w14:paraId="3B58FFD2" w14:textId="77777777" w:rsidR="00A25654" w:rsidRPr="00A25654" w:rsidRDefault="00A25654" w:rsidP="00A25654">
      <w:pPr>
        <w:pStyle w:val="Appendix"/>
        <w:jc w:val="both"/>
        <w:rPr>
          <w:b w:val="0"/>
          <w:caps w:val="0"/>
          <w:sz w:val="20"/>
        </w:rPr>
      </w:pPr>
      <w:r w:rsidRPr="00A25654">
        <w:rPr>
          <w:b w:val="0"/>
          <w:caps w:val="0"/>
          <w:sz w:val="20"/>
        </w:rPr>
        <w:t>10)</w:t>
      </w:r>
      <w:r w:rsidRPr="00A25654">
        <w:rPr>
          <w:b w:val="0"/>
          <w:caps w:val="0"/>
          <w:sz w:val="20"/>
        </w:rPr>
        <w:tab/>
      </w:r>
      <w:proofErr w:type="spellStart"/>
      <w:r w:rsidRPr="00A25654">
        <w:rPr>
          <w:b w:val="0"/>
          <w:caps w:val="0"/>
          <w:sz w:val="20"/>
        </w:rPr>
        <w:t>Mahmaljy</w:t>
      </w:r>
      <w:proofErr w:type="spellEnd"/>
      <w:r w:rsidRPr="00A25654">
        <w:rPr>
          <w:b w:val="0"/>
          <w:caps w:val="0"/>
          <w:sz w:val="20"/>
        </w:rPr>
        <w:t xml:space="preserve"> H, Tawney A, Young M. Transcatheter Aortic Valve Replacement. 2023 Jul 24. In: </w:t>
      </w:r>
      <w:proofErr w:type="spellStart"/>
      <w:r w:rsidRPr="00A25654">
        <w:rPr>
          <w:b w:val="0"/>
          <w:caps w:val="0"/>
          <w:sz w:val="20"/>
        </w:rPr>
        <w:t>StatPearls</w:t>
      </w:r>
      <w:proofErr w:type="spellEnd"/>
      <w:r w:rsidRPr="00A25654">
        <w:rPr>
          <w:b w:val="0"/>
          <w:caps w:val="0"/>
          <w:sz w:val="20"/>
        </w:rPr>
        <w:t xml:space="preserve"> [Internet]. Treasure Island (FL): </w:t>
      </w:r>
      <w:proofErr w:type="spellStart"/>
      <w:r w:rsidRPr="00A25654">
        <w:rPr>
          <w:b w:val="0"/>
          <w:caps w:val="0"/>
          <w:sz w:val="20"/>
        </w:rPr>
        <w:t>StatPearls</w:t>
      </w:r>
      <w:proofErr w:type="spellEnd"/>
      <w:r w:rsidRPr="00A25654">
        <w:rPr>
          <w:b w:val="0"/>
          <w:caps w:val="0"/>
          <w:sz w:val="20"/>
        </w:rPr>
        <w:t xml:space="preserve"> Publishing; 2025 Jan–. PMID: 28613729.</w:t>
      </w:r>
    </w:p>
    <w:p w14:paraId="605AFEA4" w14:textId="77777777" w:rsidR="00A25654" w:rsidRPr="00A25654" w:rsidRDefault="00A25654" w:rsidP="00A25654">
      <w:pPr>
        <w:pStyle w:val="Appendix"/>
        <w:jc w:val="both"/>
        <w:rPr>
          <w:b w:val="0"/>
          <w:caps w:val="0"/>
          <w:sz w:val="20"/>
        </w:rPr>
      </w:pPr>
      <w:r w:rsidRPr="00A25654">
        <w:rPr>
          <w:b w:val="0"/>
          <w:caps w:val="0"/>
          <w:sz w:val="20"/>
        </w:rPr>
        <w:t>11)</w:t>
      </w:r>
      <w:r w:rsidRPr="00A25654">
        <w:rPr>
          <w:b w:val="0"/>
          <w:caps w:val="0"/>
          <w:sz w:val="20"/>
        </w:rPr>
        <w:tab/>
        <w:t xml:space="preserve">Yacoub M. Alain G. </w:t>
      </w:r>
      <w:proofErr w:type="spellStart"/>
      <w:r w:rsidRPr="00A25654">
        <w:rPr>
          <w:b w:val="0"/>
          <w:caps w:val="0"/>
          <w:sz w:val="20"/>
        </w:rPr>
        <w:t>Cribier</w:t>
      </w:r>
      <w:proofErr w:type="spellEnd"/>
      <w:r w:rsidRPr="00A25654">
        <w:rPr>
          <w:b w:val="0"/>
          <w:caps w:val="0"/>
          <w:sz w:val="20"/>
        </w:rPr>
        <w:t xml:space="preserve">: 1945-2024. Glob </w:t>
      </w:r>
      <w:proofErr w:type="spellStart"/>
      <w:r w:rsidRPr="00A25654">
        <w:rPr>
          <w:b w:val="0"/>
          <w:caps w:val="0"/>
          <w:sz w:val="20"/>
        </w:rPr>
        <w:t>Cardiol</w:t>
      </w:r>
      <w:proofErr w:type="spellEnd"/>
      <w:r w:rsidRPr="00A25654">
        <w:rPr>
          <w:b w:val="0"/>
          <w:caps w:val="0"/>
          <w:sz w:val="20"/>
        </w:rPr>
        <w:t xml:space="preserve"> Sci </w:t>
      </w:r>
      <w:proofErr w:type="spellStart"/>
      <w:r w:rsidRPr="00A25654">
        <w:rPr>
          <w:b w:val="0"/>
          <w:caps w:val="0"/>
          <w:sz w:val="20"/>
        </w:rPr>
        <w:t>Pract</w:t>
      </w:r>
      <w:proofErr w:type="spellEnd"/>
      <w:r w:rsidRPr="00A25654">
        <w:rPr>
          <w:b w:val="0"/>
          <w:caps w:val="0"/>
          <w:sz w:val="20"/>
        </w:rPr>
        <w:t>. 2024 Apr 20;2024(3</w:t>
      </w:r>
      <w:proofErr w:type="gramStart"/>
      <w:r w:rsidRPr="00A25654">
        <w:rPr>
          <w:b w:val="0"/>
          <w:caps w:val="0"/>
          <w:sz w:val="20"/>
        </w:rPr>
        <w:t>):e</w:t>
      </w:r>
      <w:proofErr w:type="gramEnd"/>
      <w:r w:rsidRPr="00A25654">
        <w:rPr>
          <w:b w:val="0"/>
          <w:caps w:val="0"/>
          <w:sz w:val="20"/>
        </w:rPr>
        <w:t xml:space="preserve">202420. </w:t>
      </w:r>
      <w:proofErr w:type="spellStart"/>
      <w:r w:rsidRPr="00A25654">
        <w:rPr>
          <w:b w:val="0"/>
          <w:caps w:val="0"/>
          <w:sz w:val="20"/>
        </w:rPr>
        <w:t>doi</w:t>
      </w:r>
      <w:proofErr w:type="spellEnd"/>
      <w:r w:rsidRPr="00A25654">
        <w:rPr>
          <w:b w:val="0"/>
          <w:caps w:val="0"/>
          <w:sz w:val="20"/>
        </w:rPr>
        <w:t>: 10.21542/gcsp.2024.20. PMCID: PMC11230106.</w:t>
      </w:r>
    </w:p>
    <w:p w14:paraId="1DE7D43D" w14:textId="77777777" w:rsidR="00A25654" w:rsidRPr="00A25654" w:rsidRDefault="00A25654" w:rsidP="00A25654">
      <w:pPr>
        <w:pStyle w:val="Appendix"/>
        <w:jc w:val="both"/>
        <w:rPr>
          <w:b w:val="0"/>
          <w:caps w:val="0"/>
          <w:sz w:val="20"/>
        </w:rPr>
      </w:pPr>
      <w:r w:rsidRPr="00A25654">
        <w:rPr>
          <w:b w:val="0"/>
          <w:caps w:val="0"/>
          <w:sz w:val="20"/>
        </w:rPr>
        <w:t>12)</w:t>
      </w:r>
      <w:r w:rsidRPr="00A25654">
        <w:rPr>
          <w:b w:val="0"/>
          <w:caps w:val="0"/>
          <w:sz w:val="20"/>
        </w:rPr>
        <w:tab/>
      </w:r>
      <w:proofErr w:type="spellStart"/>
      <w:r w:rsidRPr="00A25654">
        <w:rPr>
          <w:b w:val="0"/>
          <w:caps w:val="0"/>
          <w:sz w:val="20"/>
        </w:rPr>
        <w:t>Feistritzer</w:t>
      </w:r>
      <w:proofErr w:type="spellEnd"/>
      <w:r w:rsidRPr="00A25654">
        <w:rPr>
          <w:b w:val="0"/>
          <w:caps w:val="0"/>
          <w:sz w:val="20"/>
        </w:rPr>
        <w:t xml:space="preserve"> HJ, Kurz T, </w:t>
      </w:r>
      <w:proofErr w:type="spellStart"/>
      <w:r w:rsidRPr="00A25654">
        <w:rPr>
          <w:b w:val="0"/>
          <w:caps w:val="0"/>
          <w:sz w:val="20"/>
        </w:rPr>
        <w:t>Vonthein</w:t>
      </w:r>
      <w:proofErr w:type="spellEnd"/>
      <w:r w:rsidRPr="00A25654">
        <w:rPr>
          <w:b w:val="0"/>
          <w:caps w:val="0"/>
          <w:sz w:val="20"/>
        </w:rPr>
        <w:t xml:space="preserve"> R, </w:t>
      </w:r>
      <w:proofErr w:type="spellStart"/>
      <w:r w:rsidRPr="00A25654">
        <w:rPr>
          <w:b w:val="0"/>
          <w:caps w:val="0"/>
          <w:sz w:val="20"/>
        </w:rPr>
        <w:t>Schröder</w:t>
      </w:r>
      <w:proofErr w:type="spellEnd"/>
      <w:r w:rsidRPr="00A25654">
        <w:rPr>
          <w:b w:val="0"/>
          <w:caps w:val="0"/>
          <w:sz w:val="20"/>
        </w:rPr>
        <w:t xml:space="preserve"> L, </w:t>
      </w:r>
      <w:proofErr w:type="spellStart"/>
      <w:r w:rsidRPr="00A25654">
        <w:rPr>
          <w:b w:val="0"/>
          <w:caps w:val="0"/>
          <w:sz w:val="20"/>
        </w:rPr>
        <w:t>Stachel</w:t>
      </w:r>
      <w:proofErr w:type="spellEnd"/>
      <w:r w:rsidRPr="00A25654">
        <w:rPr>
          <w:b w:val="0"/>
          <w:caps w:val="0"/>
          <w:sz w:val="20"/>
        </w:rPr>
        <w:t xml:space="preserve"> G, </w:t>
      </w:r>
      <w:proofErr w:type="spellStart"/>
      <w:r w:rsidRPr="00A25654">
        <w:rPr>
          <w:b w:val="0"/>
          <w:caps w:val="0"/>
          <w:sz w:val="20"/>
        </w:rPr>
        <w:t>Eitel</w:t>
      </w:r>
      <w:proofErr w:type="spellEnd"/>
      <w:r w:rsidRPr="00A25654">
        <w:rPr>
          <w:b w:val="0"/>
          <w:caps w:val="0"/>
          <w:sz w:val="20"/>
        </w:rPr>
        <w:t xml:space="preserve"> I, </w:t>
      </w:r>
      <w:proofErr w:type="spellStart"/>
      <w:r w:rsidRPr="00A25654">
        <w:rPr>
          <w:b w:val="0"/>
          <w:caps w:val="0"/>
          <w:sz w:val="20"/>
        </w:rPr>
        <w:t>Marquetand</w:t>
      </w:r>
      <w:proofErr w:type="spellEnd"/>
      <w:r w:rsidRPr="00A25654">
        <w:rPr>
          <w:b w:val="0"/>
          <w:caps w:val="0"/>
          <w:sz w:val="20"/>
        </w:rPr>
        <w:t xml:space="preserve"> C, </w:t>
      </w:r>
      <w:proofErr w:type="spellStart"/>
      <w:r w:rsidRPr="00A25654">
        <w:rPr>
          <w:b w:val="0"/>
          <w:caps w:val="0"/>
          <w:sz w:val="20"/>
        </w:rPr>
        <w:t>Saraei</w:t>
      </w:r>
      <w:proofErr w:type="spellEnd"/>
      <w:r w:rsidRPr="00A25654">
        <w:rPr>
          <w:b w:val="0"/>
          <w:caps w:val="0"/>
          <w:sz w:val="20"/>
        </w:rPr>
        <w:t xml:space="preserve"> R, </w:t>
      </w:r>
      <w:proofErr w:type="spellStart"/>
      <w:r w:rsidRPr="00A25654">
        <w:rPr>
          <w:b w:val="0"/>
          <w:caps w:val="0"/>
          <w:sz w:val="20"/>
        </w:rPr>
        <w:t>Kirchhof</w:t>
      </w:r>
      <w:proofErr w:type="spellEnd"/>
      <w:r w:rsidRPr="00A25654">
        <w:rPr>
          <w:b w:val="0"/>
          <w:caps w:val="0"/>
          <w:sz w:val="20"/>
        </w:rPr>
        <w:t xml:space="preserve"> E, </w:t>
      </w:r>
      <w:proofErr w:type="spellStart"/>
      <w:r w:rsidRPr="00A25654">
        <w:rPr>
          <w:b w:val="0"/>
          <w:caps w:val="0"/>
          <w:sz w:val="20"/>
        </w:rPr>
        <w:t>Heringlake</w:t>
      </w:r>
      <w:proofErr w:type="spellEnd"/>
      <w:r w:rsidRPr="00A25654">
        <w:rPr>
          <w:b w:val="0"/>
          <w:caps w:val="0"/>
          <w:sz w:val="20"/>
        </w:rPr>
        <w:t xml:space="preserve"> M, Abdel-Wahab M, </w:t>
      </w:r>
      <w:proofErr w:type="spellStart"/>
      <w:r w:rsidRPr="00A25654">
        <w:rPr>
          <w:b w:val="0"/>
          <w:caps w:val="0"/>
          <w:sz w:val="20"/>
        </w:rPr>
        <w:t>Desch</w:t>
      </w:r>
      <w:proofErr w:type="spellEnd"/>
      <w:r w:rsidRPr="00A25654">
        <w:rPr>
          <w:b w:val="0"/>
          <w:caps w:val="0"/>
          <w:sz w:val="20"/>
        </w:rPr>
        <w:t xml:space="preserve"> S, Thiele H; SOLVE-TAVI Investigators. Effect of Valve Type and Anesthesia Strategy for TAVR: </w:t>
      </w:r>
      <w:r w:rsidRPr="00A25654">
        <w:rPr>
          <w:b w:val="0"/>
          <w:caps w:val="0"/>
          <w:sz w:val="20"/>
        </w:rPr>
        <w:lastRenderedPageBreak/>
        <w:t xml:space="preserve">5-Year Results of the SOLVE-TAVI Trial. J Am Coll </w:t>
      </w:r>
      <w:proofErr w:type="spellStart"/>
      <w:r w:rsidRPr="00A25654">
        <w:rPr>
          <w:b w:val="0"/>
          <w:caps w:val="0"/>
          <w:sz w:val="20"/>
        </w:rPr>
        <w:t>Cardiol</w:t>
      </w:r>
      <w:proofErr w:type="spellEnd"/>
      <w:r w:rsidRPr="00A25654">
        <w:rPr>
          <w:b w:val="0"/>
          <w:caps w:val="0"/>
          <w:sz w:val="20"/>
        </w:rPr>
        <w:t xml:space="preserve">. 2025 Jan 7;85(1):74-82. </w:t>
      </w:r>
      <w:proofErr w:type="spellStart"/>
      <w:r w:rsidRPr="00A25654">
        <w:rPr>
          <w:b w:val="0"/>
          <w:caps w:val="0"/>
          <w:sz w:val="20"/>
        </w:rPr>
        <w:t>doi</w:t>
      </w:r>
      <w:proofErr w:type="spellEnd"/>
      <w:r w:rsidRPr="00A25654">
        <w:rPr>
          <w:b w:val="0"/>
          <w:caps w:val="0"/>
          <w:sz w:val="20"/>
        </w:rPr>
        <w:t xml:space="preserve">: 10.1016/j.jacc.2024.09.007. </w:t>
      </w:r>
      <w:proofErr w:type="spellStart"/>
      <w:r w:rsidRPr="00A25654">
        <w:rPr>
          <w:b w:val="0"/>
          <w:caps w:val="0"/>
          <w:sz w:val="20"/>
        </w:rPr>
        <w:t>Epub</w:t>
      </w:r>
      <w:proofErr w:type="spellEnd"/>
      <w:r w:rsidRPr="00A25654">
        <w:rPr>
          <w:b w:val="0"/>
          <w:caps w:val="0"/>
          <w:sz w:val="20"/>
        </w:rPr>
        <w:t xml:space="preserve"> 2024 Nov 6. PMID: 39503651.</w:t>
      </w:r>
    </w:p>
    <w:p w14:paraId="61C5E8E5" w14:textId="77777777" w:rsidR="00A25654" w:rsidRPr="00A25654" w:rsidRDefault="00A25654" w:rsidP="00A25654">
      <w:pPr>
        <w:pStyle w:val="Appendix"/>
        <w:jc w:val="both"/>
        <w:rPr>
          <w:b w:val="0"/>
          <w:caps w:val="0"/>
          <w:sz w:val="20"/>
        </w:rPr>
      </w:pPr>
      <w:r w:rsidRPr="00A25654">
        <w:rPr>
          <w:b w:val="0"/>
          <w:caps w:val="0"/>
          <w:sz w:val="20"/>
        </w:rPr>
        <w:t>13)</w:t>
      </w:r>
      <w:r w:rsidRPr="00A25654">
        <w:rPr>
          <w:b w:val="0"/>
          <w:caps w:val="0"/>
          <w:sz w:val="20"/>
        </w:rPr>
        <w:tab/>
      </w:r>
      <w:proofErr w:type="spellStart"/>
      <w:r w:rsidRPr="00A25654">
        <w:rPr>
          <w:b w:val="0"/>
          <w:caps w:val="0"/>
          <w:sz w:val="20"/>
        </w:rPr>
        <w:t>Beerkens</w:t>
      </w:r>
      <w:proofErr w:type="spellEnd"/>
      <w:r w:rsidRPr="00A25654">
        <w:rPr>
          <w:b w:val="0"/>
          <w:caps w:val="0"/>
          <w:sz w:val="20"/>
        </w:rPr>
        <w:t xml:space="preserve"> FJ, Tang GHL, </w:t>
      </w:r>
      <w:proofErr w:type="spellStart"/>
      <w:r w:rsidRPr="00A25654">
        <w:rPr>
          <w:b w:val="0"/>
          <w:caps w:val="0"/>
          <w:sz w:val="20"/>
        </w:rPr>
        <w:t>Kini</w:t>
      </w:r>
      <w:proofErr w:type="spellEnd"/>
      <w:r w:rsidRPr="00A25654">
        <w:rPr>
          <w:b w:val="0"/>
          <w:caps w:val="0"/>
          <w:sz w:val="20"/>
        </w:rPr>
        <w:t xml:space="preserve"> AS, </w:t>
      </w:r>
      <w:proofErr w:type="spellStart"/>
      <w:r w:rsidRPr="00A25654">
        <w:rPr>
          <w:b w:val="0"/>
          <w:caps w:val="0"/>
          <w:sz w:val="20"/>
        </w:rPr>
        <w:t>Lerakis</w:t>
      </w:r>
      <w:proofErr w:type="spellEnd"/>
      <w:r w:rsidRPr="00A25654">
        <w:rPr>
          <w:b w:val="0"/>
          <w:caps w:val="0"/>
          <w:sz w:val="20"/>
        </w:rPr>
        <w:t xml:space="preserve"> S, </w:t>
      </w:r>
      <w:proofErr w:type="spellStart"/>
      <w:r w:rsidRPr="00A25654">
        <w:rPr>
          <w:b w:val="0"/>
          <w:caps w:val="0"/>
          <w:sz w:val="20"/>
        </w:rPr>
        <w:t>Dangas</w:t>
      </w:r>
      <w:proofErr w:type="spellEnd"/>
      <w:r w:rsidRPr="00A25654">
        <w:rPr>
          <w:b w:val="0"/>
          <w:caps w:val="0"/>
          <w:sz w:val="20"/>
        </w:rPr>
        <w:t xml:space="preserve"> GD, Mehran R, </w:t>
      </w:r>
      <w:proofErr w:type="spellStart"/>
      <w:r w:rsidRPr="00A25654">
        <w:rPr>
          <w:b w:val="0"/>
          <w:caps w:val="0"/>
          <w:sz w:val="20"/>
        </w:rPr>
        <w:t>Khera</w:t>
      </w:r>
      <w:proofErr w:type="spellEnd"/>
      <w:r w:rsidRPr="00A25654">
        <w:rPr>
          <w:b w:val="0"/>
          <w:caps w:val="0"/>
          <w:sz w:val="20"/>
        </w:rPr>
        <w:t xml:space="preserve"> S, Goldman M, </w:t>
      </w:r>
      <w:proofErr w:type="spellStart"/>
      <w:r w:rsidRPr="00A25654">
        <w:rPr>
          <w:b w:val="0"/>
          <w:caps w:val="0"/>
          <w:sz w:val="20"/>
        </w:rPr>
        <w:t>Fuster</w:t>
      </w:r>
      <w:proofErr w:type="spellEnd"/>
      <w:r w:rsidRPr="00A25654">
        <w:rPr>
          <w:b w:val="0"/>
          <w:caps w:val="0"/>
          <w:sz w:val="20"/>
        </w:rPr>
        <w:t xml:space="preserve"> V, Bhatt DL, Webb JG, Sharma SK. Transcatheter Aortic Valve Replacement Beyond Severe Aortic Stenosis: JACC State-of-the-Art Review. J Am Coll </w:t>
      </w:r>
      <w:proofErr w:type="spellStart"/>
      <w:r w:rsidRPr="00A25654">
        <w:rPr>
          <w:b w:val="0"/>
          <w:caps w:val="0"/>
          <w:sz w:val="20"/>
        </w:rPr>
        <w:t>Cardiol</w:t>
      </w:r>
      <w:proofErr w:type="spellEnd"/>
      <w:r w:rsidRPr="00A25654">
        <w:rPr>
          <w:b w:val="0"/>
          <w:caps w:val="0"/>
          <w:sz w:val="20"/>
        </w:rPr>
        <w:t xml:space="preserve">. 2025 Mar 11;85(9):944-964. </w:t>
      </w:r>
      <w:proofErr w:type="spellStart"/>
      <w:r w:rsidRPr="00A25654">
        <w:rPr>
          <w:b w:val="0"/>
          <w:caps w:val="0"/>
          <w:sz w:val="20"/>
        </w:rPr>
        <w:t>doi</w:t>
      </w:r>
      <w:proofErr w:type="spellEnd"/>
      <w:r w:rsidRPr="00A25654">
        <w:rPr>
          <w:b w:val="0"/>
          <w:caps w:val="0"/>
          <w:sz w:val="20"/>
        </w:rPr>
        <w:t>: 10.1016/j.jacc.2024.11.051. PMID: 40044299.</w:t>
      </w:r>
    </w:p>
    <w:p w14:paraId="00849700" w14:textId="77777777" w:rsidR="00A25654" w:rsidRPr="00A25654" w:rsidRDefault="00A25654" w:rsidP="00A25654">
      <w:pPr>
        <w:pStyle w:val="Appendix"/>
        <w:jc w:val="both"/>
        <w:rPr>
          <w:b w:val="0"/>
          <w:caps w:val="0"/>
          <w:sz w:val="20"/>
        </w:rPr>
      </w:pPr>
      <w:r w:rsidRPr="00A25654">
        <w:rPr>
          <w:b w:val="0"/>
          <w:caps w:val="0"/>
          <w:sz w:val="20"/>
        </w:rPr>
        <w:t>14)</w:t>
      </w:r>
      <w:r w:rsidRPr="00A25654">
        <w:rPr>
          <w:b w:val="0"/>
          <w:caps w:val="0"/>
          <w:sz w:val="20"/>
        </w:rPr>
        <w:tab/>
        <w:t xml:space="preserve">Sato K, Jones PM. Sedation versus general anesthesia for transcatheter aortic valve replacement. J </w:t>
      </w:r>
      <w:proofErr w:type="spellStart"/>
      <w:r w:rsidRPr="00A25654">
        <w:rPr>
          <w:b w:val="0"/>
          <w:caps w:val="0"/>
          <w:sz w:val="20"/>
        </w:rPr>
        <w:t>Thorac</w:t>
      </w:r>
      <w:proofErr w:type="spellEnd"/>
      <w:r w:rsidRPr="00A25654">
        <w:rPr>
          <w:b w:val="0"/>
          <w:caps w:val="0"/>
          <w:sz w:val="20"/>
        </w:rPr>
        <w:t xml:space="preserve"> Dis. 2018 Nov;10(Suppl 30</w:t>
      </w:r>
      <w:proofErr w:type="gramStart"/>
      <w:r w:rsidRPr="00A25654">
        <w:rPr>
          <w:b w:val="0"/>
          <w:caps w:val="0"/>
          <w:sz w:val="20"/>
        </w:rPr>
        <w:t>):S</w:t>
      </w:r>
      <w:proofErr w:type="gramEnd"/>
      <w:r w:rsidRPr="00A25654">
        <w:rPr>
          <w:b w:val="0"/>
          <w:caps w:val="0"/>
          <w:sz w:val="20"/>
        </w:rPr>
        <w:t xml:space="preserve">3588-S3594. </w:t>
      </w:r>
      <w:proofErr w:type="spellStart"/>
      <w:r w:rsidRPr="00A25654">
        <w:rPr>
          <w:b w:val="0"/>
          <w:caps w:val="0"/>
          <w:sz w:val="20"/>
        </w:rPr>
        <w:t>doi</w:t>
      </w:r>
      <w:proofErr w:type="spellEnd"/>
      <w:r w:rsidRPr="00A25654">
        <w:rPr>
          <w:b w:val="0"/>
          <w:caps w:val="0"/>
          <w:sz w:val="20"/>
        </w:rPr>
        <w:t>: 10.21037/jtd.2018.08.89. PMID: 30505539; PMCID: PMC6242923.</w:t>
      </w:r>
    </w:p>
    <w:p w14:paraId="79A18D80" w14:textId="77777777" w:rsidR="00A25654" w:rsidRPr="00A25654" w:rsidRDefault="00A25654" w:rsidP="00A25654">
      <w:pPr>
        <w:pStyle w:val="Appendix"/>
        <w:jc w:val="both"/>
        <w:rPr>
          <w:b w:val="0"/>
          <w:caps w:val="0"/>
          <w:sz w:val="20"/>
        </w:rPr>
      </w:pPr>
      <w:r w:rsidRPr="00A25654">
        <w:rPr>
          <w:b w:val="0"/>
          <w:caps w:val="0"/>
          <w:sz w:val="20"/>
        </w:rPr>
        <w:t>15)</w:t>
      </w:r>
      <w:r w:rsidRPr="00A25654">
        <w:rPr>
          <w:b w:val="0"/>
          <w:caps w:val="0"/>
          <w:sz w:val="20"/>
        </w:rPr>
        <w:tab/>
      </w:r>
      <w:proofErr w:type="spellStart"/>
      <w:r w:rsidRPr="00A25654">
        <w:rPr>
          <w:b w:val="0"/>
          <w:caps w:val="0"/>
          <w:sz w:val="20"/>
        </w:rPr>
        <w:t>Abdalwahab</w:t>
      </w:r>
      <w:proofErr w:type="spellEnd"/>
      <w:r w:rsidRPr="00A25654">
        <w:rPr>
          <w:b w:val="0"/>
          <w:caps w:val="0"/>
          <w:sz w:val="20"/>
        </w:rPr>
        <w:t xml:space="preserve"> A, Omari M, </w:t>
      </w:r>
      <w:proofErr w:type="spellStart"/>
      <w:r w:rsidRPr="00A25654">
        <w:rPr>
          <w:b w:val="0"/>
          <w:caps w:val="0"/>
          <w:sz w:val="20"/>
        </w:rPr>
        <w:t>Alkhalil</w:t>
      </w:r>
      <w:proofErr w:type="spellEnd"/>
      <w:r w:rsidRPr="00A25654">
        <w:rPr>
          <w:b w:val="0"/>
          <w:caps w:val="0"/>
          <w:sz w:val="20"/>
        </w:rPr>
        <w:t xml:space="preserve"> M. Aortic Valve Intervention in Patients with Aortic Stenosis and Small Annulus. Rev Cardiovasc Med. 2025 Mar 24;26(3):26738. </w:t>
      </w:r>
      <w:proofErr w:type="spellStart"/>
      <w:r w:rsidRPr="00A25654">
        <w:rPr>
          <w:b w:val="0"/>
          <w:caps w:val="0"/>
          <w:sz w:val="20"/>
        </w:rPr>
        <w:t>doi</w:t>
      </w:r>
      <w:proofErr w:type="spellEnd"/>
      <w:r w:rsidRPr="00A25654">
        <w:rPr>
          <w:b w:val="0"/>
          <w:caps w:val="0"/>
          <w:sz w:val="20"/>
        </w:rPr>
        <w:t>: 10.31083/RCM26738. PMID: 40160595; PMCID: PMC11951497.</w:t>
      </w:r>
    </w:p>
    <w:p w14:paraId="45BE51AD" w14:textId="77777777" w:rsidR="00A25654" w:rsidRPr="00A25654" w:rsidRDefault="00A25654" w:rsidP="00A25654">
      <w:pPr>
        <w:pStyle w:val="Appendix"/>
        <w:jc w:val="both"/>
        <w:rPr>
          <w:b w:val="0"/>
          <w:caps w:val="0"/>
          <w:sz w:val="20"/>
        </w:rPr>
      </w:pPr>
      <w:r w:rsidRPr="00A25654">
        <w:rPr>
          <w:b w:val="0"/>
          <w:caps w:val="0"/>
          <w:sz w:val="20"/>
        </w:rPr>
        <w:t>16)</w:t>
      </w:r>
      <w:r w:rsidRPr="00A25654">
        <w:rPr>
          <w:b w:val="0"/>
          <w:caps w:val="0"/>
          <w:sz w:val="20"/>
        </w:rPr>
        <w:tab/>
      </w:r>
      <w:proofErr w:type="spellStart"/>
      <w:r w:rsidRPr="00A25654">
        <w:rPr>
          <w:b w:val="0"/>
          <w:caps w:val="0"/>
          <w:sz w:val="20"/>
        </w:rPr>
        <w:t>Ooms</w:t>
      </w:r>
      <w:proofErr w:type="spellEnd"/>
      <w:r w:rsidRPr="00A25654">
        <w:rPr>
          <w:b w:val="0"/>
          <w:caps w:val="0"/>
          <w:sz w:val="20"/>
        </w:rPr>
        <w:t xml:space="preserve"> JF, Cornelis K, </w:t>
      </w:r>
      <w:proofErr w:type="spellStart"/>
      <w:r w:rsidRPr="00A25654">
        <w:rPr>
          <w:b w:val="0"/>
          <w:caps w:val="0"/>
          <w:sz w:val="20"/>
        </w:rPr>
        <w:t>Wijeysundera</w:t>
      </w:r>
      <w:proofErr w:type="spellEnd"/>
      <w:r w:rsidRPr="00A25654">
        <w:rPr>
          <w:b w:val="0"/>
          <w:caps w:val="0"/>
          <w:sz w:val="20"/>
        </w:rPr>
        <w:t xml:space="preserve"> HC, </w:t>
      </w:r>
      <w:proofErr w:type="spellStart"/>
      <w:r w:rsidRPr="00A25654">
        <w:rPr>
          <w:b w:val="0"/>
          <w:caps w:val="0"/>
          <w:sz w:val="20"/>
        </w:rPr>
        <w:t>Vandeloo</w:t>
      </w:r>
      <w:proofErr w:type="spellEnd"/>
      <w:r w:rsidRPr="00A25654">
        <w:rPr>
          <w:b w:val="0"/>
          <w:caps w:val="0"/>
          <w:sz w:val="20"/>
        </w:rPr>
        <w:t xml:space="preserve"> B, Van Der </w:t>
      </w:r>
      <w:proofErr w:type="spellStart"/>
      <w:r w:rsidRPr="00A25654">
        <w:rPr>
          <w:b w:val="0"/>
          <w:caps w:val="0"/>
          <w:sz w:val="20"/>
        </w:rPr>
        <w:t>Heyden</w:t>
      </w:r>
      <w:proofErr w:type="spellEnd"/>
      <w:r w:rsidRPr="00A25654">
        <w:rPr>
          <w:b w:val="0"/>
          <w:caps w:val="0"/>
          <w:sz w:val="20"/>
        </w:rPr>
        <w:t xml:space="preserve"> J, Kovac J, Wood D, Chan A, </w:t>
      </w:r>
      <w:proofErr w:type="spellStart"/>
      <w:r w:rsidRPr="00A25654">
        <w:rPr>
          <w:b w:val="0"/>
          <w:caps w:val="0"/>
          <w:sz w:val="20"/>
        </w:rPr>
        <w:t>Wykyrzykowska</w:t>
      </w:r>
      <w:proofErr w:type="spellEnd"/>
      <w:r w:rsidRPr="00A25654">
        <w:rPr>
          <w:b w:val="0"/>
          <w:caps w:val="0"/>
          <w:sz w:val="20"/>
        </w:rPr>
        <w:t xml:space="preserve"> J, </w:t>
      </w:r>
      <w:proofErr w:type="spellStart"/>
      <w:r w:rsidRPr="00A25654">
        <w:rPr>
          <w:b w:val="0"/>
          <w:caps w:val="0"/>
          <w:sz w:val="20"/>
        </w:rPr>
        <w:t>Rosseel</w:t>
      </w:r>
      <w:proofErr w:type="spellEnd"/>
      <w:r w:rsidRPr="00A25654">
        <w:rPr>
          <w:b w:val="0"/>
          <w:caps w:val="0"/>
          <w:sz w:val="20"/>
        </w:rPr>
        <w:t xml:space="preserve"> L, Cunnington M, van der </w:t>
      </w:r>
      <w:proofErr w:type="spellStart"/>
      <w:r w:rsidRPr="00A25654">
        <w:rPr>
          <w:b w:val="0"/>
          <w:caps w:val="0"/>
          <w:sz w:val="20"/>
        </w:rPr>
        <w:t>Kley</w:t>
      </w:r>
      <w:proofErr w:type="spellEnd"/>
      <w:r w:rsidRPr="00A25654">
        <w:rPr>
          <w:b w:val="0"/>
          <w:caps w:val="0"/>
          <w:sz w:val="20"/>
        </w:rPr>
        <w:t xml:space="preserve"> F, </w:t>
      </w:r>
      <w:proofErr w:type="spellStart"/>
      <w:r w:rsidRPr="00A25654">
        <w:rPr>
          <w:b w:val="0"/>
          <w:caps w:val="0"/>
          <w:sz w:val="20"/>
        </w:rPr>
        <w:t>Rensing</w:t>
      </w:r>
      <w:proofErr w:type="spellEnd"/>
      <w:r w:rsidRPr="00A25654">
        <w:rPr>
          <w:b w:val="0"/>
          <w:caps w:val="0"/>
          <w:sz w:val="20"/>
        </w:rPr>
        <w:t xml:space="preserve"> B, </w:t>
      </w:r>
      <w:proofErr w:type="spellStart"/>
      <w:r w:rsidRPr="00A25654">
        <w:rPr>
          <w:b w:val="0"/>
          <w:caps w:val="0"/>
          <w:sz w:val="20"/>
        </w:rPr>
        <w:t>Voskuil</w:t>
      </w:r>
      <w:proofErr w:type="spellEnd"/>
      <w:r w:rsidRPr="00A25654">
        <w:rPr>
          <w:b w:val="0"/>
          <w:caps w:val="0"/>
          <w:sz w:val="20"/>
        </w:rPr>
        <w:t xml:space="preserve"> M, </w:t>
      </w:r>
      <w:proofErr w:type="spellStart"/>
      <w:r w:rsidRPr="00A25654">
        <w:rPr>
          <w:b w:val="0"/>
          <w:caps w:val="0"/>
          <w:sz w:val="20"/>
        </w:rPr>
        <w:t>Hildick</w:t>
      </w:r>
      <w:proofErr w:type="spellEnd"/>
      <w:r w:rsidRPr="00A25654">
        <w:rPr>
          <w:b w:val="0"/>
          <w:caps w:val="0"/>
          <w:sz w:val="20"/>
        </w:rPr>
        <w:t xml:space="preserve">-Smith D, Van </w:t>
      </w:r>
      <w:proofErr w:type="spellStart"/>
      <w:r w:rsidRPr="00A25654">
        <w:rPr>
          <w:b w:val="0"/>
          <w:caps w:val="0"/>
          <w:sz w:val="20"/>
        </w:rPr>
        <w:t>Mieghem</w:t>
      </w:r>
      <w:proofErr w:type="spellEnd"/>
      <w:r w:rsidRPr="00A25654">
        <w:rPr>
          <w:b w:val="0"/>
          <w:caps w:val="0"/>
          <w:sz w:val="20"/>
        </w:rPr>
        <w:t xml:space="preserve"> NM. Safety and feasibility of early discharge after transcatheter aortic valve implantation with ACURATE Neo-the POLESTAR trial. Clin Res </w:t>
      </w:r>
      <w:proofErr w:type="spellStart"/>
      <w:r w:rsidRPr="00A25654">
        <w:rPr>
          <w:b w:val="0"/>
          <w:caps w:val="0"/>
          <w:sz w:val="20"/>
        </w:rPr>
        <w:t>Cardiol</w:t>
      </w:r>
      <w:proofErr w:type="spellEnd"/>
      <w:r w:rsidRPr="00A25654">
        <w:rPr>
          <w:b w:val="0"/>
          <w:caps w:val="0"/>
          <w:sz w:val="20"/>
        </w:rPr>
        <w:t xml:space="preserve">. 2025 Mar;114(3):341-349. </w:t>
      </w:r>
      <w:proofErr w:type="spellStart"/>
      <w:r w:rsidRPr="00A25654">
        <w:rPr>
          <w:b w:val="0"/>
          <w:caps w:val="0"/>
          <w:sz w:val="20"/>
        </w:rPr>
        <w:t>doi</w:t>
      </w:r>
      <w:proofErr w:type="spellEnd"/>
      <w:r w:rsidRPr="00A25654">
        <w:rPr>
          <w:b w:val="0"/>
          <w:caps w:val="0"/>
          <w:sz w:val="20"/>
        </w:rPr>
        <w:t xml:space="preserve">: 10.1007/s00392-024-02436-z. </w:t>
      </w:r>
      <w:proofErr w:type="spellStart"/>
      <w:r w:rsidRPr="00A25654">
        <w:rPr>
          <w:b w:val="0"/>
          <w:caps w:val="0"/>
          <w:sz w:val="20"/>
        </w:rPr>
        <w:t>Epub</w:t>
      </w:r>
      <w:proofErr w:type="spellEnd"/>
      <w:r w:rsidRPr="00A25654">
        <w:rPr>
          <w:b w:val="0"/>
          <w:caps w:val="0"/>
          <w:sz w:val="20"/>
        </w:rPr>
        <w:t xml:space="preserve"> 2024 Apr 15. PMID: 38619575; PMCID: PMC11913897.</w:t>
      </w:r>
    </w:p>
    <w:p w14:paraId="315027B3" w14:textId="77777777" w:rsidR="00A25654" w:rsidRPr="00A25654" w:rsidRDefault="00A25654" w:rsidP="00A25654">
      <w:pPr>
        <w:pStyle w:val="Appendix"/>
        <w:jc w:val="both"/>
        <w:rPr>
          <w:b w:val="0"/>
          <w:caps w:val="0"/>
          <w:sz w:val="20"/>
        </w:rPr>
      </w:pPr>
      <w:r w:rsidRPr="00A25654">
        <w:rPr>
          <w:b w:val="0"/>
          <w:caps w:val="0"/>
          <w:sz w:val="20"/>
        </w:rPr>
        <w:t>17)</w:t>
      </w:r>
      <w:r w:rsidRPr="00A25654">
        <w:rPr>
          <w:b w:val="0"/>
          <w:caps w:val="0"/>
          <w:sz w:val="20"/>
        </w:rPr>
        <w:tab/>
        <w:t xml:space="preserve">Mayr NP, Michel J, </w:t>
      </w:r>
      <w:proofErr w:type="spellStart"/>
      <w:r w:rsidRPr="00A25654">
        <w:rPr>
          <w:b w:val="0"/>
          <w:caps w:val="0"/>
          <w:sz w:val="20"/>
        </w:rPr>
        <w:t>Bleiziffer</w:t>
      </w:r>
      <w:proofErr w:type="spellEnd"/>
      <w:r w:rsidRPr="00A25654">
        <w:rPr>
          <w:b w:val="0"/>
          <w:caps w:val="0"/>
          <w:sz w:val="20"/>
        </w:rPr>
        <w:t xml:space="preserve"> S, </w:t>
      </w:r>
      <w:proofErr w:type="spellStart"/>
      <w:r w:rsidRPr="00A25654">
        <w:rPr>
          <w:b w:val="0"/>
          <w:caps w:val="0"/>
          <w:sz w:val="20"/>
        </w:rPr>
        <w:t>Tassani</w:t>
      </w:r>
      <w:proofErr w:type="spellEnd"/>
      <w:r w:rsidRPr="00A25654">
        <w:rPr>
          <w:b w:val="0"/>
          <w:caps w:val="0"/>
          <w:sz w:val="20"/>
        </w:rPr>
        <w:t xml:space="preserve"> P, Martin K. Sedation or general anesthesia for transcatheter aortic valve implantation (TAVI). J </w:t>
      </w:r>
      <w:proofErr w:type="spellStart"/>
      <w:r w:rsidRPr="00A25654">
        <w:rPr>
          <w:b w:val="0"/>
          <w:caps w:val="0"/>
          <w:sz w:val="20"/>
        </w:rPr>
        <w:t>Thorac</w:t>
      </w:r>
      <w:proofErr w:type="spellEnd"/>
      <w:r w:rsidRPr="00A25654">
        <w:rPr>
          <w:b w:val="0"/>
          <w:caps w:val="0"/>
          <w:sz w:val="20"/>
        </w:rPr>
        <w:t xml:space="preserve"> Dis. 2015 Sep;7(9):1518-26. </w:t>
      </w:r>
      <w:proofErr w:type="spellStart"/>
      <w:r w:rsidRPr="00A25654">
        <w:rPr>
          <w:b w:val="0"/>
          <w:caps w:val="0"/>
          <w:sz w:val="20"/>
        </w:rPr>
        <w:t>doi</w:t>
      </w:r>
      <w:proofErr w:type="spellEnd"/>
      <w:r w:rsidRPr="00A25654">
        <w:rPr>
          <w:b w:val="0"/>
          <w:caps w:val="0"/>
          <w:sz w:val="20"/>
        </w:rPr>
        <w:t>: 10.3978/j.issn.2072-1439.2015.08.21. PMID: 26543597; PMCID: PMC4598507.</w:t>
      </w:r>
    </w:p>
    <w:p w14:paraId="6B0FCD4D" w14:textId="77777777" w:rsidR="00A25654" w:rsidRPr="00A25654" w:rsidRDefault="00A25654" w:rsidP="00A25654">
      <w:pPr>
        <w:pStyle w:val="Appendix"/>
        <w:jc w:val="both"/>
        <w:rPr>
          <w:b w:val="0"/>
          <w:caps w:val="0"/>
          <w:sz w:val="20"/>
        </w:rPr>
      </w:pPr>
      <w:r w:rsidRPr="00A25654">
        <w:rPr>
          <w:b w:val="0"/>
          <w:caps w:val="0"/>
          <w:sz w:val="20"/>
        </w:rPr>
        <w:t>18)</w:t>
      </w:r>
      <w:r w:rsidRPr="00A25654">
        <w:rPr>
          <w:b w:val="0"/>
          <w:caps w:val="0"/>
          <w:sz w:val="20"/>
        </w:rPr>
        <w:tab/>
        <w:t xml:space="preserve">Andersen HR. How Transcatheter Aortic Valve Implantation (TAVI) Was Born: The Struggle for a New Invention. Front Cardiovasc Med. 2021 Sep </w:t>
      </w:r>
      <w:proofErr w:type="gramStart"/>
      <w:r w:rsidRPr="00A25654">
        <w:rPr>
          <w:b w:val="0"/>
          <w:caps w:val="0"/>
          <w:sz w:val="20"/>
        </w:rPr>
        <w:t>29;8:722693</w:t>
      </w:r>
      <w:proofErr w:type="gramEnd"/>
      <w:r w:rsidRPr="00A25654">
        <w:rPr>
          <w:b w:val="0"/>
          <w:caps w:val="0"/>
          <w:sz w:val="20"/>
        </w:rPr>
        <w:t xml:space="preserve">. </w:t>
      </w:r>
      <w:proofErr w:type="spellStart"/>
      <w:r w:rsidRPr="00A25654">
        <w:rPr>
          <w:b w:val="0"/>
          <w:caps w:val="0"/>
          <w:sz w:val="20"/>
        </w:rPr>
        <w:t>doi</w:t>
      </w:r>
      <w:proofErr w:type="spellEnd"/>
      <w:r w:rsidRPr="00A25654">
        <w:rPr>
          <w:b w:val="0"/>
          <w:caps w:val="0"/>
          <w:sz w:val="20"/>
        </w:rPr>
        <w:t>: 10.3389/fcvm.2021.722693. PMID: 34660724; PMCID: PMC8511628.</w:t>
      </w:r>
    </w:p>
    <w:p w14:paraId="5843E38E" w14:textId="77777777" w:rsidR="00A25654" w:rsidRPr="00A25654" w:rsidRDefault="00A25654" w:rsidP="00A25654">
      <w:pPr>
        <w:pStyle w:val="Appendix"/>
        <w:jc w:val="both"/>
        <w:rPr>
          <w:b w:val="0"/>
          <w:caps w:val="0"/>
          <w:sz w:val="20"/>
        </w:rPr>
      </w:pPr>
      <w:r w:rsidRPr="00A25654">
        <w:rPr>
          <w:b w:val="0"/>
          <w:caps w:val="0"/>
          <w:sz w:val="20"/>
        </w:rPr>
        <w:t>19)</w:t>
      </w:r>
      <w:r w:rsidRPr="00A25654">
        <w:rPr>
          <w:b w:val="0"/>
          <w:caps w:val="0"/>
          <w:sz w:val="20"/>
        </w:rPr>
        <w:tab/>
        <w:t xml:space="preserve">Webb JG, </w:t>
      </w:r>
      <w:proofErr w:type="spellStart"/>
      <w:r w:rsidRPr="00A25654">
        <w:rPr>
          <w:b w:val="0"/>
          <w:caps w:val="0"/>
          <w:sz w:val="20"/>
        </w:rPr>
        <w:t>Blanke</w:t>
      </w:r>
      <w:proofErr w:type="spellEnd"/>
      <w:r w:rsidRPr="00A25654">
        <w:rPr>
          <w:b w:val="0"/>
          <w:caps w:val="0"/>
          <w:sz w:val="20"/>
        </w:rPr>
        <w:t xml:space="preserve"> P, Meier D, </w:t>
      </w:r>
      <w:proofErr w:type="spellStart"/>
      <w:r w:rsidRPr="00A25654">
        <w:rPr>
          <w:b w:val="0"/>
          <w:caps w:val="0"/>
          <w:sz w:val="20"/>
        </w:rPr>
        <w:t>Sathananthan</w:t>
      </w:r>
      <w:proofErr w:type="spellEnd"/>
      <w:r w:rsidRPr="00A25654">
        <w:rPr>
          <w:b w:val="0"/>
          <w:caps w:val="0"/>
          <w:sz w:val="20"/>
        </w:rPr>
        <w:t xml:space="preserve"> J, </w:t>
      </w:r>
      <w:proofErr w:type="spellStart"/>
      <w:r w:rsidRPr="00A25654">
        <w:rPr>
          <w:b w:val="0"/>
          <w:caps w:val="0"/>
          <w:sz w:val="20"/>
        </w:rPr>
        <w:t>Lauck</w:t>
      </w:r>
      <w:proofErr w:type="spellEnd"/>
      <w:r w:rsidRPr="00A25654">
        <w:rPr>
          <w:b w:val="0"/>
          <w:caps w:val="0"/>
          <w:sz w:val="20"/>
        </w:rPr>
        <w:t xml:space="preserve"> S, Chatfield AG, </w:t>
      </w:r>
      <w:proofErr w:type="spellStart"/>
      <w:r w:rsidRPr="00A25654">
        <w:rPr>
          <w:b w:val="0"/>
          <w:caps w:val="0"/>
          <w:sz w:val="20"/>
        </w:rPr>
        <w:t>Jelisejevas</w:t>
      </w:r>
      <w:proofErr w:type="spellEnd"/>
      <w:r w:rsidRPr="00A25654">
        <w:rPr>
          <w:b w:val="0"/>
          <w:caps w:val="0"/>
          <w:sz w:val="20"/>
        </w:rPr>
        <w:t xml:space="preserve"> J, Wood DA, </w:t>
      </w:r>
      <w:proofErr w:type="spellStart"/>
      <w:r w:rsidRPr="00A25654">
        <w:rPr>
          <w:b w:val="0"/>
          <w:caps w:val="0"/>
          <w:sz w:val="20"/>
        </w:rPr>
        <w:t>Akodad</w:t>
      </w:r>
      <w:proofErr w:type="spellEnd"/>
      <w:r w:rsidRPr="00A25654">
        <w:rPr>
          <w:b w:val="0"/>
          <w:caps w:val="0"/>
          <w:sz w:val="20"/>
        </w:rPr>
        <w:t xml:space="preserve"> M. TAVI in 2022: Remaining issues and future direction. Arch Cardiovasc Dis. 2022 Apr;115(4):235-242. </w:t>
      </w:r>
      <w:proofErr w:type="spellStart"/>
      <w:r w:rsidRPr="00A25654">
        <w:rPr>
          <w:b w:val="0"/>
          <w:caps w:val="0"/>
          <w:sz w:val="20"/>
        </w:rPr>
        <w:t>doi</w:t>
      </w:r>
      <w:proofErr w:type="spellEnd"/>
      <w:r w:rsidRPr="00A25654">
        <w:rPr>
          <w:b w:val="0"/>
          <w:caps w:val="0"/>
          <w:sz w:val="20"/>
        </w:rPr>
        <w:t xml:space="preserve">: 10.1016/j.acvd.2022.04.001. </w:t>
      </w:r>
      <w:proofErr w:type="spellStart"/>
      <w:r w:rsidRPr="00A25654">
        <w:rPr>
          <w:b w:val="0"/>
          <w:caps w:val="0"/>
          <w:sz w:val="20"/>
        </w:rPr>
        <w:t>Epub</w:t>
      </w:r>
      <w:proofErr w:type="spellEnd"/>
      <w:r w:rsidRPr="00A25654">
        <w:rPr>
          <w:b w:val="0"/>
          <w:caps w:val="0"/>
          <w:sz w:val="20"/>
        </w:rPr>
        <w:t xml:space="preserve"> 2022 Apr 20. PMID: 35527211.</w:t>
      </w:r>
    </w:p>
    <w:p w14:paraId="3F7D9DAC" w14:textId="77777777" w:rsidR="00A25654" w:rsidRPr="00A25654" w:rsidRDefault="00A25654" w:rsidP="00A25654">
      <w:pPr>
        <w:pStyle w:val="Appendix"/>
        <w:jc w:val="both"/>
        <w:rPr>
          <w:b w:val="0"/>
          <w:caps w:val="0"/>
          <w:sz w:val="20"/>
        </w:rPr>
      </w:pPr>
      <w:r w:rsidRPr="00A25654">
        <w:rPr>
          <w:b w:val="0"/>
          <w:caps w:val="0"/>
          <w:sz w:val="20"/>
        </w:rPr>
        <w:t>20)</w:t>
      </w:r>
      <w:r w:rsidRPr="00A25654">
        <w:rPr>
          <w:b w:val="0"/>
          <w:caps w:val="0"/>
          <w:sz w:val="20"/>
        </w:rPr>
        <w:tab/>
        <w:t xml:space="preserve">Schrader H, </w:t>
      </w:r>
      <w:proofErr w:type="spellStart"/>
      <w:r w:rsidRPr="00A25654">
        <w:rPr>
          <w:b w:val="0"/>
          <w:caps w:val="0"/>
          <w:sz w:val="20"/>
        </w:rPr>
        <w:t>Wiedenhofer</w:t>
      </w:r>
      <w:proofErr w:type="spellEnd"/>
      <w:r w:rsidRPr="00A25654">
        <w:rPr>
          <w:b w:val="0"/>
          <w:caps w:val="0"/>
          <w:sz w:val="20"/>
        </w:rPr>
        <w:t xml:space="preserve"> JM, </w:t>
      </w:r>
      <w:proofErr w:type="spellStart"/>
      <w:r w:rsidRPr="00A25654">
        <w:rPr>
          <w:b w:val="0"/>
          <w:caps w:val="0"/>
          <w:sz w:val="20"/>
        </w:rPr>
        <w:t>Berlinghof</w:t>
      </w:r>
      <w:proofErr w:type="spellEnd"/>
      <w:r w:rsidRPr="00A25654">
        <w:rPr>
          <w:b w:val="0"/>
          <w:caps w:val="0"/>
          <w:sz w:val="20"/>
        </w:rPr>
        <w:t xml:space="preserve"> S, </w:t>
      </w:r>
      <w:proofErr w:type="spellStart"/>
      <w:r w:rsidRPr="00A25654">
        <w:rPr>
          <w:b w:val="0"/>
          <w:caps w:val="0"/>
          <w:sz w:val="20"/>
        </w:rPr>
        <w:t>Ducaruge</w:t>
      </w:r>
      <w:proofErr w:type="spellEnd"/>
      <w:r w:rsidRPr="00A25654">
        <w:rPr>
          <w:b w:val="0"/>
          <w:caps w:val="0"/>
          <w:sz w:val="20"/>
        </w:rPr>
        <w:t xml:space="preserve"> J, Brand A, </w:t>
      </w:r>
      <w:proofErr w:type="spellStart"/>
      <w:r w:rsidRPr="00A25654">
        <w:rPr>
          <w:b w:val="0"/>
          <w:caps w:val="0"/>
          <w:sz w:val="20"/>
        </w:rPr>
        <w:t>Spethmann</w:t>
      </w:r>
      <w:proofErr w:type="spellEnd"/>
      <w:r w:rsidRPr="00A25654">
        <w:rPr>
          <w:b w:val="0"/>
          <w:caps w:val="0"/>
          <w:sz w:val="20"/>
        </w:rPr>
        <w:t xml:space="preserve"> S, </w:t>
      </w:r>
      <w:proofErr w:type="spellStart"/>
      <w:r w:rsidRPr="00A25654">
        <w:rPr>
          <w:b w:val="0"/>
          <w:caps w:val="0"/>
          <w:sz w:val="20"/>
        </w:rPr>
        <w:t>Landmesser</w:t>
      </w:r>
      <w:proofErr w:type="spellEnd"/>
      <w:r w:rsidRPr="00A25654">
        <w:rPr>
          <w:b w:val="0"/>
          <w:caps w:val="0"/>
          <w:sz w:val="20"/>
        </w:rPr>
        <w:t xml:space="preserve"> U, </w:t>
      </w:r>
      <w:proofErr w:type="spellStart"/>
      <w:r w:rsidRPr="00A25654">
        <w:rPr>
          <w:b w:val="0"/>
          <w:caps w:val="0"/>
          <w:sz w:val="20"/>
        </w:rPr>
        <w:t>Blaschke</w:t>
      </w:r>
      <w:proofErr w:type="spellEnd"/>
      <w:r w:rsidRPr="00A25654">
        <w:rPr>
          <w:b w:val="0"/>
          <w:caps w:val="0"/>
          <w:sz w:val="20"/>
        </w:rPr>
        <w:t xml:space="preserve"> F, </w:t>
      </w:r>
      <w:proofErr w:type="spellStart"/>
      <w:r w:rsidRPr="00A25654">
        <w:rPr>
          <w:b w:val="0"/>
          <w:caps w:val="0"/>
          <w:sz w:val="20"/>
        </w:rPr>
        <w:t>Grubitzsch</w:t>
      </w:r>
      <w:proofErr w:type="spellEnd"/>
      <w:r w:rsidRPr="00A25654">
        <w:rPr>
          <w:b w:val="0"/>
          <w:caps w:val="0"/>
          <w:sz w:val="20"/>
        </w:rPr>
        <w:t xml:space="preserve"> H, Falk V, Klein C, </w:t>
      </w:r>
      <w:proofErr w:type="spellStart"/>
      <w:r w:rsidRPr="00A25654">
        <w:rPr>
          <w:b w:val="0"/>
          <w:caps w:val="0"/>
          <w:sz w:val="20"/>
        </w:rPr>
        <w:t>Unbehaun</w:t>
      </w:r>
      <w:proofErr w:type="spellEnd"/>
      <w:r w:rsidRPr="00A25654">
        <w:rPr>
          <w:b w:val="0"/>
          <w:caps w:val="0"/>
          <w:sz w:val="20"/>
        </w:rPr>
        <w:t xml:space="preserve"> A, </w:t>
      </w:r>
      <w:proofErr w:type="spellStart"/>
      <w:r w:rsidRPr="00A25654">
        <w:rPr>
          <w:b w:val="0"/>
          <w:caps w:val="0"/>
          <w:sz w:val="20"/>
        </w:rPr>
        <w:t>Sherif</w:t>
      </w:r>
      <w:proofErr w:type="spellEnd"/>
      <w:r w:rsidRPr="00A25654">
        <w:rPr>
          <w:b w:val="0"/>
          <w:caps w:val="0"/>
          <w:sz w:val="20"/>
        </w:rPr>
        <w:t xml:space="preserve"> M, Dreger H, Trippel TD, </w:t>
      </w:r>
      <w:proofErr w:type="spellStart"/>
      <w:r w:rsidRPr="00A25654">
        <w:rPr>
          <w:b w:val="0"/>
          <w:caps w:val="0"/>
          <w:sz w:val="20"/>
        </w:rPr>
        <w:t>Primessnig</w:t>
      </w:r>
      <w:proofErr w:type="spellEnd"/>
      <w:r w:rsidRPr="00A25654">
        <w:rPr>
          <w:b w:val="0"/>
          <w:caps w:val="0"/>
          <w:sz w:val="20"/>
        </w:rPr>
        <w:t xml:space="preserve"> U, </w:t>
      </w:r>
      <w:proofErr w:type="spellStart"/>
      <w:r w:rsidRPr="00A25654">
        <w:rPr>
          <w:b w:val="0"/>
          <w:caps w:val="0"/>
          <w:sz w:val="20"/>
        </w:rPr>
        <w:t>Sündermann</w:t>
      </w:r>
      <w:proofErr w:type="spellEnd"/>
      <w:r w:rsidRPr="00A25654">
        <w:rPr>
          <w:b w:val="0"/>
          <w:caps w:val="0"/>
          <w:sz w:val="20"/>
        </w:rPr>
        <w:t xml:space="preserve"> SH. Transapical vs. </w:t>
      </w:r>
      <w:proofErr w:type="spellStart"/>
      <w:r w:rsidRPr="00A25654">
        <w:rPr>
          <w:b w:val="0"/>
          <w:caps w:val="0"/>
          <w:sz w:val="20"/>
        </w:rPr>
        <w:t>Transaxillary</w:t>
      </w:r>
      <w:proofErr w:type="spellEnd"/>
      <w:r w:rsidRPr="00A25654">
        <w:rPr>
          <w:b w:val="0"/>
          <w:caps w:val="0"/>
          <w:sz w:val="20"/>
        </w:rPr>
        <w:t xml:space="preserve"> Access in Transcatheter Aortic Valve Implantation: Comparative Mortality and Long-Term Outcomes Using Inverse Probability of Treatment Weighting Analysis. J Clin Med. 2025 Mar 25;14(7):2235. </w:t>
      </w:r>
      <w:proofErr w:type="spellStart"/>
      <w:r w:rsidRPr="00A25654">
        <w:rPr>
          <w:b w:val="0"/>
          <w:caps w:val="0"/>
          <w:sz w:val="20"/>
        </w:rPr>
        <w:t>doi</w:t>
      </w:r>
      <w:proofErr w:type="spellEnd"/>
      <w:r w:rsidRPr="00A25654">
        <w:rPr>
          <w:b w:val="0"/>
          <w:caps w:val="0"/>
          <w:sz w:val="20"/>
        </w:rPr>
        <w:t>: 10.3390/jcm14072235. PMID: 40217685; PMCID: PMC11989286.</w:t>
      </w:r>
    </w:p>
    <w:p w14:paraId="51169637" w14:textId="77777777" w:rsidR="00A25654" w:rsidRPr="00A25654" w:rsidRDefault="00A25654" w:rsidP="00A25654">
      <w:pPr>
        <w:pStyle w:val="Appendix"/>
        <w:jc w:val="both"/>
        <w:rPr>
          <w:b w:val="0"/>
          <w:caps w:val="0"/>
          <w:sz w:val="20"/>
        </w:rPr>
      </w:pPr>
      <w:r w:rsidRPr="00A25654">
        <w:rPr>
          <w:b w:val="0"/>
          <w:caps w:val="0"/>
          <w:sz w:val="20"/>
        </w:rPr>
        <w:t>21)</w:t>
      </w:r>
      <w:r w:rsidRPr="00A25654">
        <w:rPr>
          <w:b w:val="0"/>
          <w:caps w:val="0"/>
          <w:sz w:val="20"/>
        </w:rPr>
        <w:tab/>
      </w:r>
      <w:proofErr w:type="spellStart"/>
      <w:r w:rsidRPr="00A25654">
        <w:rPr>
          <w:b w:val="0"/>
          <w:caps w:val="0"/>
          <w:sz w:val="20"/>
        </w:rPr>
        <w:t>Medranda</w:t>
      </w:r>
      <w:proofErr w:type="spellEnd"/>
      <w:r w:rsidRPr="00A25654">
        <w:rPr>
          <w:b w:val="0"/>
          <w:caps w:val="0"/>
          <w:sz w:val="20"/>
        </w:rPr>
        <w:t xml:space="preserve"> GA, Nathan S. Alternative Access for Transcatheter Aortic Valve Replacement: An Ode to the Road Less Traveled. J Soc Cardiovasc </w:t>
      </w:r>
      <w:proofErr w:type="spellStart"/>
      <w:r w:rsidRPr="00A25654">
        <w:rPr>
          <w:b w:val="0"/>
          <w:caps w:val="0"/>
          <w:sz w:val="20"/>
        </w:rPr>
        <w:t>Angiogr</w:t>
      </w:r>
      <w:proofErr w:type="spellEnd"/>
      <w:r w:rsidRPr="00A25654">
        <w:rPr>
          <w:b w:val="0"/>
          <w:caps w:val="0"/>
          <w:sz w:val="20"/>
        </w:rPr>
        <w:t xml:space="preserve"> </w:t>
      </w:r>
      <w:proofErr w:type="spellStart"/>
      <w:r w:rsidRPr="00A25654">
        <w:rPr>
          <w:b w:val="0"/>
          <w:caps w:val="0"/>
          <w:sz w:val="20"/>
        </w:rPr>
        <w:t>Interv</w:t>
      </w:r>
      <w:proofErr w:type="spellEnd"/>
      <w:r w:rsidRPr="00A25654">
        <w:rPr>
          <w:b w:val="0"/>
          <w:caps w:val="0"/>
          <w:sz w:val="20"/>
        </w:rPr>
        <w:t xml:space="preserve">. 2025 Feb 25;4(3Part A):102581. </w:t>
      </w:r>
      <w:proofErr w:type="spellStart"/>
      <w:r w:rsidRPr="00A25654">
        <w:rPr>
          <w:b w:val="0"/>
          <w:caps w:val="0"/>
          <w:sz w:val="20"/>
        </w:rPr>
        <w:t>doi</w:t>
      </w:r>
      <w:proofErr w:type="spellEnd"/>
      <w:r w:rsidRPr="00A25654">
        <w:rPr>
          <w:b w:val="0"/>
          <w:caps w:val="0"/>
          <w:sz w:val="20"/>
        </w:rPr>
        <w:t>: 10.1016/j.jscai.2025.102581. PMID: 40231058; PMCID: PMC11993885.</w:t>
      </w:r>
    </w:p>
    <w:p w14:paraId="6A8DA7CD" w14:textId="77777777" w:rsidR="00A25654" w:rsidRPr="00A25654" w:rsidRDefault="00A25654" w:rsidP="00A25654">
      <w:pPr>
        <w:pStyle w:val="Appendix"/>
        <w:jc w:val="both"/>
        <w:rPr>
          <w:b w:val="0"/>
          <w:caps w:val="0"/>
          <w:sz w:val="20"/>
        </w:rPr>
      </w:pPr>
      <w:r w:rsidRPr="00A25654">
        <w:rPr>
          <w:b w:val="0"/>
          <w:caps w:val="0"/>
          <w:sz w:val="20"/>
        </w:rPr>
        <w:t>22)</w:t>
      </w:r>
      <w:r w:rsidRPr="00A25654">
        <w:rPr>
          <w:b w:val="0"/>
          <w:caps w:val="0"/>
          <w:sz w:val="20"/>
        </w:rPr>
        <w:tab/>
      </w:r>
      <w:proofErr w:type="spellStart"/>
      <w:r w:rsidRPr="00A25654">
        <w:rPr>
          <w:b w:val="0"/>
          <w:caps w:val="0"/>
          <w:sz w:val="20"/>
        </w:rPr>
        <w:t>Fadah</w:t>
      </w:r>
      <w:proofErr w:type="spellEnd"/>
      <w:r w:rsidRPr="00A25654">
        <w:rPr>
          <w:b w:val="0"/>
          <w:caps w:val="0"/>
          <w:sz w:val="20"/>
        </w:rPr>
        <w:t xml:space="preserve"> K, </w:t>
      </w:r>
      <w:proofErr w:type="spellStart"/>
      <w:r w:rsidRPr="00A25654">
        <w:rPr>
          <w:b w:val="0"/>
          <w:caps w:val="0"/>
          <w:sz w:val="20"/>
        </w:rPr>
        <w:t>Khalafi</w:t>
      </w:r>
      <w:proofErr w:type="spellEnd"/>
      <w:r w:rsidRPr="00A25654">
        <w:rPr>
          <w:b w:val="0"/>
          <w:caps w:val="0"/>
          <w:sz w:val="20"/>
        </w:rPr>
        <w:t xml:space="preserve"> S, Corey M, Sotelo J, Farag A, Siddiqui T, </w:t>
      </w:r>
      <w:proofErr w:type="spellStart"/>
      <w:r w:rsidRPr="00A25654">
        <w:rPr>
          <w:b w:val="0"/>
          <w:caps w:val="0"/>
          <w:sz w:val="20"/>
        </w:rPr>
        <w:t>Abolbashari</w:t>
      </w:r>
      <w:proofErr w:type="spellEnd"/>
      <w:r w:rsidRPr="00A25654">
        <w:rPr>
          <w:b w:val="0"/>
          <w:caps w:val="0"/>
          <w:sz w:val="20"/>
        </w:rPr>
        <w:t xml:space="preserve"> M. Optimizing Anesthetic Selection in Transcatheter Aortic Valve Replacement: Striking a Delicate Balance between Efficacy and Minimal Intervention. </w:t>
      </w:r>
      <w:proofErr w:type="spellStart"/>
      <w:r w:rsidRPr="00A25654">
        <w:rPr>
          <w:b w:val="0"/>
          <w:caps w:val="0"/>
          <w:sz w:val="20"/>
        </w:rPr>
        <w:t>Cardiol</w:t>
      </w:r>
      <w:proofErr w:type="spellEnd"/>
      <w:r w:rsidRPr="00A25654">
        <w:rPr>
          <w:b w:val="0"/>
          <w:caps w:val="0"/>
          <w:sz w:val="20"/>
        </w:rPr>
        <w:t xml:space="preserve"> Res </w:t>
      </w:r>
      <w:proofErr w:type="spellStart"/>
      <w:r w:rsidRPr="00A25654">
        <w:rPr>
          <w:b w:val="0"/>
          <w:caps w:val="0"/>
          <w:sz w:val="20"/>
        </w:rPr>
        <w:t>Pract</w:t>
      </w:r>
      <w:proofErr w:type="spellEnd"/>
      <w:r w:rsidRPr="00A25654">
        <w:rPr>
          <w:b w:val="0"/>
          <w:caps w:val="0"/>
          <w:sz w:val="20"/>
        </w:rPr>
        <w:t xml:space="preserve">. 2024 Feb </w:t>
      </w:r>
      <w:proofErr w:type="gramStart"/>
      <w:r w:rsidRPr="00A25654">
        <w:rPr>
          <w:b w:val="0"/>
          <w:caps w:val="0"/>
          <w:sz w:val="20"/>
        </w:rPr>
        <w:t>29;2024:4217162</w:t>
      </w:r>
      <w:proofErr w:type="gramEnd"/>
      <w:r w:rsidRPr="00A25654">
        <w:rPr>
          <w:b w:val="0"/>
          <w:caps w:val="0"/>
          <w:sz w:val="20"/>
        </w:rPr>
        <w:t xml:space="preserve">. </w:t>
      </w:r>
      <w:proofErr w:type="spellStart"/>
      <w:r w:rsidRPr="00A25654">
        <w:rPr>
          <w:b w:val="0"/>
          <w:caps w:val="0"/>
          <w:sz w:val="20"/>
        </w:rPr>
        <w:t>doi</w:t>
      </w:r>
      <w:proofErr w:type="spellEnd"/>
      <w:r w:rsidRPr="00A25654">
        <w:rPr>
          <w:b w:val="0"/>
          <w:caps w:val="0"/>
          <w:sz w:val="20"/>
        </w:rPr>
        <w:t>: 10.1155/2024/4217162. PMID: 38454917; PMCID: PMC10919973.</w:t>
      </w:r>
    </w:p>
    <w:p w14:paraId="576B4BEC" w14:textId="77777777" w:rsidR="00A25654" w:rsidRPr="00A25654" w:rsidRDefault="00A25654" w:rsidP="00A25654">
      <w:pPr>
        <w:pStyle w:val="Appendix"/>
        <w:jc w:val="both"/>
        <w:rPr>
          <w:b w:val="0"/>
          <w:caps w:val="0"/>
          <w:sz w:val="20"/>
        </w:rPr>
      </w:pPr>
      <w:r w:rsidRPr="00A25654">
        <w:rPr>
          <w:b w:val="0"/>
          <w:caps w:val="0"/>
          <w:sz w:val="20"/>
        </w:rPr>
        <w:t>23)</w:t>
      </w:r>
      <w:r w:rsidRPr="00A25654">
        <w:rPr>
          <w:b w:val="0"/>
          <w:caps w:val="0"/>
          <w:sz w:val="20"/>
        </w:rPr>
        <w:tab/>
        <w:t>Jaffar-</w:t>
      </w:r>
      <w:proofErr w:type="spellStart"/>
      <w:r w:rsidRPr="00A25654">
        <w:rPr>
          <w:b w:val="0"/>
          <w:caps w:val="0"/>
          <w:sz w:val="20"/>
        </w:rPr>
        <w:t>Karballai</w:t>
      </w:r>
      <w:proofErr w:type="spellEnd"/>
      <w:r w:rsidRPr="00A25654">
        <w:rPr>
          <w:b w:val="0"/>
          <w:caps w:val="0"/>
          <w:sz w:val="20"/>
        </w:rPr>
        <w:t xml:space="preserve"> M, Al-Tawil M, Roy S, </w:t>
      </w:r>
      <w:proofErr w:type="spellStart"/>
      <w:r w:rsidRPr="00A25654">
        <w:rPr>
          <w:b w:val="0"/>
          <w:caps w:val="0"/>
          <w:sz w:val="20"/>
        </w:rPr>
        <w:t>Kayali</w:t>
      </w:r>
      <w:proofErr w:type="spellEnd"/>
      <w:r w:rsidRPr="00A25654">
        <w:rPr>
          <w:b w:val="0"/>
          <w:caps w:val="0"/>
          <w:sz w:val="20"/>
        </w:rPr>
        <w:t xml:space="preserve"> F, </w:t>
      </w:r>
      <w:proofErr w:type="spellStart"/>
      <w:r w:rsidRPr="00A25654">
        <w:rPr>
          <w:b w:val="0"/>
          <w:caps w:val="0"/>
          <w:sz w:val="20"/>
        </w:rPr>
        <w:t>Vankad</w:t>
      </w:r>
      <w:proofErr w:type="spellEnd"/>
      <w:r w:rsidRPr="00A25654">
        <w:rPr>
          <w:b w:val="0"/>
          <w:caps w:val="0"/>
          <w:sz w:val="20"/>
        </w:rPr>
        <w:t xml:space="preserve"> M, </w:t>
      </w:r>
      <w:proofErr w:type="spellStart"/>
      <w:r w:rsidRPr="00A25654">
        <w:rPr>
          <w:b w:val="0"/>
          <w:caps w:val="0"/>
          <w:sz w:val="20"/>
        </w:rPr>
        <w:t>Shazly</w:t>
      </w:r>
      <w:proofErr w:type="spellEnd"/>
      <w:r w:rsidRPr="00A25654">
        <w:rPr>
          <w:b w:val="0"/>
          <w:caps w:val="0"/>
          <w:sz w:val="20"/>
        </w:rPr>
        <w:t xml:space="preserve"> A, </w:t>
      </w:r>
      <w:proofErr w:type="spellStart"/>
      <w:r w:rsidRPr="00A25654">
        <w:rPr>
          <w:b w:val="0"/>
          <w:caps w:val="0"/>
          <w:sz w:val="20"/>
        </w:rPr>
        <w:t>Zeinah</w:t>
      </w:r>
      <w:proofErr w:type="spellEnd"/>
      <w:r w:rsidRPr="00A25654">
        <w:rPr>
          <w:b w:val="0"/>
          <w:caps w:val="0"/>
          <w:sz w:val="20"/>
        </w:rPr>
        <w:t xml:space="preserve"> M, </w:t>
      </w:r>
      <w:proofErr w:type="spellStart"/>
      <w:r w:rsidRPr="00A25654">
        <w:rPr>
          <w:b w:val="0"/>
          <w:caps w:val="0"/>
          <w:sz w:val="20"/>
        </w:rPr>
        <w:t>Harky</w:t>
      </w:r>
      <w:proofErr w:type="spellEnd"/>
      <w:r w:rsidRPr="00A25654">
        <w:rPr>
          <w:b w:val="0"/>
          <w:caps w:val="0"/>
          <w:sz w:val="20"/>
        </w:rPr>
        <w:t xml:space="preserve"> A. Local versus General </w:t>
      </w:r>
      <w:proofErr w:type="spellStart"/>
      <w:r w:rsidRPr="00A25654">
        <w:rPr>
          <w:b w:val="0"/>
          <w:caps w:val="0"/>
          <w:sz w:val="20"/>
        </w:rPr>
        <w:t>Anaesthesia</w:t>
      </w:r>
      <w:proofErr w:type="spellEnd"/>
      <w:r w:rsidRPr="00A25654">
        <w:rPr>
          <w:b w:val="0"/>
          <w:caps w:val="0"/>
          <w:sz w:val="20"/>
        </w:rPr>
        <w:t xml:space="preserve"> for Transcatheter Aortic Valve Implantation (TAVI): A Systematic Review, Meta-Analysis, and Trial Sequential Analysis of </w:t>
      </w:r>
      <w:proofErr w:type="spellStart"/>
      <w:r w:rsidRPr="00A25654">
        <w:rPr>
          <w:b w:val="0"/>
          <w:caps w:val="0"/>
          <w:sz w:val="20"/>
        </w:rPr>
        <w:t>Randomised</w:t>
      </w:r>
      <w:proofErr w:type="spellEnd"/>
      <w:r w:rsidRPr="00A25654">
        <w:rPr>
          <w:b w:val="0"/>
          <w:caps w:val="0"/>
          <w:sz w:val="20"/>
        </w:rPr>
        <w:t xml:space="preserve"> and Propensity-Score Matched Studies. </w:t>
      </w:r>
      <w:proofErr w:type="spellStart"/>
      <w:r w:rsidRPr="00A25654">
        <w:rPr>
          <w:b w:val="0"/>
          <w:caps w:val="0"/>
          <w:sz w:val="20"/>
        </w:rPr>
        <w:t>Curr</w:t>
      </w:r>
      <w:proofErr w:type="spellEnd"/>
      <w:r w:rsidRPr="00A25654">
        <w:rPr>
          <w:b w:val="0"/>
          <w:caps w:val="0"/>
          <w:sz w:val="20"/>
        </w:rPr>
        <w:t xml:space="preserve"> </w:t>
      </w:r>
      <w:proofErr w:type="spellStart"/>
      <w:r w:rsidRPr="00A25654">
        <w:rPr>
          <w:b w:val="0"/>
          <w:caps w:val="0"/>
          <w:sz w:val="20"/>
        </w:rPr>
        <w:t>Probl</w:t>
      </w:r>
      <w:proofErr w:type="spellEnd"/>
      <w:r w:rsidRPr="00A25654">
        <w:rPr>
          <w:b w:val="0"/>
          <w:caps w:val="0"/>
          <w:sz w:val="20"/>
        </w:rPr>
        <w:t xml:space="preserve"> </w:t>
      </w:r>
      <w:proofErr w:type="spellStart"/>
      <w:r w:rsidRPr="00A25654">
        <w:rPr>
          <w:b w:val="0"/>
          <w:caps w:val="0"/>
          <w:sz w:val="20"/>
        </w:rPr>
        <w:t>Cardiol</w:t>
      </w:r>
      <w:proofErr w:type="spellEnd"/>
      <w:r w:rsidRPr="00A25654">
        <w:rPr>
          <w:b w:val="0"/>
          <w:caps w:val="0"/>
          <w:sz w:val="20"/>
        </w:rPr>
        <w:t xml:space="preserve">. 2024 Mar;49(3):102360. </w:t>
      </w:r>
      <w:proofErr w:type="spellStart"/>
      <w:r w:rsidRPr="00A25654">
        <w:rPr>
          <w:b w:val="0"/>
          <w:caps w:val="0"/>
          <w:sz w:val="20"/>
        </w:rPr>
        <w:t>doi</w:t>
      </w:r>
      <w:proofErr w:type="spellEnd"/>
      <w:r w:rsidRPr="00A25654">
        <w:rPr>
          <w:b w:val="0"/>
          <w:caps w:val="0"/>
          <w:sz w:val="20"/>
        </w:rPr>
        <w:t xml:space="preserve">: 10.1016/j.cpcardiol.2023.102360. </w:t>
      </w:r>
      <w:proofErr w:type="spellStart"/>
      <w:r w:rsidRPr="00A25654">
        <w:rPr>
          <w:b w:val="0"/>
          <w:caps w:val="0"/>
          <w:sz w:val="20"/>
        </w:rPr>
        <w:t>Epub</w:t>
      </w:r>
      <w:proofErr w:type="spellEnd"/>
      <w:r w:rsidRPr="00A25654">
        <w:rPr>
          <w:b w:val="0"/>
          <w:caps w:val="0"/>
          <w:sz w:val="20"/>
        </w:rPr>
        <w:t xml:space="preserve"> 2023 Dec 19. PMID: 38128636.</w:t>
      </w:r>
    </w:p>
    <w:p w14:paraId="4A4C7E84" w14:textId="77777777" w:rsidR="00A25654" w:rsidRPr="00A25654" w:rsidRDefault="00A25654" w:rsidP="00A25654">
      <w:pPr>
        <w:pStyle w:val="Appendix"/>
        <w:jc w:val="both"/>
        <w:rPr>
          <w:b w:val="0"/>
          <w:caps w:val="0"/>
          <w:sz w:val="20"/>
        </w:rPr>
      </w:pPr>
      <w:r w:rsidRPr="00A25654">
        <w:rPr>
          <w:b w:val="0"/>
          <w:caps w:val="0"/>
          <w:sz w:val="20"/>
        </w:rPr>
        <w:t>24)</w:t>
      </w:r>
      <w:r w:rsidRPr="00A25654">
        <w:rPr>
          <w:b w:val="0"/>
          <w:caps w:val="0"/>
          <w:sz w:val="20"/>
        </w:rPr>
        <w:tab/>
      </w:r>
      <w:proofErr w:type="spellStart"/>
      <w:r w:rsidRPr="00A25654">
        <w:rPr>
          <w:b w:val="0"/>
          <w:caps w:val="0"/>
          <w:sz w:val="20"/>
        </w:rPr>
        <w:t>Lodo</w:t>
      </w:r>
      <w:proofErr w:type="spellEnd"/>
      <w:r w:rsidRPr="00A25654">
        <w:rPr>
          <w:b w:val="0"/>
          <w:caps w:val="0"/>
          <w:sz w:val="20"/>
        </w:rPr>
        <w:t xml:space="preserve"> V, </w:t>
      </w:r>
      <w:proofErr w:type="spellStart"/>
      <w:r w:rsidRPr="00A25654">
        <w:rPr>
          <w:b w:val="0"/>
          <w:caps w:val="0"/>
          <w:sz w:val="20"/>
        </w:rPr>
        <w:t>Italiano</w:t>
      </w:r>
      <w:proofErr w:type="spellEnd"/>
      <w:r w:rsidRPr="00A25654">
        <w:rPr>
          <w:b w:val="0"/>
          <w:caps w:val="0"/>
          <w:sz w:val="20"/>
        </w:rPr>
        <w:t xml:space="preserve"> EG, </w:t>
      </w:r>
      <w:proofErr w:type="spellStart"/>
      <w:r w:rsidRPr="00A25654">
        <w:rPr>
          <w:b w:val="0"/>
          <w:caps w:val="0"/>
          <w:sz w:val="20"/>
        </w:rPr>
        <w:t>Weltert</w:t>
      </w:r>
      <w:proofErr w:type="spellEnd"/>
      <w:r w:rsidRPr="00A25654">
        <w:rPr>
          <w:b w:val="0"/>
          <w:caps w:val="0"/>
          <w:sz w:val="20"/>
        </w:rPr>
        <w:t xml:space="preserve"> L, </w:t>
      </w:r>
      <w:proofErr w:type="spellStart"/>
      <w:r w:rsidRPr="00A25654">
        <w:rPr>
          <w:b w:val="0"/>
          <w:caps w:val="0"/>
          <w:sz w:val="20"/>
        </w:rPr>
        <w:t>Zingarelli</w:t>
      </w:r>
      <w:proofErr w:type="spellEnd"/>
      <w:r w:rsidRPr="00A25654">
        <w:rPr>
          <w:b w:val="0"/>
          <w:caps w:val="0"/>
          <w:sz w:val="20"/>
        </w:rPr>
        <w:t xml:space="preserve"> E, </w:t>
      </w:r>
      <w:proofErr w:type="spellStart"/>
      <w:r w:rsidRPr="00A25654">
        <w:rPr>
          <w:b w:val="0"/>
          <w:caps w:val="0"/>
          <w:sz w:val="20"/>
        </w:rPr>
        <w:t>Pietropaolo</w:t>
      </w:r>
      <w:proofErr w:type="spellEnd"/>
      <w:r w:rsidRPr="00A25654">
        <w:rPr>
          <w:b w:val="0"/>
          <w:caps w:val="0"/>
          <w:sz w:val="20"/>
        </w:rPr>
        <w:t xml:space="preserve"> C, </w:t>
      </w:r>
      <w:proofErr w:type="spellStart"/>
      <w:r w:rsidRPr="00A25654">
        <w:rPr>
          <w:b w:val="0"/>
          <w:caps w:val="0"/>
          <w:sz w:val="20"/>
        </w:rPr>
        <w:t>Buono</w:t>
      </w:r>
      <w:proofErr w:type="spellEnd"/>
      <w:r w:rsidRPr="00A25654">
        <w:rPr>
          <w:b w:val="0"/>
          <w:caps w:val="0"/>
          <w:sz w:val="20"/>
        </w:rPr>
        <w:t xml:space="preserve"> G, </w:t>
      </w:r>
      <w:proofErr w:type="spellStart"/>
      <w:r w:rsidRPr="00A25654">
        <w:rPr>
          <w:b w:val="0"/>
          <w:caps w:val="0"/>
          <w:sz w:val="20"/>
        </w:rPr>
        <w:t>Centofanti</w:t>
      </w:r>
      <w:proofErr w:type="spellEnd"/>
      <w:r w:rsidRPr="00A25654">
        <w:rPr>
          <w:b w:val="0"/>
          <w:caps w:val="0"/>
          <w:sz w:val="20"/>
        </w:rPr>
        <w:t xml:space="preserve"> P. Transcatheter aortic valve implantation versus surgery in low-risk patients: in-hospital and mid-term outcomes. </w:t>
      </w:r>
      <w:proofErr w:type="spellStart"/>
      <w:r w:rsidRPr="00A25654">
        <w:rPr>
          <w:b w:val="0"/>
          <w:caps w:val="0"/>
          <w:sz w:val="20"/>
        </w:rPr>
        <w:t>Interdiscip</w:t>
      </w:r>
      <w:proofErr w:type="spellEnd"/>
      <w:r w:rsidRPr="00A25654">
        <w:rPr>
          <w:b w:val="0"/>
          <w:caps w:val="0"/>
          <w:sz w:val="20"/>
        </w:rPr>
        <w:t xml:space="preserve"> Cardiovasc </w:t>
      </w:r>
      <w:proofErr w:type="spellStart"/>
      <w:r w:rsidRPr="00A25654">
        <w:rPr>
          <w:b w:val="0"/>
          <w:caps w:val="0"/>
          <w:sz w:val="20"/>
        </w:rPr>
        <w:t>Thorac</w:t>
      </w:r>
      <w:proofErr w:type="spellEnd"/>
      <w:r w:rsidRPr="00A25654">
        <w:rPr>
          <w:b w:val="0"/>
          <w:caps w:val="0"/>
          <w:sz w:val="20"/>
        </w:rPr>
        <w:t xml:space="preserve"> Surg. 2025 May 6;40(5</w:t>
      </w:r>
      <w:proofErr w:type="gramStart"/>
      <w:r w:rsidRPr="00A25654">
        <w:rPr>
          <w:b w:val="0"/>
          <w:caps w:val="0"/>
          <w:sz w:val="20"/>
        </w:rPr>
        <w:t>):ivaf</w:t>
      </w:r>
      <w:proofErr w:type="gramEnd"/>
      <w:r w:rsidRPr="00A25654">
        <w:rPr>
          <w:b w:val="0"/>
          <w:caps w:val="0"/>
          <w:sz w:val="20"/>
        </w:rPr>
        <w:t xml:space="preserve">103. </w:t>
      </w:r>
      <w:proofErr w:type="spellStart"/>
      <w:r w:rsidRPr="00A25654">
        <w:rPr>
          <w:b w:val="0"/>
          <w:caps w:val="0"/>
          <w:sz w:val="20"/>
        </w:rPr>
        <w:t>doi</w:t>
      </w:r>
      <w:proofErr w:type="spellEnd"/>
      <w:r w:rsidRPr="00A25654">
        <w:rPr>
          <w:b w:val="0"/>
          <w:caps w:val="0"/>
          <w:sz w:val="20"/>
        </w:rPr>
        <w:t>: 10.1093/</w:t>
      </w:r>
      <w:proofErr w:type="spellStart"/>
      <w:r w:rsidRPr="00A25654">
        <w:rPr>
          <w:b w:val="0"/>
          <w:caps w:val="0"/>
          <w:sz w:val="20"/>
        </w:rPr>
        <w:t>icvts</w:t>
      </w:r>
      <w:proofErr w:type="spellEnd"/>
      <w:r w:rsidRPr="00A25654">
        <w:rPr>
          <w:b w:val="0"/>
          <w:caps w:val="0"/>
          <w:sz w:val="20"/>
        </w:rPr>
        <w:t>/ivaf103. PMID: 40293726; PMCID: PMC12085224.</w:t>
      </w:r>
    </w:p>
    <w:p w14:paraId="739E695D" w14:textId="77777777" w:rsidR="00A25654" w:rsidRPr="00A25654" w:rsidRDefault="00A25654" w:rsidP="00A25654">
      <w:pPr>
        <w:pStyle w:val="Appendix"/>
        <w:jc w:val="both"/>
        <w:rPr>
          <w:b w:val="0"/>
          <w:caps w:val="0"/>
          <w:sz w:val="20"/>
        </w:rPr>
      </w:pPr>
      <w:r w:rsidRPr="00A25654">
        <w:rPr>
          <w:b w:val="0"/>
          <w:caps w:val="0"/>
          <w:sz w:val="20"/>
        </w:rPr>
        <w:t>25)</w:t>
      </w:r>
      <w:r w:rsidRPr="00A25654">
        <w:rPr>
          <w:b w:val="0"/>
          <w:caps w:val="0"/>
          <w:sz w:val="20"/>
        </w:rPr>
        <w:tab/>
        <w:t xml:space="preserve">Saia, F., </w:t>
      </w:r>
      <w:proofErr w:type="spellStart"/>
      <w:r w:rsidRPr="00A25654">
        <w:rPr>
          <w:b w:val="0"/>
          <w:caps w:val="0"/>
          <w:sz w:val="20"/>
        </w:rPr>
        <w:t>Lauck</w:t>
      </w:r>
      <w:proofErr w:type="spellEnd"/>
      <w:r w:rsidRPr="00A25654">
        <w:rPr>
          <w:b w:val="0"/>
          <w:caps w:val="0"/>
          <w:sz w:val="20"/>
        </w:rPr>
        <w:t xml:space="preserve">, S., Durand, E. et al. The implementation of a streamlined TAVI patient pathway across five European countries: BENCHMARK registry. Clin Res </w:t>
      </w:r>
      <w:proofErr w:type="spellStart"/>
      <w:r w:rsidRPr="00A25654">
        <w:rPr>
          <w:b w:val="0"/>
          <w:caps w:val="0"/>
          <w:sz w:val="20"/>
        </w:rPr>
        <w:t>Cardiol</w:t>
      </w:r>
      <w:proofErr w:type="spellEnd"/>
      <w:r w:rsidRPr="00A25654">
        <w:rPr>
          <w:b w:val="0"/>
          <w:caps w:val="0"/>
          <w:sz w:val="20"/>
        </w:rPr>
        <w:t xml:space="preserve"> (2025). https://doi.org/10.1007/s00392-025-02638-z</w:t>
      </w:r>
    </w:p>
    <w:p w14:paraId="1F3D05B4" w14:textId="77777777" w:rsidR="00B01FCD" w:rsidRPr="00FB3A86" w:rsidRDefault="00A25654" w:rsidP="00A25654">
      <w:pPr>
        <w:pStyle w:val="Appendix"/>
        <w:spacing w:after="0"/>
        <w:jc w:val="both"/>
        <w:rPr>
          <w:rFonts w:ascii="Arial" w:hAnsi="Arial" w:cs="Arial"/>
          <w:b w:val="0"/>
        </w:rPr>
      </w:pPr>
      <w:r w:rsidRPr="00A25654">
        <w:rPr>
          <w:b w:val="0"/>
          <w:caps w:val="0"/>
          <w:sz w:val="20"/>
        </w:rPr>
        <w:t>26)</w:t>
      </w:r>
      <w:r w:rsidRPr="00A25654">
        <w:rPr>
          <w:b w:val="0"/>
          <w:caps w:val="0"/>
          <w:sz w:val="20"/>
        </w:rPr>
        <w:tab/>
        <w:t xml:space="preserve">Hyman MC, </w:t>
      </w:r>
      <w:proofErr w:type="spellStart"/>
      <w:r w:rsidRPr="00A25654">
        <w:rPr>
          <w:b w:val="0"/>
          <w:caps w:val="0"/>
          <w:sz w:val="20"/>
        </w:rPr>
        <w:t>Vemulapalli</w:t>
      </w:r>
      <w:proofErr w:type="spellEnd"/>
      <w:r w:rsidRPr="00A25654">
        <w:rPr>
          <w:b w:val="0"/>
          <w:caps w:val="0"/>
          <w:sz w:val="20"/>
        </w:rPr>
        <w:t xml:space="preserve"> S, Szeto WY, Stebbins A, Patel PA, </w:t>
      </w:r>
      <w:proofErr w:type="spellStart"/>
      <w:r w:rsidRPr="00A25654">
        <w:rPr>
          <w:b w:val="0"/>
          <w:caps w:val="0"/>
          <w:sz w:val="20"/>
        </w:rPr>
        <w:t>Matsouaka</w:t>
      </w:r>
      <w:proofErr w:type="spellEnd"/>
      <w:r w:rsidRPr="00A25654">
        <w:rPr>
          <w:b w:val="0"/>
          <w:caps w:val="0"/>
          <w:sz w:val="20"/>
        </w:rPr>
        <w:t xml:space="preserve"> RA, Herrmann HC, </w:t>
      </w:r>
      <w:proofErr w:type="spellStart"/>
      <w:r w:rsidRPr="00A25654">
        <w:rPr>
          <w:b w:val="0"/>
          <w:caps w:val="0"/>
          <w:sz w:val="20"/>
        </w:rPr>
        <w:t>Anwaruddin</w:t>
      </w:r>
      <w:proofErr w:type="spellEnd"/>
      <w:r w:rsidRPr="00A25654">
        <w:rPr>
          <w:b w:val="0"/>
          <w:caps w:val="0"/>
          <w:sz w:val="20"/>
        </w:rPr>
        <w:t xml:space="preserve"> S, Kobayashi T, Desai ND, </w:t>
      </w:r>
      <w:proofErr w:type="spellStart"/>
      <w:r w:rsidRPr="00A25654">
        <w:rPr>
          <w:b w:val="0"/>
          <w:caps w:val="0"/>
          <w:sz w:val="20"/>
        </w:rPr>
        <w:t>Vallabhajosyula</w:t>
      </w:r>
      <w:proofErr w:type="spellEnd"/>
      <w:r w:rsidRPr="00A25654">
        <w:rPr>
          <w:b w:val="0"/>
          <w:caps w:val="0"/>
          <w:sz w:val="20"/>
        </w:rPr>
        <w:t xml:space="preserve"> P, McCarthy FH, Li R, Bavaria JE, </w:t>
      </w:r>
      <w:proofErr w:type="spellStart"/>
      <w:r w:rsidRPr="00A25654">
        <w:rPr>
          <w:b w:val="0"/>
          <w:caps w:val="0"/>
          <w:sz w:val="20"/>
        </w:rPr>
        <w:t>Giri</w:t>
      </w:r>
      <w:proofErr w:type="spellEnd"/>
      <w:r w:rsidRPr="00A25654">
        <w:rPr>
          <w:b w:val="0"/>
          <w:caps w:val="0"/>
          <w:sz w:val="20"/>
        </w:rPr>
        <w:t xml:space="preserve"> J. Conscious Sedation Versus General Anesthesia for Transcatheter Aortic Valve Replacement: Insights from the National Cardiovascular Data Registry Society </w:t>
      </w:r>
      <w:r w:rsidRPr="00A25654">
        <w:rPr>
          <w:b w:val="0"/>
          <w:caps w:val="0"/>
          <w:sz w:val="20"/>
        </w:rPr>
        <w:lastRenderedPageBreak/>
        <w:t xml:space="preserve">of Thoracic Surgeons/American College of Cardiology Transcatheter Valve Therapy Registry. Circulation. 2017 Nov 28;136(22):2132-2140. </w:t>
      </w:r>
      <w:proofErr w:type="spellStart"/>
      <w:r w:rsidRPr="00A25654">
        <w:rPr>
          <w:b w:val="0"/>
          <w:caps w:val="0"/>
          <w:sz w:val="20"/>
        </w:rPr>
        <w:t>doi</w:t>
      </w:r>
      <w:proofErr w:type="spellEnd"/>
      <w:r w:rsidRPr="00A25654">
        <w:rPr>
          <w:b w:val="0"/>
          <w:caps w:val="0"/>
          <w:sz w:val="20"/>
        </w:rPr>
        <w:t xml:space="preserve">: 10.1161/CIRCULATIONAHA.116.026656. </w:t>
      </w:r>
      <w:proofErr w:type="spellStart"/>
      <w:r w:rsidRPr="00A25654">
        <w:rPr>
          <w:b w:val="0"/>
          <w:caps w:val="0"/>
          <w:sz w:val="20"/>
        </w:rPr>
        <w:t>Epub</w:t>
      </w:r>
      <w:proofErr w:type="spellEnd"/>
      <w:r w:rsidRPr="00A25654">
        <w:rPr>
          <w:b w:val="0"/>
          <w:caps w:val="0"/>
          <w:sz w:val="20"/>
        </w:rPr>
        <w:t xml:space="preserve"> 2017 Sep 1. PMID: 28864443.</w:t>
      </w:r>
    </w:p>
    <w:sectPr w:rsidR="00B01FCD" w:rsidRPr="00FB3A86" w:rsidSect="00365562">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ohammad" w:date="2025-06-04T17:36:00Z" w:initials="M">
    <w:p w14:paraId="3D18DECF" w14:textId="0CBB8DBC" w:rsidR="00A108B4" w:rsidRDefault="00A108B4">
      <w:pPr>
        <w:pStyle w:val="CommentText"/>
      </w:pPr>
      <w:r>
        <w:rPr>
          <w:rStyle w:val="CommentReference"/>
        </w:rPr>
        <w:annotationRef/>
      </w:r>
      <w:r>
        <w:rPr>
          <w:rStyle w:val="CommentReference"/>
        </w:rPr>
        <w:t>(evaluate) is better</w:t>
      </w:r>
    </w:p>
  </w:comment>
  <w:comment w:id="1" w:author="Mohammad" w:date="2025-06-04T17:38:00Z" w:initials="M">
    <w:p w14:paraId="12392032" w14:textId="15DC7BE1" w:rsidR="00A108B4" w:rsidRDefault="00A108B4">
      <w:pPr>
        <w:pStyle w:val="CommentText"/>
      </w:pPr>
      <w:r>
        <w:rPr>
          <w:rStyle w:val="CommentReference"/>
        </w:rPr>
        <w:annotationRef/>
      </w:r>
      <w:r>
        <w:t>the</w:t>
      </w:r>
    </w:p>
  </w:comment>
  <w:comment w:id="2" w:author="Mohammad" w:date="2025-06-04T17:39:00Z" w:initials="M">
    <w:p w14:paraId="46892C0C" w14:textId="17542F0A" w:rsidR="00A108B4" w:rsidRDefault="00A108B4">
      <w:pPr>
        <w:pStyle w:val="CommentText"/>
      </w:pPr>
      <w:r>
        <w:rPr>
          <w:rStyle w:val="CommentReference"/>
        </w:rPr>
        <w:annotationRef/>
      </w:r>
      <w:r>
        <w:t>,</w:t>
      </w:r>
    </w:p>
  </w:comment>
  <w:comment w:id="3" w:author="Mohammad" w:date="2025-06-04T17:40:00Z" w:initials="M">
    <w:p w14:paraId="47F1CAB7" w14:textId="6B8BCEC6" w:rsidR="00A108B4" w:rsidRDefault="00A108B4">
      <w:pPr>
        <w:pStyle w:val="CommentText"/>
      </w:pPr>
      <w:r>
        <w:rPr>
          <w:rStyle w:val="CommentReference"/>
        </w:rPr>
        <w:annotationRef/>
      </w:r>
      <w:r>
        <w:t xml:space="preserve">Were </w:t>
      </w:r>
      <w:r>
        <w:t>done</w:t>
      </w:r>
    </w:p>
  </w:comment>
  <w:comment w:id="4" w:author="Mohammad" w:date="2025-06-04T17:43:00Z" w:initials="M">
    <w:p w14:paraId="6D88788A" w14:textId="7625B5FD" w:rsidR="00A108B4" w:rsidRDefault="00A108B4">
      <w:pPr>
        <w:pStyle w:val="CommentText"/>
      </w:pPr>
      <w:r>
        <w:rPr>
          <w:rStyle w:val="CommentReference"/>
        </w:rPr>
        <w:annotationRef/>
      </w:r>
      <w:r>
        <w:t xml:space="preserve">Length </w:t>
      </w:r>
      <w:r>
        <w:t>of hospital stay</w:t>
      </w:r>
    </w:p>
  </w:comment>
  <w:comment w:id="5" w:author="Mohammad" w:date="2025-06-04T17:47:00Z" w:initials="M">
    <w:p w14:paraId="603F67DC" w14:textId="4A3B3DA4" w:rsidR="00CD249D" w:rsidRDefault="00CD249D">
      <w:pPr>
        <w:pStyle w:val="CommentText"/>
      </w:pPr>
      <w:r>
        <w:rPr>
          <w:rStyle w:val="CommentReference"/>
        </w:rPr>
        <w:annotationRef/>
      </w:r>
      <w:r>
        <w:t>deleted</w:t>
      </w:r>
    </w:p>
  </w:comment>
  <w:comment w:id="6" w:author="Mohammad" w:date="2025-06-04T21:56:00Z" w:initials="M">
    <w:p w14:paraId="15F1CE72" w14:textId="10249603" w:rsidR="006E5B1B" w:rsidRDefault="006E5B1B">
      <w:pPr>
        <w:pStyle w:val="CommentText"/>
      </w:pPr>
      <w:r>
        <w:rPr>
          <w:rStyle w:val="CommentReference"/>
        </w:rPr>
        <w:annotationRef/>
      </w:r>
      <w:r>
        <w:t>trans-catheter aortic implantation must be written then(TAVI)</w:t>
      </w:r>
    </w:p>
  </w:comment>
  <w:comment w:id="7" w:author="Mohammad" w:date="2025-06-04T17:48:00Z" w:initials="M">
    <w:p w14:paraId="5DB8897E" w14:textId="3DB13201" w:rsidR="00CD249D" w:rsidRDefault="00CD249D">
      <w:pPr>
        <w:pStyle w:val="CommentText"/>
      </w:pPr>
      <w:r>
        <w:rPr>
          <w:rStyle w:val="CommentReference"/>
        </w:rPr>
        <w:annotationRef/>
      </w:r>
      <w:r>
        <w:t>the</w:t>
      </w:r>
    </w:p>
  </w:comment>
  <w:comment w:id="8" w:author="Mohammad" w:date="2025-06-04T17:49:00Z" w:initials="M">
    <w:p w14:paraId="51D82063" w14:textId="4701398E" w:rsidR="00CD249D" w:rsidRDefault="00CD249D">
      <w:pPr>
        <w:pStyle w:val="CommentText"/>
      </w:pPr>
      <w:r>
        <w:rPr>
          <w:rStyle w:val="CommentReference"/>
        </w:rPr>
        <w:annotationRef/>
      </w:r>
      <w:r>
        <w:t>the</w:t>
      </w:r>
    </w:p>
  </w:comment>
  <w:comment w:id="9" w:author="Mohammad" w:date="2025-06-04T17:49:00Z" w:initials="M">
    <w:p w14:paraId="1509CE30" w14:textId="25A5AE19" w:rsidR="00CD249D" w:rsidRDefault="00CD249D">
      <w:pPr>
        <w:pStyle w:val="CommentText"/>
      </w:pPr>
      <w:r>
        <w:rPr>
          <w:rStyle w:val="CommentReference"/>
        </w:rPr>
        <w:annotationRef/>
      </w:r>
      <w:r>
        <w:t>the</w:t>
      </w:r>
    </w:p>
  </w:comment>
  <w:comment w:id="10" w:author="Mohammad" w:date="2025-06-04T17:51:00Z" w:initials="M">
    <w:p w14:paraId="6014C434" w14:textId="0C8AC4A6" w:rsidR="00CD249D" w:rsidRDefault="00CD249D">
      <w:pPr>
        <w:pStyle w:val="CommentText"/>
      </w:pPr>
      <w:r>
        <w:rPr>
          <w:rStyle w:val="CommentReference"/>
        </w:rPr>
        <w:annotationRef/>
      </w:r>
      <w:r>
        <w:t>with hypothyroidism</w:t>
      </w:r>
    </w:p>
  </w:comment>
  <w:comment w:id="11" w:author="Mohammad" w:date="2025-06-04T17:54:00Z" w:initials="M">
    <w:p w14:paraId="42A6D438" w14:textId="744B383F" w:rsidR="00CD249D" w:rsidRDefault="00CD249D">
      <w:pPr>
        <w:pStyle w:val="CommentText"/>
      </w:pPr>
      <w:r>
        <w:rPr>
          <w:rStyle w:val="CommentReference"/>
        </w:rPr>
        <w:annotationRef/>
      </w:r>
      <w:r>
        <w:t>ischemic</w:t>
      </w:r>
    </w:p>
  </w:comment>
  <w:comment w:id="12" w:author="Mohammad" w:date="2025-06-04T17:55:00Z" w:initials="M">
    <w:p w14:paraId="04B9CAE4" w14:textId="34AA3C89" w:rsidR="00CD249D" w:rsidRDefault="00CD249D">
      <w:pPr>
        <w:pStyle w:val="CommentText"/>
      </w:pPr>
      <w:r>
        <w:rPr>
          <w:rStyle w:val="CommentReference"/>
        </w:rPr>
        <w:annotationRef/>
      </w:r>
      <w:r>
        <w:t>the</w:t>
      </w:r>
    </w:p>
  </w:comment>
  <w:comment w:id="13" w:author="Mohammad" w:date="2025-06-05T08:00:00Z" w:initials="M">
    <w:p w14:paraId="0FB0814B" w14:textId="272D8510" w:rsidR="00D01C14" w:rsidRDefault="00D01C14">
      <w:pPr>
        <w:pStyle w:val="CommentText"/>
      </w:pPr>
      <w:r>
        <w:rPr>
          <w:rStyle w:val="CommentReference"/>
        </w:rPr>
        <w:annotationRef/>
      </w:r>
      <w:r>
        <w:t>the</w:t>
      </w:r>
    </w:p>
  </w:comment>
  <w:comment w:id="14" w:author="Mohammad" w:date="2025-06-05T08:00:00Z" w:initials="M">
    <w:p w14:paraId="18567561" w14:textId="32AFC62C" w:rsidR="00D01C14" w:rsidRDefault="00D01C14">
      <w:pPr>
        <w:pStyle w:val="CommentText"/>
      </w:pPr>
      <w:r>
        <w:rPr>
          <w:rStyle w:val="CommentReference"/>
        </w:rPr>
        <w:annotationRef/>
      </w:r>
      <w:r>
        <w:rPr>
          <w:rStyle w:val="CommentReference"/>
        </w:rPr>
        <w:t>anaesthesia</w:t>
      </w:r>
    </w:p>
  </w:comment>
  <w:comment w:id="15" w:author="Mohammad" w:date="2025-06-04T17:58:00Z" w:initials="M">
    <w:p w14:paraId="12764EA8" w14:textId="2609AFE5" w:rsidR="003074B5" w:rsidRDefault="003074B5">
      <w:pPr>
        <w:pStyle w:val="CommentText"/>
      </w:pPr>
      <w:r>
        <w:rPr>
          <w:rStyle w:val="CommentReference"/>
        </w:rPr>
        <w:annotationRef/>
      </w:r>
      <w:r>
        <w:t>TAVI</w:t>
      </w:r>
    </w:p>
  </w:comment>
  <w:comment w:id="16" w:author="Mohammad" w:date="2025-06-04T20:26:00Z" w:initials="M">
    <w:p w14:paraId="7FD6B467" w14:textId="4520BECE" w:rsidR="003539F2" w:rsidRDefault="003539F2">
      <w:pPr>
        <w:pStyle w:val="CommentText"/>
      </w:pPr>
      <w:r>
        <w:rPr>
          <w:rStyle w:val="CommentReference"/>
        </w:rPr>
        <w:annotationRef/>
      </w:r>
      <w:r>
        <w:t xml:space="preserve">They </w:t>
      </w:r>
      <w:r>
        <w:t>are not proper all</w:t>
      </w:r>
      <w:r w:rsidR="00D01C14">
        <w:t xml:space="preserve"> to find during searching</w:t>
      </w:r>
      <w:r w:rsidR="005E6B02">
        <w:t>,i recommend; TAVR-transcatheter-aortic stenosis-</w:t>
      </w:r>
      <w:r w:rsidR="006E5B1B">
        <w:t xml:space="preserve"> TAVI</w:t>
      </w:r>
      <w:r w:rsidR="005E6B02">
        <w:t>-transfemoral</w:t>
      </w:r>
    </w:p>
  </w:comment>
  <w:comment w:id="17" w:author="Mohammad" w:date="2025-06-04T18:04:00Z" w:initials="M">
    <w:p w14:paraId="653308D9" w14:textId="273E286E" w:rsidR="003074B5" w:rsidRDefault="003074B5">
      <w:pPr>
        <w:pStyle w:val="CommentText"/>
      </w:pPr>
      <w:r>
        <w:rPr>
          <w:rStyle w:val="CommentReference"/>
        </w:rPr>
        <w:annotationRef/>
      </w:r>
      <w:r>
        <w:t>between</w:t>
      </w:r>
    </w:p>
  </w:comment>
  <w:comment w:id="18" w:author="Mohammad" w:date="2025-06-04T18:05:00Z" w:initials="M">
    <w:p w14:paraId="16A1CED1" w14:textId="5523225F" w:rsidR="003074B5" w:rsidRDefault="003074B5">
      <w:pPr>
        <w:pStyle w:val="CommentText"/>
      </w:pPr>
      <w:r>
        <w:rPr>
          <w:rStyle w:val="CommentReference"/>
        </w:rPr>
        <w:annotationRef/>
      </w:r>
      <w:r>
        <w:t>among</w:t>
      </w:r>
    </w:p>
  </w:comment>
  <w:comment w:id="19" w:author="Mohammad" w:date="2025-06-04T18:10:00Z" w:initials="M">
    <w:p w14:paraId="37EA65BB" w14:textId="0A86698C" w:rsidR="00333314" w:rsidRDefault="00333314">
      <w:pPr>
        <w:pStyle w:val="CommentText"/>
      </w:pPr>
      <w:r>
        <w:rPr>
          <w:rStyle w:val="CommentReference"/>
        </w:rPr>
        <w:annotationRef/>
      </w:r>
      <w:r w:rsidR="00D01C14">
        <w:t>to use it</w:t>
      </w:r>
    </w:p>
  </w:comment>
  <w:comment w:id="20" w:author="Mohammad" w:date="2025-06-04T18:16:00Z" w:initials="M">
    <w:p w14:paraId="02856A51" w14:textId="0BE6630C" w:rsidR="00333314" w:rsidRDefault="00333314">
      <w:pPr>
        <w:pStyle w:val="CommentText"/>
      </w:pPr>
      <w:r>
        <w:rPr>
          <w:rStyle w:val="CommentReference"/>
        </w:rPr>
        <w:annotationRef/>
      </w:r>
      <w:r>
        <w:t>that</w:t>
      </w:r>
    </w:p>
  </w:comment>
  <w:comment w:id="21" w:author="Mohammad" w:date="2025-06-04T18:14:00Z" w:initials="M">
    <w:p w14:paraId="293AE0AB" w14:textId="5BD0D238" w:rsidR="00333314" w:rsidRDefault="00333314">
      <w:pPr>
        <w:pStyle w:val="CommentText"/>
      </w:pPr>
      <w:r>
        <w:rPr>
          <w:rStyle w:val="CommentReference"/>
        </w:rPr>
        <w:annotationRef/>
      </w:r>
      <w:r>
        <w:t xml:space="preserve">which are often the cases </w:t>
      </w:r>
      <w:r w:rsidR="00F551F9">
        <w:t>for</w:t>
      </w:r>
    </w:p>
  </w:comment>
  <w:comment w:id="22" w:author="Mohammad" w:date="2025-06-05T08:14:00Z" w:initials="M">
    <w:p w14:paraId="7A75806E" w14:textId="59199814" w:rsidR="00F551F9" w:rsidRDefault="00F551F9">
      <w:pPr>
        <w:pStyle w:val="CommentText"/>
      </w:pPr>
      <w:r>
        <w:rPr>
          <w:rStyle w:val="CommentReference"/>
        </w:rPr>
        <w:annotationRef/>
      </w:r>
      <w:r>
        <w:t>deleted</w:t>
      </w:r>
    </w:p>
  </w:comment>
  <w:comment w:id="23" w:author="Mohammad" w:date="2025-06-04T18:20:00Z" w:initials="M">
    <w:p w14:paraId="1D77D8B8" w14:textId="49038B02" w:rsidR="00C234A3" w:rsidRDefault="00C234A3">
      <w:pPr>
        <w:pStyle w:val="CommentText"/>
      </w:pPr>
      <w:r>
        <w:rPr>
          <w:rStyle w:val="CommentReference"/>
        </w:rPr>
        <w:annotationRef/>
      </w:r>
      <w:r w:rsidR="00F551F9">
        <w:t>evaluated</w:t>
      </w:r>
    </w:p>
  </w:comment>
  <w:comment w:id="24" w:author="Mohammad" w:date="2025-06-04T20:30:00Z" w:initials="M">
    <w:p w14:paraId="5999733D" w14:textId="24D7EBAA" w:rsidR="003539F2" w:rsidRDefault="003539F2">
      <w:pPr>
        <w:pStyle w:val="CommentText"/>
      </w:pPr>
      <w:r>
        <w:rPr>
          <w:rStyle w:val="CommentReference"/>
        </w:rPr>
        <w:annotationRef/>
      </w:r>
      <w:r>
        <w:t>it shold be chaneged with better words</w:t>
      </w:r>
      <w:r w:rsidR="00F551F9">
        <w:t>,i recommend;sedation and GA using</w:t>
      </w:r>
    </w:p>
  </w:comment>
  <w:comment w:id="25" w:author="Mohammad" w:date="2025-06-05T08:21:00Z" w:initials="M">
    <w:p w14:paraId="7C810262" w14:textId="481C57A9" w:rsidR="004139EB" w:rsidRDefault="004139EB">
      <w:pPr>
        <w:pStyle w:val="CommentText"/>
      </w:pPr>
      <w:r>
        <w:rPr>
          <w:rStyle w:val="CommentReference"/>
        </w:rPr>
        <w:annotationRef/>
      </w:r>
      <w:r>
        <w:t>reported</w:t>
      </w:r>
    </w:p>
  </w:comment>
  <w:comment w:id="26" w:author="Mohammad" w:date="2025-06-04T18:22:00Z" w:initials="M">
    <w:p w14:paraId="208191D3" w14:textId="538601B0" w:rsidR="00C234A3" w:rsidRDefault="00C234A3">
      <w:pPr>
        <w:pStyle w:val="CommentText"/>
      </w:pPr>
      <w:r>
        <w:rPr>
          <w:rStyle w:val="CommentReference"/>
        </w:rPr>
        <w:annotationRef/>
      </w:r>
      <w:r>
        <w:t>anaesthesia</w:t>
      </w:r>
    </w:p>
  </w:comment>
  <w:comment w:id="27" w:author="Mohammad" w:date="2025-06-04T21:48:00Z" w:initials="M">
    <w:p w14:paraId="486F7D3C" w14:textId="230C2A90" w:rsidR="005E6B02" w:rsidRDefault="005E6B02">
      <w:pPr>
        <w:pStyle w:val="CommentText"/>
      </w:pPr>
      <w:r>
        <w:rPr>
          <w:rStyle w:val="CommentReference"/>
        </w:rPr>
        <w:annotationRef/>
      </w:r>
      <w:r>
        <w:t>it should be better if they used statistical software</w:t>
      </w:r>
    </w:p>
  </w:comment>
  <w:comment w:id="28" w:author="Mohammad" w:date="2025-06-04T18:24:00Z" w:initials="M">
    <w:p w14:paraId="56FBAB15" w14:textId="3787456E" w:rsidR="00C234A3" w:rsidRDefault="00C234A3">
      <w:pPr>
        <w:pStyle w:val="CommentText"/>
      </w:pPr>
      <w:r>
        <w:rPr>
          <w:rStyle w:val="CommentReference"/>
        </w:rPr>
        <w:annotationRef/>
      </w:r>
      <w:r>
        <w:t>the</w:t>
      </w:r>
    </w:p>
  </w:comment>
  <w:comment w:id="29" w:author="Mohammad" w:date="2025-06-04T18:25:00Z" w:initials="M">
    <w:p w14:paraId="5B7F5318" w14:textId="3E967504" w:rsidR="00C234A3" w:rsidRDefault="00C234A3">
      <w:pPr>
        <w:pStyle w:val="CommentText"/>
      </w:pPr>
      <w:r>
        <w:rPr>
          <w:rStyle w:val="CommentReference"/>
        </w:rPr>
        <w:annotationRef/>
      </w:r>
      <w:r>
        <w:t>the</w:t>
      </w:r>
    </w:p>
  </w:comment>
  <w:comment w:id="30" w:author="Mohammad" w:date="2025-06-04T18:25:00Z" w:initials="M">
    <w:p w14:paraId="2D13F066" w14:textId="53200D9C" w:rsidR="00C234A3" w:rsidRDefault="00C234A3">
      <w:pPr>
        <w:pStyle w:val="CommentText"/>
      </w:pPr>
      <w:r>
        <w:rPr>
          <w:rStyle w:val="CommentReference"/>
        </w:rPr>
        <w:annotationRef/>
      </w:r>
      <w:r>
        <w:t>the</w:t>
      </w:r>
    </w:p>
  </w:comment>
  <w:comment w:id="31" w:author="Mohammad" w:date="2025-06-05T08:28:00Z" w:initials="M">
    <w:p w14:paraId="04620EA9" w14:textId="54794447" w:rsidR="004139EB" w:rsidRDefault="004139EB">
      <w:pPr>
        <w:pStyle w:val="CommentText"/>
      </w:pPr>
      <w:r>
        <w:rPr>
          <w:rStyle w:val="CommentReference"/>
        </w:rPr>
        <w:annotationRef/>
      </w:r>
      <w:r w:rsidR="009D08E3">
        <w:t>must to correct,minimal and maximal and mean pressure are in the table and both characteristic are the same,some thing is wrong</w:t>
      </w:r>
    </w:p>
  </w:comment>
  <w:comment w:id="32" w:author="Mohammad" w:date="2025-06-04T18:38:00Z" w:initials="M">
    <w:p w14:paraId="27E74AB4" w14:textId="165C987D" w:rsidR="00C66E10" w:rsidRDefault="00C66E10">
      <w:pPr>
        <w:pStyle w:val="CommentText"/>
      </w:pPr>
      <w:r>
        <w:rPr>
          <w:rStyle w:val="CommentReference"/>
        </w:rPr>
        <w:annotationRef/>
      </w:r>
      <w:r>
        <w:t>had been performed</w:t>
      </w:r>
    </w:p>
  </w:comment>
  <w:comment w:id="33" w:author="Mohammad" w:date="2025-06-04T18:39:00Z" w:initials="M">
    <w:p w14:paraId="7952B15F" w14:textId="0D459745" w:rsidR="00C66E10" w:rsidRDefault="00C66E10">
      <w:pPr>
        <w:pStyle w:val="CommentText"/>
      </w:pPr>
      <w:r>
        <w:rPr>
          <w:rStyle w:val="CommentReference"/>
        </w:rPr>
        <w:annotationRef/>
      </w:r>
      <w:r>
        <w:t>deleted</w:t>
      </w:r>
    </w:p>
  </w:comment>
  <w:comment w:id="34" w:author="Mohammad" w:date="2025-06-04T18:40:00Z" w:initials="M">
    <w:p w14:paraId="25543101" w14:textId="797944DA" w:rsidR="00C66E10" w:rsidRDefault="00C66E10">
      <w:pPr>
        <w:pStyle w:val="CommentText"/>
      </w:pPr>
      <w:r>
        <w:rPr>
          <w:rStyle w:val="CommentReference"/>
        </w:rPr>
        <w:annotationRef/>
      </w:r>
      <w:r>
        <w:t>had been converted</w:t>
      </w:r>
    </w:p>
  </w:comment>
  <w:comment w:id="35" w:author="Mohammad" w:date="2025-06-05T08:39:00Z" w:initials="M">
    <w:p w14:paraId="5F633332" w14:textId="77386D41" w:rsidR="009D08E3" w:rsidRDefault="009D08E3">
      <w:pPr>
        <w:pStyle w:val="CommentText"/>
      </w:pPr>
      <w:r>
        <w:rPr>
          <w:rStyle w:val="CommentReference"/>
        </w:rPr>
        <w:annotationRef/>
      </w:r>
      <w:r>
        <w:t>the</w:t>
      </w:r>
    </w:p>
  </w:comment>
  <w:comment w:id="36" w:author="Mohammad" w:date="2025-06-04T18:43:00Z" w:initials="M">
    <w:p w14:paraId="3C536997" w14:textId="2445F55C" w:rsidR="00C66E10" w:rsidRDefault="00C66E10">
      <w:pPr>
        <w:pStyle w:val="CommentText"/>
      </w:pPr>
      <w:r>
        <w:rPr>
          <w:rStyle w:val="CommentReference"/>
        </w:rPr>
        <w:annotationRef/>
      </w:r>
      <w:r>
        <w:t>was</w:t>
      </w:r>
    </w:p>
  </w:comment>
  <w:comment w:id="37" w:author="Mohammad" w:date="2025-06-04T18:44:00Z" w:initials="M">
    <w:p w14:paraId="09344FAC" w14:textId="4BD7108B" w:rsidR="00C66E10" w:rsidRDefault="00C66E10">
      <w:pPr>
        <w:pStyle w:val="CommentText"/>
      </w:pPr>
      <w:r>
        <w:rPr>
          <w:rStyle w:val="CommentReference"/>
        </w:rPr>
        <w:annotationRef/>
      </w:r>
      <w:r>
        <w:t xml:space="preserve">the mean </w:t>
      </w:r>
      <w:r w:rsidR="004A7C23">
        <w:t>was</w:t>
      </w:r>
    </w:p>
  </w:comment>
  <w:comment w:id="38" w:author="Mohammad" w:date="2025-06-04T18:44:00Z" w:initials="M">
    <w:p w14:paraId="2AE29C8B" w14:textId="1A9CB765" w:rsidR="00C66E10" w:rsidRDefault="00C66E10">
      <w:pPr>
        <w:pStyle w:val="CommentText"/>
      </w:pPr>
      <w:r>
        <w:rPr>
          <w:rStyle w:val="CommentReference"/>
        </w:rPr>
        <w:annotationRef/>
      </w:r>
      <w:r>
        <w:t>was</w:t>
      </w:r>
    </w:p>
  </w:comment>
  <w:comment w:id="39" w:author="Mohammad" w:date="2025-06-05T08:43:00Z" w:initials="M">
    <w:p w14:paraId="5501A06F" w14:textId="3823E6C9" w:rsidR="004A7C23" w:rsidRDefault="004A7C23">
      <w:pPr>
        <w:pStyle w:val="CommentText"/>
      </w:pPr>
      <w:r>
        <w:rPr>
          <w:rStyle w:val="CommentReference"/>
        </w:rPr>
        <w:annotationRef/>
      </w:r>
      <w:r>
        <w:t>can be deleted because in the text,has been written</w:t>
      </w:r>
    </w:p>
  </w:comment>
  <w:comment w:id="40" w:author="Mohammad" w:date="2025-06-05T08:45:00Z" w:initials="M">
    <w:p w14:paraId="54597014" w14:textId="628323C7" w:rsidR="004A7C23" w:rsidRDefault="004A7C23">
      <w:pPr>
        <w:pStyle w:val="CommentText"/>
      </w:pPr>
      <w:r>
        <w:rPr>
          <w:rStyle w:val="CommentReference"/>
        </w:rPr>
        <w:annotationRef/>
      </w:r>
      <w:r>
        <w:t>ths can be  separate table-;post-procedural</w:t>
      </w:r>
    </w:p>
  </w:comment>
  <w:comment w:id="41" w:author="Mohammad" w:date="2025-06-05T08:50:00Z" w:initials="M">
    <w:p w14:paraId="018F51B2" w14:textId="77DE055E" w:rsidR="00AA08CB" w:rsidRDefault="00AA08CB">
      <w:pPr>
        <w:pStyle w:val="CommentText"/>
      </w:pPr>
      <w:r>
        <w:rPr>
          <w:rStyle w:val="CommentReference"/>
        </w:rPr>
        <w:annotationRef/>
      </w:r>
      <w:r>
        <w:t>are not the same</w:t>
      </w:r>
    </w:p>
  </w:comment>
  <w:comment w:id="42" w:author="Mohammad" w:date="2025-06-04T19:05:00Z" w:initials="M">
    <w:p w14:paraId="4E2495CD" w14:textId="189D7A18" w:rsidR="00E752B3" w:rsidRDefault="00E752B3">
      <w:pPr>
        <w:pStyle w:val="CommentText"/>
      </w:pPr>
      <w:r>
        <w:rPr>
          <w:rStyle w:val="CommentReference"/>
        </w:rPr>
        <w:annotationRef/>
      </w:r>
      <w:r>
        <w:t>with</w:t>
      </w:r>
    </w:p>
  </w:comment>
  <w:comment w:id="43" w:author="Mohammad" w:date="2025-06-04T20:28:00Z" w:initials="M">
    <w:p w14:paraId="5DF30071" w14:textId="0EEA9D19" w:rsidR="003539F2" w:rsidRDefault="003539F2">
      <w:pPr>
        <w:pStyle w:val="CommentText"/>
      </w:pPr>
      <w:r>
        <w:rPr>
          <w:rStyle w:val="CommentReference"/>
        </w:rPr>
        <w:annotationRef/>
      </w:r>
      <w:r>
        <w:t>it should be included in introduction but introduction must not be too long</w:t>
      </w:r>
    </w:p>
  </w:comment>
  <w:comment w:id="44" w:author="Mohammad" w:date="2025-06-04T20:27:00Z" w:initials="M">
    <w:p w14:paraId="62CC57AF" w14:textId="73D262E5" w:rsidR="003539F2" w:rsidRDefault="003539F2">
      <w:pPr>
        <w:pStyle w:val="CommentText"/>
      </w:pPr>
      <w:r>
        <w:rPr>
          <w:rStyle w:val="CommentReference"/>
        </w:rPr>
        <w:annotationRef/>
      </w:r>
      <w:r>
        <w:t xml:space="preserve">it </w:t>
      </w:r>
      <w:r>
        <w:t>should be notted in methods and materias</w:t>
      </w:r>
    </w:p>
  </w:comment>
  <w:comment w:id="45" w:author="Mohammad" w:date="2025-06-04T19:09:00Z" w:initials="M">
    <w:p w14:paraId="742C1389" w14:textId="6B7DBB4E" w:rsidR="001C38DF" w:rsidRDefault="001C38DF">
      <w:pPr>
        <w:pStyle w:val="CommentText"/>
      </w:pPr>
      <w:r>
        <w:rPr>
          <w:rStyle w:val="CommentReference"/>
        </w:rPr>
        <w:annotationRef/>
      </w:r>
      <w:r>
        <w:t>old</w:t>
      </w:r>
      <w:r w:rsidR="0048118A">
        <w:t xml:space="preserve"> is better</w:t>
      </w:r>
    </w:p>
  </w:comment>
  <w:comment w:id="46" w:author="Mohammad" w:date="2025-06-04T19:10:00Z" w:initials="M">
    <w:p w14:paraId="5D4D3845" w14:textId="09ECFBD4" w:rsidR="001C38DF" w:rsidRDefault="001C38DF">
      <w:pPr>
        <w:pStyle w:val="CommentText"/>
      </w:pPr>
      <w:r>
        <w:rPr>
          <w:rStyle w:val="CommentReference"/>
        </w:rPr>
        <w:annotationRef/>
      </w:r>
      <w:r>
        <w:t>had been</w:t>
      </w:r>
    </w:p>
  </w:comment>
  <w:comment w:id="47" w:author="Mohammad" w:date="2025-06-04T19:10:00Z" w:initials="M">
    <w:p w14:paraId="6385B188" w14:textId="45CAF4FB" w:rsidR="001C38DF" w:rsidRDefault="001C38DF">
      <w:pPr>
        <w:pStyle w:val="CommentText"/>
      </w:pPr>
      <w:r>
        <w:rPr>
          <w:rStyle w:val="CommentReference"/>
        </w:rPr>
        <w:annotationRef/>
      </w:r>
      <w:r>
        <w:t xml:space="preserve">had </w:t>
      </w:r>
      <w:r>
        <w:t>been</w:t>
      </w:r>
    </w:p>
  </w:comment>
  <w:comment w:id="48" w:author="Mohammad" w:date="2025-06-04T19:11:00Z" w:initials="M">
    <w:p w14:paraId="16250E36" w14:textId="5638814F" w:rsidR="001C38DF" w:rsidRDefault="001C38DF">
      <w:pPr>
        <w:pStyle w:val="CommentText"/>
      </w:pPr>
      <w:r>
        <w:rPr>
          <w:rStyle w:val="CommentReference"/>
        </w:rPr>
        <w:annotationRef/>
      </w:r>
      <w:r>
        <w:t xml:space="preserve">had </w:t>
      </w:r>
      <w:r>
        <w:t>been</w:t>
      </w:r>
    </w:p>
  </w:comment>
  <w:comment w:id="49" w:author="Mohammad" w:date="2025-06-04T19:12:00Z" w:initials="M">
    <w:p w14:paraId="79154D18" w14:textId="37E01F96" w:rsidR="001C38DF" w:rsidRDefault="001C38DF">
      <w:pPr>
        <w:pStyle w:val="CommentText"/>
      </w:pPr>
      <w:r>
        <w:rPr>
          <w:rStyle w:val="CommentReference"/>
        </w:rPr>
        <w:annotationRef/>
      </w:r>
      <w:r>
        <w:t xml:space="preserve">there </w:t>
      </w:r>
      <w:r>
        <w:t>was difference</w:t>
      </w:r>
    </w:p>
  </w:comment>
  <w:comment w:id="50" w:author="Mohammad" w:date="2025-06-05T09:02:00Z" w:initials="M">
    <w:p w14:paraId="51877F18" w14:textId="2CEB76D5" w:rsidR="0048118A" w:rsidRDefault="0048118A">
      <w:pPr>
        <w:pStyle w:val="CommentText"/>
      </w:pPr>
      <w:r>
        <w:rPr>
          <w:rStyle w:val="CommentReference"/>
        </w:rPr>
        <w:annotationRef/>
      </w:r>
      <w:r>
        <w:t>was different</w:t>
      </w:r>
    </w:p>
  </w:comment>
  <w:comment w:id="51" w:author="Mohammad" w:date="2025-06-04T19:13:00Z" w:initials="M">
    <w:p w14:paraId="2C289708" w14:textId="74F7B09D" w:rsidR="001C38DF" w:rsidRDefault="001C38DF">
      <w:pPr>
        <w:pStyle w:val="CommentText"/>
      </w:pPr>
      <w:r>
        <w:rPr>
          <w:rStyle w:val="CommentReference"/>
        </w:rPr>
        <w:annotationRef/>
      </w:r>
      <w:r>
        <w:t>the</w:t>
      </w:r>
    </w:p>
  </w:comment>
  <w:comment w:id="52" w:author="Mohammad" w:date="2025-06-04T19:14:00Z" w:initials="M">
    <w:p w14:paraId="79EDA819" w14:textId="709EB9D7" w:rsidR="001C38DF" w:rsidRDefault="001C38DF">
      <w:pPr>
        <w:pStyle w:val="CommentText"/>
      </w:pPr>
      <w:r>
        <w:rPr>
          <w:rStyle w:val="CommentReference"/>
        </w:rPr>
        <w:annotationRef/>
      </w:r>
      <w:r>
        <w:t>with</w:t>
      </w:r>
    </w:p>
  </w:comment>
  <w:comment w:id="53" w:author="Mohammad" w:date="2025-06-04T19:16:00Z" w:initials="M">
    <w:p w14:paraId="144C60DF" w14:textId="439AA947" w:rsidR="001C38DF" w:rsidRDefault="001C38DF">
      <w:pPr>
        <w:pStyle w:val="CommentText"/>
      </w:pPr>
      <w:r>
        <w:rPr>
          <w:rStyle w:val="CommentReference"/>
        </w:rPr>
        <w:annotationRef/>
      </w:r>
      <w:r>
        <w:t>conclusion is not c</w:t>
      </w:r>
      <w:r w:rsidR="0048118A">
        <w:t>omplete</w:t>
      </w:r>
      <w:r>
        <w:t xml:space="preserve">. They have to </w:t>
      </w:r>
      <w:r w:rsidR="0000260A">
        <w:t xml:space="preserve">write some recommendations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18DECF" w15:done="0"/>
  <w15:commentEx w15:paraId="12392032" w15:done="0"/>
  <w15:commentEx w15:paraId="46892C0C" w15:done="0"/>
  <w15:commentEx w15:paraId="47F1CAB7" w15:done="0"/>
  <w15:commentEx w15:paraId="6D88788A" w15:done="0"/>
  <w15:commentEx w15:paraId="603F67DC" w15:done="0"/>
  <w15:commentEx w15:paraId="15F1CE72" w15:done="0"/>
  <w15:commentEx w15:paraId="5DB8897E" w15:done="0"/>
  <w15:commentEx w15:paraId="51D82063" w15:done="0"/>
  <w15:commentEx w15:paraId="1509CE30" w15:done="0"/>
  <w15:commentEx w15:paraId="6014C434" w15:done="0"/>
  <w15:commentEx w15:paraId="42A6D438" w15:done="0"/>
  <w15:commentEx w15:paraId="04B9CAE4" w15:done="0"/>
  <w15:commentEx w15:paraId="0FB0814B" w15:done="0"/>
  <w15:commentEx w15:paraId="18567561" w15:done="0"/>
  <w15:commentEx w15:paraId="12764EA8" w15:done="0"/>
  <w15:commentEx w15:paraId="7FD6B467" w15:done="0"/>
  <w15:commentEx w15:paraId="653308D9" w15:done="0"/>
  <w15:commentEx w15:paraId="16A1CED1" w15:done="0"/>
  <w15:commentEx w15:paraId="37EA65BB" w15:done="0"/>
  <w15:commentEx w15:paraId="02856A51" w15:done="0"/>
  <w15:commentEx w15:paraId="293AE0AB" w15:done="0"/>
  <w15:commentEx w15:paraId="7A75806E" w15:done="0"/>
  <w15:commentEx w15:paraId="1D77D8B8" w15:done="0"/>
  <w15:commentEx w15:paraId="5999733D" w15:done="0"/>
  <w15:commentEx w15:paraId="7C810262" w15:done="0"/>
  <w15:commentEx w15:paraId="208191D3" w15:done="0"/>
  <w15:commentEx w15:paraId="486F7D3C" w15:done="0"/>
  <w15:commentEx w15:paraId="56FBAB15" w15:done="0"/>
  <w15:commentEx w15:paraId="5B7F5318" w15:done="0"/>
  <w15:commentEx w15:paraId="2D13F066" w15:done="0"/>
  <w15:commentEx w15:paraId="04620EA9" w15:done="0"/>
  <w15:commentEx w15:paraId="27E74AB4" w15:done="0"/>
  <w15:commentEx w15:paraId="7952B15F" w15:done="0"/>
  <w15:commentEx w15:paraId="25543101" w15:done="0"/>
  <w15:commentEx w15:paraId="5F633332" w15:done="0"/>
  <w15:commentEx w15:paraId="3C536997" w15:done="0"/>
  <w15:commentEx w15:paraId="09344FAC" w15:done="0"/>
  <w15:commentEx w15:paraId="2AE29C8B" w15:done="0"/>
  <w15:commentEx w15:paraId="5501A06F" w15:done="0"/>
  <w15:commentEx w15:paraId="54597014" w15:done="0"/>
  <w15:commentEx w15:paraId="018F51B2" w15:done="0"/>
  <w15:commentEx w15:paraId="4E2495CD" w15:done="0"/>
  <w15:commentEx w15:paraId="5DF30071" w15:done="0"/>
  <w15:commentEx w15:paraId="62CC57AF" w15:done="0"/>
  <w15:commentEx w15:paraId="742C1389" w15:done="0"/>
  <w15:commentEx w15:paraId="5D4D3845" w15:done="0"/>
  <w15:commentEx w15:paraId="6385B188" w15:done="0"/>
  <w15:commentEx w15:paraId="16250E36" w15:done="0"/>
  <w15:commentEx w15:paraId="79154D18" w15:done="0"/>
  <w15:commentEx w15:paraId="51877F18" w15:done="0"/>
  <w15:commentEx w15:paraId="2C289708" w15:done="0"/>
  <w15:commentEx w15:paraId="79EDA819" w15:done="0"/>
  <w15:commentEx w15:paraId="144C60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B02B5" w16cex:dateUtc="2025-06-04T14:06:00Z"/>
  <w16cex:commentExtensible w16cex:durableId="2BEB0325" w16cex:dateUtc="2025-06-04T14:08:00Z"/>
  <w16cex:commentExtensible w16cex:durableId="2BEB0334" w16cex:dateUtc="2025-06-04T14:09:00Z"/>
  <w16cex:commentExtensible w16cex:durableId="2BEB03AB" w16cex:dateUtc="2025-06-04T14:10:00Z"/>
  <w16cex:commentExtensible w16cex:durableId="2BEB0431" w16cex:dateUtc="2025-06-04T14:13:00Z"/>
  <w16cex:commentExtensible w16cex:durableId="2BEB0545" w16cex:dateUtc="2025-06-04T14:17:00Z"/>
  <w16cex:commentExtensible w16cex:durableId="2BEB3F8A" w16cex:dateUtc="2025-06-04T18:26:00Z"/>
  <w16cex:commentExtensible w16cex:durableId="2BEB055F" w16cex:dateUtc="2025-06-04T14:18:00Z"/>
  <w16cex:commentExtensible w16cex:durableId="2BEB05A6" w16cex:dateUtc="2025-06-04T14:19:00Z"/>
  <w16cex:commentExtensible w16cex:durableId="2BEB05B6" w16cex:dateUtc="2025-06-04T14:19:00Z"/>
  <w16cex:commentExtensible w16cex:durableId="2BEB0623" w16cex:dateUtc="2025-06-04T14:21:00Z"/>
  <w16cex:commentExtensible w16cex:durableId="2BEB06EF" w16cex:dateUtc="2025-06-04T14:24:00Z"/>
  <w16cex:commentExtensible w16cex:durableId="2BEB0721" w16cex:dateUtc="2025-06-04T14:25:00Z"/>
  <w16cex:commentExtensible w16cex:durableId="2BEBCD12" w16cex:dateUtc="2025-06-05T04:30:00Z"/>
  <w16cex:commentExtensible w16cex:durableId="2BEBCD31" w16cex:dateUtc="2025-06-05T04:30:00Z"/>
  <w16cex:commentExtensible w16cex:durableId="2BEB07BC" w16cex:dateUtc="2025-06-04T14:28:00Z"/>
  <w16cex:commentExtensible w16cex:durableId="2BEB2ADA" w16cex:dateUtc="2025-06-04T16:56:00Z"/>
  <w16cex:commentExtensible w16cex:durableId="2BEB0917" w16cex:dateUtc="2025-06-04T14:34:00Z"/>
  <w16cex:commentExtensible w16cex:durableId="2BEB0984" w16cex:dateUtc="2025-06-04T14:35:00Z"/>
  <w16cex:commentExtensible w16cex:durableId="2BEB0A93" w16cex:dateUtc="2025-06-04T14:40:00Z"/>
  <w16cex:commentExtensible w16cex:durableId="2BEB0BEE" w16cex:dateUtc="2025-06-04T14:46:00Z"/>
  <w16cex:commentExtensible w16cex:durableId="2BEB0B95" w16cex:dateUtc="2025-06-04T14:44:00Z"/>
  <w16cex:commentExtensible w16cex:durableId="2BEBD05A" w16cex:dateUtc="2025-06-05T04:44:00Z"/>
  <w16cex:commentExtensible w16cex:durableId="2BEB0CD8" w16cex:dateUtc="2025-06-04T14:50:00Z"/>
  <w16cex:commentExtensible w16cex:durableId="2BEB2B5E" w16cex:dateUtc="2025-06-04T17:00:00Z"/>
  <w16cex:commentExtensible w16cex:durableId="2BEBD1EC" w16cex:dateUtc="2025-06-05T04:51:00Z"/>
  <w16cex:commentExtensible w16cex:durableId="2BEB0D5D" w16cex:dateUtc="2025-06-04T14:52:00Z"/>
  <w16cex:commentExtensible w16cex:durableId="2BEB3DB7" w16cex:dateUtc="2025-06-04T18:18:00Z"/>
  <w16cex:commentExtensible w16cex:durableId="2BEB0DCC" w16cex:dateUtc="2025-06-04T14:54:00Z"/>
  <w16cex:commentExtensible w16cex:durableId="2BEB0E04" w16cex:dateUtc="2025-06-04T14:55:00Z"/>
  <w16cex:commentExtensible w16cex:durableId="2BEB0E19" w16cex:dateUtc="2025-06-04T14:55:00Z"/>
  <w16cex:commentExtensible w16cex:durableId="2BEBD3B9" w16cex:dateUtc="2025-06-05T04:58:00Z"/>
  <w16cex:commentExtensible w16cex:durableId="2BEB1128" w16cex:dateUtc="2025-06-04T15:08:00Z"/>
  <w16cex:commentExtensible w16cex:durableId="2BEB1155" w16cex:dateUtc="2025-06-04T15:09:00Z"/>
  <w16cex:commentExtensible w16cex:durableId="2BEB1196" w16cex:dateUtc="2025-06-04T15:10:00Z"/>
  <w16cex:commentExtensible w16cex:durableId="2BEBD63D" w16cex:dateUtc="2025-06-05T05:09:00Z"/>
  <w16cex:commentExtensible w16cex:durableId="2BEB1268" w16cex:dateUtc="2025-06-04T15:13:00Z"/>
  <w16cex:commentExtensible w16cex:durableId="2BEB1294" w16cex:dateUtc="2025-06-04T15:14:00Z"/>
  <w16cex:commentExtensible w16cex:durableId="2BEB1273" w16cex:dateUtc="2025-06-04T15:14:00Z"/>
  <w16cex:commentExtensible w16cex:durableId="2BEBD71D" w16cex:dateUtc="2025-06-05T05:13:00Z"/>
  <w16cex:commentExtensible w16cex:durableId="2BEBD7B1" w16cex:dateUtc="2025-06-05T05:15:00Z"/>
  <w16cex:commentExtensible w16cex:durableId="2BEBD8E4" w16cex:dateUtc="2025-06-05T05:20:00Z"/>
  <w16cex:commentExtensible w16cex:durableId="2BEB1777" w16cex:dateUtc="2025-06-04T15:35:00Z"/>
  <w16cex:commentExtensible w16cex:durableId="2BEB2AF3" w16cex:dateUtc="2025-06-04T16:58:00Z"/>
  <w16cex:commentExtensible w16cex:durableId="2BEB2ADB" w16cex:dateUtc="2025-06-04T16:57:00Z"/>
  <w16cex:commentExtensible w16cex:durableId="2BEB184E" w16cex:dateUtc="2025-06-04T15:39:00Z"/>
  <w16cex:commentExtensible w16cex:durableId="2BEB188C" w16cex:dateUtc="2025-06-04T15:40:00Z"/>
  <w16cex:commentExtensible w16cex:durableId="2BEB18A2" w16cex:dateUtc="2025-06-04T15:40:00Z"/>
  <w16cex:commentExtensible w16cex:durableId="2BEB18C7" w16cex:dateUtc="2025-06-04T15:41:00Z"/>
  <w16cex:commentExtensible w16cex:durableId="2BEB192A" w16cex:dateUtc="2025-06-04T15:42:00Z"/>
  <w16cex:commentExtensible w16cex:durableId="2BEBDBB8" w16cex:dateUtc="2025-06-05T05:32:00Z"/>
  <w16cex:commentExtensible w16cex:durableId="2BEB1961" w16cex:dateUtc="2025-06-04T15:43:00Z"/>
  <w16cex:commentExtensible w16cex:durableId="2BEB19A9" w16cex:dateUtc="2025-06-04T15:44:00Z"/>
  <w16cex:commentExtensible w16cex:durableId="2BEB1A0D" w16cex:dateUtc="2025-06-04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18DECF" w16cid:durableId="2BEB02B5"/>
  <w16cid:commentId w16cid:paraId="12392032" w16cid:durableId="2BEB0325"/>
  <w16cid:commentId w16cid:paraId="46892C0C" w16cid:durableId="2BEB0334"/>
  <w16cid:commentId w16cid:paraId="47F1CAB7" w16cid:durableId="2BEB03AB"/>
  <w16cid:commentId w16cid:paraId="6D88788A" w16cid:durableId="2BEB0431"/>
  <w16cid:commentId w16cid:paraId="603F67DC" w16cid:durableId="2BEB0545"/>
  <w16cid:commentId w16cid:paraId="15F1CE72" w16cid:durableId="2BEB3F8A"/>
  <w16cid:commentId w16cid:paraId="5DB8897E" w16cid:durableId="2BEB055F"/>
  <w16cid:commentId w16cid:paraId="51D82063" w16cid:durableId="2BEB05A6"/>
  <w16cid:commentId w16cid:paraId="1509CE30" w16cid:durableId="2BEB05B6"/>
  <w16cid:commentId w16cid:paraId="6014C434" w16cid:durableId="2BEB0623"/>
  <w16cid:commentId w16cid:paraId="42A6D438" w16cid:durableId="2BEB06EF"/>
  <w16cid:commentId w16cid:paraId="04B9CAE4" w16cid:durableId="2BEB0721"/>
  <w16cid:commentId w16cid:paraId="0FB0814B" w16cid:durableId="2BEBCD12"/>
  <w16cid:commentId w16cid:paraId="18567561" w16cid:durableId="2BEBCD31"/>
  <w16cid:commentId w16cid:paraId="12764EA8" w16cid:durableId="2BEB07BC"/>
  <w16cid:commentId w16cid:paraId="7FD6B467" w16cid:durableId="2BEB2ADA"/>
  <w16cid:commentId w16cid:paraId="653308D9" w16cid:durableId="2BEB0917"/>
  <w16cid:commentId w16cid:paraId="16A1CED1" w16cid:durableId="2BEB0984"/>
  <w16cid:commentId w16cid:paraId="37EA65BB" w16cid:durableId="2BEB0A93"/>
  <w16cid:commentId w16cid:paraId="02856A51" w16cid:durableId="2BEB0BEE"/>
  <w16cid:commentId w16cid:paraId="293AE0AB" w16cid:durableId="2BEB0B95"/>
  <w16cid:commentId w16cid:paraId="7A75806E" w16cid:durableId="2BEBD05A"/>
  <w16cid:commentId w16cid:paraId="1D77D8B8" w16cid:durableId="2BEB0CD8"/>
  <w16cid:commentId w16cid:paraId="5999733D" w16cid:durableId="2BEB2B5E"/>
  <w16cid:commentId w16cid:paraId="7C810262" w16cid:durableId="2BEBD1EC"/>
  <w16cid:commentId w16cid:paraId="208191D3" w16cid:durableId="2BEB0D5D"/>
  <w16cid:commentId w16cid:paraId="486F7D3C" w16cid:durableId="2BEB3DB7"/>
  <w16cid:commentId w16cid:paraId="56FBAB15" w16cid:durableId="2BEB0DCC"/>
  <w16cid:commentId w16cid:paraId="5B7F5318" w16cid:durableId="2BEB0E04"/>
  <w16cid:commentId w16cid:paraId="2D13F066" w16cid:durableId="2BEB0E19"/>
  <w16cid:commentId w16cid:paraId="04620EA9" w16cid:durableId="2BEBD3B9"/>
  <w16cid:commentId w16cid:paraId="27E74AB4" w16cid:durableId="2BEB1128"/>
  <w16cid:commentId w16cid:paraId="7952B15F" w16cid:durableId="2BEB1155"/>
  <w16cid:commentId w16cid:paraId="25543101" w16cid:durableId="2BEB1196"/>
  <w16cid:commentId w16cid:paraId="5F633332" w16cid:durableId="2BEBD63D"/>
  <w16cid:commentId w16cid:paraId="3C536997" w16cid:durableId="2BEB1268"/>
  <w16cid:commentId w16cid:paraId="09344FAC" w16cid:durableId="2BEB1294"/>
  <w16cid:commentId w16cid:paraId="2AE29C8B" w16cid:durableId="2BEB1273"/>
  <w16cid:commentId w16cid:paraId="5501A06F" w16cid:durableId="2BEBD71D"/>
  <w16cid:commentId w16cid:paraId="54597014" w16cid:durableId="2BEBD7B1"/>
  <w16cid:commentId w16cid:paraId="018F51B2" w16cid:durableId="2BEBD8E4"/>
  <w16cid:commentId w16cid:paraId="4E2495CD" w16cid:durableId="2BEB1777"/>
  <w16cid:commentId w16cid:paraId="5DF30071" w16cid:durableId="2BEB2AF3"/>
  <w16cid:commentId w16cid:paraId="62CC57AF" w16cid:durableId="2BEB2ADB"/>
  <w16cid:commentId w16cid:paraId="742C1389" w16cid:durableId="2BEB184E"/>
  <w16cid:commentId w16cid:paraId="5D4D3845" w16cid:durableId="2BEB188C"/>
  <w16cid:commentId w16cid:paraId="6385B188" w16cid:durableId="2BEB18A2"/>
  <w16cid:commentId w16cid:paraId="16250E36" w16cid:durableId="2BEB18C7"/>
  <w16cid:commentId w16cid:paraId="79154D18" w16cid:durableId="2BEB192A"/>
  <w16cid:commentId w16cid:paraId="51877F18" w16cid:durableId="2BEBDBB8"/>
  <w16cid:commentId w16cid:paraId="2C289708" w16cid:durableId="2BEB1961"/>
  <w16cid:commentId w16cid:paraId="79EDA819" w16cid:durableId="2BEB19A9"/>
  <w16cid:commentId w16cid:paraId="144C60DF" w16cid:durableId="2BEB1A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70047" w14:textId="77777777" w:rsidR="008E6761" w:rsidRDefault="008E6761" w:rsidP="00C37E61">
      <w:r>
        <w:separator/>
      </w:r>
    </w:p>
  </w:endnote>
  <w:endnote w:type="continuationSeparator" w:id="0">
    <w:p w14:paraId="2AD56FD3" w14:textId="77777777" w:rsidR="008E6761" w:rsidRDefault="008E676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716D" w14:textId="77777777" w:rsidR="009E048A" w:rsidRDefault="009E048A">
    <w:pPr>
      <w:pStyle w:val="Footer"/>
      <w:rPr>
        <w:rFonts w:ascii="Arial" w:hAnsi="Arial" w:cs="Arial"/>
        <w:sz w:val="16"/>
      </w:rPr>
    </w:pPr>
  </w:p>
  <w:p w14:paraId="459C4A26"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7D56EB2" w14:textId="77777777" w:rsidR="009E048A" w:rsidRDefault="009E048A">
    <w:pPr>
      <w:pStyle w:val="Footer"/>
      <w:rPr>
        <w:rFonts w:ascii="Arial" w:hAnsi="Arial" w:cs="Arial"/>
        <w:sz w:val="16"/>
      </w:rPr>
    </w:pPr>
  </w:p>
  <w:p w14:paraId="720462CD"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AAB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7B0BC" w14:textId="77777777" w:rsidR="008E6761" w:rsidRDefault="008E6761" w:rsidP="00C37E61">
      <w:r>
        <w:separator/>
      </w:r>
    </w:p>
  </w:footnote>
  <w:footnote w:type="continuationSeparator" w:id="0">
    <w:p w14:paraId="537CC576" w14:textId="77777777" w:rsidR="008E6761" w:rsidRDefault="008E676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50E18" w14:textId="2CF61113" w:rsidR="00C9334D" w:rsidRDefault="008E6761">
    <w:pPr>
      <w:pStyle w:val="Header"/>
    </w:pPr>
    <w:r>
      <w:rPr>
        <w:noProof/>
      </w:rPr>
      <w:pict w14:anchorId="4D0AA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444157"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92328" w14:textId="601FD4E5" w:rsidR="00C9334D" w:rsidRDefault="008E6761">
    <w:pPr>
      <w:pStyle w:val="Header"/>
    </w:pPr>
    <w:r>
      <w:rPr>
        <w:noProof/>
      </w:rPr>
      <w:pict w14:anchorId="3BC3C3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444158"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8D41" w14:textId="2FC40E63" w:rsidR="00296529" w:rsidRPr="00296529" w:rsidRDefault="008E6761" w:rsidP="00296529">
    <w:pPr>
      <w:ind w:left="2160"/>
      <w:jc w:val="center"/>
      <w:rPr>
        <w:rFonts w:ascii="Times New Roman" w:eastAsia="Calibri" w:hAnsi="Times New Roman"/>
        <w:i/>
        <w:sz w:val="18"/>
        <w:szCs w:val="22"/>
      </w:rPr>
    </w:pPr>
    <w:r>
      <w:rPr>
        <w:noProof/>
      </w:rPr>
      <w:pict w14:anchorId="31E81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444156"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C16D7A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35BB76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097919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1B9C11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E30C09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F59D7D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C511" w14:textId="28CA3F31" w:rsidR="00C9334D" w:rsidRDefault="008E6761">
    <w:pPr>
      <w:pStyle w:val="Header"/>
    </w:pPr>
    <w:r>
      <w:rPr>
        <w:noProof/>
      </w:rPr>
      <w:pict w14:anchorId="4F73CE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444160"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4EC9D" w14:textId="4491BBA2" w:rsidR="00C9334D" w:rsidRDefault="008E6761">
    <w:pPr>
      <w:pStyle w:val="Header"/>
    </w:pPr>
    <w:r>
      <w:rPr>
        <w:noProof/>
      </w:rPr>
      <w:pict w14:anchorId="1CAA19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444161"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D964" w14:textId="6A4FDCED" w:rsidR="00C9334D" w:rsidRDefault="008E6761">
    <w:pPr>
      <w:pStyle w:val="Header"/>
    </w:pPr>
    <w:r>
      <w:rPr>
        <w:noProof/>
      </w:rPr>
      <w:pict w14:anchorId="5D2187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444159"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mad">
    <w15:presenceInfo w15:providerId="Windows Live" w15:userId="9ab346176bab1e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260A"/>
    <w:rsid w:val="00030174"/>
    <w:rsid w:val="000336DE"/>
    <w:rsid w:val="0004579C"/>
    <w:rsid w:val="00080AE6"/>
    <w:rsid w:val="00094A41"/>
    <w:rsid w:val="000A47FA"/>
    <w:rsid w:val="000A65D3"/>
    <w:rsid w:val="000B1E33"/>
    <w:rsid w:val="000B5876"/>
    <w:rsid w:val="000D689F"/>
    <w:rsid w:val="000E7B7B"/>
    <w:rsid w:val="000E7D62"/>
    <w:rsid w:val="00103357"/>
    <w:rsid w:val="00123C9F"/>
    <w:rsid w:val="00125FC0"/>
    <w:rsid w:val="00126190"/>
    <w:rsid w:val="00130F17"/>
    <w:rsid w:val="001320BF"/>
    <w:rsid w:val="00163BC4"/>
    <w:rsid w:val="00191062"/>
    <w:rsid w:val="00192B72"/>
    <w:rsid w:val="001A29D8"/>
    <w:rsid w:val="001A5CAA"/>
    <w:rsid w:val="001B0427"/>
    <w:rsid w:val="001C38DF"/>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9787E"/>
    <w:rsid w:val="002B27FB"/>
    <w:rsid w:val="002B685A"/>
    <w:rsid w:val="002C57D2"/>
    <w:rsid w:val="002E0D56"/>
    <w:rsid w:val="003074B5"/>
    <w:rsid w:val="00311474"/>
    <w:rsid w:val="00315186"/>
    <w:rsid w:val="00333314"/>
    <w:rsid w:val="0033343E"/>
    <w:rsid w:val="0033790C"/>
    <w:rsid w:val="003512C2"/>
    <w:rsid w:val="003539F2"/>
    <w:rsid w:val="00365562"/>
    <w:rsid w:val="00371FB6"/>
    <w:rsid w:val="00374890"/>
    <w:rsid w:val="003763C1"/>
    <w:rsid w:val="00376BBE"/>
    <w:rsid w:val="00391C49"/>
    <w:rsid w:val="0039224F"/>
    <w:rsid w:val="003A36B7"/>
    <w:rsid w:val="003A43A4"/>
    <w:rsid w:val="003A7E18"/>
    <w:rsid w:val="003C4C86"/>
    <w:rsid w:val="003C6258"/>
    <w:rsid w:val="003E2904"/>
    <w:rsid w:val="003F7F65"/>
    <w:rsid w:val="00401927"/>
    <w:rsid w:val="0041027F"/>
    <w:rsid w:val="00412475"/>
    <w:rsid w:val="004139EB"/>
    <w:rsid w:val="0042332B"/>
    <w:rsid w:val="00423789"/>
    <w:rsid w:val="00425E5E"/>
    <w:rsid w:val="00440F43"/>
    <w:rsid w:val="00441B6F"/>
    <w:rsid w:val="00446221"/>
    <w:rsid w:val="00450E62"/>
    <w:rsid w:val="004539DB"/>
    <w:rsid w:val="00471A80"/>
    <w:rsid w:val="0048118A"/>
    <w:rsid w:val="004A3603"/>
    <w:rsid w:val="004A7C23"/>
    <w:rsid w:val="004D305E"/>
    <w:rsid w:val="004D4277"/>
    <w:rsid w:val="004D6CEF"/>
    <w:rsid w:val="00502516"/>
    <w:rsid w:val="00505F06"/>
    <w:rsid w:val="00506828"/>
    <w:rsid w:val="00522177"/>
    <w:rsid w:val="0053056E"/>
    <w:rsid w:val="00554FDA"/>
    <w:rsid w:val="005C784C"/>
    <w:rsid w:val="005D17F6"/>
    <w:rsid w:val="005E5539"/>
    <w:rsid w:val="005E6B02"/>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E5B1B"/>
    <w:rsid w:val="006F11EC"/>
    <w:rsid w:val="0070082C"/>
    <w:rsid w:val="007369E6"/>
    <w:rsid w:val="00746E59"/>
    <w:rsid w:val="00754C9A"/>
    <w:rsid w:val="0075599A"/>
    <w:rsid w:val="00761D52"/>
    <w:rsid w:val="00766B2B"/>
    <w:rsid w:val="00771114"/>
    <w:rsid w:val="0077749E"/>
    <w:rsid w:val="007877D3"/>
    <w:rsid w:val="00790ADA"/>
    <w:rsid w:val="007D2288"/>
    <w:rsid w:val="007E088F"/>
    <w:rsid w:val="007F7B32"/>
    <w:rsid w:val="00804792"/>
    <w:rsid w:val="00804BC2"/>
    <w:rsid w:val="0081431A"/>
    <w:rsid w:val="0083216F"/>
    <w:rsid w:val="00860000"/>
    <w:rsid w:val="00863BD3"/>
    <w:rsid w:val="008641ED"/>
    <w:rsid w:val="00866D66"/>
    <w:rsid w:val="008671C6"/>
    <w:rsid w:val="00875803"/>
    <w:rsid w:val="008B459E"/>
    <w:rsid w:val="008E13AE"/>
    <w:rsid w:val="008E1506"/>
    <w:rsid w:val="008E6761"/>
    <w:rsid w:val="008E710C"/>
    <w:rsid w:val="008F69D6"/>
    <w:rsid w:val="00902823"/>
    <w:rsid w:val="009029F2"/>
    <w:rsid w:val="00915CA6"/>
    <w:rsid w:val="00927834"/>
    <w:rsid w:val="009500A6"/>
    <w:rsid w:val="00957C18"/>
    <w:rsid w:val="009659BA"/>
    <w:rsid w:val="00983040"/>
    <w:rsid w:val="009B3FB9"/>
    <w:rsid w:val="009C2465"/>
    <w:rsid w:val="009D08E3"/>
    <w:rsid w:val="009D35A0"/>
    <w:rsid w:val="009D7EB7"/>
    <w:rsid w:val="009E048A"/>
    <w:rsid w:val="009E08E9"/>
    <w:rsid w:val="009E3DB9"/>
    <w:rsid w:val="009E6E35"/>
    <w:rsid w:val="009F0EDA"/>
    <w:rsid w:val="00A03B96"/>
    <w:rsid w:val="00A05B19"/>
    <w:rsid w:val="00A108B4"/>
    <w:rsid w:val="00A1134E"/>
    <w:rsid w:val="00A24E7E"/>
    <w:rsid w:val="00A25654"/>
    <w:rsid w:val="00A258C3"/>
    <w:rsid w:val="00A347C0"/>
    <w:rsid w:val="00A431EB"/>
    <w:rsid w:val="00A51431"/>
    <w:rsid w:val="00A539AD"/>
    <w:rsid w:val="00A65B2C"/>
    <w:rsid w:val="00A94063"/>
    <w:rsid w:val="00AA08CB"/>
    <w:rsid w:val="00AA6219"/>
    <w:rsid w:val="00AA74E0"/>
    <w:rsid w:val="00AB703F"/>
    <w:rsid w:val="00AC6BB8"/>
    <w:rsid w:val="00AE008F"/>
    <w:rsid w:val="00B01FCD"/>
    <w:rsid w:val="00B1776C"/>
    <w:rsid w:val="00B52583"/>
    <w:rsid w:val="00B52896"/>
    <w:rsid w:val="00B869BF"/>
    <w:rsid w:val="00B92286"/>
    <w:rsid w:val="00B95236"/>
    <w:rsid w:val="00B96BD9"/>
    <w:rsid w:val="00BA1B01"/>
    <w:rsid w:val="00BA2641"/>
    <w:rsid w:val="00BB37AA"/>
    <w:rsid w:val="00BC53A0"/>
    <w:rsid w:val="00BE62AD"/>
    <w:rsid w:val="00BF121F"/>
    <w:rsid w:val="00BF1F80"/>
    <w:rsid w:val="00C166EF"/>
    <w:rsid w:val="00C17EB0"/>
    <w:rsid w:val="00C234A3"/>
    <w:rsid w:val="00C27F5F"/>
    <w:rsid w:val="00C30A0F"/>
    <w:rsid w:val="00C37E61"/>
    <w:rsid w:val="00C522D7"/>
    <w:rsid w:val="00C66E10"/>
    <w:rsid w:val="00C70F1B"/>
    <w:rsid w:val="00C71A47"/>
    <w:rsid w:val="00C7464C"/>
    <w:rsid w:val="00C85588"/>
    <w:rsid w:val="00C9334D"/>
    <w:rsid w:val="00CD249D"/>
    <w:rsid w:val="00CD6755"/>
    <w:rsid w:val="00CD6856"/>
    <w:rsid w:val="00CE0089"/>
    <w:rsid w:val="00CE793C"/>
    <w:rsid w:val="00CF193C"/>
    <w:rsid w:val="00D01C14"/>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52B3"/>
    <w:rsid w:val="00E769F6"/>
    <w:rsid w:val="00E8407C"/>
    <w:rsid w:val="00E84F3C"/>
    <w:rsid w:val="00EA012C"/>
    <w:rsid w:val="00EC6A55"/>
    <w:rsid w:val="00ED0288"/>
    <w:rsid w:val="00EE52CB"/>
    <w:rsid w:val="00EF581D"/>
    <w:rsid w:val="00EF7FD8"/>
    <w:rsid w:val="00F06F59"/>
    <w:rsid w:val="00F17988"/>
    <w:rsid w:val="00F469F0"/>
    <w:rsid w:val="00F53273"/>
    <w:rsid w:val="00F551F9"/>
    <w:rsid w:val="00F755E4"/>
    <w:rsid w:val="00F77D02"/>
    <w:rsid w:val="00F82A05"/>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C44633D"/>
  <w15:docId w15:val="{35027EA8-DA8B-4A35-AF26-28ED9CBE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UnresolvedMention">
    <w:name w:val="Unresolved Mention"/>
    <w:basedOn w:val="DefaultParagraphFont"/>
    <w:uiPriority w:val="99"/>
    <w:semiHidden/>
    <w:unhideWhenUsed/>
    <w:rsid w:val="003F7F65"/>
    <w:rPr>
      <w:color w:val="605E5C"/>
      <w:shd w:val="clear" w:color="auto" w:fill="E1DFDD"/>
    </w:rPr>
  </w:style>
  <w:style w:type="paragraph" w:styleId="CommentSubject">
    <w:name w:val="annotation subject"/>
    <w:basedOn w:val="CommentText"/>
    <w:next w:val="CommentText"/>
    <w:link w:val="CommentSubjectChar"/>
    <w:semiHidden/>
    <w:unhideWhenUsed/>
    <w:rsid w:val="00A108B4"/>
    <w:rPr>
      <w:rFonts w:ascii="Helvetica" w:hAnsi="Helvetica"/>
      <w:b/>
      <w:bCs/>
      <w:lang w:val="en-US" w:eastAsia="en-US"/>
    </w:rPr>
  </w:style>
  <w:style w:type="character" w:customStyle="1" w:styleId="CommentSubjectChar">
    <w:name w:val="Comment Subject Char"/>
    <w:basedOn w:val="CommentTextChar"/>
    <w:link w:val="CommentSubject"/>
    <w:semiHidden/>
    <w:rsid w:val="00A108B4"/>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ECED9-0866-46C2-82F5-4931BD9FE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92</TotalTime>
  <Pages>8</Pages>
  <Words>3420</Words>
  <Characters>19497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22872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Mohammad</cp:lastModifiedBy>
  <cp:revision>6</cp:revision>
  <cp:lastPrinted>1999-07-06T11:00:00Z</cp:lastPrinted>
  <dcterms:created xsi:type="dcterms:W3CDTF">2025-06-04T15:48:00Z</dcterms:created>
  <dcterms:modified xsi:type="dcterms:W3CDTF">2025-06-05T05:36:00Z</dcterms:modified>
</cp:coreProperties>
</file>