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keepNext/>
        <w:keepLines/>
        <w:widowControl w:val="false"/>
        <w:spacing w:before="240" w:after="0" w:lineRule="auto" w:line="256"/>
        <w:jc w:val="center"/>
        <w:outlineLvl w:val="0"/>
        <w:rPr>
          <w:rFonts w:ascii="Times New Roman" w:cs="Times New Roman" w:eastAsia="Times New Roman" w:hAnsi="Times New Roman"/>
          <w:b/>
          <w:bCs/>
          <w:i/>
          <w:iCs/>
          <w:kern w:val="36"/>
          <w:sz w:val="24"/>
          <w:szCs w:val="24"/>
          <w:u w:val="single"/>
          <w:lang w:val="en-US" w:eastAsia="en-GB"/>
        </w:rPr>
      </w:pPr>
      <w:bookmarkStart w:id="0" w:name="_Toc7450"/>
      <w:bookmarkStart w:id="1" w:name="_Toc32616"/>
      <w:bookmarkStart w:id="2" w:name="_Toc31017"/>
      <w:bookmarkStart w:id="3" w:name="_Toc23745"/>
      <w:bookmarkStart w:id="4" w:name="_Toc20751"/>
      <w:bookmarkStart w:id="5" w:name="_Toc23165"/>
      <w:bookmarkStart w:id="6" w:name="_Toc30033"/>
      <w:bookmarkStart w:id="7" w:name="_Toc17803"/>
      <w:bookmarkStart w:id="8" w:name="_Toc28767"/>
      <w:bookmarkStart w:id="9" w:name="_Toc12704"/>
      <w:bookmarkStart w:id="10" w:name="_Toc17872"/>
      <w:bookmarkStart w:id="11" w:name="_Toc6131"/>
      <w:bookmarkStart w:id="12" w:name="_Hlk189135391"/>
      <w:bookmarkEnd w:id="0"/>
      <w:bookmarkEnd w:id="1"/>
      <w:bookmarkEnd w:id="2"/>
      <w:bookmarkEnd w:id="3"/>
      <w:bookmarkEnd w:id="4"/>
      <w:bookmarkEnd w:id="5"/>
      <w:bookmarkEnd w:id="6"/>
      <w:bookmarkEnd w:id="7"/>
      <w:bookmarkEnd w:id="8"/>
      <w:bookmarkEnd w:id="9"/>
      <w:bookmarkEnd w:id="10"/>
      <w:r>
        <w:rPr>
          <w:rFonts w:ascii="Times New Roman" w:cs="Times New Roman" w:eastAsia="Times New Roman" w:hAnsi="Times New Roman"/>
          <w:b/>
          <w:bCs/>
          <w:i/>
          <w:iCs/>
          <w:kern w:val="36"/>
          <w:sz w:val="24"/>
          <w:szCs w:val="24"/>
          <w:highlight w:val="yellow"/>
          <w:u w:val="single"/>
          <w:lang w:val="en-US" w:eastAsia="en-GB"/>
        </w:rPr>
        <w:t>Review Article</w:t>
      </w:r>
    </w:p>
    <w:p>
      <w:pPr>
        <w:pStyle w:val="style0"/>
        <w:keepNext/>
        <w:keepLines/>
        <w:widowControl w:val="false"/>
        <w:spacing w:before="240" w:after="0" w:lineRule="auto" w:line="256"/>
        <w:jc w:val="center"/>
        <w:outlineLvl w:val="0"/>
        <w:rPr>
          <w:rFonts w:ascii="Times New Roman" w:cs="Times New Roman" w:eastAsia="Times New Roman" w:hAnsi="Times New Roman"/>
          <w:b/>
          <w:bCs/>
          <w:kern w:val="36"/>
          <w:sz w:val="24"/>
          <w:szCs w:val="24"/>
          <w:lang w:eastAsia="en-GB"/>
        </w:rPr>
      </w:pPr>
      <w:r>
        <w:rPr>
          <w:rFonts w:ascii="Times New Roman" w:cs="Times New Roman" w:eastAsia="Times New Roman" w:hAnsi="Times New Roman"/>
          <w:b/>
          <w:bCs/>
          <w:kern w:val="36"/>
          <w:sz w:val="24"/>
          <w:szCs w:val="24"/>
          <w:lang w:eastAsia="en-GB"/>
        </w:rPr>
        <w:t xml:space="preserve">Identification of </w:t>
      </w:r>
      <w:r>
        <w:rPr>
          <w:rFonts w:ascii="Times New Roman" w:cs="Times New Roman" w:eastAsia="Times New Roman" w:hAnsi="Times New Roman"/>
          <w:b/>
          <w:bCs/>
          <w:kern w:val="36"/>
          <w:sz w:val="24"/>
          <w:szCs w:val="24"/>
          <w:lang w:eastAsia="en-GB"/>
        </w:rPr>
        <w:t>gray</w:t>
      </w:r>
      <w:r>
        <w:rPr>
          <w:rFonts w:ascii="Times New Roman" w:cs="Times New Roman" w:eastAsia="Times New Roman" w:hAnsi="Times New Roman"/>
          <w:b/>
          <w:bCs/>
          <w:kern w:val="36"/>
          <w:sz w:val="24"/>
          <w:szCs w:val="24"/>
          <w:lang w:eastAsia="en-GB"/>
        </w:rPr>
        <w:t xml:space="preserve"> leaf spot resistance </w:t>
      </w:r>
      <w:bookmarkEnd w:id="11"/>
      <w:r>
        <w:rPr>
          <w:rFonts w:ascii="Times New Roman" w:cs="Times New Roman" w:eastAsia="Times New Roman" w:hAnsi="Times New Roman"/>
          <w:b/>
          <w:bCs/>
          <w:kern w:val="36"/>
          <w:sz w:val="24"/>
          <w:szCs w:val="24"/>
          <w:lang w:eastAsia="en-GB"/>
        </w:rPr>
        <w:t>among selected F</w:t>
      </w:r>
      <w:r>
        <w:rPr>
          <w:rFonts w:ascii="Times New Roman" w:cs="Times New Roman" w:eastAsia="Times New Roman" w:hAnsi="Times New Roman"/>
          <w:b/>
          <w:bCs/>
          <w:kern w:val="36"/>
          <w:sz w:val="24"/>
          <w:szCs w:val="24"/>
          <w:vertAlign w:val="subscript"/>
          <w:lang w:eastAsia="en-GB"/>
        </w:rPr>
        <w:t>2</w:t>
      </w:r>
      <w:r>
        <w:rPr>
          <w:rFonts w:ascii="Times New Roman" w:cs="Times New Roman" w:eastAsia="Times New Roman" w:hAnsi="Times New Roman"/>
          <w:b/>
          <w:bCs/>
          <w:kern w:val="36"/>
          <w:sz w:val="24"/>
          <w:szCs w:val="24"/>
          <w:lang w:eastAsia="en-GB"/>
        </w:rPr>
        <w:t xml:space="preserve"> maize (</w:t>
      </w:r>
      <w:r>
        <w:rPr>
          <w:rFonts w:ascii="Times New Roman" w:cs="Times New Roman" w:eastAsia="Times New Roman" w:hAnsi="Times New Roman"/>
          <w:b/>
          <w:bCs/>
          <w:kern w:val="36"/>
          <w:sz w:val="24"/>
          <w:szCs w:val="24"/>
          <w:lang w:eastAsia="en-GB"/>
        </w:rPr>
        <w:t>Zea</w:t>
      </w:r>
      <w:r>
        <w:rPr>
          <w:rFonts w:ascii="Times New Roman" w:cs="Times New Roman" w:eastAsia="Times New Roman" w:hAnsi="Times New Roman"/>
          <w:b/>
          <w:bCs/>
          <w:kern w:val="36"/>
          <w:sz w:val="24"/>
          <w:szCs w:val="24"/>
          <w:lang w:eastAsia="en-GB"/>
        </w:rPr>
        <w:t xml:space="preserve"> mays L.) populations using simple sequence repeat markers (SSR)</w:t>
      </w:r>
    </w:p>
    <w:p>
      <w:pPr>
        <w:pStyle w:val="style0"/>
        <w:keepNext/>
        <w:keepLines/>
        <w:widowControl w:val="false"/>
        <w:spacing w:before="240" w:after="0" w:lineRule="auto" w:line="256"/>
        <w:jc w:val="center"/>
        <w:outlineLvl w:val="0"/>
        <w:rPr>
          <w:rFonts w:ascii="Times New Roman" w:cs="Times New Roman" w:eastAsia="Times New Roman" w:hAnsi="Times New Roman"/>
          <w:b/>
          <w:bCs/>
          <w:kern w:val="36"/>
          <w:sz w:val="24"/>
          <w:szCs w:val="24"/>
          <w:lang w:eastAsia="en-GB"/>
        </w:rPr>
      </w:pPr>
    </w:p>
    <w:bookmarkStart w:id="13" w:name="_Toc10157"/>
    <w:bookmarkStart w:id="14" w:name="_Toc11966"/>
    <w:bookmarkStart w:id="15" w:name="_Toc20012"/>
    <w:bookmarkStart w:id="16" w:name="_Toc3815"/>
    <w:bookmarkStart w:id="17" w:name="_Toc28257"/>
    <w:bookmarkStart w:id="18" w:name="_Toc24405"/>
    <w:bookmarkStart w:id="19" w:name="_Toc21044"/>
    <w:bookmarkStart w:id="20" w:name="_Toc19619"/>
    <w:bookmarkStart w:id="21" w:name="_Toc23172"/>
    <w:bookmarkStart w:id="22" w:name="_Toc3926"/>
    <w:bookmarkStart w:id="23" w:name="_Toc6380"/>
    <w:bookmarkStart w:id="24" w:name="_Toc30579"/>
    <w:bookmarkEnd w:id="12"/>
    <w:bookmarkEnd w:id="13"/>
    <w:bookmarkEnd w:id="14"/>
    <w:bookmarkEnd w:id="15"/>
    <w:bookmarkEnd w:id="16"/>
    <w:bookmarkEnd w:id="17"/>
    <w:bookmarkEnd w:id="18"/>
    <w:bookmarkEnd w:id="19"/>
    <w:bookmarkEnd w:id="20"/>
    <w:bookmarkEnd w:id="21"/>
    <w:bookmarkEnd w:id="22"/>
    <w:bookmarkEnd w:id="23"/>
    <w:p>
      <w:pPr>
        <w:pStyle w:val="style0"/>
        <w:keepNext/>
        <w:keepLines/>
        <w:widowControl w:val="false"/>
        <w:spacing w:before="240" w:after="0" w:lineRule="auto" w:line="256"/>
        <w:jc w:val="center"/>
        <w:outlineLvl w:val="0"/>
        <w:rPr>
          <w:rFonts w:ascii="Times New Roman" w:cs="Times New Roman" w:eastAsia="Times New Roman" w:hAnsi="Times New Roman"/>
          <w:b/>
          <w:bCs/>
          <w:kern w:val="36"/>
          <w:sz w:val="24"/>
          <w:szCs w:val="24"/>
          <w:lang w:eastAsia="en-GB"/>
        </w:rPr>
      </w:pPr>
      <w:r>
        <w:rPr>
          <w:rFonts w:ascii="Times New Roman" w:cs="Times New Roman" w:eastAsia="Times New Roman" w:hAnsi="Times New Roman"/>
          <w:b/>
          <w:bCs/>
          <w:kern w:val="36"/>
          <w:sz w:val="24"/>
          <w:szCs w:val="24"/>
          <w:lang w:eastAsia="en-GB"/>
        </w:rPr>
        <w:t>Abstract</w:t>
      </w:r>
      <w:bookmarkEnd w:id="24"/>
    </w:p>
    <w:p>
      <w:pPr>
        <w:pStyle w:val="style0"/>
        <w:spacing w:before="120" w:after="12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 xml:space="preserve">Accelerating maize breeding programs requires a deep understanding of molecular breeding, to select genotypes with desired traits, especially resistance to </w:t>
      </w:r>
      <w:r>
        <w:rPr>
          <w:rFonts w:ascii="Times New Roman" w:cs="Times New Roman" w:eastAsia="Calibri" w:hAnsi="Times New Roman"/>
          <w:sz w:val="24"/>
          <w:szCs w:val="24"/>
          <w:lang w:eastAsia="en-GB"/>
        </w:rPr>
        <w:t>gray</w:t>
      </w:r>
      <w:r>
        <w:rPr>
          <w:rFonts w:ascii="Times New Roman" w:cs="Times New Roman" w:eastAsia="Calibri" w:hAnsi="Times New Roman"/>
          <w:sz w:val="24"/>
          <w:szCs w:val="24"/>
          <w:lang w:eastAsia="en-GB"/>
        </w:rPr>
        <w:t xml:space="preserve"> leaf spots. This study used SSR markers to identify GLS resistance genes in F</w:t>
      </w:r>
      <w:r>
        <w:rPr>
          <w:rFonts w:ascii="Times New Roman" w:cs="Times New Roman" w:eastAsia="Calibri" w:hAnsi="Times New Roman"/>
          <w:sz w:val="24"/>
          <w:szCs w:val="24"/>
          <w:vertAlign w:val="subscript"/>
          <w:lang w:eastAsia="en-GB"/>
        </w:rPr>
        <w:t>2</w:t>
      </w:r>
      <w:r>
        <w:rPr>
          <w:rFonts w:ascii="Times New Roman" w:cs="Times New Roman" w:eastAsia="Calibri" w:hAnsi="Times New Roman"/>
          <w:sz w:val="24"/>
          <w:szCs w:val="24"/>
          <w:lang w:eastAsia="en-GB"/>
        </w:rPr>
        <w:t xml:space="preserve"> maize populations. A total of 23 maize genotypes were evaluated, including 13 F2 populations, 8 parental inbred lines, and 2 commercial checks.  DNA was extracted from leaf samples using the CTAB method, purified with a Nanodrop spectrophotometer, and </w:t>
      </w:r>
      <w:r>
        <w:rPr>
          <w:rFonts w:ascii="Times New Roman" w:cs="Times New Roman" w:eastAsia="Calibri" w:hAnsi="Times New Roman"/>
          <w:sz w:val="24"/>
          <w:szCs w:val="24"/>
          <w:lang w:eastAsia="en-GB"/>
        </w:rPr>
        <w:t>analyzed</w:t>
      </w:r>
      <w:r>
        <w:rPr>
          <w:rFonts w:ascii="Times New Roman" w:cs="Times New Roman" w:eastAsia="Calibri" w:hAnsi="Times New Roman"/>
          <w:sz w:val="24"/>
          <w:szCs w:val="24"/>
          <w:lang w:eastAsia="en-GB"/>
        </w:rPr>
        <w:t xml:space="preserve"> using 4 SSR markers. The amplified DNA fragments were visualized on a 2% agarose gel, and the bands were scored for the presence (+) or absence (-) of the targeted GLS resistance gene. DNA from 23 genotypes was </w:t>
      </w:r>
      <w:r>
        <w:rPr>
          <w:rFonts w:ascii="Times New Roman" w:cs="Times New Roman" w:eastAsia="Calibri" w:hAnsi="Times New Roman"/>
          <w:sz w:val="24"/>
          <w:szCs w:val="24"/>
          <w:lang w:eastAsia="en-GB"/>
        </w:rPr>
        <w:t>analyzed</w:t>
      </w:r>
      <w:r>
        <w:rPr>
          <w:rFonts w:ascii="Times New Roman" w:cs="Times New Roman" w:eastAsia="Calibri" w:hAnsi="Times New Roman"/>
          <w:sz w:val="24"/>
          <w:szCs w:val="24"/>
          <w:lang w:eastAsia="en-GB"/>
        </w:rPr>
        <w:t>, revealing a resistance-associated region at 164 bp. Different banding patterns indicated variations in the GLS resistance gene among genotypes. The study showed a correlation between phenotypic and molecular data, supporting the use of SSR markers for breeding. The total of effective alleles was 5.554 and the number of alleles per primer ranged from 0.00 to 1.00. The observed number of alleles was 1 while the number per primer ranged from 1 to 0 with a mean of 1.48. Based on these, the effective number of alleles was lower than the observed number. Furthermore, variation between groups (SS = 15.25, MS = 5.083) is substantially greater than the variation within groups (SS = 8.90, MS = 0.468), suggesting that most genetic diversity is structured among groups rather than within them. These findings advance molecular breeding strategies for developing GLS-resistant maize varieties, aiding in improving productivity and sustainability in GLS-affected GLS regions.</w:t>
      </w:r>
    </w:p>
    <w:p>
      <w:pPr>
        <w:pStyle w:val="style0"/>
        <w:spacing w:before="120" w:after="120" w:lineRule="auto" w:line="360"/>
        <w:jc w:val="both"/>
        <w:rPr>
          <w:rFonts w:ascii="Times New Roman" w:cs="Times New Roman" w:eastAsia="Calibri" w:hAnsi="Times New Roman"/>
          <w:b/>
          <w:sz w:val="24"/>
          <w:szCs w:val="24"/>
          <w:lang w:eastAsia="en-GB"/>
        </w:rPr>
      </w:pPr>
      <w:r>
        <w:rPr>
          <w:rFonts w:ascii="Times New Roman" w:cs="Times New Roman" w:eastAsia="Calibri" w:hAnsi="Times New Roman"/>
          <w:b/>
          <w:sz w:val="24"/>
          <w:szCs w:val="24"/>
          <w:lang w:eastAsia="en-GB"/>
        </w:rPr>
        <w:t>Keywords: DNA, SSR, GLS Gene and Allele</w:t>
      </w:r>
    </w:p>
    <w:bookmarkStart w:id="25" w:name="_Toc21476"/>
    <w:bookmarkStart w:id="26" w:name="_Toc30495"/>
    <w:bookmarkStart w:id="27" w:name="_Toc10524"/>
    <w:bookmarkStart w:id="28" w:name="_Toc28089"/>
    <w:bookmarkStart w:id="29" w:name="_Toc16533"/>
    <w:bookmarkStart w:id="30" w:name="_Toc15829"/>
    <w:bookmarkStart w:id="31" w:name="_Toc31525"/>
    <w:bookmarkStart w:id="32" w:name="_Toc6420"/>
    <w:bookmarkStart w:id="33" w:name="_Toc28562"/>
    <w:bookmarkStart w:id="34" w:name="_Toc4637"/>
    <w:bookmarkStart w:id="35" w:name="_Toc3831"/>
    <w:bookmarkStart w:id="36" w:name="_Toc27641"/>
    <w:bookmarkEnd w:id="25"/>
    <w:bookmarkEnd w:id="26"/>
    <w:bookmarkEnd w:id="27"/>
    <w:bookmarkEnd w:id="28"/>
    <w:bookmarkEnd w:id="29"/>
    <w:bookmarkEnd w:id="30"/>
    <w:bookmarkEnd w:id="31"/>
    <w:bookmarkEnd w:id="32"/>
    <w:bookmarkEnd w:id="33"/>
    <w:bookmarkEnd w:id="34"/>
    <w:bookmarkEnd w:id="35"/>
    <w:p>
      <w:pPr>
        <w:pStyle w:val="style0"/>
        <w:keepNext/>
        <w:keepLines/>
        <w:widowControl w:val="false"/>
        <w:spacing w:before="120" w:after="120" w:lineRule="auto" w:line="256"/>
        <w:jc w:val="both"/>
        <w:outlineLvl w:val="0"/>
        <w:rPr>
          <w:rFonts w:ascii="Times New Roman" w:cs="Times New Roman" w:eastAsia="Times New Roman" w:hAnsi="Times New Roman"/>
          <w:b/>
          <w:bCs/>
          <w:kern w:val="36"/>
          <w:sz w:val="24"/>
          <w:szCs w:val="24"/>
          <w:lang w:eastAsia="en-GB"/>
        </w:rPr>
      </w:pPr>
      <w:r>
        <w:rPr>
          <w:rFonts w:ascii="Times New Roman" w:cs="Times New Roman" w:eastAsia="Calibri" w:hAnsi="Times New Roman"/>
          <w:b/>
          <w:bCs/>
          <w:kern w:val="36"/>
          <w:sz w:val="24"/>
          <w:szCs w:val="24"/>
          <w:lang w:eastAsia="en-GB"/>
        </w:rPr>
        <w:t>1 Introduction</w:t>
      </w:r>
      <w:bookmarkEnd w:id="36"/>
    </w:p>
    <w:p>
      <w:pPr>
        <w:pStyle w:val="style0"/>
        <w:spacing w:before="120" w:after="24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 xml:space="preserve">Gray leaf spot (GLS), caused by the pathogens </w:t>
      </w:r>
      <w:r>
        <w:rPr>
          <w:rFonts w:ascii="Times New Roman" w:cs="Times New Roman" w:eastAsia="Calibri" w:hAnsi="Times New Roman"/>
          <w:i/>
          <w:iCs/>
          <w:sz w:val="24"/>
          <w:szCs w:val="24"/>
          <w:lang w:eastAsia="en-GB"/>
        </w:rPr>
        <w:t>Cercospora</w:t>
      </w:r>
      <w:r>
        <w:rPr>
          <w:rFonts w:ascii="Times New Roman" w:cs="Times New Roman" w:eastAsia="Calibri" w:hAnsi="Times New Roman"/>
          <w:i/>
          <w:iCs/>
          <w:sz w:val="24"/>
          <w:szCs w:val="24"/>
          <w:lang w:eastAsia="en-GB"/>
        </w:rPr>
        <w:t xml:space="preserve"> </w:t>
      </w:r>
      <w:r>
        <w:rPr>
          <w:rFonts w:ascii="Times New Roman" w:cs="Times New Roman" w:eastAsia="Calibri" w:hAnsi="Times New Roman"/>
          <w:i/>
          <w:iCs/>
          <w:sz w:val="24"/>
          <w:szCs w:val="24"/>
          <w:lang w:eastAsia="en-GB"/>
        </w:rPr>
        <w:t>zeae</w:t>
      </w:r>
      <w:r>
        <w:rPr>
          <w:rFonts w:ascii="Times New Roman" w:cs="Times New Roman" w:eastAsia="Calibri" w:hAnsi="Times New Roman"/>
          <w:i/>
          <w:iCs/>
          <w:sz w:val="24"/>
          <w:szCs w:val="24"/>
          <w:lang w:eastAsia="en-GB"/>
        </w:rPr>
        <w:t>-maydis</w:t>
      </w:r>
      <w:r>
        <w:rPr>
          <w:rFonts w:ascii="Times New Roman" w:cs="Times New Roman" w:eastAsia="Calibri" w:hAnsi="Times New Roman"/>
          <w:sz w:val="24"/>
          <w:szCs w:val="24"/>
          <w:lang w:eastAsia="en-GB"/>
        </w:rPr>
        <w:t xml:space="preserve"> and </w:t>
      </w:r>
      <w:r>
        <w:rPr>
          <w:rFonts w:ascii="Times New Roman" w:cs="Times New Roman" w:eastAsia="Calibri" w:hAnsi="Times New Roman"/>
          <w:i/>
          <w:iCs/>
          <w:sz w:val="24"/>
          <w:szCs w:val="24"/>
          <w:lang w:eastAsia="en-GB"/>
        </w:rPr>
        <w:t>Cercospora</w:t>
      </w:r>
      <w:r>
        <w:rPr>
          <w:rFonts w:ascii="Times New Roman" w:cs="Times New Roman" w:eastAsia="Calibri" w:hAnsi="Times New Roman"/>
          <w:i/>
          <w:iCs/>
          <w:sz w:val="24"/>
          <w:szCs w:val="24"/>
          <w:lang w:eastAsia="en-GB"/>
        </w:rPr>
        <w:t xml:space="preserve"> </w:t>
      </w:r>
      <w:r>
        <w:rPr>
          <w:rFonts w:ascii="Times New Roman" w:cs="Times New Roman" w:eastAsia="Calibri" w:hAnsi="Times New Roman"/>
          <w:i/>
          <w:iCs/>
          <w:sz w:val="24"/>
          <w:szCs w:val="24"/>
          <w:lang w:eastAsia="en-GB"/>
        </w:rPr>
        <w:t>zeina</w:t>
      </w:r>
      <w:r>
        <w:rPr>
          <w:rFonts w:ascii="Times New Roman" w:cs="Times New Roman" w:eastAsia="Calibri" w:hAnsi="Times New Roman"/>
          <w:sz w:val="24"/>
          <w:szCs w:val="24"/>
          <w:lang w:eastAsia="en-GB"/>
        </w:rPr>
        <w:t>, is a threat to maize (</w:t>
      </w:r>
      <w:r>
        <w:rPr>
          <w:rFonts w:ascii="Times New Roman" w:cs="Times New Roman" w:eastAsia="Calibri" w:hAnsi="Times New Roman"/>
          <w:i/>
          <w:iCs/>
          <w:sz w:val="24"/>
          <w:szCs w:val="24"/>
          <w:lang w:eastAsia="en-GB"/>
        </w:rPr>
        <w:t>Zea</w:t>
      </w:r>
      <w:r>
        <w:rPr>
          <w:rFonts w:ascii="Times New Roman" w:cs="Times New Roman" w:eastAsia="Calibri" w:hAnsi="Times New Roman"/>
          <w:i/>
          <w:iCs/>
          <w:sz w:val="24"/>
          <w:szCs w:val="24"/>
          <w:lang w:eastAsia="en-GB"/>
        </w:rPr>
        <w:t xml:space="preserve"> may</w:t>
      </w:r>
      <w:r>
        <w:rPr>
          <w:rFonts w:ascii="Times New Roman" w:cs="Times New Roman" w:eastAsia="Calibri" w:hAnsi="Times New Roman"/>
          <w:sz w:val="24"/>
          <w:szCs w:val="24"/>
          <w:lang w:eastAsia="en-GB"/>
        </w:rPr>
        <w:t>s L.) cultivation crops globally (</w:t>
      </w:r>
      <w:r>
        <w:rPr>
          <w:rFonts w:ascii="Times New Roman" w:cs="Times New Roman" w:eastAsia="Calibri" w:hAnsi="Times New Roman"/>
          <w:sz w:val="24"/>
          <w:szCs w:val="24"/>
          <w:lang w:eastAsia="en-GB"/>
        </w:rPr>
        <w:t>Nsibo</w:t>
      </w:r>
      <w:r>
        <w:rPr>
          <w:rFonts w:ascii="Times New Roman" w:cs="Times New Roman" w:eastAsia="Calibri" w:hAnsi="Times New Roman"/>
          <w:sz w:val="24"/>
          <w:szCs w:val="24"/>
          <w:lang w:eastAsia="en-GB"/>
        </w:rPr>
        <w:t xml:space="preserve"> et al., 2024; Duan et al., 2022). This disease is characterized by necrotic lesions and chlorosis, which can reduce photosynthetic efficiency and lead to yield losses, especially in favourable conditions. The disease produces a large number of spores that can persist in the soil for long periods. The resilience of GLS pathogens enables them to infect hosts for an extended period after release, </w:t>
      </w:r>
      <w:r>
        <w:rPr>
          <w:rFonts w:ascii="Times New Roman" w:cs="Times New Roman" w:eastAsia="Calibri" w:hAnsi="Times New Roman"/>
          <w:sz w:val="24"/>
          <w:szCs w:val="24"/>
          <w:lang w:eastAsia="en-GB"/>
        </w:rPr>
        <w:t>as shown in studies by Jain et al. (2019) and Dhami et al. (2015). This involves a thorough examination of genetic traits that confer resistance to GLS, aiming to develop maize varieties that are both resilient and high-yielding (</w:t>
      </w:r>
      <w:r>
        <w:rPr>
          <w:rFonts w:ascii="Times New Roman" w:cs="Times New Roman" w:eastAsia="Calibri" w:hAnsi="Times New Roman"/>
          <w:sz w:val="24"/>
          <w:szCs w:val="24"/>
          <w:lang w:eastAsia="en-GB"/>
        </w:rPr>
        <w:t>Kainyu</w:t>
      </w:r>
      <w:r>
        <w:rPr>
          <w:rFonts w:ascii="Times New Roman" w:cs="Times New Roman" w:eastAsia="Calibri" w:hAnsi="Times New Roman"/>
          <w:sz w:val="24"/>
          <w:szCs w:val="24"/>
          <w:lang w:eastAsia="en-GB"/>
        </w:rPr>
        <w:t>, 2014). By emphasizing these resistant traits, breeding programs can protect maize crops and promote agricultural sustainability. Prioritizing these efforts can bolster the resilience of maize production and support sustainable agriculture in the face of increasing GLS pressure.</w:t>
      </w:r>
    </w:p>
    <w:p>
      <w:pPr>
        <w:pStyle w:val="style0"/>
        <w:spacing w:before="120" w:after="12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 xml:space="preserve">Genetic resistance is a key strategy for managing </w:t>
      </w:r>
      <w:r>
        <w:rPr>
          <w:rFonts w:ascii="Times New Roman" w:cs="Times New Roman" w:eastAsia="Calibri" w:hAnsi="Times New Roman"/>
          <w:sz w:val="24"/>
          <w:szCs w:val="24"/>
          <w:lang w:eastAsia="en-GB"/>
        </w:rPr>
        <w:t>gray</w:t>
      </w:r>
      <w:r>
        <w:rPr>
          <w:rFonts w:ascii="Times New Roman" w:cs="Times New Roman" w:eastAsia="Calibri" w:hAnsi="Times New Roman"/>
          <w:sz w:val="24"/>
          <w:szCs w:val="24"/>
          <w:lang w:eastAsia="en-GB"/>
        </w:rPr>
        <w:t xml:space="preserve"> leaf spots in maize, reducing the need for chemical fungicides and promoting sustainable agriculture practices (Hu et al., 2024). However, the complex polygenic nature of GLS resistance poses challenges for genetic analysis and selection. In recent years, molecular marker technologies, such as simple sequence repeat (SSR) markers, have proven valuable for dissecting complex traits and expediting the breeding of disease-resistant crops. SSR markers, known for their high polymorphism, reproducibility, and codominance, are particularly useful for mapping quantitative trait loci (QTL) associated with resistance. The F</w:t>
      </w:r>
      <w:r>
        <w:rPr>
          <w:rFonts w:ascii="Times New Roman" w:cs="Times New Roman" w:eastAsia="Calibri" w:hAnsi="Times New Roman"/>
          <w:sz w:val="24"/>
          <w:szCs w:val="24"/>
          <w:vertAlign w:val="subscript"/>
          <w:lang w:eastAsia="en-GB"/>
        </w:rPr>
        <w:t>2</w:t>
      </w:r>
      <w:r>
        <w:rPr>
          <w:rFonts w:ascii="Times New Roman" w:cs="Times New Roman" w:eastAsia="Calibri" w:hAnsi="Times New Roman"/>
          <w:sz w:val="24"/>
          <w:szCs w:val="24"/>
          <w:lang w:eastAsia="en-GB"/>
        </w:rPr>
        <w:t xml:space="preserve"> population, resulting from crossing resistant and susceptible maize lines, serves as a valuable resource for studying the genetic basis of GLS resistance. By leveraging SSR markers, this study aims to identify genomic regions linked to resistance, enabling marker-assisted selection (MAS) for GLS-resistant maize lines. The goal is to identify and validate SSR markers associated with GLS resistance in F</w:t>
      </w:r>
      <w:r>
        <w:rPr>
          <w:rFonts w:ascii="Times New Roman" w:cs="Times New Roman" w:eastAsia="Calibri" w:hAnsi="Times New Roman"/>
          <w:sz w:val="24"/>
          <w:szCs w:val="24"/>
          <w:vertAlign w:val="subscript"/>
          <w:lang w:eastAsia="en-GB"/>
        </w:rPr>
        <w:t>2</w:t>
      </w:r>
      <w:r>
        <w:rPr>
          <w:rFonts w:ascii="Times New Roman" w:cs="Times New Roman" w:eastAsia="Calibri" w:hAnsi="Times New Roman"/>
          <w:sz w:val="24"/>
          <w:szCs w:val="24"/>
          <w:lang w:eastAsia="en-GB"/>
        </w:rPr>
        <w:t xml:space="preserve"> maize populations, offering valuable insights for breeding programs and contributing to the development of durable GLS-resistant maize cultivars.</w:t>
      </w:r>
    </w:p>
    <w:p>
      <w:pPr>
        <w:pStyle w:val="style0"/>
        <w:spacing w:before="120" w:after="120" w:lineRule="auto" w:line="360"/>
        <w:jc w:val="both"/>
        <w:rPr>
          <w:rFonts w:ascii="Times New Roman" w:cs="Times New Roman" w:eastAsia="Calibri" w:hAnsi="Times New Roman"/>
          <w:color w:val="ff0000"/>
          <w:sz w:val="24"/>
          <w:szCs w:val="24"/>
          <w:lang w:eastAsia="en-GB"/>
        </w:rPr>
      </w:pPr>
      <w:r>
        <w:rPr>
          <w:rFonts w:ascii="Times New Roman" w:cs="Times New Roman" w:eastAsia="Calibri" w:hAnsi="Times New Roman"/>
          <w:sz w:val="24"/>
          <w:szCs w:val="24"/>
          <w:lang w:eastAsia="en-GB"/>
        </w:rPr>
        <w:t xml:space="preserve">Simple sequence repeat markers are widely used in plant genetics and breeding due to their high polymorphism, codominance, reproducibility, and ease of use (Zhou et al., 2021; </w:t>
      </w:r>
      <w:r>
        <w:rPr>
          <w:rFonts w:ascii="Times New Roman" w:cs="Times New Roman" w:eastAsia="Calibri" w:hAnsi="Times New Roman"/>
          <w:sz w:val="24"/>
          <w:szCs w:val="24"/>
          <w:lang w:eastAsia="en-GB"/>
        </w:rPr>
        <w:t>Lehmensiek</w:t>
      </w:r>
      <w:r>
        <w:rPr>
          <w:rFonts w:ascii="Times New Roman" w:cs="Times New Roman" w:eastAsia="Calibri" w:hAnsi="Times New Roman"/>
          <w:sz w:val="24"/>
          <w:szCs w:val="24"/>
          <w:lang w:eastAsia="en-GB"/>
        </w:rPr>
        <w:t xml:space="preserve"> et al., 2001). They are valuable tools for linkage analysis and QTL mapping, to identify genomic regions associated with GLS resistance. SSR markers can help identify specific resistance alleles for use in marker-assisted selection (MAS) to develop resistant maize varieties more quickly (</w:t>
      </w:r>
      <w:r>
        <w:rPr>
          <w:rFonts w:ascii="Times New Roman" w:cs="Times New Roman" w:eastAsia="Calibri" w:hAnsi="Times New Roman"/>
          <w:sz w:val="24"/>
          <w:szCs w:val="24"/>
          <w:lang w:eastAsia="en-GB"/>
        </w:rPr>
        <w:t>Zebire</w:t>
      </w:r>
      <w:r>
        <w:rPr>
          <w:rFonts w:ascii="Times New Roman" w:cs="Times New Roman" w:eastAsia="Calibri" w:hAnsi="Times New Roman"/>
          <w:sz w:val="24"/>
          <w:szCs w:val="24"/>
          <w:lang w:eastAsia="en-GB"/>
        </w:rPr>
        <w:t>, 2020). Molecular marker analysis is essential for studying genetic variability in crops and segregation in F</w:t>
      </w:r>
      <w:r>
        <w:rPr>
          <w:rFonts w:ascii="Times New Roman" w:cs="Times New Roman" w:eastAsia="Calibri" w:hAnsi="Times New Roman"/>
          <w:sz w:val="24"/>
          <w:szCs w:val="24"/>
          <w:vertAlign w:val="subscript"/>
          <w:lang w:eastAsia="en-GB"/>
        </w:rPr>
        <w:t>2</w:t>
      </w:r>
      <w:r>
        <w:rPr>
          <w:rFonts w:ascii="Times New Roman" w:cs="Times New Roman" w:eastAsia="Calibri" w:hAnsi="Times New Roman"/>
          <w:sz w:val="24"/>
          <w:szCs w:val="24"/>
          <w:lang w:eastAsia="en-GB"/>
        </w:rPr>
        <w:t xml:space="preserve"> populations. This approach utilizes molecular markers to identify genetic variations and effectively track inheritance patterns. Linkage mapping focuses on identifying genetic linkages between traits and markers through statistical analysis providing valuable insights for breeding programs (Bello et al., 2012). By combining phenotypic evaluation of GLS resistance with genotypic data from SSR markers, QTL associated with resistance traits can be identified and validated (Craze et al., 2022; </w:t>
      </w:r>
      <w:r>
        <w:rPr>
          <w:rFonts w:ascii="Times New Roman" w:cs="Times New Roman" w:eastAsia="Calibri" w:hAnsi="Times New Roman"/>
          <w:sz w:val="24"/>
          <w:szCs w:val="24"/>
          <w:lang w:eastAsia="en-GB"/>
        </w:rPr>
        <w:t>Bekeko</w:t>
      </w:r>
      <w:r>
        <w:rPr>
          <w:rFonts w:ascii="Times New Roman" w:cs="Times New Roman" w:eastAsia="Calibri" w:hAnsi="Times New Roman"/>
          <w:sz w:val="24"/>
          <w:szCs w:val="24"/>
          <w:lang w:eastAsia="en-GB"/>
        </w:rPr>
        <w:t xml:space="preserve"> et al., 2018). The objective of this study is to identify SSR markers linked to GLS resistance in </w:t>
      </w:r>
      <w:r>
        <w:rPr>
          <w:rFonts w:ascii="Times New Roman" w:cs="Times New Roman" w:eastAsia="Calibri" w:hAnsi="Times New Roman"/>
          <w:sz w:val="24"/>
          <w:szCs w:val="24"/>
          <w:lang w:eastAsia="en-GB"/>
        </w:rPr>
        <w:t>F</w:t>
      </w:r>
      <w:r>
        <w:rPr>
          <w:rFonts w:ascii="Times New Roman" w:cs="Times New Roman" w:eastAsia="Calibri" w:hAnsi="Times New Roman"/>
          <w:sz w:val="24"/>
          <w:szCs w:val="24"/>
          <w:vertAlign w:val="subscript"/>
          <w:lang w:eastAsia="en-GB"/>
        </w:rPr>
        <w:t>2</w:t>
      </w:r>
      <w:r>
        <w:rPr>
          <w:rFonts w:ascii="Times New Roman" w:cs="Times New Roman" w:eastAsia="Calibri" w:hAnsi="Times New Roman"/>
          <w:sz w:val="24"/>
          <w:szCs w:val="24"/>
          <w:lang w:eastAsia="en-GB"/>
        </w:rPr>
        <w:t xml:space="preserve"> maize populations, facilitating the development of molecular tools for MAS. This study aims to deepen the understanding of the genetic basis of GLS resistance and provide a practical framework for breeding durable, high-yielding maize cultivars with enhanced disease resilience. </w:t>
      </w:r>
      <w:r>
        <w:rPr>
          <w:rFonts w:ascii="Times New Roman" w:cs="Times New Roman" w:eastAsia="Calibri" w:hAnsi="Times New Roman"/>
          <w:color w:val="ff0000"/>
          <w:sz w:val="24"/>
          <w:szCs w:val="24"/>
          <w:highlight w:val="yellow"/>
          <w:lang w:eastAsia="en-GB"/>
        </w:rPr>
        <w:t>This study is expected to significantly contribute to the development of durable, high-yielding maize cultivars with improved disease resilience promoting food security and sustainable farming practices in diverse agricultural systems.</w:t>
      </w:r>
    </w:p>
    <w:bookmarkStart w:id="37" w:name="_Toc16160"/>
    <w:bookmarkStart w:id="38" w:name="_Toc10880"/>
    <w:bookmarkStart w:id="39" w:name="_Toc7997"/>
    <w:bookmarkStart w:id="40" w:name="_Toc23136"/>
    <w:bookmarkStart w:id="41" w:name="_Toc4603"/>
    <w:bookmarkStart w:id="42" w:name="_Toc192"/>
    <w:bookmarkStart w:id="43" w:name="_Toc27645"/>
    <w:bookmarkStart w:id="44" w:name="_Toc30582"/>
    <w:bookmarkStart w:id="45" w:name="_Toc30319"/>
    <w:bookmarkStart w:id="46" w:name="_Toc5760"/>
    <w:bookmarkEnd w:id="37"/>
    <w:bookmarkEnd w:id="38"/>
    <w:bookmarkEnd w:id="39"/>
    <w:bookmarkEnd w:id="40"/>
    <w:bookmarkEnd w:id="41"/>
    <w:bookmarkEnd w:id="42"/>
    <w:bookmarkEnd w:id="43"/>
    <w:bookmarkEnd w:id="44"/>
    <w:bookmarkEnd w:id="45"/>
    <w:p>
      <w:pPr>
        <w:pStyle w:val="style0"/>
        <w:keepNext/>
        <w:keepLines/>
        <w:widowControl w:val="false"/>
        <w:suppressAutoHyphens/>
        <w:spacing w:before="100" w:beforeAutospacing="true" w:after="0" w:lineRule="auto" w:line="360"/>
        <w:jc w:val="both"/>
        <w:outlineLvl w:val="1"/>
        <w:rPr>
          <w:rFonts w:ascii="Times New Roman" w:cs="Times New Roman" w:eastAsia="Calibri" w:hAnsi="Times New Roman"/>
          <w:b/>
          <w:bCs/>
          <w:sz w:val="24"/>
          <w:szCs w:val="24"/>
          <w:lang w:eastAsia="en-GB"/>
        </w:rPr>
      </w:pPr>
      <w:r>
        <w:rPr>
          <w:rFonts w:ascii="Times New Roman" w:cs="Times New Roman" w:eastAsia="Calibri" w:hAnsi="Times New Roman"/>
          <w:b/>
          <w:bCs/>
          <w:sz w:val="24"/>
          <w:szCs w:val="24"/>
          <w:lang w:eastAsia="en-GB"/>
        </w:rPr>
        <w:t>2 Materials and Methods</w:t>
      </w:r>
      <w:bookmarkEnd w:id="46"/>
    </w:p>
    <w:bookmarkStart w:id="47" w:name="_Toc11048"/>
    <w:bookmarkStart w:id="48" w:name="_Toc18952"/>
    <w:bookmarkStart w:id="49" w:name="_Toc992"/>
    <w:bookmarkStart w:id="50" w:name="_Toc598"/>
    <w:bookmarkStart w:id="51" w:name="_Toc18950"/>
    <w:bookmarkStart w:id="52" w:name="_Toc8059"/>
    <w:bookmarkStart w:id="53" w:name="_Toc15757"/>
    <w:bookmarkStart w:id="54" w:name="_Toc10960"/>
    <w:bookmarkStart w:id="55" w:name="_Toc17320"/>
    <w:bookmarkStart w:id="56" w:name="_Toc15020"/>
    <w:bookmarkEnd w:id="47"/>
    <w:bookmarkEnd w:id="48"/>
    <w:bookmarkEnd w:id="49"/>
    <w:bookmarkEnd w:id="50"/>
    <w:bookmarkEnd w:id="51"/>
    <w:bookmarkEnd w:id="52"/>
    <w:bookmarkEnd w:id="53"/>
    <w:bookmarkEnd w:id="54"/>
    <w:bookmarkEnd w:id="55"/>
    <w:p>
      <w:pPr>
        <w:pStyle w:val="style0"/>
        <w:keepNext/>
        <w:keepLines/>
        <w:widowControl w:val="false"/>
        <w:suppressAutoHyphens/>
        <w:spacing w:after="0" w:lineRule="auto" w:line="360"/>
        <w:jc w:val="both"/>
        <w:outlineLvl w:val="2"/>
        <w:rPr>
          <w:rFonts w:ascii="Times New Roman" w:cs="Times New Roman" w:eastAsia="Times New Roman" w:hAnsi="Times New Roman"/>
          <w:b/>
          <w:bCs/>
          <w:sz w:val="24"/>
          <w:szCs w:val="24"/>
          <w:lang w:eastAsia="en-GB"/>
        </w:rPr>
      </w:pPr>
      <w:r>
        <w:rPr>
          <w:rFonts w:ascii="Times New Roman" w:cs="Times New Roman" w:eastAsia="Times New Roman" w:hAnsi="Times New Roman"/>
          <w:b/>
          <w:bCs/>
          <w:sz w:val="24"/>
          <w:szCs w:val="24"/>
          <w:lang w:eastAsia="en-GB"/>
        </w:rPr>
        <w:t>2.1 Plant materials</w:t>
      </w:r>
      <w:bookmarkEnd w:id="56"/>
    </w:p>
    <w:bookmarkStart w:id="57" w:name="_Toc12934"/>
    <w:bookmarkStart w:id="58" w:name="_Toc20894"/>
    <w:bookmarkEnd w:id="57"/>
    <w:p>
      <w:pPr>
        <w:pStyle w:val="style0"/>
        <w:spacing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 xml:space="preserve">The study </w:t>
      </w:r>
      <w:bookmarkEnd w:id="58"/>
      <w:r>
        <w:rPr>
          <w:rFonts w:ascii="Times New Roman" w:cs="Times New Roman" w:eastAsia="Calibri" w:hAnsi="Times New Roman"/>
          <w:sz w:val="24"/>
          <w:szCs w:val="24"/>
          <w:lang w:eastAsia="en-GB"/>
        </w:rPr>
        <w:t>evaluated a total of 23 maize genotypes, comprising 13 F</w:t>
      </w:r>
      <w:r>
        <w:rPr>
          <w:rFonts w:ascii="Times New Roman" w:cs="Times New Roman" w:eastAsia="Calibri" w:hAnsi="Times New Roman"/>
          <w:b/>
          <w:bCs/>
          <w:sz w:val="24"/>
          <w:szCs w:val="24"/>
          <w:lang w:eastAsia="en-GB"/>
        </w:rPr>
        <w:t>2</w:t>
      </w:r>
      <w:r>
        <w:rPr>
          <w:rFonts w:ascii="Times New Roman" w:cs="Times New Roman" w:eastAsia="Calibri" w:hAnsi="Times New Roman"/>
          <w:sz w:val="24"/>
          <w:szCs w:val="24"/>
          <w:lang w:eastAsia="en-GB"/>
        </w:rPr>
        <w:t xml:space="preserve"> populations that were selected based on their resistance to GLS disease during field screenings conducted at KALRO Kakamega and Egerton Field 7. Additionally, the study included 7 parental genotypes and two commercial checks from Kenya Seed Company (Table 1).</w:t>
      </w:r>
      <w:bookmarkStart w:id="59" w:name="_Toc5022"/>
      <w:bookmarkStart w:id="60" w:name="_Toc29263"/>
      <w:bookmarkStart w:id="61" w:name="_Toc23428"/>
      <w:bookmarkStart w:id="62" w:name="_Toc19587"/>
      <w:bookmarkStart w:id="63" w:name="_Toc7509"/>
      <w:bookmarkStart w:id="64" w:name="_Toc22470"/>
      <w:bookmarkEnd w:id="59"/>
      <w:bookmarkEnd w:id="60"/>
      <w:bookmarkEnd w:id="61"/>
      <w:bookmarkEnd w:id="62"/>
      <w:bookmarkEnd w:id="63"/>
      <w:bookmarkEnd w:id="64"/>
    </w:p>
    <w:p>
      <w:pPr>
        <w:pStyle w:val="style0"/>
        <w:spacing w:lineRule="auto" w:line="360"/>
        <w:jc w:val="both"/>
        <w:rPr>
          <w:rFonts w:ascii="Times New Roman" w:cs="Times New Roman" w:eastAsia="Times New Roman" w:hAnsi="Times New Roman"/>
          <w:b/>
          <w:bCs/>
          <w:sz w:val="24"/>
          <w:szCs w:val="24"/>
          <w:lang w:eastAsia="en-GB"/>
        </w:rPr>
      </w:pPr>
      <w:r>
        <w:rPr>
          <w:rFonts w:ascii="Times New Roman" w:cs="Times New Roman" w:eastAsia="Times New Roman" w:hAnsi="Times New Roman"/>
          <w:b/>
          <w:bCs/>
          <w:sz w:val="24"/>
          <w:szCs w:val="24"/>
          <w:lang w:eastAsia="en-GB"/>
        </w:rPr>
        <w:t>2.2 Total genomic nucleic acid extraction</w:t>
      </w:r>
    </w:p>
    <w:p>
      <w:pPr>
        <w:pStyle w:val="style0"/>
        <w:spacing w:lineRule="auto" w:line="360"/>
        <w:jc w:val="both"/>
        <w:rPr>
          <w:rFonts w:ascii="Times New Roman" w:cs="Times New Roman" w:eastAsia="Times New Roman" w:hAnsi="Times New Roman"/>
          <w:sz w:val="24"/>
          <w:szCs w:val="24"/>
          <w:lang w:eastAsia="en-GB"/>
        </w:rPr>
      </w:pPr>
      <w:r>
        <w:rPr>
          <w:rFonts w:ascii="Times New Roman" w:cs="Times New Roman" w:eastAsia="Times New Roman" w:hAnsi="Times New Roman"/>
          <w:sz w:val="24"/>
          <w:szCs w:val="24"/>
          <w:lang w:eastAsia="en-GB"/>
        </w:rPr>
        <w:t xml:space="preserve">Total genomic DNA was extracted from young plant leaf samples using </w:t>
      </w:r>
      <w:r>
        <w:rPr>
          <w:rFonts w:ascii="Times New Roman" w:cs="Times New Roman" w:eastAsia="Times New Roman" w:hAnsi="Times New Roman"/>
          <w:sz w:val="24"/>
          <w:szCs w:val="24"/>
          <w:lang w:eastAsia="en-GB"/>
        </w:rPr>
        <w:t>Cetyltrimethylammoniumbromide</w:t>
      </w:r>
      <w:r>
        <w:rPr>
          <w:rFonts w:ascii="Times New Roman" w:cs="Times New Roman" w:eastAsia="Times New Roman" w:hAnsi="Times New Roman"/>
          <w:sz w:val="24"/>
          <w:szCs w:val="24"/>
          <w:lang w:eastAsia="en-GB"/>
        </w:rPr>
        <w:t xml:space="preserve"> (CTAB) protocol (Appendix </w:t>
      </w:r>
      <w:r>
        <w:rPr>
          <w:rFonts w:ascii="Times New Roman" w:cs="Times New Roman" w:eastAsia="Times New Roman" w:hAnsi="Times New Roman"/>
          <w:sz w:val="24"/>
          <w:szCs w:val="24"/>
          <w:lang w:eastAsia="en-GB"/>
        </w:rPr>
        <w:t>1</w:t>
      </w:r>
      <w:r>
        <w:rPr>
          <w:rFonts w:ascii="Times New Roman" w:cs="Times New Roman" w:eastAsia="Times New Roman" w:hAnsi="Times New Roman"/>
          <w:sz w:val="24"/>
          <w:szCs w:val="24"/>
          <w:lang w:eastAsia="en-GB"/>
        </w:rPr>
        <w:t>) with slight modifications. The slight modifications involved thorough cleaning of DNA during extraction to remove contaminants like proteins, lipids, polysaccharides, and other cellular debris present in the sample. This ensures the highest quality and reliability of the analysis.</w:t>
      </w:r>
    </w:p>
    <w:p>
      <w:pPr>
        <w:pStyle w:val="style0"/>
        <w:spacing w:after="0" w:lineRule="auto" w:line="360"/>
        <w:jc w:val="both"/>
        <w:rPr>
          <w:rFonts w:ascii="Times New Roman" w:cs="Times New Roman" w:eastAsia="Times New Roman" w:hAnsi="Times New Roman"/>
          <w:b/>
          <w:bCs/>
          <w:sz w:val="24"/>
          <w:szCs w:val="24"/>
          <w:lang w:eastAsia="en-GB"/>
        </w:rPr>
      </w:pPr>
      <w:r>
        <w:rPr>
          <w:rFonts w:ascii="Times New Roman" w:cs="Times New Roman" w:eastAsia="Times New Roman" w:hAnsi="Times New Roman"/>
          <w:b/>
          <w:bCs/>
          <w:sz w:val="24"/>
          <w:szCs w:val="24"/>
          <w:lang w:eastAsia="en-GB"/>
        </w:rPr>
        <w:t>2.3 DNA Quantification</w:t>
      </w:r>
    </w:p>
    <w:p>
      <w:pPr>
        <w:pStyle w:val="style0"/>
        <w:spacing w:after="0" w:lineRule="auto" w:line="360"/>
        <w:jc w:val="both"/>
        <w:rPr>
          <w:rFonts w:ascii="Times New Roman" w:cs="Times New Roman" w:eastAsia="Times New Roman" w:hAnsi="Times New Roman"/>
          <w:sz w:val="24"/>
          <w:szCs w:val="24"/>
          <w:lang w:eastAsia="en-GB"/>
        </w:rPr>
      </w:pPr>
      <w:r>
        <w:rPr>
          <w:rFonts w:ascii="Times New Roman" w:cs="Times New Roman" w:eastAsia="Times New Roman" w:hAnsi="Times New Roman"/>
          <w:sz w:val="24"/>
          <w:szCs w:val="24"/>
          <w:lang w:eastAsia="en-GB"/>
        </w:rPr>
        <w:t>DNA purity and quantity were determined using Nanodrop spectrophotometry (ND-2000, UV-Vis spectrophotometer). DNA samples were run in a 1% agarose gel containing Ethidium bromide staining dye at a voltage of 150 V and a current of 400 mA for 30 min and visualized on a UV Transilluminator.</w:t>
      </w:r>
    </w:p>
    <w:p>
      <w:pPr>
        <w:pStyle w:val="style0"/>
        <w:spacing w:before="100" w:beforeAutospacing="true" w:lineRule="auto" w:line="360"/>
        <w:jc w:val="both"/>
        <w:rPr>
          <w:rFonts w:ascii="Times New Roman" w:cs="Times New Roman" w:eastAsia="Times New Roman" w:hAnsi="Times New Roman"/>
          <w:sz w:val="24"/>
          <w:szCs w:val="24"/>
          <w:lang w:eastAsia="en-GB"/>
        </w:rPr>
      </w:pPr>
    </w:p>
    <w:p>
      <w:pPr>
        <w:pStyle w:val="style0"/>
        <w:spacing w:before="100" w:beforeAutospacing="true" w:lineRule="auto" w:line="360"/>
        <w:jc w:val="both"/>
        <w:rPr>
          <w:rFonts w:ascii="Times New Roman" w:cs="Times New Roman" w:eastAsia="Times New Roman" w:hAnsi="Times New Roman"/>
          <w:sz w:val="24"/>
          <w:szCs w:val="24"/>
          <w:lang w:eastAsia="en-GB"/>
        </w:rPr>
      </w:pPr>
    </w:p>
    <w:p>
      <w:pPr>
        <w:pStyle w:val="style0"/>
        <w:spacing w:before="100" w:beforeAutospacing="true" w:lineRule="auto" w:line="360"/>
        <w:jc w:val="both"/>
        <w:rPr>
          <w:rFonts w:ascii="Times New Roman" w:cs="Times New Roman" w:eastAsia="Times New Roman" w:hAnsi="Times New Roman"/>
          <w:sz w:val="24"/>
          <w:szCs w:val="24"/>
          <w:lang w:eastAsia="en-GB"/>
        </w:rPr>
      </w:pPr>
    </w:p>
    <w:p>
      <w:pPr>
        <w:pStyle w:val="style0"/>
        <w:spacing w:before="100" w:beforeAutospacing="true" w:lineRule="auto" w:line="360"/>
        <w:jc w:val="both"/>
        <w:rPr>
          <w:rFonts w:ascii="Times New Roman" w:cs="Times New Roman" w:eastAsia="Times New Roman" w:hAnsi="Times New Roman"/>
          <w:sz w:val="24"/>
          <w:szCs w:val="24"/>
          <w:lang w:eastAsia="en-GB"/>
        </w:rPr>
      </w:pPr>
    </w:p>
    <w:p>
      <w:pPr>
        <w:pStyle w:val="style0"/>
        <w:keepNext/>
        <w:keepLines/>
        <w:widowControl w:val="false"/>
        <w:suppressAutoHyphens/>
        <w:spacing w:before="100" w:beforeAutospacing="true" w:after="0" w:lineRule="auto" w:line="360"/>
        <w:jc w:val="both"/>
        <w:outlineLvl w:val="1"/>
        <w:rPr>
          <w:rFonts w:ascii="Times New Roman" w:cs="Times New Roman" w:eastAsia="Calibri" w:hAnsi="Times New Roman"/>
          <w:b/>
          <w:bCs/>
          <w:sz w:val="24"/>
          <w:szCs w:val="24"/>
          <w:lang w:eastAsia="en-GB"/>
        </w:rPr>
      </w:pPr>
      <w:r>
        <w:rPr>
          <w:rFonts w:ascii="Times New Roman" w:cs="Times New Roman" w:eastAsia="Calibri" w:hAnsi="Times New Roman"/>
          <w:b/>
          <w:bCs/>
          <w:sz w:val="24"/>
          <w:szCs w:val="24"/>
          <w:lang w:eastAsia="en-GB"/>
        </w:rPr>
        <w:t>Table 1: List of 23 genotypes of maize along with their check lines used for field screening</w:t>
      </w:r>
    </w:p>
    <w:tbl>
      <w:tblPr>
        <w:tblW w:w="9083" w:type="dxa"/>
        <w:tblCellSpacing w:w="15" w:type="dxa"/>
        <w:tblInd w:w="63" w:type="dxa"/>
        <w:tblCellMar>
          <w:top w:w="15" w:type="dxa"/>
          <w:left w:w="15" w:type="dxa"/>
          <w:bottom w:w="15" w:type="dxa"/>
          <w:right w:w="15" w:type="dxa"/>
        </w:tblCellMar>
        <w:tblLook w:val="04A0" w:firstRow="1" w:lastRow="0" w:firstColumn="1" w:lastColumn="0" w:noHBand="0" w:noVBand="1"/>
      </w:tblPr>
      <w:tblGrid>
        <w:gridCol w:w="785"/>
        <w:gridCol w:w="4814"/>
        <w:gridCol w:w="3482"/>
      </w:tblGrid>
      <w:tr>
        <w:trPr>
          <w:trHeight w:val="510" w:hRule="atLeast"/>
          <w:tblCellSpacing w:w="15" w:type="dxa"/>
        </w:trPr>
        <w:tc>
          <w:tcPr>
            <w:tcW w:w="0" w:type="auto"/>
            <w:tcBorders>
              <w:top w:val="single" w:sz="12" w:space="0" w:color="auto"/>
              <w:left w:val="nil"/>
              <w:bottom w:val="single" w:sz="12" w:space="0" w:color="auto"/>
              <w:right w:val="nil"/>
            </w:tcBorders>
            <w:vAlign w:val="center"/>
          </w:tcPr>
          <w:p>
            <w:pPr>
              <w:pStyle w:val="style0"/>
              <w:spacing w:after="0" w:lineRule="auto" w:line="240"/>
              <w:jc w:val="both"/>
              <w:rPr>
                <w:rFonts w:ascii="Times New Roman" w:cs="Times New Roman" w:eastAsia="SimSun" w:hAnsi="Times New Roman"/>
                <w:b/>
                <w:bCs/>
                <w:sz w:val="24"/>
                <w:szCs w:val="24"/>
              </w:rPr>
            </w:pPr>
            <w:r>
              <w:rPr>
                <w:rFonts w:ascii="Times New Roman" w:cs="Times New Roman" w:eastAsia="SimSun" w:hAnsi="Times New Roman"/>
                <w:b/>
                <w:bCs/>
                <w:sz w:val="24"/>
                <w:szCs w:val="24"/>
              </w:rPr>
              <w:t>CODE</w:t>
            </w:r>
          </w:p>
        </w:tc>
        <w:tc>
          <w:tcPr>
            <w:tcW w:w="4775" w:type="dxa"/>
            <w:tcBorders>
              <w:top w:val="single" w:sz="12" w:space="0" w:color="auto"/>
              <w:left w:val="nil"/>
              <w:bottom w:val="single" w:sz="12" w:space="0" w:color="auto"/>
              <w:right w:val="nil"/>
            </w:tcBorders>
            <w:vAlign w:val="center"/>
          </w:tcPr>
          <w:p>
            <w:pPr>
              <w:pStyle w:val="style0"/>
              <w:spacing w:after="0" w:lineRule="auto" w:line="240"/>
              <w:jc w:val="both"/>
              <w:rPr>
                <w:rFonts w:ascii="Times New Roman" w:cs="Times New Roman" w:eastAsia="SimSun" w:hAnsi="Times New Roman"/>
                <w:b/>
                <w:bCs/>
                <w:sz w:val="24"/>
                <w:szCs w:val="24"/>
              </w:rPr>
            </w:pPr>
            <w:r>
              <w:rPr>
                <w:rFonts w:ascii="Times New Roman" w:cs="Times New Roman" w:eastAsia="SimSun" w:hAnsi="Times New Roman"/>
                <w:b/>
                <w:bCs/>
                <w:sz w:val="24"/>
                <w:szCs w:val="24"/>
              </w:rPr>
              <w:t>GENOTYPES</w:t>
            </w:r>
          </w:p>
        </w:tc>
        <w:tc>
          <w:tcPr>
            <w:tcW w:w="3454" w:type="dxa"/>
            <w:tcBorders>
              <w:top w:val="single" w:sz="12" w:space="0" w:color="auto"/>
              <w:left w:val="nil"/>
              <w:bottom w:val="single" w:sz="12" w:space="0" w:color="auto"/>
              <w:right w:val="nil"/>
            </w:tcBorders>
            <w:vAlign w:val="center"/>
          </w:tcPr>
          <w:p>
            <w:pPr>
              <w:pStyle w:val="style0"/>
              <w:spacing w:after="0" w:lineRule="auto" w:line="240"/>
              <w:jc w:val="both"/>
              <w:rPr>
                <w:rFonts w:ascii="Times New Roman" w:cs="Times New Roman" w:eastAsia="SimSun" w:hAnsi="Times New Roman"/>
                <w:b/>
                <w:bCs/>
                <w:sz w:val="24"/>
                <w:szCs w:val="24"/>
              </w:rPr>
            </w:pPr>
            <w:r>
              <w:rPr>
                <w:rFonts w:ascii="Times New Roman" w:cs="Times New Roman" w:eastAsia="SimSun" w:hAnsi="Times New Roman"/>
                <w:b/>
                <w:bCs/>
                <w:sz w:val="24"/>
                <w:szCs w:val="24"/>
              </w:rPr>
              <w:t>CLASSIFICATION</w:t>
            </w:r>
          </w:p>
        </w:tc>
      </w:tr>
      <w:tr>
        <w:tblPrEx/>
        <w:trPr>
          <w:trHeight w:val="449" w:hRule="atLeast"/>
          <w:tblCellSpacing w:w="15" w:type="dxa"/>
        </w:trPr>
        <w:tc>
          <w:tcPr>
            <w:tcW w:w="0" w:type="auto"/>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G1</w:t>
            </w:r>
          </w:p>
        </w:tc>
        <w:tc>
          <w:tcPr>
            <w:tcW w:w="4775"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CKDHL 120312 × CKL 05017</w:t>
            </w:r>
          </w:p>
        </w:tc>
        <w:tc>
          <w:tcPr>
            <w:tcW w:w="3454"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R</w:t>
            </w:r>
          </w:p>
        </w:tc>
      </w:tr>
      <w:tr>
        <w:tblPrEx/>
        <w:trPr>
          <w:trHeight w:val="449" w:hRule="atLeast"/>
          <w:tblCellSpacing w:w="15" w:type="dxa"/>
        </w:trPr>
        <w:tc>
          <w:tcPr>
            <w:tcW w:w="0" w:type="auto"/>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G10</w:t>
            </w:r>
          </w:p>
        </w:tc>
        <w:tc>
          <w:tcPr>
            <w:tcW w:w="4775"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CKL 15537 × CML 568</w:t>
            </w:r>
          </w:p>
        </w:tc>
        <w:tc>
          <w:tcPr>
            <w:tcW w:w="3454"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MR</w:t>
            </w:r>
          </w:p>
        </w:tc>
      </w:tr>
      <w:tr>
        <w:tblPrEx/>
        <w:trPr>
          <w:trHeight w:val="449" w:hRule="atLeast"/>
          <w:tblCellSpacing w:w="15" w:type="dxa"/>
        </w:trPr>
        <w:tc>
          <w:tcPr>
            <w:tcW w:w="0" w:type="auto"/>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G11</w:t>
            </w:r>
          </w:p>
        </w:tc>
        <w:tc>
          <w:tcPr>
            <w:tcW w:w="4775"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CKDHL 120312 × S5 96-15-1-1</w:t>
            </w:r>
          </w:p>
        </w:tc>
        <w:tc>
          <w:tcPr>
            <w:tcW w:w="3454"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R</w:t>
            </w:r>
          </w:p>
        </w:tc>
      </w:tr>
      <w:tr>
        <w:tblPrEx/>
        <w:trPr>
          <w:trHeight w:val="449" w:hRule="atLeast"/>
          <w:tblCellSpacing w:w="15" w:type="dxa"/>
        </w:trPr>
        <w:tc>
          <w:tcPr>
            <w:tcW w:w="0" w:type="auto"/>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G12</w:t>
            </w:r>
          </w:p>
        </w:tc>
        <w:tc>
          <w:tcPr>
            <w:tcW w:w="4775"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KTLN 10123 × S5 96-15-1-1</w:t>
            </w:r>
          </w:p>
        </w:tc>
        <w:tc>
          <w:tcPr>
            <w:tcW w:w="3454"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R</w:t>
            </w:r>
          </w:p>
        </w:tc>
      </w:tr>
      <w:tr>
        <w:tblPrEx/>
        <w:trPr>
          <w:trHeight w:val="449" w:hRule="atLeast"/>
          <w:tblCellSpacing w:w="15" w:type="dxa"/>
        </w:trPr>
        <w:tc>
          <w:tcPr>
            <w:tcW w:w="0" w:type="auto"/>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G13</w:t>
            </w:r>
          </w:p>
        </w:tc>
        <w:tc>
          <w:tcPr>
            <w:tcW w:w="4775"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CKL 05022 × S5 96-15-1-1</w:t>
            </w:r>
          </w:p>
        </w:tc>
        <w:tc>
          <w:tcPr>
            <w:tcW w:w="3454"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R</w:t>
            </w:r>
          </w:p>
        </w:tc>
      </w:tr>
      <w:tr>
        <w:tblPrEx/>
        <w:trPr>
          <w:trHeight w:val="449" w:hRule="atLeast"/>
          <w:tblCellSpacing w:w="15" w:type="dxa"/>
        </w:trPr>
        <w:tc>
          <w:tcPr>
            <w:tcW w:w="0" w:type="auto"/>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G14</w:t>
            </w:r>
          </w:p>
        </w:tc>
        <w:tc>
          <w:tcPr>
            <w:tcW w:w="4775"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CKDHL 153502 × S5 96-15-1-1</w:t>
            </w:r>
          </w:p>
        </w:tc>
        <w:tc>
          <w:tcPr>
            <w:tcW w:w="3454"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R</w:t>
            </w:r>
          </w:p>
        </w:tc>
      </w:tr>
      <w:tr>
        <w:tblPrEx/>
        <w:trPr>
          <w:trHeight w:val="449" w:hRule="atLeast"/>
          <w:tblCellSpacing w:w="15" w:type="dxa"/>
        </w:trPr>
        <w:tc>
          <w:tcPr>
            <w:tcW w:w="0" w:type="auto"/>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G15</w:t>
            </w:r>
          </w:p>
        </w:tc>
        <w:tc>
          <w:tcPr>
            <w:tcW w:w="4775"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CKL 15537 × Ss 96-15-1-1</w:t>
            </w:r>
          </w:p>
        </w:tc>
        <w:tc>
          <w:tcPr>
            <w:tcW w:w="3454"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MS</w:t>
            </w:r>
          </w:p>
        </w:tc>
      </w:tr>
      <w:tr>
        <w:tblPrEx/>
        <w:trPr>
          <w:trHeight w:val="449" w:hRule="atLeast"/>
          <w:tblCellSpacing w:w="15" w:type="dxa"/>
        </w:trPr>
        <w:tc>
          <w:tcPr>
            <w:tcW w:w="0" w:type="auto"/>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G16</w:t>
            </w:r>
          </w:p>
        </w:tc>
        <w:tc>
          <w:tcPr>
            <w:tcW w:w="4775"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CKDHL 120312 × CML 395</w:t>
            </w:r>
          </w:p>
        </w:tc>
        <w:tc>
          <w:tcPr>
            <w:tcW w:w="3454"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R</w:t>
            </w:r>
          </w:p>
        </w:tc>
      </w:tr>
      <w:tr>
        <w:tblPrEx/>
        <w:trPr>
          <w:trHeight w:val="449" w:hRule="atLeast"/>
          <w:tblCellSpacing w:w="15" w:type="dxa"/>
        </w:trPr>
        <w:tc>
          <w:tcPr>
            <w:tcW w:w="0" w:type="auto"/>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G17</w:t>
            </w:r>
          </w:p>
        </w:tc>
        <w:tc>
          <w:tcPr>
            <w:tcW w:w="4775"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KTLN 10123 × CML 395</w:t>
            </w:r>
          </w:p>
        </w:tc>
        <w:tc>
          <w:tcPr>
            <w:tcW w:w="3454"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MR</w:t>
            </w:r>
          </w:p>
        </w:tc>
      </w:tr>
      <w:tr>
        <w:tblPrEx/>
        <w:trPr>
          <w:trHeight w:val="449" w:hRule="atLeast"/>
          <w:tblCellSpacing w:w="15" w:type="dxa"/>
        </w:trPr>
        <w:tc>
          <w:tcPr>
            <w:tcW w:w="0" w:type="auto"/>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G18</w:t>
            </w:r>
          </w:p>
        </w:tc>
        <w:tc>
          <w:tcPr>
            <w:tcW w:w="4775"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CKL 05022 × CML 395</w:t>
            </w:r>
          </w:p>
        </w:tc>
        <w:tc>
          <w:tcPr>
            <w:tcW w:w="3454"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R</w:t>
            </w:r>
          </w:p>
        </w:tc>
      </w:tr>
      <w:tr>
        <w:tblPrEx/>
        <w:trPr>
          <w:trHeight w:val="449" w:hRule="atLeast"/>
          <w:tblCellSpacing w:w="15" w:type="dxa"/>
        </w:trPr>
        <w:tc>
          <w:tcPr>
            <w:tcW w:w="0" w:type="auto"/>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G19</w:t>
            </w:r>
          </w:p>
        </w:tc>
        <w:tc>
          <w:tcPr>
            <w:tcW w:w="4775"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CKDHL 153502 × CML 395</w:t>
            </w:r>
          </w:p>
        </w:tc>
        <w:tc>
          <w:tcPr>
            <w:tcW w:w="3454"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R</w:t>
            </w:r>
          </w:p>
        </w:tc>
      </w:tr>
      <w:tr>
        <w:tblPrEx/>
        <w:trPr>
          <w:trHeight w:val="449" w:hRule="atLeast"/>
          <w:tblCellSpacing w:w="15" w:type="dxa"/>
        </w:trPr>
        <w:tc>
          <w:tcPr>
            <w:tcW w:w="0" w:type="auto"/>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G2</w:t>
            </w:r>
          </w:p>
        </w:tc>
        <w:tc>
          <w:tcPr>
            <w:tcW w:w="4775"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KTLN 10123 × CKL 05017</w:t>
            </w:r>
          </w:p>
        </w:tc>
        <w:tc>
          <w:tcPr>
            <w:tcW w:w="3454"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MR</w:t>
            </w:r>
          </w:p>
        </w:tc>
      </w:tr>
      <w:tr>
        <w:tblPrEx/>
        <w:trPr>
          <w:trHeight w:val="449" w:hRule="atLeast"/>
          <w:tblCellSpacing w:w="15" w:type="dxa"/>
        </w:trPr>
        <w:tc>
          <w:tcPr>
            <w:tcW w:w="0" w:type="auto"/>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G20</w:t>
            </w:r>
          </w:p>
        </w:tc>
        <w:tc>
          <w:tcPr>
            <w:tcW w:w="4775"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CKL 15537 × CML 395</w:t>
            </w:r>
          </w:p>
        </w:tc>
        <w:tc>
          <w:tcPr>
            <w:tcW w:w="3454"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MR</w:t>
            </w:r>
          </w:p>
        </w:tc>
      </w:tr>
      <w:tr>
        <w:tblPrEx/>
        <w:trPr>
          <w:trHeight w:val="449" w:hRule="atLeast"/>
          <w:tblCellSpacing w:w="15" w:type="dxa"/>
        </w:trPr>
        <w:tc>
          <w:tcPr>
            <w:tcW w:w="0" w:type="auto"/>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G21</w:t>
            </w:r>
          </w:p>
        </w:tc>
        <w:tc>
          <w:tcPr>
            <w:tcW w:w="4775"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H512</w:t>
            </w:r>
          </w:p>
        </w:tc>
        <w:tc>
          <w:tcPr>
            <w:tcW w:w="3454"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R</w:t>
            </w:r>
          </w:p>
        </w:tc>
      </w:tr>
      <w:tr>
        <w:tblPrEx/>
        <w:trPr>
          <w:trHeight w:val="449" w:hRule="atLeast"/>
          <w:tblCellSpacing w:w="15" w:type="dxa"/>
        </w:trPr>
        <w:tc>
          <w:tcPr>
            <w:tcW w:w="0" w:type="auto"/>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G22</w:t>
            </w:r>
          </w:p>
        </w:tc>
        <w:tc>
          <w:tcPr>
            <w:tcW w:w="4775"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H614</w:t>
            </w:r>
          </w:p>
        </w:tc>
        <w:tc>
          <w:tcPr>
            <w:tcW w:w="3454"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MR</w:t>
            </w:r>
          </w:p>
        </w:tc>
      </w:tr>
      <w:tr>
        <w:tblPrEx/>
        <w:trPr>
          <w:trHeight w:val="449" w:hRule="atLeast"/>
          <w:tblCellSpacing w:w="15" w:type="dxa"/>
        </w:trPr>
        <w:tc>
          <w:tcPr>
            <w:tcW w:w="0" w:type="auto"/>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G23</w:t>
            </w:r>
          </w:p>
        </w:tc>
        <w:tc>
          <w:tcPr>
            <w:tcW w:w="4775"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CKDHL 120312</w:t>
            </w:r>
          </w:p>
        </w:tc>
        <w:tc>
          <w:tcPr>
            <w:tcW w:w="3454"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MR</w:t>
            </w:r>
          </w:p>
        </w:tc>
      </w:tr>
      <w:tr>
        <w:tblPrEx/>
        <w:trPr>
          <w:trHeight w:val="449" w:hRule="atLeast"/>
          <w:tblCellSpacing w:w="15" w:type="dxa"/>
        </w:trPr>
        <w:tc>
          <w:tcPr>
            <w:tcW w:w="0" w:type="auto"/>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G24</w:t>
            </w:r>
          </w:p>
        </w:tc>
        <w:tc>
          <w:tcPr>
            <w:tcW w:w="4775"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KTLN 10123</w:t>
            </w:r>
          </w:p>
        </w:tc>
        <w:tc>
          <w:tcPr>
            <w:tcW w:w="3454"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R</w:t>
            </w:r>
          </w:p>
        </w:tc>
      </w:tr>
      <w:tr>
        <w:tblPrEx/>
        <w:trPr>
          <w:trHeight w:val="449" w:hRule="atLeast"/>
          <w:tblCellSpacing w:w="15" w:type="dxa"/>
        </w:trPr>
        <w:tc>
          <w:tcPr>
            <w:tcW w:w="0" w:type="auto"/>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G25</w:t>
            </w:r>
          </w:p>
        </w:tc>
        <w:tc>
          <w:tcPr>
            <w:tcW w:w="4775"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CKL 05022</w:t>
            </w:r>
          </w:p>
        </w:tc>
        <w:tc>
          <w:tcPr>
            <w:tcW w:w="3454"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MR</w:t>
            </w:r>
          </w:p>
        </w:tc>
      </w:tr>
      <w:tr>
        <w:tblPrEx/>
        <w:trPr>
          <w:trHeight w:val="449" w:hRule="atLeast"/>
          <w:tblCellSpacing w:w="15" w:type="dxa"/>
        </w:trPr>
        <w:tc>
          <w:tcPr>
            <w:tcW w:w="0" w:type="auto"/>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G26</w:t>
            </w:r>
          </w:p>
        </w:tc>
        <w:tc>
          <w:tcPr>
            <w:tcW w:w="4775"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CKDHL 153502</w:t>
            </w:r>
          </w:p>
        </w:tc>
        <w:tc>
          <w:tcPr>
            <w:tcW w:w="3454"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MR</w:t>
            </w:r>
          </w:p>
        </w:tc>
      </w:tr>
      <w:tr>
        <w:tblPrEx/>
        <w:trPr>
          <w:trHeight w:val="449" w:hRule="atLeast"/>
          <w:tblCellSpacing w:w="15" w:type="dxa"/>
        </w:trPr>
        <w:tc>
          <w:tcPr>
            <w:tcW w:w="0" w:type="auto"/>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G27</w:t>
            </w:r>
          </w:p>
        </w:tc>
        <w:tc>
          <w:tcPr>
            <w:tcW w:w="4775"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CKL 15537</w:t>
            </w:r>
          </w:p>
        </w:tc>
        <w:tc>
          <w:tcPr>
            <w:tcW w:w="3454"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MR</w:t>
            </w:r>
          </w:p>
        </w:tc>
      </w:tr>
      <w:tr>
        <w:tblPrEx/>
        <w:trPr>
          <w:trHeight w:val="449" w:hRule="atLeast"/>
          <w:tblCellSpacing w:w="15" w:type="dxa"/>
        </w:trPr>
        <w:tc>
          <w:tcPr>
            <w:tcW w:w="0" w:type="auto"/>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G28</w:t>
            </w:r>
          </w:p>
        </w:tc>
        <w:tc>
          <w:tcPr>
            <w:tcW w:w="4775"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CKL 05017</w:t>
            </w:r>
          </w:p>
        </w:tc>
        <w:tc>
          <w:tcPr>
            <w:tcW w:w="3454"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MR</w:t>
            </w:r>
          </w:p>
        </w:tc>
      </w:tr>
      <w:tr>
        <w:tblPrEx/>
        <w:trPr>
          <w:trHeight w:val="449" w:hRule="atLeast"/>
          <w:tblCellSpacing w:w="15" w:type="dxa"/>
        </w:trPr>
        <w:tc>
          <w:tcPr>
            <w:tcW w:w="0" w:type="auto"/>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G29</w:t>
            </w:r>
          </w:p>
        </w:tc>
        <w:tc>
          <w:tcPr>
            <w:tcW w:w="4775"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CML 568</w:t>
            </w:r>
          </w:p>
        </w:tc>
        <w:tc>
          <w:tcPr>
            <w:tcW w:w="3454" w:type="dxa"/>
            <w:tcBorders>
              <w:top w:val="nil"/>
              <w:left w:val="nil"/>
              <w:bottom w:val="nil"/>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MR</w:t>
            </w:r>
          </w:p>
        </w:tc>
      </w:tr>
      <w:tr>
        <w:tblPrEx/>
        <w:trPr>
          <w:trHeight w:val="486" w:hRule="atLeast"/>
          <w:tblCellSpacing w:w="15" w:type="dxa"/>
        </w:trPr>
        <w:tc>
          <w:tcPr>
            <w:tcW w:w="0" w:type="auto"/>
            <w:tcBorders>
              <w:top w:val="nil"/>
              <w:left w:val="nil"/>
              <w:bottom w:val="single" w:sz="12" w:space="0" w:color="auto"/>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G3</w:t>
            </w:r>
          </w:p>
        </w:tc>
        <w:tc>
          <w:tcPr>
            <w:tcW w:w="4775" w:type="dxa"/>
            <w:tcBorders>
              <w:top w:val="nil"/>
              <w:left w:val="nil"/>
              <w:bottom w:val="single" w:sz="12" w:space="0" w:color="auto"/>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CKL 05022 × CKL 05017</w:t>
            </w:r>
          </w:p>
        </w:tc>
        <w:tc>
          <w:tcPr>
            <w:tcW w:w="3454" w:type="dxa"/>
            <w:tcBorders>
              <w:top w:val="nil"/>
              <w:left w:val="nil"/>
              <w:bottom w:val="single" w:sz="12" w:space="0" w:color="auto"/>
              <w:right w:val="nil"/>
            </w:tcBorders>
            <w:vAlign w:val="center"/>
          </w:tcPr>
          <w:p>
            <w:pPr>
              <w:pStyle w:val="style0"/>
              <w:spacing w:after="0" w:lineRule="auto" w:line="240"/>
              <w:jc w:val="both"/>
              <w:rPr>
                <w:rFonts w:ascii="Times New Roman" w:cs="Times New Roman" w:eastAsia="SimSun" w:hAnsi="Times New Roman"/>
                <w:sz w:val="24"/>
                <w:szCs w:val="24"/>
              </w:rPr>
            </w:pPr>
            <w:r>
              <w:rPr>
                <w:rFonts w:ascii="Times New Roman" w:cs="Times New Roman" w:eastAsia="SimSun" w:hAnsi="Times New Roman"/>
                <w:sz w:val="24"/>
                <w:szCs w:val="24"/>
              </w:rPr>
              <w:t>MR</w:t>
            </w:r>
          </w:p>
        </w:tc>
      </w:tr>
    </w:tbl>
    <w:p>
      <w:pPr>
        <w:pStyle w:val="style0"/>
        <w:suppressAutoHyphens/>
        <w:spacing w:after="0" w:lineRule="auto" w:line="240"/>
        <w:jc w:val="both"/>
        <w:rPr>
          <w:rFonts w:ascii="Times New Roman" w:cs="Times New Roman" w:eastAsia="Times New Roman" w:hAnsi="Times New Roman"/>
          <w:b/>
          <w:sz w:val="24"/>
          <w:szCs w:val="24"/>
          <w:lang w:eastAsia="en-GB"/>
        </w:rPr>
      </w:pPr>
      <w:r>
        <w:rPr>
          <w:rFonts w:ascii="Times New Roman" w:cs="Times New Roman" w:eastAsia="Times New Roman" w:hAnsi="Times New Roman"/>
          <w:b/>
          <w:sz w:val="24"/>
          <w:szCs w:val="24"/>
          <w:lang w:eastAsia="en-GB"/>
        </w:rPr>
        <w:t>R-Resistance; MR-Moderately Resistance; MS- Moderately susceptible; CML-CIMMTY lines</w:t>
      </w:r>
      <w:r>
        <w:rPr>
          <w:rFonts w:ascii="Times New Roman" w:cs="Times New Roman" w:eastAsia="Times New Roman" w:hAnsi="Times New Roman"/>
          <w:b/>
          <w:sz w:val="24"/>
          <w:szCs w:val="24"/>
          <w:lang w:eastAsia="en-GB"/>
        </w:rPr>
        <w:t>.</w:t>
      </w:r>
    </w:p>
    <w:bookmarkStart w:id="65" w:name="_Toc21537"/>
    <w:bookmarkStart w:id="66" w:name="_Toc19534"/>
    <w:bookmarkStart w:id="67" w:name="_Toc13484"/>
    <w:bookmarkStart w:id="68" w:name="_Toc29500"/>
    <w:bookmarkStart w:id="69" w:name="_Toc26691"/>
    <w:bookmarkEnd w:id="65"/>
    <w:bookmarkEnd w:id="66"/>
    <w:bookmarkEnd w:id="67"/>
    <w:bookmarkEnd w:id="68"/>
    <w:bookmarkEnd w:id="69"/>
    <w:p>
      <w:pPr>
        <w:pStyle w:val="style0"/>
        <w:keepNext/>
        <w:keepLines/>
        <w:widowControl w:val="false"/>
        <w:suppressAutoHyphens/>
        <w:spacing w:after="120" w:lineRule="auto" w:line="360"/>
        <w:jc w:val="both"/>
        <w:outlineLvl w:val="2"/>
        <w:rPr>
          <w:rFonts w:ascii="Times New Roman" w:cs="Times New Roman" w:eastAsia="Times New Roman" w:hAnsi="Times New Roman"/>
          <w:b/>
          <w:bCs/>
          <w:sz w:val="24"/>
          <w:szCs w:val="24"/>
          <w:lang w:eastAsia="en-GB"/>
        </w:rPr>
      </w:pPr>
      <w:r>
        <w:rPr>
          <w:rFonts w:ascii="Times New Roman" w:cs="Times New Roman" w:eastAsia="Times New Roman" w:hAnsi="Times New Roman"/>
          <w:b/>
          <w:bCs/>
          <w:sz w:val="24"/>
          <w:szCs w:val="24"/>
          <w:lang w:eastAsia="en-GB"/>
        </w:rPr>
        <w:t>2.4 Selection of SSR markers</w:t>
      </w:r>
    </w:p>
    <w:bookmarkStart w:id="70" w:name="_Toc1728"/>
    <w:bookmarkStart w:id="71" w:name="_Toc4790"/>
    <w:bookmarkStart w:id="72" w:name="_Toc1990"/>
    <w:bookmarkStart w:id="73" w:name="_Toc8235"/>
    <w:bookmarkStart w:id="74" w:name="_Toc22373"/>
    <w:bookmarkStart w:id="75" w:name="_Toc23816"/>
    <w:bookmarkStart w:id="76" w:name="_Toc20789"/>
    <w:bookmarkEnd w:id="70"/>
    <w:bookmarkEnd w:id="71"/>
    <w:bookmarkEnd w:id="72"/>
    <w:bookmarkEnd w:id="73"/>
    <w:bookmarkEnd w:id="74"/>
    <w:bookmarkEnd w:id="75"/>
    <w:p>
      <w:pPr>
        <w:pStyle w:val="style0"/>
        <w:spacing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 xml:space="preserve">A total of 4 sets of SSR markers (Table </w:t>
      </w:r>
      <w:bookmarkEnd w:id="76"/>
      <w:r>
        <w:rPr>
          <w:rFonts w:ascii="Times New Roman" w:cs="Times New Roman" w:eastAsia="Calibri" w:hAnsi="Times New Roman"/>
          <w:sz w:val="24"/>
          <w:szCs w:val="24"/>
          <w:lang w:eastAsia="en-GB"/>
        </w:rPr>
        <w:t xml:space="preserve">2) were selected from earlier publications according to Danson et al. (2008). The SSR markers were selected on the basis that they are linked to the region of the chromosomes that are known to harbour GLS-resistant genes. These were previously reported to have a large PIC content and hence can be used to reveal polymorphism among the evaluated genotypes.  Polymerase Chain Reaction (PCR) was done in 96 </w:t>
      </w:r>
      <w:r>
        <w:rPr>
          <w:rFonts w:ascii="Times New Roman" w:cs="Times New Roman" w:eastAsia="Calibri" w:hAnsi="Times New Roman"/>
          <w:sz w:val="24"/>
          <w:szCs w:val="24"/>
          <w:lang w:eastAsia="en-GB"/>
        </w:rPr>
        <w:t>PCr</w:t>
      </w:r>
      <w:r>
        <w:rPr>
          <w:rFonts w:ascii="Times New Roman" w:cs="Times New Roman" w:eastAsia="Calibri" w:hAnsi="Times New Roman"/>
          <w:sz w:val="24"/>
          <w:szCs w:val="24"/>
          <w:lang w:eastAsia="en-GB"/>
        </w:rPr>
        <w:t xml:space="preserve"> wells in 23μl final volume containing DNA template (20 ng) 2.0 </w:t>
      </w:r>
      <w:r>
        <w:rPr>
          <w:rFonts w:ascii="Times New Roman" w:cs="Times New Roman" w:eastAsia="Calibri" w:hAnsi="Times New Roman"/>
          <w:sz w:val="24"/>
          <w:szCs w:val="24"/>
          <w:lang w:eastAsia="en-GB"/>
        </w:rPr>
        <w:t>μl</w:t>
      </w:r>
      <w:r>
        <w:rPr>
          <w:rFonts w:ascii="Times New Roman" w:cs="Times New Roman" w:eastAsia="Calibri" w:hAnsi="Times New Roman"/>
          <w:sz w:val="24"/>
          <w:szCs w:val="24"/>
          <w:lang w:eastAsia="en-GB"/>
        </w:rPr>
        <w:t xml:space="preserve">, primer forward (10 </w:t>
      </w:r>
      <w:r>
        <w:rPr>
          <w:rFonts w:ascii="Times New Roman" w:cs="Times New Roman" w:eastAsia="Calibri" w:hAnsi="Times New Roman"/>
          <w:sz w:val="24"/>
          <w:szCs w:val="24"/>
          <w:lang w:eastAsia="en-GB"/>
        </w:rPr>
        <w:t>μmol</w:t>
      </w:r>
      <w:r>
        <w:rPr>
          <w:rFonts w:ascii="Times New Roman" w:cs="Times New Roman" w:eastAsia="Calibri" w:hAnsi="Times New Roman"/>
          <w:sz w:val="24"/>
          <w:szCs w:val="24"/>
          <w:lang w:eastAsia="en-GB"/>
        </w:rPr>
        <w:t xml:space="preserve">/L) 1.5 </w:t>
      </w:r>
      <w:r>
        <w:rPr>
          <w:rFonts w:ascii="Times New Roman" w:cs="Times New Roman" w:eastAsia="Calibri" w:hAnsi="Times New Roman"/>
          <w:sz w:val="24"/>
          <w:szCs w:val="24"/>
          <w:lang w:eastAsia="en-GB"/>
        </w:rPr>
        <w:t>μl</w:t>
      </w:r>
      <w:r>
        <w:rPr>
          <w:rFonts w:ascii="Times New Roman" w:cs="Times New Roman" w:eastAsia="Calibri" w:hAnsi="Times New Roman"/>
          <w:sz w:val="24"/>
          <w:szCs w:val="24"/>
          <w:lang w:eastAsia="en-GB"/>
        </w:rPr>
        <w:t xml:space="preserve">, primer reverse (10 </w:t>
      </w:r>
      <w:r>
        <w:rPr>
          <w:rFonts w:ascii="Times New Roman" w:cs="Times New Roman" w:eastAsia="Calibri" w:hAnsi="Times New Roman"/>
          <w:sz w:val="24"/>
          <w:szCs w:val="24"/>
          <w:lang w:eastAsia="en-GB"/>
        </w:rPr>
        <w:t>μmol</w:t>
      </w:r>
      <w:r>
        <w:rPr>
          <w:rFonts w:ascii="Times New Roman" w:cs="Times New Roman" w:eastAsia="Calibri" w:hAnsi="Times New Roman"/>
          <w:sz w:val="24"/>
          <w:szCs w:val="24"/>
          <w:lang w:eastAsia="en-GB"/>
        </w:rPr>
        <w:t xml:space="preserve">/L) 1.5 </w:t>
      </w:r>
      <w:r>
        <w:rPr>
          <w:rFonts w:ascii="Times New Roman" w:cs="Times New Roman" w:eastAsia="Calibri" w:hAnsi="Times New Roman"/>
          <w:sz w:val="24"/>
          <w:szCs w:val="24"/>
          <w:lang w:eastAsia="en-GB"/>
        </w:rPr>
        <w:t>μl</w:t>
      </w:r>
      <w:r>
        <w:rPr>
          <w:rFonts w:ascii="Times New Roman" w:cs="Times New Roman" w:eastAsia="Calibri" w:hAnsi="Times New Roman"/>
          <w:sz w:val="24"/>
          <w:szCs w:val="24"/>
          <w:lang w:eastAsia="en-GB"/>
        </w:rPr>
        <w:t xml:space="preserve">, 10x PCR buffer 2.0 </w:t>
      </w:r>
      <w:r>
        <w:rPr>
          <w:rFonts w:ascii="Times New Roman" w:cs="Times New Roman" w:eastAsia="Calibri" w:hAnsi="Times New Roman"/>
          <w:sz w:val="24"/>
          <w:szCs w:val="24"/>
          <w:lang w:eastAsia="en-GB"/>
        </w:rPr>
        <w:t>μl</w:t>
      </w:r>
      <w:r>
        <w:rPr>
          <w:rFonts w:ascii="Times New Roman" w:cs="Times New Roman" w:eastAsia="Calibri" w:hAnsi="Times New Roman"/>
          <w:sz w:val="24"/>
          <w:szCs w:val="24"/>
          <w:lang w:eastAsia="en-GB"/>
        </w:rPr>
        <w:t xml:space="preserve">, 10 mM dNTPs (2.5 mM each) 1.8 </w:t>
      </w:r>
      <w:r>
        <w:rPr>
          <w:rFonts w:ascii="Times New Roman" w:cs="Times New Roman" w:eastAsia="Calibri" w:hAnsi="Times New Roman"/>
          <w:sz w:val="24"/>
          <w:szCs w:val="24"/>
          <w:lang w:eastAsia="en-GB"/>
        </w:rPr>
        <w:t>μl</w:t>
      </w:r>
      <w:r>
        <w:rPr>
          <w:rFonts w:ascii="Times New Roman" w:cs="Times New Roman" w:eastAsia="Calibri" w:hAnsi="Times New Roman"/>
          <w:sz w:val="24"/>
          <w:szCs w:val="24"/>
          <w:lang w:eastAsia="en-GB"/>
        </w:rPr>
        <w:t xml:space="preserve">, MgCl2 (1.2 mM) 1.2 </w:t>
      </w:r>
      <w:r>
        <w:rPr>
          <w:rFonts w:ascii="Times New Roman" w:cs="Times New Roman" w:eastAsia="Calibri" w:hAnsi="Times New Roman"/>
          <w:sz w:val="24"/>
          <w:szCs w:val="24"/>
          <w:lang w:eastAsia="en-GB"/>
        </w:rPr>
        <w:t>μl</w:t>
      </w:r>
      <w:r>
        <w:rPr>
          <w:rFonts w:ascii="Times New Roman" w:cs="Times New Roman" w:eastAsia="Calibri" w:hAnsi="Times New Roman"/>
          <w:sz w:val="24"/>
          <w:szCs w:val="24"/>
          <w:lang w:eastAsia="en-GB"/>
        </w:rPr>
        <w:t>, Taq DNA polymerase (5 U/</w:t>
      </w:r>
      <w:r>
        <w:rPr>
          <w:rFonts w:ascii="Times New Roman" w:cs="Times New Roman" w:eastAsia="Calibri" w:hAnsi="Times New Roman"/>
          <w:sz w:val="24"/>
          <w:szCs w:val="24"/>
          <w:lang w:eastAsia="en-GB"/>
        </w:rPr>
        <w:t>μl</w:t>
      </w:r>
      <w:r>
        <w:rPr>
          <w:rFonts w:ascii="Times New Roman" w:cs="Times New Roman" w:eastAsia="Calibri" w:hAnsi="Times New Roman"/>
          <w:sz w:val="24"/>
          <w:szCs w:val="24"/>
          <w:lang w:eastAsia="en-GB"/>
        </w:rPr>
        <w:t xml:space="preserve">) 3.0 </w:t>
      </w:r>
      <w:r>
        <w:rPr>
          <w:rFonts w:ascii="Times New Roman" w:cs="Times New Roman" w:eastAsia="Calibri" w:hAnsi="Times New Roman"/>
          <w:sz w:val="24"/>
          <w:szCs w:val="24"/>
          <w:lang w:eastAsia="en-GB"/>
        </w:rPr>
        <w:t>μl</w:t>
      </w:r>
      <w:r>
        <w:rPr>
          <w:rFonts w:ascii="Times New Roman" w:cs="Times New Roman" w:eastAsia="Calibri" w:hAnsi="Times New Roman"/>
          <w:sz w:val="24"/>
          <w:szCs w:val="24"/>
          <w:lang w:eastAsia="en-GB"/>
        </w:rPr>
        <w:t xml:space="preserve"> and dd H2O 12.0 </w:t>
      </w:r>
      <w:r>
        <w:rPr>
          <w:rFonts w:ascii="Times New Roman" w:cs="Times New Roman" w:eastAsia="Calibri" w:hAnsi="Times New Roman"/>
          <w:sz w:val="24"/>
          <w:szCs w:val="24"/>
          <w:lang w:eastAsia="en-GB"/>
        </w:rPr>
        <w:t>μl</w:t>
      </w:r>
      <w:r>
        <w:rPr>
          <w:rFonts w:ascii="Times New Roman" w:cs="Times New Roman" w:eastAsia="Calibri" w:hAnsi="Times New Roman"/>
          <w:sz w:val="24"/>
          <w:szCs w:val="24"/>
          <w:lang w:eastAsia="en-GB"/>
        </w:rPr>
        <w:t>. The amplification conditions for the PCR profile were initial denaturation at 95°C for 5 min, 35 cycles of 95°C for 30 s, specific annealing temperature for each SSR primer for 1 min, extension at 72°C for 2 min and final extension at 72°C for 10 min and infinite time at 4°C for storage.</w:t>
      </w:r>
    </w:p>
    <w:p>
      <w:pPr>
        <w:pStyle w:val="style0"/>
        <w:keepNext/>
        <w:keepLines/>
        <w:widowControl w:val="false"/>
        <w:suppressAutoHyphens/>
        <w:spacing w:before="100" w:beforeAutospacing="true" w:after="0" w:lineRule="auto" w:line="360"/>
        <w:outlineLvl w:val="1"/>
        <w:rPr>
          <w:rFonts w:ascii="Times New Roman" w:cs="Times New Roman" w:eastAsia="Calibri" w:hAnsi="Times New Roman"/>
          <w:b/>
          <w:bCs/>
          <w:sz w:val="24"/>
          <w:szCs w:val="24"/>
          <w:lang w:eastAsia="en-GB"/>
        </w:rPr>
      </w:pPr>
      <w:r>
        <w:rPr>
          <w:rFonts w:ascii="Times New Roman" w:cs="Times New Roman" w:eastAsia="Calibri" w:hAnsi="Times New Roman"/>
          <w:b/>
          <w:bCs/>
          <w:sz w:val="24"/>
          <w:szCs w:val="24"/>
          <w:lang w:eastAsia="en-GB"/>
        </w:rPr>
        <w:t>Table 2 List of primer sequences of 4 microsatellite markers (F- forward primer and R - reverse primer).</w:t>
      </w:r>
    </w:p>
    <w:tbl>
      <w:tblPr>
        <w:tblW w:w="8967" w:type="dxa"/>
        <w:tblCellSpacing w:w="15" w:type="dxa"/>
        <w:tblInd w:w="63" w:type="dxa"/>
        <w:tblCellMar>
          <w:top w:w="15" w:type="dxa"/>
          <w:left w:w="15" w:type="dxa"/>
          <w:bottom w:w="15" w:type="dxa"/>
          <w:right w:w="15" w:type="dxa"/>
        </w:tblCellMar>
        <w:tblLook w:val="04A0" w:firstRow="1" w:lastRow="0" w:firstColumn="1" w:lastColumn="0" w:noHBand="0" w:noVBand="1"/>
      </w:tblPr>
      <w:tblGrid>
        <w:gridCol w:w="448"/>
        <w:gridCol w:w="836"/>
        <w:gridCol w:w="5787"/>
        <w:gridCol w:w="805"/>
        <w:gridCol w:w="464"/>
        <w:gridCol w:w="1132"/>
      </w:tblGrid>
      <w:tr>
        <w:trPr>
          <w:trHeight w:val="409" w:hRule="atLeast"/>
          <w:tblCellSpacing w:w="15" w:type="dxa"/>
        </w:trPr>
        <w:tc>
          <w:tcPr>
            <w:tcW w:w="0" w:type="auto"/>
            <w:tcBorders>
              <w:top w:val="single" w:sz="18" w:space="0" w:color="auto"/>
              <w:left w:val="nil"/>
              <w:bottom w:val="nil"/>
              <w:right w:val="nil"/>
            </w:tcBorders>
            <w:vAlign w:val="center"/>
          </w:tcPr>
          <w:p>
            <w:pPr>
              <w:pStyle w:val="style0"/>
              <w:spacing w:before="100" w:beforeAutospacing="true" w:lineRule="auto" w:line="256"/>
              <w:rPr>
                <w:rFonts w:ascii="Times New Roman" w:cs="Times New Roman" w:eastAsia="Calibri" w:hAnsi="Times New Roman"/>
                <w:b/>
                <w:bCs/>
                <w:sz w:val="24"/>
                <w:szCs w:val="24"/>
              </w:rPr>
            </w:pPr>
            <w:r>
              <w:rPr>
                <w:rFonts w:ascii="Times New Roman" w:cs="Times New Roman" w:eastAsia="SimSun" w:hAnsi="Times New Roman"/>
                <w:b/>
                <w:bCs/>
                <w:sz w:val="24"/>
                <w:szCs w:val="24"/>
              </w:rPr>
              <w:t>S/N</w:t>
            </w:r>
          </w:p>
        </w:tc>
        <w:tc>
          <w:tcPr>
            <w:tcW w:w="0" w:type="auto"/>
            <w:tcBorders>
              <w:top w:val="single" w:sz="18" w:space="0" w:color="auto"/>
              <w:left w:val="nil"/>
              <w:bottom w:val="nil"/>
              <w:right w:val="nil"/>
            </w:tcBorders>
            <w:vAlign w:val="center"/>
          </w:tcPr>
          <w:p>
            <w:pPr>
              <w:pStyle w:val="style0"/>
              <w:spacing w:before="100" w:beforeAutospacing="true" w:lineRule="auto" w:line="256"/>
              <w:rPr>
                <w:rFonts w:ascii="Times New Roman" w:cs="Times New Roman" w:eastAsia="Calibri" w:hAnsi="Times New Roman"/>
                <w:b/>
                <w:bCs/>
                <w:sz w:val="24"/>
                <w:szCs w:val="24"/>
              </w:rPr>
            </w:pPr>
            <w:r>
              <w:rPr>
                <w:rFonts w:ascii="Times New Roman" w:cs="Times New Roman" w:eastAsia="SimSun" w:hAnsi="Times New Roman"/>
                <w:b/>
                <w:bCs/>
                <w:sz w:val="24"/>
                <w:szCs w:val="24"/>
              </w:rPr>
              <w:t>Primer</w:t>
            </w:r>
          </w:p>
        </w:tc>
        <w:tc>
          <w:tcPr>
            <w:tcW w:w="0" w:type="auto"/>
            <w:tcBorders>
              <w:top w:val="single" w:sz="18" w:space="0" w:color="auto"/>
              <w:left w:val="nil"/>
              <w:bottom w:val="nil"/>
              <w:right w:val="nil"/>
            </w:tcBorders>
            <w:vAlign w:val="center"/>
          </w:tcPr>
          <w:p>
            <w:pPr>
              <w:pStyle w:val="style0"/>
              <w:spacing w:before="100" w:beforeAutospacing="true" w:lineRule="auto" w:line="256"/>
              <w:rPr>
                <w:rFonts w:ascii="Times New Roman" w:cs="Times New Roman" w:eastAsia="Calibri" w:hAnsi="Times New Roman"/>
                <w:b/>
                <w:bCs/>
                <w:sz w:val="24"/>
                <w:szCs w:val="24"/>
              </w:rPr>
            </w:pPr>
            <w:r>
              <w:rPr>
                <w:rFonts w:ascii="Times New Roman" w:cs="Times New Roman" w:eastAsia="SimSun" w:hAnsi="Times New Roman"/>
                <w:b/>
                <w:bCs/>
                <w:sz w:val="24"/>
                <w:szCs w:val="24"/>
              </w:rPr>
              <w:t>Primer Sequence</w:t>
            </w:r>
          </w:p>
        </w:tc>
        <w:tc>
          <w:tcPr>
            <w:tcW w:w="0" w:type="auto"/>
            <w:tcBorders>
              <w:top w:val="single" w:sz="18" w:space="0" w:color="auto"/>
              <w:left w:val="nil"/>
              <w:bottom w:val="nil"/>
              <w:right w:val="nil"/>
            </w:tcBorders>
            <w:vAlign w:val="center"/>
          </w:tcPr>
          <w:p>
            <w:pPr>
              <w:pStyle w:val="style0"/>
              <w:spacing w:before="100" w:beforeAutospacing="true" w:lineRule="auto" w:line="256"/>
              <w:rPr>
                <w:rFonts w:ascii="Times New Roman" w:cs="Times New Roman" w:eastAsia="Calibri" w:hAnsi="Times New Roman"/>
                <w:b/>
                <w:bCs/>
                <w:sz w:val="24"/>
                <w:szCs w:val="24"/>
              </w:rPr>
            </w:pPr>
            <w:r>
              <w:rPr>
                <w:rFonts w:ascii="Times New Roman" w:cs="Times New Roman" w:eastAsia="SimSun" w:hAnsi="Times New Roman"/>
                <w:b/>
                <w:bCs/>
                <w:sz w:val="24"/>
                <w:szCs w:val="24"/>
              </w:rPr>
              <w:t>Repeat Motif</w:t>
            </w:r>
          </w:p>
        </w:tc>
        <w:tc>
          <w:tcPr>
            <w:tcW w:w="0" w:type="auto"/>
            <w:tcBorders>
              <w:top w:val="single" w:sz="18" w:space="0" w:color="auto"/>
              <w:left w:val="nil"/>
              <w:bottom w:val="nil"/>
              <w:right w:val="nil"/>
            </w:tcBorders>
            <w:vAlign w:val="center"/>
          </w:tcPr>
          <w:p>
            <w:pPr>
              <w:pStyle w:val="style0"/>
              <w:spacing w:before="100" w:beforeAutospacing="true" w:lineRule="auto" w:line="256"/>
              <w:rPr>
                <w:rFonts w:ascii="Times New Roman" w:cs="Times New Roman" w:eastAsia="Calibri" w:hAnsi="Times New Roman"/>
                <w:b/>
                <w:bCs/>
                <w:sz w:val="24"/>
                <w:szCs w:val="24"/>
              </w:rPr>
            </w:pPr>
            <w:r>
              <w:rPr>
                <w:rFonts w:ascii="Times New Roman" w:cs="Times New Roman" w:eastAsia="SimSun" w:hAnsi="Times New Roman"/>
                <w:b/>
                <w:bCs/>
                <w:sz w:val="24"/>
                <w:szCs w:val="24"/>
              </w:rPr>
              <w:t>Ta (°C)</w:t>
            </w:r>
          </w:p>
        </w:tc>
        <w:tc>
          <w:tcPr>
            <w:tcW w:w="0" w:type="auto"/>
            <w:tcBorders>
              <w:top w:val="single" w:sz="18" w:space="0" w:color="auto"/>
              <w:left w:val="nil"/>
              <w:bottom w:val="nil"/>
              <w:right w:val="nil"/>
            </w:tcBorders>
            <w:vAlign w:val="center"/>
          </w:tcPr>
          <w:p>
            <w:pPr>
              <w:pStyle w:val="style0"/>
              <w:spacing w:before="100" w:beforeAutospacing="true" w:lineRule="auto" w:line="256"/>
              <w:rPr>
                <w:rFonts w:ascii="Times New Roman" w:cs="Times New Roman" w:eastAsia="Calibri" w:hAnsi="Times New Roman"/>
                <w:b/>
                <w:bCs/>
                <w:sz w:val="24"/>
                <w:szCs w:val="24"/>
              </w:rPr>
            </w:pPr>
            <w:r>
              <w:rPr>
                <w:rFonts w:ascii="Times New Roman" w:cs="Times New Roman" w:eastAsia="SimSun" w:hAnsi="Times New Roman"/>
                <w:b/>
                <w:bCs/>
                <w:sz w:val="24"/>
                <w:szCs w:val="24"/>
              </w:rPr>
              <w:t>Reference</w:t>
            </w:r>
          </w:p>
        </w:tc>
      </w:tr>
      <w:tr>
        <w:tblPrEx/>
        <w:trPr>
          <w:trHeight w:val="412" w:hRule="atLeast"/>
          <w:tblCellSpacing w:w="15" w:type="dxa"/>
        </w:trPr>
        <w:tc>
          <w:tcPr>
            <w:tcW w:w="0" w:type="auto"/>
            <w:tcBorders>
              <w:top w:val="single" w:sz="18" w:space="0" w:color="auto"/>
              <w:left w:val="nil"/>
              <w:bottom w:val="nil"/>
              <w:right w:val="nil"/>
            </w:tcBorders>
            <w:vAlign w:val="center"/>
          </w:tcPr>
          <w:p>
            <w:pPr>
              <w:pStyle w:val="style0"/>
              <w:spacing w:before="100" w:beforeAutospacing="true" w:lineRule="auto" w:line="256"/>
              <w:rPr>
                <w:rFonts w:ascii="Times New Roman" w:cs="Times New Roman" w:eastAsia="Calibri" w:hAnsi="Times New Roman"/>
                <w:sz w:val="24"/>
                <w:szCs w:val="24"/>
              </w:rPr>
            </w:pPr>
            <w:r>
              <w:rPr>
                <w:rFonts w:ascii="Times New Roman" w:cs="Times New Roman" w:eastAsia="SimSun" w:hAnsi="Times New Roman"/>
                <w:sz w:val="24"/>
                <w:szCs w:val="24"/>
              </w:rPr>
              <w:t>1</w:t>
            </w:r>
          </w:p>
        </w:tc>
        <w:tc>
          <w:tcPr>
            <w:tcW w:w="0" w:type="auto"/>
            <w:tcBorders>
              <w:top w:val="single" w:sz="18" w:space="0" w:color="auto"/>
              <w:left w:val="nil"/>
              <w:bottom w:val="nil"/>
              <w:right w:val="nil"/>
            </w:tcBorders>
            <w:vAlign w:val="center"/>
          </w:tcPr>
          <w:p>
            <w:pPr>
              <w:pStyle w:val="style0"/>
              <w:spacing w:before="100" w:beforeAutospacing="true" w:lineRule="auto" w:line="240"/>
              <w:rPr>
                <w:rFonts w:ascii="Times New Roman" w:cs="Times New Roman" w:eastAsia="Calibri" w:hAnsi="Times New Roman"/>
                <w:sz w:val="24"/>
                <w:szCs w:val="24"/>
              </w:rPr>
            </w:pPr>
            <w:r>
              <w:rPr>
                <w:rFonts w:ascii="Times New Roman" w:cs="Times New Roman" w:eastAsia="SimSun" w:hAnsi="Times New Roman"/>
                <w:sz w:val="24"/>
                <w:szCs w:val="24"/>
              </w:rPr>
              <w:t>Bnlg</w:t>
            </w:r>
            <w:r>
              <w:rPr>
                <w:rFonts w:ascii="Times New Roman" w:cs="Times New Roman" w:eastAsia="SimSun" w:hAnsi="Times New Roman"/>
                <w:sz w:val="24"/>
                <w:szCs w:val="24"/>
              </w:rPr>
              <w:t xml:space="preserve"> 1258</w:t>
            </w:r>
          </w:p>
        </w:tc>
        <w:tc>
          <w:tcPr>
            <w:tcW w:w="0" w:type="auto"/>
            <w:tcBorders>
              <w:top w:val="single" w:sz="18" w:space="0" w:color="auto"/>
              <w:left w:val="nil"/>
              <w:bottom w:val="nil"/>
              <w:right w:val="nil"/>
            </w:tcBorders>
            <w:vAlign w:val="center"/>
          </w:tcPr>
          <w:p>
            <w:pPr>
              <w:pStyle w:val="style0"/>
              <w:spacing w:before="100" w:beforeAutospacing="true" w:lineRule="auto" w:line="240"/>
              <w:rPr>
                <w:rFonts w:ascii="Times New Roman" w:cs="Times New Roman" w:eastAsia="Calibri" w:hAnsi="Times New Roman"/>
                <w:sz w:val="24"/>
                <w:szCs w:val="24"/>
              </w:rPr>
            </w:pPr>
            <w:r>
              <w:rPr>
                <w:rFonts w:ascii="Times New Roman" w:cs="Times New Roman" w:eastAsia="SimSun" w:hAnsi="Times New Roman"/>
                <w:sz w:val="24"/>
                <w:szCs w:val="24"/>
              </w:rPr>
              <w:t xml:space="preserve">F: GGTGAGATCGTCAGGGAAAA </w:t>
            </w:r>
            <w:r>
              <w:rPr>
                <w:rFonts w:ascii="Times New Roman" w:cs="Times New Roman" w:eastAsia="SimSun" w:hAnsi="Times New Roman"/>
                <w:sz w:val="24"/>
                <w:szCs w:val="24"/>
              </w:rPr>
              <w:br/>
            </w:r>
            <w:r>
              <w:rPr>
                <w:rFonts w:ascii="Times New Roman" w:cs="Times New Roman" w:eastAsia="SimSun" w:hAnsi="Times New Roman"/>
                <w:sz w:val="24"/>
                <w:szCs w:val="24"/>
              </w:rPr>
              <w:t>R: GAGAAGGAACCTGATGCTGC</w:t>
            </w:r>
          </w:p>
        </w:tc>
        <w:tc>
          <w:tcPr>
            <w:tcW w:w="0" w:type="auto"/>
            <w:tcBorders>
              <w:top w:val="single" w:sz="18" w:space="0" w:color="auto"/>
              <w:left w:val="nil"/>
              <w:bottom w:val="nil"/>
              <w:right w:val="nil"/>
            </w:tcBorders>
            <w:vAlign w:val="center"/>
          </w:tcPr>
          <w:p>
            <w:pPr>
              <w:pStyle w:val="style0"/>
              <w:spacing w:before="100" w:beforeAutospacing="true" w:lineRule="auto" w:line="240"/>
              <w:rPr>
                <w:rFonts w:ascii="Times New Roman" w:cs="Times New Roman" w:eastAsia="Calibri" w:hAnsi="Times New Roman"/>
                <w:sz w:val="24"/>
                <w:szCs w:val="24"/>
              </w:rPr>
            </w:pPr>
            <w:r>
              <w:rPr>
                <w:rFonts w:ascii="Times New Roman" w:cs="Times New Roman" w:eastAsia="SimSun" w:hAnsi="Times New Roman"/>
                <w:sz w:val="24"/>
                <w:szCs w:val="24"/>
              </w:rPr>
              <w:t>AG (24)</w:t>
            </w:r>
          </w:p>
        </w:tc>
        <w:tc>
          <w:tcPr>
            <w:tcW w:w="0" w:type="auto"/>
            <w:tcBorders>
              <w:top w:val="single" w:sz="18" w:space="0" w:color="auto"/>
              <w:left w:val="nil"/>
              <w:bottom w:val="nil"/>
              <w:right w:val="nil"/>
            </w:tcBorders>
            <w:vAlign w:val="center"/>
          </w:tcPr>
          <w:p>
            <w:pPr>
              <w:pStyle w:val="style0"/>
              <w:spacing w:before="100" w:beforeAutospacing="true" w:lineRule="auto" w:line="240"/>
              <w:rPr>
                <w:rFonts w:ascii="Times New Roman" w:cs="Times New Roman" w:eastAsia="Calibri" w:hAnsi="Times New Roman"/>
                <w:sz w:val="24"/>
                <w:szCs w:val="24"/>
              </w:rPr>
            </w:pPr>
            <w:r>
              <w:rPr>
                <w:rFonts w:ascii="Times New Roman" w:cs="Times New Roman" w:eastAsia="SimSun" w:hAnsi="Times New Roman"/>
                <w:sz w:val="24"/>
                <w:szCs w:val="24"/>
              </w:rPr>
              <w:t>49 (53)</w:t>
            </w:r>
          </w:p>
        </w:tc>
        <w:tc>
          <w:tcPr>
            <w:tcW w:w="0" w:type="auto"/>
            <w:tcBorders>
              <w:top w:val="single" w:sz="18" w:space="0" w:color="auto"/>
              <w:left w:val="nil"/>
              <w:bottom w:val="nil"/>
              <w:right w:val="nil"/>
            </w:tcBorders>
            <w:vAlign w:val="center"/>
          </w:tcPr>
          <w:p>
            <w:pPr>
              <w:pStyle w:val="style0"/>
              <w:spacing w:before="100" w:beforeAutospacing="true" w:lineRule="auto" w:line="256"/>
              <w:rPr>
                <w:rFonts w:ascii="Times New Roman" w:cs="Times New Roman" w:eastAsia="Calibri" w:hAnsi="Times New Roman"/>
                <w:sz w:val="24"/>
                <w:szCs w:val="24"/>
              </w:rPr>
            </w:pPr>
            <w:r>
              <w:rPr>
                <w:rFonts w:ascii="Times New Roman" w:cs="Times New Roman" w:eastAsia="SimSun" w:hAnsi="Times New Roman"/>
                <w:sz w:val="24"/>
                <w:szCs w:val="24"/>
              </w:rPr>
              <w:t>Danson et al., 2008</w:t>
            </w:r>
          </w:p>
        </w:tc>
      </w:tr>
      <w:tr>
        <w:tblPrEx/>
        <w:trPr>
          <w:trHeight w:val="972" w:hRule="atLeast"/>
          <w:tblCellSpacing w:w="15" w:type="dxa"/>
        </w:trPr>
        <w:tc>
          <w:tcPr>
            <w:tcW w:w="0" w:type="auto"/>
            <w:tcBorders>
              <w:top w:val="nil"/>
              <w:left w:val="nil"/>
              <w:bottom w:val="nil"/>
              <w:right w:val="nil"/>
            </w:tcBorders>
            <w:vAlign w:val="center"/>
          </w:tcPr>
          <w:p>
            <w:pPr>
              <w:pStyle w:val="style0"/>
              <w:spacing w:before="100" w:beforeAutospacing="true" w:lineRule="auto" w:line="256"/>
              <w:rPr>
                <w:rFonts w:ascii="Times New Roman" w:cs="Times New Roman" w:eastAsia="Calibri" w:hAnsi="Times New Roman"/>
                <w:sz w:val="24"/>
                <w:szCs w:val="24"/>
              </w:rPr>
            </w:pPr>
            <w:r>
              <w:rPr>
                <w:rFonts w:ascii="Times New Roman" w:cs="Times New Roman" w:eastAsia="SimSun" w:hAnsi="Times New Roman"/>
                <w:sz w:val="24"/>
                <w:szCs w:val="24"/>
              </w:rPr>
              <w:t>2</w:t>
            </w:r>
          </w:p>
        </w:tc>
        <w:tc>
          <w:tcPr>
            <w:tcW w:w="0" w:type="auto"/>
            <w:tcBorders>
              <w:top w:val="nil"/>
              <w:left w:val="nil"/>
              <w:bottom w:val="nil"/>
              <w:right w:val="nil"/>
            </w:tcBorders>
            <w:vAlign w:val="center"/>
          </w:tcPr>
          <w:p>
            <w:pPr>
              <w:pStyle w:val="style0"/>
              <w:spacing w:before="100" w:beforeAutospacing="true" w:lineRule="auto" w:line="240"/>
              <w:rPr>
                <w:rFonts w:ascii="Times New Roman" w:cs="Times New Roman" w:eastAsia="Calibri" w:hAnsi="Times New Roman"/>
                <w:sz w:val="24"/>
                <w:szCs w:val="24"/>
              </w:rPr>
            </w:pPr>
            <w:r>
              <w:rPr>
                <w:rFonts w:ascii="Times New Roman" w:cs="Times New Roman" w:eastAsia="SimSun" w:hAnsi="Times New Roman"/>
                <w:sz w:val="24"/>
                <w:szCs w:val="24"/>
              </w:rPr>
              <w:t>Cpr1-117757</w:t>
            </w:r>
          </w:p>
        </w:tc>
        <w:tc>
          <w:tcPr>
            <w:tcW w:w="0" w:type="auto"/>
            <w:tcBorders>
              <w:top w:val="nil"/>
              <w:left w:val="nil"/>
              <w:bottom w:val="nil"/>
              <w:right w:val="nil"/>
            </w:tcBorders>
            <w:vAlign w:val="center"/>
          </w:tcPr>
          <w:p>
            <w:pPr>
              <w:pStyle w:val="style0"/>
              <w:spacing w:before="100" w:beforeAutospacing="true" w:lineRule="auto" w:line="240"/>
              <w:rPr>
                <w:rFonts w:ascii="Times New Roman" w:cs="Times New Roman" w:eastAsia="Calibri" w:hAnsi="Times New Roman"/>
                <w:sz w:val="24"/>
                <w:szCs w:val="24"/>
              </w:rPr>
            </w:pPr>
            <w:r>
              <w:rPr>
                <w:rFonts w:ascii="Times New Roman" w:cs="Times New Roman" w:eastAsia="SimSun" w:hAnsi="Times New Roman"/>
                <w:sz w:val="24"/>
                <w:szCs w:val="24"/>
              </w:rPr>
              <w:t xml:space="preserve">F: TGAACTACGCGCTCAATGGTCCACGAAACAAGTACGA </w:t>
            </w:r>
            <w:r>
              <w:rPr>
                <w:rFonts w:ascii="Times New Roman" w:cs="Times New Roman" w:eastAsia="SimSun" w:hAnsi="Times New Roman"/>
                <w:sz w:val="24"/>
                <w:szCs w:val="24"/>
              </w:rPr>
              <w:br/>
            </w:r>
            <w:r>
              <w:rPr>
                <w:rFonts w:ascii="Times New Roman" w:cs="Times New Roman" w:eastAsia="SimSun" w:hAnsi="Times New Roman"/>
                <w:sz w:val="24"/>
                <w:szCs w:val="24"/>
              </w:rPr>
              <w:t>R: TTCGACACTCGAACTTCAAGCTCCCCTCAGACCCAAGC</w:t>
            </w:r>
          </w:p>
        </w:tc>
        <w:tc>
          <w:tcPr>
            <w:tcW w:w="0" w:type="auto"/>
            <w:tcBorders>
              <w:top w:val="nil"/>
              <w:left w:val="nil"/>
              <w:bottom w:val="nil"/>
              <w:right w:val="nil"/>
            </w:tcBorders>
            <w:vAlign w:val="center"/>
          </w:tcPr>
          <w:p>
            <w:pPr>
              <w:pStyle w:val="style0"/>
              <w:spacing w:before="100" w:beforeAutospacing="true" w:lineRule="auto" w:line="240"/>
              <w:rPr>
                <w:rFonts w:ascii="Times New Roman" w:cs="Times New Roman" w:eastAsia="Calibri" w:hAnsi="Times New Roman"/>
                <w:sz w:val="24"/>
                <w:szCs w:val="24"/>
              </w:rPr>
            </w:pPr>
            <w:r>
              <w:rPr>
                <w:rFonts w:ascii="Times New Roman" w:cs="Times New Roman" w:eastAsia="SimSun" w:hAnsi="Times New Roman"/>
                <w:sz w:val="24"/>
                <w:szCs w:val="24"/>
              </w:rPr>
              <w:t>(CAG)4</w:t>
            </w:r>
          </w:p>
        </w:tc>
        <w:tc>
          <w:tcPr>
            <w:tcW w:w="0" w:type="auto"/>
            <w:tcBorders>
              <w:top w:val="nil"/>
              <w:left w:val="nil"/>
              <w:bottom w:val="nil"/>
              <w:right w:val="nil"/>
            </w:tcBorders>
            <w:vAlign w:val="center"/>
          </w:tcPr>
          <w:p>
            <w:pPr>
              <w:pStyle w:val="style0"/>
              <w:spacing w:before="100" w:beforeAutospacing="true" w:lineRule="auto" w:line="240"/>
              <w:rPr>
                <w:rFonts w:ascii="Times New Roman" w:cs="Times New Roman" w:eastAsia="Calibri" w:hAnsi="Times New Roman"/>
                <w:sz w:val="24"/>
                <w:szCs w:val="24"/>
              </w:rPr>
            </w:pPr>
            <w:r>
              <w:rPr>
                <w:rFonts w:ascii="Times New Roman" w:cs="Times New Roman" w:eastAsia="SimSun" w:hAnsi="Times New Roman"/>
                <w:sz w:val="24"/>
                <w:szCs w:val="24"/>
              </w:rPr>
              <w:t>52 (48)</w:t>
            </w:r>
          </w:p>
        </w:tc>
        <w:tc>
          <w:tcPr>
            <w:tcW w:w="0" w:type="auto"/>
            <w:tcBorders>
              <w:top w:val="nil"/>
              <w:left w:val="nil"/>
              <w:bottom w:val="nil"/>
              <w:right w:val="nil"/>
            </w:tcBorders>
            <w:vAlign w:val="center"/>
          </w:tcPr>
          <w:p>
            <w:pPr>
              <w:pStyle w:val="style0"/>
              <w:spacing w:before="100" w:beforeAutospacing="true" w:lineRule="auto" w:line="256"/>
              <w:rPr>
                <w:rFonts w:ascii="Times New Roman" w:cs="Times New Roman" w:eastAsia="Calibri" w:hAnsi="Times New Roman"/>
                <w:sz w:val="24"/>
                <w:szCs w:val="24"/>
              </w:rPr>
            </w:pPr>
            <w:r>
              <w:rPr>
                <w:rFonts w:ascii="Times New Roman" w:cs="Times New Roman" w:eastAsia="SimSun" w:hAnsi="Times New Roman"/>
                <w:sz w:val="24"/>
                <w:szCs w:val="24"/>
              </w:rPr>
              <w:t>Shiri et al., 2011</w:t>
            </w:r>
          </w:p>
        </w:tc>
      </w:tr>
      <w:tr>
        <w:tblPrEx/>
        <w:trPr>
          <w:trHeight w:val="412" w:hRule="atLeast"/>
          <w:tblCellSpacing w:w="15" w:type="dxa"/>
        </w:trPr>
        <w:tc>
          <w:tcPr>
            <w:tcW w:w="0" w:type="auto"/>
            <w:tcBorders>
              <w:top w:val="nil"/>
              <w:left w:val="nil"/>
              <w:bottom w:val="nil"/>
              <w:right w:val="nil"/>
            </w:tcBorders>
            <w:vAlign w:val="center"/>
          </w:tcPr>
          <w:p>
            <w:pPr>
              <w:pStyle w:val="style0"/>
              <w:spacing w:before="100" w:beforeAutospacing="true" w:lineRule="auto" w:line="256"/>
              <w:rPr>
                <w:rFonts w:ascii="Times New Roman" w:cs="Times New Roman" w:eastAsia="Calibri" w:hAnsi="Times New Roman"/>
                <w:sz w:val="24"/>
                <w:szCs w:val="24"/>
              </w:rPr>
            </w:pPr>
            <w:r>
              <w:rPr>
                <w:rFonts w:ascii="Times New Roman" w:cs="Times New Roman" w:eastAsia="SimSun" w:hAnsi="Times New Roman"/>
                <w:sz w:val="24"/>
                <w:szCs w:val="24"/>
              </w:rPr>
              <w:t>3</w:t>
            </w:r>
          </w:p>
        </w:tc>
        <w:tc>
          <w:tcPr>
            <w:tcW w:w="0" w:type="auto"/>
            <w:tcBorders>
              <w:top w:val="nil"/>
              <w:left w:val="nil"/>
              <w:bottom w:val="nil"/>
              <w:right w:val="nil"/>
            </w:tcBorders>
            <w:vAlign w:val="center"/>
          </w:tcPr>
          <w:p>
            <w:pPr>
              <w:pStyle w:val="style0"/>
              <w:spacing w:before="100" w:beforeAutospacing="true" w:lineRule="auto" w:line="240"/>
              <w:rPr>
                <w:rFonts w:ascii="Times New Roman" w:cs="Times New Roman" w:eastAsia="Calibri" w:hAnsi="Times New Roman"/>
                <w:sz w:val="24"/>
                <w:szCs w:val="24"/>
              </w:rPr>
            </w:pPr>
            <w:r>
              <w:rPr>
                <w:rFonts w:ascii="Times New Roman" w:cs="Times New Roman" w:eastAsia="SimSun" w:hAnsi="Times New Roman"/>
                <w:sz w:val="24"/>
                <w:szCs w:val="24"/>
              </w:rPr>
              <w:t>Bnlg</w:t>
            </w:r>
            <w:r>
              <w:rPr>
                <w:rFonts w:ascii="Times New Roman" w:cs="Times New Roman" w:eastAsia="SimSun" w:hAnsi="Times New Roman"/>
                <w:sz w:val="24"/>
                <w:szCs w:val="24"/>
              </w:rPr>
              <w:t xml:space="preserve"> 1194</w:t>
            </w:r>
          </w:p>
        </w:tc>
        <w:tc>
          <w:tcPr>
            <w:tcW w:w="0" w:type="auto"/>
            <w:tcBorders>
              <w:top w:val="nil"/>
              <w:left w:val="nil"/>
              <w:bottom w:val="nil"/>
              <w:right w:val="nil"/>
            </w:tcBorders>
            <w:vAlign w:val="center"/>
          </w:tcPr>
          <w:p>
            <w:pPr>
              <w:pStyle w:val="style0"/>
              <w:spacing w:before="100" w:beforeAutospacing="true" w:lineRule="auto" w:line="240"/>
              <w:rPr>
                <w:rFonts w:ascii="Times New Roman" w:cs="Times New Roman" w:eastAsia="Calibri" w:hAnsi="Times New Roman"/>
                <w:sz w:val="24"/>
                <w:szCs w:val="24"/>
              </w:rPr>
            </w:pPr>
            <w:r>
              <w:rPr>
                <w:rFonts w:ascii="Times New Roman" w:cs="Times New Roman" w:eastAsia="SimSun" w:hAnsi="Times New Roman"/>
                <w:sz w:val="24"/>
                <w:szCs w:val="24"/>
              </w:rPr>
              <w:t xml:space="preserve">F: GCGTTATTAAGGCAAGCTGC </w:t>
            </w:r>
            <w:r>
              <w:rPr>
                <w:rFonts w:ascii="Times New Roman" w:cs="Times New Roman" w:eastAsia="SimSun" w:hAnsi="Times New Roman"/>
                <w:sz w:val="24"/>
                <w:szCs w:val="24"/>
              </w:rPr>
              <w:br/>
            </w:r>
            <w:r>
              <w:rPr>
                <w:rFonts w:ascii="Times New Roman" w:cs="Times New Roman" w:eastAsia="SimSun" w:hAnsi="Times New Roman"/>
                <w:sz w:val="24"/>
                <w:szCs w:val="24"/>
              </w:rPr>
              <w:t>R: ACGTGAAGCAGAGGATCCAT</w:t>
            </w:r>
          </w:p>
        </w:tc>
        <w:tc>
          <w:tcPr>
            <w:tcW w:w="0" w:type="auto"/>
            <w:tcBorders>
              <w:top w:val="nil"/>
              <w:left w:val="nil"/>
              <w:bottom w:val="nil"/>
              <w:right w:val="nil"/>
            </w:tcBorders>
            <w:vAlign w:val="center"/>
          </w:tcPr>
          <w:p>
            <w:pPr>
              <w:pStyle w:val="style0"/>
              <w:spacing w:before="100" w:beforeAutospacing="true" w:lineRule="auto" w:line="240"/>
              <w:rPr>
                <w:rFonts w:ascii="Times New Roman" w:cs="Times New Roman" w:eastAsia="Calibri" w:hAnsi="Times New Roman"/>
                <w:sz w:val="24"/>
                <w:szCs w:val="24"/>
              </w:rPr>
            </w:pPr>
            <w:r>
              <w:rPr>
                <w:rFonts w:ascii="Times New Roman" w:cs="Times New Roman" w:eastAsia="SimSun" w:hAnsi="Times New Roman"/>
                <w:sz w:val="24"/>
                <w:szCs w:val="24"/>
              </w:rPr>
              <w:t>AG (33)</w:t>
            </w:r>
          </w:p>
        </w:tc>
        <w:tc>
          <w:tcPr>
            <w:tcW w:w="0" w:type="auto"/>
            <w:tcBorders>
              <w:top w:val="nil"/>
              <w:left w:val="nil"/>
              <w:bottom w:val="nil"/>
              <w:right w:val="nil"/>
            </w:tcBorders>
            <w:vAlign w:val="center"/>
          </w:tcPr>
          <w:p>
            <w:pPr>
              <w:pStyle w:val="style0"/>
              <w:spacing w:before="100" w:beforeAutospacing="true" w:lineRule="auto" w:line="240"/>
              <w:rPr>
                <w:rFonts w:ascii="Times New Roman" w:cs="Times New Roman" w:eastAsia="Calibri" w:hAnsi="Times New Roman"/>
                <w:sz w:val="24"/>
                <w:szCs w:val="24"/>
              </w:rPr>
            </w:pPr>
            <w:r>
              <w:rPr>
                <w:rFonts w:ascii="Times New Roman" w:cs="Times New Roman" w:eastAsia="SimSun" w:hAnsi="Times New Roman"/>
                <w:sz w:val="24"/>
                <w:szCs w:val="24"/>
              </w:rPr>
              <w:t>58 (52)</w:t>
            </w:r>
          </w:p>
        </w:tc>
        <w:tc>
          <w:tcPr>
            <w:tcW w:w="0" w:type="auto"/>
            <w:tcBorders>
              <w:top w:val="nil"/>
              <w:left w:val="nil"/>
              <w:bottom w:val="nil"/>
              <w:right w:val="nil"/>
            </w:tcBorders>
            <w:vAlign w:val="center"/>
          </w:tcPr>
          <w:p>
            <w:pPr>
              <w:pStyle w:val="style0"/>
              <w:spacing w:before="100" w:beforeAutospacing="true" w:lineRule="auto" w:line="256"/>
              <w:rPr>
                <w:rFonts w:ascii="Times New Roman" w:cs="Times New Roman" w:eastAsia="Calibri" w:hAnsi="Times New Roman"/>
                <w:sz w:val="24"/>
                <w:szCs w:val="24"/>
              </w:rPr>
            </w:pPr>
            <w:r>
              <w:rPr>
                <w:rFonts w:ascii="Times New Roman" w:cs="Times New Roman" w:eastAsia="SimSun" w:hAnsi="Times New Roman"/>
                <w:sz w:val="24"/>
                <w:szCs w:val="24"/>
              </w:rPr>
              <w:t>Krishna et al., 2012</w:t>
            </w:r>
          </w:p>
        </w:tc>
      </w:tr>
      <w:tr>
        <w:tblPrEx/>
        <w:trPr>
          <w:trHeight w:val="423" w:hRule="atLeast"/>
          <w:tblCellSpacing w:w="15" w:type="dxa"/>
        </w:trPr>
        <w:tc>
          <w:tcPr>
            <w:tcW w:w="0" w:type="auto"/>
            <w:tcBorders>
              <w:top w:val="nil"/>
              <w:left w:val="nil"/>
              <w:bottom w:val="single" w:sz="18" w:space="0" w:color="auto"/>
              <w:right w:val="nil"/>
            </w:tcBorders>
            <w:vAlign w:val="center"/>
          </w:tcPr>
          <w:p>
            <w:pPr>
              <w:pStyle w:val="style0"/>
              <w:spacing w:before="100" w:beforeAutospacing="true" w:lineRule="auto" w:line="256"/>
              <w:rPr>
                <w:rFonts w:ascii="Times New Roman" w:cs="Times New Roman" w:eastAsia="Calibri" w:hAnsi="Times New Roman"/>
                <w:sz w:val="24"/>
                <w:szCs w:val="24"/>
              </w:rPr>
            </w:pPr>
            <w:r>
              <w:rPr>
                <w:rFonts w:ascii="Times New Roman" w:cs="Times New Roman" w:eastAsia="SimSun" w:hAnsi="Times New Roman"/>
                <w:sz w:val="24"/>
                <w:szCs w:val="24"/>
              </w:rPr>
              <w:t>4</w:t>
            </w:r>
          </w:p>
        </w:tc>
        <w:tc>
          <w:tcPr>
            <w:tcW w:w="0" w:type="auto"/>
            <w:tcBorders>
              <w:top w:val="nil"/>
              <w:left w:val="nil"/>
              <w:bottom w:val="single" w:sz="18" w:space="0" w:color="auto"/>
              <w:right w:val="nil"/>
            </w:tcBorders>
            <w:vAlign w:val="center"/>
          </w:tcPr>
          <w:p>
            <w:pPr>
              <w:pStyle w:val="style0"/>
              <w:spacing w:before="100" w:beforeAutospacing="true" w:lineRule="auto" w:line="240"/>
              <w:rPr>
                <w:rFonts w:ascii="Times New Roman" w:cs="Times New Roman" w:eastAsia="Calibri" w:hAnsi="Times New Roman"/>
                <w:sz w:val="24"/>
                <w:szCs w:val="24"/>
              </w:rPr>
            </w:pPr>
            <w:r>
              <w:rPr>
                <w:rFonts w:ascii="Times New Roman" w:cs="Times New Roman" w:eastAsia="SimSun" w:hAnsi="Times New Roman"/>
                <w:sz w:val="24"/>
                <w:szCs w:val="24"/>
              </w:rPr>
              <w:t>Phi 031</w:t>
            </w:r>
          </w:p>
        </w:tc>
        <w:tc>
          <w:tcPr>
            <w:tcW w:w="0" w:type="auto"/>
            <w:tcBorders>
              <w:top w:val="nil"/>
              <w:left w:val="nil"/>
              <w:bottom w:val="single" w:sz="18" w:space="0" w:color="auto"/>
              <w:right w:val="nil"/>
            </w:tcBorders>
            <w:vAlign w:val="center"/>
          </w:tcPr>
          <w:p>
            <w:pPr>
              <w:pStyle w:val="style0"/>
              <w:spacing w:before="100" w:beforeAutospacing="true" w:lineRule="auto" w:line="240"/>
              <w:rPr>
                <w:rFonts w:ascii="Times New Roman" w:cs="Times New Roman" w:eastAsia="Calibri" w:hAnsi="Times New Roman"/>
                <w:sz w:val="24"/>
                <w:szCs w:val="24"/>
              </w:rPr>
            </w:pPr>
            <w:r>
              <w:rPr>
                <w:rFonts w:ascii="Times New Roman" w:cs="Times New Roman" w:eastAsia="SimSun" w:hAnsi="Times New Roman"/>
                <w:sz w:val="24"/>
                <w:szCs w:val="24"/>
              </w:rPr>
              <w:t xml:space="preserve">F: GCAAGAGGTTACATGAGCTCACGA </w:t>
            </w:r>
            <w:r>
              <w:rPr>
                <w:rFonts w:ascii="Times New Roman" w:cs="Times New Roman" w:eastAsia="SimSun" w:hAnsi="Times New Roman"/>
                <w:sz w:val="24"/>
                <w:szCs w:val="24"/>
              </w:rPr>
              <w:br/>
            </w:r>
            <w:r>
              <w:rPr>
                <w:rFonts w:ascii="Times New Roman" w:cs="Times New Roman" w:eastAsia="SimSun" w:hAnsi="Times New Roman"/>
                <w:sz w:val="24"/>
                <w:szCs w:val="24"/>
              </w:rPr>
              <w:t>R: CCAGCGTGCTGTTCCAGTAGTT</w:t>
            </w:r>
          </w:p>
        </w:tc>
        <w:tc>
          <w:tcPr>
            <w:tcW w:w="0" w:type="auto"/>
            <w:tcBorders>
              <w:top w:val="nil"/>
              <w:left w:val="nil"/>
              <w:bottom w:val="single" w:sz="18" w:space="0" w:color="auto"/>
              <w:right w:val="nil"/>
            </w:tcBorders>
            <w:vAlign w:val="center"/>
          </w:tcPr>
          <w:p>
            <w:pPr>
              <w:pStyle w:val="style0"/>
              <w:spacing w:before="100" w:beforeAutospacing="true" w:lineRule="auto" w:line="240"/>
              <w:rPr>
                <w:rFonts w:ascii="Times New Roman" w:cs="Times New Roman" w:eastAsia="Calibri" w:hAnsi="Times New Roman"/>
                <w:sz w:val="24"/>
                <w:szCs w:val="24"/>
              </w:rPr>
            </w:pPr>
            <w:r>
              <w:rPr>
                <w:rFonts w:ascii="Times New Roman" w:cs="Times New Roman" w:eastAsia="SimSun" w:hAnsi="Times New Roman"/>
                <w:sz w:val="24"/>
                <w:szCs w:val="24"/>
              </w:rPr>
              <w:t>GTAC</w:t>
            </w:r>
          </w:p>
        </w:tc>
        <w:tc>
          <w:tcPr>
            <w:tcW w:w="0" w:type="auto"/>
            <w:tcBorders>
              <w:top w:val="nil"/>
              <w:left w:val="nil"/>
              <w:bottom w:val="single" w:sz="18" w:space="0" w:color="auto"/>
              <w:right w:val="nil"/>
            </w:tcBorders>
            <w:vAlign w:val="center"/>
          </w:tcPr>
          <w:p>
            <w:pPr>
              <w:pStyle w:val="style0"/>
              <w:spacing w:before="100" w:beforeAutospacing="true" w:lineRule="auto" w:line="240"/>
              <w:rPr>
                <w:rFonts w:ascii="Times New Roman" w:cs="Times New Roman" w:eastAsia="Calibri" w:hAnsi="Times New Roman"/>
                <w:sz w:val="24"/>
                <w:szCs w:val="24"/>
              </w:rPr>
            </w:pPr>
            <w:r>
              <w:rPr>
                <w:rFonts w:ascii="Times New Roman" w:cs="Times New Roman" w:eastAsia="SimSun" w:hAnsi="Times New Roman"/>
                <w:sz w:val="24"/>
                <w:szCs w:val="24"/>
              </w:rPr>
              <w:t>45 (57)</w:t>
            </w:r>
          </w:p>
        </w:tc>
        <w:tc>
          <w:tcPr>
            <w:tcW w:w="0" w:type="auto"/>
            <w:tcBorders>
              <w:top w:val="nil"/>
              <w:left w:val="nil"/>
              <w:bottom w:val="single" w:sz="18" w:space="0" w:color="auto"/>
              <w:right w:val="nil"/>
            </w:tcBorders>
            <w:vAlign w:val="center"/>
          </w:tcPr>
          <w:p>
            <w:pPr>
              <w:pStyle w:val="style0"/>
              <w:spacing w:before="100" w:beforeAutospacing="true" w:lineRule="auto" w:line="256"/>
              <w:rPr>
                <w:rFonts w:ascii="Times New Roman" w:cs="Times New Roman" w:eastAsia="Calibri" w:hAnsi="Times New Roman"/>
                <w:sz w:val="24"/>
                <w:szCs w:val="24"/>
              </w:rPr>
            </w:pPr>
            <w:r>
              <w:rPr>
                <w:rFonts w:ascii="Times New Roman" w:cs="Times New Roman" w:eastAsia="SimSun" w:hAnsi="Times New Roman"/>
                <w:sz w:val="24"/>
                <w:szCs w:val="24"/>
              </w:rPr>
              <w:t>Shiri et al., 2011</w:t>
            </w:r>
          </w:p>
        </w:tc>
      </w:tr>
    </w:tbl>
    <w:p>
      <w:pPr>
        <w:pStyle w:val="style0"/>
        <w:spacing w:lineRule="auto" w:line="360"/>
        <w:rPr>
          <w:rFonts w:ascii="Times New Roman" w:cs="Times New Roman" w:eastAsia="Calibri" w:hAnsi="Times New Roman"/>
          <w:sz w:val="24"/>
          <w:szCs w:val="24"/>
          <w:lang w:eastAsia="en-GB"/>
        </w:rPr>
      </w:pPr>
    </w:p>
    <w:p>
      <w:pPr>
        <w:pStyle w:val="style0"/>
        <w:keepNext/>
        <w:keepLines/>
        <w:widowControl w:val="false"/>
        <w:suppressAutoHyphens/>
        <w:spacing w:before="100" w:beforeAutospacing="true" w:after="0" w:lineRule="auto" w:line="360"/>
        <w:jc w:val="both"/>
        <w:outlineLvl w:val="2"/>
        <w:rPr>
          <w:rFonts w:ascii="Times New Roman" w:cs="Times New Roman" w:eastAsia="Times New Roman" w:hAnsi="Times New Roman"/>
          <w:b/>
          <w:bCs/>
          <w:sz w:val="24"/>
          <w:szCs w:val="24"/>
          <w:lang w:eastAsia="en-GB"/>
        </w:rPr>
      </w:pPr>
      <w:r>
        <w:rPr>
          <w:rFonts w:ascii="Times New Roman" w:cs="Times New Roman" w:eastAsia="Times New Roman" w:hAnsi="Times New Roman"/>
          <w:b/>
          <w:bCs/>
          <w:sz w:val="24"/>
          <w:szCs w:val="24"/>
          <w:lang w:eastAsia="en-GB"/>
        </w:rPr>
        <w:t>2.5 Scoring of the markers</w:t>
      </w:r>
    </w:p>
    <w:p>
      <w:pPr>
        <w:pStyle w:val="style0"/>
        <w:spacing w:before="100" w:beforeAutospacing="true"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SSR marker alleles were manually scored from the gel images. A simple numerical scoring method was employed, with 1 denoting the presence of the expected band and 0 denoting its absence.</w:t>
      </w:r>
    </w:p>
    <w:p>
      <w:pPr>
        <w:pStyle w:val="style0"/>
        <w:keepNext/>
        <w:keepLines/>
        <w:widowControl w:val="false"/>
        <w:suppressAutoHyphens/>
        <w:spacing w:before="100" w:beforeAutospacing="true" w:after="0" w:lineRule="auto" w:line="360"/>
        <w:jc w:val="both"/>
        <w:outlineLvl w:val="2"/>
        <w:rPr>
          <w:rFonts w:ascii="Times New Roman" w:cs="Times New Roman" w:eastAsia="Times New Roman" w:hAnsi="Times New Roman"/>
          <w:b/>
          <w:bCs/>
          <w:sz w:val="24"/>
          <w:szCs w:val="24"/>
          <w:lang w:eastAsia="en-GB"/>
        </w:rPr>
      </w:pPr>
      <w:r>
        <w:rPr>
          <w:rFonts w:ascii="Times New Roman" w:cs="Times New Roman" w:eastAsia="Times New Roman" w:hAnsi="Times New Roman"/>
          <w:b/>
          <w:bCs/>
          <w:sz w:val="24"/>
          <w:szCs w:val="24"/>
          <w:lang w:eastAsia="en-GB"/>
        </w:rPr>
        <w:t>2.6 Data analysis</w:t>
      </w:r>
    </w:p>
    <w:p>
      <w:pPr>
        <w:pStyle w:val="style0"/>
        <w:spacing w:before="100" w:beforeAutospacing="true"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The markers were quantified in terms of the number of amplicons per primer, percent polymorphism, and polymorphic information content (PIC).  Shannon information index was calculated with the following index:</w:t>
      </w:r>
    </w:p>
    <w:p>
      <w:pPr>
        <w:pStyle w:val="style0"/>
        <w:spacing w:before="100" w:beforeAutospacing="true" w:lineRule="auto" w:line="360"/>
        <w:jc w:val="both"/>
        <w:rPr>
          <w:rFonts w:ascii="Times New Roman" w:cs="Times New Roman" w:eastAsia="Calibri" w:hAnsi="Times New Roman"/>
          <w:sz w:val="24"/>
          <w:szCs w:val="24"/>
          <w:lang w:eastAsia="en-GB"/>
        </w:rPr>
      </w:pPr>
      <w:r>
        <w:rPr>
          <w:rFonts w:ascii="Times New Roman" w:cs="Times New Roman" w:eastAsia="Times New Roman" w:hAnsi="Times New Roman"/>
          <w:noProof/>
          <w:sz w:val="24"/>
          <w:szCs w:val="24"/>
          <w:lang w:eastAsia="en-GB"/>
        </w:rPr>
        <w:drawing>
          <wp:inline distL="0" distT="0" distB="0" distR="0">
            <wp:extent cx="1275715" cy="307340"/>
            <wp:effectExtent l="0" t="0" r="635" b="0"/>
            <wp:docPr id="1026" name="Picture 7" descr="C:\Users\user\AppData\Local\Temp\ksohtml17088\wps1.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 cstate="print"/>
                    <a:srcRect l="0" t="0" r="0" b="0"/>
                    <a:stretch/>
                  </pic:blipFill>
                  <pic:spPr>
                    <a:xfrm rot="0">
                      <a:off x="0" y="0"/>
                      <a:ext cx="1275715" cy="307340"/>
                    </a:xfrm>
                    <a:prstGeom prst="rect"/>
                    <a:ln>
                      <a:noFill/>
                    </a:ln>
                  </pic:spPr>
                </pic:pic>
              </a:graphicData>
            </a:graphic>
          </wp:inline>
        </w:drawing>
      </w:r>
    </w:p>
    <w:p>
      <w:pPr>
        <w:pStyle w:val="style0"/>
        <w:spacing w:before="100" w:beforeAutospacing="true"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Where pi is the proportion of each allele (0 or 1)</w:t>
      </w:r>
    </w:p>
    <w:p>
      <w:pPr>
        <w:pStyle w:val="style0"/>
        <w:spacing w:before="100" w:beforeAutospacing="true"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 xml:space="preserve">[The PIC values of individual primers were calculated based on the formula PIC = 2 × F (1- F), where F is the frequency of the bands]. Phylogenetic analysis was carried out to estimate evolutionary relationships among the vanilla accessions. All phylogenetic analyses were done in </w:t>
      </w:r>
      <w:r>
        <w:rPr>
          <w:rFonts w:ascii="Times New Roman" w:cs="Times New Roman" w:eastAsia="Calibri" w:hAnsi="Times New Roman"/>
          <w:sz w:val="24"/>
          <w:szCs w:val="24"/>
          <w:lang w:eastAsia="en-GB"/>
        </w:rPr>
        <w:t>DARwin</w:t>
      </w:r>
      <w:r>
        <w:rPr>
          <w:rFonts w:ascii="Times New Roman" w:cs="Times New Roman" w:eastAsia="Calibri" w:hAnsi="Times New Roman"/>
          <w:sz w:val="24"/>
          <w:szCs w:val="24"/>
          <w:lang w:eastAsia="en-GB"/>
        </w:rPr>
        <w:t xml:space="preserve"> 6.0.8 using binary data from the gel image marker scores.</w:t>
      </w:r>
    </w:p>
    <w:bookmarkStart w:id="77" w:name="_Toc186"/>
    <w:bookmarkStart w:id="78" w:name="_Toc5260"/>
    <w:bookmarkStart w:id="79" w:name="_Toc22969"/>
    <w:bookmarkStart w:id="80" w:name="_Toc18500"/>
    <w:bookmarkStart w:id="81" w:name="_Toc17705"/>
    <w:bookmarkStart w:id="82" w:name="_Toc30384"/>
    <w:bookmarkStart w:id="83" w:name="_Toc1574"/>
    <w:bookmarkStart w:id="84" w:name="_Toc17948"/>
    <w:bookmarkStart w:id="85" w:name="_Toc452"/>
    <w:bookmarkStart w:id="86" w:name="_Toc3033"/>
    <w:bookmarkEnd w:id="77"/>
    <w:bookmarkEnd w:id="78"/>
    <w:bookmarkEnd w:id="79"/>
    <w:bookmarkEnd w:id="80"/>
    <w:bookmarkEnd w:id="81"/>
    <w:bookmarkEnd w:id="82"/>
    <w:bookmarkEnd w:id="83"/>
    <w:bookmarkEnd w:id="84"/>
    <w:bookmarkEnd w:id="85"/>
    <w:p>
      <w:pPr>
        <w:pStyle w:val="style0"/>
        <w:keepNext/>
        <w:widowControl w:val="false"/>
        <w:suppressAutoHyphens/>
        <w:spacing w:before="100" w:beforeAutospacing="true" w:after="0" w:lineRule="auto" w:line="360"/>
        <w:jc w:val="both"/>
        <w:outlineLvl w:val="1"/>
        <w:rPr>
          <w:rFonts w:ascii="Times New Roman" w:cs="Times New Roman" w:eastAsia="Calibri" w:hAnsi="Times New Roman"/>
          <w:b/>
          <w:bCs/>
          <w:sz w:val="24"/>
          <w:szCs w:val="24"/>
          <w:lang w:eastAsia="en-GB"/>
        </w:rPr>
      </w:pPr>
      <w:r>
        <w:rPr>
          <w:rFonts w:ascii="Times New Roman" w:cs="Times New Roman" w:eastAsia="Calibri" w:hAnsi="Times New Roman"/>
          <w:b/>
          <w:bCs/>
          <w:sz w:val="24"/>
          <w:szCs w:val="24"/>
          <w:lang w:eastAsia="en-GB"/>
        </w:rPr>
        <w:t>3 Results</w:t>
      </w:r>
      <w:bookmarkEnd w:id="86"/>
    </w:p>
    <w:bookmarkStart w:id="87" w:name="_Toc23508"/>
    <w:bookmarkStart w:id="88" w:name="_Toc11661"/>
    <w:bookmarkStart w:id="89" w:name="_Toc20314"/>
    <w:bookmarkStart w:id="90" w:name="_Toc8472"/>
    <w:bookmarkStart w:id="91" w:name="_Toc22993"/>
    <w:bookmarkStart w:id="92" w:name="_Toc19841"/>
    <w:bookmarkStart w:id="93" w:name="_Toc25132"/>
    <w:bookmarkStart w:id="94" w:name="_Toc5972"/>
    <w:bookmarkStart w:id="95" w:name="_Toc30819"/>
    <w:bookmarkStart w:id="96" w:name="_Toc23522"/>
    <w:bookmarkEnd w:id="87"/>
    <w:bookmarkEnd w:id="88"/>
    <w:bookmarkEnd w:id="89"/>
    <w:bookmarkEnd w:id="90"/>
    <w:bookmarkEnd w:id="91"/>
    <w:bookmarkEnd w:id="92"/>
    <w:bookmarkEnd w:id="93"/>
    <w:bookmarkEnd w:id="94"/>
    <w:bookmarkEnd w:id="95"/>
    <w:p>
      <w:pPr>
        <w:pStyle w:val="style0"/>
        <w:keepNext/>
        <w:keepLines/>
        <w:widowControl w:val="false"/>
        <w:suppressAutoHyphens/>
        <w:spacing w:after="0" w:lineRule="auto" w:line="360"/>
        <w:jc w:val="both"/>
        <w:outlineLvl w:val="2"/>
        <w:rPr>
          <w:rFonts w:ascii="Times New Roman" w:cs="Times New Roman" w:eastAsia="Times New Roman" w:hAnsi="Times New Roman"/>
          <w:b/>
          <w:bCs/>
          <w:sz w:val="24"/>
          <w:szCs w:val="24"/>
          <w:lang w:eastAsia="en-GB"/>
        </w:rPr>
      </w:pPr>
      <w:r>
        <w:rPr>
          <w:rFonts w:ascii="Times New Roman" w:cs="Times New Roman" w:eastAsia="Times New Roman" w:hAnsi="Times New Roman"/>
          <w:b/>
          <w:bCs/>
          <w:sz w:val="24"/>
          <w:szCs w:val="24"/>
          <w:lang w:eastAsia="en-GB"/>
        </w:rPr>
        <w:t>3.1 Genetic attributes of SSR markers</w:t>
      </w:r>
      <w:bookmarkEnd w:id="96"/>
    </w:p>
    <w:p>
      <w:pPr>
        <w:pStyle w:val="style0"/>
        <w:spacing w:before="240" w:beforeLines="100" w:after="24" w:afterLines="1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Both the amount and quality of the extracted DNA were suitable for PCR. The range of sample purity was 0.49 to 2.13, and the range of sample DNA concentrations was 12.4 to 1370.8 ng/</w:t>
      </w:r>
      <w:r>
        <w:rPr>
          <w:rFonts w:ascii="Times New Roman" w:cs="Times New Roman" w:eastAsia="Calibri" w:hAnsi="Times New Roman"/>
          <w:sz w:val="24"/>
          <w:szCs w:val="24"/>
          <w:lang w:eastAsia="en-GB"/>
        </w:rPr>
        <w:t>μl</w:t>
      </w:r>
      <w:r>
        <w:rPr>
          <w:rFonts w:ascii="Times New Roman" w:cs="Times New Roman" w:eastAsia="Calibri" w:hAnsi="Times New Roman"/>
          <w:sz w:val="24"/>
          <w:szCs w:val="24"/>
          <w:lang w:eastAsia="en-GB"/>
        </w:rPr>
        <w:t>. Every primer yielded the expected product sizes. A single band (scored as homozygous at the amplified loci), no bands (indicating absence of the target loci), or multiple bands (scored as heterozygous at the amplified loci) were observed in some samples Fig.1.</w:t>
      </w:r>
    </w:p>
    <w:p>
      <w:pPr>
        <w:pStyle w:val="style0"/>
        <w:keepNext/>
        <w:keepLines/>
        <w:widowControl w:val="false"/>
        <w:suppressAutoHyphens/>
        <w:spacing w:before="240" w:beforeLines="100" w:after="24" w:afterLines="10" w:lineRule="auto" w:line="360"/>
        <w:jc w:val="both"/>
        <w:outlineLvl w:val="2"/>
        <w:rPr>
          <w:rFonts w:ascii="Times New Roman" w:cs="Times New Roman" w:eastAsia="Times New Roman" w:hAnsi="Times New Roman"/>
          <w:b/>
          <w:bCs/>
          <w:sz w:val="24"/>
          <w:szCs w:val="24"/>
          <w:lang w:eastAsia="en-GB"/>
        </w:rPr>
      </w:pPr>
      <w:r>
        <w:rPr>
          <w:rFonts w:ascii="Times New Roman" w:cs="Times New Roman" w:eastAsia="Times New Roman" w:hAnsi="Times New Roman"/>
          <w:b/>
          <w:bCs/>
          <w:sz w:val="24"/>
          <w:szCs w:val="24"/>
          <w:lang w:eastAsia="en-GB"/>
        </w:rPr>
        <w:t>3.2 Polymorphism of the markers</w:t>
      </w:r>
    </w:p>
    <w:p>
      <w:pPr>
        <w:pStyle w:val="style0"/>
        <w:spacing w:before="240" w:beforeLines="100" w:after="24" w:afterLines="1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Four SSR primers were used in the study, and only one resulted in amplified fragments which varied in size from 164 to 190 bp (Figure 2). The marker was recorded in terms of the observed number of alleles. The number of amplicons per genotype ranged from 1 to 4 with only six genotypes giving one allele each (1,9,10,11,12 and 23).</w:t>
      </w:r>
    </w:p>
    <w:p>
      <w:pPr>
        <w:pStyle w:val="style0"/>
        <w:spacing w:after="240" w:afterLines="100" w:lineRule="auto" w:line="256"/>
        <w:jc w:val="both"/>
        <w:rPr>
          <w:rFonts w:ascii="Times New Roman" w:cs="Times New Roman" w:eastAsia="Times New Roman" w:hAnsi="Times New Roman"/>
          <w:sz w:val="24"/>
          <w:szCs w:val="24"/>
          <w:lang w:eastAsia="en-GB"/>
        </w:rPr>
      </w:pPr>
      <w:r>
        <w:rPr>
          <w:rFonts w:ascii="Times New Roman" w:cs="Times New Roman" w:eastAsia="Times New Roman" w:hAnsi="Times New Roman"/>
          <w:noProof/>
          <w:sz w:val="24"/>
          <w:szCs w:val="24"/>
          <w:lang w:eastAsia="en-GB"/>
        </w:rPr>
        <w:drawing>
          <wp:inline distL="0" distT="0" distB="0" distR="0">
            <wp:extent cx="6492875" cy="2758440"/>
            <wp:effectExtent l="0" t="0" r="3175" b="3810"/>
            <wp:docPr id="1027" name="Picture 8" descr="C:\Users\user\AppData\Local\Temp\ksohtml17088\wps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8"/>
                    <pic:cNvPicPr/>
                  </pic:nvPicPr>
                  <pic:blipFill>
                    <a:blip r:embed="rId3" cstate="print"/>
                    <a:srcRect l="0" t="0" r="0" b="0"/>
                    <a:stretch/>
                  </pic:blipFill>
                  <pic:spPr>
                    <a:xfrm rot="0">
                      <a:off x="0" y="0"/>
                      <a:ext cx="6492875" cy="2758440"/>
                    </a:xfrm>
                    <a:prstGeom prst="rect"/>
                    <a:ln>
                      <a:noFill/>
                    </a:ln>
                  </pic:spPr>
                </pic:pic>
              </a:graphicData>
            </a:graphic>
          </wp:inline>
        </w:drawing>
      </w:r>
    </w:p>
    <w:p>
      <w:pPr>
        <w:pStyle w:val="style0"/>
        <w:keepNext/>
        <w:keepLines/>
        <w:widowControl w:val="false"/>
        <w:suppressAutoHyphens/>
        <w:spacing w:after="240" w:afterLines="100" w:lineRule="auto" w:line="360"/>
        <w:ind w:firstLine="1446" w:firstLineChars="600"/>
        <w:jc w:val="both"/>
        <w:outlineLvl w:val="1"/>
        <w:rPr>
          <w:rFonts w:ascii="Times New Roman" w:cs="Times New Roman" w:eastAsia="Calibri" w:hAnsi="Times New Roman"/>
          <w:b/>
          <w:bCs/>
          <w:sz w:val="24"/>
          <w:szCs w:val="24"/>
          <w:lang w:eastAsia="en-GB"/>
        </w:rPr>
      </w:pPr>
      <w:r>
        <w:rPr>
          <w:rFonts w:ascii="Times New Roman" w:cs="Times New Roman" w:eastAsia="Calibri" w:hAnsi="Times New Roman"/>
          <w:b/>
          <w:bCs/>
          <w:sz w:val="24"/>
          <w:szCs w:val="24"/>
          <w:lang w:eastAsia="en-GB"/>
        </w:rPr>
        <w:t xml:space="preserve">Figure 1: Gel electrophoresis results display the amplicons of different genotypes Primer </w:t>
      </w:r>
      <w:r>
        <w:rPr>
          <w:rFonts w:ascii="Times New Roman" w:cs="Times New Roman" w:eastAsia="Calibri" w:hAnsi="Times New Roman"/>
          <w:b/>
          <w:bCs/>
          <w:sz w:val="24"/>
          <w:szCs w:val="24"/>
          <w:lang w:eastAsia="en-GB"/>
        </w:rPr>
        <w:t>CprI</w:t>
      </w:r>
      <w:r>
        <w:rPr>
          <w:rFonts w:ascii="Times New Roman" w:cs="Times New Roman" w:eastAsia="Calibri" w:hAnsi="Times New Roman"/>
          <w:b/>
          <w:bCs/>
          <w:sz w:val="24"/>
          <w:szCs w:val="24"/>
          <w:lang w:eastAsia="en-GB"/>
        </w:rPr>
        <w:t xml:space="preserve"> 117757</w:t>
      </w:r>
    </w:p>
    <w:p>
      <w:pPr>
        <w:pStyle w:val="style0"/>
        <w:spacing w:after="0" w:lineRule="auto" w:line="360"/>
        <w:jc w:val="both"/>
        <w:rPr>
          <w:rFonts w:ascii="Times New Roman" w:cs="Times New Roman" w:eastAsia="Times New Roman" w:hAnsi="Times New Roman"/>
          <w:b/>
          <w:bCs/>
          <w:color w:val="000000"/>
          <w:sz w:val="24"/>
          <w:szCs w:val="24"/>
          <w:lang w:eastAsia="en-GB"/>
        </w:rPr>
      </w:pPr>
      <w:r>
        <w:rPr>
          <w:rFonts w:ascii="Times New Roman" w:cs="Times New Roman" w:eastAsia="Times New Roman" w:hAnsi="Times New Roman"/>
          <w:b/>
          <w:bCs/>
          <w:color w:val="000000"/>
          <w:sz w:val="24"/>
          <w:szCs w:val="24"/>
          <w:lang w:eastAsia="en-GB"/>
        </w:rPr>
        <w:t xml:space="preserve">|    Lane     | 1 | 2 | 3 | 4 | 5 | 6 | 7 | 8 | 9 | 10 | 11 | 12 | 13 | 14 | 15 | 16 | 17 | 18 | 19 | 20 | 21 | 22 | 23 </w:t>
      </w:r>
      <w:r>
        <w:rPr>
          <w:rFonts w:ascii="Times New Roman" w:cs="Times New Roman" w:eastAsia="Times New Roman" w:hAnsi="Times New Roman"/>
          <w:b/>
          <w:bCs/>
          <w:color w:val="000000"/>
          <w:sz w:val="24"/>
          <w:szCs w:val="24"/>
          <w:lang w:eastAsia="en-GB"/>
        </w:rPr>
        <w:t>|:A</w:t>
      </w:r>
      <w:r>
        <w:rPr>
          <w:rFonts w:ascii="Times New Roman" w:cs="Times New Roman" w:eastAsia="Times New Roman" w:hAnsi="Times New Roman"/>
          <w:b/>
          <w:bCs/>
          <w:color w:val="000000"/>
          <w:sz w:val="24"/>
          <w:szCs w:val="24"/>
          <w:lang w:eastAsia="en-GB"/>
        </w:rPr>
        <w:t xml:space="preserve"> represents 500 bp DNA ladder, and Lane 1 is the amplicon for the positive control (CPrI-117757). Lanes 1, 2,3,4,5,6,9,11,12,14,15,17,18,19,20, and 22,23 indicate genotypes that harbour GLS-resistant gene (164bp) and Lanes 7, 8, 10, 13, 16, and 21 indicate isolates that possess non-resistance region (190bp).</w:t>
      </w:r>
    </w:p>
    <w:p>
      <w:pPr>
        <w:pStyle w:val="style0"/>
        <w:spacing w:after="0" w:lineRule="auto" w:line="360"/>
        <w:jc w:val="both"/>
        <w:rPr>
          <w:rFonts w:ascii="Times New Roman" w:cs="Times New Roman" w:eastAsia="Times New Roman" w:hAnsi="Times New Roman"/>
          <w:b/>
          <w:bCs/>
          <w:color w:val="000000"/>
          <w:sz w:val="24"/>
          <w:szCs w:val="24"/>
          <w:lang w:eastAsia="en-GB"/>
        </w:rPr>
      </w:pPr>
    </w:p>
    <w:p>
      <w:pPr>
        <w:pStyle w:val="style0"/>
        <w:spacing w:after="240" w:afterLines="10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 xml:space="preserve">The total of effective alleles was 5.554 and the number of alleles per primer ranged from 0.00 to 1.00. The observed number of alleles was 1 while the number per primer ranged from 1 to 0 with a mean of 1.48. Based on the results, the effective number of alleles was lower than the observed number of alleles (Table .3). The primer with 0 PIC value was monomorphic showing that it could not differentiate between the accessions while the primer with the highest PIC had the highest resolution. For instance, primer </w:t>
      </w:r>
      <w:r>
        <w:rPr>
          <w:rFonts w:ascii="Times New Roman" w:cs="Times New Roman" w:eastAsia="Calibri" w:hAnsi="Times New Roman"/>
          <w:sz w:val="24"/>
          <w:szCs w:val="24"/>
          <w:lang w:eastAsia="en-GB"/>
        </w:rPr>
        <w:t>Bnlg</w:t>
      </w:r>
      <w:r>
        <w:rPr>
          <w:rFonts w:ascii="Times New Roman" w:cs="Times New Roman" w:eastAsia="Calibri" w:hAnsi="Times New Roman"/>
          <w:sz w:val="24"/>
          <w:szCs w:val="24"/>
          <w:lang w:eastAsia="en-GB"/>
        </w:rPr>
        <w:t xml:space="preserve"> 1258 and </w:t>
      </w:r>
      <w:r>
        <w:rPr>
          <w:rFonts w:ascii="Times New Roman" w:cs="Times New Roman" w:eastAsia="Calibri" w:hAnsi="Times New Roman"/>
          <w:sz w:val="24"/>
          <w:szCs w:val="24"/>
          <w:lang w:eastAsia="en-GB"/>
        </w:rPr>
        <w:t>Cprl</w:t>
      </w:r>
      <w:r>
        <w:rPr>
          <w:rFonts w:ascii="Times New Roman" w:cs="Times New Roman" w:eastAsia="Calibri" w:hAnsi="Times New Roman"/>
          <w:sz w:val="24"/>
          <w:szCs w:val="24"/>
          <w:lang w:eastAsia="en-GB"/>
        </w:rPr>
        <w:t xml:space="preserve"> 117757 had the highest resolution while primer </w:t>
      </w:r>
      <w:r>
        <w:rPr>
          <w:rFonts w:ascii="Times New Roman" w:cs="Times New Roman" w:eastAsia="Calibri" w:hAnsi="Times New Roman"/>
          <w:sz w:val="24"/>
          <w:szCs w:val="24"/>
          <w:lang w:eastAsia="en-GB"/>
        </w:rPr>
        <w:t>Bnlg</w:t>
      </w:r>
      <w:r>
        <w:rPr>
          <w:rFonts w:ascii="Times New Roman" w:cs="Times New Roman" w:eastAsia="Calibri" w:hAnsi="Times New Roman"/>
          <w:sz w:val="24"/>
          <w:szCs w:val="24"/>
          <w:lang w:eastAsia="en-GB"/>
        </w:rPr>
        <w:t xml:space="preserve"> 1194 and Phi 034 were monomorphic. Therefore, alleles with high frequencies contribute more to the effective number of alleles in this study.</w:t>
      </w:r>
    </w:p>
    <w:p>
      <w:pPr>
        <w:pStyle w:val="style0"/>
        <w:spacing w:after="240" w:afterLines="100" w:lineRule="auto" w:line="360"/>
        <w:jc w:val="both"/>
        <w:rPr>
          <w:rFonts w:ascii="Times New Roman" w:cs="Times New Roman" w:eastAsia="Calibri" w:hAnsi="Times New Roman"/>
          <w:sz w:val="24"/>
          <w:szCs w:val="24"/>
          <w:lang w:eastAsia="en-GB"/>
        </w:rPr>
      </w:pPr>
    </w:p>
    <w:p>
      <w:pPr>
        <w:pStyle w:val="style0"/>
        <w:spacing w:after="0" w:lineRule="auto" w:line="360"/>
        <w:jc w:val="both"/>
        <w:rPr>
          <w:rFonts w:ascii="Times New Roman" w:cs="Times New Roman" w:eastAsia="Times New Roman" w:hAnsi="Times New Roman"/>
          <w:b/>
          <w:bCs/>
          <w:color w:val="000000"/>
          <w:sz w:val="24"/>
          <w:szCs w:val="24"/>
          <w:lang w:eastAsia="en-GB"/>
        </w:rPr>
      </w:pPr>
    </w:p>
    <w:p>
      <w:pPr>
        <w:pStyle w:val="style0"/>
        <w:keepNext/>
        <w:keepLines/>
        <w:widowControl w:val="false"/>
        <w:suppressAutoHyphens/>
        <w:spacing w:after="240" w:afterLines="100" w:lineRule="auto" w:line="360"/>
        <w:jc w:val="both"/>
        <w:outlineLvl w:val="1"/>
        <w:rPr>
          <w:rFonts w:ascii="Times New Roman" w:cs="Times New Roman" w:eastAsia="Calibri" w:hAnsi="Times New Roman"/>
          <w:b/>
          <w:bCs/>
          <w:sz w:val="24"/>
          <w:szCs w:val="24"/>
          <w:lang w:eastAsia="en-GB"/>
        </w:rPr>
      </w:pPr>
      <w:r>
        <w:rPr>
          <w:rFonts w:ascii="Times New Roman" w:cs="Times New Roman" w:eastAsia="Calibri" w:hAnsi="Times New Roman"/>
          <w:b/>
          <w:bCs/>
          <w:sz w:val="24"/>
          <w:szCs w:val="24"/>
          <w:lang w:eastAsia="en-GB"/>
        </w:rPr>
        <w:t>Table .3: summarizing the Shannon Information Index for each locus</w:t>
      </w:r>
    </w:p>
    <w:tbl>
      <w:tblPr>
        <w:tblW w:w="5000" w:type="pct"/>
        <w:tblLook w:val="04A0" w:firstRow="1" w:lastRow="0" w:firstColumn="1" w:lastColumn="0" w:noHBand="0" w:noVBand="1"/>
      </w:tblPr>
      <w:tblGrid>
        <w:gridCol w:w="1570"/>
        <w:gridCol w:w="1473"/>
        <w:gridCol w:w="1072"/>
        <w:gridCol w:w="924"/>
        <w:gridCol w:w="883"/>
        <w:gridCol w:w="950"/>
        <w:gridCol w:w="2152"/>
      </w:tblGrid>
      <w:tr>
        <w:trPr>
          <w:trHeight w:val="775" w:hRule="atLeast"/>
        </w:trPr>
        <w:tc>
          <w:tcPr>
            <w:tcW w:w="877" w:type="pct"/>
            <w:tcBorders>
              <w:top w:val="single" w:sz="12" w:space="0" w:color="auto"/>
              <w:left w:val="nil"/>
              <w:bottom w:val="single" w:sz="12" w:space="0" w:color="auto"/>
              <w:right w:val="nil"/>
            </w:tcBorders>
          </w:tcPr>
          <w:p>
            <w:pPr>
              <w:pStyle w:val="style0"/>
              <w:spacing w:after="0" w:lineRule="auto" w:line="256"/>
              <w:jc w:val="both"/>
              <w:rPr>
                <w:rFonts w:ascii="Times New Roman" w:cs="Times New Roman" w:eastAsia="Calibri" w:hAnsi="Times New Roman"/>
                <w:b/>
                <w:bCs/>
                <w:sz w:val="24"/>
                <w:szCs w:val="24"/>
              </w:rPr>
            </w:pPr>
            <w:r>
              <w:rPr>
                <w:rFonts w:ascii="Times New Roman" w:cs="Times New Roman" w:eastAsia="Calibri" w:hAnsi="Times New Roman"/>
                <w:b/>
                <w:bCs/>
                <w:sz w:val="24"/>
                <w:szCs w:val="24"/>
              </w:rPr>
              <w:t>Primers</w:t>
            </w:r>
          </w:p>
        </w:tc>
        <w:tc>
          <w:tcPr>
            <w:tcW w:w="823" w:type="pct"/>
            <w:tcBorders>
              <w:top w:val="single" w:sz="12" w:space="0" w:color="auto"/>
              <w:left w:val="nil"/>
              <w:bottom w:val="single" w:sz="12" w:space="0" w:color="auto"/>
              <w:right w:val="nil"/>
            </w:tcBorders>
          </w:tcPr>
          <w:p>
            <w:pPr>
              <w:pStyle w:val="style0"/>
              <w:spacing w:after="0" w:lineRule="auto" w:line="256"/>
              <w:jc w:val="both"/>
              <w:rPr>
                <w:rFonts w:ascii="Times New Roman" w:cs="Times New Roman" w:eastAsia="Calibri" w:hAnsi="Times New Roman"/>
                <w:b/>
                <w:bCs/>
                <w:sz w:val="24"/>
                <w:szCs w:val="24"/>
              </w:rPr>
            </w:pPr>
            <w:r>
              <w:rPr>
                <w:rFonts w:ascii="Times New Roman" w:cs="Times New Roman" w:eastAsia="Calibri" w:hAnsi="Times New Roman"/>
                <w:b/>
                <w:bCs/>
                <w:sz w:val="24"/>
                <w:szCs w:val="24"/>
              </w:rPr>
              <w:t>Sample size</w:t>
            </w:r>
          </w:p>
        </w:tc>
        <w:tc>
          <w:tcPr>
            <w:tcW w:w="596" w:type="pct"/>
            <w:tcBorders>
              <w:top w:val="single" w:sz="12" w:space="0" w:color="auto"/>
              <w:left w:val="nil"/>
              <w:bottom w:val="single" w:sz="12" w:space="0" w:color="auto"/>
              <w:right w:val="nil"/>
            </w:tcBorders>
          </w:tcPr>
          <w:p>
            <w:pPr>
              <w:pStyle w:val="style0"/>
              <w:spacing w:after="0" w:lineRule="auto" w:line="256"/>
              <w:jc w:val="both"/>
              <w:rPr>
                <w:rFonts w:ascii="Times New Roman" w:cs="Times New Roman" w:eastAsia="Calibri" w:hAnsi="Times New Roman"/>
                <w:b/>
                <w:bCs/>
                <w:sz w:val="24"/>
                <w:szCs w:val="24"/>
              </w:rPr>
            </w:pPr>
            <w:r>
              <w:rPr>
                <w:rFonts w:ascii="Times New Roman" w:cs="Times New Roman" w:eastAsia="Calibri" w:hAnsi="Times New Roman"/>
                <w:b/>
                <w:bCs/>
                <w:sz w:val="24"/>
                <w:szCs w:val="24"/>
              </w:rPr>
              <w:t>na</w:t>
            </w:r>
            <w:r>
              <w:rPr>
                <w:rFonts w:ascii="Times New Roman" w:cs="Times New Roman" w:eastAsia="Calibri" w:hAnsi="Times New Roman"/>
                <w:b/>
                <w:bCs/>
                <w:sz w:val="24"/>
                <w:szCs w:val="24"/>
              </w:rPr>
              <w:t>*</w:t>
            </w:r>
          </w:p>
        </w:tc>
        <w:tc>
          <w:tcPr>
            <w:tcW w:w="513" w:type="pct"/>
            <w:tcBorders>
              <w:top w:val="single" w:sz="12" w:space="0" w:color="auto"/>
              <w:left w:val="nil"/>
              <w:bottom w:val="single" w:sz="12" w:space="0" w:color="auto"/>
              <w:right w:val="nil"/>
            </w:tcBorders>
          </w:tcPr>
          <w:p>
            <w:pPr>
              <w:pStyle w:val="style0"/>
              <w:spacing w:after="0" w:lineRule="auto" w:line="256"/>
              <w:jc w:val="both"/>
              <w:rPr>
                <w:rFonts w:ascii="Times New Roman" w:cs="Times New Roman" w:eastAsia="Calibri" w:hAnsi="Times New Roman"/>
                <w:b/>
                <w:bCs/>
                <w:sz w:val="24"/>
                <w:szCs w:val="24"/>
              </w:rPr>
            </w:pPr>
            <w:r>
              <w:rPr>
                <w:rFonts w:ascii="Times New Roman" w:cs="Times New Roman" w:eastAsia="Calibri" w:hAnsi="Times New Roman"/>
                <w:b/>
                <w:bCs/>
                <w:sz w:val="24"/>
                <w:szCs w:val="24"/>
              </w:rPr>
              <w:t>ne*</w:t>
            </w:r>
          </w:p>
        </w:tc>
        <w:tc>
          <w:tcPr>
            <w:tcW w:w="490" w:type="pct"/>
            <w:tcBorders>
              <w:top w:val="single" w:sz="12" w:space="0" w:color="auto"/>
              <w:left w:val="nil"/>
              <w:bottom w:val="single" w:sz="12" w:space="0" w:color="auto"/>
              <w:right w:val="nil"/>
            </w:tcBorders>
          </w:tcPr>
          <w:p>
            <w:pPr>
              <w:pStyle w:val="style0"/>
              <w:spacing w:after="0" w:lineRule="auto" w:line="256"/>
              <w:jc w:val="both"/>
              <w:rPr>
                <w:rFonts w:ascii="Times New Roman" w:cs="Times New Roman" w:eastAsia="Calibri" w:hAnsi="Times New Roman"/>
                <w:b/>
                <w:bCs/>
                <w:sz w:val="24"/>
                <w:szCs w:val="24"/>
              </w:rPr>
            </w:pPr>
            <w:r>
              <w:rPr>
                <w:rFonts w:ascii="Times New Roman" w:cs="Times New Roman" w:eastAsia="Calibri" w:hAnsi="Times New Roman"/>
                <w:b/>
                <w:bCs/>
                <w:sz w:val="24"/>
                <w:szCs w:val="24"/>
              </w:rPr>
              <w:t>I*</w:t>
            </w:r>
          </w:p>
        </w:tc>
        <w:tc>
          <w:tcPr>
            <w:tcW w:w="490" w:type="pct"/>
            <w:tcBorders>
              <w:top w:val="single" w:sz="12" w:space="0" w:color="auto"/>
              <w:left w:val="nil"/>
              <w:bottom w:val="single" w:sz="12" w:space="0" w:color="auto"/>
              <w:right w:val="nil"/>
            </w:tcBorders>
          </w:tcPr>
          <w:p>
            <w:pPr>
              <w:pStyle w:val="style0"/>
              <w:spacing w:after="0" w:lineRule="auto" w:line="256"/>
              <w:jc w:val="both"/>
              <w:rPr>
                <w:rFonts w:ascii="Times New Roman" w:cs="Times New Roman" w:eastAsia="Calibri" w:hAnsi="Times New Roman"/>
                <w:b/>
                <w:bCs/>
                <w:sz w:val="24"/>
                <w:szCs w:val="24"/>
              </w:rPr>
            </w:pPr>
            <w:r>
              <w:rPr>
                <w:rFonts w:ascii="Times New Roman" w:cs="Times New Roman" w:eastAsia="Calibri" w:hAnsi="Times New Roman"/>
                <w:b/>
                <w:bCs/>
                <w:sz w:val="24"/>
                <w:szCs w:val="24"/>
              </w:rPr>
              <w:t>m</w:t>
            </w:r>
          </w:p>
        </w:tc>
        <w:tc>
          <w:tcPr>
            <w:tcW w:w="1210" w:type="pct"/>
            <w:tcBorders>
              <w:top w:val="single" w:sz="12" w:space="0" w:color="auto"/>
              <w:left w:val="nil"/>
              <w:bottom w:val="single" w:sz="12" w:space="0" w:color="auto"/>
              <w:right w:val="nil"/>
            </w:tcBorders>
          </w:tcPr>
          <w:p>
            <w:pPr>
              <w:pStyle w:val="style0"/>
              <w:spacing w:after="0" w:lineRule="auto" w:line="256"/>
              <w:jc w:val="both"/>
              <w:rPr>
                <w:rFonts w:ascii="Times New Roman" w:cs="Times New Roman" w:eastAsia="Calibri" w:hAnsi="Times New Roman"/>
                <w:b/>
                <w:bCs/>
                <w:sz w:val="24"/>
                <w:szCs w:val="24"/>
              </w:rPr>
            </w:pPr>
            <w:r>
              <w:rPr>
                <w:rFonts w:ascii="Times New Roman" w:cs="Times New Roman" w:eastAsia="Calibri" w:hAnsi="Times New Roman"/>
                <w:b/>
                <w:bCs/>
                <w:sz w:val="24"/>
                <w:szCs w:val="24"/>
              </w:rPr>
              <w:t>PIC</w:t>
            </w:r>
          </w:p>
        </w:tc>
      </w:tr>
      <w:tr>
        <w:tblPrEx/>
        <w:trPr>
          <w:trHeight w:val="775" w:hRule="atLeast"/>
        </w:trPr>
        <w:tc>
          <w:tcPr>
            <w:tcW w:w="877" w:type="pct"/>
            <w:tcBorders>
              <w:top w:val="single" w:sz="12" w:space="0" w:color="auto"/>
              <w:left w:val="nil"/>
              <w:bottom w:val="nil"/>
              <w:right w:val="nil"/>
            </w:tcBorders>
          </w:tcPr>
          <w:p>
            <w:pPr>
              <w:pStyle w:val="style0"/>
              <w:spacing w:after="0" w:lineRule="auto" w:line="256"/>
              <w:jc w:val="both"/>
              <w:rPr>
                <w:rFonts w:ascii="Times New Roman" w:cs="Times New Roman" w:eastAsia="Calibri" w:hAnsi="Times New Roman"/>
                <w:sz w:val="24"/>
                <w:szCs w:val="24"/>
              </w:rPr>
            </w:pPr>
            <w:r>
              <w:rPr>
                <w:rFonts w:ascii="Times New Roman" w:cs="Times New Roman" w:eastAsia="Calibri" w:hAnsi="Times New Roman"/>
                <w:sz w:val="24"/>
                <w:szCs w:val="24"/>
              </w:rPr>
              <w:t>Bnlg</w:t>
            </w:r>
            <w:r>
              <w:rPr>
                <w:rFonts w:ascii="Times New Roman" w:cs="Times New Roman" w:eastAsia="Calibri" w:hAnsi="Times New Roman"/>
                <w:sz w:val="24"/>
                <w:szCs w:val="24"/>
              </w:rPr>
              <w:t xml:space="preserve"> 1258</w:t>
            </w:r>
          </w:p>
        </w:tc>
        <w:tc>
          <w:tcPr>
            <w:tcW w:w="823" w:type="pct"/>
            <w:tcBorders>
              <w:top w:val="single" w:sz="12" w:space="0" w:color="auto"/>
              <w:left w:val="nil"/>
              <w:bottom w:val="nil"/>
              <w:right w:val="nil"/>
            </w:tcBorders>
          </w:tcPr>
          <w:p>
            <w:pPr>
              <w:pStyle w:val="style0"/>
              <w:spacing w:after="0" w:lineRule="auto" w:line="256"/>
              <w:jc w:val="both"/>
              <w:rPr>
                <w:rFonts w:ascii="Times New Roman" w:cs="Times New Roman" w:eastAsia="Calibri" w:hAnsi="Times New Roman"/>
                <w:sz w:val="24"/>
                <w:szCs w:val="24"/>
              </w:rPr>
            </w:pPr>
            <w:r>
              <w:rPr>
                <w:rFonts w:ascii="Times New Roman" w:cs="Times New Roman" w:eastAsia="Calibri" w:hAnsi="Times New Roman"/>
                <w:sz w:val="24"/>
                <w:szCs w:val="24"/>
              </w:rPr>
              <w:t>23</w:t>
            </w:r>
          </w:p>
        </w:tc>
        <w:tc>
          <w:tcPr>
            <w:tcW w:w="596" w:type="pct"/>
            <w:tcBorders>
              <w:top w:val="single" w:sz="12" w:space="0" w:color="auto"/>
              <w:left w:val="nil"/>
              <w:bottom w:val="nil"/>
              <w:right w:val="nil"/>
            </w:tcBorders>
          </w:tcPr>
          <w:p>
            <w:pPr>
              <w:pStyle w:val="style0"/>
              <w:spacing w:after="0" w:lineRule="auto" w:line="256"/>
              <w:jc w:val="both"/>
              <w:rPr>
                <w:rFonts w:ascii="Times New Roman" w:cs="Times New Roman" w:eastAsia="Calibri" w:hAnsi="Times New Roman"/>
                <w:sz w:val="24"/>
                <w:szCs w:val="24"/>
              </w:rPr>
            </w:pPr>
            <w:r>
              <w:rPr>
                <w:rFonts w:ascii="Times New Roman" w:cs="Times New Roman" w:eastAsia="Calibri" w:hAnsi="Times New Roman"/>
                <w:sz w:val="24"/>
                <w:szCs w:val="24"/>
              </w:rPr>
              <w:t>0.7391</w:t>
            </w:r>
          </w:p>
        </w:tc>
        <w:tc>
          <w:tcPr>
            <w:tcW w:w="513" w:type="pct"/>
            <w:tcBorders>
              <w:top w:val="single" w:sz="12" w:space="0" w:color="auto"/>
              <w:left w:val="nil"/>
              <w:bottom w:val="nil"/>
              <w:right w:val="nil"/>
            </w:tcBorders>
          </w:tcPr>
          <w:p>
            <w:pPr>
              <w:pStyle w:val="style0"/>
              <w:spacing w:after="0" w:lineRule="auto" w:line="256"/>
              <w:jc w:val="both"/>
              <w:rPr>
                <w:rFonts w:ascii="Times New Roman" w:cs="Times New Roman" w:eastAsia="Calibri" w:hAnsi="Times New Roman"/>
                <w:sz w:val="24"/>
                <w:szCs w:val="24"/>
              </w:rPr>
            </w:pPr>
            <w:r>
              <w:rPr>
                <w:rFonts w:ascii="Times New Roman" w:cs="Times New Roman" w:eastAsia="Calibri" w:hAnsi="Times New Roman"/>
                <w:sz w:val="24"/>
                <w:szCs w:val="24"/>
              </w:rPr>
              <w:t>1.777</w:t>
            </w:r>
          </w:p>
        </w:tc>
        <w:tc>
          <w:tcPr>
            <w:tcW w:w="490" w:type="pct"/>
            <w:tcBorders>
              <w:top w:val="single" w:sz="12" w:space="0" w:color="auto"/>
              <w:left w:val="nil"/>
              <w:bottom w:val="nil"/>
              <w:right w:val="nil"/>
            </w:tcBorders>
          </w:tcPr>
          <w:p>
            <w:pPr>
              <w:pStyle w:val="style0"/>
              <w:spacing w:after="0" w:lineRule="auto" w:line="256"/>
              <w:jc w:val="both"/>
              <w:rPr>
                <w:rFonts w:ascii="Times New Roman" w:cs="Times New Roman" w:eastAsia="Calibri" w:hAnsi="Times New Roman"/>
                <w:sz w:val="24"/>
                <w:szCs w:val="24"/>
              </w:rPr>
            </w:pPr>
            <w:r>
              <w:rPr>
                <w:rFonts w:ascii="Times New Roman" w:cs="Times New Roman" w:eastAsia="Calibri" w:hAnsi="Times New Roman"/>
                <w:sz w:val="24"/>
                <w:szCs w:val="24"/>
              </w:rPr>
              <w:t>0.344</w:t>
            </w:r>
          </w:p>
        </w:tc>
        <w:tc>
          <w:tcPr>
            <w:tcW w:w="490" w:type="pct"/>
            <w:tcBorders>
              <w:top w:val="single" w:sz="12" w:space="0" w:color="auto"/>
              <w:left w:val="nil"/>
              <w:bottom w:val="nil"/>
              <w:right w:val="nil"/>
            </w:tcBorders>
          </w:tcPr>
          <w:p>
            <w:pPr>
              <w:pStyle w:val="style0"/>
              <w:spacing w:after="0" w:lineRule="auto" w:line="256"/>
              <w:jc w:val="both"/>
              <w:rPr>
                <w:rFonts w:ascii="Times New Roman" w:cs="Times New Roman" w:eastAsia="Calibri" w:hAnsi="Times New Roman"/>
                <w:sz w:val="24"/>
                <w:szCs w:val="24"/>
              </w:rPr>
            </w:pPr>
            <w:r>
              <w:rPr>
                <w:rFonts w:ascii="Times New Roman" w:cs="Times New Roman" w:eastAsia="Calibri" w:hAnsi="Times New Roman"/>
                <w:sz w:val="24"/>
                <w:szCs w:val="24"/>
              </w:rPr>
              <w:t>0.2609</w:t>
            </w:r>
          </w:p>
        </w:tc>
        <w:tc>
          <w:tcPr>
            <w:tcW w:w="1210" w:type="pct"/>
            <w:tcBorders>
              <w:top w:val="single" w:sz="12" w:space="0" w:color="auto"/>
              <w:left w:val="nil"/>
              <w:bottom w:val="nil"/>
              <w:right w:val="nil"/>
            </w:tcBorders>
          </w:tcPr>
          <w:p>
            <w:pPr>
              <w:pStyle w:val="style0"/>
              <w:spacing w:after="0" w:lineRule="auto" w:line="256"/>
              <w:jc w:val="both"/>
              <w:rPr>
                <w:rFonts w:ascii="Times New Roman" w:cs="Times New Roman" w:eastAsia="Calibri" w:hAnsi="Times New Roman"/>
                <w:sz w:val="24"/>
                <w:szCs w:val="24"/>
              </w:rPr>
            </w:pPr>
            <w:r>
              <w:rPr>
                <w:rFonts w:ascii="Times New Roman" w:cs="Times New Roman" w:eastAsia="Calibri" w:hAnsi="Times New Roman"/>
                <w:sz w:val="24"/>
                <w:szCs w:val="24"/>
              </w:rPr>
              <w:t>0.3855</w:t>
            </w:r>
          </w:p>
        </w:tc>
      </w:tr>
      <w:tr>
        <w:tblPrEx/>
        <w:trPr>
          <w:trHeight w:val="642" w:hRule="atLeast"/>
        </w:trPr>
        <w:tc>
          <w:tcPr>
            <w:tcW w:w="877" w:type="pct"/>
            <w:tcBorders>
              <w:top w:val="nil"/>
              <w:left w:val="nil"/>
              <w:bottom w:val="nil"/>
              <w:right w:val="nil"/>
            </w:tcBorders>
          </w:tcPr>
          <w:p>
            <w:pPr>
              <w:pStyle w:val="style0"/>
              <w:spacing w:after="0" w:lineRule="auto" w:line="256"/>
              <w:jc w:val="both"/>
              <w:rPr>
                <w:rFonts w:ascii="Times New Roman" w:cs="Times New Roman" w:eastAsia="Calibri" w:hAnsi="Times New Roman"/>
                <w:sz w:val="24"/>
                <w:szCs w:val="24"/>
              </w:rPr>
            </w:pPr>
            <w:r>
              <w:rPr>
                <w:rFonts w:ascii="Times New Roman" w:cs="Times New Roman" w:eastAsia="Calibri" w:hAnsi="Times New Roman"/>
                <w:sz w:val="24"/>
                <w:szCs w:val="24"/>
              </w:rPr>
              <w:t>Cprl</w:t>
            </w:r>
            <w:r>
              <w:rPr>
                <w:rFonts w:ascii="Times New Roman" w:cs="Times New Roman" w:eastAsia="Calibri" w:hAnsi="Times New Roman"/>
                <w:sz w:val="24"/>
                <w:szCs w:val="24"/>
              </w:rPr>
              <w:t xml:space="preserve"> 117757</w:t>
            </w:r>
          </w:p>
        </w:tc>
        <w:tc>
          <w:tcPr>
            <w:tcW w:w="823" w:type="pct"/>
            <w:tcBorders>
              <w:top w:val="nil"/>
              <w:left w:val="nil"/>
              <w:bottom w:val="nil"/>
              <w:right w:val="nil"/>
            </w:tcBorders>
          </w:tcPr>
          <w:p>
            <w:pPr>
              <w:pStyle w:val="style0"/>
              <w:spacing w:after="0" w:lineRule="auto" w:line="256"/>
              <w:jc w:val="both"/>
              <w:rPr>
                <w:rFonts w:ascii="Times New Roman" w:cs="Times New Roman" w:eastAsia="Calibri" w:hAnsi="Times New Roman"/>
                <w:sz w:val="24"/>
                <w:szCs w:val="24"/>
              </w:rPr>
            </w:pPr>
            <w:r>
              <w:rPr>
                <w:rFonts w:ascii="Times New Roman" w:cs="Times New Roman" w:eastAsia="Calibri" w:hAnsi="Times New Roman"/>
                <w:sz w:val="24"/>
                <w:szCs w:val="24"/>
              </w:rPr>
              <w:t>23</w:t>
            </w:r>
          </w:p>
        </w:tc>
        <w:tc>
          <w:tcPr>
            <w:tcW w:w="596" w:type="pct"/>
            <w:tcBorders>
              <w:top w:val="nil"/>
              <w:left w:val="nil"/>
              <w:bottom w:val="nil"/>
              <w:right w:val="nil"/>
            </w:tcBorders>
          </w:tcPr>
          <w:p>
            <w:pPr>
              <w:pStyle w:val="style0"/>
              <w:spacing w:after="0" w:lineRule="auto" w:line="256"/>
              <w:jc w:val="both"/>
              <w:rPr>
                <w:rFonts w:ascii="Times New Roman" w:cs="Times New Roman" w:eastAsia="Calibri" w:hAnsi="Times New Roman"/>
                <w:sz w:val="24"/>
                <w:szCs w:val="24"/>
              </w:rPr>
            </w:pPr>
            <w:r>
              <w:rPr>
                <w:rFonts w:ascii="Times New Roman" w:cs="Times New Roman" w:eastAsia="Calibri" w:hAnsi="Times New Roman"/>
                <w:sz w:val="24"/>
                <w:szCs w:val="24"/>
              </w:rPr>
              <w:t>0.7391</w:t>
            </w:r>
          </w:p>
        </w:tc>
        <w:tc>
          <w:tcPr>
            <w:tcW w:w="513" w:type="pct"/>
            <w:tcBorders>
              <w:top w:val="nil"/>
              <w:left w:val="nil"/>
              <w:bottom w:val="nil"/>
              <w:right w:val="nil"/>
            </w:tcBorders>
          </w:tcPr>
          <w:p>
            <w:pPr>
              <w:pStyle w:val="style0"/>
              <w:spacing w:after="0" w:lineRule="auto" w:line="256"/>
              <w:jc w:val="both"/>
              <w:rPr>
                <w:rFonts w:ascii="Times New Roman" w:cs="Times New Roman" w:eastAsia="Calibri" w:hAnsi="Times New Roman"/>
                <w:sz w:val="24"/>
                <w:szCs w:val="24"/>
              </w:rPr>
            </w:pPr>
            <w:r>
              <w:rPr>
                <w:rFonts w:ascii="Times New Roman" w:cs="Times New Roman" w:eastAsia="Calibri" w:hAnsi="Times New Roman"/>
                <w:sz w:val="24"/>
                <w:szCs w:val="24"/>
              </w:rPr>
              <w:t>1.777</w:t>
            </w:r>
          </w:p>
        </w:tc>
        <w:tc>
          <w:tcPr>
            <w:tcW w:w="490" w:type="pct"/>
            <w:tcBorders>
              <w:top w:val="nil"/>
              <w:left w:val="nil"/>
              <w:bottom w:val="nil"/>
              <w:right w:val="nil"/>
            </w:tcBorders>
          </w:tcPr>
          <w:p>
            <w:pPr>
              <w:pStyle w:val="style0"/>
              <w:spacing w:after="0" w:lineRule="auto" w:line="256"/>
              <w:jc w:val="both"/>
              <w:rPr>
                <w:rFonts w:ascii="Times New Roman" w:cs="Times New Roman" w:eastAsia="Calibri" w:hAnsi="Times New Roman"/>
                <w:sz w:val="24"/>
                <w:szCs w:val="24"/>
              </w:rPr>
            </w:pPr>
            <w:r>
              <w:rPr>
                <w:rFonts w:ascii="Times New Roman" w:cs="Times New Roman" w:eastAsia="Calibri" w:hAnsi="Times New Roman"/>
                <w:sz w:val="24"/>
                <w:szCs w:val="24"/>
              </w:rPr>
              <w:t>0.344</w:t>
            </w:r>
          </w:p>
        </w:tc>
        <w:tc>
          <w:tcPr>
            <w:tcW w:w="490" w:type="pct"/>
            <w:tcBorders>
              <w:top w:val="nil"/>
              <w:left w:val="nil"/>
              <w:bottom w:val="nil"/>
              <w:right w:val="nil"/>
            </w:tcBorders>
          </w:tcPr>
          <w:p>
            <w:pPr>
              <w:pStyle w:val="style0"/>
              <w:spacing w:after="0" w:lineRule="auto" w:line="256"/>
              <w:jc w:val="both"/>
              <w:rPr>
                <w:rFonts w:ascii="Times New Roman" w:cs="Times New Roman" w:eastAsia="Calibri" w:hAnsi="Times New Roman"/>
                <w:sz w:val="24"/>
                <w:szCs w:val="24"/>
              </w:rPr>
            </w:pPr>
            <w:r>
              <w:rPr>
                <w:rFonts w:ascii="Times New Roman" w:cs="Times New Roman" w:eastAsia="Calibri" w:hAnsi="Times New Roman"/>
                <w:sz w:val="24"/>
                <w:szCs w:val="24"/>
              </w:rPr>
              <w:t>0.2609</w:t>
            </w:r>
          </w:p>
        </w:tc>
        <w:tc>
          <w:tcPr>
            <w:tcW w:w="1210" w:type="pct"/>
            <w:tcBorders>
              <w:top w:val="nil"/>
              <w:left w:val="nil"/>
              <w:bottom w:val="nil"/>
              <w:right w:val="nil"/>
            </w:tcBorders>
          </w:tcPr>
          <w:p>
            <w:pPr>
              <w:pStyle w:val="style0"/>
              <w:spacing w:after="0" w:lineRule="auto" w:line="256"/>
              <w:jc w:val="both"/>
              <w:rPr>
                <w:rFonts w:ascii="Times New Roman" w:cs="Times New Roman" w:eastAsia="Calibri" w:hAnsi="Times New Roman"/>
                <w:sz w:val="24"/>
                <w:szCs w:val="24"/>
              </w:rPr>
            </w:pPr>
            <w:r>
              <w:rPr>
                <w:rFonts w:ascii="Times New Roman" w:cs="Times New Roman" w:eastAsia="Calibri" w:hAnsi="Times New Roman"/>
                <w:sz w:val="24"/>
                <w:szCs w:val="24"/>
              </w:rPr>
              <w:t>0.3855</w:t>
            </w:r>
          </w:p>
        </w:tc>
      </w:tr>
      <w:tr>
        <w:tblPrEx/>
        <w:trPr>
          <w:trHeight w:val="642" w:hRule="atLeast"/>
        </w:trPr>
        <w:tc>
          <w:tcPr>
            <w:tcW w:w="877" w:type="pct"/>
            <w:tcBorders>
              <w:top w:val="nil"/>
              <w:left w:val="nil"/>
              <w:bottom w:val="nil"/>
              <w:right w:val="nil"/>
            </w:tcBorders>
          </w:tcPr>
          <w:p>
            <w:pPr>
              <w:pStyle w:val="style0"/>
              <w:spacing w:after="0" w:lineRule="auto" w:line="256"/>
              <w:jc w:val="both"/>
              <w:rPr>
                <w:rFonts w:ascii="Times New Roman" w:cs="Times New Roman" w:eastAsia="Calibri" w:hAnsi="Times New Roman"/>
                <w:sz w:val="24"/>
                <w:szCs w:val="24"/>
              </w:rPr>
            </w:pPr>
            <w:r>
              <w:rPr>
                <w:rFonts w:ascii="Times New Roman" w:cs="Times New Roman" w:eastAsia="Calibri" w:hAnsi="Times New Roman"/>
                <w:sz w:val="24"/>
                <w:szCs w:val="24"/>
              </w:rPr>
              <w:t>Bnlg</w:t>
            </w:r>
            <w:r>
              <w:rPr>
                <w:rFonts w:ascii="Times New Roman" w:cs="Times New Roman" w:eastAsia="Calibri" w:hAnsi="Times New Roman"/>
                <w:sz w:val="24"/>
                <w:szCs w:val="24"/>
              </w:rPr>
              <w:t xml:space="preserve"> 1194</w:t>
            </w:r>
          </w:p>
        </w:tc>
        <w:tc>
          <w:tcPr>
            <w:tcW w:w="823" w:type="pct"/>
            <w:tcBorders>
              <w:top w:val="nil"/>
              <w:left w:val="nil"/>
              <w:bottom w:val="nil"/>
              <w:right w:val="nil"/>
            </w:tcBorders>
          </w:tcPr>
          <w:p>
            <w:pPr>
              <w:pStyle w:val="style0"/>
              <w:spacing w:after="0" w:lineRule="auto" w:line="256"/>
              <w:jc w:val="both"/>
              <w:rPr>
                <w:rFonts w:ascii="Times New Roman" w:cs="Times New Roman" w:eastAsia="Calibri" w:hAnsi="Times New Roman"/>
                <w:sz w:val="24"/>
                <w:szCs w:val="24"/>
              </w:rPr>
            </w:pPr>
            <w:r>
              <w:rPr>
                <w:rFonts w:ascii="Times New Roman" w:cs="Times New Roman" w:eastAsia="Calibri" w:hAnsi="Times New Roman"/>
                <w:sz w:val="24"/>
                <w:szCs w:val="24"/>
              </w:rPr>
              <w:t>23</w:t>
            </w:r>
          </w:p>
        </w:tc>
        <w:tc>
          <w:tcPr>
            <w:tcW w:w="596" w:type="pct"/>
            <w:tcBorders>
              <w:top w:val="nil"/>
              <w:left w:val="nil"/>
              <w:bottom w:val="nil"/>
              <w:right w:val="nil"/>
            </w:tcBorders>
          </w:tcPr>
          <w:p>
            <w:pPr>
              <w:pStyle w:val="style0"/>
              <w:spacing w:after="0" w:lineRule="auto" w:line="256"/>
              <w:jc w:val="both"/>
              <w:rPr>
                <w:rFonts w:ascii="Times New Roman" w:cs="Times New Roman" w:eastAsia="Calibri" w:hAnsi="Times New Roman"/>
                <w:sz w:val="24"/>
                <w:szCs w:val="24"/>
              </w:rPr>
            </w:pPr>
            <w:r>
              <w:rPr>
                <w:rFonts w:ascii="Times New Roman" w:cs="Times New Roman" w:eastAsia="Calibri" w:hAnsi="Times New Roman"/>
                <w:sz w:val="24"/>
                <w:szCs w:val="24"/>
              </w:rPr>
              <w:t>0.00</w:t>
            </w:r>
          </w:p>
        </w:tc>
        <w:tc>
          <w:tcPr>
            <w:tcW w:w="513" w:type="pct"/>
            <w:tcBorders>
              <w:top w:val="nil"/>
              <w:left w:val="nil"/>
              <w:bottom w:val="nil"/>
              <w:right w:val="nil"/>
            </w:tcBorders>
          </w:tcPr>
          <w:p>
            <w:pPr>
              <w:pStyle w:val="style0"/>
              <w:spacing w:after="0" w:lineRule="auto" w:line="256"/>
              <w:jc w:val="both"/>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tcW w:w="490" w:type="pct"/>
            <w:tcBorders>
              <w:top w:val="nil"/>
              <w:left w:val="nil"/>
              <w:bottom w:val="nil"/>
              <w:right w:val="nil"/>
            </w:tcBorders>
          </w:tcPr>
          <w:p>
            <w:pPr>
              <w:pStyle w:val="style0"/>
              <w:spacing w:after="0" w:lineRule="auto" w:line="256"/>
              <w:jc w:val="both"/>
              <w:rPr>
                <w:rFonts w:ascii="Times New Roman" w:cs="Times New Roman" w:eastAsia="Calibri" w:hAnsi="Times New Roman"/>
                <w:sz w:val="24"/>
                <w:szCs w:val="24"/>
              </w:rPr>
            </w:pPr>
            <w:r>
              <w:rPr>
                <w:rFonts w:ascii="Times New Roman" w:cs="Times New Roman" w:eastAsia="Calibri" w:hAnsi="Times New Roman"/>
                <w:sz w:val="24"/>
                <w:szCs w:val="24"/>
              </w:rPr>
              <w:t>0</w:t>
            </w:r>
          </w:p>
        </w:tc>
        <w:tc>
          <w:tcPr>
            <w:tcW w:w="490" w:type="pct"/>
            <w:tcBorders>
              <w:top w:val="nil"/>
              <w:left w:val="nil"/>
              <w:bottom w:val="nil"/>
              <w:right w:val="nil"/>
            </w:tcBorders>
          </w:tcPr>
          <w:p>
            <w:pPr>
              <w:pStyle w:val="style0"/>
              <w:spacing w:after="0" w:lineRule="auto" w:line="256"/>
              <w:jc w:val="both"/>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tcW w:w="1210" w:type="pct"/>
            <w:tcBorders>
              <w:top w:val="nil"/>
              <w:left w:val="nil"/>
              <w:bottom w:val="nil"/>
              <w:right w:val="nil"/>
            </w:tcBorders>
          </w:tcPr>
          <w:p>
            <w:pPr>
              <w:pStyle w:val="style0"/>
              <w:spacing w:after="0" w:lineRule="auto" w:line="256"/>
              <w:jc w:val="both"/>
              <w:rPr>
                <w:rFonts w:ascii="Times New Roman" w:cs="Times New Roman" w:eastAsia="Calibri" w:hAnsi="Times New Roman"/>
                <w:sz w:val="24"/>
                <w:szCs w:val="24"/>
              </w:rPr>
            </w:pPr>
            <w:r>
              <w:rPr>
                <w:rFonts w:ascii="Times New Roman" w:cs="Times New Roman" w:eastAsia="Calibri" w:hAnsi="Times New Roman"/>
                <w:sz w:val="24"/>
                <w:szCs w:val="24"/>
              </w:rPr>
              <w:t>0</w:t>
            </w:r>
          </w:p>
        </w:tc>
      </w:tr>
      <w:tr>
        <w:tblPrEx/>
        <w:trPr>
          <w:trHeight w:val="708" w:hRule="atLeast"/>
        </w:trPr>
        <w:tc>
          <w:tcPr>
            <w:tcW w:w="877" w:type="pct"/>
            <w:tcBorders>
              <w:top w:val="nil"/>
              <w:left w:val="nil"/>
              <w:bottom w:val="nil"/>
              <w:right w:val="nil"/>
            </w:tcBorders>
          </w:tcPr>
          <w:p>
            <w:pPr>
              <w:pStyle w:val="style0"/>
              <w:spacing w:after="0" w:lineRule="auto" w:line="256"/>
              <w:jc w:val="both"/>
              <w:rPr>
                <w:rFonts w:ascii="Times New Roman" w:cs="Times New Roman" w:eastAsia="Calibri" w:hAnsi="Times New Roman"/>
                <w:sz w:val="24"/>
                <w:szCs w:val="24"/>
              </w:rPr>
            </w:pPr>
            <w:r>
              <w:rPr>
                <w:rFonts w:ascii="Times New Roman" w:cs="Times New Roman" w:eastAsia="Calibri" w:hAnsi="Times New Roman"/>
                <w:sz w:val="24"/>
                <w:szCs w:val="24"/>
              </w:rPr>
              <w:t>Phi 034</w:t>
            </w:r>
          </w:p>
        </w:tc>
        <w:tc>
          <w:tcPr>
            <w:tcW w:w="823" w:type="pct"/>
            <w:tcBorders>
              <w:top w:val="nil"/>
              <w:left w:val="nil"/>
              <w:bottom w:val="nil"/>
              <w:right w:val="nil"/>
            </w:tcBorders>
          </w:tcPr>
          <w:p>
            <w:pPr>
              <w:pStyle w:val="style0"/>
              <w:spacing w:after="0" w:lineRule="auto" w:line="256"/>
              <w:jc w:val="both"/>
              <w:rPr>
                <w:rFonts w:ascii="Times New Roman" w:cs="Times New Roman" w:eastAsia="Calibri" w:hAnsi="Times New Roman"/>
                <w:sz w:val="24"/>
                <w:szCs w:val="24"/>
              </w:rPr>
            </w:pPr>
            <w:r>
              <w:rPr>
                <w:rFonts w:ascii="Times New Roman" w:cs="Times New Roman" w:eastAsia="Calibri" w:hAnsi="Times New Roman"/>
                <w:sz w:val="24"/>
                <w:szCs w:val="24"/>
              </w:rPr>
              <w:t>23</w:t>
            </w:r>
          </w:p>
        </w:tc>
        <w:tc>
          <w:tcPr>
            <w:tcW w:w="596" w:type="pct"/>
            <w:tcBorders>
              <w:top w:val="nil"/>
              <w:left w:val="nil"/>
              <w:bottom w:val="nil"/>
              <w:right w:val="nil"/>
            </w:tcBorders>
          </w:tcPr>
          <w:p>
            <w:pPr>
              <w:pStyle w:val="style0"/>
              <w:spacing w:after="0" w:lineRule="auto" w:line="256"/>
              <w:jc w:val="both"/>
              <w:rPr>
                <w:rFonts w:ascii="Times New Roman" w:cs="Times New Roman" w:eastAsia="Calibri" w:hAnsi="Times New Roman"/>
                <w:sz w:val="24"/>
                <w:szCs w:val="24"/>
              </w:rPr>
            </w:pPr>
            <w:r>
              <w:rPr>
                <w:rFonts w:ascii="Times New Roman" w:cs="Times New Roman" w:eastAsia="Calibri" w:hAnsi="Times New Roman"/>
                <w:sz w:val="24"/>
                <w:szCs w:val="24"/>
              </w:rPr>
              <w:t>0.00</w:t>
            </w:r>
          </w:p>
        </w:tc>
        <w:tc>
          <w:tcPr>
            <w:tcW w:w="513" w:type="pct"/>
            <w:tcBorders>
              <w:top w:val="nil"/>
              <w:left w:val="nil"/>
              <w:bottom w:val="nil"/>
              <w:right w:val="nil"/>
            </w:tcBorders>
          </w:tcPr>
          <w:p>
            <w:pPr>
              <w:pStyle w:val="style0"/>
              <w:spacing w:after="0" w:lineRule="auto" w:line="256"/>
              <w:jc w:val="both"/>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tcW w:w="490" w:type="pct"/>
            <w:tcBorders>
              <w:top w:val="nil"/>
              <w:left w:val="nil"/>
              <w:bottom w:val="nil"/>
              <w:right w:val="nil"/>
            </w:tcBorders>
          </w:tcPr>
          <w:p>
            <w:pPr>
              <w:pStyle w:val="style0"/>
              <w:spacing w:after="0" w:lineRule="auto" w:line="256"/>
              <w:jc w:val="both"/>
              <w:rPr>
                <w:rFonts w:ascii="Times New Roman" w:cs="Times New Roman" w:eastAsia="Calibri" w:hAnsi="Times New Roman"/>
                <w:sz w:val="24"/>
                <w:szCs w:val="24"/>
              </w:rPr>
            </w:pPr>
            <w:r>
              <w:rPr>
                <w:rFonts w:ascii="Times New Roman" w:cs="Times New Roman" w:eastAsia="Calibri" w:hAnsi="Times New Roman"/>
                <w:sz w:val="24"/>
                <w:szCs w:val="24"/>
              </w:rPr>
              <w:t>0</w:t>
            </w:r>
          </w:p>
        </w:tc>
        <w:tc>
          <w:tcPr>
            <w:tcW w:w="490" w:type="pct"/>
            <w:tcBorders>
              <w:top w:val="nil"/>
              <w:left w:val="nil"/>
              <w:bottom w:val="nil"/>
              <w:right w:val="nil"/>
            </w:tcBorders>
          </w:tcPr>
          <w:p>
            <w:pPr>
              <w:pStyle w:val="style0"/>
              <w:spacing w:after="0" w:lineRule="auto" w:line="256"/>
              <w:jc w:val="both"/>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tcW w:w="1210" w:type="pct"/>
            <w:tcBorders>
              <w:top w:val="nil"/>
              <w:left w:val="nil"/>
              <w:bottom w:val="nil"/>
              <w:right w:val="nil"/>
            </w:tcBorders>
          </w:tcPr>
          <w:p>
            <w:pPr>
              <w:pStyle w:val="style0"/>
              <w:spacing w:after="0" w:lineRule="auto" w:line="256"/>
              <w:jc w:val="both"/>
              <w:rPr>
                <w:rFonts w:ascii="Times New Roman" w:cs="Times New Roman" w:eastAsia="Calibri" w:hAnsi="Times New Roman"/>
                <w:sz w:val="24"/>
                <w:szCs w:val="24"/>
              </w:rPr>
            </w:pPr>
            <w:r>
              <w:rPr>
                <w:rFonts w:ascii="Times New Roman" w:cs="Times New Roman" w:eastAsia="Calibri" w:hAnsi="Times New Roman"/>
                <w:sz w:val="24"/>
                <w:szCs w:val="24"/>
              </w:rPr>
              <w:t>0</w:t>
            </w:r>
          </w:p>
        </w:tc>
      </w:tr>
      <w:tr>
        <w:tblPrEx/>
        <w:trPr>
          <w:trHeight w:val="775" w:hRule="atLeast"/>
        </w:trPr>
        <w:tc>
          <w:tcPr>
            <w:tcW w:w="877" w:type="pct"/>
            <w:tcBorders>
              <w:top w:val="nil"/>
              <w:left w:val="nil"/>
              <w:bottom w:val="single" w:sz="12" w:space="0" w:color="auto"/>
              <w:right w:val="nil"/>
            </w:tcBorders>
          </w:tcPr>
          <w:p>
            <w:pPr>
              <w:pStyle w:val="style0"/>
              <w:spacing w:lineRule="auto" w:line="256"/>
              <w:jc w:val="both"/>
              <w:rPr>
                <w:rFonts w:ascii="Times New Roman" w:cs="Times New Roman" w:eastAsia="Calibri" w:hAnsi="Times New Roman"/>
                <w:b/>
                <w:bCs/>
                <w:sz w:val="24"/>
                <w:szCs w:val="24"/>
              </w:rPr>
            </w:pPr>
            <w:r>
              <w:rPr>
                <w:rFonts w:ascii="Times New Roman" w:cs="Times New Roman" w:eastAsia="Calibri" w:hAnsi="Times New Roman"/>
                <w:b/>
                <w:bCs/>
                <w:sz w:val="24"/>
                <w:szCs w:val="24"/>
              </w:rPr>
              <w:t>Mean</w:t>
            </w:r>
          </w:p>
        </w:tc>
        <w:tc>
          <w:tcPr>
            <w:tcW w:w="823" w:type="pct"/>
            <w:tcBorders>
              <w:top w:val="nil"/>
              <w:left w:val="nil"/>
              <w:bottom w:val="single" w:sz="12" w:space="0" w:color="auto"/>
              <w:right w:val="nil"/>
            </w:tcBorders>
          </w:tcPr>
          <w:p>
            <w:pPr>
              <w:pStyle w:val="style0"/>
              <w:spacing w:lineRule="auto" w:line="256"/>
              <w:jc w:val="both"/>
              <w:rPr>
                <w:rFonts w:ascii="Times New Roman" w:cs="Times New Roman" w:eastAsia="Calibri" w:hAnsi="Times New Roman"/>
                <w:b/>
                <w:bCs/>
                <w:sz w:val="24"/>
                <w:szCs w:val="24"/>
              </w:rPr>
            </w:pPr>
          </w:p>
        </w:tc>
        <w:tc>
          <w:tcPr>
            <w:tcW w:w="596" w:type="pct"/>
            <w:tcBorders>
              <w:top w:val="nil"/>
              <w:left w:val="nil"/>
              <w:bottom w:val="single" w:sz="12" w:space="0" w:color="auto"/>
              <w:right w:val="nil"/>
            </w:tcBorders>
          </w:tcPr>
          <w:p>
            <w:pPr>
              <w:pStyle w:val="style0"/>
              <w:spacing w:lineRule="auto" w:line="256"/>
              <w:jc w:val="both"/>
              <w:rPr>
                <w:rFonts w:ascii="Times New Roman" w:cs="Times New Roman" w:eastAsia="Calibri" w:hAnsi="Times New Roman"/>
                <w:b/>
                <w:bCs/>
                <w:sz w:val="24"/>
                <w:szCs w:val="24"/>
              </w:rPr>
            </w:pPr>
            <w:r>
              <w:rPr>
                <w:rFonts w:ascii="Times New Roman" w:cs="Times New Roman" w:eastAsia="Calibri" w:hAnsi="Times New Roman"/>
                <w:b/>
                <w:bCs/>
                <w:sz w:val="24"/>
                <w:szCs w:val="24"/>
              </w:rPr>
              <w:t>0.369</w:t>
            </w:r>
          </w:p>
        </w:tc>
        <w:tc>
          <w:tcPr>
            <w:tcW w:w="513" w:type="pct"/>
            <w:tcBorders>
              <w:top w:val="nil"/>
              <w:left w:val="nil"/>
              <w:bottom w:val="single" w:sz="12" w:space="0" w:color="auto"/>
              <w:right w:val="nil"/>
            </w:tcBorders>
          </w:tcPr>
          <w:p>
            <w:pPr>
              <w:pStyle w:val="style0"/>
              <w:spacing w:lineRule="auto" w:line="256"/>
              <w:jc w:val="both"/>
              <w:rPr>
                <w:rFonts w:ascii="Times New Roman" w:cs="Times New Roman" w:eastAsia="Calibri" w:hAnsi="Times New Roman"/>
                <w:b/>
                <w:bCs/>
                <w:sz w:val="24"/>
                <w:szCs w:val="24"/>
              </w:rPr>
            </w:pPr>
            <w:r>
              <w:rPr>
                <w:rFonts w:ascii="Times New Roman" w:cs="Times New Roman" w:eastAsia="Calibri" w:hAnsi="Times New Roman"/>
                <w:b/>
                <w:bCs/>
                <w:sz w:val="24"/>
                <w:szCs w:val="24"/>
              </w:rPr>
              <w:t>1.389</w:t>
            </w:r>
          </w:p>
        </w:tc>
        <w:tc>
          <w:tcPr>
            <w:tcW w:w="490" w:type="pct"/>
            <w:tcBorders>
              <w:top w:val="nil"/>
              <w:left w:val="nil"/>
              <w:bottom w:val="single" w:sz="12" w:space="0" w:color="auto"/>
              <w:right w:val="nil"/>
            </w:tcBorders>
          </w:tcPr>
          <w:p>
            <w:pPr>
              <w:pStyle w:val="style0"/>
              <w:spacing w:lineRule="auto" w:line="256"/>
              <w:jc w:val="both"/>
              <w:rPr>
                <w:rFonts w:ascii="Times New Roman" w:cs="Times New Roman" w:eastAsia="Calibri" w:hAnsi="Times New Roman"/>
                <w:b/>
                <w:bCs/>
                <w:sz w:val="24"/>
                <w:szCs w:val="24"/>
              </w:rPr>
            </w:pPr>
            <w:r>
              <w:rPr>
                <w:rFonts w:ascii="Times New Roman" w:cs="Times New Roman" w:eastAsia="Calibri" w:hAnsi="Times New Roman"/>
                <w:b/>
                <w:bCs/>
                <w:sz w:val="24"/>
                <w:szCs w:val="24"/>
              </w:rPr>
              <w:t>0.172</w:t>
            </w:r>
          </w:p>
        </w:tc>
        <w:tc>
          <w:tcPr>
            <w:tcW w:w="490" w:type="pct"/>
            <w:tcBorders>
              <w:top w:val="nil"/>
              <w:left w:val="nil"/>
              <w:bottom w:val="single" w:sz="12" w:space="0" w:color="auto"/>
              <w:right w:val="nil"/>
            </w:tcBorders>
          </w:tcPr>
          <w:p>
            <w:pPr>
              <w:pStyle w:val="style0"/>
              <w:spacing w:lineRule="auto" w:line="256"/>
              <w:jc w:val="both"/>
              <w:rPr>
                <w:rFonts w:ascii="Times New Roman" w:cs="Times New Roman" w:eastAsia="Calibri" w:hAnsi="Times New Roman"/>
                <w:b/>
                <w:bCs/>
                <w:sz w:val="24"/>
                <w:szCs w:val="24"/>
              </w:rPr>
            </w:pPr>
            <w:r>
              <w:rPr>
                <w:rFonts w:ascii="Times New Roman" w:cs="Times New Roman" w:eastAsia="Calibri" w:hAnsi="Times New Roman"/>
                <w:b/>
                <w:bCs/>
                <w:sz w:val="24"/>
                <w:szCs w:val="24"/>
              </w:rPr>
              <w:t>0.63</w:t>
            </w:r>
          </w:p>
        </w:tc>
        <w:tc>
          <w:tcPr>
            <w:tcW w:w="1210" w:type="pct"/>
            <w:tcBorders>
              <w:top w:val="nil"/>
              <w:left w:val="nil"/>
              <w:bottom w:val="single" w:sz="12" w:space="0" w:color="auto"/>
              <w:right w:val="nil"/>
            </w:tcBorders>
          </w:tcPr>
          <w:p>
            <w:pPr>
              <w:pStyle w:val="style0"/>
              <w:spacing w:lineRule="auto" w:line="256"/>
              <w:jc w:val="both"/>
              <w:rPr>
                <w:rFonts w:ascii="Times New Roman" w:cs="Times New Roman" w:eastAsia="Calibri" w:hAnsi="Times New Roman"/>
                <w:b/>
                <w:bCs/>
                <w:sz w:val="24"/>
                <w:szCs w:val="24"/>
              </w:rPr>
            </w:pPr>
            <w:r>
              <w:rPr>
                <w:rFonts w:ascii="Times New Roman" w:cs="Times New Roman" w:eastAsia="Calibri" w:hAnsi="Times New Roman"/>
                <w:b/>
                <w:bCs/>
                <w:sz w:val="24"/>
                <w:szCs w:val="24"/>
              </w:rPr>
              <w:t>0.19</w:t>
            </w:r>
          </w:p>
        </w:tc>
      </w:tr>
    </w:tbl>
    <w:p>
      <w:pPr>
        <w:pStyle w:val="style0"/>
        <w:spacing w:before="240" w:beforeLines="100" w:after="24" w:afterLines="10" w:lineRule="auto" w:line="24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w:t>
      </w:r>
      <w:r>
        <w:rPr>
          <w:rFonts w:ascii="Times New Roman" w:cs="Times New Roman" w:eastAsia="Calibri" w:hAnsi="Times New Roman"/>
          <w:sz w:val="24"/>
          <w:szCs w:val="24"/>
          <w:lang w:eastAsia="en-GB"/>
        </w:rPr>
        <w:t>na</w:t>
      </w:r>
      <w:r>
        <w:rPr>
          <w:rFonts w:ascii="Times New Roman" w:cs="Times New Roman" w:eastAsia="Calibri" w:hAnsi="Times New Roman"/>
          <w:sz w:val="24"/>
          <w:szCs w:val="24"/>
          <w:lang w:eastAsia="en-GB"/>
        </w:rPr>
        <w:t xml:space="preserve"> = Observed number of alleles, *ne = Effective number of alleles, *I = Shannon's Information index, PIC = Polymorphic Information content, m = Major allele frequency</w:t>
      </w:r>
    </w:p>
    <w:p>
      <w:pPr>
        <w:pStyle w:val="style0"/>
        <w:keepNext/>
        <w:keepLines/>
        <w:widowControl w:val="false"/>
        <w:suppressAutoHyphens/>
        <w:spacing w:before="240" w:beforeLines="100" w:after="24" w:afterLines="10" w:lineRule="auto" w:line="360"/>
        <w:jc w:val="both"/>
        <w:outlineLvl w:val="2"/>
        <w:rPr>
          <w:rFonts w:ascii="Times New Roman" w:cs="Times New Roman" w:eastAsia="Times New Roman" w:hAnsi="Times New Roman"/>
          <w:b/>
          <w:bCs/>
          <w:sz w:val="24"/>
          <w:szCs w:val="24"/>
          <w:lang w:eastAsia="en-GB"/>
        </w:rPr>
      </w:pPr>
      <w:r>
        <w:rPr>
          <w:rFonts w:ascii="Times New Roman" w:cs="Times New Roman" w:eastAsia="Calibri" w:hAnsi="Times New Roman"/>
          <w:b/>
          <w:bCs/>
          <w:sz w:val="24"/>
          <w:szCs w:val="24"/>
          <w:lang w:eastAsia="en-GB"/>
        </w:rPr>
        <w:t>3.3 Molecular markers, their presence/absence, and how they relate to GLS resistance in maize.</w:t>
      </w:r>
    </w:p>
    <w:bookmarkStart w:id="97" w:name="_Toc8847"/>
    <w:bookmarkStart w:id="98" w:name="_Toc16704"/>
    <w:bookmarkStart w:id="99" w:name="_Toc10036"/>
    <w:bookmarkEnd w:id="97"/>
    <w:bookmarkEnd w:id="98"/>
    <w:p>
      <w:pPr>
        <w:pStyle w:val="style0"/>
        <w:spacing w:before="240" w:beforeLines="100" w:after="24" w:afterLines="1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 xml:space="preserve">The molecular banding patterns for the different genotypes, as assessed using GLS primers, are summarized in Table .4, along with their corresponding GLS field data. The results provide a clear indication of the presence (+) or absence (-) of specific molecular markers in the genotypes tested. Notably, the CPrI-117757 primer produced a distinct band (+) in many of the genotypes, suggesting that this primer successfully detected a specific genetic sequence that is present in these genotypes. This banding pattern may be associated with traits relevant to </w:t>
      </w:r>
      <w:r>
        <w:rPr>
          <w:rFonts w:ascii="Times New Roman" w:cs="Times New Roman" w:eastAsia="Calibri" w:hAnsi="Times New Roman"/>
          <w:sz w:val="24"/>
          <w:szCs w:val="24"/>
          <w:lang w:eastAsia="en-GB"/>
        </w:rPr>
        <w:t>gray</w:t>
      </w:r>
      <w:r>
        <w:rPr>
          <w:rFonts w:ascii="Times New Roman" w:cs="Times New Roman" w:eastAsia="Calibri" w:hAnsi="Times New Roman"/>
          <w:sz w:val="24"/>
          <w:szCs w:val="24"/>
          <w:lang w:eastAsia="en-GB"/>
        </w:rPr>
        <w:t xml:space="preserve"> leaf spot resistance or other maize characteristics. On the other hand, the primers </w:t>
      </w:r>
      <w:r>
        <w:rPr>
          <w:rFonts w:ascii="Times New Roman" w:cs="Times New Roman" w:eastAsia="Calibri" w:hAnsi="Times New Roman"/>
          <w:sz w:val="24"/>
          <w:szCs w:val="24"/>
          <w:lang w:eastAsia="en-GB"/>
        </w:rPr>
        <w:t>Bngl</w:t>
      </w:r>
      <w:r>
        <w:rPr>
          <w:rFonts w:ascii="Times New Roman" w:cs="Times New Roman" w:eastAsia="Calibri" w:hAnsi="Times New Roman"/>
          <w:sz w:val="24"/>
          <w:szCs w:val="24"/>
          <w:lang w:eastAsia="en-GB"/>
        </w:rPr>
        <w:t xml:space="preserve"> 1258, </w:t>
      </w:r>
      <w:r>
        <w:rPr>
          <w:rFonts w:ascii="Times New Roman" w:cs="Times New Roman" w:eastAsia="Calibri" w:hAnsi="Times New Roman"/>
          <w:sz w:val="24"/>
          <w:szCs w:val="24"/>
          <w:lang w:eastAsia="en-GB"/>
        </w:rPr>
        <w:t>Bnlg</w:t>
      </w:r>
      <w:r>
        <w:rPr>
          <w:rFonts w:ascii="Times New Roman" w:cs="Times New Roman" w:eastAsia="Calibri" w:hAnsi="Times New Roman"/>
          <w:sz w:val="24"/>
          <w:szCs w:val="24"/>
          <w:lang w:eastAsia="en-GB"/>
        </w:rPr>
        <w:t xml:space="preserve"> 1194, and Phi 031 did not yield any bands in any of the genotypes, indicating that these markers are either non-polymorphic in the context of this study or simply absent in the genotypes under investigation.</w:t>
      </w:r>
      <w:bookmarkEnd w:id="99"/>
    </w:p>
    <w:p>
      <w:pPr>
        <w:pStyle w:val="style0"/>
        <w:spacing w:before="240" w:beforeLines="100" w:after="24" w:afterLines="10" w:lineRule="auto" w:line="360"/>
        <w:jc w:val="both"/>
        <w:rPr>
          <w:rFonts w:ascii="Times New Roman" w:cs="Times New Roman" w:eastAsia="Calibri" w:hAnsi="Times New Roman"/>
          <w:sz w:val="24"/>
          <w:szCs w:val="24"/>
          <w:lang w:eastAsia="en-GB"/>
        </w:rPr>
      </w:pPr>
    </w:p>
    <w:p>
      <w:pPr>
        <w:pStyle w:val="style0"/>
        <w:spacing w:before="240" w:beforeLines="100" w:after="24" w:afterLines="10" w:lineRule="auto" w:line="360"/>
        <w:jc w:val="both"/>
        <w:rPr>
          <w:rFonts w:ascii="Times New Roman" w:cs="Times New Roman" w:eastAsia="Calibri" w:hAnsi="Times New Roman"/>
          <w:sz w:val="24"/>
          <w:szCs w:val="24"/>
          <w:lang w:eastAsia="en-GB"/>
        </w:rPr>
      </w:pPr>
    </w:p>
    <w:p>
      <w:pPr>
        <w:pStyle w:val="style0"/>
        <w:keepNext/>
        <w:keepLines/>
        <w:widowControl w:val="false"/>
        <w:suppressAutoHyphens/>
        <w:spacing w:before="240" w:beforeLines="100" w:after="24" w:afterLines="10" w:lineRule="auto" w:line="360"/>
        <w:jc w:val="both"/>
        <w:outlineLvl w:val="1"/>
        <w:rPr>
          <w:rFonts w:ascii="Times New Roman" w:cs="Times New Roman" w:eastAsia="Calibri" w:hAnsi="Times New Roman"/>
          <w:b/>
          <w:bCs/>
          <w:sz w:val="24"/>
          <w:szCs w:val="24"/>
          <w:lang w:eastAsia="en-GB"/>
        </w:rPr>
      </w:pPr>
      <w:r>
        <w:rPr>
          <w:rFonts w:ascii="Times New Roman" w:cs="Times New Roman" w:eastAsia="Calibri" w:hAnsi="Times New Roman"/>
          <w:b/>
          <w:bCs/>
          <w:sz w:val="24"/>
          <w:szCs w:val="24"/>
          <w:lang w:eastAsia="en-GB"/>
        </w:rPr>
        <w:t>Table .4: Presence (+) or absence (-) of resistant genes linked to GLS</w:t>
      </w:r>
    </w:p>
    <w:tbl>
      <w:tblPr>
        <w:tblW w:w="9089" w:type="dxa"/>
        <w:tblLayout w:type="fixed"/>
        <w:tblLook w:val="04A0" w:firstRow="1" w:lastRow="0" w:firstColumn="1" w:lastColumn="0" w:noHBand="0" w:noVBand="1"/>
      </w:tblPr>
      <w:tblGrid>
        <w:gridCol w:w="558"/>
        <w:gridCol w:w="3361"/>
        <w:gridCol w:w="975"/>
        <w:gridCol w:w="866"/>
        <w:gridCol w:w="1095"/>
        <w:gridCol w:w="1065"/>
        <w:gridCol w:w="1169"/>
      </w:tblGrid>
      <w:tr>
        <w:trPr>
          <w:trHeight w:val="301" w:hRule="atLeast"/>
        </w:trPr>
        <w:tc>
          <w:tcPr>
            <w:tcW w:w="558" w:type="dxa"/>
            <w:tcBorders>
              <w:top w:val="single" w:sz="12" w:space="0" w:color="auto"/>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p>
        </w:tc>
        <w:tc>
          <w:tcPr>
            <w:tcW w:w="3361" w:type="dxa"/>
            <w:tcBorders>
              <w:top w:val="single" w:sz="12" w:space="0" w:color="auto"/>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p>
        </w:tc>
        <w:tc>
          <w:tcPr>
            <w:tcW w:w="4001" w:type="dxa"/>
            <w:gridSpan w:val="4"/>
            <w:tcBorders>
              <w:top w:val="single" w:sz="12" w:space="0" w:color="auto"/>
              <w:left w:val="nil"/>
              <w:bottom w:val="single" w:sz="12" w:space="0" w:color="auto"/>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GLS Primers</w:t>
            </w:r>
          </w:p>
        </w:tc>
        <w:tc>
          <w:tcPr>
            <w:tcW w:w="1169" w:type="dxa"/>
            <w:tcBorders>
              <w:top w:val="single" w:sz="12" w:space="0" w:color="auto"/>
              <w:left w:val="nil"/>
              <w:bottom w:val="single" w:sz="12" w:space="0" w:color="auto"/>
              <w:right w:val="nil"/>
            </w:tcBorders>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Field data</w:t>
            </w:r>
          </w:p>
        </w:tc>
      </w:tr>
      <w:tr>
        <w:tblPrEx/>
        <w:trPr>
          <w:trHeight w:val="301" w:hRule="atLeast"/>
        </w:trPr>
        <w:tc>
          <w:tcPr>
            <w:tcW w:w="558" w:type="dxa"/>
            <w:tcBorders>
              <w:top w:val="nil"/>
              <w:left w:val="nil"/>
              <w:bottom w:val="single" w:sz="12" w:space="0" w:color="auto"/>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No</w:t>
            </w:r>
          </w:p>
        </w:tc>
        <w:tc>
          <w:tcPr>
            <w:tcW w:w="3361" w:type="dxa"/>
            <w:tcBorders>
              <w:top w:val="nil"/>
              <w:left w:val="nil"/>
              <w:bottom w:val="single" w:sz="12" w:space="0" w:color="auto"/>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Genotypes</w:t>
            </w:r>
          </w:p>
        </w:tc>
        <w:tc>
          <w:tcPr>
            <w:tcW w:w="975" w:type="dxa"/>
            <w:tcBorders>
              <w:top w:val="single" w:sz="12" w:space="0" w:color="auto"/>
              <w:left w:val="nil"/>
              <w:bottom w:val="single" w:sz="12" w:space="0" w:color="auto"/>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CPrI-117757</w:t>
            </w:r>
          </w:p>
        </w:tc>
        <w:tc>
          <w:tcPr>
            <w:tcW w:w="866" w:type="dxa"/>
            <w:tcBorders>
              <w:top w:val="single" w:sz="12" w:space="0" w:color="auto"/>
              <w:left w:val="nil"/>
              <w:bottom w:val="single" w:sz="12" w:space="0" w:color="auto"/>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Bngl</w:t>
            </w:r>
            <w:r>
              <w:rPr>
                <w:rFonts w:ascii="Times New Roman" w:cs="Times New Roman" w:eastAsia="SimSun" w:hAnsi="Times New Roman"/>
                <w:sz w:val="24"/>
                <w:szCs w:val="24"/>
              </w:rPr>
              <w:t xml:space="preserve"> 1258</w:t>
            </w:r>
          </w:p>
        </w:tc>
        <w:tc>
          <w:tcPr>
            <w:tcW w:w="1095" w:type="dxa"/>
            <w:tcBorders>
              <w:top w:val="single" w:sz="12" w:space="0" w:color="auto"/>
              <w:left w:val="nil"/>
              <w:bottom w:val="single" w:sz="12" w:space="0" w:color="auto"/>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Bnlg</w:t>
            </w:r>
            <w:r>
              <w:rPr>
                <w:rFonts w:ascii="Times New Roman" w:cs="Times New Roman" w:eastAsia="SimSun" w:hAnsi="Times New Roman"/>
                <w:sz w:val="24"/>
                <w:szCs w:val="24"/>
              </w:rPr>
              <w:t xml:space="preserve"> 1194</w:t>
            </w:r>
          </w:p>
        </w:tc>
        <w:tc>
          <w:tcPr>
            <w:tcW w:w="1065" w:type="dxa"/>
            <w:tcBorders>
              <w:top w:val="single" w:sz="12" w:space="0" w:color="auto"/>
              <w:left w:val="nil"/>
              <w:bottom w:val="single" w:sz="12" w:space="0" w:color="auto"/>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Phi 031</w:t>
            </w:r>
          </w:p>
        </w:tc>
        <w:tc>
          <w:tcPr>
            <w:tcW w:w="1169" w:type="dxa"/>
            <w:tcBorders>
              <w:top w:val="single" w:sz="12" w:space="0" w:color="auto"/>
              <w:left w:val="nil"/>
              <w:bottom w:val="single" w:sz="12" w:space="0" w:color="auto"/>
              <w:right w:val="nil"/>
            </w:tcBorders>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GLS</w:t>
            </w:r>
          </w:p>
        </w:tc>
      </w:tr>
      <w:tr>
        <w:tblPrEx/>
        <w:trPr>
          <w:trHeight w:val="301" w:hRule="atLeast"/>
        </w:trPr>
        <w:tc>
          <w:tcPr>
            <w:tcW w:w="558" w:type="dxa"/>
            <w:tcBorders>
              <w:top w:val="single" w:sz="12" w:space="0" w:color="auto"/>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1</w:t>
            </w:r>
          </w:p>
        </w:tc>
        <w:tc>
          <w:tcPr>
            <w:tcW w:w="3361" w:type="dxa"/>
            <w:tcBorders>
              <w:top w:val="single" w:sz="12" w:space="0" w:color="auto"/>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 xml:space="preserve">CKDHL 120312 </w:t>
            </w:r>
            <w:r>
              <w:rPr>
                <w:rFonts w:ascii="Times New Roman" w:cs="Times New Roman" w:eastAsia="Calibri" w:hAnsi="Times New Roman"/>
                <w:sz w:val="24"/>
                <w:szCs w:val="24"/>
              </w:rPr>
              <w:t>×</w:t>
            </w:r>
            <w:r>
              <w:rPr>
                <w:rFonts w:ascii="Times New Roman" w:cs="Times New Roman" w:eastAsia="SimSun" w:hAnsi="Times New Roman"/>
                <w:sz w:val="24"/>
                <w:szCs w:val="24"/>
              </w:rPr>
              <w:t xml:space="preserve"> CKL05017</w:t>
            </w:r>
          </w:p>
        </w:tc>
        <w:tc>
          <w:tcPr>
            <w:tcW w:w="975" w:type="dxa"/>
            <w:tcBorders>
              <w:top w:val="single" w:sz="12" w:space="0" w:color="auto"/>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866" w:type="dxa"/>
            <w:tcBorders>
              <w:top w:val="single" w:sz="12" w:space="0" w:color="auto"/>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95" w:type="dxa"/>
            <w:tcBorders>
              <w:top w:val="single" w:sz="12" w:space="0" w:color="auto"/>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65" w:type="dxa"/>
            <w:tcBorders>
              <w:top w:val="single" w:sz="12" w:space="0" w:color="auto"/>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169" w:type="dxa"/>
            <w:tcBorders>
              <w:top w:val="single" w:sz="12" w:space="0" w:color="auto"/>
              <w:left w:val="nil"/>
              <w:bottom w:val="nil"/>
              <w:right w:val="nil"/>
            </w:tcBorders>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2.65</w:t>
            </w:r>
          </w:p>
        </w:tc>
      </w:tr>
      <w:tr>
        <w:tblPrEx/>
        <w:trPr>
          <w:trHeight w:val="301" w:hRule="atLeast"/>
        </w:trPr>
        <w:tc>
          <w:tcPr>
            <w:tcW w:w="558"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2</w:t>
            </w:r>
          </w:p>
          <w:bookmarkStart w:id="100" w:name="_Hlk156559111"/>
        </w:tc>
        <w:tc>
          <w:tcPr>
            <w:tcW w:w="3361"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CKL 15537</w:t>
            </w:r>
            <w:bookmarkEnd w:id="100"/>
            <w:r>
              <w:rPr>
                <w:rFonts w:ascii="Times New Roman" w:cs="Times New Roman" w:eastAsia="SimSun" w:hAnsi="Times New Roman"/>
                <w:sz w:val="24"/>
                <w:szCs w:val="24"/>
              </w:rPr>
              <w:t xml:space="preserve"> </w:t>
            </w:r>
            <w:r>
              <w:rPr>
                <w:rFonts w:ascii="Times New Roman" w:cs="Times New Roman" w:eastAsia="Calibri" w:hAnsi="Times New Roman"/>
                <w:sz w:val="24"/>
                <w:szCs w:val="24"/>
              </w:rPr>
              <w:t>×</w:t>
            </w:r>
            <w:r>
              <w:rPr>
                <w:rFonts w:ascii="Times New Roman" w:cs="Times New Roman" w:eastAsia="SimSun" w:hAnsi="Times New Roman"/>
                <w:sz w:val="24"/>
                <w:szCs w:val="24"/>
              </w:rPr>
              <w:t xml:space="preserve"> CML 568</w:t>
            </w:r>
          </w:p>
        </w:tc>
        <w:tc>
          <w:tcPr>
            <w:tcW w:w="97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866"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9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6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169" w:type="dxa"/>
            <w:tcBorders>
              <w:top w:val="nil"/>
              <w:left w:val="nil"/>
              <w:bottom w:val="nil"/>
              <w:right w:val="nil"/>
            </w:tcBorders>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3.7</w:t>
            </w:r>
          </w:p>
        </w:tc>
      </w:tr>
      <w:tr>
        <w:tblPrEx/>
        <w:trPr>
          <w:trHeight w:val="301" w:hRule="atLeast"/>
        </w:trPr>
        <w:tc>
          <w:tcPr>
            <w:tcW w:w="558"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3</w:t>
            </w:r>
          </w:p>
          <w:bookmarkStart w:id="101" w:name="_Hlk156558810"/>
        </w:tc>
        <w:tc>
          <w:tcPr>
            <w:tcW w:w="3361"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CKDHL 120312</w:t>
            </w:r>
            <w:bookmarkEnd w:id="101"/>
            <w:r>
              <w:rPr>
                <w:rFonts w:ascii="Times New Roman" w:cs="Times New Roman" w:eastAsia="SimSun" w:hAnsi="Times New Roman"/>
                <w:sz w:val="24"/>
                <w:szCs w:val="24"/>
              </w:rPr>
              <w:t xml:space="preserve"> </w:t>
            </w:r>
            <w:r>
              <w:rPr>
                <w:rFonts w:ascii="Times New Roman" w:cs="Times New Roman" w:eastAsia="Calibri" w:hAnsi="Times New Roman"/>
                <w:sz w:val="24"/>
                <w:szCs w:val="24"/>
              </w:rPr>
              <w:t>×</w:t>
            </w:r>
            <w:r>
              <w:rPr>
                <w:rFonts w:ascii="Times New Roman" w:cs="Times New Roman" w:eastAsia="SimSun" w:hAnsi="Times New Roman"/>
                <w:sz w:val="24"/>
                <w:szCs w:val="24"/>
              </w:rPr>
              <w:t xml:space="preserve"> S596-15-1-1</w:t>
            </w:r>
          </w:p>
        </w:tc>
        <w:tc>
          <w:tcPr>
            <w:tcW w:w="97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866"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9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6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169" w:type="dxa"/>
            <w:tcBorders>
              <w:top w:val="nil"/>
              <w:left w:val="nil"/>
              <w:bottom w:val="nil"/>
              <w:right w:val="nil"/>
            </w:tcBorders>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2.55</w:t>
            </w:r>
          </w:p>
        </w:tc>
      </w:tr>
      <w:tr>
        <w:tblPrEx/>
        <w:trPr>
          <w:trHeight w:val="301" w:hRule="atLeast"/>
        </w:trPr>
        <w:tc>
          <w:tcPr>
            <w:tcW w:w="558"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4</w:t>
            </w:r>
          </w:p>
          <w:bookmarkStart w:id="102" w:name="_Hlk156558848"/>
        </w:tc>
        <w:tc>
          <w:tcPr>
            <w:tcW w:w="3361"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KTLN 10123</w:t>
            </w:r>
            <w:bookmarkEnd w:id="102"/>
            <w:r>
              <w:rPr>
                <w:rFonts w:ascii="Times New Roman" w:cs="Times New Roman" w:eastAsia="SimSun" w:hAnsi="Times New Roman"/>
                <w:sz w:val="24"/>
                <w:szCs w:val="24"/>
              </w:rPr>
              <w:t xml:space="preserve"> </w:t>
            </w:r>
            <w:r>
              <w:rPr>
                <w:rFonts w:ascii="Times New Roman" w:cs="Times New Roman" w:eastAsia="Calibri" w:hAnsi="Times New Roman"/>
                <w:sz w:val="24"/>
                <w:szCs w:val="24"/>
              </w:rPr>
              <w:t>×</w:t>
            </w:r>
            <w:r>
              <w:rPr>
                <w:rFonts w:ascii="Times New Roman" w:cs="Times New Roman" w:eastAsia="SimSun" w:hAnsi="Times New Roman"/>
                <w:sz w:val="24"/>
                <w:szCs w:val="24"/>
              </w:rPr>
              <w:t xml:space="preserve"> S</w:t>
            </w:r>
            <w:r>
              <w:rPr>
                <w:rFonts w:ascii="Times New Roman" w:cs="Times New Roman" w:eastAsia="SimSun" w:hAnsi="Times New Roman"/>
                <w:sz w:val="24"/>
                <w:szCs w:val="24"/>
                <w:vertAlign w:val="subscript"/>
              </w:rPr>
              <w:t>5</w:t>
            </w:r>
            <w:r>
              <w:rPr>
                <w:rFonts w:ascii="Times New Roman" w:cs="Times New Roman" w:eastAsia="SimSun" w:hAnsi="Times New Roman"/>
                <w:sz w:val="24"/>
                <w:szCs w:val="24"/>
              </w:rPr>
              <w:t>96-15-1-1</w:t>
            </w:r>
          </w:p>
        </w:tc>
        <w:tc>
          <w:tcPr>
            <w:tcW w:w="97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866"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9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6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169" w:type="dxa"/>
            <w:tcBorders>
              <w:top w:val="nil"/>
              <w:left w:val="nil"/>
              <w:bottom w:val="nil"/>
              <w:right w:val="nil"/>
            </w:tcBorders>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2.25</w:t>
            </w:r>
          </w:p>
        </w:tc>
      </w:tr>
      <w:tr>
        <w:tblPrEx/>
        <w:trPr>
          <w:trHeight w:val="301" w:hRule="atLeast"/>
        </w:trPr>
        <w:tc>
          <w:tcPr>
            <w:tcW w:w="558"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5</w:t>
            </w:r>
          </w:p>
          <w:bookmarkStart w:id="103" w:name="_Hlk156558661"/>
        </w:tc>
        <w:tc>
          <w:tcPr>
            <w:tcW w:w="3361"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CKL 05022</w:t>
            </w:r>
            <w:bookmarkEnd w:id="103"/>
            <w:r>
              <w:rPr>
                <w:rFonts w:ascii="Times New Roman" w:cs="Times New Roman" w:eastAsia="SimSun" w:hAnsi="Times New Roman"/>
                <w:sz w:val="24"/>
                <w:szCs w:val="24"/>
              </w:rPr>
              <w:t xml:space="preserve"> </w:t>
            </w:r>
            <w:r>
              <w:rPr>
                <w:rFonts w:ascii="Times New Roman" w:cs="Times New Roman" w:eastAsia="Calibri" w:hAnsi="Times New Roman"/>
                <w:sz w:val="24"/>
                <w:szCs w:val="24"/>
              </w:rPr>
              <w:t>×</w:t>
            </w:r>
            <w:r>
              <w:rPr>
                <w:rFonts w:ascii="Times New Roman" w:cs="Times New Roman" w:eastAsia="SimSun" w:hAnsi="Times New Roman"/>
                <w:sz w:val="24"/>
                <w:szCs w:val="24"/>
              </w:rPr>
              <w:t xml:space="preserve"> S</w:t>
            </w:r>
            <w:r>
              <w:rPr>
                <w:rFonts w:ascii="Times New Roman" w:cs="Times New Roman" w:eastAsia="SimSun" w:hAnsi="Times New Roman"/>
                <w:sz w:val="24"/>
                <w:szCs w:val="24"/>
                <w:vertAlign w:val="subscript"/>
              </w:rPr>
              <w:t>5</w:t>
            </w:r>
            <w:r>
              <w:rPr>
                <w:rFonts w:ascii="Times New Roman" w:cs="Times New Roman" w:eastAsia="SimSun" w:hAnsi="Times New Roman"/>
                <w:sz w:val="24"/>
                <w:szCs w:val="24"/>
              </w:rPr>
              <w:t>96-15-1-1</w:t>
            </w:r>
          </w:p>
        </w:tc>
        <w:tc>
          <w:tcPr>
            <w:tcW w:w="97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866"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9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6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169" w:type="dxa"/>
            <w:tcBorders>
              <w:top w:val="nil"/>
              <w:left w:val="nil"/>
              <w:bottom w:val="nil"/>
              <w:right w:val="nil"/>
            </w:tcBorders>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1.85</w:t>
            </w:r>
          </w:p>
        </w:tc>
      </w:tr>
      <w:tr>
        <w:tblPrEx/>
        <w:trPr>
          <w:trHeight w:val="301" w:hRule="atLeast"/>
        </w:trPr>
        <w:tc>
          <w:tcPr>
            <w:tcW w:w="558"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6</w:t>
            </w:r>
          </w:p>
          <w:bookmarkStart w:id="104" w:name="_Hlk156558879"/>
        </w:tc>
        <w:tc>
          <w:tcPr>
            <w:tcW w:w="3361"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CKDHL 153502</w:t>
            </w:r>
            <w:bookmarkEnd w:id="104"/>
            <w:r>
              <w:rPr>
                <w:rFonts w:ascii="Times New Roman" w:cs="Times New Roman" w:eastAsia="SimSun" w:hAnsi="Times New Roman"/>
                <w:sz w:val="24"/>
                <w:szCs w:val="24"/>
              </w:rPr>
              <w:t xml:space="preserve"> </w:t>
            </w:r>
            <w:r>
              <w:rPr>
                <w:rFonts w:ascii="Times New Roman" w:cs="Times New Roman" w:eastAsia="Calibri" w:hAnsi="Times New Roman"/>
                <w:sz w:val="24"/>
                <w:szCs w:val="24"/>
              </w:rPr>
              <w:t>×</w:t>
            </w:r>
            <w:r>
              <w:rPr>
                <w:rFonts w:ascii="Times New Roman" w:cs="Times New Roman" w:eastAsia="SimSun" w:hAnsi="Times New Roman"/>
                <w:sz w:val="24"/>
                <w:szCs w:val="24"/>
              </w:rPr>
              <w:t xml:space="preserve"> S596-15-1-1</w:t>
            </w:r>
          </w:p>
        </w:tc>
        <w:tc>
          <w:tcPr>
            <w:tcW w:w="97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866"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9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6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169" w:type="dxa"/>
            <w:tcBorders>
              <w:top w:val="nil"/>
              <w:left w:val="nil"/>
              <w:bottom w:val="nil"/>
              <w:right w:val="nil"/>
            </w:tcBorders>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2.72</w:t>
            </w:r>
          </w:p>
        </w:tc>
      </w:tr>
      <w:tr>
        <w:tblPrEx/>
        <w:trPr>
          <w:trHeight w:val="301" w:hRule="atLeast"/>
        </w:trPr>
        <w:tc>
          <w:tcPr>
            <w:tcW w:w="558"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7</w:t>
            </w:r>
          </w:p>
        </w:tc>
        <w:tc>
          <w:tcPr>
            <w:tcW w:w="3361"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 xml:space="preserve">CKL 15537 </w:t>
            </w:r>
            <w:r>
              <w:rPr>
                <w:rFonts w:ascii="Times New Roman" w:cs="Times New Roman" w:eastAsia="Calibri" w:hAnsi="Times New Roman"/>
                <w:sz w:val="24"/>
                <w:szCs w:val="24"/>
              </w:rPr>
              <w:t>×</w:t>
            </w:r>
            <w:r>
              <w:rPr>
                <w:rFonts w:ascii="Times New Roman" w:cs="Times New Roman" w:eastAsia="SimSun" w:hAnsi="Times New Roman"/>
                <w:sz w:val="24"/>
                <w:szCs w:val="24"/>
              </w:rPr>
              <w:t xml:space="preserve"> S</w:t>
            </w:r>
            <w:r>
              <w:rPr>
                <w:rFonts w:ascii="Times New Roman" w:cs="Times New Roman" w:eastAsia="SimSun" w:hAnsi="Times New Roman"/>
                <w:sz w:val="24"/>
                <w:szCs w:val="24"/>
                <w:vertAlign w:val="subscript"/>
              </w:rPr>
              <w:t>5</w:t>
            </w:r>
            <w:r>
              <w:rPr>
                <w:rFonts w:ascii="Times New Roman" w:cs="Times New Roman" w:eastAsia="SimSun" w:hAnsi="Times New Roman"/>
                <w:sz w:val="24"/>
                <w:szCs w:val="24"/>
              </w:rPr>
              <w:t>96-15-1-1</w:t>
            </w:r>
          </w:p>
        </w:tc>
        <w:tc>
          <w:tcPr>
            <w:tcW w:w="97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866"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9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6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169" w:type="dxa"/>
            <w:tcBorders>
              <w:top w:val="nil"/>
              <w:left w:val="nil"/>
              <w:bottom w:val="nil"/>
              <w:right w:val="nil"/>
            </w:tcBorders>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5.77</w:t>
            </w:r>
          </w:p>
        </w:tc>
      </w:tr>
      <w:tr>
        <w:tblPrEx/>
        <w:trPr>
          <w:trHeight w:val="301" w:hRule="atLeast"/>
        </w:trPr>
        <w:tc>
          <w:tcPr>
            <w:tcW w:w="558"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8</w:t>
            </w:r>
          </w:p>
        </w:tc>
        <w:tc>
          <w:tcPr>
            <w:tcW w:w="3361"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H614</w:t>
            </w:r>
          </w:p>
        </w:tc>
        <w:tc>
          <w:tcPr>
            <w:tcW w:w="97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866"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9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6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169" w:type="dxa"/>
            <w:tcBorders>
              <w:top w:val="nil"/>
              <w:left w:val="nil"/>
              <w:bottom w:val="nil"/>
              <w:right w:val="nil"/>
            </w:tcBorders>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5.28</w:t>
            </w:r>
          </w:p>
        </w:tc>
      </w:tr>
      <w:tr>
        <w:tblPrEx/>
        <w:trPr>
          <w:trHeight w:val="301" w:hRule="atLeast"/>
        </w:trPr>
        <w:tc>
          <w:tcPr>
            <w:tcW w:w="558"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9</w:t>
            </w:r>
          </w:p>
        </w:tc>
        <w:tc>
          <w:tcPr>
            <w:tcW w:w="3361"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CKDHL 120312</w:t>
            </w:r>
            <w:r>
              <w:rPr>
                <w:rFonts w:ascii="Times New Roman" w:cs="Times New Roman" w:eastAsia="Calibri" w:hAnsi="Times New Roman"/>
                <w:sz w:val="24"/>
                <w:szCs w:val="24"/>
              </w:rPr>
              <w:t xml:space="preserve"> ×</w:t>
            </w:r>
            <w:r>
              <w:rPr>
                <w:rFonts w:ascii="Times New Roman" w:cs="Times New Roman" w:eastAsia="SimSun" w:hAnsi="Times New Roman"/>
                <w:sz w:val="24"/>
                <w:szCs w:val="24"/>
              </w:rPr>
              <w:t xml:space="preserve"> CML 395</w:t>
            </w:r>
          </w:p>
        </w:tc>
        <w:tc>
          <w:tcPr>
            <w:tcW w:w="97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866"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9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6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169" w:type="dxa"/>
            <w:tcBorders>
              <w:top w:val="nil"/>
              <w:left w:val="nil"/>
              <w:bottom w:val="nil"/>
              <w:right w:val="nil"/>
            </w:tcBorders>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1.83</w:t>
            </w:r>
          </w:p>
        </w:tc>
      </w:tr>
      <w:tr>
        <w:tblPrEx/>
        <w:trPr>
          <w:trHeight w:val="301" w:hRule="atLeast"/>
        </w:trPr>
        <w:tc>
          <w:tcPr>
            <w:tcW w:w="558"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10</w:t>
            </w:r>
          </w:p>
        </w:tc>
        <w:tc>
          <w:tcPr>
            <w:tcW w:w="3361"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 xml:space="preserve">KTLN 10123 </w:t>
            </w:r>
            <w:r>
              <w:rPr>
                <w:rFonts w:ascii="Times New Roman" w:cs="Times New Roman" w:eastAsia="Calibri" w:hAnsi="Times New Roman"/>
                <w:sz w:val="24"/>
                <w:szCs w:val="24"/>
              </w:rPr>
              <w:t>×</w:t>
            </w:r>
            <w:r>
              <w:rPr>
                <w:rFonts w:ascii="Times New Roman" w:cs="Times New Roman" w:eastAsia="SimSun" w:hAnsi="Times New Roman"/>
                <w:sz w:val="24"/>
                <w:szCs w:val="24"/>
              </w:rPr>
              <w:t xml:space="preserve"> CML 395</w:t>
            </w:r>
          </w:p>
        </w:tc>
        <w:tc>
          <w:tcPr>
            <w:tcW w:w="97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866"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9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6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169" w:type="dxa"/>
            <w:tcBorders>
              <w:top w:val="nil"/>
              <w:left w:val="nil"/>
              <w:bottom w:val="nil"/>
              <w:right w:val="nil"/>
            </w:tcBorders>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4.42</w:t>
            </w:r>
          </w:p>
        </w:tc>
      </w:tr>
      <w:tr>
        <w:tblPrEx/>
        <w:trPr>
          <w:trHeight w:val="301" w:hRule="atLeast"/>
        </w:trPr>
        <w:tc>
          <w:tcPr>
            <w:tcW w:w="558"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11</w:t>
            </w:r>
          </w:p>
        </w:tc>
        <w:tc>
          <w:tcPr>
            <w:tcW w:w="3361"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 xml:space="preserve">CKL 05022 </w:t>
            </w:r>
            <w:r>
              <w:rPr>
                <w:rFonts w:ascii="Times New Roman" w:cs="Times New Roman" w:eastAsia="Calibri" w:hAnsi="Times New Roman"/>
                <w:sz w:val="24"/>
                <w:szCs w:val="24"/>
              </w:rPr>
              <w:t>×</w:t>
            </w:r>
            <w:r>
              <w:rPr>
                <w:rFonts w:ascii="Times New Roman" w:cs="Times New Roman" w:eastAsia="SimSun" w:hAnsi="Times New Roman"/>
                <w:sz w:val="24"/>
                <w:szCs w:val="24"/>
              </w:rPr>
              <w:t xml:space="preserve"> CML 395</w:t>
            </w:r>
          </w:p>
        </w:tc>
        <w:tc>
          <w:tcPr>
            <w:tcW w:w="97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866"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9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6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169" w:type="dxa"/>
            <w:tcBorders>
              <w:top w:val="nil"/>
              <w:left w:val="nil"/>
              <w:bottom w:val="nil"/>
              <w:right w:val="nil"/>
            </w:tcBorders>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2.52</w:t>
            </w:r>
          </w:p>
        </w:tc>
      </w:tr>
      <w:tr>
        <w:tblPrEx/>
        <w:trPr>
          <w:trHeight w:val="301" w:hRule="atLeast"/>
        </w:trPr>
        <w:tc>
          <w:tcPr>
            <w:tcW w:w="558"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12</w:t>
            </w:r>
          </w:p>
        </w:tc>
        <w:tc>
          <w:tcPr>
            <w:tcW w:w="3361"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 xml:space="preserve">CKDHL 153502 </w:t>
            </w:r>
            <w:r>
              <w:rPr>
                <w:rFonts w:ascii="Times New Roman" w:cs="Times New Roman" w:eastAsia="Calibri" w:hAnsi="Times New Roman"/>
                <w:sz w:val="24"/>
                <w:szCs w:val="24"/>
              </w:rPr>
              <w:t>×</w:t>
            </w:r>
            <w:r>
              <w:rPr>
                <w:rFonts w:ascii="Times New Roman" w:cs="Times New Roman" w:eastAsia="SimSun" w:hAnsi="Times New Roman"/>
                <w:sz w:val="24"/>
                <w:szCs w:val="24"/>
              </w:rPr>
              <w:t xml:space="preserve"> CML395</w:t>
            </w:r>
          </w:p>
        </w:tc>
        <w:tc>
          <w:tcPr>
            <w:tcW w:w="97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866"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9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6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169" w:type="dxa"/>
            <w:tcBorders>
              <w:top w:val="nil"/>
              <w:left w:val="nil"/>
              <w:bottom w:val="nil"/>
              <w:right w:val="nil"/>
            </w:tcBorders>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2.38</w:t>
            </w:r>
          </w:p>
        </w:tc>
      </w:tr>
      <w:tr>
        <w:tblPrEx/>
        <w:trPr>
          <w:trHeight w:val="301" w:hRule="atLeast"/>
        </w:trPr>
        <w:tc>
          <w:tcPr>
            <w:tcW w:w="558"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13</w:t>
            </w:r>
          </w:p>
        </w:tc>
        <w:tc>
          <w:tcPr>
            <w:tcW w:w="3361"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 xml:space="preserve">KTLN 10123 </w:t>
            </w:r>
            <w:r>
              <w:rPr>
                <w:rFonts w:ascii="Times New Roman" w:cs="Times New Roman" w:eastAsia="Calibri" w:hAnsi="Times New Roman"/>
                <w:sz w:val="24"/>
                <w:szCs w:val="24"/>
              </w:rPr>
              <w:t>×</w:t>
            </w:r>
            <w:r>
              <w:rPr>
                <w:rFonts w:ascii="Times New Roman" w:cs="Times New Roman" w:eastAsia="SimSun" w:hAnsi="Times New Roman"/>
                <w:sz w:val="24"/>
                <w:szCs w:val="24"/>
              </w:rPr>
              <w:t xml:space="preserve"> CKL05017</w:t>
            </w:r>
          </w:p>
        </w:tc>
        <w:tc>
          <w:tcPr>
            <w:tcW w:w="97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866"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9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6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169" w:type="dxa"/>
            <w:tcBorders>
              <w:top w:val="nil"/>
              <w:left w:val="nil"/>
              <w:bottom w:val="nil"/>
              <w:right w:val="nil"/>
            </w:tcBorders>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4.53</w:t>
            </w:r>
          </w:p>
        </w:tc>
      </w:tr>
      <w:tr>
        <w:tblPrEx/>
        <w:trPr>
          <w:trHeight w:val="301" w:hRule="atLeast"/>
        </w:trPr>
        <w:tc>
          <w:tcPr>
            <w:tcW w:w="558"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14</w:t>
            </w:r>
          </w:p>
        </w:tc>
        <w:tc>
          <w:tcPr>
            <w:tcW w:w="3361"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 xml:space="preserve">CKL 15537 </w:t>
            </w:r>
            <w:r>
              <w:rPr>
                <w:rFonts w:ascii="Times New Roman" w:cs="Times New Roman" w:eastAsia="Calibri" w:hAnsi="Times New Roman"/>
                <w:sz w:val="24"/>
                <w:szCs w:val="24"/>
              </w:rPr>
              <w:t>×</w:t>
            </w:r>
            <w:r>
              <w:rPr>
                <w:rFonts w:ascii="Times New Roman" w:cs="Times New Roman" w:eastAsia="SimSun" w:hAnsi="Times New Roman"/>
                <w:sz w:val="24"/>
                <w:szCs w:val="24"/>
              </w:rPr>
              <w:t xml:space="preserve"> CML395</w:t>
            </w:r>
          </w:p>
        </w:tc>
        <w:tc>
          <w:tcPr>
            <w:tcW w:w="97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866"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9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6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169" w:type="dxa"/>
            <w:tcBorders>
              <w:top w:val="nil"/>
              <w:left w:val="nil"/>
              <w:bottom w:val="nil"/>
              <w:right w:val="nil"/>
            </w:tcBorders>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3.65</w:t>
            </w:r>
          </w:p>
        </w:tc>
      </w:tr>
      <w:tr>
        <w:tblPrEx/>
        <w:trPr>
          <w:trHeight w:val="301" w:hRule="atLeast"/>
        </w:trPr>
        <w:tc>
          <w:tcPr>
            <w:tcW w:w="558"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15</w:t>
            </w:r>
          </w:p>
        </w:tc>
        <w:tc>
          <w:tcPr>
            <w:tcW w:w="3361"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H512</w:t>
            </w:r>
          </w:p>
        </w:tc>
        <w:tc>
          <w:tcPr>
            <w:tcW w:w="97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866"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9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6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169" w:type="dxa"/>
            <w:tcBorders>
              <w:top w:val="nil"/>
              <w:left w:val="nil"/>
              <w:bottom w:val="nil"/>
              <w:right w:val="nil"/>
            </w:tcBorders>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2.78</w:t>
            </w:r>
          </w:p>
        </w:tc>
      </w:tr>
      <w:tr>
        <w:tblPrEx/>
        <w:trPr>
          <w:trHeight w:val="301" w:hRule="atLeast"/>
        </w:trPr>
        <w:tc>
          <w:tcPr>
            <w:tcW w:w="558"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16</w:t>
            </w:r>
          </w:p>
        </w:tc>
        <w:tc>
          <w:tcPr>
            <w:tcW w:w="3361"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CKL 05017</w:t>
            </w:r>
          </w:p>
        </w:tc>
        <w:tc>
          <w:tcPr>
            <w:tcW w:w="97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866"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9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6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169" w:type="dxa"/>
            <w:tcBorders>
              <w:top w:val="nil"/>
              <w:left w:val="nil"/>
              <w:bottom w:val="nil"/>
              <w:right w:val="nil"/>
            </w:tcBorders>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4.25</w:t>
            </w:r>
          </w:p>
        </w:tc>
      </w:tr>
      <w:bookmarkStart w:id="105" w:name="_Hlk156559181"/>
      <w:tr>
        <w:tblPrEx/>
        <w:trPr>
          <w:trHeight w:val="301" w:hRule="atLeast"/>
        </w:trPr>
        <w:tc>
          <w:tcPr>
            <w:tcW w:w="558"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17</w:t>
            </w:r>
            <w:bookmarkEnd w:id="105"/>
          </w:p>
        </w:tc>
        <w:tc>
          <w:tcPr>
            <w:tcW w:w="3361"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CKDHL 120312</w:t>
            </w:r>
          </w:p>
        </w:tc>
        <w:tc>
          <w:tcPr>
            <w:tcW w:w="97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866"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9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6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169" w:type="dxa"/>
            <w:tcBorders>
              <w:top w:val="nil"/>
              <w:left w:val="nil"/>
              <w:bottom w:val="nil"/>
              <w:right w:val="nil"/>
            </w:tcBorders>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3.22</w:t>
            </w:r>
          </w:p>
        </w:tc>
      </w:tr>
      <w:tr>
        <w:tblPrEx/>
        <w:trPr>
          <w:trHeight w:val="301" w:hRule="atLeast"/>
        </w:trPr>
        <w:tc>
          <w:tcPr>
            <w:tcW w:w="558"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18</w:t>
            </w:r>
          </w:p>
          <w:bookmarkStart w:id="106" w:name="_Hlk156558995"/>
        </w:tc>
        <w:tc>
          <w:tcPr>
            <w:tcW w:w="3361"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KTLN 10123</w:t>
            </w:r>
            <w:bookmarkEnd w:id="106"/>
          </w:p>
        </w:tc>
        <w:tc>
          <w:tcPr>
            <w:tcW w:w="97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866"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9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6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169" w:type="dxa"/>
            <w:tcBorders>
              <w:top w:val="nil"/>
              <w:left w:val="nil"/>
              <w:bottom w:val="nil"/>
              <w:right w:val="nil"/>
            </w:tcBorders>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2.65</w:t>
            </w:r>
          </w:p>
        </w:tc>
      </w:tr>
      <w:tr>
        <w:tblPrEx/>
        <w:trPr>
          <w:trHeight w:val="301" w:hRule="atLeast"/>
        </w:trPr>
        <w:tc>
          <w:tcPr>
            <w:tcW w:w="558"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19</w:t>
            </w:r>
          </w:p>
        </w:tc>
        <w:tc>
          <w:tcPr>
            <w:tcW w:w="3361"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CKL 05022</w:t>
            </w:r>
          </w:p>
        </w:tc>
        <w:tc>
          <w:tcPr>
            <w:tcW w:w="97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866"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9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6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169" w:type="dxa"/>
            <w:tcBorders>
              <w:top w:val="nil"/>
              <w:left w:val="nil"/>
              <w:bottom w:val="nil"/>
              <w:right w:val="nil"/>
            </w:tcBorders>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3.22</w:t>
            </w:r>
          </w:p>
        </w:tc>
      </w:tr>
      <w:tr>
        <w:tblPrEx/>
        <w:trPr>
          <w:trHeight w:val="301" w:hRule="atLeast"/>
        </w:trPr>
        <w:tc>
          <w:tcPr>
            <w:tcW w:w="558"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20</w:t>
            </w:r>
          </w:p>
        </w:tc>
        <w:tc>
          <w:tcPr>
            <w:tcW w:w="3361"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CKDHL 153502</w:t>
            </w:r>
          </w:p>
        </w:tc>
        <w:tc>
          <w:tcPr>
            <w:tcW w:w="97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866"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9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6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169" w:type="dxa"/>
            <w:tcBorders>
              <w:top w:val="nil"/>
              <w:left w:val="nil"/>
              <w:bottom w:val="nil"/>
              <w:right w:val="nil"/>
            </w:tcBorders>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3.83</w:t>
            </w:r>
          </w:p>
        </w:tc>
      </w:tr>
      <w:tr>
        <w:tblPrEx/>
        <w:trPr>
          <w:trHeight w:val="301" w:hRule="atLeast"/>
        </w:trPr>
        <w:tc>
          <w:tcPr>
            <w:tcW w:w="558"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21</w:t>
            </w:r>
          </w:p>
        </w:tc>
        <w:tc>
          <w:tcPr>
            <w:tcW w:w="3361"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CKL15537</w:t>
            </w:r>
          </w:p>
        </w:tc>
        <w:tc>
          <w:tcPr>
            <w:tcW w:w="97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866"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9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6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169" w:type="dxa"/>
            <w:tcBorders>
              <w:top w:val="nil"/>
              <w:left w:val="nil"/>
              <w:bottom w:val="nil"/>
              <w:right w:val="nil"/>
            </w:tcBorders>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4.35</w:t>
            </w:r>
          </w:p>
        </w:tc>
      </w:tr>
      <w:tr>
        <w:tblPrEx/>
        <w:trPr>
          <w:trHeight w:val="301" w:hRule="atLeast"/>
        </w:trPr>
        <w:tc>
          <w:tcPr>
            <w:tcW w:w="558"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22</w:t>
            </w:r>
          </w:p>
        </w:tc>
        <w:tc>
          <w:tcPr>
            <w:tcW w:w="3361"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CML 568</w:t>
            </w:r>
          </w:p>
        </w:tc>
        <w:tc>
          <w:tcPr>
            <w:tcW w:w="97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866"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9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65" w:type="dxa"/>
            <w:tcBorders>
              <w:top w:val="nil"/>
              <w:left w:val="nil"/>
              <w:bottom w:val="nil"/>
              <w:right w:val="nil"/>
            </w:tcBorders>
            <w:noWrap/>
            <w:vAlign w:val="bottom"/>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169" w:type="dxa"/>
            <w:tcBorders>
              <w:top w:val="nil"/>
              <w:left w:val="nil"/>
              <w:bottom w:val="nil"/>
              <w:right w:val="nil"/>
            </w:tcBorders>
          </w:tcPr>
          <w:p>
            <w:pPr>
              <w:pStyle w:val="style0"/>
              <w:spacing w:before="100" w:beforeAutospacing="true" w:after="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3.37</w:t>
            </w:r>
          </w:p>
        </w:tc>
      </w:tr>
      <w:tr>
        <w:tblPrEx/>
        <w:trPr>
          <w:trHeight w:val="301" w:hRule="atLeast"/>
        </w:trPr>
        <w:tc>
          <w:tcPr>
            <w:tcW w:w="558" w:type="dxa"/>
            <w:tcBorders>
              <w:top w:val="nil"/>
              <w:left w:val="nil"/>
              <w:bottom w:val="single" w:sz="12" w:space="0" w:color="auto"/>
              <w:right w:val="nil"/>
            </w:tcBorders>
            <w:noWrap/>
            <w:vAlign w:val="bottom"/>
          </w:tcPr>
          <w:p>
            <w:pPr>
              <w:pStyle w:val="style0"/>
              <w:spacing w:before="120" w:after="120" w:afterLines="5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23</w:t>
            </w:r>
          </w:p>
        </w:tc>
        <w:tc>
          <w:tcPr>
            <w:tcW w:w="3361" w:type="dxa"/>
            <w:tcBorders>
              <w:top w:val="nil"/>
              <w:left w:val="nil"/>
              <w:bottom w:val="single" w:sz="12" w:space="0" w:color="auto"/>
              <w:right w:val="nil"/>
            </w:tcBorders>
            <w:noWrap/>
            <w:vAlign w:val="bottom"/>
          </w:tcPr>
          <w:p>
            <w:pPr>
              <w:pStyle w:val="style0"/>
              <w:spacing w:before="120" w:after="120" w:afterLines="5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 xml:space="preserve">CKL 05022 </w:t>
            </w:r>
            <w:r>
              <w:rPr>
                <w:rFonts w:ascii="Times New Roman" w:cs="Times New Roman" w:eastAsia="Calibri" w:hAnsi="Times New Roman"/>
                <w:sz w:val="24"/>
                <w:szCs w:val="24"/>
              </w:rPr>
              <w:t>×</w:t>
            </w:r>
            <w:r>
              <w:rPr>
                <w:rFonts w:ascii="Times New Roman" w:cs="Times New Roman" w:eastAsia="SimSun" w:hAnsi="Times New Roman"/>
                <w:sz w:val="24"/>
                <w:szCs w:val="24"/>
              </w:rPr>
              <w:t xml:space="preserve"> CKL05017</w:t>
            </w:r>
          </w:p>
        </w:tc>
        <w:tc>
          <w:tcPr>
            <w:tcW w:w="975" w:type="dxa"/>
            <w:tcBorders>
              <w:top w:val="nil"/>
              <w:left w:val="nil"/>
              <w:bottom w:val="single" w:sz="12" w:space="0" w:color="auto"/>
              <w:right w:val="nil"/>
            </w:tcBorders>
            <w:noWrap/>
            <w:vAlign w:val="bottom"/>
          </w:tcPr>
          <w:p>
            <w:pPr>
              <w:pStyle w:val="style0"/>
              <w:spacing w:before="120" w:after="120" w:afterLines="5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866" w:type="dxa"/>
            <w:tcBorders>
              <w:top w:val="nil"/>
              <w:left w:val="nil"/>
              <w:bottom w:val="single" w:sz="12" w:space="0" w:color="auto"/>
              <w:right w:val="nil"/>
            </w:tcBorders>
            <w:noWrap/>
            <w:vAlign w:val="bottom"/>
          </w:tcPr>
          <w:p>
            <w:pPr>
              <w:pStyle w:val="style0"/>
              <w:spacing w:before="120" w:after="120" w:afterLines="5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95" w:type="dxa"/>
            <w:tcBorders>
              <w:top w:val="nil"/>
              <w:left w:val="nil"/>
              <w:bottom w:val="single" w:sz="12" w:space="0" w:color="auto"/>
              <w:right w:val="nil"/>
            </w:tcBorders>
            <w:noWrap/>
            <w:vAlign w:val="bottom"/>
          </w:tcPr>
          <w:p>
            <w:pPr>
              <w:pStyle w:val="style0"/>
              <w:spacing w:before="120" w:after="120" w:afterLines="5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065" w:type="dxa"/>
            <w:tcBorders>
              <w:top w:val="nil"/>
              <w:left w:val="nil"/>
              <w:bottom w:val="single" w:sz="12" w:space="0" w:color="auto"/>
              <w:right w:val="nil"/>
            </w:tcBorders>
            <w:noWrap/>
            <w:vAlign w:val="bottom"/>
          </w:tcPr>
          <w:p>
            <w:pPr>
              <w:pStyle w:val="style0"/>
              <w:spacing w:before="120" w:after="120" w:afterLines="5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w:t>
            </w:r>
          </w:p>
        </w:tc>
        <w:tc>
          <w:tcPr>
            <w:tcW w:w="1169" w:type="dxa"/>
            <w:tcBorders>
              <w:top w:val="nil"/>
              <w:left w:val="nil"/>
              <w:bottom w:val="single" w:sz="12" w:space="0" w:color="auto"/>
              <w:right w:val="nil"/>
            </w:tcBorders>
          </w:tcPr>
          <w:p>
            <w:pPr>
              <w:pStyle w:val="style0"/>
              <w:spacing w:before="120" w:after="120" w:afterLines="50" w:lineRule="auto" w:line="253"/>
              <w:jc w:val="both"/>
              <w:rPr>
                <w:rFonts w:ascii="Times New Roman" w:cs="Times New Roman" w:eastAsia="Calibri" w:hAnsi="Times New Roman"/>
                <w:sz w:val="24"/>
                <w:szCs w:val="24"/>
              </w:rPr>
            </w:pPr>
            <w:r>
              <w:rPr>
                <w:rFonts w:ascii="Times New Roman" w:cs="Times New Roman" w:eastAsia="SimSun" w:hAnsi="Times New Roman"/>
                <w:sz w:val="24"/>
                <w:szCs w:val="24"/>
              </w:rPr>
              <w:t>3.77</w:t>
            </w:r>
          </w:p>
        </w:tc>
      </w:tr>
      <w:bookmarkStart w:id="107" w:name="_Toc10683"/>
      <w:bookmarkStart w:id="108" w:name="_Toc27487"/>
      <w:bookmarkStart w:id="109" w:name="_Toc4926"/>
      <w:bookmarkStart w:id="110" w:name="_Toc11640"/>
      <w:bookmarkStart w:id="111" w:name="_Toc7245"/>
      <w:bookmarkStart w:id="112" w:name="_Toc9864"/>
      <w:bookmarkStart w:id="113" w:name="_Toc20876"/>
      <w:bookmarkStart w:id="114" w:name="_Toc21438"/>
      <w:bookmarkStart w:id="115" w:name="_Toc29121"/>
      <w:bookmarkStart w:id="116" w:name="_Toc22630"/>
      <w:bookmarkStart w:id="117" w:name="_Toc177554415"/>
      <w:bookmarkEnd w:id="107"/>
      <w:bookmarkEnd w:id="108"/>
      <w:bookmarkEnd w:id="109"/>
      <w:bookmarkEnd w:id="110"/>
      <w:bookmarkEnd w:id="111"/>
      <w:bookmarkEnd w:id="112"/>
      <w:bookmarkEnd w:id="113"/>
      <w:bookmarkEnd w:id="114"/>
      <w:bookmarkEnd w:id="115"/>
      <w:bookmarkEnd w:id="116"/>
      <w:bookmarkEnd w:id="117"/>
    </w:tbl>
    <w:p>
      <w:pPr>
        <w:pStyle w:val="style0"/>
        <w:keepNext/>
        <w:keepLines/>
        <w:widowControl w:val="false"/>
        <w:suppressAutoHyphens/>
        <w:spacing w:before="200" w:after="0" w:lineRule="auto" w:line="360"/>
        <w:jc w:val="both"/>
        <w:outlineLvl w:val="2"/>
        <w:rPr>
          <w:rFonts w:ascii="Times New Roman" w:cs="Times New Roman" w:eastAsia="Times New Roman" w:hAnsi="Times New Roman"/>
          <w:b/>
          <w:bCs/>
          <w:sz w:val="24"/>
          <w:szCs w:val="24"/>
          <w:lang w:eastAsia="en-GB"/>
        </w:rPr>
      </w:pPr>
    </w:p>
    <w:p>
      <w:pPr>
        <w:pStyle w:val="style0"/>
        <w:keepNext/>
        <w:keepLines/>
        <w:widowControl w:val="false"/>
        <w:suppressAutoHyphens/>
        <w:spacing w:after="0" w:lineRule="auto" w:line="360"/>
        <w:jc w:val="both"/>
        <w:outlineLvl w:val="2"/>
        <w:rPr>
          <w:rFonts w:ascii="Times New Roman" w:cs="Times New Roman" w:eastAsia="Times New Roman" w:hAnsi="Times New Roman"/>
          <w:b/>
          <w:bCs/>
          <w:sz w:val="24"/>
          <w:szCs w:val="24"/>
          <w:lang w:eastAsia="en-GB"/>
        </w:rPr>
      </w:pPr>
      <w:r>
        <w:rPr>
          <w:rFonts w:ascii="Times New Roman" w:cs="Times New Roman" w:eastAsia="Times New Roman" w:hAnsi="Times New Roman"/>
          <w:b/>
          <w:bCs/>
          <w:sz w:val="24"/>
          <w:szCs w:val="24"/>
          <w:lang w:eastAsia="en-GB"/>
        </w:rPr>
        <w:t>3.4 Analysis of Molecular Variance (AMOVA)</w:t>
      </w:r>
    </w:p>
    <w:p>
      <w:pPr>
        <w:pStyle w:val="style0"/>
        <w:suppressAutoHyphens/>
        <w:spacing w:after="0" w:lineRule="auto" w:line="360"/>
        <w:jc w:val="both"/>
        <w:rPr>
          <w:rFonts w:ascii="Times New Roman" w:cs="Times New Roman" w:eastAsia="Times New Roman" w:hAnsi="Times New Roman"/>
          <w:sz w:val="24"/>
          <w:szCs w:val="24"/>
          <w:lang w:eastAsia="en-GB"/>
        </w:rPr>
      </w:pPr>
      <w:r>
        <w:rPr>
          <w:rFonts w:ascii="Times New Roman" w:cs="Times New Roman" w:eastAsia="Times New Roman" w:hAnsi="Times New Roman"/>
          <w:sz w:val="24"/>
          <w:szCs w:val="24"/>
          <w:lang w:eastAsia="en-GB"/>
        </w:rPr>
        <w:t>The AMOVA results indicate significant genetic differentiation between groups, as evidenced by the highly significant p-value (0.0001) and a high F-ratio (10.67) (Table 5). The variation between groups (SS = 15.25, MS = 5.083) is substantially greater than the variation within groups (SS = 8.90, MS = 0.468), suggesting that most of the genetic diversity is structured among groups rather than within them. With a total sum of squares of 24.15, the majority of the observed genetic variance is attributed to differences between groups rather than individual variation within groups.</w:t>
      </w:r>
    </w:p>
    <w:p>
      <w:pPr>
        <w:pStyle w:val="style0"/>
        <w:suppressAutoHyphens/>
        <w:spacing w:before="100" w:beforeAutospacing="true" w:after="0" w:lineRule="auto" w:line="360"/>
        <w:jc w:val="both"/>
        <w:rPr>
          <w:rFonts w:ascii="Times New Roman" w:cs="Times New Roman" w:eastAsia="Times New Roman" w:hAnsi="Times New Roman"/>
          <w:sz w:val="24"/>
          <w:szCs w:val="24"/>
          <w:lang w:eastAsia="en-GB"/>
        </w:rPr>
      </w:pPr>
    </w:p>
    <w:p>
      <w:pPr>
        <w:pStyle w:val="style0"/>
        <w:keepNext/>
        <w:suppressAutoHyphens/>
        <w:spacing w:before="100" w:beforeAutospacing="true" w:after="0" w:lineRule="auto" w:line="360"/>
        <w:jc w:val="both"/>
        <w:outlineLvl w:val="1"/>
        <w:rPr>
          <w:rFonts w:ascii="Times New Roman" w:cs="Times New Roman" w:eastAsia="Calibri" w:hAnsi="Times New Roman"/>
          <w:b/>
          <w:bCs/>
          <w:sz w:val="24"/>
          <w:szCs w:val="24"/>
          <w:lang w:eastAsia="en-GB"/>
        </w:rPr>
      </w:pPr>
      <w:r>
        <w:rPr>
          <w:rFonts w:ascii="Times New Roman" w:cs="Times New Roman" w:eastAsia="Calibri" w:hAnsi="Times New Roman"/>
          <w:b/>
          <w:bCs/>
          <w:sz w:val="24"/>
          <w:szCs w:val="24"/>
          <w:lang w:eastAsia="en-GB"/>
        </w:rPr>
        <w:t>Table .5: Analysis of Molecular Variance of the 23 genotypes selected.</w:t>
      </w:r>
    </w:p>
    <w:tbl>
      <w:tblPr>
        <w:tblW w:w="8726" w:type="dxa"/>
        <w:tblCellSpacing w:w="15" w:type="dxa"/>
        <w:tblInd w:w="63" w:type="dxa"/>
        <w:tblCellMar>
          <w:top w:w="15" w:type="dxa"/>
          <w:left w:w="15" w:type="dxa"/>
          <w:bottom w:w="15" w:type="dxa"/>
          <w:right w:w="15" w:type="dxa"/>
        </w:tblCellMar>
        <w:tblLook w:val="04A0" w:firstRow="1" w:lastRow="0" w:firstColumn="1" w:lastColumn="0" w:noHBand="0" w:noVBand="1"/>
      </w:tblPr>
      <w:tblGrid>
        <w:gridCol w:w="2359"/>
        <w:gridCol w:w="1370"/>
        <w:gridCol w:w="1181"/>
        <w:gridCol w:w="1275"/>
        <w:gridCol w:w="1276"/>
        <w:gridCol w:w="1261"/>
      </w:tblGrid>
      <w:tr>
        <w:trPr>
          <w:trHeight w:val="882" w:hRule="atLeast"/>
          <w:tblCellSpacing w:w="15" w:type="dxa"/>
        </w:trPr>
        <w:tc>
          <w:tcPr>
            <w:tcW w:w="2303" w:type="dxa"/>
            <w:tcBorders>
              <w:top w:val="single" w:sz="12" w:space="0" w:color="auto"/>
              <w:left w:val="nil"/>
              <w:bottom w:val="single" w:sz="12" w:space="0" w:color="auto"/>
              <w:right w:val="nil"/>
            </w:tcBorders>
            <w:vAlign w:val="center"/>
          </w:tcPr>
          <w:p>
            <w:pPr>
              <w:pStyle w:val="style0"/>
              <w:spacing w:before="100" w:beforeAutospacing="true" w:lineRule="auto" w:line="256"/>
              <w:jc w:val="both"/>
              <w:rPr>
                <w:rFonts w:ascii="Times New Roman" w:cs="Times New Roman" w:eastAsia="Calibri" w:hAnsi="Times New Roman"/>
                <w:b/>
                <w:bCs/>
                <w:sz w:val="24"/>
                <w:szCs w:val="24"/>
              </w:rPr>
            </w:pPr>
            <w:r>
              <w:rPr>
                <w:rFonts w:ascii="Times New Roman" w:cs="Times New Roman" w:eastAsia="SimSun" w:hAnsi="Times New Roman"/>
                <w:b/>
                <w:bCs/>
                <w:sz w:val="24"/>
                <w:szCs w:val="24"/>
              </w:rPr>
              <w:t>Source of Variation</w:t>
            </w:r>
          </w:p>
        </w:tc>
        <w:tc>
          <w:tcPr>
            <w:tcW w:w="1338" w:type="dxa"/>
            <w:tcBorders>
              <w:top w:val="single" w:sz="12" w:space="0" w:color="auto"/>
              <w:left w:val="nil"/>
              <w:bottom w:val="single" w:sz="12" w:space="0" w:color="auto"/>
              <w:right w:val="nil"/>
            </w:tcBorders>
            <w:vAlign w:val="center"/>
          </w:tcPr>
          <w:p>
            <w:pPr>
              <w:pStyle w:val="style0"/>
              <w:spacing w:before="100" w:beforeAutospacing="true" w:lineRule="auto" w:line="256"/>
              <w:jc w:val="both"/>
              <w:rPr>
                <w:rFonts w:ascii="Times New Roman" w:cs="Times New Roman" w:eastAsia="Calibri" w:hAnsi="Times New Roman"/>
                <w:b/>
                <w:bCs/>
                <w:sz w:val="24"/>
                <w:szCs w:val="24"/>
              </w:rPr>
            </w:pPr>
            <w:r>
              <w:rPr>
                <w:rFonts w:ascii="Times New Roman" w:cs="Times New Roman" w:eastAsia="SimSun" w:hAnsi="Times New Roman"/>
                <w:b/>
                <w:bCs/>
                <w:sz w:val="24"/>
                <w:szCs w:val="24"/>
              </w:rPr>
              <w:t>DF</w:t>
            </w:r>
          </w:p>
        </w:tc>
        <w:tc>
          <w:tcPr>
            <w:tcW w:w="1153" w:type="dxa"/>
            <w:tcBorders>
              <w:top w:val="single" w:sz="12" w:space="0" w:color="auto"/>
              <w:left w:val="nil"/>
              <w:bottom w:val="single" w:sz="12" w:space="0" w:color="auto"/>
              <w:right w:val="nil"/>
            </w:tcBorders>
            <w:vAlign w:val="center"/>
          </w:tcPr>
          <w:p>
            <w:pPr>
              <w:pStyle w:val="style0"/>
              <w:spacing w:before="100" w:beforeAutospacing="true" w:lineRule="auto" w:line="256"/>
              <w:jc w:val="both"/>
              <w:rPr>
                <w:rFonts w:ascii="Times New Roman" w:cs="Times New Roman" w:eastAsia="Calibri" w:hAnsi="Times New Roman"/>
                <w:b/>
                <w:bCs/>
                <w:sz w:val="24"/>
                <w:szCs w:val="24"/>
              </w:rPr>
            </w:pPr>
            <w:r>
              <w:rPr>
                <w:rFonts w:ascii="Times New Roman" w:cs="Times New Roman" w:eastAsia="SimSun" w:hAnsi="Times New Roman"/>
                <w:b/>
                <w:bCs/>
                <w:sz w:val="24"/>
                <w:szCs w:val="24"/>
              </w:rPr>
              <w:t>SS</w:t>
            </w:r>
          </w:p>
        </w:tc>
        <w:tc>
          <w:tcPr>
            <w:tcW w:w="1245" w:type="dxa"/>
            <w:tcBorders>
              <w:top w:val="single" w:sz="12" w:space="0" w:color="auto"/>
              <w:left w:val="nil"/>
              <w:bottom w:val="single" w:sz="12" w:space="0" w:color="auto"/>
              <w:right w:val="nil"/>
            </w:tcBorders>
            <w:vAlign w:val="center"/>
          </w:tcPr>
          <w:p>
            <w:pPr>
              <w:pStyle w:val="style0"/>
              <w:spacing w:before="100" w:beforeAutospacing="true" w:lineRule="auto" w:line="256"/>
              <w:jc w:val="both"/>
              <w:rPr>
                <w:rFonts w:ascii="Times New Roman" w:cs="Times New Roman" w:eastAsia="Calibri" w:hAnsi="Times New Roman"/>
                <w:b/>
                <w:bCs/>
                <w:sz w:val="24"/>
                <w:szCs w:val="24"/>
              </w:rPr>
            </w:pPr>
            <w:r>
              <w:rPr>
                <w:rFonts w:ascii="Times New Roman" w:cs="Times New Roman" w:eastAsia="SimSun" w:hAnsi="Times New Roman"/>
                <w:b/>
                <w:bCs/>
                <w:sz w:val="24"/>
                <w:szCs w:val="24"/>
              </w:rPr>
              <w:t>MS</w:t>
            </w:r>
          </w:p>
        </w:tc>
        <w:tc>
          <w:tcPr>
            <w:tcW w:w="1246" w:type="dxa"/>
            <w:tcBorders>
              <w:top w:val="single" w:sz="12" w:space="0" w:color="auto"/>
              <w:left w:val="nil"/>
              <w:bottom w:val="single" w:sz="12" w:space="0" w:color="auto"/>
              <w:right w:val="nil"/>
            </w:tcBorders>
            <w:vAlign w:val="center"/>
          </w:tcPr>
          <w:p>
            <w:pPr>
              <w:pStyle w:val="style0"/>
              <w:spacing w:before="100" w:beforeAutospacing="true" w:lineRule="auto" w:line="256"/>
              <w:jc w:val="both"/>
              <w:rPr>
                <w:rFonts w:ascii="Times New Roman" w:cs="Times New Roman" w:eastAsia="Calibri" w:hAnsi="Times New Roman"/>
                <w:b/>
                <w:bCs/>
                <w:sz w:val="24"/>
                <w:szCs w:val="24"/>
              </w:rPr>
            </w:pPr>
            <w:r>
              <w:rPr>
                <w:rFonts w:ascii="Times New Roman" w:cs="Times New Roman" w:eastAsia="SimSun" w:hAnsi="Times New Roman"/>
                <w:b/>
                <w:bCs/>
                <w:sz w:val="24"/>
                <w:szCs w:val="24"/>
              </w:rPr>
              <w:t>F-ratio (F)</w:t>
            </w:r>
          </w:p>
        </w:tc>
        <w:tc>
          <w:tcPr>
            <w:tcW w:w="1231" w:type="dxa"/>
            <w:tcBorders>
              <w:top w:val="single" w:sz="12" w:space="0" w:color="auto"/>
              <w:left w:val="nil"/>
              <w:bottom w:val="single" w:sz="12" w:space="0" w:color="auto"/>
              <w:right w:val="nil"/>
            </w:tcBorders>
            <w:vAlign w:val="center"/>
          </w:tcPr>
          <w:p>
            <w:pPr>
              <w:pStyle w:val="style0"/>
              <w:spacing w:before="100" w:beforeAutospacing="true" w:lineRule="auto" w:line="256"/>
              <w:jc w:val="both"/>
              <w:rPr>
                <w:rFonts w:ascii="Times New Roman" w:cs="Times New Roman" w:eastAsia="Calibri" w:hAnsi="Times New Roman"/>
                <w:b/>
                <w:bCs/>
                <w:sz w:val="24"/>
                <w:szCs w:val="24"/>
              </w:rPr>
            </w:pPr>
            <w:r>
              <w:rPr>
                <w:rFonts w:ascii="Times New Roman" w:cs="Times New Roman" w:eastAsia="SimSun" w:hAnsi="Times New Roman"/>
                <w:b/>
                <w:bCs/>
                <w:sz w:val="24"/>
                <w:szCs w:val="24"/>
              </w:rPr>
              <w:t>P-value</w:t>
            </w:r>
          </w:p>
        </w:tc>
      </w:tr>
      <w:tr>
        <w:tblPrEx/>
        <w:trPr>
          <w:trHeight w:val="472" w:hRule="atLeast"/>
          <w:tblCellSpacing w:w="15" w:type="dxa"/>
        </w:trPr>
        <w:tc>
          <w:tcPr>
            <w:tcW w:w="2303" w:type="dxa"/>
            <w:tcBorders>
              <w:top w:val="nil"/>
              <w:left w:val="nil"/>
              <w:bottom w:val="nil"/>
              <w:right w:val="nil"/>
            </w:tcBorders>
            <w:vAlign w:val="center"/>
          </w:tcPr>
          <w:p>
            <w:pPr>
              <w:pStyle w:val="style0"/>
              <w:spacing w:before="100" w:beforeAutospacing="true" w:lineRule="auto" w:line="256"/>
              <w:jc w:val="both"/>
              <w:rPr>
                <w:rFonts w:ascii="Times New Roman" w:cs="Times New Roman" w:eastAsia="Calibri" w:hAnsi="Times New Roman"/>
                <w:sz w:val="24"/>
                <w:szCs w:val="24"/>
              </w:rPr>
            </w:pPr>
            <w:r>
              <w:rPr>
                <w:rFonts w:ascii="Times New Roman" w:cs="Times New Roman" w:eastAsia="SimSun" w:hAnsi="Times New Roman"/>
                <w:b/>
                <w:bCs/>
                <w:sz w:val="24"/>
                <w:szCs w:val="24"/>
              </w:rPr>
              <w:t>Between Groups</w:t>
            </w:r>
          </w:p>
        </w:tc>
        <w:tc>
          <w:tcPr>
            <w:tcW w:w="1338" w:type="dxa"/>
            <w:tcBorders>
              <w:top w:val="nil"/>
              <w:left w:val="nil"/>
              <w:bottom w:val="nil"/>
              <w:right w:val="nil"/>
            </w:tcBorders>
            <w:vAlign w:val="center"/>
          </w:tcPr>
          <w:p>
            <w:pPr>
              <w:pStyle w:val="style0"/>
              <w:spacing w:before="100" w:beforeAutospacing="true" w:lineRule="auto" w:line="256"/>
              <w:jc w:val="both"/>
              <w:rPr>
                <w:rFonts w:ascii="Times New Roman" w:cs="Times New Roman" w:eastAsia="Calibri" w:hAnsi="Times New Roman"/>
                <w:sz w:val="24"/>
                <w:szCs w:val="24"/>
              </w:rPr>
            </w:pPr>
            <w:r>
              <w:rPr>
                <w:rFonts w:ascii="Times New Roman" w:cs="Times New Roman" w:eastAsia="SimSun" w:hAnsi="Times New Roman"/>
                <w:sz w:val="24"/>
                <w:szCs w:val="24"/>
              </w:rPr>
              <w:t>3</w:t>
            </w:r>
          </w:p>
        </w:tc>
        <w:tc>
          <w:tcPr>
            <w:tcW w:w="1153" w:type="dxa"/>
            <w:tcBorders>
              <w:top w:val="nil"/>
              <w:left w:val="nil"/>
              <w:bottom w:val="nil"/>
              <w:right w:val="nil"/>
            </w:tcBorders>
            <w:vAlign w:val="center"/>
          </w:tcPr>
          <w:p>
            <w:pPr>
              <w:pStyle w:val="style0"/>
              <w:spacing w:before="100" w:beforeAutospacing="true" w:lineRule="auto" w:line="256"/>
              <w:jc w:val="both"/>
              <w:rPr>
                <w:rFonts w:ascii="Times New Roman" w:cs="Times New Roman" w:eastAsia="Calibri" w:hAnsi="Times New Roman"/>
                <w:sz w:val="24"/>
                <w:szCs w:val="24"/>
              </w:rPr>
            </w:pPr>
            <w:r>
              <w:rPr>
                <w:rFonts w:ascii="Times New Roman" w:cs="Times New Roman" w:eastAsia="SimSun" w:hAnsi="Times New Roman"/>
                <w:sz w:val="24"/>
                <w:szCs w:val="24"/>
              </w:rPr>
              <w:t>15.25</w:t>
            </w:r>
          </w:p>
        </w:tc>
        <w:tc>
          <w:tcPr>
            <w:tcW w:w="1245" w:type="dxa"/>
            <w:tcBorders>
              <w:top w:val="nil"/>
              <w:left w:val="nil"/>
              <w:bottom w:val="nil"/>
              <w:right w:val="nil"/>
            </w:tcBorders>
            <w:vAlign w:val="center"/>
          </w:tcPr>
          <w:p>
            <w:pPr>
              <w:pStyle w:val="style0"/>
              <w:spacing w:before="100" w:beforeAutospacing="true" w:lineRule="auto" w:line="256"/>
              <w:jc w:val="both"/>
              <w:rPr>
                <w:rFonts w:ascii="Times New Roman" w:cs="Times New Roman" w:eastAsia="Calibri" w:hAnsi="Times New Roman"/>
                <w:sz w:val="24"/>
                <w:szCs w:val="24"/>
              </w:rPr>
            </w:pPr>
            <w:r>
              <w:rPr>
                <w:rFonts w:ascii="Times New Roman" w:cs="Times New Roman" w:eastAsia="SimSun" w:hAnsi="Times New Roman"/>
                <w:sz w:val="24"/>
                <w:szCs w:val="24"/>
              </w:rPr>
              <w:t>5.083</w:t>
            </w:r>
          </w:p>
        </w:tc>
        <w:tc>
          <w:tcPr>
            <w:tcW w:w="1246" w:type="dxa"/>
            <w:tcBorders>
              <w:top w:val="nil"/>
              <w:left w:val="nil"/>
              <w:bottom w:val="nil"/>
              <w:right w:val="nil"/>
            </w:tcBorders>
            <w:vAlign w:val="center"/>
          </w:tcPr>
          <w:p>
            <w:pPr>
              <w:pStyle w:val="style0"/>
              <w:spacing w:before="100" w:beforeAutospacing="true" w:lineRule="auto" w:line="256"/>
              <w:jc w:val="both"/>
              <w:rPr>
                <w:rFonts w:ascii="Times New Roman" w:cs="Times New Roman" w:eastAsia="Calibri" w:hAnsi="Times New Roman"/>
                <w:sz w:val="24"/>
                <w:szCs w:val="24"/>
              </w:rPr>
            </w:pPr>
            <w:r>
              <w:rPr>
                <w:rFonts w:ascii="Times New Roman" w:cs="Times New Roman" w:eastAsia="SimSun" w:hAnsi="Times New Roman"/>
                <w:sz w:val="24"/>
                <w:szCs w:val="24"/>
              </w:rPr>
              <w:t>10.67</w:t>
            </w:r>
          </w:p>
        </w:tc>
        <w:tc>
          <w:tcPr>
            <w:tcW w:w="1231" w:type="dxa"/>
            <w:tcBorders>
              <w:top w:val="nil"/>
              <w:left w:val="nil"/>
              <w:bottom w:val="nil"/>
              <w:right w:val="nil"/>
            </w:tcBorders>
            <w:vAlign w:val="center"/>
          </w:tcPr>
          <w:p>
            <w:pPr>
              <w:pStyle w:val="style0"/>
              <w:spacing w:before="100" w:beforeAutospacing="true" w:lineRule="auto" w:line="256"/>
              <w:jc w:val="both"/>
              <w:rPr>
                <w:rFonts w:ascii="Times New Roman" w:cs="Times New Roman" w:eastAsia="Calibri" w:hAnsi="Times New Roman"/>
                <w:sz w:val="24"/>
                <w:szCs w:val="24"/>
              </w:rPr>
            </w:pPr>
            <w:r>
              <w:rPr>
                <w:rFonts w:ascii="Times New Roman" w:cs="Times New Roman" w:eastAsia="SimSun" w:hAnsi="Times New Roman"/>
                <w:sz w:val="24"/>
                <w:szCs w:val="24"/>
              </w:rPr>
              <w:t>0.0001</w:t>
            </w:r>
          </w:p>
        </w:tc>
      </w:tr>
      <w:tr>
        <w:tblPrEx/>
        <w:trPr>
          <w:trHeight w:val="472" w:hRule="atLeast"/>
          <w:tblCellSpacing w:w="15" w:type="dxa"/>
        </w:trPr>
        <w:tc>
          <w:tcPr>
            <w:tcW w:w="2303" w:type="dxa"/>
            <w:tcBorders>
              <w:top w:val="nil"/>
              <w:left w:val="nil"/>
              <w:bottom w:val="nil"/>
              <w:right w:val="nil"/>
            </w:tcBorders>
            <w:vAlign w:val="center"/>
          </w:tcPr>
          <w:p>
            <w:pPr>
              <w:pStyle w:val="style0"/>
              <w:spacing w:before="100" w:beforeAutospacing="true" w:lineRule="auto" w:line="256"/>
              <w:jc w:val="both"/>
              <w:rPr>
                <w:rFonts w:ascii="Times New Roman" w:cs="Times New Roman" w:eastAsia="Calibri" w:hAnsi="Times New Roman"/>
                <w:sz w:val="24"/>
                <w:szCs w:val="24"/>
              </w:rPr>
            </w:pPr>
            <w:r>
              <w:rPr>
                <w:rFonts w:ascii="Times New Roman" w:cs="Times New Roman" w:eastAsia="SimSun" w:hAnsi="Times New Roman"/>
                <w:b/>
                <w:bCs/>
                <w:sz w:val="24"/>
                <w:szCs w:val="24"/>
              </w:rPr>
              <w:t>Within Groups</w:t>
            </w:r>
          </w:p>
        </w:tc>
        <w:tc>
          <w:tcPr>
            <w:tcW w:w="1338" w:type="dxa"/>
            <w:tcBorders>
              <w:top w:val="nil"/>
              <w:left w:val="nil"/>
              <w:bottom w:val="nil"/>
              <w:right w:val="nil"/>
            </w:tcBorders>
            <w:vAlign w:val="center"/>
          </w:tcPr>
          <w:p>
            <w:pPr>
              <w:pStyle w:val="style0"/>
              <w:spacing w:before="100" w:beforeAutospacing="true" w:lineRule="auto" w:line="256"/>
              <w:jc w:val="both"/>
              <w:rPr>
                <w:rFonts w:ascii="Times New Roman" w:cs="Times New Roman" w:eastAsia="Calibri" w:hAnsi="Times New Roman"/>
                <w:sz w:val="24"/>
                <w:szCs w:val="24"/>
              </w:rPr>
            </w:pPr>
            <w:r>
              <w:rPr>
                <w:rFonts w:ascii="Times New Roman" w:cs="Times New Roman" w:eastAsia="SimSun" w:hAnsi="Times New Roman"/>
                <w:sz w:val="24"/>
                <w:szCs w:val="24"/>
              </w:rPr>
              <w:t>19</w:t>
            </w:r>
          </w:p>
        </w:tc>
        <w:tc>
          <w:tcPr>
            <w:tcW w:w="1153" w:type="dxa"/>
            <w:tcBorders>
              <w:top w:val="nil"/>
              <w:left w:val="nil"/>
              <w:bottom w:val="nil"/>
              <w:right w:val="nil"/>
            </w:tcBorders>
            <w:vAlign w:val="center"/>
          </w:tcPr>
          <w:p>
            <w:pPr>
              <w:pStyle w:val="style0"/>
              <w:spacing w:before="100" w:beforeAutospacing="true" w:lineRule="auto" w:line="256"/>
              <w:jc w:val="both"/>
              <w:rPr>
                <w:rFonts w:ascii="Times New Roman" w:cs="Times New Roman" w:eastAsia="Calibri" w:hAnsi="Times New Roman"/>
                <w:sz w:val="24"/>
                <w:szCs w:val="24"/>
              </w:rPr>
            </w:pPr>
            <w:r>
              <w:rPr>
                <w:rFonts w:ascii="Times New Roman" w:cs="Times New Roman" w:eastAsia="SimSun" w:hAnsi="Times New Roman"/>
                <w:sz w:val="24"/>
                <w:szCs w:val="24"/>
              </w:rPr>
              <w:t>8.90</w:t>
            </w:r>
          </w:p>
        </w:tc>
        <w:tc>
          <w:tcPr>
            <w:tcW w:w="1245" w:type="dxa"/>
            <w:tcBorders>
              <w:top w:val="nil"/>
              <w:left w:val="nil"/>
              <w:bottom w:val="nil"/>
              <w:right w:val="nil"/>
            </w:tcBorders>
            <w:vAlign w:val="center"/>
          </w:tcPr>
          <w:p>
            <w:pPr>
              <w:pStyle w:val="style0"/>
              <w:spacing w:before="100" w:beforeAutospacing="true" w:lineRule="auto" w:line="256"/>
              <w:jc w:val="both"/>
              <w:rPr>
                <w:rFonts w:ascii="Times New Roman" w:cs="Times New Roman" w:eastAsia="Calibri" w:hAnsi="Times New Roman"/>
                <w:sz w:val="24"/>
                <w:szCs w:val="24"/>
              </w:rPr>
            </w:pPr>
            <w:r>
              <w:rPr>
                <w:rFonts w:ascii="Times New Roman" w:cs="Times New Roman" w:eastAsia="SimSun" w:hAnsi="Times New Roman"/>
                <w:sz w:val="24"/>
                <w:szCs w:val="24"/>
              </w:rPr>
              <w:t>0.468</w:t>
            </w:r>
          </w:p>
        </w:tc>
        <w:tc>
          <w:tcPr>
            <w:tcW w:w="1246" w:type="dxa"/>
            <w:tcBorders>
              <w:top w:val="nil"/>
              <w:left w:val="nil"/>
              <w:bottom w:val="nil"/>
              <w:right w:val="nil"/>
            </w:tcBorders>
            <w:vAlign w:val="center"/>
          </w:tcPr>
          <w:p>
            <w:pPr>
              <w:pStyle w:val="style0"/>
              <w:spacing w:before="100" w:beforeAutospacing="true" w:lineRule="auto" w:line="256"/>
              <w:jc w:val="both"/>
              <w:rPr>
                <w:rFonts w:ascii="Times New Roman" w:cs="Times New Roman" w:eastAsia="Calibri" w:hAnsi="Times New Roman"/>
                <w:sz w:val="24"/>
                <w:szCs w:val="24"/>
              </w:rPr>
            </w:pPr>
          </w:p>
        </w:tc>
        <w:tc>
          <w:tcPr>
            <w:tcW w:w="1231" w:type="dxa"/>
            <w:tcBorders>
              <w:top w:val="nil"/>
              <w:left w:val="nil"/>
              <w:bottom w:val="nil"/>
              <w:right w:val="nil"/>
            </w:tcBorders>
            <w:vAlign w:val="center"/>
          </w:tcPr>
          <w:p>
            <w:pPr>
              <w:pStyle w:val="style0"/>
              <w:spacing w:before="100" w:beforeAutospacing="true" w:lineRule="auto" w:line="256"/>
              <w:jc w:val="both"/>
              <w:rPr>
                <w:rFonts w:ascii="Times New Roman" w:cs="Times New Roman" w:eastAsia="Calibri" w:hAnsi="Times New Roman"/>
                <w:sz w:val="24"/>
                <w:szCs w:val="24"/>
              </w:rPr>
            </w:pPr>
          </w:p>
        </w:tc>
      </w:tr>
      <w:tr>
        <w:tblPrEx/>
        <w:trPr>
          <w:trHeight w:val="493" w:hRule="atLeast"/>
          <w:tblCellSpacing w:w="15" w:type="dxa"/>
        </w:trPr>
        <w:tc>
          <w:tcPr>
            <w:tcW w:w="2303" w:type="dxa"/>
            <w:tcBorders>
              <w:top w:val="nil"/>
              <w:left w:val="nil"/>
              <w:bottom w:val="single" w:sz="12" w:space="0" w:color="auto"/>
              <w:right w:val="nil"/>
            </w:tcBorders>
            <w:vAlign w:val="center"/>
          </w:tcPr>
          <w:p>
            <w:pPr>
              <w:pStyle w:val="style0"/>
              <w:spacing w:before="100" w:beforeAutospacing="true" w:lineRule="auto" w:line="256"/>
              <w:jc w:val="both"/>
              <w:rPr>
                <w:rFonts w:ascii="Times New Roman" w:cs="Times New Roman" w:eastAsia="Calibri" w:hAnsi="Times New Roman"/>
                <w:sz w:val="24"/>
                <w:szCs w:val="24"/>
              </w:rPr>
            </w:pPr>
            <w:r>
              <w:rPr>
                <w:rFonts w:ascii="Times New Roman" w:cs="Times New Roman" w:eastAsia="SimSun" w:hAnsi="Times New Roman"/>
                <w:b/>
                <w:bCs/>
                <w:sz w:val="24"/>
                <w:szCs w:val="24"/>
              </w:rPr>
              <w:t>Total</w:t>
            </w:r>
          </w:p>
        </w:tc>
        <w:tc>
          <w:tcPr>
            <w:tcW w:w="1338" w:type="dxa"/>
            <w:tcBorders>
              <w:top w:val="nil"/>
              <w:left w:val="nil"/>
              <w:bottom w:val="single" w:sz="12" w:space="0" w:color="auto"/>
              <w:right w:val="nil"/>
            </w:tcBorders>
            <w:vAlign w:val="center"/>
          </w:tcPr>
          <w:p>
            <w:pPr>
              <w:pStyle w:val="style0"/>
              <w:spacing w:before="100" w:beforeAutospacing="true" w:lineRule="auto" w:line="256"/>
              <w:jc w:val="both"/>
              <w:rPr>
                <w:rFonts w:ascii="Times New Roman" w:cs="Times New Roman" w:eastAsia="Calibri" w:hAnsi="Times New Roman"/>
                <w:sz w:val="24"/>
                <w:szCs w:val="24"/>
              </w:rPr>
            </w:pPr>
            <w:r>
              <w:rPr>
                <w:rFonts w:ascii="Times New Roman" w:cs="Times New Roman" w:eastAsia="SimSun" w:hAnsi="Times New Roman"/>
                <w:sz w:val="24"/>
                <w:szCs w:val="24"/>
              </w:rPr>
              <w:t>22</w:t>
            </w:r>
          </w:p>
        </w:tc>
        <w:tc>
          <w:tcPr>
            <w:tcW w:w="1153" w:type="dxa"/>
            <w:tcBorders>
              <w:top w:val="nil"/>
              <w:left w:val="nil"/>
              <w:bottom w:val="single" w:sz="12" w:space="0" w:color="auto"/>
              <w:right w:val="nil"/>
            </w:tcBorders>
            <w:vAlign w:val="center"/>
          </w:tcPr>
          <w:p>
            <w:pPr>
              <w:pStyle w:val="style0"/>
              <w:spacing w:before="100" w:beforeAutospacing="true" w:lineRule="auto" w:line="256"/>
              <w:jc w:val="both"/>
              <w:rPr>
                <w:rFonts w:ascii="Times New Roman" w:cs="Times New Roman" w:eastAsia="Calibri" w:hAnsi="Times New Roman"/>
                <w:sz w:val="24"/>
                <w:szCs w:val="24"/>
              </w:rPr>
            </w:pPr>
            <w:r>
              <w:rPr>
                <w:rFonts w:ascii="Times New Roman" w:cs="Times New Roman" w:eastAsia="SimSun" w:hAnsi="Times New Roman"/>
                <w:sz w:val="24"/>
                <w:szCs w:val="24"/>
              </w:rPr>
              <w:t>24.15</w:t>
            </w:r>
          </w:p>
        </w:tc>
        <w:tc>
          <w:tcPr>
            <w:tcW w:w="1245" w:type="dxa"/>
            <w:tcBorders>
              <w:top w:val="nil"/>
              <w:left w:val="nil"/>
              <w:bottom w:val="single" w:sz="12" w:space="0" w:color="auto"/>
              <w:right w:val="nil"/>
            </w:tcBorders>
            <w:vAlign w:val="center"/>
          </w:tcPr>
          <w:p>
            <w:pPr>
              <w:pStyle w:val="style0"/>
              <w:spacing w:before="100" w:beforeAutospacing="true" w:lineRule="auto" w:line="256"/>
              <w:jc w:val="both"/>
              <w:rPr>
                <w:rFonts w:ascii="Times New Roman" w:cs="Times New Roman" w:eastAsia="Calibri" w:hAnsi="Times New Roman"/>
                <w:sz w:val="24"/>
                <w:szCs w:val="24"/>
              </w:rPr>
            </w:pPr>
          </w:p>
        </w:tc>
        <w:tc>
          <w:tcPr>
            <w:tcW w:w="1246" w:type="dxa"/>
            <w:tcBorders>
              <w:top w:val="nil"/>
              <w:left w:val="nil"/>
              <w:bottom w:val="single" w:sz="12" w:space="0" w:color="auto"/>
              <w:right w:val="nil"/>
            </w:tcBorders>
            <w:vAlign w:val="center"/>
          </w:tcPr>
          <w:p>
            <w:pPr>
              <w:pStyle w:val="style0"/>
              <w:spacing w:before="100" w:beforeAutospacing="true" w:lineRule="auto" w:line="256"/>
              <w:jc w:val="both"/>
              <w:rPr>
                <w:rFonts w:ascii="Times New Roman" w:cs="Times New Roman" w:eastAsia="Calibri" w:hAnsi="Times New Roman"/>
                <w:sz w:val="24"/>
                <w:szCs w:val="24"/>
              </w:rPr>
            </w:pPr>
          </w:p>
        </w:tc>
        <w:tc>
          <w:tcPr>
            <w:tcW w:w="1231" w:type="dxa"/>
            <w:tcBorders>
              <w:top w:val="nil"/>
              <w:left w:val="nil"/>
              <w:bottom w:val="single" w:sz="12" w:space="0" w:color="auto"/>
              <w:right w:val="nil"/>
            </w:tcBorders>
            <w:vAlign w:val="center"/>
          </w:tcPr>
          <w:p>
            <w:pPr>
              <w:pStyle w:val="style0"/>
              <w:spacing w:before="100" w:beforeAutospacing="true" w:lineRule="auto" w:line="256"/>
              <w:jc w:val="both"/>
              <w:rPr>
                <w:rFonts w:ascii="Times New Roman" w:cs="Times New Roman" w:eastAsia="Calibri" w:hAnsi="Times New Roman"/>
                <w:sz w:val="24"/>
                <w:szCs w:val="24"/>
              </w:rPr>
            </w:pPr>
          </w:p>
        </w:tc>
      </w:tr>
    </w:tbl>
    <w:p>
      <w:pPr>
        <w:pStyle w:val="style0"/>
        <w:keepNext/>
        <w:keepLines/>
        <w:widowControl w:val="false"/>
        <w:suppressAutoHyphens/>
        <w:spacing w:before="200" w:after="0" w:lineRule="auto" w:line="360"/>
        <w:jc w:val="both"/>
        <w:outlineLvl w:val="2"/>
        <w:rPr>
          <w:rFonts w:ascii="Times New Roman" w:cs="Times New Roman" w:eastAsia="Times New Roman" w:hAnsi="Times New Roman"/>
          <w:b/>
          <w:bCs/>
          <w:sz w:val="24"/>
          <w:szCs w:val="24"/>
          <w:lang w:eastAsia="en-GB"/>
        </w:rPr>
      </w:pPr>
    </w:p>
    <w:p>
      <w:pPr>
        <w:pStyle w:val="style0"/>
        <w:spacing w:before="120" w:after="0" w:lineRule="auto" w:line="360"/>
        <w:jc w:val="both"/>
        <w:rPr>
          <w:rFonts w:ascii="Times New Roman" w:cs="Times New Roman" w:eastAsia="Calibri" w:hAnsi="Times New Roman"/>
          <w:b/>
          <w:sz w:val="24"/>
          <w:szCs w:val="24"/>
          <w:lang w:eastAsia="en-GB"/>
        </w:rPr>
      </w:pPr>
      <w:r>
        <w:rPr>
          <w:rFonts w:ascii="Times New Roman" w:cs="Times New Roman" w:eastAsia="Times New Roman" w:hAnsi="Times New Roman"/>
          <w:b/>
          <w:sz w:val="24"/>
          <w:szCs w:val="24"/>
          <w:lang w:eastAsia="en-GB"/>
        </w:rPr>
        <w:t>3.5 Phylogenetic trees</w:t>
      </w:r>
    </w:p>
    <w:p>
      <w:pPr>
        <w:pStyle w:val="style0"/>
        <w:spacing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 xml:space="preserve">Based on SSR data matrices, </w:t>
      </w:r>
      <w:r>
        <w:rPr>
          <w:rFonts w:ascii="Times New Roman" w:cs="Times New Roman" w:eastAsia="Calibri" w:hAnsi="Times New Roman"/>
          <w:color w:val="45bf30"/>
          <w:sz w:val="24"/>
          <w:szCs w:val="24"/>
          <w:lang w:eastAsia="en-GB"/>
        </w:rPr>
        <w:t>p</w:t>
      </w:r>
      <w:r>
        <w:rPr>
          <w:rFonts w:ascii="Times New Roman" w:cs="Times New Roman" w:eastAsia="Calibri" w:hAnsi="Times New Roman"/>
          <w:sz w:val="24"/>
          <w:szCs w:val="24"/>
          <w:lang w:eastAsia="en-GB"/>
        </w:rPr>
        <w:t>hylogenetic trees constructed using graphical analysis in Excel</w:t>
      </w:r>
      <w:r>
        <w:rPr>
          <w:rFonts w:ascii="Times New Roman" w:cs="Times New Roman" w:eastAsia="Calibri" w:hAnsi="Times New Roman"/>
          <w:strike/>
          <w:color w:val="f75035"/>
          <w:sz w:val="24"/>
          <w:szCs w:val="24"/>
          <w:lang w:eastAsia="en-GB"/>
        </w:rPr>
        <w:t>,</w:t>
      </w:r>
      <w:r>
        <w:rPr>
          <w:rFonts w:ascii="Times New Roman" w:cs="Times New Roman" w:eastAsia="Calibri" w:hAnsi="Times New Roman"/>
          <w:sz w:val="24"/>
          <w:szCs w:val="24"/>
          <w:lang w:eastAsia="en-GB"/>
        </w:rPr>
        <w:t xml:space="preserve"> grouped the inbred lines into two distinct categories (Figure .3). Combined with their gene action reports, this classification provides crucial insights for identifying the best crosses to advance in disease-resistance breeding programs. The 23 genotypes were divided into two major groups. Group I comprised seven genotypes, including KALRO lines, their crosses, and lines from CIMMYT. These genotypes lacked amplification of the GLS resistance region during PCR analysis, indicating the absence of the targeted resistance gene. In contrast, Group II formed the larger group, consisting of 17 genotypes. These genotypes exhibited GLS resistance in field evaluations and showed amplification during PCR analysis, confirming the presence of the resistance gene.</w:t>
      </w:r>
    </w:p>
    <w:p>
      <w:pPr>
        <w:pStyle w:val="style0"/>
        <w:spacing w:before="100" w:beforeAutospacing="true" w:lineRule="auto" w:line="256"/>
        <w:jc w:val="both"/>
        <w:rPr>
          <w:rFonts w:ascii="Times New Roman" w:cs="Times New Roman" w:eastAsia="Calibri" w:hAnsi="Times New Roman"/>
          <w:sz w:val="24"/>
          <w:szCs w:val="24"/>
          <w:lang w:eastAsia="en-GB"/>
        </w:rPr>
      </w:pPr>
      <w:r>
        <w:rPr>
          <w:rFonts w:ascii="Times New Roman" w:cs="Times New Roman" w:eastAsia="Times New Roman" w:hAnsi="Times New Roman"/>
          <w:noProof/>
          <w:sz w:val="24"/>
          <w:szCs w:val="24"/>
          <w:lang w:eastAsia="en-GB"/>
        </w:rPr>
        <w:drawing>
          <wp:inline distL="0" distT="0" distB="0" distR="0">
            <wp:extent cx="4848860" cy="2512695"/>
            <wp:effectExtent l="0" t="0" r="8890" b="1905"/>
            <wp:docPr id="1028" name="Picture 9" descr="C:\Users\user\AppData\Local\Temp\ksohtml17088\wps3.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9"/>
                    <pic:cNvPicPr/>
                  </pic:nvPicPr>
                  <pic:blipFill>
                    <a:blip r:embed="rId4" cstate="print"/>
                    <a:srcRect l="0" t="0" r="0" b="0"/>
                    <a:stretch/>
                  </pic:blipFill>
                  <pic:spPr>
                    <a:xfrm rot="0">
                      <a:off x="0" y="0"/>
                      <a:ext cx="4848860" cy="2512695"/>
                    </a:xfrm>
                    <a:prstGeom prst="rect"/>
                    <a:ln>
                      <a:noFill/>
                    </a:ln>
                  </pic:spPr>
                </pic:pic>
              </a:graphicData>
            </a:graphic>
          </wp:inline>
        </w:drawing>
      </w:r>
    </w:p>
    <w:bookmarkStart w:id="118" w:name="_Toc24648"/>
    <w:bookmarkStart w:id="119" w:name="_Toc23278"/>
    <w:bookmarkEnd w:id="118"/>
    <w:p>
      <w:pPr>
        <w:pStyle w:val="style0"/>
        <w:spacing w:before="100" w:beforeAutospacing="true" w:lineRule="auto" w:line="256"/>
        <w:jc w:val="both"/>
        <w:rPr>
          <w:rFonts w:ascii="Times New Roman" w:cs="Times New Roman" w:eastAsia="Times New Roman" w:hAnsi="Times New Roman"/>
          <w:sz w:val="24"/>
          <w:szCs w:val="24"/>
          <w:lang w:eastAsia="en-GB"/>
        </w:rPr>
      </w:pPr>
      <w:r>
        <w:rPr>
          <w:rFonts w:ascii="Times New Roman" w:cs="Times New Roman" w:eastAsia="Calibri" w:hAnsi="Times New Roman"/>
          <w:b/>
          <w:bCs/>
          <w:sz w:val="24"/>
          <w:szCs w:val="24"/>
          <w:lang w:eastAsia="en-GB"/>
        </w:rPr>
        <w:t xml:space="preserve">Figure </w:t>
      </w:r>
      <w:bookmarkEnd w:id="119"/>
      <w:r>
        <w:rPr>
          <w:rFonts w:ascii="Times New Roman" w:cs="Times New Roman" w:eastAsia="Calibri" w:hAnsi="Times New Roman"/>
          <w:b/>
          <w:bCs/>
          <w:sz w:val="24"/>
          <w:szCs w:val="24"/>
          <w:lang w:eastAsia="en-GB"/>
        </w:rPr>
        <w:t>3:  Phylogenetic trees showing banding pattern among the genotypes</w:t>
      </w:r>
    </w:p>
    <w:bookmarkStart w:id="120" w:name="_Toc1359"/>
    <w:bookmarkStart w:id="121" w:name="_Toc1829"/>
    <w:bookmarkStart w:id="122" w:name="_Toc21591"/>
    <w:bookmarkStart w:id="123" w:name="_Toc10976"/>
    <w:bookmarkStart w:id="124" w:name="_Toc13516"/>
    <w:bookmarkStart w:id="125" w:name="_Toc3875"/>
    <w:bookmarkStart w:id="126" w:name="_Toc5107"/>
    <w:bookmarkStart w:id="127" w:name="_Toc32209"/>
    <w:bookmarkStart w:id="128" w:name="_Toc18124"/>
    <w:bookmarkStart w:id="129" w:name="_Toc11799"/>
    <w:bookmarkEnd w:id="120"/>
    <w:bookmarkEnd w:id="121"/>
    <w:bookmarkEnd w:id="122"/>
    <w:bookmarkEnd w:id="123"/>
    <w:bookmarkEnd w:id="124"/>
    <w:bookmarkEnd w:id="125"/>
    <w:bookmarkEnd w:id="126"/>
    <w:bookmarkEnd w:id="127"/>
    <w:bookmarkEnd w:id="128"/>
    <w:p>
      <w:pPr>
        <w:pStyle w:val="style0"/>
        <w:keepNext/>
        <w:keepLines/>
        <w:widowControl w:val="false"/>
        <w:suppressAutoHyphens/>
        <w:spacing w:before="480" w:beforeLines="200" w:after="0" w:lineRule="auto" w:line="360"/>
        <w:jc w:val="both"/>
        <w:outlineLvl w:val="1"/>
        <w:rPr>
          <w:rFonts w:ascii="Times New Roman" w:cs="Times New Roman" w:eastAsia="Calibri" w:hAnsi="Times New Roman"/>
          <w:b/>
          <w:bCs/>
          <w:sz w:val="24"/>
          <w:szCs w:val="24"/>
          <w:lang w:eastAsia="en-GB"/>
        </w:rPr>
      </w:pPr>
      <w:r>
        <w:rPr>
          <w:rFonts w:ascii="Times New Roman" w:cs="Times New Roman" w:eastAsia="Calibri" w:hAnsi="Times New Roman"/>
          <w:b/>
          <w:bCs/>
          <w:sz w:val="24"/>
          <w:szCs w:val="24"/>
          <w:lang w:eastAsia="en-GB"/>
        </w:rPr>
        <w:t>4 Discussion</w:t>
      </w:r>
      <w:bookmarkEnd w:id="129"/>
    </w:p>
    <w:p>
      <w:pPr>
        <w:pStyle w:val="style0"/>
        <w:spacing w:before="240" w:beforeLines="10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color w:val="ff0000"/>
          <w:sz w:val="24"/>
          <w:szCs w:val="24"/>
          <w:highlight w:val="yellow"/>
          <w:lang w:eastAsia="en-GB"/>
        </w:rPr>
        <w:t xml:space="preserve">The discovery of a genetic region strongly associated with </w:t>
      </w:r>
      <w:r>
        <w:rPr>
          <w:rFonts w:ascii="Times New Roman" w:cs="Times New Roman" w:eastAsia="Calibri" w:hAnsi="Times New Roman"/>
          <w:color w:val="ff0000"/>
          <w:sz w:val="24"/>
          <w:szCs w:val="24"/>
          <w:highlight w:val="yellow"/>
          <w:lang w:eastAsia="en-GB"/>
        </w:rPr>
        <w:t>gray</w:t>
      </w:r>
      <w:r>
        <w:rPr>
          <w:rFonts w:ascii="Times New Roman" w:cs="Times New Roman" w:eastAsia="Calibri" w:hAnsi="Times New Roman"/>
          <w:color w:val="ff0000"/>
          <w:sz w:val="24"/>
          <w:szCs w:val="24"/>
          <w:highlight w:val="yellow"/>
          <w:lang w:eastAsia="en-GB"/>
        </w:rPr>
        <w:t xml:space="preserve"> leaf spot resistance, located at approximately 164 base pairs (bp) underscores the utility, highlighting SSR markers' effectiveness in identifying resistance-associated alleles.</w:t>
      </w:r>
      <w:r>
        <w:rPr>
          <w:rFonts w:ascii="Times New Roman" w:cs="Times New Roman" w:eastAsia="Calibri" w:hAnsi="Times New Roman"/>
          <w:sz w:val="24"/>
          <w:szCs w:val="24"/>
          <w:lang w:eastAsia="en-GB"/>
        </w:rPr>
        <w:t xml:space="preserve"> Thus, offering a valuable tool for genetic analysis and breeding programs aimed at enhancing on improving GLS resistance in maize populations (Hu </w:t>
      </w:r>
      <w:r>
        <w:rPr>
          <w:rFonts w:ascii="Times New Roman" w:cs="Times New Roman" w:eastAsia="Calibri" w:hAnsi="Times New Roman"/>
          <w:i/>
          <w:iCs/>
          <w:sz w:val="24"/>
          <w:szCs w:val="24"/>
          <w:lang w:eastAsia="en-GB"/>
        </w:rPr>
        <w:t>et al</w:t>
      </w:r>
      <w:r>
        <w:rPr>
          <w:rFonts w:ascii="Times New Roman" w:cs="Times New Roman" w:eastAsia="Calibri" w:hAnsi="Times New Roman"/>
          <w:sz w:val="24"/>
          <w:szCs w:val="24"/>
          <w:lang w:eastAsia="en-GB"/>
        </w:rPr>
        <w:t xml:space="preserve">., 2024). This region likely corresponds to a quantitative trait locus (QTL) or the genomic region that harbours a GLS resistance gene to GLS in maize. The accurate amplification of this region using simple sequence repeat (SSR) markers underscores their reliability and specificity as molecular tools for detecting important resistance alleles in complex genomes. The strong correlation between the phenotypic data and molecular data is evidence for the presence of a common gene among the genotypes (Carbajal </w:t>
      </w:r>
      <w:r>
        <w:rPr>
          <w:rFonts w:ascii="Times New Roman" w:cs="Times New Roman" w:eastAsia="Calibri" w:hAnsi="Times New Roman"/>
          <w:i/>
          <w:iCs/>
          <w:sz w:val="24"/>
          <w:szCs w:val="24"/>
          <w:lang w:eastAsia="en-GB"/>
        </w:rPr>
        <w:t>et al</w:t>
      </w:r>
      <w:r>
        <w:rPr>
          <w:rFonts w:ascii="Times New Roman" w:cs="Times New Roman" w:eastAsia="Calibri" w:hAnsi="Times New Roman"/>
          <w:sz w:val="24"/>
          <w:szCs w:val="24"/>
          <w:lang w:eastAsia="en-GB"/>
        </w:rPr>
        <w:t>., 2021).</w:t>
      </w:r>
    </w:p>
    <w:p>
      <w:pPr>
        <w:pStyle w:val="style0"/>
        <w:spacing w:before="240" w:beforeLines="10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 xml:space="preserve">Resistance to </w:t>
      </w:r>
      <w:r>
        <w:rPr>
          <w:rFonts w:ascii="Times New Roman" w:cs="Times New Roman" w:eastAsia="Calibri" w:hAnsi="Times New Roman"/>
          <w:sz w:val="24"/>
          <w:szCs w:val="24"/>
          <w:lang w:eastAsia="en-GB"/>
        </w:rPr>
        <w:t>gray</w:t>
      </w:r>
      <w:r>
        <w:rPr>
          <w:rFonts w:ascii="Times New Roman" w:cs="Times New Roman" w:eastAsia="Calibri" w:hAnsi="Times New Roman"/>
          <w:sz w:val="24"/>
          <w:szCs w:val="24"/>
          <w:lang w:eastAsia="en-GB"/>
        </w:rPr>
        <w:t xml:space="preserve"> leaf spot (GLS) is often controlled by multiple genes, quantitative trait loci (QTL) that harbour major- resistance genes (Gupta </w:t>
      </w:r>
      <w:r>
        <w:rPr>
          <w:rFonts w:ascii="Times New Roman" w:cs="Times New Roman" w:eastAsia="Calibri" w:hAnsi="Times New Roman"/>
          <w:i/>
          <w:iCs/>
          <w:sz w:val="24"/>
          <w:szCs w:val="24"/>
          <w:lang w:eastAsia="en-GB"/>
        </w:rPr>
        <w:t>et al</w:t>
      </w:r>
      <w:r>
        <w:rPr>
          <w:rFonts w:ascii="Times New Roman" w:cs="Times New Roman" w:eastAsia="Calibri" w:hAnsi="Times New Roman"/>
          <w:sz w:val="24"/>
          <w:szCs w:val="24"/>
          <w:lang w:eastAsia="en-GB"/>
        </w:rPr>
        <w:t xml:space="preserve">., 2023; Omondi </w:t>
      </w:r>
      <w:r>
        <w:rPr>
          <w:rFonts w:ascii="Times New Roman" w:cs="Times New Roman" w:eastAsia="Calibri" w:hAnsi="Times New Roman"/>
          <w:i/>
          <w:iCs/>
          <w:sz w:val="24"/>
          <w:szCs w:val="24"/>
          <w:lang w:eastAsia="en-GB"/>
        </w:rPr>
        <w:t>et al</w:t>
      </w:r>
      <w:r>
        <w:rPr>
          <w:rFonts w:ascii="Times New Roman" w:cs="Times New Roman" w:eastAsia="Calibri" w:hAnsi="Times New Roman"/>
          <w:sz w:val="24"/>
          <w:szCs w:val="24"/>
          <w:lang w:eastAsia="en-GB"/>
        </w:rPr>
        <w:t xml:space="preserve">., 2023). The region identified in this study may contain genes encoding resistance-related proteins, such as nucleotide-binding site leucine-rich repeat (NBS-LRR) proteins, which play a crucial role in plant defence mechanisms. Previous studies have shown that NBS-LRR proteins are involved in conferring resistance to </w:t>
      </w:r>
      <w:r>
        <w:rPr>
          <w:rFonts w:ascii="Times New Roman" w:cs="Times New Roman" w:eastAsia="Calibri" w:hAnsi="Times New Roman"/>
          <w:sz w:val="24"/>
          <w:szCs w:val="24"/>
          <w:lang w:eastAsia="en-GB"/>
        </w:rPr>
        <w:t>gray</w:t>
      </w:r>
      <w:r>
        <w:rPr>
          <w:rFonts w:ascii="Times New Roman" w:cs="Times New Roman" w:eastAsia="Calibri" w:hAnsi="Times New Roman"/>
          <w:sz w:val="24"/>
          <w:szCs w:val="24"/>
          <w:lang w:eastAsia="en-GB"/>
        </w:rPr>
        <w:t xml:space="preserve"> leaf spots in maize (Yang et al., 2022), and enhancing resistance to </w:t>
      </w:r>
      <w:r>
        <w:rPr>
          <w:rFonts w:ascii="Times New Roman" w:cs="Times New Roman" w:eastAsia="Calibri" w:hAnsi="Times New Roman"/>
          <w:i/>
          <w:sz w:val="24"/>
          <w:szCs w:val="24"/>
          <w:lang w:eastAsia="en-GB"/>
        </w:rPr>
        <w:t xml:space="preserve">Phytophthora </w:t>
      </w:r>
      <w:r>
        <w:rPr>
          <w:rFonts w:ascii="Times New Roman" w:cs="Times New Roman" w:eastAsia="Calibri" w:hAnsi="Times New Roman"/>
          <w:i/>
          <w:sz w:val="24"/>
          <w:szCs w:val="24"/>
          <w:lang w:eastAsia="en-GB"/>
        </w:rPr>
        <w:t>infestans</w:t>
      </w:r>
      <w:r>
        <w:rPr>
          <w:rFonts w:ascii="Times New Roman" w:cs="Times New Roman" w:eastAsia="Calibri" w:hAnsi="Times New Roman"/>
          <w:sz w:val="24"/>
          <w:szCs w:val="24"/>
          <w:lang w:eastAsia="en-GB"/>
        </w:rPr>
        <w:t xml:space="preserve"> in tomatoes (Jiang et al., 2018). These proteins recognize pathogen effectors and activate defence responses, leading to either localized or systemic resistance. Additionally, this region may also influence the regulation of genes involved in pathogen recognition, signalling pathways, or the production of antifungal metabolites.</w:t>
      </w:r>
    </w:p>
    <w:p>
      <w:pPr>
        <w:pStyle w:val="style0"/>
        <w:spacing w:before="240" w:beforeLines="10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 xml:space="preserve">The identification of the resistance-associated locus at 164 bp is crucial for breeding programs, as it offers a dependable molecular marker to differentiate between resistant and susceptible genotypes. This allows breeders to identify resistance alleles at the seedling stage leading to a substantial reduction in time and costs associated with field evaluations. The marker's specificity guarantees the precise selection of parental lines for crosses, thereby improving the efficiency of developing GLS-resistant hybrids (Pei </w:t>
      </w:r>
      <w:r>
        <w:rPr>
          <w:rFonts w:ascii="Times New Roman" w:cs="Times New Roman" w:eastAsia="Calibri" w:hAnsi="Times New Roman"/>
          <w:i/>
          <w:iCs/>
          <w:sz w:val="24"/>
          <w:szCs w:val="24"/>
          <w:lang w:eastAsia="en-GB"/>
        </w:rPr>
        <w:t>et al</w:t>
      </w:r>
      <w:r>
        <w:rPr>
          <w:rFonts w:ascii="Times New Roman" w:cs="Times New Roman" w:eastAsia="Calibri" w:hAnsi="Times New Roman"/>
          <w:sz w:val="24"/>
          <w:szCs w:val="24"/>
          <w:lang w:eastAsia="en-GB"/>
        </w:rPr>
        <w:t xml:space="preserve">., 2023). The polymorphism observed within this genetic region across genotypes highlights the genetic diversity that underlying. This diversity is crucial for breeding programs aiming to develop durable resistance, as it reduces the risk of resistance breakdown caused by pathogen evolution. Previous studies by </w:t>
      </w:r>
      <w:r>
        <w:rPr>
          <w:rFonts w:ascii="Times New Roman" w:cs="Times New Roman" w:eastAsia="Calibri" w:hAnsi="Times New Roman"/>
          <w:sz w:val="24"/>
          <w:szCs w:val="24"/>
          <w:lang w:eastAsia="en-GB"/>
        </w:rPr>
        <w:t>Geffersa</w:t>
      </w:r>
      <w:r>
        <w:rPr>
          <w:rFonts w:ascii="Times New Roman" w:cs="Times New Roman" w:eastAsia="Calibri" w:hAnsi="Times New Roman"/>
          <w:sz w:val="24"/>
          <w:szCs w:val="24"/>
          <w:lang w:eastAsia="en-GB"/>
        </w:rPr>
        <w:t xml:space="preserve"> et al. (2023) on crops and </w:t>
      </w:r>
      <w:r>
        <w:rPr>
          <w:rFonts w:ascii="Times New Roman" w:cs="Times New Roman" w:eastAsia="Calibri" w:hAnsi="Times New Roman"/>
          <w:sz w:val="24"/>
          <w:szCs w:val="24"/>
          <w:lang w:eastAsia="en-GB"/>
        </w:rPr>
        <w:t>Peressotti</w:t>
      </w:r>
      <w:r>
        <w:rPr>
          <w:rFonts w:ascii="Times New Roman" w:cs="Times New Roman" w:eastAsia="Calibri" w:hAnsi="Times New Roman"/>
          <w:sz w:val="24"/>
          <w:szCs w:val="24"/>
          <w:lang w:eastAsia="en-GB"/>
        </w:rPr>
        <w:t xml:space="preserve"> et al. (2010) on grapevine downy mildew have shown the importance of deploying resistance genes to disrupt pathogen adaptation and prevent </w:t>
      </w:r>
      <w:r>
        <w:rPr>
          <w:rFonts w:ascii="Times New Roman" w:cs="Times New Roman" w:eastAsia="Calibri" w:hAnsi="Times New Roman"/>
          <w:sz w:val="24"/>
          <w:szCs w:val="24"/>
          <w:lang w:eastAsia="en-GB"/>
        </w:rPr>
        <w:t>breakdown. By incorporating diverse alleles from the identified region, breeders can create maize varieties with a broad spectrum of resistance to multiple GLS pathogen strains.</w:t>
      </w:r>
    </w:p>
    <w:p>
      <w:pPr>
        <w:pStyle w:val="style0"/>
        <w:spacing w:before="240" w:beforeLines="10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 xml:space="preserve">The findings pave the way for further research into the genetic and functional characterization of the resistance-associated region. Fine mapping and sequencing efforts could help identify candidate genes and their mechanisms of action, providing deeper insights into the molecular basis of GLS resistance. This information would be invaluable for integrating gene-editing tools, such as CRISPR-Cas9, into breeding pipelines to enhance the precision and durability of resistance traits in maize (Tang </w:t>
      </w:r>
      <w:r>
        <w:rPr>
          <w:rFonts w:ascii="Times New Roman" w:cs="Times New Roman" w:eastAsia="Calibri" w:hAnsi="Times New Roman"/>
          <w:i/>
          <w:iCs/>
          <w:sz w:val="24"/>
          <w:szCs w:val="24"/>
          <w:lang w:eastAsia="en-GB"/>
        </w:rPr>
        <w:t>et al.</w:t>
      </w:r>
      <w:r>
        <w:rPr>
          <w:rFonts w:ascii="Times New Roman" w:cs="Times New Roman" w:eastAsia="Calibri" w:hAnsi="Times New Roman"/>
          <w:sz w:val="24"/>
          <w:szCs w:val="24"/>
          <w:lang w:eastAsia="en-GB"/>
        </w:rPr>
        <w:t>, 2023). In conclusion, the identification of the genetic region at 164 bp as a marker for GLS resistance represents a significant advancement in the use of molecular tools for breeding. This discovery not only facilitates marker-assisted selection but also provides a foundation for exploring the genetic architecture of disease resistance in maize. This categorization highlights the genetic variation within the population and provides a basis for selecting genotypes with strong GLS resistance for further breeding efforts. Based on phylogenetic tree analysis, 23 inbred lines were classified into two groups. Group I, consisting of seven genotypes, lacked the GLS resistance gene, as shown by both PCR analyses even though they were resistant in the field. Sometimes, resistance in the field may arise from factors other than genetic resistance. This could be as a result of environmental conditions or epigenetic modifications furthermore, it might be due to other adaptive traits or interactions with the environment.</w:t>
      </w:r>
    </w:p>
    <w:bookmarkStart w:id="130" w:name="_Toc1637"/>
    <w:bookmarkStart w:id="131" w:name="_Toc4919"/>
    <w:bookmarkStart w:id="132" w:name="_Toc1564"/>
    <w:bookmarkStart w:id="133" w:name="_Toc4139"/>
    <w:bookmarkStart w:id="134" w:name="_Toc2160"/>
    <w:bookmarkStart w:id="135" w:name="_Toc24578"/>
    <w:bookmarkStart w:id="136" w:name="_Toc1780"/>
    <w:bookmarkStart w:id="137" w:name="_Toc8028"/>
    <w:bookmarkStart w:id="138" w:name="_Toc12145"/>
    <w:bookmarkStart w:id="139" w:name="_Toc18384"/>
    <w:bookmarkEnd w:id="130"/>
    <w:bookmarkEnd w:id="131"/>
    <w:bookmarkEnd w:id="132"/>
    <w:bookmarkEnd w:id="133"/>
    <w:bookmarkEnd w:id="134"/>
    <w:bookmarkEnd w:id="135"/>
    <w:bookmarkEnd w:id="136"/>
    <w:bookmarkEnd w:id="137"/>
    <w:bookmarkEnd w:id="138"/>
    <w:p>
      <w:pPr>
        <w:pStyle w:val="style0"/>
        <w:keepNext/>
        <w:keepLines/>
        <w:widowControl w:val="false"/>
        <w:suppressAutoHyphens/>
        <w:spacing w:before="120" w:beforeLines="50" w:after="0" w:lineRule="auto" w:line="360"/>
        <w:jc w:val="both"/>
        <w:outlineLvl w:val="1"/>
        <w:rPr>
          <w:rFonts w:ascii="Times New Roman" w:cs="Times New Roman" w:eastAsia="Calibri" w:hAnsi="Times New Roman"/>
          <w:b/>
          <w:bCs/>
          <w:sz w:val="24"/>
          <w:szCs w:val="24"/>
          <w:lang w:eastAsia="en-GB"/>
        </w:rPr>
      </w:pPr>
      <w:r>
        <w:rPr>
          <w:rFonts w:ascii="Times New Roman" w:cs="Times New Roman" w:eastAsia="Calibri" w:hAnsi="Times New Roman"/>
          <w:b/>
          <w:bCs/>
          <w:sz w:val="24"/>
          <w:szCs w:val="24"/>
          <w:lang w:eastAsia="en-GB"/>
        </w:rPr>
        <w:t>5 Conclusions</w:t>
      </w:r>
      <w:bookmarkEnd w:id="139"/>
    </w:p>
    <w:p>
      <w:pPr>
        <w:pStyle w:val="style0"/>
        <w:spacing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 xml:space="preserve">This study demonstrates the effectiveness of SSR markers in identifying genomic regions linked to </w:t>
      </w:r>
      <w:r>
        <w:rPr>
          <w:rFonts w:ascii="Times New Roman" w:cs="Times New Roman" w:eastAsia="Calibri" w:hAnsi="Times New Roman"/>
          <w:sz w:val="24"/>
          <w:szCs w:val="24"/>
          <w:lang w:eastAsia="en-GB"/>
        </w:rPr>
        <w:t>gray</w:t>
      </w:r>
      <w:r>
        <w:rPr>
          <w:rFonts w:ascii="Times New Roman" w:cs="Times New Roman" w:eastAsia="Calibri" w:hAnsi="Times New Roman"/>
          <w:sz w:val="24"/>
          <w:szCs w:val="24"/>
          <w:lang w:eastAsia="en-GB"/>
        </w:rPr>
        <w:t xml:space="preserve"> leaf spot resistance and emphasizes the importance of combining favourable genes to enhance resistance. The segregation of the F</w:t>
      </w:r>
      <w:r>
        <w:rPr>
          <w:rFonts w:ascii="Times New Roman" w:cs="Times New Roman" w:eastAsia="Calibri" w:hAnsi="Times New Roman"/>
          <w:sz w:val="24"/>
          <w:szCs w:val="24"/>
          <w:vertAlign w:val="subscript"/>
          <w:lang w:eastAsia="en-GB"/>
        </w:rPr>
        <w:t>2</w:t>
      </w:r>
      <w:r>
        <w:rPr>
          <w:rFonts w:ascii="Times New Roman" w:cs="Times New Roman" w:eastAsia="Calibri" w:hAnsi="Times New Roman"/>
          <w:sz w:val="24"/>
          <w:szCs w:val="24"/>
          <w:lang w:eastAsia="en-GB"/>
        </w:rPr>
        <w:t xml:space="preserve"> population and their parents into distinct genetic groups suggests increased gene action from specific parent combinations. The research sheds light on the molecular mechanisms underlying GLS resistance and lays the groundwork for crop improvement. It underscores the genetic diversity within the populations as a valuable resource for enhancing resistance traits and pinpointing potential genes involved in GLS resistance. Further expansion of the study could further validate these findings and uncover additional resistance genes. Enhancing marker-assisted selection and improving breeding programs or the development of GLS-resistant crops. This could ultimately boost agricultural productivity and food security.</w:t>
      </w:r>
    </w:p>
    <w:p>
      <w:pPr>
        <w:pStyle w:val="style0"/>
        <w:spacing w:after="0" w:lineRule="auto" w:line="360"/>
        <w:jc w:val="both"/>
        <w:rPr>
          <w:rFonts w:ascii="Times New Roman" w:cs="Times New Roman" w:eastAsia="Calibri" w:hAnsi="Times New Roman"/>
          <w:sz w:val="24"/>
          <w:szCs w:val="24"/>
          <w:lang w:eastAsia="en-GB"/>
        </w:rPr>
      </w:pPr>
    </w:p>
    <w:p>
      <w:pPr>
        <w:pStyle w:val="style0"/>
        <w:spacing w:after="0" w:lineRule="auto" w:line="360"/>
        <w:jc w:val="both"/>
        <w:rPr>
          <w:rFonts w:ascii="Times New Roman" w:cs="Times New Roman" w:eastAsia="Calibri" w:hAnsi="Times New Roman"/>
          <w:sz w:val="24"/>
          <w:szCs w:val="24"/>
          <w:lang w:eastAsia="en-GB"/>
        </w:rPr>
      </w:pPr>
    </w:p>
    <w:p>
      <w:pPr>
        <w:pStyle w:val="style0"/>
        <w:spacing w:after="0" w:lineRule="auto" w:line="360"/>
        <w:jc w:val="both"/>
        <w:rPr>
          <w:rFonts w:ascii="Times New Roman" w:cs="Times New Roman" w:eastAsia="Calibri" w:hAnsi="Times New Roman"/>
          <w:b/>
          <w:sz w:val="24"/>
          <w:szCs w:val="24"/>
          <w:lang w:eastAsia="en-GB"/>
        </w:rPr>
      </w:pPr>
      <w:r>
        <w:rPr>
          <w:rFonts w:ascii="Times New Roman" w:cs="Times New Roman" w:eastAsia="Calibri" w:hAnsi="Times New Roman"/>
          <w:b/>
          <w:sz w:val="24"/>
          <w:szCs w:val="24"/>
          <w:lang w:eastAsia="en-GB"/>
        </w:rPr>
        <w:t>DISCLAIMER</w:t>
      </w:r>
    </w:p>
    <w:p>
      <w:pPr>
        <w:pStyle w:val="style0"/>
        <w:spacing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The authors of this manuscript hereby declare that no generative AI technologies, including text-to-image generators and large language models (such as ChatGPT, COPILOT, etc.), were used in its writing or editing.</w:t>
      </w:r>
    </w:p>
    <w:p>
      <w:pPr>
        <w:pStyle w:val="style0"/>
        <w:spacing w:before="100" w:beforeAutospacing="true" w:after="0" w:lineRule="auto" w:line="360"/>
        <w:jc w:val="both"/>
        <w:rPr>
          <w:rFonts w:ascii="Times New Roman" w:cs="Times New Roman" w:eastAsia="Calibri" w:hAnsi="Times New Roman"/>
          <w:sz w:val="24"/>
          <w:szCs w:val="24"/>
          <w:lang w:eastAsia="en-GB"/>
        </w:rPr>
      </w:pPr>
    </w:p>
    <w:bookmarkStart w:id="140" w:name="_Toc19176"/>
    <w:bookmarkStart w:id="141" w:name="_Toc20362"/>
    <w:bookmarkStart w:id="142" w:name="_Toc20154"/>
    <w:bookmarkStart w:id="143" w:name="_Toc22316"/>
    <w:bookmarkStart w:id="144" w:name="_Toc28701"/>
    <w:bookmarkStart w:id="145" w:name="_Toc5318"/>
    <w:bookmarkStart w:id="146" w:name="_Toc2978"/>
    <w:bookmarkStart w:id="147" w:name="_Toc6310"/>
    <w:bookmarkStart w:id="148" w:name="_Toc12749"/>
    <w:bookmarkStart w:id="149" w:name="_Toc4486"/>
    <w:bookmarkStart w:id="150" w:name="_Toc3107"/>
    <w:bookmarkStart w:id="151" w:name="_Toc18268"/>
    <w:bookmarkEnd w:id="140"/>
    <w:bookmarkEnd w:id="141"/>
    <w:bookmarkEnd w:id="142"/>
    <w:bookmarkEnd w:id="143"/>
    <w:bookmarkEnd w:id="144"/>
    <w:bookmarkEnd w:id="145"/>
    <w:bookmarkEnd w:id="146"/>
    <w:bookmarkEnd w:id="147"/>
    <w:bookmarkEnd w:id="148"/>
    <w:bookmarkEnd w:id="149"/>
    <w:bookmarkEnd w:id="150"/>
    <w:p>
      <w:pPr>
        <w:pStyle w:val="style0"/>
        <w:keepNext/>
        <w:keepLines/>
        <w:widowControl w:val="false"/>
        <w:spacing w:before="240" w:after="0" w:lineRule="auto" w:line="256"/>
        <w:jc w:val="center"/>
        <w:outlineLvl w:val="0"/>
        <w:rPr>
          <w:rFonts w:ascii="Times New Roman" w:cs="Times New Roman" w:eastAsia="Times New Roman" w:hAnsi="Times New Roman"/>
          <w:b/>
          <w:bCs/>
          <w:kern w:val="36"/>
          <w:sz w:val="24"/>
          <w:szCs w:val="24"/>
          <w:lang w:eastAsia="en-GB"/>
        </w:rPr>
      </w:pPr>
      <w:r>
        <w:rPr>
          <w:rFonts w:ascii="Times New Roman" w:cs="Times New Roman" w:eastAsia="Times New Roman" w:hAnsi="Times New Roman"/>
          <w:b/>
          <w:bCs/>
          <w:kern w:val="36"/>
          <w:sz w:val="24"/>
          <w:szCs w:val="24"/>
          <w:lang w:eastAsia="en-GB"/>
        </w:rPr>
        <w:t>References</w:t>
      </w:r>
      <w:bookmarkEnd w:id="151"/>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highlight w:val="yellow"/>
          <w:lang w:eastAsia="en-GB"/>
        </w:rPr>
        <w:t>Badu-</w:t>
      </w:r>
      <w:r>
        <w:rPr>
          <w:rFonts w:ascii="Times New Roman" w:cs="Times New Roman" w:eastAsia="Calibri" w:hAnsi="Times New Roman"/>
          <w:sz w:val="24"/>
          <w:szCs w:val="24"/>
          <w:highlight w:val="yellow"/>
          <w:lang w:eastAsia="en-GB"/>
        </w:rPr>
        <w:t>Apraku</w:t>
      </w:r>
      <w:r>
        <w:rPr>
          <w:rFonts w:ascii="Times New Roman" w:cs="Times New Roman" w:eastAsia="Calibri" w:hAnsi="Times New Roman"/>
          <w:sz w:val="24"/>
          <w:szCs w:val="24"/>
          <w:highlight w:val="yellow"/>
          <w:lang w:eastAsia="en-GB"/>
        </w:rPr>
        <w:t>, B</w:t>
      </w:r>
      <w:r>
        <w:rPr>
          <w:rFonts w:ascii="Times New Roman" w:cs="Times New Roman" w:eastAsia="Calibri" w:hAnsi="Times New Roman"/>
          <w:sz w:val="24"/>
          <w:szCs w:val="24"/>
          <w:lang w:eastAsia="en-GB"/>
        </w:rPr>
        <w:t xml:space="preserve">., </w:t>
      </w:r>
      <w:r>
        <w:rPr>
          <w:rFonts w:ascii="Times New Roman" w:cs="Times New Roman" w:eastAsia="Calibri" w:hAnsi="Times New Roman"/>
          <w:sz w:val="24"/>
          <w:szCs w:val="24"/>
          <w:lang w:eastAsia="en-GB"/>
        </w:rPr>
        <w:t>Fakorede</w:t>
      </w:r>
      <w:r>
        <w:rPr>
          <w:rFonts w:ascii="Times New Roman" w:cs="Times New Roman" w:eastAsia="Calibri" w:hAnsi="Times New Roman"/>
          <w:sz w:val="24"/>
          <w:szCs w:val="24"/>
          <w:lang w:eastAsia="en-GB"/>
        </w:rPr>
        <w:t xml:space="preserve">, M. A. B., </w:t>
      </w:r>
      <w:r>
        <w:rPr>
          <w:rFonts w:ascii="Times New Roman" w:cs="Times New Roman" w:eastAsia="Calibri" w:hAnsi="Times New Roman"/>
          <w:sz w:val="24"/>
          <w:szCs w:val="24"/>
          <w:lang w:eastAsia="en-GB"/>
        </w:rPr>
        <w:t>Nelimor</w:t>
      </w:r>
      <w:r>
        <w:rPr>
          <w:rFonts w:ascii="Times New Roman" w:cs="Times New Roman" w:eastAsia="Calibri" w:hAnsi="Times New Roman"/>
          <w:sz w:val="24"/>
          <w:szCs w:val="24"/>
          <w:lang w:eastAsia="en-GB"/>
        </w:rPr>
        <w:t xml:space="preserve">, C., </w:t>
      </w:r>
      <w:r>
        <w:rPr>
          <w:rFonts w:ascii="Times New Roman" w:cs="Times New Roman" w:eastAsia="Calibri" w:hAnsi="Times New Roman"/>
          <w:sz w:val="24"/>
          <w:szCs w:val="24"/>
          <w:lang w:eastAsia="en-GB"/>
        </w:rPr>
        <w:t>Osuman</w:t>
      </w:r>
      <w:r>
        <w:rPr>
          <w:rFonts w:ascii="Times New Roman" w:cs="Times New Roman" w:eastAsia="Calibri" w:hAnsi="Times New Roman"/>
          <w:sz w:val="24"/>
          <w:szCs w:val="24"/>
          <w:lang w:eastAsia="en-GB"/>
        </w:rPr>
        <w:t xml:space="preserve">, A. S., Bonkoungou, T. O., </w:t>
      </w:r>
      <w:r>
        <w:rPr>
          <w:rFonts w:ascii="Times New Roman" w:cs="Times New Roman" w:eastAsia="Calibri" w:hAnsi="Times New Roman"/>
          <w:sz w:val="24"/>
          <w:szCs w:val="24"/>
          <w:lang w:eastAsia="en-GB"/>
        </w:rPr>
        <w:t>Muhyideen</w:t>
      </w:r>
      <w:r>
        <w:rPr>
          <w:rFonts w:ascii="Times New Roman" w:cs="Times New Roman" w:eastAsia="Calibri" w:hAnsi="Times New Roman"/>
          <w:sz w:val="24"/>
          <w:szCs w:val="24"/>
          <w:lang w:eastAsia="en-GB"/>
        </w:rPr>
        <w:t xml:space="preserve">, O., &amp; Akinwale, R. O. (2023). Recent Advances in Breeding Maize for Drought, Heat and Combined Heat and Drought Stress Tolerance in Sub-Saharan Africa. </w:t>
      </w:r>
      <w:r>
        <w:rPr>
          <w:rFonts w:ascii="Times New Roman" w:cs="Times New Roman" w:eastAsia="Calibri" w:hAnsi="Times New Roman"/>
          <w:i/>
          <w:iCs/>
          <w:sz w:val="24"/>
          <w:szCs w:val="24"/>
          <w:lang w:eastAsia="en-GB"/>
        </w:rPr>
        <w:t>CABI Reviews, cabireviews.2023.0011</w:t>
      </w:r>
      <w:r>
        <w:rPr>
          <w:rFonts w:ascii="Times New Roman" w:cs="Times New Roman" w:eastAsia="Calibri" w:hAnsi="Times New Roman"/>
          <w:sz w:val="24"/>
          <w:szCs w:val="24"/>
          <w:lang w:eastAsia="en-GB"/>
        </w:rPr>
        <w:t>. https://doi.org/10.1079/cabireviews.2023.0011</w:t>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Bekeko</w:t>
      </w:r>
      <w:r>
        <w:rPr>
          <w:rFonts w:ascii="Times New Roman" w:cs="Times New Roman" w:eastAsia="Calibri" w:hAnsi="Times New Roman"/>
          <w:sz w:val="24"/>
          <w:szCs w:val="24"/>
          <w:lang w:eastAsia="en-GB"/>
        </w:rPr>
        <w:t xml:space="preserve">, Z., </w:t>
      </w:r>
      <w:r>
        <w:rPr>
          <w:rFonts w:ascii="Times New Roman" w:cs="Times New Roman" w:eastAsia="Calibri" w:hAnsi="Times New Roman"/>
          <w:sz w:val="24"/>
          <w:szCs w:val="24"/>
          <w:lang w:eastAsia="en-GB"/>
        </w:rPr>
        <w:t>Fininsa</w:t>
      </w:r>
      <w:r>
        <w:rPr>
          <w:rFonts w:ascii="Times New Roman" w:cs="Times New Roman" w:eastAsia="Calibri" w:hAnsi="Times New Roman"/>
          <w:sz w:val="24"/>
          <w:szCs w:val="24"/>
          <w:lang w:eastAsia="en-GB"/>
        </w:rPr>
        <w:t xml:space="preserve">, C., </w:t>
      </w:r>
      <w:r>
        <w:rPr>
          <w:rFonts w:ascii="Times New Roman" w:cs="Times New Roman" w:eastAsia="Calibri" w:hAnsi="Times New Roman"/>
          <w:sz w:val="24"/>
          <w:szCs w:val="24"/>
          <w:lang w:eastAsia="en-GB"/>
        </w:rPr>
        <w:t>Wegary</w:t>
      </w:r>
      <w:r>
        <w:rPr>
          <w:rFonts w:ascii="Times New Roman" w:cs="Times New Roman" w:eastAsia="Calibri" w:hAnsi="Times New Roman"/>
          <w:sz w:val="24"/>
          <w:szCs w:val="24"/>
          <w:lang w:eastAsia="en-GB"/>
        </w:rPr>
        <w:t xml:space="preserve">, D., Hussien, T., Hussien, S., &amp; </w:t>
      </w:r>
      <w:r>
        <w:rPr>
          <w:rFonts w:ascii="Times New Roman" w:cs="Times New Roman" w:eastAsia="Calibri" w:hAnsi="Times New Roman"/>
          <w:sz w:val="24"/>
          <w:szCs w:val="24"/>
          <w:lang w:eastAsia="en-GB"/>
        </w:rPr>
        <w:t>Asalf</w:t>
      </w:r>
      <w:r>
        <w:rPr>
          <w:rFonts w:ascii="Times New Roman" w:cs="Times New Roman" w:eastAsia="Calibri" w:hAnsi="Times New Roman"/>
          <w:sz w:val="24"/>
          <w:szCs w:val="24"/>
          <w:lang w:eastAsia="en-GB"/>
        </w:rPr>
        <w:t>, B. (2018). Combining ability and nature of gene action in maize (</w:t>
      </w:r>
      <w:r>
        <w:rPr>
          <w:rFonts w:ascii="Times New Roman" w:cs="Times New Roman" w:eastAsia="Calibri" w:hAnsi="Times New Roman"/>
          <w:sz w:val="24"/>
          <w:szCs w:val="24"/>
          <w:lang w:eastAsia="en-GB"/>
        </w:rPr>
        <w:t>Zea</w:t>
      </w:r>
      <w:r>
        <w:rPr>
          <w:rFonts w:ascii="Times New Roman" w:cs="Times New Roman" w:eastAsia="Calibri" w:hAnsi="Times New Roman"/>
          <w:sz w:val="24"/>
          <w:szCs w:val="24"/>
          <w:lang w:eastAsia="en-GB"/>
        </w:rPr>
        <w:t xml:space="preserve"> mays L) inbred lines for resistance to </w:t>
      </w:r>
      <w:r>
        <w:rPr>
          <w:rFonts w:ascii="Times New Roman" w:cs="Times New Roman" w:eastAsia="Calibri" w:hAnsi="Times New Roman"/>
          <w:sz w:val="24"/>
          <w:szCs w:val="24"/>
          <w:lang w:eastAsia="en-GB"/>
        </w:rPr>
        <w:t>gray</w:t>
      </w:r>
      <w:r>
        <w:rPr>
          <w:rFonts w:ascii="Times New Roman" w:cs="Times New Roman" w:eastAsia="Calibri" w:hAnsi="Times New Roman"/>
          <w:sz w:val="24"/>
          <w:szCs w:val="24"/>
          <w:lang w:eastAsia="en-GB"/>
        </w:rPr>
        <w:t xml:space="preserve"> leaf spot disease (</w:t>
      </w:r>
      <w:r>
        <w:rPr>
          <w:rFonts w:ascii="Times New Roman" w:cs="Times New Roman" w:eastAsia="Calibri" w:hAnsi="Times New Roman"/>
          <w:sz w:val="24"/>
          <w:szCs w:val="24"/>
          <w:lang w:eastAsia="en-GB"/>
        </w:rPr>
        <w:t>Cercospora</w:t>
      </w:r>
      <w:r>
        <w:rPr>
          <w:rFonts w:ascii="Times New Roman" w:cs="Times New Roman" w:eastAsia="Calibri" w:hAnsi="Times New Roman"/>
          <w:sz w:val="24"/>
          <w:szCs w:val="24"/>
          <w:lang w:eastAsia="en-GB"/>
        </w:rPr>
        <w:t xml:space="preserve"> </w:t>
      </w:r>
      <w:r>
        <w:rPr>
          <w:rFonts w:ascii="Times New Roman" w:cs="Times New Roman" w:eastAsia="Calibri" w:hAnsi="Times New Roman"/>
          <w:sz w:val="24"/>
          <w:szCs w:val="24"/>
          <w:lang w:eastAsia="en-GB"/>
        </w:rPr>
        <w:t>zeae</w:t>
      </w:r>
      <w:r>
        <w:rPr>
          <w:rFonts w:ascii="Times New Roman" w:cs="Times New Roman" w:eastAsia="Calibri" w:hAnsi="Times New Roman"/>
          <w:sz w:val="24"/>
          <w:szCs w:val="24"/>
          <w:lang w:eastAsia="en-GB"/>
        </w:rPr>
        <w:t xml:space="preserve"> maydis) in Ethiopia. Crop Protection, 112, 39–48. </w:t>
      </w:r>
      <w:r>
        <w:rPr>
          <w:rFonts w:ascii="Times New Roman" w:cs="Times New Roman" w:eastAsia="Calibri" w:hAnsi="Times New Roman"/>
          <w:i/>
          <w:iCs/>
          <w:sz w:val="24"/>
          <w:szCs w:val="24"/>
          <w:lang w:eastAsia="en-GB"/>
        </w:rPr>
        <w:t>Crop protection journal (112) 1-374</w:t>
      </w:r>
      <w:r>
        <w:rPr>
          <w:rFonts w:ascii="Times New Roman" w:cs="Times New Roman" w:eastAsia="Calibri" w:hAnsi="Times New Roman"/>
          <w:sz w:val="24"/>
          <w:szCs w:val="24"/>
          <w:lang w:eastAsia="en-GB"/>
        </w:rPr>
        <w:t>. https://doi.org/10.1016/j.cropro.2018.05.010.</w:t>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Bello., I., M. S., A., S. Y., A., &amp; J., M. (2012). Heritability and Genetic Advance for Grain Yield and its Component Characters in Maize (</w:t>
      </w:r>
      <w:r>
        <w:rPr>
          <w:rFonts w:ascii="Times New Roman" w:cs="Times New Roman" w:eastAsia="Calibri" w:hAnsi="Times New Roman"/>
          <w:sz w:val="24"/>
          <w:szCs w:val="24"/>
          <w:lang w:eastAsia="en-GB"/>
        </w:rPr>
        <w:t>Zea</w:t>
      </w:r>
      <w:r>
        <w:rPr>
          <w:rFonts w:ascii="Times New Roman" w:cs="Times New Roman" w:eastAsia="Calibri" w:hAnsi="Times New Roman"/>
          <w:sz w:val="24"/>
          <w:szCs w:val="24"/>
          <w:lang w:eastAsia="en-GB"/>
        </w:rPr>
        <w:t xml:space="preserve"> Mays L.). </w:t>
      </w:r>
      <w:r>
        <w:rPr>
          <w:rFonts w:ascii="Times New Roman" w:cs="Times New Roman" w:eastAsia="Calibri" w:hAnsi="Times New Roman"/>
          <w:i/>
          <w:iCs/>
          <w:sz w:val="24"/>
          <w:szCs w:val="24"/>
          <w:lang w:eastAsia="en-GB"/>
        </w:rPr>
        <w:t>International Journal of Plant Research,</w:t>
      </w:r>
      <w:r>
        <w:rPr>
          <w:rFonts w:ascii="Times New Roman" w:cs="Times New Roman" w:eastAsia="Calibri" w:hAnsi="Times New Roman"/>
          <w:sz w:val="24"/>
          <w:szCs w:val="24"/>
          <w:lang w:eastAsia="en-GB"/>
        </w:rPr>
        <w:t xml:space="preserve"> 2(5), 138–145. </w:t>
      </w:r>
      <w:r>
        <w:rPr/>
        <w:fldChar w:fldCharType="begin"/>
      </w:r>
      <w:r>
        <w:instrText xml:space="preserve"> HYPERLINK "https://doi.org/10.5923/j.plant.20120205.01." </w:instrText>
      </w:r>
      <w:r>
        <w:rPr/>
        <w:fldChar w:fldCharType="separate"/>
      </w:r>
      <w:r>
        <w:rPr>
          <w:rFonts w:ascii="Times New Roman" w:cs="Times New Roman" w:eastAsia="Calibri" w:hAnsi="Times New Roman"/>
          <w:color w:val="0000ff"/>
          <w:sz w:val="24"/>
          <w:szCs w:val="24"/>
          <w:u w:val="single"/>
          <w:lang w:eastAsia="en-GB"/>
        </w:rPr>
        <w:t>https://doi.org/10.5923/j.plant.20120205.01.</w:t>
      </w:r>
      <w:r>
        <w:rPr/>
        <w:fldChar w:fldCharType="end"/>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highlight w:val="yellow"/>
          <w:lang w:eastAsia="en-GB"/>
        </w:rPr>
        <w:t>Berger</w:t>
      </w:r>
      <w:r>
        <w:rPr>
          <w:rFonts w:ascii="Times New Roman" w:cs="Times New Roman" w:eastAsia="Calibri" w:hAnsi="Times New Roman"/>
          <w:sz w:val="24"/>
          <w:szCs w:val="24"/>
          <w:lang w:eastAsia="en-GB"/>
        </w:rPr>
        <w:t xml:space="preserve">, D. K., Carstens, M., </w:t>
      </w:r>
      <w:r>
        <w:rPr>
          <w:rFonts w:ascii="Times New Roman" w:cs="Times New Roman" w:eastAsia="Calibri" w:hAnsi="Times New Roman"/>
          <w:sz w:val="24"/>
          <w:szCs w:val="24"/>
          <w:lang w:eastAsia="en-GB"/>
        </w:rPr>
        <w:t>Korsman</w:t>
      </w:r>
      <w:r>
        <w:rPr>
          <w:rFonts w:ascii="Times New Roman" w:cs="Times New Roman" w:eastAsia="Calibri" w:hAnsi="Times New Roman"/>
          <w:sz w:val="24"/>
          <w:szCs w:val="24"/>
          <w:lang w:eastAsia="en-GB"/>
        </w:rPr>
        <w:t xml:space="preserve">, J. N., Middleton, F., Kloppers, F. J., </w:t>
      </w:r>
      <w:r>
        <w:rPr>
          <w:rFonts w:ascii="Times New Roman" w:cs="Times New Roman" w:eastAsia="Calibri" w:hAnsi="Times New Roman"/>
          <w:sz w:val="24"/>
          <w:szCs w:val="24"/>
          <w:lang w:eastAsia="en-GB"/>
        </w:rPr>
        <w:t>Tongoona</w:t>
      </w:r>
      <w:r>
        <w:rPr>
          <w:rFonts w:ascii="Times New Roman" w:cs="Times New Roman" w:eastAsia="Calibri" w:hAnsi="Times New Roman"/>
          <w:sz w:val="24"/>
          <w:szCs w:val="24"/>
          <w:lang w:eastAsia="en-GB"/>
        </w:rPr>
        <w:t xml:space="preserve">, P., &amp; </w:t>
      </w:r>
      <w:r>
        <w:rPr>
          <w:rFonts w:ascii="Times New Roman" w:cs="Times New Roman" w:eastAsia="Calibri" w:hAnsi="Times New Roman"/>
          <w:sz w:val="24"/>
          <w:szCs w:val="24"/>
          <w:lang w:eastAsia="en-GB"/>
        </w:rPr>
        <w:t>Myburg</w:t>
      </w:r>
      <w:r>
        <w:rPr>
          <w:rFonts w:ascii="Times New Roman" w:cs="Times New Roman" w:eastAsia="Calibri" w:hAnsi="Times New Roman"/>
          <w:sz w:val="24"/>
          <w:szCs w:val="24"/>
          <w:lang w:eastAsia="en-GB"/>
        </w:rPr>
        <w:t xml:space="preserve">, A. A. (2014). Mapping QTL conferring resistance in maize to </w:t>
      </w:r>
      <w:r>
        <w:rPr>
          <w:rFonts w:ascii="Times New Roman" w:cs="Times New Roman" w:eastAsia="Calibri" w:hAnsi="Times New Roman"/>
          <w:sz w:val="24"/>
          <w:szCs w:val="24"/>
          <w:lang w:eastAsia="en-GB"/>
        </w:rPr>
        <w:t>gray</w:t>
      </w:r>
      <w:r>
        <w:rPr>
          <w:rFonts w:ascii="Times New Roman" w:cs="Times New Roman" w:eastAsia="Calibri" w:hAnsi="Times New Roman"/>
          <w:sz w:val="24"/>
          <w:szCs w:val="24"/>
          <w:lang w:eastAsia="en-GB"/>
        </w:rPr>
        <w:t xml:space="preserve"> leaf spot disease caused by </w:t>
      </w:r>
      <w:r>
        <w:rPr>
          <w:rFonts w:ascii="Times New Roman" w:cs="Times New Roman" w:eastAsia="Calibri" w:hAnsi="Times New Roman"/>
          <w:sz w:val="24"/>
          <w:szCs w:val="24"/>
          <w:lang w:eastAsia="en-GB"/>
        </w:rPr>
        <w:t>Cercospora</w:t>
      </w:r>
      <w:r>
        <w:rPr>
          <w:rFonts w:ascii="Times New Roman" w:cs="Times New Roman" w:eastAsia="Calibri" w:hAnsi="Times New Roman"/>
          <w:sz w:val="24"/>
          <w:szCs w:val="24"/>
          <w:lang w:eastAsia="en-GB"/>
        </w:rPr>
        <w:t xml:space="preserve"> </w:t>
      </w:r>
      <w:r>
        <w:rPr>
          <w:rFonts w:ascii="Times New Roman" w:cs="Times New Roman" w:eastAsia="Calibri" w:hAnsi="Times New Roman"/>
          <w:sz w:val="24"/>
          <w:szCs w:val="24"/>
          <w:lang w:eastAsia="en-GB"/>
        </w:rPr>
        <w:t>zeina</w:t>
      </w:r>
      <w:r>
        <w:rPr>
          <w:rFonts w:ascii="Times New Roman" w:cs="Times New Roman" w:eastAsia="Calibri" w:hAnsi="Times New Roman"/>
          <w:sz w:val="24"/>
          <w:szCs w:val="24"/>
          <w:lang w:eastAsia="en-GB"/>
        </w:rPr>
        <w:t xml:space="preserve">. </w:t>
      </w:r>
      <w:r>
        <w:rPr>
          <w:rFonts w:ascii="Times New Roman" w:cs="Times New Roman" w:eastAsia="Calibri" w:hAnsi="Times New Roman"/>
          <w:i/>
          <w:iCs/>
          <w:sz w:val="24"/>
          <w:szCs w:val="24"/>
          <w:lang w:eastAsia="en-GB"/>
        </w:rPr>
        <w:t>BMC Genetics,</w:t>
      </w:r>
      <w:r>
        <w:rPr>
          <w:rFonts w:ascii="Times New Roman" w:cs="Times New Roman" w:eastAsia="Calibri" w:hAnsi="Times New Roman"/>
          <w:sz w:val="24"/>
          <w:szCs w:val="24"/>
          <w:lang w:eastAsia="en-GB"/>
        </w:rPr>
        <w:t xml:space="preserve"> 15(1), 1–12. </w:t>
      </w:r>
      <w:r>
        <w:rPr>
          <w:rFonts w:ascii="Times New Roman" w:cs="Times New Roman" w:eastAsia="SimSun" w:hAnsi="Times New Roman"/>
          <w:sz w:val="24"/>
          <w:szCs w:val="24"/>
          <w:lang w:eastAsia="en-GB"/>
        </w:rPr>
        <w:t>https://doi.org/10.1186/1471-2156-15-60.</w:t>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highlight w:val="yellow"/>
          <w:lang w:eastAsia="en-GB"/>
        </w:rPr>
        <w:t>Berger</w:t>
      </w:r>
      <w:r>
        <w:rPr>
          <w:rFonts w:ascii="Times New Roman" w:cs="Times New Roman" w:eastAsia="Calibri" w:hAnsi="Times New Roman"/>
          <w:sz w:val="24"/>
          <w:szCs w:val="24"/>
          <w:lang w:eastAsia="en-GB"/>
        </w:rPr>
        <w:t xml:space="preserve">, D. K., </w:t>
      </w:r>
      <w:r>
        <w:rPr>
          <w:rFonts w:ascii="Times New Roman" w:cs="Times New Roman" w:eastAsia="Calibri" w:hAnsi="Times New Roman"/>
          <w:sz w:val="24"/>
          <w:szCs w:val="24"/>
          <w:lang w:eastAsia="en-GB"/>
        </w:rPr>
        <w:t>Mokgobu</w:t>
      </w:r>
      <w:r>
        <w:rPr>
          <w:rFonts w:ascii="Times New Roman" w:cs="Times New Roman" w:eastAsia="Calibri" w:hAnsi="Times New Roman"/>
          <w:sz w:val="24"/>
          <w:szCs w:val="24"/>
          <w:lang w:eastAsia="en-GB"/>
        </w:rPr>
        <w:t xml:space="preserve">, T., De Ridder, K., Christie, N., &amp; Aveling, T. A. S. (2020). Benefits of maize resistance breeding and chemical control against northern leaf blight in smallholder farms in South Africa. </w:t>
      </w:r>
      <w:r>
        <w:rPr>
          <w:rFonts w:ascii="Times New Roman" w:cs="Times New Roman" w:eastAsia="Calibri" w:hAnsi="Times New Roman"/>
          <w:i/>
          <w:iCs/>
          <w:sz w:val="24"/>
          <w:szCs w:val="24"/>
          <w:lang w:eastAsia="en-GB"/>
        </w:rPr>
        <w:t>South African Journal of Science,</w:t>
      </w:r>
      <w:r>
        <w:rPr>
          <w:rFonts w:ascii="Times New Roman" w:cs="Times New Roman" w:eastAsia="Calibri" w:hAnsi="Times New Roman"/>
          <w:sz w:val="24"/>
          <w:szCs w:val="24"/>
          <w:lang w:eastAsia="en-GB"/>
        </w:rPr>
        <w:t xml:space="preserve"> 116(11/12). </w:t>
      </w:r>
      <w:r>
        <w:rPr/>
        <w:fldChar w:fldCharType="begin"/>
      </w:r>
      <w:r>
        <w:instrText xml:space="preserve"> HYPERLINK "https://doi.org/10.17159/sajs.2020/8286." </w:instrText>
      </w:r>
      <w:r>
        <w:rPr/>
        <w:fldChar w:fldCharType="separate"/>
      </w:r>
      <w:r>
        <w:rPr>
          <w:rFonts w:ascii="Times New Roman" w:cs="Times New Roman" w:eastAsia="Calibri" w:hAnsi="Times New Roman"/>
          <w:color w:val="0000ff"/>
          <w:sz w:val="24"/>
          <w:szCs w:val="24"/>
          <w:u w:val="single"/>
          <w:lang w:eastAsia="en-GB"/>
        </w:rPr>
        <w:t>https://doi.org/10.17159/sajs.2020/8286.</w:t>
      </w:r>
      <w:r>
        <w:rPr/>
        <w:fldChar w:fldCharType="end"/>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 xml:space="preserve">Carbajal, E. M., Ma, B., Zuleta, M. C., Reynolds, W. C., Arellano, C., Tredway, L. P., &amp; Milla‐Lewis, S. R. (2021). Identification of sources of resistance to </w:t>
      </w:r>
      <w:r>
        <w:rPr>
          <w:rFonts w:ascii="Times New Roman" w:cs="Times New Roman" w:eastAsia="Calibri" w:hAnsi="Times New Roman"/>
          <w:sz w:val="24"/>
          <w:szCs w:val="24"/>
          <w:lang w:eastAsia="en-GB"/>
        </w:rPr>
        <w:t>gray</w:t>
      </w:r>
      <w:r>
        <w:rPr>
          <w:rFonts w:ascii="Times New Roman" w:cs="Times New Roman" w:eastAsia="Calibri" w:hAnsi="Times New Roman"/>
          <w:sz w:val="24"/>
          <w:szCs w:val="24"/>
          <w:lang w:eastAsia="en-GB"/>
        </w:rPr>
        <w:t xml:space="preserve"> leaf spot in </w:t>
      </w:r>
      <w:r>
        <w:rPr>
          <w:rFonts w:ascii="Times New Roman" w:cs="Times New Roman" w:eastAsia="Calibri" w:hAnsi="Times New Roman"/>
          <w:sz w:val="24"/>
          <w:szCs w:val="24"/>
          <w:lang w:eastAsia="en-GB"/>
        </w:rPr>
        <w:t>Stenotaphrum</w:t>
      </w:r>
      <w:r>
        <w:rPr>
          <w:rFonts w:ascii="Times New Roman" w:cs="Times New Roman" w:eastAsia="Calibri" w:hAnsi="Times New Roman"/>
          <w:sz w:val="24"/>
          <w:szCs w:val="24"/>
          <w:lang w:eastAsia="en-GB"/>
        </w:rPr>
        <w:t xml:space="preserve"> germplasm. </w:t>
      </w:r>
      <w:r>
        <w:rPr>
          <w:rFonts w:ascii="Times New Roman" w:cs="Times New Roman" w:eastAsia="Calibri" w:hAnsi="Times New Roman"/>
          <w:i/>
          <w:iCs/>
          <w:sz w:val="24"/>
          <w:szCs w:val="24"/>
          <w:lang w:eastAsia="en-GB"/>
        </w:rPr>
        <w:t>Crop Science,</w:t>
      </w:r>
      <w:r>
        <w:rPr>
          <w:rFonts w:ascii="Times New Roman" w:cs="Times New Roman" w:eastAsia="Calibri" w:hAnsi="Times New Roman"/>
          <w:sz w:val="24"/>
          <w:szCs w:val="24"/>
          <w:lang w:eastAsia="en-GB"/>
        </w:rPr>
        <w:t xml:space="preserve"> 61(5), 3069–3079. </w:t>
      </w:r>
      <w:r>
        <w:rPr/>
        <w:fldChar w:fldCharType="begin"/>
      </w:r>
      <w:r>
        <w:instrText xml:space="preserve"> HYPERLINK "https://doi.org/10.1002/csc2.20371." </w:instrText>
      </w:r>
      <w:r>
        <w:rPr/>
        <w:fldChar w:fldCharType="separate"/>
      </w:r>
      <w:r>
        <w:rPr>
          <w:rFonts w:ascii="Times New Roman" w:cs="Times New Roman" w:eastAsia="Calibri" w:hAnsi="Times New Roman"/>
          <w:color w:val="0000ff"/>
          <w:sz w:val="24"/>
          <w:szCs w:val="24"/>
          <w:u w:val="single"/>
          <w:lang w:eastAsia="en-GB"/>
        </w:rPr>
        <w:t>https://doi.org/10.1002/csc2.20371.</w:t>
      </w:r>
      <w:r>
        <w:rPr/>
        <w:fldChar w:fldCharType="end"/>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highlight w:val="yellow"/>
          <w:lang w:eastAsia="en-GB"/>
        </w:rPr>
        <w:t>Chen</w:t>
      </w:r>
      <w:r>
        <w:rPr>
          <w:rFonts w:ascii="Times New Roman" w:cs="Times New Roman" w:eastAsia="Calibri" w:hAnsi="Times New Roman"/>
          <w:sz w:val="24"/>
          <w:szCs w:val="24"/>
          <w:lang w:eastAsia="en-GB"/>
        </w:rPr>
        <w:t xml:space="preserve">, L., Liu, L., Li, Z., Zhang, Y., Kang, M. S., Wang, Y., &amp; Fan, X. (2021). High-density mapping for </w:t>
      </w:r>
      <w:r>
        <w:rPr>
          <w:rFonts w:ascii="Times New Roman" w:cs="Times New Roman" w:eastAsia="Calibri" w:hAnsi="Times New Roman"/>
          <w:sz w:val="24"/>
          <w:szCs w:val="24"/>
          <w:lang w:eastAsia="en-GB"/>
        </w:rPr>
        <w:t>gray</w:t>
      </w:r>
      <w:r>
        <w:rPr>
          <w:rFonts w:ascii="Times New Roman" w:cs="Times New Roman" w:eastAsia="Calibri" w:hAnsi="Times New Roman"/>
          <w:sz w:val="24"/>
          <w:szCs w:val="24"/>
          <w:lang w:eastAsia="en-GB"/>
        </w:rPr>
        <w:t xml:space="preserve"> leaf spot resistance using two related tropical maize recombinant inbred line populations. </w:t>
      </w:r>
      <w:r>
        <w:rPr>
          <w:rFonts w:ascii="Times New Roman" w:cs="Times New Roman" w:eastAsia="Calibri" w:hAnsi="Times New Roman"/>
          <w:i/>
          <w:iCs/>
          <w:sz w:val="24"/>
          <w:szCs w:val="24"/>
          <w:lang w:eastAsia="en-GB"/>
        </w:rPr>
        <w:t>Molecular Biology Reports,</w:t>
      </w:r>
      <w:r>
        <w:rPr>
          <w:rFonts w:ascii="Times New Roman" w:cs="Times New Roman" w:eastAsia="Calibri" w:hAnsi="Times New Roman"/>
          <w:sz w:val="24"/>
          <w:szCs w:val="24"/>
          <w:lang w:eastAsia="en-GB"/>
        </w:rPr>
        <w:t xml:space="preserve"> 48(4), 3379–3392. https://doi.org/10.1007/s11033-021-06350-9.</w:t>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highlight w:val="yellow"/>
          <w:lang w:eastAsia="en-GB"/>
        </w:rPr>
        <w:t>Chesnokov</w:t>
      </w:r>
      <w:r>
        <w:rPr>
          <w:rFonts w:ascii="Times New Roman" w:cs="Times New Roman" w:eastAsia="Calibri" w:hAnsi="Times New Roman"/>
          <w:sz w:val="24"/>
          <w:szCs w:val="24"/>
          <w:lang w:eastAsia="en-GB"/>
        </w:rPr>
        <w:t xml:space="preserve">, Yu. V., </w:t>
      </w:r>
      <w:r>
        <w:rPr>
          <w:rFonts w:ascii="Times New Roman" w:cs="Times New Roman" w:eastAsia="Calibri" w:hAnsi="Times New Roman"/>
          <w:sz w:val="24"/>
          <w:szCs w:val="24"/>
          <w:lang w:eastAsia="en-GB"/>
        </w:rPr>
        <w:t>Artemyeva</w:t>
      </w:r>
      <w:r>
        <w:rPr>
          <w:rFonts w:ascii="Times New Roman" w:cs="Times New Roman" w:eastAsia="Calibri" w:hAnsi="Times New Roman"/>
          <w:sz w:val="24"/>
          <w:szCs w:val="24"/>
          <w:lang w:eastAsia="en-GB"/>
        </w:rPr>
        <w:t xml:space="preserve">, A. M., &amp; Federal Research </w:t>
      </w:r>
      <w:r>
        <w:rPr>
          <w:rFonts w:ascii="Times New Roman" w:cs="Times New Roman" w:eastAsia="Calibri" w:hAnsi="Times New Roman"/>
          <w:sz w:val="24"/>
          <w:szCs w:val="24"/>
          <w:lang w:eastAsia="en-GB"/>
        </w:rPr>
        <w:t>Center</w:t>
      </w:r>
      <w:r>
        <w:rPr>
          <w:rFonts w:ascii="Times New Roman" w:cs="Times New Roman" w:eastAsia="Calibri" w:hAnsi="Times New Roman"/>
          <w:sz w:val="24"/>
          <w:szCs w:val="24"/>
          <w:lang w:eastAsia="en-GB"/>
        </w:rPr>
        <w:t xml:space="preserve"> the N.I. Vavilov All-Russian Institute of Plant Genetic Resources, Federal Agency of Scientific Organizations. (2015). </w:t>
      </w:r>
      <w:r>
        <w:rPr>
          <w:rFonts w:ascii="Times New Roman" w:cs="Times New Roman" w:eastAsia="Calibri" w:hAnsi="Times New Roman"/>
          <w:i/>
          <w:iCs/>
          <w:sz w:val="24"/>
          <w:szCs w:val="24"/>
          <w:lang w:eastAsia="en-GB"/>
        </w:rPr>
        <w:t xml:space="preserve">EVALUATION OF THE MEASURE OF POLYMORPHISM. </w:t>
      </w:r>
      <w:r>
        <w:rPr>
          <w:rFonts w:ascii="Times New Roman" w:cs="Times New Roman" w:eastAsia="Calibri" w:hAnsi="Times New Roman"/>
          <w:i/>
          <w:iCs/>
          <w:sz w:val="24"/>
          <w:szCs w:val="24"/>
          <w:lang w:eastAsia="en-GB"/>
        </w:rPr>
        <w:t>Sel’skokhozyaistvennaya</w:t>
      </w:r>
      <w:r>
        <w:rPr>
          <w:rFonts w:ascii="Times New Roman" w:cs="Times New Roman" w:eastAsia="Calibri" w:hAnsi="Times New Roman"/>
          <w:i/>
          <w:iCs/>
          <w:sz w:val="24"/>
          <w:szCs w:val="24"/>
          <w:lang w:eastAsia="en-GB"/>
        </w:rPr>
        <w:t xml:space="preserve"> </w:t>
      </w:r>
      <w:r>
        <w:rPr>
          <w:rFonts w:ascii="Times New Roman" w:cs="Times New Roman" w:eastAsia="Calibri" w:hAnsi="Times New Roman"/>
          <w:i/>
          <w:iCs/>
          <w:sz w:val="24"/>
          <w:szCs w:val="24"/>
          <w:lang w:eastAsia="en-GB"/>
        </w:rPr>
        <w:t>Biologiya</w:t>
      </w:r>
      <w:r>
        <w:rPr>
          <w:rFonts w:ascii="Times New Roman" w:cs="Times New Roman" w:eastAsia="Calibri" w:hAnsi="Times New Roman"/>
          <w:i/>
          <w:iCs/>
          <w:sz w:val="24"/>
          <w:szCs w:val="24"/>
          <w:lang w:eastAsia="en-GB"/>
        </w:rPr>
        <w:t>,</w:t>
      </w:r>
      <w:r>
        <w:rPr>
          <w:rFonts w:ascii="Times New Roman" w:cs="Times New Roman" w:eastAsia="Calibri" w:hAnsi="Times New Roman"/>
          <w:sz w:val="24"/>
          <w:szCs w:val="24"/>
          <w:lang w:eastAsia="en-GB"/>
        </w:rPr>
        <w:t xml:space="preserve"> 50(5), 571–578. https://doi.org/10.15389/agrobiology.2015.5.571eng</w:t>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 xml:space="preserve">Craze, H. A., Pillay, N., Joubert, F., &amp; Berger, D. K. (2022). Deep Learning Diagnostics of </w:t>
      </w:r>
      <w:r>
        <w:rPr>
          <w:rFonts w:ascii="Times New Roman" w:cs="Times New Roman" w:eastAsia="Calibri" w:hAnsi="Times New Roman"/>
          <w:sz w:val="24"/>
          <w:szCs w:val="24"/>
          <w:lang w:eastAsia="en-GB"/>
        </w:rPr>
        <w:t>gray</w:t>
      </w:r>
      <w:r>
        <w:rPr>
          <w:rFonts w:ascii="Times New Roman" w:cs="Times New Roman" w:eastAsia="Calibri" w:hAnsi="Times New Roman"/>
          <w:sz w:val="24"/>
          <w:szCs w:val="24"/>
          <w:lang w:eastAsia="en-GB"/>
        </w:rPr>
        <w:t xml:space="preserve"> Leaf Spot in Maize under Mixed Disease Field Conditions. </w:t>
      </w:r>
      <w:r>
        <w:rPr>
          <w:rFonts w:ascii="Times New Roman" w:cs="Times New Roman" w:eastAsia="Calibri" w:hAnsi="Times New Roman"/>
          <w:i/>
          <w:iCs/>
          <w:sz w:val="24"/>
          <w:szCs w:val="24"/>
          <w:lang w:eastAsia="en-GB"/>
        </w:rPr>
        <w:t>Plants,</w:t>
      </w:r>
      <w:r>
        <w:rPr>
          <w:rFonts w:ascii="Times New Roman" w:cs="Times New Roman" w:eastAsia="Calibri" w:hAnsi="Times New Roman"/>
          <w:sz w:val="24"/>
          <w:szCs w:val="24"/>
          <w:lang w:eastAsia="en-GB"/>
        </w:rPr>
        <w:t xml:space="preserve"> 11(15), 1942. https://doi.org/10.3390/plants11151942</w:t>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 xml:space="preserve">Dhami, N. B., Kim, S., Paudel, A., Shrestha, J., &amp; Rijal, T. R. (2015). A review on threat of </w:t>
      </w:r>
      <w:r>
        <w:rPr>
          <w:rFonts w:ascii="Times New Roman" w:cs="Times New Roman" w:eastAsia="Calibri" w:hAnsi="Times New Roman"/>
          <w:sz w:val="24"/>
          <w:szCs w:val="24"/>
          <w:lang w:eastAsia="en-GB"/>
        </w:rPr>
        <w:t>gray</w:t>
      </w:r>
      <w:r>
        <w:rPr>
          <w:rFonts w:ascii="Times New Roman" w:cs="Times New Roman" w:eastAsia="Calibri" w:hAnsi="Times New Roman"/>
          <w:sz w:val="24"/>
          <w:szCs w:val="24"/>
          <w:lang w:eastAsia="en-GB"/>
        </w:rPr>
        <w:t xml:space="preserve"> leaf spot disease of maize in Asia. </w:t>
      </w:r>
      <w:r>
        <w:rPr>
          <w:rFonts w:ascii="Times New Roman" w:cs="Times New Roman" w:eastAsia="Calibri" w:hAnsi="Times New Roman"/>
          <w:i/>
          <w:iCs/>
          <w:sz w:val="24"/>
          <w:szCs w:val="24"/>
          <w:lang w:eastAsia="en-GB"/>
        </w:rPr>
        <w:t>Journal of Maize Research and Development</w:t>
      </w:r>
      <w:r>
        <w:rPr>
          <w:rFonts w:ascii="Times New Roman" w:cs="Times New Roman" w:eastAsia="Calibri" w:hAnsi="Times New Roman"/>
          <w:sz w:val="24"/>
          <w:szCs w:val="24"/>
          <w:lang w:eastAsia="en-GB"/>
        </w:rPr>
        <w:t>, 1(1), 71–85. https://doi.org/10.3126/jmrd.v1i1.14245</w:t>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 xml:space="preserve">Duan, C., Zhao, L., Wang, J., Liu, Q., Yang, Z., &amp; Wang, X. (2022). Dispersal routes of </w:t>
      </w:r>
      <w:r>
        <w:rPr>
          <w:rFonts w:ascii="Times New Roman" w:cs="Times New Roman" w:eastAsia="Calibri" w:hAnsi="Times New Roman"/>
          <w:sz w:val="24"/>
          <w:szCs w:val="24"/>
          <w:lang w:eastAsia="en-GB"/>
        </w:rPr>
        <w:t>Cercospora</w:t>
      </w:r>
      <w:r>
        <w:rPr>
          <w:rFonts w:ascii="Times New Roman" w:cs="Times New Roman" w:eastAsia="Calibri" w:hAnsi="Times New Roman"/>
          <w:sz w:val="24"/>
          <w:szCs w:val="24"/>
          <w:lang w:eastAsia="en-GB"/>
        </w:rPr>
        <w:t xml:space="preserve"> </w:t>
      </w:r>
      <w:r>
        <w:rPr>
          <w:rFonts w:ascii="Times New Roman" w:cs="Times New Roman" w:eastAsia="Calibri" w:hAnsi="Times New Roman"/>
          <w:sz w:val="24"/>
          <w:szCs w:val="24"/>
          <w:lang w:eastAsia="en-GB"/>
        </w:rPr>
        <w:t>zeina</w:t>
      </w:r>
      <w:r>
        <w:rPr>
          <w:rFonts w:ascii="Times New Roman" w:cs="Times New Roman" w:eastAsia="Calibri" w:hAnsi="Times New Roman"/>
          <w:sz w:val="24"/>
          <w:szCs w:val="24"/>
          <w:lang w:eastAsia="en-GB"/>
        </w:rPr>
        <w:t xml:space="preserve"> causing maize </w:t>
      </w:r>
      <w:r>
        <w:rPr>
          <w:rFonts w:ascii="Times New Roman" w:cs="Times New Roman" w:eastAsia="Calibri" w:hAnsi="Times New Roman"/>
          <w:sz w:val="24"/>
          <w:szCs w:val="24"/>
          <w:lang w:eastAsia="en-GB"/>
        </w:rPr>
        <w:t>gray</w:t>
      </w:r>
      <w:r>
        <w:rPr>
          <w:rFonts w:ascii="Times New Roman" w:cs="Times New Roman" w:eastAsia="Calibri" w:hAnsi="Times New Roman"/>
          <w:sz w:val="24"/>
          <w:szCs w:val="24"/>
          <w:lang w:eastAsia="en-GB"/>
        </w:rPr>
        <w:t xml:space="preserve"> leaf spot in China. </w:t>
      </w:r>
      <w:r>
        <w:rPr>
          <w:rFonts w:ascii="Times New Roman" w:cs="Times New Roman" w:eastAsia="Calibri" w:hAnsi="Times New Roman"/>
          <w:i/>
          <w:iCs/>
          <w:sz w:val="24"/>
          <w:szCs w:val="24"/>
          <w:lang w:eastAsia="en-GB"/>
        </w:rPr>
        <w:t>Journal of Integrative Agriculture</w:t>
      </w:r>
      <w:r>
        <w:rPr>
          <w:rFonts w:ascii="Times New Roman" w:cs="Times New Roman" w:eastAsia="Calibri" w:hAnsi="Times New Roman"/>
          <w:sz w:val="24"/>
          <w:szCs w:val="24"/>
          <w:lang w:eastAsia="en-GB"/>
        </w:rPr>
        <w:t>, 21(10), 2943–2956. https://doi.org/10.1016/j.jia.2022.07.042</w:t>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highlight w:val="yellow"/>
          <w:lang w:eastAsia="en-GB"/>
        </w:rPr>
        <w:t>Flora</w:t>
      </w:r>
      <w:r>
        <w:rPr>
          <w:rFonts w:ascii="Times New Roman" w:cs="Times New Roman" w:eastAsia="Calibri" w:hAnsi="Times New Roman"/>
          <w:sz w:val="24"/>
          <w:szCs w:val="24"/>
          <w:lang w:eastAsia="en-GB"/>
        </w:rPr>
        <w:t xml:space="preserve">, A. A., Patrick, M. N., Edith, M., &amp; Clement, G. A. (2023). Status and management strategies of major insect pests and fungal diseases of maize in Africa: A review. </w:t>
      </w:r>
      <w:r>
        <w:rPr>
          <w:rFonts w:ascii="Times New Roman" w:cs="Times New Roman" w:eastAsia="Calibri" w:hAnsi="Times New Roman"/>
          <w:i/>
          <w:iCs/>
          <w:sz w:val="24"/>
          <w:szCs w:val="24"/>
          <w:lang w:eastAsia="en-GB"/>
        </w:rPr>
        <w:t>African Journal of Agricultural Research,</w:t>
      </w:r>
      <w:r>
        <w:rPr>
          <w:rFonts w:ascii="Times New Roman" w:cs="Times New Roman" w:eastAsia="Calibri" w:hAnsi="Times New Roman"/>
          <w:sz w:val="24"/>
          <w:szCs w:val="24"/>
          <w:lang w:eastAsia="en-GB"/>
        </w:rPr>
        <w:t xml:space="preserve"> 19(6), 686–697. </w:t>
      </w:r>
      <w:r>
        <w:rPr/>
        <w:fldChar w:fldCharType="begin"/>
      </w:r>
      <w:r>
        <w:instrText xml:space="preserve"> HYPERLINK "https://doi.org/10.5897/AJAR2023.16358." </w:instrText>
      </w:r>
      <w:r>
        <w:rPr/>
        <w:fldChar w:fldCharType="separate"/>
      </w:r>
      <w:r>
        <w:rPr>
          <w:rFonts w:ascii="Times New Roman" w:cs="Times New Roman" w:eastAsia="Calibri" w:hAnsi="Times New Roman"/>
          <w:color w:val="0000ff"/>
          <w:sz w:val="24"/>
          <w:szCs w:val="24"/>
          <w:u w:val="single"/>
          <w:lang w:eastAsia="en-GB"/>
        </w:rPr>
        <w:t>https://doi.org/10.5897/AJAR2023.16358.</w:t>
      </w:r>
      <w:r>
        <w:rPr/>
        <w:fldChar w:fldCharType="end"/>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Geffersa</w:t>
      </w:r>
      <w:r>
        <w:rPr>
          <w:rFonts w:ascii="Times New Roman" w:cs="Times New Roman" w:eastAsia="Calibri" w:hAnsi="Times New Roman"/>
          <w:sz w:val="24"/>
          <w:szCs w:val="24"/>
          <w:lang w:eastAsia="en-GB"/>
        </w:rPr>
        <w:t xml:space="preserve">, A. G., Burdon, J. J., Macfadyen, S., Thrall, P. H., Sprague, S. J., &amp; Barrett, L. G. (2023). The socio-economic challenges of managing pathogen evolution in agriculture. Philosophical Transactions of the Royal Society B: </w:t>
      </w:r>
      <w:r>
        <w:rPr>
          <w:rFonts w:ascii="Times New Roman" w:cs="Times New Roman" w:eastAsia="Calibri" w:hAnsi="Times New Roman"/>
          <w:i/>
          <w:iCs/>
          <w:sz w:val="24"/>
          <w:szCs w:val="24"/>
          <w:lang w:eastAsia="en-GB"/>
        </w:rPr>
        <w:t>Biological Sciences,</w:t>
      </w:r>
      <w:r>
        <w:rPr>
          <w:rFonts w:ascii="Times New Roman" w:cs="Times New Roman" w:eastAsia="Calibri" w:hAnsi="Times New Roman"/>
          <w:sz w:val="24"/>
          <w:szCs w:val="24"/>
          <w:lang w:eastAsia="en-GB"/>
        </w:rPr>
        <w:t xml:space="preserve"> 378(1873), 20220012. https://doi.org/10.1098/rstb.2022.0012</w:t>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highlight w:val="yellow"/>
          <w:lang w:eastAsia="en-GB"/>
        </w:rPr>
        <w:t>Gong</w:t>
      </w:r>
      <w:r>
        <w:rPr>
          <w:rFonts w:ascii="Times New Roman" w:cs="Times New Roman" w:eastAsia="Calibri" w:hAnsi="Times New Roman"/>
          <w:sz w:val="24"/>
          <w:szCs w:val="24"/>
          <w:lang w:eastAsia="en-GB"/>
        </w:rPr>
        <w:t xml:space="preserve">, F., Yang, L., Tai, F., Hu, X., &amp; Wang, W. (2014). “Omics” of Maize Stress Response for Sustainable Food Production: Opportunities and Challenges. OMICS: </w:t>
      </w:r>
      <w:r>
        <w:rPr>
          <w:rFonts w:ascii="Times New Roman" w:cs="Times New Roman" w:eastAsia="Calibri" w:hAnsi="Times New Roman"/>
          <w:i/>
          <w:iCs/>
          <w:sz w:val="24"/>
          <w:szCs w:val="24"/>
          <w:lang w:eastAsia="en-GB"/>
        </w:rPr>
        <w:t xml:space="preserve">A Journal of Integrative Biology, </w:t>
      </w:r>
      <w:r>
        <w:rPr>
          <w:rFonts w:ascii="Times New Roman" w:cs="Times New Roman" w:eastAsia="Calibri" w:hAnsi="Times New Roman"/>
          <w:sz w:val="24"/>
          <w:szCs w:val="24"/>
          <w:lang w:eastAsia="en-GB"/>
        </w:rPr>
        <w:t xml:space="preserve">18(12), 714–732. </w:t>
      </w:r>
      <w:r>
        <w:rPr/>
        <w:fldChar w:fldCharType="begin"/>
      </w:r>
      <w:r>
        <w:instrText xml:space="preserve"> HYPERLINK "https://doi.org/10.1089/omi.2014.0125." </w:instrText>
      </w:r>
      <w:r>
        <w:rPr/>
        <w:fldChar w:fldCharType="separate"/>
      </w:r>
      <w:r>
        <w:rPr>
          <w:rFonts w:ascii="Times New Roman" w:cs="Times New Roman" w:eastAsia="Calibri" w:hAnsi="Times New Roman"/>
          <w:color w:val="0000ff"/>
          <w:sz w:val="24"/>
          <w:szCs w:val="24"/>
          <w:u w:val="single"/>
          <w:lang w:eastAsia="en-GB"/>
        </w:rPr>
        <w:t>https://doi.org/10.1089/omi.2014.0125.</w:t>
      </w:r>
      <w:r>
        <w:rPr/>
        <w:fldChar w:fldCharType="end"/>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 xml:space="preserve">Gupta, M., Choudhary, M., Singh, A., </w:t>
      </w:r>
      <w:r>
        <w:rPr>
          <w:rFonts w:ascii="Times New Roman" w:cs="Times New Roman" w:eastAsia="Calibri" w:hAnsi="Times New Roman"/>
          <w:sz w:val="24"/>
          <w:szCs w:val="24"/>
          <w:lang w:eastAsia="en-GB"/>
        </w:rPr>
        <w:t>Sheoran</w:t>
      </w:r>
      <w:r>
        <w:rPr>
          <w:rFonts w:ascii="Times New Roman" w:cs="Times New Roman" w:eastAsia="Calibri" w:hAnsi="Times New Roman"/>
          <w:sz w:val="24"/>
          <w:szCs w:val="24"/>
          <w:lang w:eastAsia="en-GB"/>
        </w:rPr>
        <w:t>, S., Singla, D., &amp; Rakshit, S. (2023). Meta-QTL analysis for mining of candidate genes and constitutive gene network development for fungal disease resistance in maize (</w:t>
      </w:r>
      <w:r>
        <w:rPr>
          <w:rFonts w:ascii="Times New Roman" w:cs="Times New Roman" w:eastAsia="Calibri" w:hAnsi="Times New Roman"/>
          <w:sz w:val="24"/>
          <w:szCs w:val="24"/>
          <w:lang w:eastAsia="en-GB"/>
        </w:rPr>
        <w:t>Zea</w:t>
      </w:r>
      <w:r>
        <w:rPr>
          <w:rFonts w:ascii="Times New Roman" w:cs="Times New Roman" w:eastAsia="Calibri" w:hAnsi="Times New Roman"/>
          <w:sz w:val="24"/>
          <w:szCs w:val="24"/>
          <w:lang w:eastAsia="en-GB"/>
        </w:rPr>
        <w:t xml:space="preserve"> mays L.). </w:t>
      </w:r>
      <w:r>
        <w:rPr>
          <w:rFonts w:ascii="Times New Roman" w:cs="Times New Roman" w:eastAsia="Calibri" w:hAnsi="Times New Roman"/>
          <w:i/>
          <w:iCs/>
          <w:sz w:val="24"/>
          <w:szCs w:val="24"/>
          <w:lang w:eastAsia="en-GB"/>
        </w:rPr>
        <w:t>The Crop Journal,</w:t>
      </w:r>
      <w:r>
        <w:rPr>
          <w:rFonts w:ascii="Times New Roman" w:cs="Times New Roman" w:eastAsia="Calibri" w:hAnsi="Times New Roman"/>
          <w:sz w:val="24"/>
          <w:szCs w:val="24"/>
          <w:lang w:eastAsia="en-GB"/>
        </w:rPr>
        <w:t xml:space="preserve"> 11(2), 511–522. https://doi.org/10.1016/j.cj.2022.07.020</w:t>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 xml:space="preserve">Hu, C., Kuang, T., Shaw, R. K., Zhang, Y., Fan, J., Bi, Y., Jiang, F., Guo, R., &amp; Fan, X. (2024). Genetic dissection of resistance to </w:t>
      </w:r>
      <w:r>
        <w:rPr>
          <w:rFonts w:ascii="Times New Roman" w:cs="Times New Roman" w:eastAsia="Calibri" w:hAnsi="Times New Roman"/>
          <w:sz w:val="24"/>
          <w:szCs w:val="24"/>
          <w:lang w:eastAsia="en-GB"/>
        </w:rPr>
        <w:t>gray</w:t>
      </w:r>
      <w:r>
        <w:rPr>
          <w:rFonts w:ascii="Times New Roman" w:cs="Times New Roman" w:eastAsia="Calibri" w:hAnsi="Times New Roman"/>
          <w:sz w:val="24"/>
          <w:szCs w:val="24"/>
          <w:lang w:eastAsia="en-GB"/>
        </w:rPr>
        <w:t xml:space="preserve"> leaf spot by genome-wide association study in a multi-parent maize population. </w:t>
      </w:r>
      <w:r>
        <w:rPr>
          <w:rFonts w:ascii="Times New Roman" w:cs="Times New Roman" w:eastAsia="Calibri" w:hAnsi="Times New Roman"/>
          <w:i/>
          <w:iCs/>
          <w:sz w:val="24"/>
          <w:szCs w:val="24"/>
          <w:lang w:eastAsia="en-GB"/>
        </w:rPr>
        <w:t xml:space="preserve">BMC Plant Biology, </w:t>
      </w:r>
      <w:r>
        <w:rPr>
          <w:rFonts w:ascii="Times New Roman" w:cs="Times New Roman" w:eastAsia="Calibri" w:hAnsi="Times New Roman"/>
          <w:sz w:val="24"/>
          <w:szCs w:val="24"/>
          <w:lang w:eastAsia="en-GB"/>
        </w:rPr>
        <w:t>24(1), 10. https://doi.org/10.1186/s12870-023-04701-1</w:t>
      </w:r>
    </w:p>
    <w:p>
      <w:pPr>
        <w:pStyle w:val="style179"/>
        <w:numPr>
          <w:ilvl w:val="0"/>
          <w:numId w:val="1"/>
        </w:numPr>
        <w:spacing w:before="120" w:beforeLines="50" w:after="0" w:lineRule="auto" w:line="360"/>
        <w:jc w:val="both"/>
        <w:rPr>
          <w:rFonts w:ascii="Times New Roman" w:cs="Times New Roman" w:eastAsia="Calibri" w:hAnsi="Times New Roman"/>
          <w:color w:val="0000ff"/>
          <w:sz w:val="24"/>
          <w:szCs w:val="24"/>
          <w:u w:val="single"/>
          <w:lang w:eastAsia="en-GB"/>
        </w:rPr>
      </w:pPr>
      <w:r>
        <w:rPr>
          <w:rFonts w:ascii="Times New Roman" w:cs="Times New Roman" w:eastAsia="Calibri" w:hAnsi="Times New Roman"/>
          <w:sz w:val="24"/>
          <w:szCs w:val="24"/>
          <w:lang w:eastAsia="en-GB"/>
        </w:rPr>
        <w:t xml:space="preserve">Jain, A., </w:t>
      </w:r>
      <w:r>
        <w:rPr>
          <w:rFonts w:ascii="Times New Roman" w:cs="Times New Roman" w:eastAsia="Calibri" w:hAnsi="Times New Roman"/>
          <w:sz w:val="24"/>
          <w:szCs w:val="24"/>
          <w:lang w:eastAsia="en-GB"/>
        </w:rPr>
        <w:t>Sarsaiya</w:t>
      </w:r>
      <w:r>
        <w:rPr>
          <w:rFonts w:ascii="Times New Roman" w:cs="Times New Roman" w:eastAsia="Calibri" w:hAnsi="Times New Roman"/>
          <w:sz w:val="24"/>
          <w:szCs w:val="24"/>
          <w:lang w:eastAsia="en-GB"/>
        </w:rPr>
        <w:t xml:space="preserve">, S., Wu, Q., Lu, Y., &amp; Shi, J. (2019). A review of plant leaf fungal diseases and its environment speciation. </w:t>
      </w:r>
      <w:r>
        <w:rPr>
          <w:rFonts w:ascii="Times New Roman" w:cs="Times New Roman" w:eastAsia="Calibri" w:hAnsi="Times New Roman"/>
          <w:i/>
          <w:iCs/>
          <w:sz w:val="24"/>
          <w:szCs w:val="24"/>
          <w:lang w:eastAsia="en-GB"/>
        </w:rPr>
        <w:t>Bioengineered,</w:t>
      </w:r>
      <w:r>
        <w:rPr>
          <w:rFonts w:ascii="Times New Roman" w:cs="Times New Roman" w:eastAsia="Calibri" w:hAnsi="Times New Roman"/>
          <w:sz w:val="24"/>
          <w:szCs w:val="24"/>
          <w:lang w:eastAsia="en-GB"/>
        </w:rPr>
        <w:t xml:space="preserve"> 10(1), 409–424. </w:t>
      </w:r>
      <w:r>
        <w:rPr/>
        <w:fldChar w:fldCharType="begin"/>
      </w:r>
      <w:r>
        <w:instrText xml:space="preserve"> HYPERLINK "https://doi.org/10.1080/21655979.2019.1649520." </w:instrText>
      </w:r>
      <w:r>
        <w:rPr/>
        <w:fldChar w:fldCharType="separate"/>
      </w:r>
      <w:r>
        <w:rPr>
          <w:rFonts w:ascii="Times New Roman" w:cs="Times New Roman" w:eastAsia="Calibri" w:hAnsi="Times New Roman"/>
          <w:color w:val="0000ff"/>
          <w:sz w:val="24"/>
          <w:szCs w:val="24"/>
          <w:u w:val="single"/>
          <w:lang w:eastAsia="en-GB"/>
        </w:rPr>
        <w:t>https://doi.org/10.1080/21655979.2019.1649520.</w:t>
      </w:r>
      <w:r>
        <w:rPr/>
        <w:fldChar w:fldCharType="end"/>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color w:val="0000ff"/>
          <w:sz w:val="24"/>
          <w:szCs w:val="24"/>
          <w:u w:val="single"/>
          <w:lang w:eastAsia="en-GB"/>
        </w:rPr>
        <w:t xml:space="preserve">Jiang, N., Cui, J., Meng, J., &amp; Luan, Y. (2018). A Tomato Nucleotide Binding Sites−Leucine-Rich Repeat Gene Is Positively Involved in Plant Resistance to Phytophthora </w:t>
      </w:r>
      <w:r>
        <w:rPr>
          <w:rFonts w:ascii="Times New Roman" w:cs="Times New Roman" w:eastAsia="Calibri" w:hAnsi="Times New Roman"/>
          <w:color w:val="0000ff"/>
          <w:sz w:val="24"/>
          <w:szCs w:val="24"/>
          <w:u w:val="single"/>
          <w:lang w:eastAsia="en-GB"/>
        </w:rPr>
        <w:t>infestans</w:t>
      </w:r>
      <w:r>
        <w:rPr>
          <w:rFonts w:ascii="Times New Roman" w:cs="Times New Roman" w:eastAsia="Calibri" w:hAnsi="Times New Roman"/>
          <w:color w:val="0000ff"/>
          <w:sz w:val="24"/>
          <w:szCs w:val="24"/>
          <w:u w:val="single"/>
          <w:lang w:eastAsia="en-GB"/>
        </w:rPr>
        <w:t xml:space="preserve">. </w:t>
      </w:r>
      <w:r>
        <w:rPr>
          <w:rFonts w:ascii="Times New Roman" w:cs="Times New Roman" w:eastAsia="Calibri" w:hAnsi="Times New Roman"/>
          <w:i/>
          <w:iCs/>
          <w:color w:val="0000ff"/>
          <w:sz w:val="24"/>
          <w:szCs w:val="24"/>
          <w:u w:val="single"/>
          <w:lang w:eastAsia="en-GB"/>
        </w:rPr>
        <w:t>Phytopathology®,</w:t>
      </w:r>
      <w:r>
        <w:rPr>
          <w:rFonts w:ascii="Times New Roman" w:cs="Times New Roman" w:eastAsia="Calibri" w:hAnsi="Times New Roman"/>
          <w:color w:val="0000ff"/>
          <w:sz w:val="24"/>
          <w:szCs w:val="24"/>
          <w:u w:val="single"/>
          <w:lang w:eastAsia="en-GB"/>
        </w:rPr>
        <w:t xml:space="preserve"> 108(8), 980–987. https://doi.org/10.1094/PHYTO-12-17-0389-R</w:t>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highlight w:val="yellow"/>
          <w:lang w:eastAsia="en-GB"/>
        </w:rPr>
        <w:t>Joshi</w:t>
      </w:r>
      <w:r>
        <w:rPr>
          <w:rFonts w:ascii="Times New Roman" w:cs="Times New Roman" w:eastAsia="Calibri" w:hAnsi="Times New Roman"/>
          <w:sz w:val="24"/>
          <w:szCs w:val="24"/>
          <w:lang w:eastAsia="en-GB"/>
        </w:rPr>
        <w:t xml:space="preserve">, B., Rawat, J., Adhikari, B., &amp; Pokhrel, R. (2020). SSR Markers Based Genetic Diversity in Nepalese Maize Landraces. </w:t>
      </w:r>
      <w:r>
        <w:rPr>
          <w:rFonts w:ascii="Times New Roman" w:cs="Times New Roman" w:eastAsia="Calibri" w:hAnsi="Times New Roman"/>
          <w:i/>
          <w:iCs/>
          <w:sz w:val="24"/>
          <w:szCs w:val="24"/>
          <w:lang w:eastAsia="en-GB"/>
        </w:rPr>
        <w:t>SAARC Journal of Agriculture</w:t>
      </w:r>
      <w:r>
        <w:rPr>
          <w:rFonts w:ascii="Times New Roman" w:cs="Times New Roman" w:eastAsia="Calibri" w:hAnsi="Times New Roman"/>
          <w:sz w:val="24"/>
          <w:szCs w:val="24"/>
          <w:lang w:eastAsia="en-GB"/>
        </w:rPr>
        <w:t>, 18(1), 23–37. https://doi.org/10.3329/sja.v18i1.48379.</w:t>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Kainyu</w:t>
      </w:r>
      <w:r>
        <w:rPr>
          <w:rFonts w:ascii="Times New Roman" w:cs="Times New Roman" w:eastAsia="Calibri" w:hAnsi="Times New Roman"/>
          <w:sz w:val="24"/>
          <w:szCs w:val="24"/>
          <w:lang w:eastAsia="en-GB"/>
        </w:rPr>
        <w:t xml:space="preserve">, C. A. (2014). Reaction of maize germplasm to common foliar diseases and variability of maize streak virus isolates. </w:t>
      </w:r>
      <w:r>
        <w:rPr>
          <w:rFonts w:ascii="Times New Roman" w:cs="Times New Roman" w:eastAsia="Calibri" w:hAnsi="Times New Roman"/>
          <w:i/>
          <w:iCs/>
          <w:sz w:val="24"/>
          <w:szCs w:val="24"/>
          <w:lang w:eastAsia="en-GB"/>
        </w:rPr>
        <w:t>PhD Thesis,</w:t>
      </w:r>
      <w:r>
        <w:rPr>
          <w:rFonts w:ascii="Times New Roman" w:cs="Times New Roman" w:eastAsia="Calibri" w:hAnsi="Times New Roman"/>
          <w:sz w:val="24"/>
          <w:szCs w:val="24"/>
          <w:lang w:eastAsia="en-GB"/>
        </w:rPr>
        <w:t xml:space="preserve"> University of Nairobi.</w:t>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highlight w:val="yellow"/>
          <w:lang w:eastAsia="en-GB"/>
        </w:rPr>
        <w:t>Kinyua</w:t>
      </w:r>
      <w:r>
        <w:rPr>
          <w:rFonts w:ascii="Times New Roman" w:cs="Times New Roman" w:eastAsia="Calibri" w:hAnsi="Times New Roman"/>
          <w:sz w:val="24"/>
          <w:szCs w:val="24"/>
          <w:lang w:eastAsia="en-GB"/>
        </w:rPr>
        <w:t xml:space="preserve">, Z. M., Smith, J. J., Kibata, G. N., Simons, S. A., &amp; Langat, B. C. (2010). Status of </w:t>
      </w:r>
      <w:r>
        <w:rPr>
          <w:rFonts w:ascii="Times New Roman" w:cs="Times New Roman" w:eastAsia="Calibri" w:hAnsi="Times New Roman"/>
          <w:sz w:val="24"/>
          <w:szCs w:val="24"/>
          <w:lang w:eastAsia="en-GB"/>
        </w:rPr>
        <w:t>gray</w:t>
      </w:r>
      <w:r>
        <w:rPr>
          <w:rFonts w:ascii="Times New Roman" w:cs="Times New Roman" w:eastAsia="Calibri" w:hAnsi="Times New Roman"/>
          <w:sz w:val="24"/>
          <w:szCs w:val="24"/>
          <w:lang w:eastAsia="en-GB"/>
        </w:rPr>
        <w:t xml:space="preserve"> leaf spot disease in Kenyan maize production ecosystems. </w:t>
      </w:r>
      <w:r>
        <w:rPr>
          <w:rFonts w:ascii="Times New Roman" w:cs="Times New Roman" w:eastAsia="Calibri" w:hAnsi="Times New Roman"/>
          <w:i/>
          <w:iCs/>
          <w:sz w:val="24"/>
          <w:szCs w:val="24"/>
          <w:lang w:eastAsia="en-GB"/>
        </w:rPr>
        <w:t>African Crop Science</w:t>
      </w:r>
      <w:r>
        <w:rPr>
          <w:rFonts w:ascii="Times New Roman" w:cs="Times New Roman" w:eastAsia="Calibri" w:hAnsi="Times New Roman"/>
          <w:sz w:val="24"/>
          <w:szCs w:val="24"/>
          <w:lang w:eastAsia="en-GB"/>
        </w:rPr>
        <w:t xml:space="preserve"> Journal, 18(4). https://doi: 10.4314/</w:t>
      </w:r>
      <w:r>
        <w:rPr>
          <w:rFonts w:ascii="Times New Roman" w:cs="Times New Roman" w:eastAsia="Calibri" w:hAnsi="Times New Roman"/>
          <w:sz w:val="24"/>
          <w:szCs w:val="24"/>
          <w:lang w:eastAsia="en-GB"/>
        </w:rPr>
        <w:t>acsj.v</w:t>
      </w:r>
      <w:r>
        <w:rPr>
          <w:rFonts w:ascii="Times New Roman" w:cs="Times New Roman" w:eastAsia="Calibri" w:hAnsi="Times New Roman"/>
          <w:sz w:val="24"/>
          <w:szCs w:val="24"/>
          <w:lang w:eastAsia="en-GB"/>
        </w:rPr>
        <w:t>18i4.68647·</w:t>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highlight w:val="yellow"/>
          <w:lang w:eastAsia="en-GB"/>
        </w:rPr>
        <w:t>Korsman</w:t>
      </w:r>
      <w:r>
        <w:rPr>
          <w:rFonts w:ascii="Times New Roman" w:cs="Times New Roman" w:eastAsia="Calibri" w:hAnsi="Times New Roman"/>
          <w:sz w:val="24"/>
          <w:szCs w:val="24"/>
          <w:lang w:eastAsia="en-GB"/>
        </w:rPr>
        <w:t xml:space="preserve">, J., Meisel, B., Kloppers, F. J., Crampton, B. G., &amp; Berger, D. K. (2012). Quantitative phenotyping of </w:t>
      </w:r>
      <w:r>
        <w:rPr>
          <w:rFonts w:ascii="Times New Roman" w:cs="Times New Roman" w:eastAsia="Calibri" w:hAnsi="Times New Roman"/>
          <w:sz w:val="24"/>
          <w:szCs w:val="24"/>
          <w:lang w:eastAsia="en-GB"/>
        </w:rPr>
        <w:t>gray</w:t>
      </w:r>
      <w:r>
        <w:rPr>
          <w:rFonts w:ascii="Times New Roman" w:cs="Times New Roman" w:eastAsia="Calibri" w:hAnsi="Times New Roman"/>
          <w:sz w:val="24"/>
          <w:szCs w:val="24"/>
          <w:lang w:eastAsia="en-GB"/>
        </w:rPr>
        <w:t xml:space="preserve"> leaf spot disease in maize using real-time PCR. </w:t>
      </w:r>
      <w:r>
        <w:rPr>
          <w:rFonts w:ascii="Times New Roman" w:cs="Times New Roman" w:eastAsia="Calibri" w:hAnsi="Times New Roman"/>
          <w:i/>
          <w:iCs/>
          <w:sz w:val="24"/>
          <w:szCs w:val="24"/>
          <w:lang w:eastAsia="en-GB"/>
        </w:rPr>
        <w:t>European Journal of Plant Pathology</w:t>
      </w:r>
      <w:r>
        <w:rPr>
          <w:rFonts w:ascii="Times New Roman" w:cs="Times New Roman" w:eastAsia="Calibri" w:hAnsi="Times New Roman"/>
          <w:sz w:val="24"/>
          <w:szCs w:val="24"/>
          <w:lang w:eastAsia="en-GB"/>
        </w:rPr>
        <w:t>, 133, 461–471. https://doi.org/10.1007/s10658-011-9920-1.</w:t>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Lehmensiek</w:t>
      </w:r>
      <w:r>
        <w:rPr>
          <w:rFonts w:ascii="Times New Roman" w:cs="Times New Roman" w:eastAsia="Calibri" w:hAnsi="Times New Roman"/>
          <w:sz w:val="24"/>
          <w:szCs w:val="24"/>
          <w:lang w:eastAsia="en-GB"/>
        </w:rPr>
        <w:t xml:space="preserve">, A., Esterhuizen, A. M., Van Staden, D., Nelson, S. W., &amp; Retief, A. E. (2001). Genetic mapping of </w:t>
      </w:r>
      <w:r>
        <w:rPr>
          <w:rFonts w:ascii="Times New Roman" w:cs="Times New Roman" w:eastAsia="Calibri" w:hAnsi="Times New Roman"/>
          <w:sz w:val="24"/>
          <w:szCs w:val="24"/>
          <w:lang w:eastAsia="en-GB"/>
        </w:rPr>
        <w:t>gray</w:t>
      </w:r>
      <w:r>
        <w:rPr>
          <w:rFonts w:ascii="Times New Roman" w:cs="Times New Roman" w:eastAsia="Calibri" w:hAnsi="Times New Roman"/>
          <w:sz w:val="24"/>
          <w:szCs w:val="24"/>
          <w:lang w:eastAsia="en-GB"/>
        </w:rPr>
        <w:t xml:space="preserve"> leaf spot (GLS) resistance genes in maize: </w:t>
      </w:r>
      <w:r>
        <w:rPr>
          <w:rFonts w:ascii="Times New Roman" w:cs="Times New Roman" w:eastAsia="Calibri" w:hAnsi="Times New Roman"/>
          <w:i/>
          <w:iCs/>
          <w:sz w:val="24"/>
          <w:szCs w:val="24"/>
          <w:lang w:eastAsia="en-GB"/>
        </w:rPr>
        <w:t>Theoretical and Applied Genetics,</w:t>
      </w:r>
      <w:r>
        <w:rPr>
          <w:rFonts w:ascii="Times New Roman" w:cs="Times New Roman" w:eastAsia="Calibri" w:hAnsi="Times New Roman"/>
          <w:sz w:val="24"/>
          <w:szCs w:val="24"/>
          <w:lang w:eastAsia="en-GB"/>
        </w:rPr>
        <w:t xml:space="preserve"> 103(5), 797–803. </w:t>
      </w:r>
      <w:r>
        <w:rPr/>
        <w:fldChar w:fldCharType="begin"/>
      </w:r>
      <w:r>
        <w:instrText xml:space="preserve"> HYPERLINK "https://doi.org/10.1007/s001220100599." </w:instrText>
      </w:r>
      <w:r>
        <w:rPr/>
        <w:fldChar w:fldCharType="separate"/>
      </w:r>
      <w:r>
        <w:rPr>
          <w:rFonts w:ascii="Times New Roman" w:cs="Times New Roman" w:eastAsia="Calibri" w:hAnsi="Times New Roman"/>
          <w:color w:val="0000ff"/>
          <w:sz w:val="24"/>
          <w:szCs w:val="24"/>
          <w:u w:val="single"/>
          <w:lang w:eastAsia="en-GB"/>
        </w:rPr>
        <w:t>https://doi.org/10.1007/s001220100599.</w:t>
      </w:r>
      <w:r>
        <w:rPr/>
        <w:fldChar w:fldCharType="end"/>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highlight w:val="yellow"/>
          <w:lang w:eastAsia="en-GB"/>
        </w:rPr>
        <w:t>Liu</w:t>
      </w:r>
      <w:r>
        <w:rPr>
          <w:rFonts w:ascii="Times New Roman" w:cs="Times New Roman" w:eastAsia="Calibri" w:hAnsi="Times New Roman"/>
          <w:sz w:val="24"/>
          <w:szCs w:val="24"/>
          <w:lang w:eastAsia="en-GB"/>
        </w:rPr>
        <w:t xml:space="preserve">, L., Zhang, Y. D., Li, H. Y., Bi, Y. Q., Yu, L. J., Fan, X. M., ... &amp; Kang, M. S. (2016). QTL mapping for </w:t>
      </w:r>
      <w:r>
        <w:rPr>
          <w:rFonts w:ascii="Times New Roman" w:cs="Times New Roman" w:eastAsia="Calibri" w:hAnsi="Times New Roman"/>
          <w:sz w:val="24"/>
          <w:szCs w:val="24"/>
          <w:lang w:eastAsia="en-GB"/>
        </w:rPr>
        <w:t>gray</w:t>
      </w:r>
      <w:r>
        <w:rPr>
          <w:rFonts w:ascii="Times New Roman" w:cs="Times New Roman" w:eastAsia="Calibri" w:hAnsi="Times New Roman"/>
          <w:sz w:val="24"/>
          <w:szCs w:val="24"/>
          <w:lang w:eastAsia="en-GB"/>
        </w:rPr>
        <w:t xml:space="preserve"> leaf spot resistance in a tropical maize population. </w:t>
      </w:r>
      <w:r>
        <w:rPr>
          <w:rFonts w:ascii="Times New Roman" w:cs="Times New Roman" w:eastAsia="Calibri" w:hAnsi="Times New Roman"/>
          <w:i/>
          <w:iCs/>
          <w:sz w:val="24"/>
          <w:szCs w:val="24"/>
          <w:lang w:eastAsia="en-GB"/>
        </w:rPr>
        <w:t>Plant Disease</w:t>
      </w:r>
      <w:r>
        <w:rPr>
          <w:rFonts w:ascii="Times New Roman" w:cs="Times New Roman" w:eastAsia="Calibri" w:hAnsi="Times New Roman"/>
          <w:sz w:val="24"/>
          <w:szCs w:val="24"/>
          <w:lang w:eastAsia="en-GB"/>
        </w:rPr>
        <w:t>, 100(2), 304-312.http://dx.doi.org/10.1094/PDIS-08-14-0825-RE.</w:t>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highlight w:val="yellow"/>
          <w:lang w:eastAsia="en-GB"/>
        </w:rPr>
        <w:t>Mueller</w:t>
      </w:r>
      <w:r>
        <w:rPr>
          <w:rFonts w:ascii="Times New Roman" w:cs="Times New Roman" w:eastAsia="Calibri" w:hAnsi="Times New Roman"/>
          <w:sz w:val="24"/>
          <w:szCs w:val="24"/>
          <w:lang w:eastAsia="en-GB"/>
        </w:rPr>
        <w:t xml:space="preserve">, D. S., Wise, K. A., Sisson, A. J., Allen, T. W., Bergstrom, G. C., Bissonnette, K. M., Bradley, C. A., Byamukama, E., Chilvers, M. I., Collins, A. A., Esker, P. D., Faske, T. R., </w:t>
      </w:r>
      <w:r>
        <w:rPr>
          <w:rFonts w:ascii="Times New Roman" w:cs="Times New Roman" w:eastAsia="Calibri" w:hAnsi="Times New Roman"/>
          <w:sz w:val="24"/>
          <w:szCs w:val="24"/>
          <w:lang w:eastAsia="en-GB"/>
        </w:rPr>
        <w:t>Friskop</w:t>
      </w:r>
      <w:r>
        <w:rPr>
          <w:rFonts w:ascii="Times New Roman" w:cs="Times New Roman" w:eastAsia="Calibri" w:hAnsi="Times New Roman"/>
          <w:sz w:val="24"/>
          <w:szCs w:val="24"/>
          <w:lang w:eastAsia="en-GB"/>
        </w:rPr>
        <w:t xml:space="preserve">, A. J., Hagan, A. K., Heiniger, R. W., Hollier, C. A., </w:t>
      </w:r>
      <w:r>
        <w:rPr>
          <w:rFonts w:ascii="Times New Roman" w:cs="Times New Roman" w:eastAsia="Calibri" w:hAnsi="Times New Roman"/>
          <w:sz w:val="24"/>
          <w:szCs w:val="24"/>
          <w:lang w:eastAsia="en-GB"/>
        </w:rPr>
        <w:t>Isakeit</w:t>
      </w:r>
      <w:r>
        <w:rPr>
          <w:rFonts w:ascii="Times New Roman" w:cs="Times New Roman" w:eastAsia="Calibri" w:hAnsi="Times New Roman"/>
          <w:sz w:val="24"/>
          <w:szCs w:val="24"/>
          <w:lang w:eastAsia="en-GB"/>
        </w:rPr>
        <w:t xml:space="preserve">, T., Jackson-Ziems, T. A., Jardine, D. J., … Wiebold, W. J. (2020). Corn Yield Loss </w:t>
      </w:r>
      <w:r>
        <w:rPr>
          <w:rFonts w:ascii="Times New Roman" w:cs="Times New Roman" w:eastAsia="Calibri" w:hAnsi="Times New Roman"/>
          <w:sz w:val="24"/>
          <w:szCs w:val="24"/>
          <w:lang w:eastAsia="en-GB"/>
        </w:rPr>
        <w:t>Estimates Due to Diseases in the United States and Ontario, Canada, from 2016 to 2019.</w:t>
      </w:r>
      <w:r>
        <w:rPr>
          <w:rFonts w:ascii="Times New Roman" w:cs="Times New Roman" w:eastAsia="Calibri" w:hAnsi="Times New Roman"/>
          <w:i/>
          <w:iCs/>
          <w:sz w:val="24"/>
          <w:szCs w:val="24"/>
          <w:lang w:eastAsia="en-GB"/>
        </w:rPr>
        <w:t xml:space="preserve"> Plant Health Progress</w:t>
      </w:r>
      <w:r>
        <w:rPr>
          <w:rFonts w:ascii="Times New Roman" w:cs="Times New Roman" w:eastAsia="Calibri" w:hAnsi="Times New Roman"/>
          <w:sz w:val="24"/>
          <w:szCs w:val="24"/>
          <w:lang w:eastAsia="en-GB"/>
        </w:rPr>
        <w:t>, 21(4), 238–247. https://doi.org/10.1094/PHP-05-20-0038-RS</w:t>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highlight w:val="yellow"/>
          <w:lang w:eastAsia="en-GB"/>
        </w:rPr>
        <w:t>Munialo</w:t>
      </w:r>
      <w:r>
        <w:rPr>
          <w:rFonts w:ascii="Times New Roman" w:cs="Times New Roman" w:eastAsia="Calibri" w:hAnsi="Times New Roman"/>
          <w:sz w:val="24"/>
          <w:szCs w:val="24"/>
          <w:lang w:eastAsia="en-GB"/>
        </w:rPr>
        <w:t xml:space="preserve">, S., Dahlin, A. S., Onyango M, C., </w:t>
      </w:r>
      <w:r>
        <w:rPr>
          <w:rFonts w:ascii="Times New Roman" w:cs="Times New Roman" w:eastAsia="Calibri" w:hAnsi="Times New Roman"/>
          <w:sz w:val="24"/>
          <w:szCs w:val="24"/>
          <w:lang w:eastAsia="en-GB"/>
        </w:rPr>
        <w:t>Oluoch‐Kosura</w:t>
      </w:r>
      <w:r>
        <w:rPr>
          <w:rFonts w:ascii="Times New Roman" w:cs="Times New Roman" w:eastAsia="Calibri" w:hAnsi="Times New Roman"/>
          <w:sz w:val="24"/>
          <w:szCs w:val="24"/>
          <w:lang w:eastAsia="en-GB"/>
        </w:rPr>
        <w:t xml:space="preserve">, W., </w:t>
      </w:r>
      <w:r>
        <w:rPr>
          <w:rFonts w:ascii="Times New Roman" w:cs="Times New Roman" w:eastAsia="Calibri" w:hAnsi="Times New Roman"/>
          <w:sz w:val="24"/>
          <w:szCs w:val="24"/>
          <w:lang w:eastAsia="en-GB"/>
        </w:rPr>
        <w:t>Marstorp</w:t>
      </w:r>
      <w:r>
        <w:rPr>
          <w:rFonts w:ascii="Times New Roman" w:cs="Times New Roman" w:eastAsia="Calibri" w:hAnsi="Times New Roman"/>
          <w:sz w:val="24"/>
          <w:szCs w:val="24"/>
          <w:lang w:eastAsia="en-GB"/>
        </w:rPr>
        <w:t xml:space="preserve">, H., &amp; </w:t>
      </w:r>
      <w:r>
        <w:rPr>
          <w:rFonts w:ascii="Times New Roman" w:cs="Times New Roman" w:eastAsia="Calibri" w:hAnsi="Times New Roman"/>
          <w:sz w:val="24"/>
          <w:szCs w:val="24"/>
          <w:lang w:eastAsia="en-GB"/>
        </w:rPr>
        <w:t>Öborn</w:t>
      </w:r>
      <w:r>
        <w:rPr>
          <w:rFonts w:ascii="Times New Roman" w:cs="Times New Roman" w:eastAsia="Calibri" w:hAnsi="Times New Roman"/>
          <w:sz w:val="24"/>
          <w:szCs w:val="24"/>
          <w:lang w:eastAsia="en-GB"/>
        </w:rPr>
        <w:t xml:space="preserve">, I. (2020). Soil and management‐related factors contributing to maize yield gaps in western Kenya. </w:t>
      </w:r>
      <w:r>
        <w:rPr>
          <w:rFonts w:ascii="Times New Roman" w:cs="Times New Roman" w:eastAsia="Calibri" w:hAnsi="Times New Roman"/>
          <w:i/>
          <w:iCs/>
          <w:sz w:val="24"/>
          <w:szCs w:val="24"/>
          <w:lang w:eastAsia="en-GB"/>
        </w:rPr>
        <w:t>Food and Energy Security,</w:t>
      </w:r>
      <w:r>
        <w:rPr>
          <w:rFonts w:ascii="Times New Roman" w:cs="Times New Roman" w:eastAsia="Calibri" w:hAnsi="Times New Roman"/>
          <w:sz w:val="24"/>
          <w:szCs w:val="24"/>
          <w:lang w:eastAsia="en-GB"/>
        </w:rPr>
        <w:t xml:space="preserve"> 9(1), e189.  https://doi.org/10.1002/fes3.189.</w:t>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highlight w:val="yellow"/>
          <w:lang w:eastAsia="en-GB"/>
        </w:rPr>
        <w:t>Nega</w:t>
      </w:r>
      <w:r>
        <w:rPr>
          <w:rFonts w:ascii="Times New Roman" w:cs="Times New Roman" w:eastAsia="Calibri" w:hAnsi="Times New Roman"/>
          <w:sz w:val="24"/>
          <w:szCs w:val="24"/>
          <w:lang w:eastAsia="en-GB"/>
        </w:rPr>
        <w:t xml:space="preserve">, A., &amp; </w:t>
      </w:r>
      <w:r>
        <w:rPr>
          <w:rFonts w:ascii="Times New Roman" w:cs="Times New Roman" w:eastAsia="Calibri" w:hAnsi="Times New Roman"/>
          <w:sz w:val="24"/>
          <w:szCs w:val="24"/>
          <w:lang w:eastAsia="en-GB"/>
        </w:rPr>
        <w:t>Lemessa</w:t>
      </w:r>
      <w:r>
        <w:rPr>
          <w:rFonts w:ascii="Times New Roman" w:cs="Times New Roman" w:eastAsia="Calibri" w:hAnsi="Times New Roman"/>
          <w:sz w:val="24"/>
          <w:szCs w:val="24"/>
          <w:lang w:eastAsia="en-GB"/>
        </w:rPr>
        <w:t xml:space="preserve">, F. (2016). Distribution and Importance of Maize </w:t>
      </w:r>
      <w:r>
        <w:rPr>
          <w:rFonts w:ascii="Times New Roman" w:cs="Times New Roman" w:eastAsia="Calibri" w:hAnsi="Times New Roman"/>
          <w:sz w:val="24"/>
          <w:szCs w:val="24"/>
          <w:lang w:eastAsia="en-GB"/>
        </w:rPr>
        <w:t>gray</w:t>
      </w:r>
      <w:r>
        <w:rPr>
          <w:rFonts w:ascii="Times New Roman" w:cs="Times New Roman" w:eastAsia="Calibri" w:hAnsi="Times New Roman"/>
          <w:sz w:val="24"/>
          <w:szCs w:val="24"/>
          <w:lang w:eastAsia="en-GB"/>
        </w:rPr>
        <w:t xml:space="preserve"> Leaf Spot </w:t>
      </w:r>
      <w:r>
        <w:rPr>
          <w:rFonts w:ascii="Times New Roman" w:cs="Times New Roman" w:eastAsia="Calibri" w:hAnsi="Times New Roman"/>
          <w:sz w:val="24"/>
          <w:szCs w:val="24"/>
          <w:lang w:eastAsia="en-GB"/>
        </w:rPr>
        <w:t>Cercospora</w:t>
      </w:r>
      <w:r>
        <w:rPr>
          <w:rFonts w:ascii="Times New Roman" w:cs="Times New Roman" w:eastAsia="Calibri" w:hAnsi="Times New Roman"/>
          <w:sz w:val="24"/>
          <w:szCs w:val="24"/>
          <w:lang w:eastAsia="en-GB"/>
        </w:rPr>
        <w:t xml:space="preserve"> </w:t>
      </w:r>
      <w:r>
        <w:rPr>
          <w:rFonts w:ascii="Times New Roman" w:cs="Times New Roman" w:eastAsia="Calibri" w:hAnsi="Times New Roman"/>
          <w:sz w:val="24"/>
          <w:szCs w:val="24"/>
          <w:lang w:eastAsia="en-GB"/>
        </w:rPr>
        <w:t>zeaemaydis</w:t>
      </w:r>
      <w:r>
        <w:rPr>
          <w:rFonts w:ascii="Times New Roman" w:cs="Times New Roman" w:eastAsia="Calibri" w:hAnsi="Times New Roman"/>
          <w:sz w:val="24"/>
          <w:szCs w:val="24"/>
          <w:lang w:eastAsia="en-GB"/>
        </w:rPr>
        <w:t xml:space="preserve"> (</w:t>
      </w:r>
      <w:r>
        <w:rPr>
          <w:rFonts w:ascii="Times New Roman" w:cs="Times New Roman" w:eastAsia="Calibri" w:hAnsi="Times New Roman"/>
          <w:sz w:val="24"/>
          <w:szCs w:val="24"/>
          <w:lang w:eastAsia="en-GB"/>
        </w:rPr>
        <w:t>Tehon</w:t>
      </w:r>
      <w:r>
        <w:rPr>
          <w:rFonts w:ascii="Times New Roman" w:cs="Times New Roman" w:eastAsia="Calibri" w:hAnsi="Times New Roman"/>
          <w:sz w:val="24"/>
          <w:szCs w:val="24"/>
          <w:lang w:eastAsia="en-GB"/>
        </w:rPr>
        <w:t xml:space="preserve"> and Daniels) in South and Southwest Ethiopia. </w:t>
      </w:r>
      <w:r>
        <w:rPr>
          <w:rFonts w:ascii="Times New Roman" w:cs="Times New Roman" w:eastAsia="Calibri" w:hAnsi="Times New Roman"/>
          <w:i/>
          <w:iCs/>
          <w:sz w:val="24"/>
          <w:szCs w:val="24"/>
          <w:lang w:eastAsia="en-GB"/>
        </w:rPr>
        <w:t>Journal of Plant Pathology &amp; Microbiology</w:t>
      </w:r>
      <w:r>
        <w:rPr>
          <w:rFonts w:ascii="Times New Roman" w:cs="Times New Roman" w:eastAsia="Calibri" w:hAnsi="Times New Roman"/>
          <w:sz w:val="24"/>
          <w:szCs w:val="24"/>
          <w:lang w:eastAsia="en-GB"/>
        </w:rPr>
        <w:t>, 7(7). https://doi.org/10.4172/2157-7471.1000362</w:t>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highlight w:val="yellow"/>
          <w:lang w:eastAsia="en-GB"/>
        </w:rPr>
        <w:t>Nowell</w:t>
      </w:r>
      <w:r>
        <w:rPr>
          <w:rFonts w:ascii="Times New Roman" w:cs="Times New Roman" w:eastAsia="Calibri" w:hAnsi="Times New Roman"/>
          <w:sz w:val="24"/>
          <w:szCs w:val="24"/>
          <w:lang w:eastAsia="en-GB"/>
        </w:rPr>
        <w:t xml:space="preserve">, D. C. (1997). Studies on Ear Rot and </w:t>
      </w:r>
      <w:r>
        <w:rPr>
          <w:rFonts w:ascii="Times New Roman" w:cs="Times New Roman" w:eastAsia="Calibri" w:hAnsi="Times New Roman"/>
          <w:sz w:val="24"/>
          <w:szCs w:val="24"/>
          <w:lang w:eastAsia="en-GB"/>
        </w:rPr>
        <w:t>gray</w:t>
      </w:r>
      <w:r>
        <w:rPr>
          <w:rFonts w:ascii="Times New Roman" w:cs="Times New Roman" w:eastAsia="Calibri" w:hAnsi="Times New Roman"/>
          <w:sz w:val="24"/>
          <w:szCs w:val="24"/>
          <w:lang w:eastAsia="en-GB"/>
        </w:rPr>
        <w:t xml:space="preserve"> Leaf Spot of Maize in South Africa.</w:t>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Nsibo</w:t>
      </w:r>
      <w:r>
        <w:rPr>
          <w:rFonts w:ascii="Times New Roman" w:cs="Times New Roman" w:eastAsia="Calibri" w:hAnsi="Times New Roman"/>
          <w:sz w:val="24"/>
          <w:szCs w:val="24"/>
          <w:lang w:eastAsia="en-GB"/>
        </w:rPr>
        <w:t xml:space="preserve">, D. L., Barnes, I., &amp; Berger, D. K. (2024). Recent advances in the population biology and management of maize foliar fungal pathogens </w:t>
      </w:r>
      <w:r>
        <w:rPr>
          <w:rFonts w:ascii="Times New Roman" w:cs="Times New Roman" w:eastAsia="Calibri" w:hAnsi="Times New Roman"/>
          <w:sz w:val="24"/>
          <w:szCs w:val="24"/>
          <w:lang w:eastAsia="en-GB"/>
        </w:rPr>
        <w:t>Exserohilum</w:t>
      </w:r>
      <w:r>
        <w:rPr>
          <w:rFonts w:ascii="Times New Roman" w:cs="Times New Roman" w:eastAsia="Calibri" w:hAnsi="Times New Roman"/>
          <w:sz w:val="24"/>
          <w:szCs w:val="24"/>
          <w:lang w:eastAsia="en-GB"/>
        </w:rPr>
        <w:t xml:space="preserve"> </w:t>
      </w:r>
      <w:r>
        <w:rPr>
          <w:rFonts w:ascii="Times New Roman" w:cs="Times New Roman" w:eastAsia="Calibri" w:hAnsi="Times New Roman"/>
          <w:sz w:val="24"/>
          <w:szCs w:val="24"/>
          <w:lang w:eastAsia="en-GB"/>
        </w:rPr>
        <w:t>turcicum</w:t>
      </w:r>
      <w:r>
        <w:rPr>
          <w:rFonts w:ascii="Times New Roman" w:cs="Times New Roman" w:eastAsia="Calibri" w:hAnsi="Times New Roman"/>
          <w:sz w:val="24"/>
          <w:szCs w:val="24"/>
          <w:lang w:eastAsia="en-GB"/>
        </w:rPr>
        <w:t xml:space="preserve">, </w:t>
      </w:r>
      <w:r>
        <w:rPr>
          <w:rFonts w:ascii="Times New Roman" w:cs="Times New Roman" w:eastAsia="Calibri" w:hAnsi="Times New Roman"/>
          <w:sz w:val="24"/>
          <w:szCs w:val="24"/>
          <w:lang w:eastAsia="en-GB"/>
        </w:rPr>
        <w:t>Cercospora</w:t>
      </w:r>
      <w:r>
        <w:rPr>
          <w:rFonts w:ascii="Times New Roman" w:cs="Times New Roman" w:eastAsia="Calibri" w:hAnsi="Times New Roman"/>
          <w:sz w:val="24"/>
          <w:szCs w:val="24"/>
          <w:lang w:eastAsia="en-GB"/>
        </w:rPr>
        <w:t xml:space="preserve"> </w:t>
      </w:r>
      <w:r>
        <w:rPr>
          <w:rFonts w:ascii="Times New Roman" w:cs="Times New Roman" w:eastAsia="Calibri" w:hAnsi="Times New Roman"/>
          <w:sz w:val="24"/>
          <w:szCs w:val="24"/>
          <w:lang w:eastAsia="en-GB"/>
        </w:rPr>
        <w:t>zeina</w:t>
      </w:r>
      <w:r>
        <w:rPr>
          <w:rFonts w:ascii="Times New Roman" w:cs="Times New Roman" w:eastAsia="Calibri" w:hAnsi="Times New Roman"/>
          <w:sz w:val="24"/>
          <w:szCs w:val="24"/>
          <w:lang w:eastAsia="en-GB"/>
        </w:rPr>
        <w:t xml:space="preserve"> and </w:t>
      </w:r>
      <w:r>
        <w:rPr>
          <w:rFonts w:ascii="Times New Roman" w:cs="Times New Roman" w:eastAsia="Calibri" w:hAnsi="Times New Roman"/>
          <w:sz w:val="24"/>
          <w:szCs w:val="24"/>
          <w:lang w:eastAsia="en-GB"/>
        </w:rPr>
        <w:t>Bipolaris</w:t>
      </w:r>
      <w:r>
        <w:rPr>
          <w:rFonts w:ascii="Times New Roman" w:cs="Times New Roman" w:eastAsia="Calibri" w:hAnsi="Times New Roman"/>
          <w:sz w:val="24"/>
          <w:szCs w:val="24"/>
          <w:lang w:eastAsia="en-GB"/>
        </w:rPr>
        <w:t xml:space="preserve"> maydis in Africa. </w:t>
      </w:r>
      <w:r>
        <w:rPr>
          <w:rFonts w:ascii="Times New Roman" w:cs="Times New Roman" w:eastAsia="Calibri" w:hAnsi="Times New Roman"/>
          <w:i/>
          <w:iCs/>
          <w:sz w:val="24"/>
          <w:szCs w:val="24"/>
          <w:lang w:eastAsia="en-GB"/>
        </w:rPr>
        <w:t xml:space="preserve">Frontiers in Plant Science, </w:t>
      </w:r>
      <w:r>
        <w:rPr>
          <w:rFonts w:ascii="Times New Roman" w:cs="Times New Roman" w:eastAsia="Calibri" w:hAnsi="Times New Roman"/>
          <w:sz w:val="24"/>
          <w:szCs w:val="24"/>
          <w:lang w:eastAsia="en-GB"/>
        </w:rPr>
        <w:t>15, 1404483. https://doi.org/10.3389/fpls.2024.1404483</w:t>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highlight w:val="yellow"/>
          <w:lang w:eastAsia="en-GB"/>
        </w:rPr>
        <w:t>Nyan</w:t>
      </w:r>
      <w:r>
        <w:rPr>
          <w:rFonts w:ascii="Times New Roman" w:cs="Times New Roman" w:eastAsia="Calibri" w:hAnsi="Times New Roman"/>
          <w:sz w:val="24"/>
          <w:szCs w:val="24"/>
          <w:lang w:eastAsia="en-GB"/>
        </w:rPr>
        <w:t>apah</w:t>
      </w:r>
      <w:r>
        <w:rPr>
          <w:rFonts w:ascii="Times New Roman" w:cs="Times New Roman" w:eastAsia="Calibri" w:hAnsi="Times New Roman"/>
          <w:sz w:val="24"/>
          <w:szCs w:val="24"/>
          <w:lang w:eastAsia="en-GB"/>
        </w:rPr>
        <w:t xml:space="preserve">, J. O., </w:t>
      </w:r>
      <w:r>
        <w:rPr>
          <w:rFonts w:ascii="Times New Roman" w:cs="Times New Roman" w:eastAsia="Calibri" w:hAnsi="Times New Roman"/>
          <w:sz w:val="24"/>
          <w:szCs w:val="24"/>
          <w:lang w:eastAsia="en-GB"/>
        </w:rPr>
        <w:t>Ayiecho</w:t>
      </w:r>
      <w:r>
        <w:rPr>
          <w:rFonts w:ascii="Times New Roman" w:cs="Times New Roman" w:eastAsia="Calibri" w:hAnsi="Times New Roman"/>
          <w:sz w:val="24"/>
          <w:szCs w:val="24"/>
          <w:lang w:eastAsia="en-GB"/>
        </w:rPr>
        <w:t xml:space="preserve">, P. O., </w:t>
      </w:r>
      <w:r>
        <w:rPr>
          <w:rFonts w:ascii="Times New Roman" w:cs="Times New Roman" w:eastAsia="Calibri" w:hAnsi="Times New Roman"/>
          <w:sz w:val="24"/>
          <w:szCs w:val="24"/>
          <w:lang w:eastAsia="en-GB"/>
        </w:rPr>
        <w:t>Nyabundi</w:t>
      </w:r>
      <w:r>
        <w:rPr>
          <w:rFonts w:ascii="Times New Roman" w:cs="Times New Roman" w:eastAsia="Calibri" w:hAnsi="Times New Roman"/>
          <w:sz w:val="24"/>
          <w:szCs w:val="24"/>
          <w:lang w:eastAsia="en-GB"/>
        </w:rPr>
        <w:t xml:space="preserve">, J. O., Otieno, W., &amp; Ojiambo, P. S. (2020). Field Characterization of Partial Resistance to </w:t>
      </w:r>
      <w:r>
        <w:rPr>
          <w:rFonts w:ascii="Times New Roman" w:cs="Times New Roman" w:eastAsia="Calibri" w:hAnsi="Times New Roman"/>
          <w:sz w:val="24"/>
          <w:szCs w:val="24"/>
          <w:lang w:eastAsia="en-GB"/>
        </w:rPr>
        <w:t>gray</w:t>
      </w:r>
      <w:r>
        <w:rPr>
          <w:rFonts w:ascii="Times New Roman" w:cs="Times New Roman" w:eastAsia="Calibri" w:hAnsi="Times New Roman"/>
          <w:sz w:val="24"/>
          <w:szCs w:val="24"/>
          <w:lang w:eastAsia="en-GB"/>
        </w:rPr>
        <w:t xml:space="preserve"> Leaf Spot in Elite Maize Germplasm. </w:t>
      </w:r>
      <w:r>
        <w:rPr>
          <w:rFonts w:ascii="Times New Roman" w:cs="Times New Roman" w:eastAsia="Calibri" w:hAnsi="Times New Roman"/>
          <w:i/>
          <w:iCs/>
          <w:sz w:val="24"/>
          <w:szCs w:val="24"/>
          <w:lang w:eastAsia="en-GB"/>
        </w:rPr>
        <w:t>Phytopathology®,</w:t>
      </w:r>
      <w:r>
        <w:rPr>
          <w:rFonts w:ascii="Times New Roman" w:cs="Times New Roman" w:eastAsia="Calibri" w:hAnsi="Times New Roman"/>
          <w:sz w:val="24"/>
          <w:szCs w:val="24"/>
          <w:lang w:eastAsia="en-GB"/>
        </w:rPr>
        <w:t xml:space="preserve"> 110(10), 1668–1679. </w:t>
      </w:r>
      <w:r>
        <w:rPr/>
        <w:fldChar w:fldCharType="begin"/>
      </w:r>
      <w:r>
        <w:instrText xml:space="preserve"> HYPERLINK "https://doi.org/10.1094/PHYTO-12-19-0446-R." </w:instrText>
      </w:r>
      <w:r>
        <w:rPr/>
        <w:fldChar w:fldCharType="separate"/>
      </w:r>
      <w:r>
        <w:rPr>
          <w:rFonts w:ascii="Times New Roman" w:cs="Times New Roman" w:eastAsia="Calibri" w:hAnsi="Times New Roman"/>
          <w:color w:val="0000ff"/>
          <w:sz w:val="24"/>
          <w:szCs w:val="24"/>
          <w:u w:val="single"/>
          <w:lang w:eastAsia="en-GB"/>
        </w:rPr>
        <w:t>https://doi.org/10.1094/PHYTO-12-19-0446-R.</w:t>
      </w:r>
      <w:r>
        <w:rPr/>
        <w:fldChar w:fldCharType="end"/>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 xml:space="preserve">Omondi, D. O., Dida, M. M., Berger, D. K., Beyene, Y., </w:t>
      </w:r>
      <w:r>
        <w:rPr>
          <w:rFonts w:ascii="Times New Roman" w:cs="Times New Roman" w:eastAsia="Calibri" w:hAnsi="Times New Roman"/>
          <w:sz w:val="24"/>
          <w:szCs w:val="24"/>
          <w:lang w:eastAsia="en-GB"/>
        </w:rPr>
        <w:t>Nsibo</w:t>
      </w:r>
      <w:r>
        <w:rPr>
          <w:rFonts w:ascii="Times New Roman" w:cs="Times New Roman" w:eastAsia="Calibri" w:hAnsi="Times New Roman"/>
          <w:sz w:val="24"/>
          <w:szCs w:val="24"/>
          <w:lang w:eastAsia="en-GB"/>
        </w:rPr>
        <w:t xml:space="preserve">, D. L., Juma, C., </w:t>
      </w:r>
      <w:r>
        <w:rPr>
          <w:rFonts w:ascii="Times New Roman" w:cs="Times New Roman" w:eastAsia="Calibri" w:hAnsi="Times New Roman"/>
          <w:sz w:val="24"/>
          <w:szCs w:val="24"/>
          <w:lang w:eastAsia="en-GB"/>
        </w:rPr>
        <w:t>Mahabaleswara</w:t>
      </w:r>
      <w:r>
        <w:rPr>
          <w:rFonts w:ascii="Times New Roman" w:cs="Times New Roman" w:eastAsia="Calibri" w:hAnsi="Times New Roman"/>
          <w:sz w:val="24"/>
          <w:szCs w:val="24"/>
          <w:lang w:eastAsia="en-GB"/>
        </w:rPr>
        <w:t xml:space="preserve">, S. L., &amp; Gowda, M. (2023). Combination of linkage and association mapping with genomic prediction to infer QTL regions associated with </w:t>
      </w:r>
      <w:r>
        <w:rPr>
          <w:rFonts w:ascii="Times New Roman" w:cs="Times New Roman" w:eastAsia="Calibri" w:hAnsi="Times New Roman"/>
          <w:sz w:val="24"/>
          <w:szCs w:val="24"/>
          <w:lang w:eastAsia="en-GB"/>
        </w:rPr>
        <w:t>gray</w:t>
      </w:r>
      <w:r>
        <w:rPr>
          <w:rFonts w:ascii="Times New Roman" w:cs="Times New Roman" w:eastAsia="Calibri" w:hAnsi="Times New Roman"/>
          <w:sz w:val="24"/>
          <w:szCs w:val="24"/>
          <w:lang w:eastAsia="en-GB"/>
        </w:rPr>
        <w:t xml:space="preserve"> leaf spot and northern corn leaf blight resistance in tropical maize. </w:t>
      </w:r>
      <w:r>
        <w:rPr>
          <w:rFonts w:ascii="Times New Roman" w:cs="Times New Roman" w:eastAsia="Calibri" w:hAnsi="Times New Roman"/>
          <w:i/>
          <w:iCs/>
          <w:sz w:val="24"/>
          <w:szCs w:val="24"/>
          <w:lang w:eastAsia="en-GB"/>
        </w:rPr>
        <w:t>Frontiers in Genetics,</w:t>
      </w:r>
      <w:r>
        <w:rPr>
          <w:rFonts w:ascii="Times New Roman" w:cs="Times New Roman" w:eastAsia="Calibri" w:hAnsi="Times New Roman"/>
          <w:sz w:val="24"/>
          <w:szCs w:val="24"/>
          <w:lang w:eastAsia="en-GB"/>
        </w:rPr>
        <w:t xml:space="preserve"> 14, 1282673. https://doi.org/10.3389/fgene.2023.1282673.</w:t>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 xml:space="preserve">Pei, D., Song, S., Kang, J., Zhang, C., Wang, J., Dong, T., Ge, M., Pervaiz, T., Zhang, P., &amp; Fang, J. (2023). Characterization of Simple Sequence Repeat (SSR) Markers Mined in Whole Grape Genomes. </w:t>
      </w:r>
      <w:r>
        <w:rPr>
          <w:rFonts w:ascii="Times New Roman" w:cs="Times New Roman" w:eastAsia="Calibri" w:hAnsi="Times New Roman"/>
          <w:i/>
          <w:iCs/>
          <w:sz w:val="24"/>
          <w:szCs w:val="24"/>
          <w:lang w:eastAsia="en-GB"/>
        </w:rPr>
        <w:t xml:space="preserve">Genes, </w:t>
      </w:r>
      <w:r>
        <w:rPr>
          <w:rFonts w:ascii="Times New Roman" w:cs="Times New Roman" w:eastAsia="Calibri" w:hAnsi="Times New Roman"/>
          <w:sz w:val="24"/>
          <w:szCs w:val="24"/>
          <w:lang w:eastAsia="en-GB"/>
        </w:rPr>
        <w:t xml:space="preserve">14(3), 663. </w:t>
      </w:r>
      <w:r>
        <w:rPr/>
        <w:fldChar w:fldCharType="begin"/>
      </w:r>
      <w:r>
        <w:instrText xml:space="preserve"> HYPERLINK "https://doi.org/10.3390/genes14030663." </w:instrText>
      </w:r>
      <w:r>
        <w:rPr/>
        <w:fldChar w:fldCharType="separate"/>
      </w:r>
      <w:r>
        <w:rPr>
          <w:rFonts w:ascii="Times New Roman" w:cs="Times New Roman" w:eastAsia="Calibri" w:hAnsi="Times New Roman"/>
          <w:color w:val="0000ff"/>
          <w:sz w:val="24"/>
          <w:szCs w:val="24"/>
          <w:u w:val="single"/>
          <w:lang w:eastAsia="en-GB"/>
        </w:rPr>
        <w:t>https://doi.org/10.3390/genes14030663.</w:t>
      </w:r>
      <w:r>
        <w:rPr/>
        <w:fldChar w:fldCharType="end"/>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highlight w:val="yellow"/>
          <w:lang w:eastAsia="en-GB"/>
        </w:rPr>
        <w:t>Peressotti</w:t>
      </w:r>
      <w:r>
        <w:rPr>
          <w:rFonts w:ascii="Times New Roman" w:cs="Times New Roman" w:eastAsia="Calibri" w:hAnsi="Times New Roman"/>
          <w:sz w:val="24"/>
          <w:szCs w:val="24"/>
          <w:lang w:eastAsia="en-GB"/>
        </w:rPr>
        <w:t>, E., Wiedemann-</w:t>
      </w:r>
      <w:r>
        <w:rPr>
          <w:rFonts w:ascii="Times New Roman" w:cs="Times New Roman" w:eastAsia="Calibri" w:hAnsi="Times New Roman"/>
          <w:sz w:val="24"/>
          <w:szCs w:val="24"/>
          <w:lang w:eastAsia="en-GB"/>
        </w:rPr>
        <w:t>Merdinoglu</w:t>
      </w:r>
      <w:r>
        <w:rPr>
          <w:rFonts w:ascii="Times New Roman" w:cs="Times New Roman" w:eastAsia="Calibri" w:hAnsi="Times New Roman"/>
          <w:sz w:val="24"/>
          <w:szCs w:val="24"/>
          <w:lang w:eastAsia="en-GB"/>
        </w:rPr>
        <w:t xml:space="preserve">, S., Delmotte, F., Bellin, D., Di </w:t>
      </w:r>
      <w:r>
        <w:rPr>
          <w:rFonts w:ascii="Times New Roman" w:cs="Times New Roman" w:eastAsia="Calibri" w:hAnsi="Times New Roman"/>
          <w:sz w:val="24"/>
          <w:szCs w:val="24"/>
          <w:lang w:eastAsia="en-GB"/>
        </w:rPr>
        <w:t>Gaspero</w:t>
      </w:r>
      <w:r>
        <w:rPr>
          <w:rFonts w:ascii="Times New Roman" w:cs="Times New Roman" w:eastAsia="Calibri" w:hAnsi="Times New Roman"/>
          <w:sz w:val="24"/>
          <w:szCs w:val="24"/>
          <w:lang w:eastAsia="en-GB"/>
        </w:rPr>
        <w:t xml:space="preserve">, G., Testolin, R., </w:t>
      </w:r>
      <w:r>
        <w:rPr>
          <w:rFonts w:ascii="Times New Roman" w:cs="Times New Roman" w:eastAsia="Calibri" w:hAnsi="Times New Roman"/>
          <w:sz w:val="24"/>
          <w:szCs w:val="24"/>
          <w:lang w:eastAsia="en-GB"/>
        </w:rPr>
        <w:t>Merdinoglu</w:t>
      </w:r>
      <w:r>
        <w:rPr>
          <w:rFonts w:ascii="Times New Roman" w:cs="Times New Roman" w:eastAsia="Calibri" w:hAnsi="Times New Roman"/>
          <w:sz w:val="24"/>
          <w:szCs w:val="24"/>
          <w:lang w:eastAsia="en-GB"/>
        </w:rPr>
        <w:t xml:space="preserve">, D., &amp; Mestre, P. (2010). Breakdown of resistance to grapevine downy mildew upon limited deployment of a resistant variety. </w:t>
      </w:r>
      <w:r>
        <w:rPr>
          <w:rFonts w:ascii="Times New Roman" w:cs="Times New Roman" w:eastAsia="Calibri" w:hAnsi="Times New Roman"/>
          <w:i/>
          <w:iCs/>
          <w:sz w:val="24"/>
          <w:szCs w:val="24"/>
          <w:lang w:eastAsia="en-GB"/>
        </w:rPr>
        <w:t>BMC Plant Biology,</w:t>
      </w:r>
      <w:r>
        <w:rPr>
          <w:rFonts w:ascii="Times New Roman" w:cs="Times New Roman" w:eastAsia="Calibri" w:hAnsi="Times New Roman"/>
          <w:sz w:val="24"/>
          <w:szCs w:val="24"/>
          <w:lang w:eastAsia="en-GB"/>
        </w:rPr>
        <w:t xml:space="preserve"> 10(1), 147. </w:t>
      </w:r>
      <w:r>
        <w:rPr/>
        <w:fldChar w:fldCharType="begin"/>
      </w:r>
      <w:r>
        <w:instrText xml:space="preserve"> HYPERLINK "https://doi.org/10.1186/1471-2229-10-147." </w:instrText>
      </w:r>
      <w:r>
        <w:rPr/>
        <w:fldChar w:fldCharType="separate"/>
      </w:r>
      <w:r>
        <w:rPr>
          <w:rFonts w:ascii="Times New Roman" w:cs="Times New Roman" w:eastAsia="Calibri" w:hAnsi="Times New Roman"/>
          <w:color w:val="0000ff"/>
          <w:sz w:val="24"/>
          <w:szCs w:val="24"/>
          <w:u w:val="single"/>
          <w:lang w:eastAsia="en-GB"/>
        </w:rPr>
        <w:t>https://doi.org/10.1186/1471-2229-10-147.</w:t>
      </w:r>
      <w:r>
        <w:rPr/>
        <w:fldChar w:fldCharType="end"/>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 xml:space="preserve">Tang, Q., Wang, X., Jin, X., Peng, J., Zhang, H., &amp; Wang, Y. (2023). CRISPR/Cas Technology Revolutionizes </w:t>
      </w:r>
      <w:r>
        <w:rPr>
          <w:rFonts w:ascii="Times New Roman" w:cs="Times New Roman" w:eastAsia="Calibri" w:hAnsi="Times New Roman"/>
          <w:i/>
          <w:iCs/>
          <w:sz w:val="24"/>
          <w:szCs w:val="24"/>
          <w:lang w:eastAsia="en-GB"/>
        </w:rPr>
        <w:t>Crop Breeding. Plants,</w:t>
      </w:r>
      <w:r>
        <w:rPr>
          <w:rFonts w:ascii="Times New Roman" w:cs="Times New Roman" w:eastAsia="Calibri" w:hAnsi="Times New Roman"/>
          <w:sz w:val="24"/>
          <w:szCs w:val="24"/>
          <w:lang w:eastAsia="en-GB"/>
        </w:rPr>
        <w:t xml:space="preserve"> 12(17), 3119. https://doi.org/10.3390/plants12173119</w:t>
      </w:r>
    </w:p>
    <w:p>
      <w:pPr>
        <w:pStyle w:val="style179"/>
        <w:numPr>
          <w:ilvl w:val="0"/>
          <w:numId w:val="1"/>
        </w:numPr>
        <w:spacing w:before="120" w:beforeLines="50" w:after="0" w:lineRule="auto" w:line="360"/>
        <w:jc w:val="both"/>
        <w:rPr>
          <w:rFonts w:ascii="Times New Roman" w:cs="Times New Roman" w:eastAsia="Calibri" w:hAnsi="Times New Roman"/>
          <w:color w:val="0000ff"/>
          <w:sz w:val="24"/>
          <w:szCs w:val="24"/>
          <w:u w:val="single"/>
          <w:lang w:eastAsia="en-GB"/>
        </w:rPr>
      </w:pPr>
      <w:r>
        <w:rPr>
          <w:rFonts w:ascii="Times New Roman" w:cs="Times New Roman" w:eastAsia="Calibri" w:hAnsi="Times New Roman"/>
          <w:sz w:val="24"/>
          <w:szCs w:val="24"/>
          <w:highlight w:val="yellow"/>
          <w:lang w:eastAsia="en-GB"/>
        </w:rPr>
        <w:t>Xue</w:t>
      </w:r>
      <w:r>
        <w:rPr>
          <w:rFonts w:ascii="Times New Roman" w:cs="Times New Roman" w:eastAsia="Calibri" w:hAnsi="Times New Roman"/>
          <w:sz w:val="24"/>
          <w:szCs w:val="24"/>
          <w:lang w:eastAsia="en-GB"/>
        </w:rPr>
        <w:t xml:space="preserve">, J., Gao, S., Hou, L., Li, L., Ming, B., Xie, R., Wang, K., Hou, P., &amp; Li, S. (2021). Physiological Influence of Stalk Rot on Maize Lodging after Physiological Maturity. </w:t>
      </w:r>
      <w:r>
        <w:rPr>
          <w:rFonts w:ascii="Times New Roman" w:cs="Times New Roman" w:eastAsia="Calibri" w:hAnsi="Times New Roman"/>
          <w:i/>
          <w:iCs/>
          <w:sz w:val="24"/>
          <w:szCs w:val="24"/>
          <w:lang w:eastAsia="en-GB"/>
        </w:rPr>
        <w:t>Agronomy,</w:t>
      </w:r>
      <w:r>
        <w:rPr>
          <w:rFonts w:ascii="Times New Roman" w:cs="Times New Roman" w:eastAsia="Calibri" w:hAnsi="Times New Roman"/>
          <w:sz w:val="24"/>
          <w:szCs w:val="24"/>
          <w:lang w:eastAsia="en-GB"/>
        </w:rPr>
        <w:t xml:space="preserve"> 11(11), 2271. </w:t>
      </w:r>
      <w:r>
        <w:rPr/>
        <w:fldChar w:fldCharType="begin"/>
      </w:r>
      <w:r>
        <w:instrText xml:space="preserve"> HYPERLINK "https://doi.org/10.3390/agronomy11112271." </w:instrText>
      </w:r>
      <w:r>
        <w:rPr/>
        <w:fldChar w:fldCharType="separate"/>
      </w:r>
      <w:r>
        <w:rPr>
          <w:rFonts w:ascii="Times New Roman" w:cs="Times New Roman" w:eastAsia="Calibri" w:hAnsi="Times New Roman"/>
          <w:color w:val="0000ff"/>
          <w:sz w:val="24"/>
          <w:szCs w:val="24"/>
          <w:u w:val="single"/>
          <w:lang w:eastAsia="en-GB"/>
        </w:rPr>
        <w:t>https://doi.org/10.3390/agronomy11112271.</w:t>
      </w:r>
      <w:r>
        <w:rPr/>
        <w:fldChar w:fldCharType="end"/>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color w:val="0000ff"/>
          <w:sz w:val="24"/>
          <w:szCs w:val="24"/>
          <w:u w:val="single"/>
          <w:lang w:eastAsia="en-GB"/>
        </w:rPr>
        <w:t xml:space="preserve">Yang, H., Wang, H., Jiang, J., Liu, M., Liu, Z., Tan, Y., Zhao, T., Zhang, H., Chen, X., &amp; Li, J. (2022). The </w:t>
      </w:r>
      <w:r>
        <w:rPr>
          <w:rFonts w:ascii="Times New Roman" w:cs="Times New Roman" w:eastAsia="Calibri" w:hAnsi="Times New Roman"/>
          <w:color w:val="0000ff"/>
          <w:sz w:val="24"/>
          <w:szCs w:val="24"/>
          <w:u w:val="single"/>
          <w:lang w:eastAsia="en-GB"/>
        </w:rPr>
        <w:t>Sm</w:t>
      </w:r>
      <w:r>
        <w:rPr>
          <w:rFonts w:ascii="Times New Roman" w:cs="Times New Roman" w:eastAsia="Calibri" w:hAnsi="Times New Roman"/>
          <w:color w:val="0000ff"/>
          <w:sz w:val="24"/>
          <w:szCs w:val="24"/>
          <w:u w:val="single"/>
          <w:lang w:eastAsia="en-GB"/>
        </w:rPr>
        <w:t xml:space="preserve"> gene conferring resistance to </w:t>
      </w:r>
      <w:r>
        <w:rPr>
          <w:rFonts w:ascii="Times New Roman" w:cs="Times New Roman" w:eastAsia="Calibri" w:hAnsi="Times New Roman"/>
          <w:color w:val="0000ff"/>
          <w:sz w:val="24"/>
          <w:szCs w:val="24"/>
          <w:u w:val="single"/>
          <w:lang w:eastAsia="en-GB"/>
        </w:rPr>
        <w:t>gray</w:t>
      </w:r>
      <w:r>
        <w:rPr>
          <w:rFonts w:ascii="Times New Roman" w:cs="Times New Roman" w:eastAsia="Calibri" w:hAnsi="Times New Roman"/>
          <w:color w:val="0000ff"/>
          <w:sz w:val="24"/>
          <w:szCs w:val="24"/>
          <w:u w:val="single"/>
          <w:lang w:eastAsia="en-GB"/>
        </w:rPr>
        <w:t xml:space="preserve"> leaf spot disease encodes an NBS-LRR (nucleotide-binding site-leucine-rich repeat) plant resistance protein in tomato. </w:t>
      </w:r>
      <w:r>
        <w:rPr>
          <w:rFonts w:ascii="Times New Roman" w:cs="Times New Roman" w:eastAsia="Calibri" w:hAnsi="Times New Roman"/>
          <w:i/>
          <w:iCs/>
          <w:color w:val="0000ff"/>
          <w:sz w:val="24"/>
          <w:szCs w:val="24"/>
          <w:u w:val="single"/>
          <w:lang w:eastAsia="en-GB"/>
        </w:rPr>
        <w:t>Theoretical and Applied Genetics,</w:t>
      </w:r>
      <w:r>
        <w:rPr>
          <w:rFonts w:ascii="Times New Roman" w:cs="Times New Roman" w:eastAsia="Calibri" w:hAnsi="Times New Roman"/>
          <w:color w:val="0000ff"/>
          <w:sz w:val="24"/>
          <w:szCs w:val="24"/>
          <w:u w:val="single"/>
          <w:lang w:eastAsia="en-GB"/>
        </w:rPr>
        <w:t xml:space="preserve"> 135(5), 1467–1476.</w:t>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highlight w:val="yellow"/>
          <w:lang w:eastAsia="en-GB"/>
        </w:rPr>
        <w:t>Yu</w:t>
      </w:r>
      <w:r>
        <w:rPr>
          <w:rFonts w:ascii="Times New Roman" w:cs="Times New Roman" w:eastAsia="Calibri" w:hAnsi="Times New Roman"/>
          <w:sz w:val="24"/>
          <w:szCs w:val="24"/>
          <w:lang w:eastAsia="en-GB"/>
        </w:rPr>
        <w:t xml:space="preserve">, Y., Shi, J., Li, X., Liu, J., Geng, Q., Shi, H., Ke, Y., &amp; Sun, Q. (2018). Transcriptome analysis reveals the molecular mechanisms of the </w:t>
      </w:r>
      <w:r>
        <w:rPr>
          <w:rFonts w:ascii="Times New Roman" w:cs="Times New Roman" w:eastAsia="Calibri" w:hAnsi="Times New Roman"/>
          <w:sz w:val="24"/>
          <w:szCs w:val="24"/>
          <w:lang w:eastAsia="en-GB"/>
        </w:rPr>
        <w:t>defense</w:t>
      </w:r>
      <w:r>
        <w:rPr>
          <w:rFonts w:ascii="Times New Roman" w:cs="Times New Roman" w:eastAsia="Calibri" w:hAnsi="Times New Roman"/>
          <w:sz w:val="24"/>
          <w:szCs w:val="24"/>
          <w:lang w:eastAsia="en-GB"/>
        </w:rPr>
        <w:t xml:space="preserve"> response to </w:t>
      </w:r>
      <w:r>
        <w:rPr>
          <w:rFonts w:ascii="Times New Roman" w:cs="Times New Roman" w:eastAsia="Calibri" w:hAnsi="Times New Roman"/>
          <w:sz w:val="24"/>
          <w:szCs w:val="24"/>
          <w:lang w:eastAsia="en-GB"/>
        </w:rPr>
        <w:t>gray</w:t>
      </w:r>
      <w:r>
        <w:rPr>
          <w:rFonts w:ascii="Times New Roman" w:cs="Times New Roman" w:eastAsia="Calibri" w:hAnsi="Times New Roman"/>
          <w:sz w:val="24"/>
          <w:szCs w:val="24"/>
          <w:lang w:eastAsia="en-GB"/>
        </w:rPr>
        <w:t xml:space="preserve"> leaf spot disease in maize. </w:t>
      </w:r>
      <w:r>
        <w:rPr>
          <w:rFonts w:ascii="Times New Roman" w:cs="Times New Roman" w:eastAsia="Calibri" w:hAnsi="Times New Roman"/>
          <w:i/>
          <w:iCs/>
          <w:sz w:val="24"/>
          <w:szCs w:val="24"/>
          <w:lang w:eastAsia="en-GB"/>
        </w:rPr>
        <w:t>BMC Genomics,</w:t>
      </w:r>
      <w:r>
        <w:rPr>
          <w:rFonts w:ascii="Times New Roman" w:cs="Times New Roman" w:eastAsia="Calibri" w:hAnsi="Times New Roman"/>
          <w:sz w:val="24"/>
          <w:szCs w:val="24"/>
          <w:lang w:eastAsia="en-GB"/>
        </w:rPr>
        <w:t xml:space="preserve"> 19(1), 742. https://doi.org/10.1186/s12864-018-5072-4.</w:t>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Zebire</w:t>
      </w:r>
      <w:r>
        <w:rPr>
          <w:rFonts w:ascii="Times New Roman" w:cs="Times New Roman" w:eastAsia="Calibri" w:hAnsi="Times New Roman"/>
          <w:sz w:val="24"/>
          <w:szCs w:val="24"/>
          <w:lang w:eastAsia="en-GB"/>
        </w:rPr>
        <w:t xml:space="preserve">, D. A. (2020). Applications of molecular markers in Genetic Diversity Studies of maize. </w:t>
      </w:r>
      <w:r>
        <w:rPr>
          <w:rFonts w:ascii="Times New Roman" w:cs="Times New Roman" w:eastAsia="Calibri" w:hAnsi="Times New Roman"/>
          <w:i/>
          <w:iCs/>
          <w:sz w:val="24"/>
          <w:szCs w:val="24"/>
          <w:lang w:eastAsia="en-GB"/>
        </w:rPr>
        <w:t>Nigerian Journal of Biotechnology</w:t>
      </w:r>
      <w:r>
        <w:rPr>
          <w:rFonts w:ascii="Times New Roman" w:cs="Times New Roman" w:eastAsia="Calibri" w:hAnsi="Times New Roman"/>
          <w:sz w:val="24"/>
          <w:szCs w:val="24"/>
          <w:lang w:eastAsia="en-GB"/>
        </w:rPr>
        <w:t>, 37(1), 101–108. https://doi.org/10.4314/njb.v37i1.11</w:t>
      </w:r>
    </w:p>
    <w:p>
      <w:pPr>
        <w:pStyle w:val="style179"/>
        <w:numPr>
          <w:ilvl w:val="0"/>
          <w:numId w:val="1"/>
        </w:numPr>
        <w:spacing w:before="120" w:beforeLines="50" w:after="0" w:lineRule="auto" w:line="360"/>
        <w:jc w:val="both"/>
        <w:rPr>
          <w:rFonts w:ascii="Times New Roman" w:cs="Times New Roman" w:eastAsia="Calibri" w:hAnsi="Times New Roman"/>
          <w:sz w:val="24"/>
          <w:szCs w:val="24"/>
          <w:lang w:eastAsia="en-GB"/>
        </w:rPr>
      </w:pPr>
      <w:r>
        <w:rPr>
          <w:rFonts w:ascii="Times New Roman" w:cs="Times New Roman" w:eastAsia="Calibri" w:hAnsi="Times New Roman"/>
          <w:sz w:val="24"/>
          <w:szCs w:val="24"/>
          <w:lang w:eastAsia="en-GB"/>
        </w:rPr>
        <w:t xml:space="preserve">Zhou, G., Yang, H., Renshaw, D., Zou, M., Thomas, G., &amp; Li, C. (2021). Identification of </w:t>
      </w:r>
      <w:r>
        <w:rPr>
          <w:rFonts w:ascii="Times New Roman" w:cs="Times New Roman" w:eastAsia="Calibri" w:hAnsi="Times New Roman"/>
          <w:sz w:val="24"/>
          <w:szCs w:val="24"/>
          <w:lang w:eastAsia="en-GB"/>
        </w:rPr>
        <w:t>gray</w:t>
      </w:r>
      <w:r>
        <w:rPr>
          <w:rFonts w:ascii="Times New Roman" w:cs="Times New Roman" w:eastAsia="Calibri" w:hAnsi="Times New Roman"/>
          <w:sz w:val="24"/>
          <w:szCs w:val="24"/>
          <w:lang w:eastAsia="en-GB"/>
        </w:rPr>
        <w:t xml:space="preserve"> leaf spot disease candidate gene in narrow-leafed lupin (Lupinus </w:t>
      </w:r>
      <w:r>
        <w:rPr>
          <w:rFonts w:ascii="Times New Roman" w:cs="Times New Roman" w:eastAsia="Calibri" w:hAnsi="Times New Roman"/>
          <w:sz w:val="24"/>
          <w:szCs w:val="24"/>
          <w:lang w:eastAsia="en-GB"/>
        </w:rPr>
        <w:t>angustifolius</w:t>
      </w:r>
      <w:r>
        <w:rPr>
          <w:rFonts w:ascii="Times New Roman" w:cs="Times New Roman" w:eastAsia="Calibri" w:hAnsi="Times New Roman"/>
          <w:sz w:val="24"/>
          <w:szCs w:val="24"/>
          <w:lang w:eastAsia="en-GB"/>
        </w:rPr>
        <w:t xml:space="preserve"> L.). </w:t>
      </w:r>
      <w:r>
        <w:rPr>
          <w:rFonts w:ascii="Times New Roman" w:cs="Times New Roman" w:eastAsia="Calibri" w:hAnsi="Times New Roman"/>
          <w:i/>
          <w:iCs/>
          <w:sz w:val="24"/>
          <w:szCs w:val="24"/>
          <w:lang w:eastAsia="en-GB"/>
        </w:rPr>
        <w:t>Frontiers in Genetics</w:t>
      </w:r>
      <w:r>
        <w:rPr>
          <w:rFonts w:ascii="Times New Roman" w:cs="Times New Roman" w:eastAsia="Calibri" w:hAnsi="Times New Roman"/>
          <w:sz w:val="24"/>
          <w:szCs w:val="24"/>
          <w:lang w:eastAsia="en-GB"/>
        </w:rPr>
        <w:t xml:space="preserve">, 12, 695791. </w:t>
      </w:r>
      <w:r>
        <w:rPr/>
        <w:fldChar w:fldCharType="begin"/>
      </w:r>
      <w:r>
        <w:instrText xml:space="preserve"> HYPERLINK "https://doi.org/10.3389/fgene.2021.695791." </w:instrText>
      </w:r>
      <w:r>
        <w:rPr/>
        <w:fldChar w:fldCharType="separate"/>
      </w:r>
      <w:r>
        <w:rPr>
          <w:rFonts w:ascii="Times New Roman" w:cs="Times New Roman" w:eastAsia="Calibri" w:hAnsi="Times New Roman"/>
          <w:color w:val="0000ff"/>
          <w:sz w:val="24"/>
          <w:szCs w:val="24"/>
          <w:u w:val="single"/>
          <w:lang w:eastAsia="en-GB"/>
        </w:rPr>
        <w:t>https://doi.org/10.3389/fgene.2021.695791.</w:t>
      </w:r>
      <w:r>
        <w:rPr/>
        <w:fldChar w:fldCharType="end"/>
      </w:r>
    </w:p>
    <w:p>
      <w:pPr>
        <w:pStyle w:val="style0"/>
        <w:jc w:val="both"/>
        <w:rPr>
          <w:rFonts w:ascii="Times New Roman" w:cs="Times New Roman" w:hAnsi="Times New Roman"/>
          <w:sz w:val="24"/>
          <w:szCs w:val="24"/>
        </w:rPr>
      </w:pPr>
    </w:p>
    <w:sectPr>
      <w:headerReference w:type="even" r:id="rId5"/>
      <w:headerReference w:type="default" r:id="rId6"/>
      <w:footerReference w:type="even" r:id="rId7"/>
      <w:footerReference w:type="default" r:id="rId8"/>
      <w:headerReference w:type="first" r:id="rId9"/>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2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35.8pt;height:100.45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35.8pt;height:100.45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35.8pt;height:100.45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5C0C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bidi="ar-SA"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lang w:val="en-GB" w:bidi="ar-SA" w:eastAsia="en-GB"/>
      </w:rPr>
    </w:rPrDefault>
    <w:pPrDefault>
      <w:pPr/>
    </w:pPrDefault>
  </w:docDefaults>
  <w:style w:type="paragraph" w:default="1" w:styleId="style0">
    <w:name w:val="Normal"/>
    <w:next w:val="style0"/>
    <w:qFormat/>
    <w:pPr>
      <w:spacing w:after="160" w:lineRule="auto" w:line="259"/>
    </w:pPr>
    <w:rPr>
      <w:sz w:val="22"/>
      <w:szCs w:val="22"/>
      <w:lang w:eastAsia="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563c1"/>
      <w:u w:val="single"/>
    </w:rPr>
  </w:style>
  <w:style w:type="character" w:customStyle="1" w:styleId="style4097">
    <w:name w:val="Unresolved Mention"/>
    <w:basedOn w:val="style65"/>
    <w:next w:val="style4097"/>
    <w:uiPriority w:val="99"/>
    <w:rPr>
      <w:color w:val="605e5c"/>
      <w:shd w:val="clear" w:color="auto" w:fill="e1dfdd"/>
    </w:r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character" w:customStyle="1" w:styleId="style4098">
    <w:name w:val="Header Char_86dd0177-16ce-4854-8fb6-985961bb15bd"/>
    <w:basedOn w:val="style65"/>
    <w:next w:val="style4098"/>
    <w:link w:val="style31"/>
    <w:uiPriority w:val="99"/>
    <w:rPr>
      <w:sz w:val="22"/>
      <w:szCs w:val="22"/>
      <w:lang w:eastAsia="en-US"/>
    </w:rPr>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faf26240-615d-464d-a420-464cdb90690c"/>
    <w:basedOn w:val="style65"/>
    <w:next w:val="style4099"/>
    <w:link w:val="style32"/>
    <w:uiPriority w:val="99"/>
    <w:rPr>
      <w:sz w:val="22"/>
      <w:szCs w:val="22"/>
      <w:lang w:eastAsia="en-US"/>
    </w:rPr>
  </w:style>
  <w:style w:type="paragraph" w:styleId="style179">
    <w:name w:val="List Paragraph"/>
    <w:basedOn w:val="style0"/>
    <w:next w:val="style179"/>
    <w:uiPriority w:val="99"/>
    <w:pPr>
      <w:ind w:left="720"/>
      <w:contextualSpacing/>
    </w:pPr>
    <w:rPr/>
  </w:style>
</w:styles>
</file>

<file path=word/_rels/document.xml.rels><?xml version="1.0" encoding="UTF-8"?>
<Relationships xmlns="http://schemas.openxmlformats.org/package/2006/relationships"><Relationship Id="rId11" Type="http://schemas.openxmlformats.org/officeDocument/2006/relationships/fontTable" Target="fontTable.xml"/><Relationship Id="rId10" Type="http://schemas.openxmlformats.org/officeDocument/2006/relationships/styles" Target="styles.xml"/><Relationship Id="rId13" Type="http://schemas.openxmlformats.org/officeDocument/2006/relationships/theme" Target="theme/theme1.xml"/><Relationship Id="rId12" Type="http://schemas.openxmlformats.org/officeDocument/2006/relationships/settings" Target="settings.xml"/><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2.jpeg"/><Relationship Id="rId9" Type="http://schemas.openxmlformats.org/officeDocument/2006/relationships/header" Target="header5.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3.xml"/><Relationship Id="rId8"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5019</Words>
  <Pages>1</Pages>
  <Characters>27682</Characters>
  <Application>WPS Office</Application>
  <DocSecurity>0</DocSecurity>
  <Paragraphs>530</Paragraphs>
  <ScaleCrop>false</ScaleCrop>
  <LinksUpToDate>false</LinksUpToDate>
  <CharactersWithSpaces>32270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2025-02-02T15:23:54Z</dcterms:created>
  <dc:creator>Microsoft account</dc:creator>
  <lastModifiedBy>TECNO KI8</lastModifiedBy>
  <dcterms:modified xsi:type="dcterms:W3CDTF">2025-02-02T15:23:54Z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a461d4a4-6bad-4adf-988c-cc6f4f9a9802</vt:lpwstr>
  </property>
  <property fmtid="{D5CDD505-2E9C-101B-9397-08002B2CF9AE}" pid="3" name="KSOProductBuildVer">
    <vt:lpwstr>1033-12.2.0.19805</vt:lpwstr>
  </property>
  <property fmtid="{D5CDD505-2E9C-101B-9397-08002B2CF9AE}" pid="4" name="ICV">
    <vt:lpwstr>1c70bc1618fc487ca70bc7e1482864e5</vt:lpwstr>
  </property>
</Properties>
</file>