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B8414" w14:textId="77777777" w:rsidR="00BD007A" w:rsidRPr="00184F35" w:rsidRDefault="00BD007A" w:rsidP="00B9776B">
      <w:pPr>
        <w:pStyle w:val="NormalWeb"/>
        <w:spacing w:line="360" w:lineRule="auto"/>
        <w:jc w:val="both"/>
      </w:pPr>
      <w:r w:rsidRPr="00184F35">
        <w:rPr>
          <w:rStyle w:val="Strong"/>
        </w:rPr>
        <w:t>Mitochondria and nuclear interaction: cellular insights and implications in neurodegenerative diseases.</w:t>
      </w:r>
    </w:p>
    <w:p w14:paraId="49939C89" w14:textId="77777777" w:rsidR="00276933" w:rsidRDefault="00276933" w:rsidP="00B9776B">
      <w:pPr>
        <w:pStyle w:val="NormalWeb"/>
        <w:spacing w:line="360" w:lineRule="auto"/>
        <w:jc w:val="both"/>
        <w:rPr>
          <w:rStyle w:val="Strong"/>
        </w:rPr>
      </w:pPr>
    </w:p>
    <w:p w14:paraId="41127796" w14:textId="4C3FE07B" w:rsidR="00BD007A" w:rsidRPr="00184F35" w:rsidRDefault="00BD007A" w:rsidP="00B9776B">
      <w:pPr>
        <w:pStyle w:val="NormalWeb"/>
        <w:spacing w:line="360" w:lineRule="auto"/>
        <w:jc w:val="both"/>
      </w:pPr>
      <w:r w:rsidRPr="00184F35">
        <w:rPr>
          <w:rStyle w:val="Strong"/>
        </w:rPr>
        <w:t>Abstract</w:t>
      </w:r>
    </w:p>
    <w:p w14:paraId="7C827DF2" w14:textId="77777777" w:rsidR="005756F2" w:rsidRPr="00184F35" w:rsidRDefault="007B003C" w:rsidP="00B9776B">
      <w:pPr>
        <w:pStyle w:val="NormalWeb"/>
        <w:spacing w:line="360" w:lineRule="auto"/>
        <w:jc w:val="both"/>
      </w:pPr>
      <w:r w:rsidRPr="00184F35">
        <w:t>Mitochondria are organelles known as the "powerhouses" of the cell that produce energy. They are centers that have roles in producing heat, storing calcium, and controlling cell division and death. To this end each of the several compartments or areas that make up mitochondria has a specific function. Several research</w:t>
      </w:r>
      <w:r w:rsidR="00A710F5" w:rsidRPr="00184F35">
        <w:t>ers</w:t>
      </w:r>
      <w:r w:rsidRPr="00184F35">
        <w:t xml:space="preserve"> report unusual cytological features of mitochondria, such as </w:t>
      </w:r>
      <w:r w:rsidR="00C970EF">
        <w:t>proximity</w:t>
      </w:r>
      <w:r w:rsidRPr="00184F35">
        <w:t xml:space="preserve"> to the nucleus and different shape in both normal and aberrant conditions. Aided by several proteins and processes, </w:t>
      </w:r>
      <w:r w:rsidRPr="004E57A7">
        <w:rPr>
          <w:highlight w:val="yellow"/>
        </w:rPr>
        <w:t>number of proteins are</w:t>
      </w:r>
      <w:r w:rsidRPr="00184F35">
        <w:t xml:space="preserve"> shuttled from the mitochondria to the nucleus and vice versa at the cellular level. Because it affects energy production, metabolism, and cell proliferation, the relationship between the mitochondria and nucleus is essential for cell</w:t>
      </w:r>
      <w:r w:rsidR="005756F2" w:rsidRPr="00184F35">
        <w:t>ular functions</w:t>
      </w:r>
      <w:r w:rsidRPr="00184F35">
        <w:t xml:space="preserve">. Additionally, the transport, shape, and functions of mitochondria are </w:t>
      </w:r>
      <w:r w:rsidR="005756F2" w:rsidRPr="00184F35">
        <w:t xml:space="preserve">crucial </w:t>
      </w:r>
      <w:r w:rsidRPr="00184F35">
        <w:t>for</w:t>
      </w:r>
      <w:r w:rsidR="005756F2" w:rsidRPr="00184F35">
        <w:t xml:space="preserve"> a number of cellular processes specifically neuronal functions. The cyto-architecture and distinct physiological adaptations of cells in both healthy and diseased conditions are included in this review, which provides an update in this field of mitochondrial biology. We specifically concentrate on the function of mitochondria and mitochondria-nuclear transport in </w:t>
      </w:r>
      <w:r w:rsidR="00985D79" w:rsidRPr="00184F35">
        <w:t xml:space="preserve">brain since </w:t>
      </w:r>
      <w:r w:rsidR="005756F2" w:rsidRPr="00184F35">
        <w:t xml:space="preserve">neurons play special roles beyond energy production. These functions include preserving calcium homeostasis, controlling the metabolism of fats and carbohydrates, and generating reactive oxygen species (ROS), all of which are essential for the proper operation of the brain. A number of neurodegenerative illnesses exhibit altered nuclear proteins, aberrant mitochondrial morphology, </w:t>
      </w:r>
      <w:r w:rsidR="00F56B13" w:rsidRPr="00184F35">
        <w:t>and metabolic</w:t>
      </w:r>
      <w:r w:rsidR="005756F2" w:rsidRPr="00184F35">
        <w:t xml:space="preserve"> dysfunction</w:t>
      </w:r>
      <w:r w:rsidR="00D136BF" w:rsidRPr="00184F35">
        <w:t xml:space="preserve"> and interaction dysfunctions</w:t>
      </w:r>
      <w:r w:rsidR="005756F2" w:rsidRPr="00184F35">
        <w:t xml:space="preserve">. Lastly, mitochondria have emerged as a potentially useful therapeutic target in several human mitochondrial diseases. The present review is an update to bridge several knowledge gaps that exist regarding the mitochondrial dysfunction in neurodegeneration. </w:t>
      </w:r>
    </w:p>
    <w:p w14:paraId="35269F8E" w14:textId="77777777" w:rsidR="005756F2" w:rsidRPr="00184F35" w:rsidRDefault="005756F2" w:rsidP="00B9776B">
      <w:pPr>
        <w:pStyle w:val="NormalWeb"/>
        <w:spacing w:line="360" w:lineRule="auto"/>
        <w:jc w:val="both"/>
      </w:pPr>
    </w:p>
    <w:p w14:paraId="25C3E121" w14:textId="77777777" w:rsidR="005756F2" w:rsidRPr="00184F35" w:rsidRDefault="00A710F5" w:rsidP="00B9776B">
      <w:pPr>
        <w:pStyle w:val="NormalWeb"/>
        <w:spacing w:line="360" w:lineRule="auto"/>
        <w:jc w:val="both"/>
        <w:rPr>
          <w:b/>
        </w:rPr>
      </w:pPr>
      <w:r w:rsidRPr="00184F35">
        <w:rPr>
          <w:b/>
        </w:rPr>
        <w:t>Keywords-</w:t>
      </w:r>
      <w:r w:rsidR="001D5B69" w:rsidRPr="00184F35">
        <w:rPr>
          <w:b/>
        </w:rPr>
        <w:t xml:space="preserve"> </w:t>
      </w:r>
      <w:r w:rsidR="001D5B69" w:rsidRPr="00184F35">
        <w:rPr>
          <w:bCs/>
          <w:color w:val="000000" w:themeColor="text1"/>
        </w:rPr>
        <w:t>endosymbiotic alphaproteobacterium,</w:t>
      </w:r>
      <w:r w:rsidR="001D5B69" w:rsidRPr="00184F35">
        <w:rPr>
          <w:color w:val="000000" w:themeColor="text1"/>
        </w:rPr>
        <w:t xml:space="preserve"> oxidative phosphorylation (OXPHOS),</w:t>
      </w:r>
      <w:r w:rsidR="001D5B69" w:rsidRPr="00184F35">
        <w:rPr>
          <w:bCs/>
          <w:color w:val="000000" w:themeColor="text1"/>
        </w:rPr>
        <w:t xml:space="preserve"> mitochondrial DNA (mtDNA),</w:t>
      </w:r>
      <w:r w:rsidR="001D5B69" w:rsidRPr="00184F35">
        <w:t xml:space="preserve"> kinesin,</w:t>
      </w:r>
    </w:p>
    <w:p w14:paraId="3DD50A18" w14:textId="193C83AF" w:rsidR="00C81883" w:rsidRDefault="00C81883" w:rsidP="00B9776B">
      <w:pPr>
        <w:pStyle w:val="NormalWeb"/>
        <w:spacing w:line="360" w:lineRule="auto"/>
        <w:jc w:val="both"/>
        <w:rPr>
          <w:rStyle w:val="Strong"/>
        </w:rPr>
      </w:pPr>
      <w:r>
        <w:rPr>
          <w:rStyle w:val="Strong"/>
        </w:rPr>
        <w:lastRenderedPageBreak/>
        <w:t xml:space="preserve">Introduction </w:t>
      </w:r>
    </w:p>
    <w:p w14:paraId="1EA4A274" w14:textId="09C3F685" w:rsidR="00BD007A" w:rsidRPr="00184F35" w:rsidRDefault="00BD007A" w:rsidP="00B9776B">
      <w:pPr>
        <w:pStyle w:val="NormalWeb"/>
        <w:spacing w:line="360" w:lineRule="auto"/>
        <w:jc w:val="both"/>
      </w:pPr>
      <w:r w:rsidRPr="00184F35">
        <w:rPr>
          <w:rStyle w:val="Strong"/>
        </w:rPr>
        <w:t>Basic cell biology and cellular roles of mitochondria</w:t>
      </w:r>
    </w:p>
    <w:p w14:paraId="2CF8FA1C" w14:textId="7895C990" w:rsidR="00BD007A" w:rsidRPr="00184F35" w:rsidRDefault="005756F2" w:rsidP="00B9776B">
      <w:pPr>
        <w:spacing w:line="360" w:lineRule="auto"/>
        <w:jc w:val="both"/>
        <w:rPr>
          <w:rFonts w:ascii="Times New Roman" w:eastAsia="Times New Roman" w:hAnsi="Times New Roman" w:cs="Times New Roman"/>
          <w:sz w:val="24"/>
          <w:szCs w:val="24"/>
        </w:rPr>
      </w:pPr>
      <w:r w:rsidRPr="00184F35">
        <w:rPr>
          <w:rFonts w:ascii="Times New Roman" w:eastAsia="Times New Roman" w:hAnsi="Times New Roman" w:cs="Times New Roman"/>
          <w:sz w:val="24"/>
          <w:szCs w:val="24"/>
        </w:rPr>
        <w:t>The organelles known as mitochondria (plural: mitochondrion) are essential for the production of cellular energy and are regarded as the "powerhouses" of all eukaryotic cells, from lower eukaryotes to mammals and archaebacteria (Geoffrey M. Cooper and Robert E. Hausman 2013). With the exception of mature red blood cells, nearly every cell in the human body has mitochondria (Nemkov et al., 2024). The integration of an endosymbiotic alphaproteobacterium into a host cell linked to the Asgard Archaea is the origin of mitochondria, a common ancestral organelle. There were numerous evolutionary modifications involved in the shift from endosymbiotic bacteria to permanent organelles (Andrew J. Roger et al., 2017). Almost all eukaryotic cells contain these membrane-bound, cytoplasmic organelles, which serve as the "digestive system" of the cell. The remarkable complexity of mitochondrial protein architecture, which reflects the many and dive</w:t>
      </w:r>
      <w:r w:rsidR="00831D97" w:rsidRPr="00184F35">
        <w:rPr>
          <w:rFonts w:ascii="Times New Roman" w:eastAsia="Times New Roman" w:hAnsi="Times New Roman" w:cs="Times New Roman"/>
          <w:sz w:val="24"/>
          <w:szCs w:val="24"/>
        </w:rPr>
        <w:t>rse mitochondrial functions, have</w:t>
      </w:r>
      <w:r w:rsidRPr="00184F35">
        <w:rPr>
          <w:rFonts w:ascii="Times New Roman" w:eastAsia="Times New Roman" w:hAnsi="Times New Roman" w:cs="Times New Roman"/>
          <w:sz w:val="24"/>
          <w:szCs w:val="24"/>
        </w:rPr>
        <w:t xml:space="preserve"> been brought to light by recent proteomics studies. These include proteins that are involved in metabolism, homeostasis, cellular differentiation, and biosynthesis processes. The proteins play a role in mitophagy, cellular stress response, apoptosis, ion homeostasis, ATP generation, antioxidant management, redox regulation, and cell growth and differentiation (Pfanner N et al., 2019). Fission and fusion, biogenesis, and autopha</w:t>
      </w:r>
      <w:r w:rsidR="00831D97" w:rsidRPr="00184F35">
        <w:rPr>
          <w:rFonts w:ascii="Times New Roman" w:eastAsia="Times New Roman" w:hAnsi="Times New Roman" w:cs="Times New Roman"/>
          <w:sz w:val="24"/>
          <w:szCs w:val="24"/>
        </w:rPr>
        <w:t>gy are mechanisms that</w:t>
      </w:r>
      <w:r w:rsidRPr="00184F35">
        <w:rPr>
          <w:rFonts w:ascii="Times New Roman" w:eastAsia="Times New Roman" w:hAnsi="Times New Roman" w:cs="Times New Roman"/>
          <w:sz w:val="24"/>
          <w:szCs w:val="24"/>
        </w:rPr>
        <w:t xml:space="preserve"> govern the shape and location of mitochondria in cells</w:t>
      </w:r>
      <w:r w:rsidRPr="00184F35">
        <w:rPr>
          <w:rFonts w:ascii="Times New Roman" w:hAnsi="Times New Roman" w:cs="Times New Roman"/>
          <w:sz w:val="24"/>
          <w:szCs w:val="24"/>
        </w:rPr>
        <w:t xml:space="preserve"> ensuring a relatively constant mitochondrial population. </w:t>
      </w:r>
      <w:r w:rsidRPr="00184F35">
        <w:rPr>
          <w:rFonts w:ascii="Times New Roman" w:eastAsia="Times New Roman" w:hAnsi="Times New Roman" w:cs="Times New Roman"/>
          <w:sz w:val="24"/>
          <w:szCs w:val="24"/>
        </w:rPr>
        <w:t>To preserve mitochondrial quality control and functions under stress, mitochondria can create stress response mechanisms. On the other hand, the pathophysiology of a number of disorders has been linked to the disruption of these systems (Isabel Amador-Martínez et al., 2025). For these reasons, it is not surprising that ischemic injury in the heart and brain, neurodegene</w:t>
      </w:r>
      <w:r w:rsidR="00C970EF">
        <w:rPr>
          <w:rFonts w:ascii="Times New Roman" w:eastAsia="Times New Roman" w:hAnsi="Times New Roman" w:cs="Times New Roman"/>
          <w:sz w:val="24"/>
          <w:szCs w:val="24"/>
        </w:rPr>
        <w:t xml:space="preserve">rative diseases, cardiovascular, renal diseases, </w:t>
      </w:r>
      <w:r w:rsidRPr="00184F35">
        <w:rPr>
          <w:rFonts w:ascii="Times New Roman" w:eastAsia="Times New Roman" w:hAnsi="Times New Roman" w:cs="Times New Roman"/>
          <w:sz w:val="24"/>
          <w:szCs w:val="24"/>
        </w:rPr>
        <w:t xml:space="preserve">metabolic and age-related disorders are all directly caused by the dysfunction of these organelles (Ratliff et al., 2016; Doi and Noiri, 2016; Shi et al., 2022). </w:t>
      </w:r>
      <w:r w:rsidRPr="00184F35">
        <w:rPr>
          <w:rFonts w:ascii="Times New Roman" w:eastAsia="Times New Roman" w:hAnsi="Times New Roman" w:cs="Times New Roman"/>
          <w:sz w:val="24"/>
          <w:szCs w:val="24"/>
        </w:rPr>
        <w:br/>
        <w:t xml:space="preserve">At the physiological level, mitochondria serve important roles in cellular signaling through their dynamic interactions with one another and other organelles, including the nucleus, lysosomes, and the endoplasmic reticulum (ER) (Lee et al., 2024). However, during oxidative phosphorylation (OXPHOS), mitochondria are the primary locations for the generation of reactive oxygen species (ROS). Additionally, mitochondrial dysfunction is caused by excessive </w:t>
      </w:r>
      <w:r w:rsidRPr="00184F35">
        <w:rPr>
          <w:rFonts w:ascii="Times New Roman" w:eastAsia="Times New Roman" w:hAnsi="Times New Roman" w:cs="Times New Roman"/>
          <w:sz w:val="24"/>
          <w:szCs w:val="24"/>
        </w:rPr>
        <w:lastRenderedPageBreak/>
        <w:t xml:space="preserve">ROS generation at levels that surpass antioxidant defenses, and vice versa (Sies et al., 2022; Schieber and Chandel, 2014). </w:t>
      </w:r>
      <w:r w:rsidRPr="00184F35">
        <w:rPr>
          <w:rFonts w:ascii="Times New Roman" w:eastAsia="Times New Roman" w:hAnsi="Times New Roman" w:cs="Times New Roman"/>
          <w:sz w:val="24"/>
          <w:szCs w:val="24"/>
        </w:rPr>
        <w:br/>
        <w:t>All eukaryotic cells contain mitochondria, which are membrane-bound organelles with a diameter of 0.5 to 1.0 micrometers. The structure is made up of an inner membrane, an outer membrane, and a matrix, which is a gel-like sub</w:t>
      </w:r>
      <w:r w:rsidR="006D1F84" w:rsidRPr="00184F35">
        <w:rPr>
          <w:rFonts w:ascii="Times New Roman" w:eastAsia="Times New Roman" w:hAnsi="Times New Roman" w:cs="Times New Roman"/>
          <w:sz w:val="24"/>
          <w:szCs w:val="24"/>
        </w:rPr>
        <w:t xml:space="preserve">stance. These membranes are </w:t>
      </w:r>
      <w:r w:rsidRPr="00184F35">
        <w:rPr>
          <w:rFonts w:ascii="Times New Roman" w:eastAsia="Times New Roman" w:hAnsi="Times New Roman" w:cs="Times New Roman"/>
          <w:sz w:val="24"/>
          <w:szCs w:val="24"/>
        </w:rPr>
        <w:t>phospholipid bilayers with proteins incorporated in them. A bilayer membrane surrounds mitochondria, which have a characteristic ob</w:t>
      </w:r>
      <w:r w:rsidR="00C970EF">
        <w:rPr>
          <w:rFonts w:ascii="Times New Roman" w:eastAsia="Times New Roman" w:hAnsi="Times New Roman" w:cs="Times New Roman"/>
          <w:sz w:val="24"/>
          <w:szCs w:val="24"/>
        </w:rPr>
        <w:t xml:space="preserve">long or oval form (Friedman and </w:t>
      </w:r>
      <w:r w:rsidRPr="00184F35">
        <w:rPr>
          <w:rFonts w:ascii="Times New Roman" w:eastAsia="Times New Roman" w:hAnsi="Times New Roman" w:cs="Times New Roman"/>
          <w:sz w:val="24"/>
          <w:szCs w:val="24"/>
        </w:rPr>
        <w:t>Nunnari. 2014). The kind and function of a cell determine how many mitochondria it contains.</w:t>
      </w:r>
      <w:r w:rsidR="00FB5A6F" w:rsidRPr="00184F35">
        <w:rPr>
          <w:rFonts w:ascii="Times New Roman" w:eastAsia="Times New Roman" w:hAnsi="Times New Roman" w:cs="Times New Roman"/>
          <w:sz w:val="24"/>
          <w:szCs w:val="24"/>
        </w:rPr>
        <w:t xml:space="preserve"> </w:t>
      </w:r>
      <w:r w:rsidR="006D1F84" w:rsidRPr="00184F35">
        <w:rPr>
          <w:rFonts w:ascii="Times New Roman" w:eastAsia="Times New Roman" w:hAnsi="Times New Roman" w:cs="Times New Roman"/>
          <w:sz w:val="24"/>
          <w:szCs w:val="24"/>
        </w:rPr>
        <w:t xml:space="preserve">The </w:t>
      </w:r>
      <w:r w:rsidR="00FB5A6F" w:rsidRPr="00184F35">
        <w:rPr>
          <w:rFonts w:ascii="Times New Roman" w:eastAsia="Times New Roman" w:hAnsi="Times New Roman" w:cs="Times New Roman"/>
          <w:sz w:val="24"/>
          <w:szCs w:val="24"/>
        </w:rPr>
        <w:t>specialized membranes that surround</w:t>
      </w:r>
      <w:r w:rsidR="006D1F84" w:rsidRPr="00184F35">
        <w:rPr>
          <w:rFonts w:ascii="Times New Roman" w:eastAsia="Times New Roman" w:hAnsi="Times New Roman" w:cs="Times New Roman"/>
          <w:sz w:val="24"/>
          <w:szCs w:val="24"/>
        </w:rPr>
        <w:t xml:space="preserve"> each mitochondrion serve </w:t>
      </w:r>
      <w:r w:rsidR="00FB5A6F" w:rsidRPr="00184F35">
        <w:rPr>
          <w:rFonts w:ascii="Times New Roman" w:eastAsia="Times New Roman" w:hAnsi="Times New Roman" w:cs="Times New Roman"/>
          <w:sz w:val="24"/>
          <w:szCs w:val="24"/>
        </w:rPr>
        <w:t>distinct purposes. The internal matrix and the much smaller intermembrane gap are the two distinct mitochondrial compartments they form together. Porin, a t</w:t>
      </w:r>
      <w:r w:rsidR="006D1F84" w:rsidRPr="00184F35">
        <w:rPr>
          <w:rFonts w:ascii="Times New Roman" w:eastAsia="Times New Roman" w:hAnsi="Times New Roman" w:cs="Times New Roman"/>
          <w:sz w:val="24"/>
          <w:szCs w:val="24"/>
        </w:rPr>
        <w:t xml:space="preserve">ransport protein found in higher </w:t>
      </w:r>
      <w:r w:rsidR="00FB5A6F" w:rsidRPr="00184F35">
        <w:rPr>
          <w:rFonts w:ascii="Times New Roman" w:eastAsia="Times New Roman" w:hAnsi="Times New Roman" w:cs="Times New Roman"/>
          <w:sz w:val="24"/>
          <w:szCs w:val="24"/>
        </w:rPr>
        <w:t>quantities in the outer membrane, creates expansive aqueous channels that cut through the lipid bilayer. Thus, this membrane is sim</w:t>
      </w:r>
      <w:r w:rsidR="006D1F84" w:rsidRPr="00184F35">
        <w:rPr>
          <w:rFonts w:ascii="Times New Roman" w:eastAsia="Times New Roman" w:hAnsi="Times New Roman" w:cs="Times New Roman"/>
          <w:sz w:val="24"/>
          <w:szCs w:val="24"/>
        </w:rPr>
        <w:t xml:space="preserve">ilar to a sieve that allows molecules and </w:t>
      </w:r>
      <w:r w:rsidR="00FB5A6F" w:rsidRPr="00184F35">
        <w:rPr>
          <w:rFonts w:ascii="Times New Roman" w:eastAsia="Times New Roman" w:hAnsi="Times New Roman" w:cs="Times New Roman"/>
          <w:sz w:val="24"/>
          <w:szCs w:val="24"/>
        </w:rPr>
        <w:t xml:space="preserve">proteins, that are 5000 daltons or less to pass through (Kuhlbrandt W. 2015). The two primary substructures involved in several functions are the matrix and the inner membrane. The double phospholipid cardiolipin, which has four fatty acids instead of two membranes, makes the inner membrane, a highly specialized lipid bilayer, impervious to ions. Additionally, this membrane has a range of transport proteins that allow it to selectively let through </w:t>
      </w:r>
      <w:r w:rsidR="00C970EF">
        <w:rPr>
          <w:rFonts w:ascii="Times New Roman" w:eastAsia="Times New Roman" w:hAnsi="Times New Roman" w:cs="Times New Roman"/>
          <w:sz w:val="24"/>
          <w:szCs w:val="24"/>
        </w:rPr>
        <w:t>small</w:t>
      </w:r>
      <w:r w:rsidR="00FB5A6F" w:rsidRPr="00184F35">
        <w:rPr>
          <w:rFonts w:ascii="Times New Roman" w:eastAsia="Times New Roman" w:hAnsi="Times New Roman" w:cs="Times New Roman"/>
          <w:sz w:val="24"/>
          <w:szCs w:val="24"/>
        </w:rPr>
        <w:t xml:space="preserve"> molecules needed or processed by the numerous mitochondrial enzymes gathered in the matrix. According to Robertis &amp; Robertis (2020), the inner membrane </w:t>
      </w:r>
      <w:r w:rsidR="006D1F84" w:rsidRPr="00184F35">
        <w:rPr>
          <w:rFonts w:ascii="Times New Roman" w:eastAsia="Times New Roman" w:hAnsi="Times New Roman" w:cs="Times New Roman"/>
          <w:sz w:val="24"/>
          <w:szCs w:val="24"/>
        </w:rPr>
        <w:t xml:space="preserve">is typically </w:t>
      </w:r>
      <w:r w:rsidR="00FB5A6F" w:rsidRPr="00184F35">
        <w:rPr>
          <w:rFonts w:ascii="Times New Roman" w:eastAsia="Times New Roman" w:hAnsi="Times New Roman" w:cs="Times New Roman"/>
          <w:sz w:val="24"/>
          <w:szCs w:val="24"/>
        </w:rPr>
        <w:t xml:space="preserve">convoluted, generating a sequence of infoldings known as cristae that protrude into the matrix. The folds increase the accessible surface area, which improves the "productivity" of cellular respiration. The body's primary source of ATP, the electron transport chain (ETC), is made up of a number of protein complexes and electron carrier molecules found inside the inner mitochondrial membrane. </w:t>
      </w:r>
      <w:r w:rsidR="00FB5A6F" w:rsidRPr="00184F35">
        <w:rPr>
          <w:rFonts w:ascii="Times New Roman" w:hAnsi="Times New Roman" w:cs="Times New Roman"/>
          <w:sz w:val="24"/>
          <w:szCs w:val="24"/>
        </w:rPr>
        <w:t xml:space="preserve">For example, the number of cristae is three times greater in the mitochondrion of a cardiac muscle cell than in the mitochondrion of a liver cell because of the greater demand for ATP in heart cells. </w:t>
      </w:r>
      <w:r w:rsidR="00FB5A6F" w:rsidRPr="00184F35">
        <w:rPr>
          <w:rFonts w:ascii="Times New Roman" w:eastAsia="Times New Roman" w:hAnsi="Times New Roman" w:cs="Times New Roman"/>
          <w:sz w:val="24"/>
          <w:szCs w:val="24"/>
        </w:rPr>
        <w:t xml:space="preserve">Enzymes, ribosomes, and mitochondrial DNA (mtDNA) are all found in the mitochondrial matrix. The matrix's high concentration of enzymes </w:t>
      </w:r>
      <w:r w:rsidR="006D1F84" w:rsidRPr="00184F35">
        <w:rPr>
          <w:rFonts w:ascii="Times New Roman" w:eastAsia="Times New Roman" w:hAnsi="Times New Roman" w:cs="Times New Roman"/>
          <w:sz w:val="24"/>
          <w:szCs w:val="24"/>
        </w:rPr>
        <w:t>enables</w:t>
      </w:r>
      <w:r w:rsidR="00FB5A6F" w:rsidRPr="00184F35">
        <w:rPr>
          <w:rFonts w:ascii="Times New Roman" w:eastAsia="Times New Roman" w:hAnsi="Times New Roman" w:cs="Times New Roman"/>
          <w:sz w:val="24"/>
          <w:szCs w:val="24"/>
        </w:rPr>
        <w:t xml:space="preserve"> several cellular respiration processes, such as the citric acid cycle</w:t>
      </w:r>
      <w:r w:rsidR="006D1F84" w:rsidRPr="00184F35">
        <w:rPr>
          <w:rFonts w:ascii="Times New Roman" w:eastAsia="Times New Roman" w:hAnsi="Times New Roman" w:cs="Times New Roman"/>
          <w:sz w:val="24"/>
          <w:szCs w:val="24"/>
        </w:rPr>
        <w:t xml:space="preserve"> and oxidative phosphorylation</w:t>
      </w:r>
      <w:r w:rsidR="0035756C">
        <w:rPr>
          <w:rFonts w:ascii="Times New Roman" w:eastAsia="Times New Roman" w:hAnsi="Times New Roman" w:cs="Times New Roman"/>
          <w:sz w:val="24"/>
          <w:szCs w:val="24"/>
        </w:rPr>
        <w:t xml:space="preserve"> </w:t>
      </w:r>
      <w:r w:rsidR="00FB5A6F" w:rsidRPr="0035756C">
        <w:rPr>
          <w:rFonts w:ascii="Times New Roman" w:eastAsia="Times New Roman" w:hAnsi="Times New Roman" w:cs="Times New Roman"/>
          <w:sz w:val="24"/>
          <w:szCs w:val="24"/>
          <w:highlight w:val="yellow"/>
        </w:rPr>
        <w:t>(Ralph A. Brads</w:t>
      </w:r>
      <w:r w:rsidR="006D1F84" w:rsidRPr="0035756C">
        <w:rPr>
          <w:rFonts w:ascii="Times New Roman" w:eastAsia="Times New Roman" w:hAnsi="Times New Roman" w:cs="Times New Roman"/>
          <w:sz w:val="24"/>
          <w:szCs w:val="24"/>
          <w:highlight w:val="yellow"/>
        </w:rPr>
        <w:t>haw and Philip D. Stahl).</w:t>
      </w:r>
      <w:r w:rsidR="006D1F84" w:rsidRPr="00184F35">
        <w:rPr>
          <w:rFonts w:ascii="Times New Roman" w:eastAsia="Times New Roman" w:hAnsi="Times New Roman" w:cs="Times New Roman"/>
          <w:sz w:val="24"/>
          <w:szCs w:val="24"/>
        </w:rPr>
        <w:t xml:space="preserve"> </w:t>
      </w:r>
      <w:r w:rsidR="006D1F84" w:rsidRPr="00184F35">
        <w:rPr>
          <w:rFonts w:ascii="Times New Roman" w:eastAsia="Times New Roman" w:hAnsi="Times New Roman" w:cs="Times New Roman"/>
          <w:sz w:val="24"/>
          <w:szCs w:val="24"/>
        </w:rPr>
        <w:br/>
        <w:t>M</w:t>
      </w:r>
      <w:r w:rsidR="00FB5A6F" w:rsidRPr="00184F35">
        <w:rPr>
          <w:rFonts w:ascii="Times New Roman" w:eastAsia="Times New Roman" w:hAnsi="Times New Roman" w:cs="Times New Roman"/>
          <w:sz w:val="24"/>
          <w:szCs w:val="24"/>
        </w:rPr>
        <w:t>ajority of cellular oxidations are carried out by the mitochondrion, which also generates the majorit</w:t>
      </w:r>
      <w:r w:rsidR="006D1F84" w:rsidRPr="00184F35">
        <w:rPr>
          <w:rFonts w:ascii="Times New Roman" w:eastAsia="Times New Roman" w:hAnsi="Times New Roman" w:cs="Times New Roman"/>
          <w:sz w:val="24"/>
          <w:szCs w:val="24"/>
        </w:rPr>
        <w:t>y of the ATP in an animal cell</w:t>
      </w:r>
      <w:r w:rsidR="00985D79" w:rsidRPr="00184F35">
        <w:rPr>
          <w:rFonts w:ascii="Times New Roman" w:eastAsia="Times New Roman" w:hAnsi="Times New Roman" w:cs="Times New Roman"/>
          <w:sz w:val="24"/>
          <w:szCs w:val="24"/>
        </w:rPr>
        <w:t xml:space="preserve"> </w:t>
      </w:r>
      <w:r w:rsidR="00FB5A6F" w:rsidRPr="00184F35">
        <w:rPr>
          <w:rFonts w:ascii="Times New Roman" w:eastAsia="Times New Roman" w:hAnsi="Times New Roman" w:cs="Times New Roman"/>
          <w:sz w:val="24"/>
          <w:szCs w:val="24"/>
        </w:rPr>
        <w:t xml:space="preserve">(Yugi 2013). In order to transfer electrons to the carriers </w:t>
      </w:r>
      <w:r w:rsidR="00FB5A6F" w:rsidRPr="00184F35">
        <w:rPr>
          <w:rFonts w:ascii="Times New Roman" w:eastAsia="Times New Roman" w:hAnsi="Times New Roman" w:cs="Times New Roman"/>
          <w:sz w:val="24"/>
          <w:szCs w:val="24"/>
        </w:rPr>
        <w:lastRenderedPageBreak/>
        <w:t xml:space="preserve">NADH and FADH2, mitochondria oxidize pyruvate (which is produced from glucose or lactate), </w:t>
      </w:r>
      <w:r w:rsidR="006D1F84" w:rsidRPr="00184F35">
        <w:rPr>
          <w:rFonts w:ascii="Times New Roman" w:eastAsia="Times New Roman" w:hAnsi="Times New Roman" w:cs="Times New Roman"/>
          <w:sz w:val="24"/>
          <w:szCs w:val="24"/>
        </w:rPr>
        <w:t xml:space="preserve">to </w:t>
      </w:r>
      <w:r w:rsidR="00FB5A6F" w:rsidRPr="00184F35">
        <w:rPr>
          <w:rFonts w:ascii="Times New Roman" w:eastAsia="Times New Roman" w:hAnsi="Times New Roman" w:cs="Times New Roman"/>
          <w:sz w:val="24"/>
          <w:szCs w:val="24"/>
        </w:rPr>
        <w:t xml:space="preserve">fatty acids, and amino acids. As "biosynthetic hubs," mitochondria are essential sources of building blocks for biosynthetic processes, such as the creation of nucleotides, fatty acids, and cholesterol </w:t>
      </w:r>
      <w:r w:rsidR="00FB5A6F" w:rsidRPr="00184F35">
        <w:rPr>
          <w:rFonts w:ascii="Times New Roman" w:hAnsi="Times New Roman" w:cs="Times New Roman"/>
          <w:sz w:val="24"/>
          <w:szCs w:val="24"/>
        </w:rPr>
        <w:t xml:space="preserve">amino acid synthesis, and glucose and heme synthesis (Spinelli JB and Haigis MC, 2017). </w:t>
      </w:r>
      <w:r w:rsidR="00FB5A6F" w:rsidRPr="00184F35">
        <w:rPr>
          <w:rFonts w:ascii="Times New Roman" w:eastAsia="Times New Roman" w:hAnsi="Times New Roman" w:cs="Times New Roman"/>
          <w:sz w:val="24"/>
          <w:szCs w:val="24"/>
        </w:rPr>
        <w:t xml:space="preserve">They </w:t>
      </w:r>
      <w:r w:rsidR="006D1F84" w:rsidRPr="00184F35">
        <w:rPr>
          <w:rFonts w:ascii="Times New Roman" w:eastAsia="Times New Roman" w:hAnsi="Times New Roman" w:cs="Times New Roman"/>
          <w:sz w:val="24"/>
          <w:szCs w:val="24"/>
        </w:rPr>
        <w:t>also</w:t>
      </w:r>
      <w:r w:rsidR="00FB5A6F" w:rsidRPr="00184F35">
        <w:rPr>
          <w:rFonts w:ascii="Times New Roman" w:eastAsia="Times New Roman" w:hAnsi="Times New Roman" w:cs="Times New Roman"/>
          <w:sz w:val="24"/>
          <w:szCs w:val="24"/>
        </w:rPr>
        <w:t xml:space="preserve"> function as redox balancing equivalents, preserving NAD+ and appropriate redox equivalent compartmentalization, which are essential for cellular homeostasis and survival in response to external stimuli (Ji et al., 2020). Through mechanisms like mitophagy, which selects and eliminates damag</w:t>
      </w:r>
      <w:r w:rsidR="006D1F84" w:rsidRPr="00184F35">
        <w:rPr>
          <w:rFonts w:ascii="Times New Roman" w:eastAsia="Times New Roman" w:hAnsi="Times New Roman" w:cs="Times New Roman"/>
          <w:sz w:val="24"/>
          <w:szCs w:val="24"/>
        </w:rPr>
        <w:t xml:space="preserve">ed or defective mitochondria they </w:t>
      </w:r>
      <w:r w:rsidR="00FB5A6F" w:rsidRPr="00184F35">
        <w:rPr>
          <w:rFonts w:ascii="Times New Roman" w:eastAsia="Times New Roman" w:hAnsi="Times New Roman" w:cs="Times New Roman"/>
          <w:sz w:val="24"/>
          <w:szCs w:val="24"/>
        </w:rPr>
        <w:t>preserv</w:t>
      </w:r>
      <w:r w:rsidR="006D1F84" w:rsidRPr="00184F35">
        <w:rPr>
          <w:rFonts w:ascii="Times New Roman" w:eastAsia="Times New Roman" w:hAnsi="Times New Roman" w:cs="Times New Roman"/>
          <w:sz w:val="24"/>
          <w:szCs w:val="24"/>
        </w:rPr>
        <w:t xml:space="preserve">e cellular health, and </w:t>
      </w:r>
      <w:r w:rsidR="00FB5A6F" w:rsidRPr="00184F35">
        <w:rPr>
          <w:rFonts w:ascii="Times New Roman" w:eastAsia="Times New Roman" w:hAnsi="Times New Roman" w:cs="Times New Roman"/>
          <w:sz w:val="24"/>
          <w:szCs w:val="24"/>
        </w:rPr>
        <w:t>coordinate waste management (Kaili Ma et al., 2020). Lastly, according to they also aid in the regulation of reactive oxygen species (ROS), which helps cells recover from oxidative damage</w:t>
      </w:r>
      <w:r w:rsidR="006D1F84" w:rsidRPr="00184F35">
        <w:rPr>
          <w:rFonts w:ascii="Times New Roman" w:eastAsia="Times New Roman" w:hAnsi="Times New Roman" w:cs="Times New Roman"/>
          <w:sz w:val="24"/>
          <w:szCs w:val="24"/>
        </w:rPr>
        <w:t xml:space="preserve"> (Joe Dan Dunn et al.</w:t>
      </w:r>
      <w:r w:rsidR="00A7397B">
        <w:rPr>
          <w:rFonts w:ascii="Times New Roman" w:eastAsia="Times New Roman" w:hAnsi="Times New Roman" w:cs="Times New Roman"/>
          <w:sz w:val="24"/>
          <w:szCs w:val="24"/>
        </w:rPr>
        <w:t>,</w:t>
      </w:r>
      <w:r w:rsidR="006D1F84" w:rsidRPr="00184F35">
        <w:rPr>
          <w:rFonts w:ascii="Times New Roman" w:eastAsia="Times New Roman" w:hAnsi="Times New Roman" w:cs="Times New Roman"/>
          <w:sz w:val="24"/>
          <w:szCs w:val="24"/>
        </w:rPr>
        <w:t xml:space="preserve"> 2015)</w:t>
      </w:r>
      <w:r w:rsidR="00FB5A6F" w:rsidRPr="00184F35">
        <w:rPr>
          <w:rFonts w:ascii="Times New Roman" w:eastAsia="Times New Roman" w:hAnsi="Times New Roman" w:cs="Times New Roman"/>
          <w:sz w:val="24"/>
          <w:szCs w:val="24"/>
        </w:rPr>
        <w:t xml:space="preserve">. </w:t>
      </w:r>
    </w:p>
    <w:p w14:paraId="669FBFF6" w14:textId="77777777" w:rsidR="001D5B69" w:rsidRPr="00184F35" w:rsidRDefault="001D5B69" w:rsidP="001D5B69">
      <w:pPr>
        <w:spacing w:line="360" w:lineRule="auto"/>
        <w:jc w:val="both"/>
        <w:rPr>
          <w:rFonts w:ascii="Times New Roman" w:hAnsi="Times New Roman" w:cs="Times New Roman"/>
          <w:b/>
          <w:bCs/>
          <w:sz w:val="24"/>
          <w:szCs w:val="24"/>
        </w:rPr>
      </w:pPr>
      <w:r w:rsidRPr="00184F35">
        <w:rPr>
          <w:rFonts w:ascii="Times New Roman" w:hAnsi="Times New Roman" w:cs="Times New Roman"/>
          <w:b/>
          <w:bCs/>
          <w:sz w:val="24"/>
          <w:szCs w:val="24"/>
        </w:rPr>
        <w:t>Mictochondrial structure and transport</w:t>
      </w:r>
    </w:p>
    <w:p w14:paraId="19943EA0" w14:textId="77777777" w:rsidR="001D5B69" w:rsidRPr="00184F35" w:rsidRDefault="001D5B69" w:rsidP="001D5B69">
      <w:pPr>
        <w:spacing w:line="360" w:lineRule="auto"/>
        <w:jc w:val="both"/>
        <w:rPr>
          <w:rFonts w:ascii="Times New Roman" w:hAnsi="Times New Roman" w:cs="Times New Roman"/>
          <w:sz w:val="24"/>
          <w:szCs w:val="24"/>
          <w:shd w:val="clear" w:color="auto" w:fill="FFFFFF"/>
        </w:rPr>
      </w:pPr>
      <w:r w:rsidRPr="00184F35">
        <w:rPr>
          <w:rFonts w:ascii="Times New Roman" w:hAnsi="Times New Roman" w:cs="Times New Roman"/>
          <w:sz w:val="24"/>
          <w:szCs w:val="24"/>
        </w:rPr>
        <w:t xml:space="preserve">Research using live cell microscopy in the 1980s demonstrated that mitochondria are extremely active organelles capable of creating extensive, linked intracellular networks. The mitochondria of various eukaryotic cell types constantly travel along cytoskeletal paths and often </w:t>
      </w:r>
      <w:r w:rsidR="00985D79" w:rsidRPr="00184F35">
        <w:rPr>
          <w:rFonts w:ascii="Times New Roman" w:hAnsi="Times New Roman" w:cs="Times New Roman"/>
          <w:sz w:val="24"/>
          <w:szCs w:val="24"/>
        </w:rPr>
        <w:t>divide</w:t>
      </w:r>
      <w:r w:rsidRPr="00184F35">
        <w:rPr>
          <w:rFonts w:ascii="Times New Roman" w:hAnsi="Times New Roman" w:cs="Times New Roman"/>
          <w:sz w:val="24"/>
          <w:szCs w:val="24"/>
        </w:rPr>
        <w:t xml:space="preserve"> and fuse (Johannes M Herrmann 2024). The mitochondrial compartment is shaped by the fusion and fission machinery, allowing cells to adapt to their physiological environment. A shift towards fission results in many mitochondrial fragments, while a shift towards fusion favors linked mitochondria (Alice Lacombe,</w:t>
      </w:r>
      <w:r w:rsidR="00985D79" w:rsidRPr="00184F35">
        <w:rPr>
          <w:rFonts w:ascii="Times New Roman" w:hAnsi="Times New Roman" w:cs="Times New Roman"/>
          <w:sz w:val="24"/>
          <w:szCs w:val="24"/>
        </w:rPr>
        <w:t xml:space="preserve"> </w:t>
      </w:r>
      <w:r w:rsidRPr="00184F35">
        <w:rPr>
          <w:rFonts w:ascii="Times New Roman" w:hAnsi="Times New Roman" w:cs="Times New Roman"/>
          <w:sz w:val="24"/>
          <w:szCs w:val="24"/>
        </w:rPr>
        <w:t xml:space="preserve">Luca Scorrano. 2024). In metabolically active cells, massive mitochondrial networks aid in energy dissipation. In quiescent cells, mitochondria are typically seen as morphologically and functionally different tiny spheres or short rods (John G McCarron, et al., 2012). Recent research on mitochondrial fusion and fission has gained significant attention due to its importance in understanding biological processes like mitochondrial functions, apoptosis, and ageing. While most evolutionarily conserved core components have been described in the past 15 years, recent work has revealed mechanistic insights into their molecular function. The number of regulatory proteins and pathways integrating mitochondria's dynamic behavior into cell activities is increasing (Adam Green et al., 2022).  </w:t>
      </w:r>
      <w:r w:rsidRPr="00184F35">
        <w:rPr>
          <w:rFonts w:ascii="Times New Roman" w:hAnsi="Times New Roman" w:cs="Times New Roman"/>
          <w:sz w:val="24"/>
          <w:szCs w:val="24"/>
          <w:shd w:val="clear" w:color="auto" w:fill="FFFFFF"/>
        </w:rPr>
        <w:t>Membrane fusion is a fundamental process in the life of eukaryotic cells. For example, transport vesicles fuse with the organelles of the secretory pathway, gametes fuse during fertilization, and enveloped viruses enter the host cytosol by fusion with endosomal membranes</w:t>
      </w:r>
      <w:r w:rsidR="00C6271E">
        <w:rPr>
          <w:rFonts w:ascii="Times New Roman" w:hAnsi="Times New Roman" w:cs="Times New Roman"/>
          <w:sz w:val="24"/>
          <w:szCs w:val="24"/>
          <w:shd w:val="clear" w:color="auto" w:fill="FFFFFF"/>
        </w:rPr>
        <w:t xml:space="preserve"> </w:t>
      </w:r>
      <w:r w:rsidR="00CD037D">
        <w:rPr>
          <w:rFonts w:ascii="Times New Roman" w:hAnsi="Times New Roman" w:cs="Times New Roman"/>
          <w:sz w:val="24"/>
          <w:szCs w:val="24"/>
          <w:shd w:val="clear" w:color="auto" w:fill="FFFFFF"/>
        </w:rPr>
        <w:t xml:space="preserve">(Methods </w:t>
      </w:r>
      <w:r w:rsidR="00CD037D" w:rsidRPr="00CD037D">
        <w:rPr>
          <w:rFonts w:ascii="Times New Roman" w:hAnsi="Times New Roman" w:cs="Times New Roman"/>
          <w:sz w:val="24"/>
          <w:szCs w:val="24"/>
          <w:shd w:val="clear" w:color="auto" w:fill="FFFFFF"/>
        </w:rPr>
        <w:t>in Enzymology, 2017</w:t>
      </w:r>
      <w:r w:rsidR="00CD037D">
        <w:rPr>
          <w:rFonts w:ascii="Times New Roman" w:hAnsi="Times New Roman" w:cs="Times New Roman"/>
          <w:sz w:val="24"/>
          <w:szCs w:val="24"/>
          <w:shd w:val="clear" w:color="auto" w:fill="FFFFFF"/>
        </w:rPr>
        <w:t>)</w:t>
      </w:r>
      <w:r w:rsidRPr="00184F35">
        <w:rPr>
          <w:rFonts w:ascii="Times New Roman" w:hAnsi="Times New Roman" w:cs="Times New Roman"/>
          <w:sz w:val="24"/>
          <w:szCs w:val="24"/>
          <w:shd w:val="clear" w:color="auto" w:fill="FFFFFF"/>
        </w:rPr>
        <w:t xml:space="preserve">. </w:t>
      </w:r>
      <w:r w:rsidRPr="00184F35">
        <w:rPr>
          <w:rFonts w:ascii="Times New Roman" w:hAnsi="Times New Roman" w:cs="Times New Roman"/>
          <w:sz w:val="24"/>
          <w:szCs w:val="24"/>
          <w:shd w:val="clear" w:color="auto" w:fill="FFFFFF"/>
        </w:rPr>
        <w:lastRenderedPageBreak/>
        <w:t>The fusion machineries that have evolved to fit the needs of these different pathways are diverse, but operate through common principles. First, they bring membranes destined to be fused into close proximity and then they destabilize the bilayers by local induction of curvature. To achieve merging of lipid bilayers, membrane fusion proteins, such as soluble N-ethylmaleimide-sensitive fusion protein attachment protein receptors (SNAREs) and viral haemagglutinins aid the process. Mitochondrial fusion is a particularly complex process, as mitochondria are double membrane-bound organelles and must coordinate the fusion of four membranes(</w:t>
      </w:r>
      <w:r w:rsidRPr="00184F35">
        <w:rPr>
          <w:rFonts w:ascii="Times New Roman" w:hAnsi="Times New Roman" w:cs="Times New Roman"/>
          <w:sz w:val="24"/>
          <w:szCs w:val="24"/>
        </w:rPr>
        <w:t>Mary Adebayo et al., 2022</w:t>
      </w:r>
      <w:r w:rsidRPr="00184F35">
        <w:rPr>
          <w:rFonts w:ascii="Times New Roman" w:hAnsi="Times New Roman" w:cs="Times New Roman"/>
          <w:sz w:val="24"/>
          <w:szCs w:val="24"/>
          <w:shd w:val="clear" w:color="auto" w:fill="FFFFFF"/>
        </w:rPr>
        <w:t xml:space="preserve">). </w:t>
      </w:r>
      <w:r w:rsidRPr="00184F35">
        <w:rPr>
          <w:rFonts w:ascii="Times New Roman" w:hAnsi="Times New Roman" w:cs="Times New Roman"/>
          <w:sz w:val="24"/>
          <w:szCs w:val="24"/>
        </w:rPr>
        <w:t xml:space="preserve">The </w:t>
      </w:r>
      <w:r w:rsidRPr="00184F35">
        <w:rPr>
          <w:rFonts w:ascii="Times New Roman" w:hAnsi="Times New Roman" w:cs="Times New Roman"/>
          <w:i/>
          <w:sz w:val="24"/>
          <w:szCs w:val="24"/>
        </w:rPr>
        <w:t>Drosophila melanogaster</w:t>
      </w:r>
      <w:r w:rsidRPr="00184F35">
        <w:rPr>
          <w:rFonts w:ascii="Times New Roman" w:hAnsi="Times New Roman" w:cs="Times New Roman"/>
          <w:sz w:val="24"/>
          <w:szCs w:val="24"/>
        </w:rPr>
        <w:t xml:space="preserve"> mutant known as fuzzy onions (fzo) necessary for mitochondrial fusion was the first protein to be discovered.  It is the original member of a family of conserved proteins known as mitofusins, which also includes members in mammals, worms, yeast, and yeast (Hales </w:t>
      </w:r>
      <w:r w:rsidR="00CD037D">
        <w:rPr>
          <w:rFonts w:ascii="Times New Roman" w:hAnsi="Times New Roman" w:cs="Times New Roman"/>
          <w:sz w:val="24"/>
          <w:szCs w:val="24"/>
        </w:rPr>
        <w:t xml:space="preserve">and </w:t>
      </w:r>
      <w:r w:rsidRPr="00184F35">
        <w:rPr>
          <w:rFonts w:ascii="Times New Roman" w:hAnsi="Times New Roman" w:cs="Times New Roman"/>
          <w:sz w:val="24"/>
          <w:szCs w:val="24"/>
        </w:rPr>
        <w:t xml:space="preserve"> Fuller. 1997).  Despite the observation of mitochondrial fusion in plants, the genes producing FZo-related proteins are absent from plant. The domain structure of mitofusins in metazoa and yeast is comparable. These are large GTPases with two transmembrane sections in the outer mitochondria membrane, with the majority of the protein facing the cytosol and a brief loop in t</w:t>
      </w:r>
      <w:r w:rsidR="00CD037D">
        <w:rPr>
          <w:rFonts w:ascii="Times New Roman" w:hAnsi="Times New Roman" w:cs="Times New Roman"/>
          <w:sz w:val="24"/>
          <w:szCs w:val="24"/>
        </w:rPr>
        <w:t xml:space="preserve">he intermembrane space (Fritz </w:t>
      </w:r>
      <w:r w:rsidRPr="00184F35">
        <w:rPr>
          <w:rFonts w:ascii="Times New Roman" w:hAnsi="Times New Roman" w:cs="Times New Roman"/>
          <w:sz w:val="24"/>
          <w:szCs w:val="24"/>
        </w:rPr>
        <w:t xml:space="preserve">., et al., 2018). The dynamin-related big GTPase Mgm1 is necessary for yeast's inner membrane fusion. Its mitochondrial targeting sequence at the N-terminus functions as importer, matrix-processing peptidase (MPP) cleaves it. The major portion of a large Mgm1 isoform is found in the intermembrane gap, whereas the N-terminal transmembrane domain fixes the protein in the inner membrane. The rhomboid-related membrane protease Pcp1 further breaks down a portion of Mgm1 molecules during import, producing a brief isoform devoid of the transmembrane anchor. A GTPase domain, a GTPase effector domain, and many heptad repeats are present in both isoforms (Carmen A. Mannella. </w:t>
      </w:r>
      <w:r w:rsidR="008165FD">
        <w:rPr>
          <w:rFonts w:ascii="Times New Roman" w:hAnsi="Times New Roman" w:cs="Times New Roman"/>
          <w:iCs/>
          <w:sz w:val="24"/>
          <w:szCs w:val="24"/>
        </w:rPr>
        <w:t xml:space="preserve">et al., </w:t>
      </w:r>
      <w:r w:rsidRPr="00184F35">
        <w:rPr>
          <w:rFonts w:ascii="Times New Roman" w:hAnsi="Times New Roman" w:cs="Times New Roman"/>
          <w:iCs/>
          <w:sz w:val="24"/>
          <w:szCs w:val="24"/>
        </w:rPr>
        <w:t>2020</w:t>
      </w:r>
      <w:r w:rsidRPr="00184F35">
        <w:rPr>
          <w:rFonts w:ascii="Times New Roman" w:hAnsi="Times New Roman" w:cs="Times New Roman"/>
          <w:sz w:val="24"/>
          <w:szCs w:val="24"/>
        </w:rPr>
        <w:t>).</w:t>
      </w:r>
    </w:p>
    <w:p w14:paraId="67333612" w14:textId="77777777" w:rsidR="001D5B69" w:rsidRPr="00184F35" w:rsidRDefault="001D5B69" w:rsidP="001D5B69">
      <w:pPr>
        <w:spacing w:line="360" w:lineRule="auto"/>
        <w:jc w:val="both"/>
        <w:rPr>
          <w:rFonts w:ascii="Times New Roman" w:hAnsi="Times New Roman" w:cs="Times New Roman"/>
          <w:sz w:val="24"/>
          <w:szCs w:val="24"/>
        </w:rPr>
      </w:pPr>
      <w:r w:rsidRPr="00184F35">
        <w:rPr>
          <w:rFonts w:ascii="Times New Roman" w:hAnsi="Times New Roman" w:cs="Times New Roman"/>
          <w:sz w:val="24"/>
          <w:szCs w:val="24"/>
        </w:rPr>
        <w:t>During cell division, mitochondria are necessary organelles that must be inherited.</w:t>
      </w:r>
      <w:r w:rsidRPr="00184F35">
        <w:rPr>
          <w:rFonts w:ascii="Times New Roman" w:hAnsi="Times New Roman" w:cs="Times New Roman"/>
          <w:sz w:val="24"/>
          <w:szCs w:val="24"/>
        </w:rPr>
        <w:br/>
        <w:t>Clearly, the quantity of mitochondria must rise as cells proliferate. Consequently, it was shown that the mitochondrial network of cultured mammalian at interphase cells fragmented prior to the cells going through cytokinesis and mitosis. This permits stochastic organelle partitioning to the offspring cells. In yeast Mitochondrial cell cycle-dependent morphological changes are far less noticeable. Rather, cytoskeleton-dependent bud-directed transport inherits mitochondria in an orderly fashion (Lawrence</w:t>
      </w:r>
      <w:r w:rsidR="00CD037D">
        <w:rPr>
          <w:rFonts w:ascii="Times New Roman" w:hAnsi="Times New Roman" w:cs="Times New Roman"/>
          <w:sz w:val="24"/>
          <w:szCs w:val="24"/>
        </w:rPr>
        <w:t xml:space="preserve"> and Mandato</w:t>
      </w:r>
      <w:r w:rsidRPr="00184F35">
        <w:rPr>
          <w:rFonts w:ascii="Times New Roman" w:hAnsi="Times New Roman" w:cs="Times New Roman"/>
          <w:sz w:val="24"/>
          <w:szCs w:val="24"/>
        </w:rPr>
        <w:t xml:space="preserve"> et al., 2013). Differences in yeast and mouse cells are reported. The inheritance and maintenance of mtdNA depend on mitochondrial fusion. In </w:t>
      </w:r>
      <w:r w:rsidRPr="00184F35">
        <w:rPr>
          <w:rFonts w:ascii="Times New Roman" w:hAnsi="Times New Roman" w:cs="Times New Roman"/>
          <w:sz w:val="24"/>
          <w:szCs w:val="24"/>
        </w:rPr>
        <w:lastRenderedPageBreak/>
        <w:t xml:space="preserve">mammalian cells, interruption of fusion also results in mitochondrial malfunction and heterogeneity, maybe as a result of individual nucleoid loss. </w:t>
      </w:r>
      <w:r w:rsidRPr="00184F35">
        <w:rPr>
          <w:rFonts w:ascii="Times New Roman" w:hAnsi="Times New Roman" w:cs="Times New Roman"/>
          <w:sz w:val="24"/>
          <w:szCs w:val="24"/>
        </w:rPr>
        <w:br/>
        <w:t>mitochondria (Rong, et al., 2021). Therefore, fusion appears to be a key strategy for preserving a mitochondrial population that has the entire complement of gene products encoded by the nucleus and mitochondria. Finally, fusion guarantees that the mitochondrial genome and gene products are restored before functioning is lost, even though mitochondrial fission invariably produces organelles devoid of nucleoids.</w:t>
      </w:r>
    </w:p>
    <w:p w14:paraId="32AE485A" w14:textId="77777777" w:rsidR="001D5B69" w:rsidRPr="00184F35" w:rsidRDefault="001D5B69" w:rsidP="001D5B69">
      <w:pPr>
        <w:spacing w:line="360" w:lineRule="auto"/>
        <w:jc w:val="both"/>
        <w:rPr>
          <w:rFonts w:ascii="Times New Roman" w:hAnsi="Times New Roman" w:cs="Times New Roman"/>
          <w:b/>
          <w:sz w:val="24"/>
          <w:szCs w:val="24"/>
        </w:rPr>
      </w:pPr>
      <w:r w:rsidRPr="00184F35">
        <w:rPr>
          <w:rFonts w:ascii="Times New Roman" w:hAnsi="Times New Roman" w:cs="Times New Roman"/>
          <w:b/>
          <w:sz w:val="24"/>
          <w:szCs w:val="24"/>
        </w:rPr>
        <w:t>Unique mitochondrial dynamics in Neurons</w:t>
      </w:r>
    </w:p>
    <w:p w14:paraId="631A692E" w14:textId="77777777" w:rsidR="001D5B69" w:rsidRPr="00184F35" w:rsidRDefault="001D5B69" w:rsidP="001D5B69">
      <w:pPr>
        <w:spacing w:line="360" w:lineRule="auto"/>
        <w:jc w:val="both"/>
        <w:rPr>
          <w:rFonts w:ascii="Times New Roman" w:hAnsi="Times New Roman" w:cs="Times New Roman"/>
          <w:sz w:val="24"/>
          <w:szCs w:val="24"/>
        </w:rPr>
      </w:pPr>
      <w:r w:rsidRPr="00184F35">
        <w:rPr>
          <w:rFonts w:ascii="Times New Roman" w:hAnsi="Times New Roman" w:cs="Times New Roman"/>
          <w:sz w:val="24"/>
          <w:szCs w:val="24"/>
        </w:rPr>
        <w:t>Highly linked net-like mitochondria are seen in cells with mitochondrial division defects, which normally build up in certain locations, resulting in a significant portion of the cell without mitochondria. Division is necessary to divide the mitochondrial network into transportable pieces for proper mitochondrial distribution. Mitochondria are essential for neuronal function and survival. Mitochondria are commonly found in synaptic terminals, enabling neurotransmission through ATP production and buffering Ca2+</w:t>
      </w:r>
      <w:r w:rsidR="005D2F98">
        <w:rPr>
          <w:rFonts w:ascii="Times New Roman" w:hAnsi="Times New Roman" w:cs="Times New Roman"/>
          <w:sz w:val="24"/>
          <w:szCs w:val="24"/>
        </w:rPr>
        <w:t xml:space="preserve"> (Guillermo López-Doménech and </w:t>
      </w:r>
      <w:r w:rsidRPr="00184F35">
        <w:rPr>
          <w:rFonts w:ascii="Times New Roman" w:hAnsi="Times New Roman" w:cs="Times New Roman"/>
          <w:sz w:val="24"/>
          <w:szCs w:val="24"/>
        </w:rPr>
        <w:t>Kittler. 2023). Mitochondrial transport and distribution in neurons is efficiently regulated in response to changes in neuronal activity and various physiological and pathological states. Neuronal mitochondria undergo dynamic and bidirectional transport along neuronal processes, frequently changing direction, pausing or switching to persistent docking (Guan, et al., 2023). These complex mitochondrial mobility patterns are a result of mitochondrial coupling to anterograde kinesin motors of the KIF5 family and to the retrograde motor dynein, as well as to docking and anchoring machineries, including syntaphilin. Mitochondria attach to the motors by associating with their respective motor adaptor proteins and mitochondrial receptors. These motor–adaptor–receptor complexes ensure targeted trafficking of mitochondria and precise regulation of their mobility (</w:t>
      </w:r>
      <w:r w:rsidR="00A76141">
        <w:rPr>
          <w:rFonts w:ascii="Times New Roman" w:hAnsi="Times New Roman" w:cs="Times New Roman"/>
          <w:sz w:val="24"/>
          <w:szCs w:val="24"/>
        </w:rPr>
        <w:t>Sheng 2014).Figures-</w:t>
      </w:r>
      <w:r w:rsidRPr="00184F35">
        <w:rPr>
          <w:rFonts w:ascii="Times New Roman" w:hAnsi="Times New Roman" w:cs="Times New Roman"/>
          <w:sz w:val="24"/>
          <w:szCs w:val="24"/>
        </w:rPr>
        <w:t>2</w:t>
      </w:r>
      <w:r w:rsidR="00A76141">
        <w:rPr>
          <w:rFonts w:ascii="Times New Roman" w:hAnsi="Times New Roman" w:cs="Times New Roman"/>
          <w:sz w:val="24"/>
          <w:szCs w:val="24"/>
        </w:rPr>
        <w:t xml:space="preserve"> </w:t>
      </w:r>
      <w:r w:rsidRPr="00184F35">
        <w:rPr>
          <w:rFonts w:ascii="Times New Roman" w:hAnsi="Times New Roman" w:cs="Times New Roman"/>
          <w:sz w:val="24"/>
          <w:szCs w:val="24"/>
        </w:rPr>
        <w:t xml:space="preserve">A,B, describe the mechanisms of mitochondrial transport. Elaborate mitochondrial quality-control systems maintain mitochondrial integrity and function. These include transport, fusion, fission and turnover via mitophagy and constitute an interdependent system of mitochondrial dynamics. It is well documented that mitochondrial dysfunction, changes in mitochondrial dynamics and mobility, and perturbation of mitochondrial turnover are involved in the pathology of some major neurodegenerative and neurological disorders (Grel, et al., 2023). The long, larger cells like neurons require a different mitochondrial </w:t>
      </w:r>
      <w:r w:rsidRPr="00184F35">
        <w:rPr>
          <w:rFonts w:ascii="Times New Roman" w:hAnsi="Times New Roman" w:cs="Times New Roman"/>
          <w:sz w:val="24"/>
          <w:szCs w:val="24"/>
        </w:rPr>
        <w:lastRenderedPageBreak/>
        <w:t xml:space="preserve">dynamics. Therefore, in order to establish appropriate mitochondrial content in dendrites, dRP1 and oPA1 two important proteins are essential (Liu, et al., 2023). Consequently, synapses and dendritic spines two neural structures with a very high energy demand need to be maintained. Additionally, Drp1-knockout mice have significant defects in their development, especially in the cerebellum and forebrain (Manczak </w:t>
      </w:r>
      <w:r w:rsidRPr="00184F35">
        <w:rPr>
          <w:rFonts w:ascii="Times New Roman" w:hAnsi="Times New Roman" w:cs="Times New Roman"/>
          <w:iCs/>
          <w:sz w:val="24"/>
          <w:szCs w:val="24"/>
        </w:rPr>
        <w:t>et al</w:t>
      </w:r>
      <w:r w:rsidRPr="00184F35">
        <w:rPr>
          <w:rFonts w:ascii="Times New Roman" w:hAnsi="Times New Roman" w:cs="Times New Roman"/>
          <w:sz w:val="24"/>
          <w:szCs w:val="24"/>
        </w:rPr>
        <w:t>.</w:t>
      </w:r>
      <w:r w:rsidR="00CD037D">
        <w:rPr>
          <w:rFonts w:ascii="Times New Roman" w:hAnsi="Times New Roman" w:cs="Times New Roman"/>
          <w:sz w:val="24"/>
          <w:szCs w:val="24"/>
        </w:rPr>
        <w:t xml:space="preserve">, </w:t>
      </w:r>
      <w:r w:rsidRPr="00184F35">
        <w:rPr>
          <w:rFonts w:ascii="Times New Roman" w:hAnsi="Times New Roman" w:cs="Times New Roman"/>
          <w:iCs/>
          <w:sz w:val="24"/>
          <w:szCs w:val="24"/>
        </w:rPr>
        <w:t>2012</w:t>
      </w:r>
      <w:r w:rsidRPr="00184F35">
        <w:rPr>
          <w:rFonts w:ascii="Times New Roman" w:hAnsi="Times New Roman" w:cs="Times New Roman"/>
          <w:sz w:val="24"/>
          <w:szCs w:val="24"/>
        </w:rPr>
        <w:t>). Additionally, Drp1-knockout mice have significant defects in their development, especially in the cerebellum and forebrain. A brief list o</w:t>
      </w:r>
      <w:r w:rsidR="00BC6CC0">
        <w:rPr>
          <w:rFonts w:ascii="Times New Roman" w:hAnsi="Times New Roman" w:cs="Times New Roman"/>
          <w:sz w:val="24"/>
          <w:szCs w:val="24"/>
        </w:rPr>
        <w:t>f proteins in listed in T</w:t>
      </w:r>
      <w:r w:rsidR="00CD037D">
        <w:rPr>
          <w:rFonts w:ascii="Times New Roman" w:hAnsi="Times New Roman" w:cs="Times New Roman"/>
          <w:sz w:val="24"/>
          <w:szCs w:val="24"/>
        </w:rPr>
        <w:t>able-3</w:t>
      </w:r>
      <w:r w:rsidRPr="00184F35">
        <w:rPr>
          <w:rFonts w:ascii="Times New Roman" w:hAnsi="Times New Roman" w:cs="Times New Roman"/>
          <w:sz w:val="24"/>
          <w:szCs w:val="24"/>
        </w:rPr>
        <w:t xml:space="preserve">.Mutant neurons </w:t>
      </w:r>
      <w:r w:rsidRPr="00184F35">
        <w:rPr>
          <w:rFonts w:ascii="Times New Roman" w:hAnsi="Times New Roman" w:cs="Times New Roman"/>
          <w:sz w:val="24"/>
          <w:szCs w:val="24"/>
        </w:rPr>
        <w:br/>
        <w:t>a small number of clumped and unevenly dispersed mitochondria are seen in the neurites of initial cell cultures, indicating that dRP1 absence prevents appropriate mitochondrial dispersion.</w:t>
      </w:r>
    </w:p>
    <w:p w14:paraId="0741E44E" w14:textId="77777777" w:rsidR="001D5B69" w:rsidRPr="00184F35" w:rsidRDefault="001D5B69" w:rsidP="001D5B69">
      <w:pPr>
        <w:spacing w:line="360" w:lineRule="auto"/>
        <w:jc w:val="both"/>
        <w:rPr>
          <w:rFonts w:ascii="Times New Roman" w:hAnsi="Times New Roman" w:cs="Times New Roman"/>
          <w:sz w:val="24"/>
          <w:szCs w:val="24"/>
        </w:rPr>
      </w:pPr>
      <w:r w:rsidRPr="00184F35">
        <w:rPr>
          <w:rFonts w:ascii="Times New Roman" w:hAnsi="Times New Roman" w:cs="Times New Roman"/>
          <w:sz w:val="24"/>
          <w:szCs w:val="24"/>
        </w:rPr>
        <w:t xml:space="preserve"> lose their mitochondrial DNA and </w:t>
      </w:r>
      <w:r w:rsidRPr="00184F35">
        <w:rPr>
          <w:rFonts w:ascii="Times New Roman" w:hAnsi="Times New Roman" w:cs="Times New Roman"/>
          <w:sz w:val="24"/>
          <w:szCs w:val="24"/>
        </w:rPr>
        <w:br/>
        <w:t>Consequently, exhibit r</w:t>
      </w:r>
      <w:r w:rsidR="00CD037D">
        <w:rPr>
          <w:rFonts w:ascii="Times New Roman" w:hAnsi="Times New Roman" w:cs="Times New Roman"/>
          <w:sz w:val="24"/>
          <w:szCs w:val="24"/>
        </w:rPr>
        <w:t xml:space="preserve">espiratory abnormalities </w:t>
      </w:r>
      <w:r w:rsidR="00CD037D" w:rsidRPr="0035756C">
        <w:rPr>
          <w:rFonts w:ascii="Times New Roman" w:hAnsi="Times New Roman" w:cs="Times New Roman"/>
          <w:sz w:val="24"/>
          <w:szCs w:val="24"/>
          <w:highlight w:val="yellow"/>
        </w:rPr>
        <w:t>(Merz &amp; Westermann</w:t>
      </w:r>
      <w:r w:rsidRPr="0035756C">
        <w:rPr>
          <w:rFonts w:ascii="Times New Roman" w:hAnsi="Times New Roman" w:cs="Times New Roman"/>
          <w:sz w:val="24"/>
          <w:szCs w:val="24"/>
          <w:highlight w:val="yellow"/>
        </w:rPr>
        <w:t xml:space="preserve"> 2009).</w:t>
      </w:r>
    </w:p>
    <w:p w14:paraId="05E0289B" w14:textId="77777777" w:rsidR="00985D79" w:rsidRPr="00184F35" w:rsidRDefault="00985D79" w:rsidP="00985D79">
      <w:pPr>
        <w:pStyle w:val="NormalWeb"/>
        <w:spacing w:line="360" w:lineRule="auto"/>
        <w:jc w:val="both"/>
      </w:pPr>
      <w:r w:rsidRPr="00184F35">
        <w:rPr>
          <w:rStyle w:val="Strong"/>
        </w:rPr>
        <w:t>Physical and functional Interaction of mitochondria with the nucleus</w:t>
      </w:r>
    </w:p>
    <w:p w14:paraId="0382727E" w14:textId="77777777" w:rsidR="00985D79" w:rsidRPr="00184F35" w:rsidRDefault="00985D79" w:rsidP="00985D79">
      <w:pPr>
        <w:spacing w:line="360" w:lineRule="auto"/>
        <w:jc w:val="both"/>
        <w:rPr>
          <w:rFonts w:ascii="Times New Roman" w:eastAsia="Times New Roman" w:hAnsi="Times New Roman" w:cs="Times New Roman"/>
          <w:sz w:val="24"/>
          <w:szCs w:val="24"/>
        </w:rPr>
      </w:pPr>
      <w:r w:rsidRPr="00184F35">
        <w:rPr>
          <w:rFonts w:ascii="Times New Roman" w:eastAsia="Times New Roman" w:hAnsi="Times New Roman" w:cs="Times New Roman"/>
          <w:sz w:val="24"/>
          <w:szCs w:val="24"/>
        </w:rPr>
        <w:t xml:space="preserve">Bidirectional transmission between the mitochondria and the nucleus is essential because mitochondrial metabolism is situated at the intersection of several cellular processes, including cell development, proliferation, and death, as well as epigenetics, immunity, and metabolic dysfunction </w:t>
      </w:r>
      <w:r w:rsidRPr="0035756C">
        <w:rPr>
          <w:rFonts w:ascii="Times New Roman" w:eastAsia="Times New Roman" w:hAnsi="Times New Roman" w:cs="Times New Roman"/>
          <w:sz w:val="24"/>
          <w:szCs w:val="24"/>
          <w:highlight w:val="yellow"/>
        </w:rPr>
        <w:t>(Martinez-Reyes, 2020).</w:t>
      </w:r>
      <w:r w:rsidRPr="00184F35">
        <w:rPr>
          <w:rFonts w:ascii="Times New Roman" w:eastAsia="Times New Roman" w:hAnsi="Times New Roman" w:cs="Times New Roman"/>
          <w:sz w:val="24"/>
          <w:szCs w:val="24"/>
        </w:rPr>
        <w:t xml:space="preserve"> The expression of many genes is controlled by mitochondria, which also carry out nuclear directives. Genes from the mitochondrial (proteobacterial) genome were significantly transferred to the nucleus in eukaryotic organisms as a result of the evolutionary process. As a result, the proteome of the mitochondrion includes more than a thousand proteins that are encoded in the nucleus. In response to changes in cell physiology, signals from the mitochondria in the nucleus promote gene expression, facilitating metabolism or inducing a stress response. The relationship between the nuclear genome and the mitochondria is mediated by proteins (and few RNAs) that are encoded in the nucleus and delivered into the mitochondria. Likewise, the majority of the proteins in the mitochondria are encoded by nuclear DNA referred as “Retrograde signaling” (</w:t>
      </w:r>
      <w:r w:rsidRPr="0035756C">
        <w:rPr>
          <w:rFonts w:ascii="Times New Roman" w:eastAsia="Times New Roman" w:hAnsi="Times New Roman" w:cs="Times New Roman"/>
          <w:sz w:val="24"/>
          <w:szCs w:val="24"/>
          <w:highlight w:val="yellow"/>
        </w:rPr>
        <w:t>Walker</w:t>
      </w:r>
      <w:r w:rsidRPr="00184F35">
        <w:rPr>
          <w:rFonts w:ascii="Times New Roman" w:eastAsia="Times New Roman" w:hAnsi="Times New Roman" w:cs="Times New Roman"/>
          <w:sz w:val="24"/>
          <w:szCs w:val="24"/>
        </w:rPr>
        <w:t xml:space="preserve"> et al., 2022). Most of the inner membrane and matrix proteins, as well as the outer membrane and intermembrane gap proteins, are nuclear-encoded mitochondrial genes (</w:t>
      </w:r>
      <w:r w:rsidRPr="0035756C">
        <w:rPr>
          <w:rFonts w:ascii="Times New Roman" w:eastAsia="Times New Roman" w:hAnsi="Times New Roman" w:cs="Times New Roman"/>
          <w:sz w:val="24"/>
          <w:szCs w:val="24"/>
          <w:highlight w:val="yellow"/>
        </w:rPr>
        <w:t>Schmidt et al</w:t>
      </w:r>
      <w:r w:rsidRPr="00184F35">
        <w:rPr>
          <w:rFonts w:ascii="Times New Roman" w:eastAsia="Times New Roman" w:hAnsi="Times New Roman" w:cs="Times New Roman"/>
          <w:sz w:val="24"/>
          <w:szCs w:val="24"/>
        </w:rPr>
        <w:t xml:space="preserve">., 2010). Numerous cytological investigations have demonstrated the proximity of the mitochondria to the nucleus (Prachar, 2003). The first evidence of such interactions comes from the mechanism of translocation of </w:t>
      </w:r>
      <w:r w:rsidRPr="00184F35">
        <w:rPr>
          <w:rFonts w:ascii="Times New Roman" w:eastAsia="Times New Roman" w:hAnsi="Times New Roman" w:cs="Times New Roman"/>
          <w:sz w:val="24"/>
          <w:szCs w:val="24"/>
        </w:rPr>
        <w:lastRenderedPageBreak/>
        <w:t xml:space="preserve">mitochondria close to the nucleus upon the activation of the mitochondrial retrograde response (MRR) triggered by cellular stress (Desai et al., 2020). These inter-organelle contact areas, known as the </w:t>
      </w:r>
      <w:r w:rsidRPr="00184F35">
        <w:rPr>
          <w:rFonts w:ascii="Times New Roman" w:hAnsi="Times New Roman" w:cs="Times New Roman"/>
          <w:sz w:val="24"/>
          <w:szCs w:val="24"/>
        </w:rPr>
        <w:t>Nucleus-associated mitochondria (</w:t>
      </w:r>
      <w:r w:rsidRPr="00184F35">
        <w:rPr>
          <w:rFonts w:ascii="Times New Roman" w:eastAsia="Times New Roman" w:hAnsi="Times New Roman" w:cs="Times New Roman"/>
          <w:sz w:val="24"/>
          <w:szCs w:val="24"/>
        </w:rPr>
        <w:t>NAM), are essential for priming pro-survival gene expression, which in turn determines cellular defense against stimuli (Strobbe et al., 2021). Early, preliminary research provided answers to several of the "mysteries" surrounding mitochondrial formation, including the generation of new mitochondria. Binary fission and de novo formation</w:t>
      </w:r>
      <w:r w:rsidR="00CD037D">
        <w:rPr>
          <w:rFonts w:ascii="Times New Roman" w:eastAsia="Times New Roman" w:hAnsi="Times New Roman" w:cs="Times New Roman"/>
          <w:sz w:val="24"/>
          <w:szCs w:val="24"/>
        </w:rPr>
        <w:t xml:space="preserve"> were recognized ideas (Harvey 1946; Fawcett </w:t>
      </w:r>
      <w:r w:rsidRPr="00184F35">
        <w:rPr>
          <w:rFonts w:ascii="Times New Roman" w:eastAsia="Times New Roman" w:hAnsi="Times New Roman" w:cs="Times New Roman"/>
          <w:sz w:val="24"/>
          <w:szCs w:val="24"/>
        </w:rPr>
        <w:t>1955). The extrusion of mitochondria from the nucleus was then suggested by Hoffman, H</w:t>
      </w:r>
      <w:r w:rsidR="00CD037D">
        <w:rPr>
          <w:rFonts w:ascii="Times New Roman" w:eastAsia="Times New Roman" w:hAnsi="Times New Roman" w:cs="Times New Roman"/>
          <w:sz w:val="24"/>
          <w:szCs w:val="24"/>
        </w:rPr>
        <w:t xml:space="preserve"> and Grigg </w:t>
      </w:r>
      <w:r w:rsidRPr="00184F35">
        <w:rPr>
          <w:rFonts w:ascii="Times New Roman" w:eastAsia="Times New Roman" w:hAnsi="Times New Roman" w:cs="Times New Roman"/>
          <w:sz w:val="24"/>
          <w:szCs w:val="24"/>
        </w:rPr>
        <w:t xml:space="preserve">1958 and Brandt, </w:t>
      </w:r>
      <w:r w:rsidR="00CD037D">
        <w:rPr>
          <w:rFonts w:ascii="Times New Roman" w:eastAsia="Times New Roman" w:hAnsi="Times New Roman" w:cs="Times New Roman"/>
          <w:sz w:val="24"/>
          <w:szCs w:val="24"/>
        </w:rPr>
        <w:t>and</w:t>
      </w:r>
      <w:r w:rsidRPr="00184F35">
        <w:rPr>
          <w:rFonts w:ascii="Times New Roman" w:eastAsia="Times New Roman" w:hAnsi="Times New Roman" w:cs="Times New Roman"/>
          <w:sz w:val="24"/>
          <w:szCs w:val="24"/>
        </w:rPr>
        <w:t xml:space="preserve"> Pappas, 1959). Lastly, a close association between the mitochondria and the nucleus cell types was discovered by various electron imaging techniques, allowing for a num</w:t>
      </w:r>
      <w:r w:rsidR="00CD037D">
        <w:rPr>
          <w:rFonts w:ascii="Times New Roman" w:eastAsia="Times New Roman" w:hAnsi="Times New Roman" w:cs="Times New Roman"/>
          <w:sz w:val="24"/>
          <w:szCs w:val="24"/>
        </w:rPr>
        <w:t xml:space="preserve">ber of </w:t>
      </w:r>
      <w:r w:rsidR="00CD037D" w:rsidRPr="007F75B4">
        <w:rPr>
          <w:rFonts w:ascii="Times New Roman" w:eastAsia="Times New Roman" w:hAnsi="Times New Roman" w:cs="Times New Roman"/>
          <w:sz w:val="24"/>
          <w:szCs w:val="24"/>
          <w:highlight w:val="yellow"/>
        </w:rPr>
        <w:t xml:space="preserve">clarifications (Mota </w:t>
      </w:r>
      <w:r w:rsidRPr="007F75B4">
        <w:rPr>
          <w:rFonts w:ascii="Times New Roman" w:eastAsia="Times New Roman" w:hAnsi="Times New Roman" w:cs="Times New Roman"/>
          <w:sz w:val="24"/>
          <w:szCs w:val="24"/>
          <w:highlight w:val="yellow"/>
        </w:rPr>
        <w:t xml:space="preserve"> 1963).</w:t>
      </w:r>
      <w:r w:rsidRPr="00184F35">
        <w:rPr>
          <w:rFonts w:ascii="Times New Roman" w:eastAsia="Times New Roman" w:hAnsi="Times New Roman" w:cs="Times New Roman"/>
          <w:sz w:val="24"/>
          <w:szCs w:val="24"/>
        </w:rPr>
        <w:t xml:space="preserve"> </w:t>
      </w:r>
      <w:r w:rsidRPr="00184F35">
        <w:rPr>
          <w:rFonts w:ascii="Times New Roman" w:eastAsia="Times New Roman" w:hAnsi="Times New Roman" w:cs="Times New Roman"/>
          <w:sz w:val="24"/>
          <w:szCs w:val="24"/>
        </w:rPr>
        <w:br/>
        <w:t xml:space="preserve">For microtubule-mediated transport, the kinesin superfamily proteins act as anterograde (toward the cell periphery) motors, whereas dynein drives movement in a retrograde manner </w:t>
      </w:r>
      <w:r w:rsidRPr="00184F35">
        <w:rPr>
          <w:rFonts w:ascii="Times New Roman" w:hAnsi="Times New Roman" w:cs="Times New Roman"/>
          <w:sz w:val="24"/>
          <w:szCs w:val="24"/>
        </w:rPr>
        <w:t>(towards th</w:t>
      </w:r>
      <w:bookmarkStart w:id="0" w:name="_GoBack"/>
      <w:bookmarkEnd w:id="0"/>
      <w:r w:rsidRPr="00184F35">
        <w:rPr>
          <w:rFonts w:ascii="Times New Roman" w:hAnsi="Times New Roman" w:cs="Times New Roman"/>
          <w:sz w:val="24"/>
          <w:szCs w:val="24"/>
        </w:rPr>
        <w:t>e nucleus) (Schwarz et al., 2013; Tanaka et al.,</w:t>
      </w:r>
      <w:r w:rsidR="00CD037D">
        <w:rPr>
          <w:rFonts w:ascii="Times New Roman" w:hAnsi="Times New Roman" w:cs="Times New Roman"/>
          <w:sz w:val="24"/>
          <w:szCs w:val="24"/>
        </w:rPr>
        <w:t xml:space="preserve"> </w:t>
      </w:r>
      <w:r w:rsidRPr="00184F35">
        <w:rPr>
          <w:rFonts w:ascii="Times New Roman" w:hAnsi="Times New Roman" w:cs="Times New Roman"/>
          <w:sz w:val="24"/>
          <w:szCs w:val="24"/>
        </w:rPr>
        <w:t xml:space="preserve">1998). </w:t>
      </w:r>
      <w:r w:rsidRPr="00184F35">
        <w:rPr>
          <w:rFonts w:ascii="Times New Roman" w:eastAsia="Times New Roman" w:hAnsi="Times New Roman" w:cs="Times New Roman"/>
          <w:sz w:val="24"/>
          <w:szCs w:val="24"/>
        </w:rPr>
        <w:t>The nucleus encodes the primary transcriptional co-activators, including nuclear respiratory transcription factors 1 and 2 (NRF-1/NRF-2), and all transcription factors involved in mitochondrial gene expression (Scarpulla, 2006). Additionally, mtDNA replication, maintenance, and segregation are regulated by the nucleus (Moraes</w:t>
      </w:r>
      <w:r w:rsidR="00CD037D">
        <w:rPr>
          <w:rFonts w:ascii="Times New Roman" w:eastAsia="Times New Roman" w:hAnsi="Times New Roman" w:cs="Times New Roman"/>
          <w:sz w:val="24"/>
          <w:szCs w:val="24"/>
        </w:rPr>
        <w:t xml:space="preserve"> et al., 1999; Battersby and </w:t>
      </w:r>
      <w:r w:rsidRPr="00184F35">
        <w:rPr>
          <w:rFonts w:ascii="Times New Roman" w:eastAsia="Times New Roman" w:hAnsi="Times New Roman" w:cs="Times New Roman"/>
          <w:sz w:val="24"/>
          <w:szCs w:val="24"/>
        </w:rPr>
        <w:t xml:space="preserve">Loredo-Osti, J.; 2003). These organelles' close proximity may also hasten retrograde reactions by promoting mitophagy or mitogenesis. The identification of translocator protein (TSPO) was crucial to understand mitochondrial redistribution and subsequent communication with the nucleus in relation to the cellular membrane stability of the outer mitochondrial membrane (OMM) (Desai et al., 2020). </w:t>
      </w:r>
      <w:r w:rsidRPr="00184F35">
        <w:rPr>
          <w:rFonts w:ascii="Times New Roman" w:hAnsi="Times New Roman" w:cs="Times New Roman"/>
          <w:sz w:val="24"/>
          <w:szCs w:val="24"/>
        </w:rPr>
        <w:t xml:space="preserve">TSPO and its interacting partners, the A-kinase anchoring protein acyl–coenzyme A binding domain containing 3( ACBD3 ) and the protein kinase A( PKA ), interact with the A-kinase–anchoring protein (AKAP95) on the nucleus (Gatliff and Campanella, 2016). The transport of metabolites, including ions, proteins, and lipids, is facilitated by mitochondrial contact sites (MCS) and also by cellular signaling (Scorrano et al., 2019).MCS are critical for cellular functions of eukaryotes, as they enable communication and exchange between organelles. NAMs are juxtaposed to mitochondrial membranes and the nuclear envelope; they function as tethering mechanisms for homeostatic communication by priming the gene expression (Tracey-White and Hayes 2024). </w:t>
      </w:r>
      <w:r w:rsidRPr="00184F35">
        <w:rPr>
          <w:rFonts w:ascii="Times New Roman" w:eastAsia="Times New Roman" w:hAnsi="Times New Roman" w:cs="Times New Roman"/>
          <w:sz w:val="24"/>
          <w:szCs w:val="24"/>
        </w:rPr>
        <w:t xml:space="preserve">MCS helps maintain the shape, biosynthesis, and identity of organelles. In order to maintain vital </w:t>
      </w:r>
      <w:r w:rsidRPr="00184F35">
        <w:rPr>
          <w:rFonts w:ascii="Times New Roman" w:eastAsia="Times New Roman" w:hAnsi="Times New Roman" w:cs="Times New Roman"/>
          <w:sz w:val="24"/>
          <w:szCs w:val="24"/>
        </w:rPr>
        <w:lastRenderedPageBreak/>
        <w:t xml:space="preserve">processes required for tissue growth and homeostasis, MCS regulate areas of closeness between homologous or heterologous membranes. Transport is made possible by a number of physiological mechanisms, including hypoxia. Al-Mehdi et al. 2012 show that mitochondria in pulmonary endothelial cells are localized </w:t>
      </w:r>
      <w:r w:rsidR="00CD037D">
        <w:rPr>
          <w:rFonts w:ascii="Times New Roman" w:eastAsia="Times New Roman" w:hAnsi="Times New Roman" w:cs="Times New Roman"/>
          <w:sz w:val="24"/>
          <w:szCs w:val="24"/>
        </w:rPr>
        <w:t xml:space="preserve">and </w:t>
      </w:r>
      <w:r w:rsidR="00CD037D" w:rsidRPr="00184F35">
        <w:rPr>
          <w:rFonts w:ascii="Times New Roman" w:eastAsia="Times New Roman" w:hAnsi="Times New Roman" w:cs="Times New Roman"/>
          <w:sz w:val="24"/>
          <w:szCs w:val="24"/>
        </w:rPr>
        <w:t xml:space="preserve">cluster </w:t>
      </w:r>
      <w:r w:rsidRPr="00184F35">
        <w:rPr>
          <w:rFonts w:ascii="Times New Roman" w:eastAsia="Times New Roman" w:hAnsi="Times New Roman" w:cs="Times New Roman"/>
          <w:sz w:val="24"/>
          <w:szCs w:val="24"/>
        </w:rPr>
        <w:t xml:space="preserve">in the perinuclear area </w:t>
      </w:r>
      <w:r w:rsidR="00CD037D">
        <w:rPr>
          <w:rFonts w:ascii="Times New Roman" w:eastAsia="Times New Roman" w:hAnsi="Times New Roman" w:cs="Times New Roman"/>
          <w:sz w:val="24"/>
          <w:szCs w:val="24"/>
        </w:rPr>
        <w:t>under</w:t>
      </w:r>
      <w:r w:rsidRPr="00184F35">
        <w:rPr>
          <w:rFonts w:ascii="Times New Roman" w:eastAsia="Times New Roman" w:hAnsi="Times New Roman" w:cs="Times New Roman"/>
          <w:sz w:val="24"/>
          <w:szCs w:val="24"/>
        </w:rPr>
        <w:t xml:space="preserve"> Hypoxia Neuronal degeneration and the advancement of several cancers are facilitated by abnormalities in MCS (Voetz et al., 2024). Because of its capacity to bind cholesterol and inhibit mitophagy, </w:t>
      </w:r>
      <w:r w:rsidR="00CD037D" w:rsidRPr="00184F35">
        <w:rPr>
          <w:rFonts w:ascii="Times New Roman" w:eastAsia="Times New Roman" w:hAnsi="Times New Roman" w:cs="Times New Roman"/>
          <w:sz w:val="24"/>
          <w:szCs w:val="24"/>
        </w:rPr>
        <w:t>Connelly et al.</w:t>
      </w:r>
      <w:r w:rsidR="008165FD">
        <w:rPr>
          <w:rFonts w:ascii="Times New Roman" w:eastAsia="Times New Roman" w:hAnsi="Times New Roman" w:cs="Times New Roman"/>
          <w:sz w:val="24"/>
          <w:szCs w:val="24"/>
        </w:rPr>
        <w:t>,</w:t>
      </w:r>
      <w:r w:rsidR="00CD037D" w:rsidRPr="00184F35">
        <w:rPr>
          <w:rFonts w:ascii="Times New Roman" w:eastAsia="Times New Roman" w:hAnsi="Times New Roman" w:cs="Times New Roman"/>
          <w:sz w:val="24"/>
          <w:szCs w:val="24"/>
        </w:rPr>
        <w:t xml:space="preserve"> 2021</w:t>
      </w:r>
      <w:r w:rsidRPr="00184F35">
        <w:rPr>
          <w:rFonts w:ascii="Times New Roman" w:eastAsia="Times New Roman" w:hAnsi="Times New Roman" w:cs="Times New Roman"/>
          <w:sz w:val="24"/>
          <w:szCs w:val="24"/>
        </w:rPr>
        <w:t xml:space="preserve"> identified membrane translocator protein (TSPO) as a tethering protein. Fluorescence signals are associated with larger mitochondria that are closer to the nucleus in persister cells (Jana</w:t>
      </w:r>
      <w:r w:rsidR="00CD037D">
        <w:rPr>
          <w:rFonts w:ascii="Times New Roman" w:eastAsia="Times New Roman" w:hAnsi="Times New Roman" w:cs="Times New Roman"/>
          <w:sz w:val="24"/>
          <w:szCs w:val="24"/>
        </w:rPr>
        <w:t xml:space="preserve"> 2022</w:t>
      </w:r>
      <w:r w:rsidRPr="00184F35">
        <w:rPr>
          <w:rFonts w:ascii="Times New Roman" w:eastAsia="Times New Roman" w:hAnsi="Times New Roman" w:cs="Times New Roman"/>
          <w:sz w:val="24"/>
          <w:szCs w:val="24"/>
        </w:rPr>
        <w:t xml:space="preserve">). According to earlier research, mitochondria may be a sensor of the cellular damage caused by the omega-3 fatty acid docosahexaenoic acid (DHA) after damage from ROS. This process is associated with nuclear proximity and alterations in mitochondrial </w:t>
      </w:r>
      <w:r w:rsidRPr="0035756C">
        <w:rPr>
          <w:rFonts w:ascii="Times New Roman" w:eastAsia="Times New Roman" w:hAnsi="Times New Roman" w:cs="Times New Roman"/>
          <w:sz w:val="24"/>
          <w:szCs w:val="24"/>
          <w:highlight w:val="yellow"/>
        </w:rPr>
        <w:t>morphology (Yong Ho Park).</w:t>
      </w:r>
      <w:r w:rsidRPr="00184F35">
        <w:rPr>
          <w:rFonts w:ascii="Times New Roman" w:eastAsia="Times New Roman" w:hAnsi="Times New Roman" w:cs="Times New Roman"/>
          <w:sz w:val="24"/>
          <w:szCs w:val="24"/>
        </w:rPr>
        <w:t xml:space="preserve"> In human cells exposed to serum and epidermal growth factor (EGF), the mitochondrial protein mitofusin-2 (MFN2) is involved in the translocation of the mitochondrial pyruvate dehydrogenase complex into the nucleus (Zervopoulos et al., 2022). It was also seen that the mitochondria were crowded around the nucleus. The biological evidence supporting the link between the release of mitochondria from the nucleus and these investigations is further supported through the following studies. </w:t>
      </w:r>
      <w:r w:rsidRPr="00184F35">
        <w:rPr>
          <w:rFonts w:ascii="Times New Roman" w:eastAsia="Times New Roman" w:hAnsi="Times New Roman" w:cs="Times New Roman"/>
          <w:sz w:val="24"/>
          <w:szCs w:val="24"/>
        </w:rPr>
        <w:br/>
        <w:t>According to Wilfling and Boyle 202</w:t>
      </w:r>
      <w:r w:rsidR="005D2F98">
        <w:rPr>
          <w:rFonts w:ascii="Times New Roman" w:eastAsia="Times New Roman" w:hAnsi="Times New Roman" w:cs="Times New Roman"/>
          <w:sz w:val="24"/>
          <w:szCs w:val="24"/>
        </w:rPr>
        <w:t>2</w:t>
      </w:r>
      <w:r w:rsidRPr="00184F35">
        <w:rPr>
          <w:rFonts w:ascii="Times New Roman" w:eastAsia="Times New Roman" w:hAnsi="Times New Roman" w:cs="Times New Roman"/>
          <w:sz w:val="24"/>
          <w:szCs w:val="24"/>
        </w:rPr>
        <w:t>, mitochondria-to-nucleus tethering facilitates the mitochondrial pyruvate dehydrogenase complex's (PDC) through non-canonical nuclear entrance pathway. In response to proliferative stimuli, PDC, a macromolecular enzyme complex found in the inner mitochondrial membrane, travels through the nuclear envelope through the NAM and interacts with the nuclear lamina protein Lamin A in areas far from the nuclear pore complexes (NPCs) (Fanny &amp; Tang</w:t>
      </w:r>
      <w:r w:rsidR="00CD037D">
        <w:rPr>
          <w:rFonts w:ascii="Times New Roman" w:eastAsia="Times New Roman" w:hAnsi="Times New Roman" w:cs="Times New Roman"/>
          <w:sz w:val="24"/>
          <w:szCs w:val="24"/>
        </w:rPr>
        <w:t xml:space="preserve"> 2014</w:t>
      </w:r>
      <w:r w:rsidRPr="00184F35">
        <w:rPr>
          <w:rFonts w:ascii="Times New Roman" w:eastAsia="Times New Roman" w:hAnsi="Times New Roman" w:cs="Times New Roman"/>
          <w:sz w:val="24"/>
          <w:szCs w:val="24"/>
        </w:rPr>
        <w:t xml:space="preserve">). Cytological and inhibitor studies support this observation. For example, discovered mitochondrial accumulation in the aerial roots of </w:t>
      </w:r>
      <w:r w:rsidRPr="00184F35">
        <w:rPr>
          <w:rFonts w:ascii="Times New Roman" w:eastAsia="Times New Roman" w:hAnsi="Times New Roman" w:cs="Times New Roman"/>
          <w:i/>
          <w:sz w:val="24"/>
          <w:szCs w:val="24"/>
        </w:rPr>
        <w:t xml:space="preserve">Chlorophytum capense </w:t>
      </w:r>
      <w:r w:rsidRPr="00184F35">
        <w:rPr>
          <w:rFonts w:ascii="Times New Roman" w:eastAsia="Times New Roman" w:hAnsi="Times New Roman" w:cs="Times New Roman"/>
          <w:sz w:val="24"/>
          <w:szCs w:val="24"/>
        </w:rPr>
        <w:t>within nucleus invasions. Ornstein, 1956 report that the nuclear and mitochondrial membrane contacts are continuous. The interactions were improved by the addition of 2,4-dinitrophenol, an OXPHOS uncoupler (Frederic, J., 1954). In murine leukemia cells, fusion of the outer membranes and mitochondria close to the nuclear envelope, indicates increased metabolic activity acting as a buffer for the transfer of mRNA and proteins (Prachar 2023). Using laser</w:t>
      </w:r>
      <w:r w:rsidR="005D2F98">
        <w:rPr>
          <w:rFonts w:ascii="Times New Roman" w:eastAsia="Times New Roman" w:hAnsi="Times New Roman" w:cs="Times New Roman"/>
          <w:sz w:val="24"/>
          <w:szCs w:val="24"/>
        </w:rPr>
        <w:t xml:space="preserve"> confocal imaging, Dzeja et al., 2002 </w:t>
      </w:r>
      <w:r w:rsidRPr="00184F35">
        <w:rPr>
          <w:rFonts w:ascii="Times New Roman" w:eastAsia="Times New Roman" w:hAnsi="Times New Roman" w:cs="Times New Roman"/>
          <w:sz w:val="24"/>
          <w:szCs w:val="24"/>
        </w:rPr>
        <w:t xml:space="preserve">discovered mitochondria clustered around the nucleus, indicating that one of the main roles of nuclear-mitochondrial interactions is energy </w:t>
      </w:r>
      <w:r w:rsidRPr="00184F35">
        <w:rPr>
          <w:rFonts w:ascii="Times New Roman" w:eastAsia="Times New Roman" w:hAnsi="Times New Roman" w:cs="Times New Roman"/>
          <w:sz w:val="24"/>
          <w:szCs w:val="24"/>
        </w:rPr>
        <w:lastRenderedPageBreak/>
        <w:t>communication. It is assumed that this proximity is necessary to enable high-energy requirements of the nucleus because direct contact was hindered by the perinuclear area. A retrograde reaction is triggered by TSPO depletion by alteration of the mitochondrial membrane potential (DYm),</w:t>
      </w:r>
      <w:r w:rsidRPr="00184F35">
        <w:rPr>
          <w:rFonts w:ascii="Times New Roman" w:hAnsi="Times New Roman" w:cs="Times New Roman"/>
          <w:sz w:val="24"/>
          <w:szCs w:val="24"/>
        </w:rPr>
        <w:t xml:space="preserve"> leading to dysregulation of calcium homeostasis, reduced respiratory function, and altered transcriptome (Fan, J.; Papadopoulos, 2020). Tables</w:t>
      </w:r>
      <w:r w:rsidR="00BC6CC0">
        <w:rPr>
          <w:rFonts w:ascii="Times New Roman" w:hAnsi="Times New Roman" w:cs="Times New Roman"/>
          <w:sz w:val="24"/>
          <w:szCs w:val="24"/>
        </w:rPr>
        <w:t xml:space="preserve"> 2 A,B</w:t>
      </w:r>
      <w:r w:rsidRPr="00184F35">
        <w:rPr>
          <w:rFonts w:ascii="Times New Roman" w:hAnsi="Times New Roman" w:cs="Times New Roman"/>
          <w:sz w:val="24"/>
          <w:szCs w:val="24"/>
        </w:rPr>
        <w:t xml:space="preserve"> summarize a short list of proteins involved in mitochondrial and nuclear interaction. </w:t>
      </w:r>
      <w:r w:rsidRPr="00184F35">
        <w:rPr>
          <w:rFonts w:ascii="Times New Roman" w:eastAsia="Times New Roman" w:hAnsi="Times New Roman" w:cs="Times New Roman"/>
          <w:sz w:val="24"/>
          <w:szCs w:val="24"/>
        </w:rPr>
        <w:t>As previously mentioned, about 95% of mitochondrial proteins are encoded by nuclear DNA. The nucleus's ability to react to signals from the mitochondria is crucial for modifications and adaptations in mitochondrial function (Quiros, 2016). Retrograde signaling (RTG) can lengthen lifespan by eliminating unhealthy organelles and adapting to metabolic demands (Jazwinski, 2012). According to Liu and Butow (2006) and Guaragnella et al.</w:t>
      </w:r>
      <w:r w:rsidR="008165FD">
        <w:rPr>
          <w:rFonts w:ascii="Times New Roman" w:eastAsia="Times New Roman" w:hAnsi="Times New Roman" w:cs="Times New Roman"/>
          <w:sz w:val="24"/>
          <w:szCs w:val="24"/>
        </w:rPr>
        <w:t>,</w:t>
      </w:r>
      <w:r w:rsidRPr="00184F35">
        <w:rPr>
          <w:rFonts w:ascii="Times New Roman" w:eastAsia="Times New Roman" w:hAnsi="Times New Roman" w:cs="Times New Roman"/>
          <w:sz w:val="24"/>
          <w:szCs w:val="24"/>
        </w:rPr>
        <w:t xml:space="preserve"> (2018), Rtg1-3 was the first retrograde signaling response protein identified and described in yeast in the field. There is disagreement about whether there is a true mitochondrial UPR and how to characterize the mitochondrial stress response in mammalian cells, and several of the eukaryotic proteins that have been found lack a mammalian ho</w:t>
      </w:r>
      <w:r w:rsidR="005D2F98">
        <w:rPr>
          <w:rFonts w:ascii="Times New Roman" w:eastAsia="Times New Roman" w:hAnsi="Times New Roman" w:cs="Times New Roman"/>
          <w:sz w:val="24"/>
          <w:szCs w:val="24"/>
        </w:rPr>
        <w:t>molog (Vögtle, 2020; Cardamone and Tanasa</w:t>
      </w:r>
      <w:r w:rsidRPr="00184F35">
        <w:rPr>
          <w:rFonts w:ascii="Times New Roman" w:eastAsia="Times New Roman" w:hAnsi="Times New Roman" w:cs="Times New Roman"/>
          <w:sz w:val="24"/>
          <w:szCs w:val="24"/>
        </w:rPr>
        <w:t xml:space="preserve"> 2018).</w:t>
      </w:r>
      <w:r w:rsidRPr="00184F35">
        <w:rPr>
          <w:rFonts w:ascii="Times New Roman" w:hAnsi="Times New Roman" w:cs="Times New Roman"/>
          <w:sz w:val="24"/>
          <w:szCs w:val="24"/>
        </w:rPr>
        <w:t xml:space="preserve"> </w:t>
      </w:r>
      <w:r w:rsidRPr="00184F35">
        <w:rPr>
          <w:rFonts w:ascii="Times New Roman" w:eastAsia="Times New Roman" w:hAnsi="Times New Roman" w:cs="Times New Roman"/>
          <w:sz w:val="24"/>
          <w:szCs w:val="24"/>
        </w:rPr>
        <w:t xml:space="preserve">The ATP/ADP ratio, mitochondrial membrane potential disturbance, reactive oxygen species (ROS), or overall cellular stress can all trigger the retrograde response (Da Cunha and Torelli et al., 2015; Eisenberg-Bord and Schuldiner, 2016). </w:t>
      </w:r>
      <w:r w:rsidRPr="00184F35">
        <w:rPr>
          <w:rFonts w:ascii="Times New Roman" w:eastAsia="Times New Roman" w:hAnsi="Times New Roman" w:cs="Times New Roman"/>
          <w:sz w:val="24"/>
          <w:szCs w:val="24"/>
        </w:rPr>
        <w:br/>
        <w:t xml:space="preserve">This route stimulates a number of important cell signaling pathways. For example, the NF-kB pathway responds to respiratory stress by translocating to the nucleus and activating the transcription of genes for glucose metabolism and Ca2+ homeostasis (Biswas et al., 2008; Srinivasan et al., 2010). The RTG signaling then compensates for mitochondrial failure by boosting citric acid cycle genes and, consequently, citric acid cycle activity. Lastly, it has been demonstrated that RTG signaling is responsible for both the activation of the SIRT2 pathway and the inhibition of the TOR pathway </w:t>
      </w:r>
      <w:r w:rsidRPr="00184F35">
        <w:rPr>
          <w:rFonts w:ascii="Times New Roman" w:hAnsi="Times New Roman" w:cs="Times New Roman"/>
          <w:sz w:val="24"/>
          <w:szCs w:val="24"/>
        </w:rPr>
        <w:t xml:space="preserve">(Soledad et al., 2019).  </w:t>
      </w:r>
      <w:r w:rsidRPr="00184F35">
        <w:rPr>
          <w:rFonts w:ascii="Times New Roman" w:eastAsia="Times New Roman" w:hAnsi="Times New Roman" w:cs="Times New Roman"/>
          <w:sz w:val="24"/>
          <w:szCs w:val="24"/>
        </w:rPr>
        <w:t xml:space="preserve">Through mechanisms like ROS-induced JNK (c-Jun N-terminal kinase) signaling, the signaling system plays a significant part in apoptosis. (R.J. Davis, 2000). JNK can either encourage cell survival or death, depending on the stimulus and kind of cell (Liu, and Lin, 2005). By interacting with the Bcl-2 family, prolonged JNK activation can trigger a second generation of mitochondrial superoxide and encourage proapoptotic </w:t>
      </w:r>
      <w:r w:rsidRPr="0035756C">
        <w:rPr>
          <w:rFonts w:ascii="Times New Roman" w:eastAsia="Times New Roman" w:hAnsi="Times New Roman" w:cs="Times New Roman"/>
          <w:sz w:val="24"/>
          <w:szCs w:val="24"/>
          <w:highlight w:val="yellow"/>
        </w:rPr>
        <w:t>activation (Chambers, J. and LoGrasso, 2011</w:t>
      </w:r>
      <w:r w:rsidRPr="00184F35">
        <w:rPr>
          <w:rFonts w:ascii="Times New Roman" w:eastAsia="Times New Roman" w:hAnsi="Times New Roman" w:cs="Times New Roman"/>
          <w:sz w:val="24"/>
          <w:szCs w:val="24"/>
        </w:rPr>
        <w:t>). On the other hand, short-term JNK activation might encourage pro-survival signaling, which could be amplified by additional survival signaling pathways like NF-kB. (</w:t>
      </w:r>
      <w:r w:rsidRPr="0035756C">
        <w:rPr>
          <w:rFonts w:ascii="Times New Roman" w:eastAsia="Times New Roman" w:hAnsi="Times New Roman" w:cs="Times New Roman"/>
          <w:sz w:val="24"/>
          <w:szCs w:val="24"/>
          <w:highlight w:val="yellow"/>
        </w:rPr>
        <w:t>Naka</w:t>
      </w:r>
      <w:r w:rsidR="00BC6CC0" w:rsidRPr="0035756C">
        <w:rPr>
          <w:rFonts w:ascii="Times New Roman" w:eastAsia="Times New Roman" w:hAnsi="Times New Roman" w:cs="Times New Roman"/>
          <w:sz w:val="24"/>
          <w:szCs w:val="24"/>
          <w:highlight w:val="yellow"/>
        </w:rPr>
        <w:t>no 2006; Wu,  2014</w:t>
      </w:r>
      <w:r w:rsidRPr="0035756C">
        <w:rPr>
          <w:rFonts w:ascii="Times New Roman" w:eastAsia="Times New Roman" w:hAnsi="Times New Roman" w:cs="Times New Roman"/>
          <w:sz w:val="24"/>
          <w:szCs w:val="24"/>
          <w:highlight w:val="yellow"/>
        </w:rPr>
        <w:t>).</w:t>
      </w:r>
      <w:r w:rsidRPr="00184F35">
        <w:rPr>
          <w:rFonts w:ascii="Times New Roman" w:eastAsia="Times New Roman" w:hAnsi="Times New Roman" w:cs="Times New Roman"/>
          <w:sz w:val="24"/>
          <w:szCs w:val="24"/>
        </w:rPr>
        <w:t xml:space="preserve"> </w:t>
      </w:r>
      <w:r w:rsidRPr="00184F35">
        <w:rPr>
          <w:rFonts w:ascii="Times New Roman" w:hAnsi="Times New Roman" w:cs="Times New Roman"/>
          <w:sz w:val="24"/>
          <w:szCs w:val="24"/>
        </w:rPr>
        <w:t xml:space="preserve">Finally, RTG signaling is </w:t>
      </w:r>
      <w:r w:rsidRPr="00184F35">
        <w:rPr>
          <w:rFonts w:ascii="Times New Roman" w:hAnsi="Times New Roman" w:cs="Times New Roman"/>
          <w:sz w:val="24"/>
          <w:szCs w:val="24"/>
        </w:rPr>
        <w:lastRenderedPageBreak/>
        <w:t>involved in FOXO transcription factor-mediated insulin and growth factor signaling and regulated by phosphorylation and post-translational modifications. The activity and function are regulated by ROS, AMP, NAD+, and Acetyl-CoA. (Kim and Koh, 2017; Mouchiroud, 2013).</w:t>
      </w:r>
    </w:p>
    <w:p w14:paraId="3E6EF762" w14:textId="77777777" w:rsidR="00985D79" w:rsidRPr="00184F35" w:rsidRDefault="00985D79" w:rsidP="00985D79">
      <w:pPr>
        <w:pStyle w:val="NormalWeb"/>
        <w:spacing w:line="360" w:lineRule="auto"/>
        <w:jc w:val="both"/>
      </w:pPr>
      <w:r w:rsidRPr="00184F35">
        <w:rPr>
          <w:rStyle w:val="Strong"/>
        </w:rPr>
        <w:t>Alterations in mitochondria and nuclear interactions and in human pathology</w:t>
      </w:r>
    </w:p>
    <w:p w14:paraId="42153980" w14:textId="77777777" w:rsidR="00985D79" w:rsidRPr="00184F35" w:rsidRDefault="00985D79" w:rsidP="00985D79">
      <w:pPr>
        <w:spacing w:line="360" w:lineRule="auto"/>
        <w:jc w:val="both"/>
        <w:rPr>
          <w:rFonts w:ascii="Times New Roman" w:eastAsia="Times New Roman" w:hAnsi="Times New Roman" w:cs="Times New Roman"/>
          <w:sz w:val="24"/>
          <w:szCs w:val="24"/>
        </w:rPr>
      </w:pPr>
      <w:r w:rsidRPr="00184F35">
        <w:rPr>
          <w:rFonts w:ascii="Times New Roman" w:eastAsia="Times New Roman" w:hAnsi="Times New Roman" w:cs="Times New Roman"/>
          <w:sz w:val="24"/>
          <w:szCs w:val="24"/>
        </w:rPr>
        <w:t xml:space="preserve">Mutations in nuclear DNA, or mtDNA, which codes for mitochondrial proteins and RNAs, particularly tRNAs, are the cause of a class of hereditary illnesses known as mitochondrial diseases. More than 300 harmful mutations have been found in the mitochondrial genome to date, and the mutation rate is 10–17 times higher than that of nuclear DNA </w:t>
      </w:r>
      <w:r w:rsidRPr="00184F35">
        <w:rPr>
          <w:rFonts w:ascii="Times New Roman" w:eastAsia="Times New Roman" w:hAnsi="Times New Roman" w:cs="Times New Roman"/>
          <w:b/>
          <w:sz w:val="24"/>
          <w:szCs w:val="24"/>
        </w:rPr>
        <w:t>(</w:t>
      </w:r>
      <w:r w:rsidRPr="00184F35">
        <w:rPr>
          <w:rFonts w:ascii="Times New Roman" w:hAnsi="Times New Roman" w:cs="Times New Roman"/>
          <w:sz w:val="24"/>
          <w:szCs w:val="24"/>
        </w:rPr>
        <w:t>Wen et al., 2025</w:t>
      </w:r>
      <w:r w:rsidRPr="00184F35">
        <w:rPr>
          <w:rFonts w:ascii="Times New Roman" w:eastAsia="Times New Roman" w:hAnsi="Times New Roman" w:cs="Times New Roman"/>
          <w:b/>
          <w:sz w:val="24"/>
          <w:szCs w:val="24"/>
        </w:rPr>
        <w:t>).</w:t>
      </w:r>
      <w:r w:rsidRPr="00184F35">
        <w:rPr>
          <w:rFonts w:ascii="Times New Roman" w:eastAsia="Times New Roman" w:hAnsi="Times New Roman" w:cs="Times New Roman"/>
          <w:sz w:val="24"/>
          <w:szCs w:val="24"/>
        </w:rPr>
        <w:t xml:space="preserve"> The mutations mostly impact multi-systemic tissues, including the brain and muscles, which have high energy demands. Although mitochondrial disorders are inherited, their genetic makeup is complicated; mtDNA mutations are inherited maternally, while nuclear mutations might be X-linked, dominant, or recessive (</w:t>
      </w:r>
      <w:r w:rsidRPr="00184F35">
        <w:rPr>
          <w:rFonts w:ascii="Times New Roman" w:hAnsi="Times New Roman" w:cs="Times New Roman"/>
          <w:sz w:val="24"/>
          <w:szCs w:val="24"/>
        </w:rPr>
        <w:t>Davisone et al., 2019</w:t>
      </w:r>
      <w:r w:rsidRPr="00184F35">
        <w:rPr>
          <w:rFonts w:ascii="Times New Roman" w:eastAsia="Times New Roman" w:hAnsi="Times New Roman" w:cs="Times New Roman"/>
          <w:sz w:val="24"/>
          <w:szCs w:val="24"/>
        </w:rPr>
        <w:t>). Mitochondrial dysfunction may also result from the accumulation of mutations associated with aging. Since each cell contains hundreds of copies of mtDNA, its heteroplasmic nature creates complexity; subsequently pathology results from a mixed population of mutant and wild-type mtDNA (</w:t>
      </w:r>
      <w:r w:rsidRPr="00184F35">
        <w:rPr>
          <w:rFonts w:ascii="Times New Roman" w:hAnsi="Times New Roman" w:cs="Times New Roman"/>
          <w:sz w:val="24"/>
          <w:szCs w:val="24"/>
        </w:rPr>
        <w:t>Wallace et al., 2013</w:t>
      </w:r>
      <w:r w:rsidRPr="00184F35">
        <w:rPr>
          <w:rFonts w:ascii="Times New Roman" w:eastAsia="Times New Roman" w:hAnsi="Times New Roman" w:cs="Times New Roman"/>
          <w:sz w:val="24"/>
          <w:szCs w:val="24"/>
        </w:rPr>
        <w:t>). As discussed previously, nuclear-encoded proteins are crucial for the maintenance and expression of mtDNA. Defective oxidative phosphorylation and incorrect respiratory chain complex assembly are caused by either due to abberant mitochondrial gene expression or mtDNA maintenance (</w:t>
      </w:r>
      <w:r w:rsidRPr="00184F35">
        <w:rPr>
          <w:rFonts w:ascii="Times New Roman" w:hAnsi="Times New Roman" w:cs="Times New Roman"/>
          <w:sz w:val="24"/>
          <w:szCs w:val="24"/>
        </w:rPr>
        <w:t>Mayr et al., 2015</w:t>
      </w:r>
      <w:r w:rsidRPr="00184F35">
        <w:rPr>
          <w:rFonts w:ascii="Times New Roman" w:eastAsia="Times New Roman" w:hAnsi="Times New Roman" w:cs="Times New Roman"/>
          <w:sz w:val="24"/>
          <w:szCs w:val="24"/>
        </w:rPr>
        <w:t>). Base excision repair (BER), one of the mtDNA repair pathways, fixes damages brought on by ROS, mismatch repair, translesion synthesis, and single- and double-strand break repairs are repair processes are demonstrated to take place in mitochondria(</w:t>
      </w:r>
      <w:r w:rsidRPr="00184F35">
        <w:rPr>
          <w:rFonts w:ascii="Times New Roman" w:hAnsi="Times New Roman" w:cs="Times New Roman"/>
          <w:sz w:val="24"/>
          <w:szCs w:val="24"/>
        </w:rPr>
        <w:t>Siyang Liao, et al., 2022</w:t>
      </w:r>
      <w:r w:rsidRPr="00184F35">
        <w:rPr>
          <w:rFonts w:ascii="Times New Roman" w:eastAsia="Times New Roman" w:hAnsi="Times New Roman" w:cs="Times New Roman"/>
          <w:sz w:val="24"/>
          <w:szCs w:val="24"/>
        </w:rPr>
        <w:t>). Biochemical malfunction and aberrant mitochondrial morphology are features of several neurodegenerative disorders.</w:t>
      </w:r>
      <w:r w:rsidRPr="00184F35">
        <w:rPr>
          <w:rFonts w:ascii="Times New Roman" w:hAnsi="Times New Roman" w:cs="Times New Roman"/>
          <w:color w:val="333333"/>
          <w:sz w:val="24"/>
          <w:szCs w:val="24"/>
          <w:shd w:val="clear" w:color="auto" w:fill="FFFFFF"/>
        </w:rPr>
        <w:t xml:space="preserve"> At the cellular level research report excessive mitochondrial fission, </w:t>
      </w:r>
      <w:r w:rsidR="00C6271E" w:rsidRPr="00184F35">
        <w:rPr>
          <w:rFonts w:ascii="Times New Roman" w:hAnsi="Times New Roman" w:cs="Times New Roman"/>
          <w:color w:val="333333"/>
          <w:sz w:val="24"/>
          <w:szCs w:val="24"/>
          <w:shd w:val="clear" w:color="auto" w:fill="FFFFFF"/>
        </w:rPr>
        <w:t>aberrant</w:t>
      </w:r>
      <w:r w:rsidRPr="00184F35">
        <w:rPr>
          <w:rFonts w:ascii="Times New Roman" w:hAnsi="Times New Roman" w:cs="Times New Roman"/>
          <w:color w:val="333333"/>
          <w:sz w:val="24"/>
          <w:szCs w:val="24"/>
          <w:shd w:val="clear" w:color="auto" w:fill="FFFFFF"/>
        </w:rPr>
        <w:t xml:space="preserve"> post-translational modification</w:t>
      </w:r>
      <w:r w:rsidR="00C6271E">
        <w:rPr>
          <w:rFonts w:ascii="Times New Roman" w:hAnsi="Times New Roman" w:cs="Times New Roman"/>
          <w:color w:val="333333"/>
          <w:sz w:val="24"/>
          <w:szCs w:val="24"/>
          <w:shd w:val="clear" w:color="auto" w:fill="FFFFFF"/>
        </w:rPr>
        <w:t>c</w:t>
      </w:r>
      <w:r w:rsidRPr="00184F35">
        <w:rPr>
          <w:rFonts w:ascii="Times New Roman" w:hAnsi="Times New Roman" w:cs="Times New Roman"/>
          <w:color w:val="333333"/>
          <w:sz w:val="24"/>
          <w:szCs w:val="24"/>
          <w:shd w:val="clear" w:color="auto" w:fill="FFFFFF"/>
        </w:rPr>
        <w:t>(PTM) including S-nitrosylation, phosphorylation, SUMOylation and ubiquitination and NO signaling pathways also contribute to the is reported in neurodegenerative disorders</w:t>
      </w:r>
      <w:r w:rsidR="00C6271E">
        <w:rPr>
          <w:rFonts w:ascii="Times New Roman" w:hAnsi="Times New Roman" w:cs="Times New Roman"/>
          <w:color w:val="333333"/>
          <w:sz w:val="24"/>
          <w:szCs w:val="24"/>
          <w:shd w:val="clear" w:color="auto" w:fill="FFFFFF"/>
        </w:rPr>
        <w:t>c</w:t>
      </w:r>
      <w:r w:rsidRPr="00184F35">
        <w:rPr>
          <w:rFonts w:ascii="Times New Roman" w:hAnsi="Times New Roman" w:cs="Times New Roman"/>
          <w:color w:val="333333"/>
          <w:sz w:val="24"/>
          <w:szCs w:val="24"/>
          <w:shd w:val="clear" w:color="auto" w:fill="FFFFFF"/>
        </w:rPr>
        <w:t>(</w:t>
      </w:r>
      <w:r w:rsidRPr="00184F35">
        <w:rPr>
          <w:rFonts w:ascii="Times New Roman" w:hAnsi="Times New Roman" w:cs="Times New Roman"/>
          <w:sz w:val="24"/>
          <w:szCs w:val="24"/>
        </w:rPr>
        <w:t>Nitu, et al., 2024</w:t>
      </w:r>
      <w:r w:rsidRPr="00184F35">
        <w:rPr>
          <w:rFonts w:ascii="Times New Roman" w:hAnsi="Times New Roman" w:cs="Times New Roman"/>
          <w:color w:val="333333"/>
          <w:sz w:val="24"/>
          <w:szCs w:val="24"/>
          <w:shd w:val="clear" w:color="auto" w:fill="FFFFFF"/>
        </w:rPr>
        <w:t>).</w:t>
      </w:r>
      <w:r w:rsidRPr="00184F35">
        <w:rPr>
          <w:rFonts w:ascii="Times New Roman" w:eastAsia="Times New Roman" w:hAnsi="Times New Roman" w:cs="Times New Roman"/>
          <w:sz w:val="24"/>
          <w:szCs w:val="24"/>
        </w:rPr>
        <w:t xml:space="preserve"> Abnormal mitochondrial DNA or mutant nuclear proteins that interact directly or indirectly with mitochondria can cause mitochondrial dysfunction. Rather than being brain-limited, changes are frequently systemic, resulting in neuronal malfunction and death. Nonetheless, there are still a number of unanswered questions regarding how mitochondrial malfunction contributes to neurodegeneration. The </w:t>
      </w:r>
      <w:r w:rsidRPr="00184F35">
        <w:rPr>
          <w:rFonts w:ascii="Times New Roman" w:eastAsia="Times New Roman" w:hAnsi="Times New Roman" w:cs="Times New Roman"/>
          <w:sz w:val="24"/>
          <w:szCs w:val="24"/>
        </w:rPr>
        <w:lastRenderedPageBreak/>
        <w:t>intricate hierarchical pathways that propel and mediate neuronal malfunction and death in neurodegenerative diso</w:t>
      </w:r>
      <w:r w:rsidR="00BC6CC0">
        <w:rPr>
          <w:rFonts w:ascii="Times New Roman" w:eastAsia="Times New Roman" w:hAnsi="Times New Roman" w:cs="Times New Roman"/>
          <w:sz w:val="24"/>
          <w:szCs w:val="24"/>
        </w:rPr>
        <w:t>rders are illustrated in Figure-</w:t>
      </w:r>
      <w:r w:rsidRPr="00184F35">
        <w:rPr>
          <w:rFonts w:ascii="Times New Roman" w:eastAsia="Times New Roman" w:hAnsi="Times New Roman" w:cs="Times New Roman"/>
          <w:sz w:val="24"/>
          <w:szCs w:val="24"/>
        </w:rPr>
        <w:t>1. Research indicates mitochondria may be involved in sporadic neurodegeneration upstream. This is true for both extremely common age-related disorders like Alzheimer's disease (AD) and Parkinson's disease (PD) and extremely rare neurodegenerative diseases(</w:t>
      </w:r>
      <w:r w:rsidRPr="00184F35">
        <w:rPr>
          <w:rFonts w:ascii="Times New Roman" w:hAnsi="Times New Roman" w:cs="Times New Roman"/>
          <w:sz w:val="24"/>
          <w:szCs w:val="24"/>
        </w:rPr>
        <w:t>Xu et al., 2021</w:t>
      </w:r>
      <w:r w:rsidRPr="00184F35">
        <w:rPr>
          <w:rFonts w:ascii="Times New Roman" w:eastAsia="Times New Roman" w:hAnsi="Times New Roman" w:cs="Times New Roman"/>
          <w:sz w:val="24"/>
          <w:szCs w:val="24"/>
        </w:rPr>
        <w:t>).</w:t>
      </w:r>
      <w:r w:rsidRPr="00184F35">
        <w:rPr>
          <w:rFonts w:ascii="Times New Roman" w:hAnsi="Times New Roman" w:cs="Times New Roman"/>
          <w:sz w:val="24"/>
          <w:szCs w:val="24"/>
        </w:rPr>
        <w:t xml:space="preserve"> </w:t>
      </w:r>
      <w:r w:rsidRPr="00184F35">
        <w:rPr>
          <w:rFonts w:ascii="Times New Roman" w:eastAsia="Times New Roman" w:hAnsi="Times New Roman" w:cs="Times New Roman"/>
          <w:sz w:val="24"/>
          <w:szCs w:val="24"/>
        </w:rPr>
        <w:t xml:space="preserve">An outline of the abnormal mitochondrial and nuclear interactions in human pathophysiology and in particular neurodegenerative diseases will be covered in the paragraphs that follow. </w:t>
      </w:r>
      <w:r w:rsidRPr="00184F35">
        <w:rPr>
          <w:rFonts w:ascii="Times New Roman" w:eastAsia="Times New Roman" w:hAnsi="Times New Roman" w:cs="Times New Roman"/>
          <w:sz w:val="24"/>
          <w:szCs w:val="24"/>
        </w:rPr>
        <w:br/>
      </w:r>
    </w:p>
    <w:p w14:paraId="434BC79B" w14:textId="77777777" w:rsidR="00985D79" w:rsidRPr="00184F35" w:rsidRDefault="00985D79" w:rsidP="00985D79">
      <w:pPr>
        <w:spacing w:line="360" w:lineRule="auto"/>
        <w:jc w:val="both"/>
        <w:rPr>
          <w:rFonts w:ascii="Times New Roman" w:hAnsi="Times New Roman" w:cs="Times New Roman"/>
          <w:sz w:val="24"/>
          <w:szCs w:val="24"/>
        </w:rPr>
      </w:pPr>
      <w:r w:rsidRPr="00184F35">
        <w:rPr>
          <w:rFonts w:ascii="Times New Roman" w:eastAsia="Times New Roman" w:hAnsi="Times New Roman" w:cs="Times New Roman"/>
          <w:sz w:val="24"/>
          <w:szCs w:val="24"/>
        </w:rPr>
        <w:t xml:space="preserve">a. Cancer's Mitochondrial Dysfunction </w:t>
      </w:r>
      <w:r w:rsidRPr="00184F35">
        <w:rPr>
          <w:rFonts w:ascii="Times New Roman" w:eastAsia="Times New Roman" w:hAnsi="Times New Roman" w:cs="Times New Roman"/>
          <w:sz w:val="24"/>
          <w:szCs w:val="24"/>
        </w:rPr>
        <w:br/>
        <w:t>Cancer cells are a good model to demonstrate the nuclear regulation of cell development which can be impacted by mitochondrial function. Through a process known as metabolic reprogramming, or the Warburg Effect, cancer cells undergo mutations and adapt to grow out of control and spread throughout the body(</w:t>
      </w:r>
      <w:r w:rsidRPr="00184F35">
        <w:rPr>
          <w:rFonts w:ascii="Times New Roman" w:hAnsi="Times New Roman" w:cs="Times New Roman"/>
          <w:sz w:val="24"/>
          <w:szCs w:val="24"/>
        </w:rPr>
        <w:t>Liberti and Locasale 2016</w:t>
      </w:r>
      <w:r w:rsidRPr="00184F35">
        <w:rPr>
          <w:rFonts w:ascii="Times New Roman" w:eastAsia="Times New Roman" w:hAnsi="Times New Roman" w:cs="Times New Roman"/>
          <w:sz w:val="24"/>
          <w:szCs w:val="24"/>
        </w:rPr>
        <w:t>). The Warburg effect occurs when diseased cells produce more lactate and absorb more glucose; in cancerous cells, mitochondria are still able to produce ATP through oxidative phosphorylation. Mutations that cause an abundance of onco-metabolites (D-2-HG, fumarate, and succinate, respectively) in the mitochondrial metabolic enzymes isocitrate dehydrogenase (IDH1/2), succinate dehydrogenase (SDH), or fumarate hydratase (FH) result in functional loss or gain(</w:t>
      </w:r>
      <w:r w:rsidR="00BC6CC0">
        <w:rPr>
          <w:rFonts w:ascii="Times New Roman" w:hAnsi="Times New Roman" w:cs="Times New Roman"/>
          <w:sz w:val="24"/>
          <w:szCs w:val="24"/>
        </w:rPr>
        <w:t xml:space="preserve">Sciacovelli and </w:t>
      </w:r>
      <w:r w:rsidRPr="00184F35">
        <w:rPr>
          <w:rFonts w:ascii="Times New Roman" w:hAnsi="Times New Roman" w:cs="Times New Roman"/>
          <w:sz w:val="24"/>
          <w:szCs w:val="24"/>
        </w:rPr>
        <w:t>Frezza. 2016</w:t>
      </w:r>
      <w:r w:rsidRPr="00184F35">
        <w:rPr>
          <w:rFonts w:ascii="Times New Roman" w:eastAsia="Times New Roman" w:hAnsi="Times New Roman" w:cs="Times New Roman"/>
          <w:sz w:val="24"/>
          <w:szCs w:val="24"/>
        </w:rPr>
        <w:t>). The inhibition of α-ketoglutarate enzymes by oncometabolites can change the expression of genes related to malignant transition and cell differentiation. Hypoxia inducible factors (HIFs) can build up in the nucleus and stimulate the hypoxic response when PHDs are inhibited by other metabolites like succinate and D-2-HG(</w:t>
      </w:r>
      <w:r w:rsidRPr="00184F35">
        <w:rPr>
          <w:rFonts w:ascii="Times New Roman" w:hAnsi="Times New Roman" w:cs="Times New Roman"/>
          <w:sz w:val="24"/>
          <w:szCs w:val="24"/>
        </w:rPr>
        <w:t>Strowitzki, et al., 2019</w:t>
      </w:r>
      <w:r w:rsidRPr="00184F35">
        <w:rPr>
          <w:rFonts w:ascii="Times New Roman" w:eastAsia="Times New Roman" w:hAnsi="Times New Roman" w:cs="Times New Roman"/>
          <w:sz w:val="24"/>
          <w:szCs w:val="24"/>
        </w:rPr>
        <w:t>). Fumarate's post-translational alteration of succinylation can change downstream signaling by compromising protein function. Lastly, the uncoupling proteins (UCPs) change the potential of the mitochondrial membrane by accumulating in the IMM</w:t>
      </w:r>
      <w:r w:rsidR="00BC6CC0">
        <w:rPr>
          <w:rFonts w:ascii="Times New Roman" w:eastAsia="Times New Roman" w:hAnsi="Times New Roman" w:cs="Times New Roman"/>
          <w:sz w:val="24"/>
          <w:szCs w:val="24"/>
        </w:rPr>
        <w:t xml:space="preserve"> </w:t>
      </w:r>
      <w:r w:rsidRPr="00184F35">
        <w:rPr>
          <w:rFonts w:ascii="Times New Roman" w:eastAsia="Times New Roman" w:hAnsi="Times New Roman" w:cs="Times New Roman"/>
          <w:sz w:val="24"/>
          <w:szCs w:val="24"/>
        </w:rPr>
        <w:t>(</w:t>
      </w:r>
      <w:r w:rsidRPr="00184F35">
        <w:rPr>
          <w:rFonts w:ascii="Times New Roman" w:hAnsi="Times New Roman" w:cs="Times New Roman"/>
          <w:sz w:val="24"/>
          <w:szCs w:val="24"/>
        </w:rPr>
        <w:t>Demine, et al., 2019</w:t>
      </w:r>
      <w:r w:rsidRPr="00184F35">
        <w:rPr>
          <w:rFonts w:ascii="Times New Roman" w:eastAsia="Times New Roman" w:hAnsi="Times New Roman" w:cs="Times New Roman"/>
          <w:sz w:val="24"/>
          <w:szCs w:val="24"/>
        </w:rPr>
        <w:t>). One prevalent epigenetic alteration in cancer cells is hypermethylation. These changes may lead to more mitochondrial malfunction and an increase in ROS generation, which is thought to facilitate the growth of tumors. Acetyl-CoA stimulates cell division and development via increasing histone acetylation</w:t>
      </w:r>
      <w:r w:rsidR="00BC6CC0">
        <w:rPr>
          <w:rFonts w:ascii="Times New Roman" w:eastAsia="Times New Roman" w:hAnsi="Times New Roman" w:cs="Times New Roman"/>
          <w:sz w:val="24"/>
          <w:szCs w:val="24"/>
        </w:rPr>
        <w:t xml:space="preserve"> </w:t>
      </w:r>
      <w:r w:rsidR="00BC6CC0" w:rsidRPr="00184F35">
        <w:rPr>
          <w:rFonts w:ascii="Times New Roman" w:eastAsia="Times New Roman" w:hAnsi="Times New Roman" w:cs="Times New Roman"/>
          <w:sz w:val="24"/>
          <w:szCs w:val="24"/>
        </w:rPr>
        <w:t>(</w:t>
      </w:r>
      <w:r w:rsidR="00BC6CC0" w:rsidRPr="00184F35">
        <w:rPr>
          <w:rFonts w:ascii="Times New Roman" w:hAnsi="Times New Roman" w:cs="Times New Roman"/>
          <w:sz w:val="24"/>
          <w:szCs w:val="24"/>
        </w:rPr>
        <w:t>Álvaro García-Guede et al., 2020</w:t>
      </w:r>
      <w:r w:rsidR="00BC6CC0" w:rsidRPr="00184F35">
        <w:rPr>
          <w:rFonts w:ascii="Times New Roman" w:eastAsia="Times New Roman" w:hAnsi="Times New Roman" w:cs="Times New Roman"/>
          <w:sz w:val="24"/>
          <w:szCs w:val="24"/>
        </w:rPr>
        <w:t>).</w:t>
      </w:r>
      <w:r w:rsidRPr="00184F35">
        <w:rPr>
          <w:rFonts w:ascii="Times New Roman" w:eastAsia="Times New Roman" w:hAnsi="Times New Roman" w:cs="Times New Roman"/>
          <w:sz w:val="24"/>
          <w:szCs w:val="24"/>
        </w:rPr>
        <w:t xml:space="preserve">. </w:t>
      </w:r>
      <w:r w:rsidRPr="00184F35">
        <w:rPr>
          <w:rFonts w:ascii="Times New Roman" w:eastAsia="Times New Roman" w:hAnsi="Times New Roman" w:cs="Times New Roman"/>
          <w:sz w:val="24"/>
          <w:szCs w:val="24"/>
        </w:rPr>
        <w:br/>
        <w:t xml:space="preserve">Since malignancies frequently have mitochondrial DNA deletions and depletions, this route is pertinent to carcinogenesis. Retrograde signaling and calcium dysregulation result from mtDNA </w:t>
      </w:r>
      <w:r w:rsidRPr="00184F35">
        <w:rPr>
          <w:rFonts w:ascii="Times New Roman" w:eastAsia="Times New Roman" w:hAnsi="Times New Roman" w:cs="Times New Roman"/>
          <w:sz w:val="24"/>
          <w:szCs w:val="24"/>
        </w:rPr>
        <w:lastRenderedPageBreak/>
        <w:t>depletion. According to research by Prakash et al., 2010 calcium dysregulation in cancer cells is triggered by two key pathways that control the activation and translocation of nuclear transcription factors: Ca²⁺-PKC and Ca²⁺-Calcineurin. When this route was altered, anti-apoptotic markers increased, which in turn caused resistance to apoptosis and invasive behavior. Additionally, calcineurin activated by mtDNA stress results in enhanced glucose absorption and insulin-like growth factor-1 receptor activity, bolstering the notion of a metabolic change in tumor growth (</w:t>
      </w:r>
      <w:r w:rsidRPr="00184F35">
        <w:rPr>
          <w:rFonts w:ascii="Times New Roman" w:hAnsi="Times New Roman" w:cs="Times New Roman"/>
          <w:sz w:val="24"/>
          <w:szCs w:val="24"/>
        </w:rPr>
        <w:t>Padinharayil et al., 2023</w:t>
      </w:r>
      <w:r w:rsidRPr="00184F35">
        <w:rPr>
          <w:rFonts w:ascii="Times New Roman" w:eastAsia="Times New Roman" w:hAnsi="Times New Roman" w:cs="Times New Roman"/>
          <w:sz w:val="24"/>
          <w:szCs w:val="24"/>
        </w:rPr>
        <w:t>). Akt1, an AKT serine/threonine kinase, promotes the alteration by phosphorylating transcriptional coactivators, hence mediating transcription activation. Epithelial-mesenchymal transition (EMT) has also been linked to mtDNA depletion. The transcription factor repressors Twist, Slug, and Snail are upregulated in these cells, which increases thei</w:t>
      </w:r>
      <w:r w:rsidR="00A7397B">
        <w:rPr>
          <w:rFonts w:ascii="Times New Roman" w:eastAsia="Times New Roman" w:hAnsi="Times New Roman" w:cs="Times New Roman"/>
          <w:sz w:val="24"/>
          <w:szCs w:val="24"/>
        </w:rPr>
        <w:t>r ability to migrate or invade (</w:t>
      </w:r>
      <w:r w:rsidRPr="00184F35">
        <w:rPr>
          <w:rFonts w:ascii="Times New Roman" w:hAnsi="Times New Roman" w:cs="Times New Roman"/>
          <w:sz w:val="24"/>
          <w:szCs w:val="24"/>
        </w:rPr>
        <w:t>Ganesan,et al., 2015</w:t>
      </w:r>
      <w:r w:rsidRPr="00184F35">
        <w:rPr>
          <w:rFonts w:ascii="Times New Roman" w:eastAsia="Times New Roman" w:hAnsi="Times New Roman" w:cs="Times New Roman"/>
          <w:sz w:val="24"/>
          <w:szCs w:val="24"/>
        </w:rPr>
        <w:t>). DNA damage brought on by ongoing oxidative stress might hasten the growth and spread of cancer. A small percentage of mutations do not produce a noticeable phenotype, but they could contribute to the formation of more ROS, which can further harm DNA and trigger signaling cascades that encourage cell growth, proliferation, and resistance to apoptosis</w:t>
      </w:r>
      <w:r w:rsidR="00A7397B">
        <w:rPr>
          <w:rFonts w:ascii="Times New Roman" w:eastAsia="Times New Roman" w:hAnsi="Times New Roman" w:cs="Times New Roman"/>
          <w:sz w:val="24"/>
          <w:szCs w:val="24"/>
        </w:rPr>
        <w:t xml:space="preserve"> </w:t>
      </w:r>
      <w:r w:rsidRPr="00184F35">
        <w:rPr>
          <w:rFonts w:ascii="Times New Roman" w:eastAsia="Times New Roman" w:hAnsi="Times New Roman" w:cs="Times New Roman"/>
          <w:sz w:val="24"/>
          <w:szCs w:val="24"/>
        </w:rPr>
        <w:t>(</w:t>
      </w:r>
      <w:r w:rsidRPr="00184F35">
        <w:rPr>
          <w:rFonts w:ascii="Times New Roman" w:hAnsi="Times New Roman" w:cs="Times New Roman"/>
          <w:sz w:val="24"/>
          <w:szCs w:val="24"/>
        </w:rPr>
        <w:t>Zhao et al., 2023</w:t>
      </w:r>
      <w:r w:rsidRPr="00184F35">
        <w:rPr>
          <w:rFonts w:ascii="Times New Roman" w:eastAsia="Times New Roman" w:hAnsi="Times New Roman" w:cs="Times New Roman"/>
          <w:sz w:val="24"/>
          <w:szCs w:val="24"/>
        </w:rPr>
        <w:t xml:space="preserve">). </w:t>
      </w:r>
      <w:r w:rsidRPr="00184F35">
        <w:rPr>
          <w:rFonts w:ascii="Times New Roman" w:eastAsia="Times New Roman" w:hAnsi="Times New Roman" w:cs="Times New Roman"/>
          <w:sz w:val="24"/>
          <w:szCs w:val="24"/>
        </w:rPr>
        <w:br/>
        <w:t>The nervous system is especially vulnerable to mitochondrial disorders since they disproportionately impact tissues with high energy requirements. Leigh syndrome, Alpers-Huttenlocher syndrome, Leber's hereditary optic neuropathy (LHON), mitochondrial encephalopathy, acidosis, and stroke-like episodes (MELAS) are among the primary mitochondrial illnesses that impact the neurological system(</w:t>
      </w:r>
      <w:r w:rsidRPr="00184F35">
        <w:rPr>
          <w:rFonts w:ascii="Times New Roman" w:hAnsi="Times New Roman" w:cs="Times New Roman"/>
          <w:sz w:val="24"/>
          <w:szCs w:val="24"/>
        </w:rPr>
        <w:t>Robert McFarland 2012</w:t>
      </w:r>
      <w:r w:rsidRPr="00184F35">
        <w:rPr>
          <w:rFonts w:ascii="Times New Roman" w:eastAsia="Times New Roman" w:hAnsi="Times New Roman" w:cs="Times New Roman"/>
          <w:sz w:val="24"/>
          <w:szCs w:val="24"/>
        </w:rPr>
        <w:t xml:space="preserve">). The phenomenology of a number of neurodevelopmental disorders and potentially neuropsychiatric illnesses like schizophrenia are also linked to impaired mitochondrial dynamics. </w:t>
      </w:r>
      <w:r w:rsidRPr="00184F35">
        <w:rPr>
          <w:rFonts w:ascii="Times New Roman" w:hAnsi="Times New Roman" w:cs="Times New Roman"/>
          <w:sz w:val="24"/>
          <w:szCs w:val="24"/>
        </w:rPr>
        <w:t xml:space="preserve">In addition to the nervous system being affected in primary mitochondrial diseases, dysfunctional mitochondria are also proposed to play roles in other neurological and adult-onset neurodegenerative diseases.  </w:t>
      </w:r>
    </w:p>
    <w:p w14:paraId="4D35528F" w14:textId="77777777" w:rsidR="00985D79" w:rsidRPr="00184F35" w:rsidRDefault="00985D79" w:rsidP="00985D79">
      <w:pPr>
        <w:spacing w:line="360" w:lineRule="auto"/>
        <w:jc w:val="both"/>
        <w:rPr>
          <w:rFonts w:ascii="Times New Roman" w:hAnsi="Times New Roman" w:cs="Times New Roman"/>
          <w:sz w:val="24"/>
          <w:szCs w:val="24"/>
        </w:rPr>
      </w:pPr>
      <w:r w:rsidRPr="00184F35">
        <w:rPr>
          <w:rFonts w:ascii="Times New Roman" w:eastAsia="Times New Roman" w:hAnsi="Times New Roman" w:cs="Times New Roman"/>
          <w:sz w:val="24"/>
          <w:szCs w:val="24"/>
        </w:rPr>
        <w:t xml:space="preserve">b. Degenerative illnesses </w:t>
      </w:r>
      <w:r w:rsidRPr="00184F35">
        <w:rPr>
          <w:rFonts w:ascii="Times New Roman" w:eastAsia="Times New Roman" w:hAnsi="Times New Roman" w:cs="Times New Roman"/>
          <w:sz w:val="24"/>
          <w:szCs w:val="24"/>
        </w:rPr>
        <w:br/>
        <w:t>The slow, selective loss of anatomically or physiologically connected neural systems is a hallmark of neurodegenerative disorders. Physiology and cognition, including mobility, strength, coordination, sensation, vision, autonomic control, and cognition, are impacted by the clinical syndromes linked to specific neuroanatomical patterns of cell malfunction and death (Dnyandev G. et al., 2024). Neurodegenerative illnesses include, for example, Huntington disease (HD), Amyotrophic lateral sclerosis (ALS), PD</w:t>
      </w:r>
      <w:r w:rsidR="00BC6CC0">
        <w:rPr>
          <w:rFonts w:ascii="Times New Roman" w:eastAsia="Times New Roman" w:hAnsi="Times New Roman" w:cs="Times New Roman"/>
          <w:sz w:val="24"/>
          <w:szCs w:val="24"/>
        </w:rPr>
        <w:t xml:space="preserve"> (Parkinsons disease)</w:t>
      </w:r>
      <w:r w:rsidRPr="00184F35">
        <w:rPr>
          <w:rFonts w:ascii="Times New Roman" w:eastAsia="Times New Roman" w:hAnsi="Times New Roman" w:cs="Times New Roman"/>
          <w:sz w:val="24"/>
          <w:szCs w:val="24"/>
        </w:rPr>
        <w:t>, and AD</w:t>
      </w:r>
      <w:r w:rsidR="00BC6CC0">
        <w:rPr>
          <w:rFonts w:ascii="Times New Roman" w:eastAsia="Times New Roman" w:hAnsi="Times New Roman" w:cs="Times New Roman"/>
          <w:sz w:val="24"/>
          <w:szCs w:val="24"/>
        </w:rPr>
        <w:t xml:space="preserve"> (Alzheimers disease)</w:t>
      </w:r>
      <w:r w:rsidRPr="00184F35">
        <w:rPr>
          <w:rFonts w:ascii="Times New Roman" w:eastAsia="Times New Roman" w:hAnsi="Times New Roman" w:cs="Times New Roman"/>
          <w:sz w:val="24"/>
          <w:szCs w:val="24"/>
        </w:rPr>
        <w:t xml:space="preserve">. A </w:t>
      </w:r>
      <w:r w:rsidRPr="00184F35">
        <w:rPr>
          <w:rFonts w:ascii="Times New Roman" w:eastAsia="Times New Roman" w:hAnsi="Times New Roman" w:cs="Times New Roman"/>
          <w:sz w:val="24"/>
          <w:szCs w:val="24"/>
        </w:rPr>
        <w:lastRenderedPageBreak/>
        <w:t>number of these conditions exhibit Mendelian inheritance, sporadic epidemiology, and age-related characteristics. Given their high energy requirements, neurons are especially reliant on mitochondria; thus, it would seem logical to assume that neurons are not very tolerant of mitochondrial malfunction. In the subsequent paragraph three main neurodegenerative illnesses are covered since the list is longer and to maintain brevity. The most prevalent neurodegenerative illness and the leading cause of dementia is AD. There are sporadic and autosomal dominant forms of AD, as well as early versus late-onset versions (</w:t>
      </w:r>
      <w:r w:rsidR="00A7397B" w:rsidRPr="00A7397B">
        <w:rPr>
          <w:rFonts w:ascii="Times New Roman" w:eastAsia="Times New Roman" w:hAnsi="Times New Roman" w:cs="Times New Roman"/>
          <w:sz w:val="24"/>
          <w:szCs w:val="24"/>
        </w:rPr>
        <w:t>Anil Kumar</w:t>
      </w:r>
      <w:r w:rsidR="00A7397B">
        <w:rPr>
          <w:rFonts w:ascii="Times New Roman" w:eastAsia="Times New Roman" w:hAnsi="Times New Roman" w:cs="Times New Roman"/>
          <w:sz w:val="24"/>
          <w:szCs w:val="24"/>
        </w:rPr>
        <w:t xml:space="preserve"> et al., 2005(statpearls)</w:t>
      </w:r>
      <w:r w:rsidRPr="00184F35">
        <w:rPr>
          <w:rFonts w:ascii="Times New Roman" w:eastAsia="Times New Roman" w:hAnsi="Times New Roman" w:cs="Times New Roman"/>
          <w:sz w:val="24"/>
          <w:szCs w:val="24"/>
        </w:rPr>
        <w:t xml:space="preserve">). One of the main causes of AD is mutations in the genes encoding the amyloid precursor protein (APP), presenilin 1 (PS1), or presenilin 2 (PS2), which change how APP is processed to produce the amino acid beta amyloid (Aβ) derivative. The primary component of amyloid plaques seen in the neocortex, hippocampus, and other subcortical areas of the brain—a region crucial to cognitive process—is Aβ (Christopher Bi et al., 2018). One explanation is that Aβ disrupts mitochondrial activity supported by several biochemical data, cellular and animal model studies. The inhibition of numerous important enzymes reduced respiratory capacity (Wenzhang Wang et al., 2020). Sublethal Aβ concentrations in cultured rat hippocampus neurons, led to mitochondrial transport impairment but not cell death (Rui et al., 2006). At the DNA level Zong et al., 2024 indicate Aβ decreases the quantity of mitochondria that appear normal and raises the amounts of mitochondrial DNA (mtDNA). Transgenic mice and humans studies have shown physical connections between mitochondria and APP, Aβ, and (Rönnbäck et al., 2016). Numerous studies in cell biology show that AD patients also have altered mitochondrial structure dynamics. The percentage of normal mitochondria and damaged cristae is considerably smaller, according to quantitative ultrastructural morphometric study (Leonard et al., 2015). Additionally, mitochondria appear longer in patient fibroblasts, and two or more mitochondria are frequently connected together (Tokuyama et al., 2020). In fact, mitochondria in APP-overexpressing cells exhibit a variety of morphologies, including punctiform, elongated, fragmented, and net-like structures (Wang et al., 2008). Biochemically, complex IV (cytochrome c oxidase; COX), pyruvate dehydrogenase complex, and α-ketoglutarate dehydrogenase complex are among the mitochondrial enzymes whose activities are decreased in AD (Eckert et al., 2011). According to studies, AD brains have higher levels of mtDNA and nuclear DNA oxidative alteration (Tucker and Cotman 2021). At the genetic level, mtDNA gene products that act in the context of nuclear-encoded proteins also have polymorphism variations, particularly </w:t>
      </w:r>
      <w:r w:rsidRPr="00184F35">
        <w:rPr>
          <w:rFonts w:ascii="Times New Roman" w:eastAsia="Times New Roman" w:hAnsi="Times New Roman" w:cs="Times New Roman"/>
          <w:sz w:val="24"/>
          <w:szCs w:val="24"/>
        </w:rPr>
        <w:lastRenderedPageBreak/>
        <w:t xml:space="preserve">mitochondrial genes. According to the "mitochondrial cascade hypothesis," AD histopathology and neurodegeneration are most prominently associated with mitochondria. Amyloidosis, tau phosphorylation, and cell cycle re-entry are thought to be caused by mitochondrial malfunction (D'Alessandro et al., 2025). Age-related changes in mitochondria are influenced by the hypothesis, which also considers aging phenomena and assumes baseline mitochondrial function and durability. </w:t>
      </w:r>
      <w:r w:rsidRPr="00184F35">
        <w:rPr>
          <w:rFonts w:ascii="Times New Roman" w:hAnsi="Times New Roman" w:cs="Times New Roman"/>
          <w:sz w:val="24"/>
          <w:szCs w:val="24"/>
        </w:rPr>
        <w:t xml:space="preserve">When mitochondrial change reaches a threshold and bioenergetic homeostasis can no longer be maintained, AD histopathology and symptoms may ensue. </w:t>
      </w:r>
    </w:p>
    <w:p w14:paraId="11AD1C35" w14:textId="77777777" w:rsidR="00985D79" w:rsidRPr="00184F35" w:rsidRDefault="00985D79" w:rsidP="00985D79">
      <w:pPr>
        <w:spacing w:line="360" w:lineRule="auto"/>
        <w:jc w:val="both"/>
        <w:rPr>
          <w:rFonts w:ascii="Times New Roman" w:eastAsia="Times New Roman" w:hAnsi="Times New Roman" w:cs="Times New Roman"/>
          <w:sz w:val="24"/>
          <w:szCs w:val="24"/>
        </w:rPr>
      </w:pPr>
      <w:r w:rsidRPr="00184F35">
        <w:rPr>
          <w:rFonts w:ascii="Times New Roman" w:eastAsia="Times New Roman" w:hAnsi="Times New Roman" w:cs="Times New Roman"/>
          <w:sz w:val="24"/>
          <w:szCs w:val="24"/>
        </w:rPr>
        <w:t xml:space="preserve">Parkinson's illness </w:t>
      </w:r>
    </w:p>
    <w:p w14:paraId="391FD214" w14:textId="77777777" w:rsidR="00985D79" w:rsidRPr="00184F35" w:rsidRDefault="00985D79" w:rsidP="00985D79">
      <w:pPr>
        <w:spacing w:line="360" w:lineRule="auto"/>
        <w:jc w:val="both"/>
        <w:rPr>
          <w:rFonts w:ascii="Times New Roman" w:eastAsia="Times New Roman" w:hAnsi="Times New Roman" w:cs="Times New Roman"/>
          <w:sz w:val="24"/>
          <w:szCs w:val="24"/>
        </w:rPr>
      </w:pPr>
      <w:r w:rsidRPr="00184F35">
        <w:rPr>
          <w:rFonts w:ascii="Times New Roman" w:eastAsia="Times New Roman" w:hAnsi="Times New Roman" w:cs="Times New Roman"/>
          <w:sz w:val="24"/>
          <w:szCs w:val="24"/>
        </w:rPr>
        <w:t>The most prevalent neurodegenerative movement condition is Parkinson's disease (PD). Bradykinesia, postural instability, resting tremor, and stiffness are clinical features of Parkinson's disease. A selective loss of dopaminergic neurons in the substantia nigra pars compacta is the cause of the main symptoms and indicators (Kouli et al., 2018). Lewy bodies, which are intracytoplasmic inclusions primarily made of fibrillar α-synuclein protein, are another characteristic of surviving nigral neurons (Calabresi, et al., 2023). Clinically, PD is divided into Mendelian and non-Mendelian types, as well as early and late-onset variations. The pathophysiology of Parkinson's disease has long been linked to mitochondrial dysfunction. Intracellular transport of the MPTP metabolite (1-methyl-4-phenylpyridinium, MPP+) is carried out by the dopamine transporter (DAT). Complex I is inhibited by accumulation in dopaminergic neurons (Kung et al., 2021). According to Surmeier et al.</w:t>
      </w:r>
      <w:r w:rsidR="008165FD">
        <w:rPr>
          <w:rFonts w:ascii="Times New Roman" w:eastAsia="Times New Roman" w:hAnsi="Times New Roman" w:cs="Times New Roman"/>
          <w:sz w:val="24"/>
          <w:szCs w:val="24"/>
        </w:rPr>
        <w:t>,</w:t>
      </w:r>
      <w:r w:rsidRPr="00184F35">
        <w:rPr>
          <w:rFonts w:ascii="Times New Roman" w:eastAsia="Times New Roman" w:hAnsi="Times New Roman" w:cs="Times New Roman"/>
          <w:sz w:val="24"/>
          <w:szCs w:val="24"/>
        </w:rPr>
        <w:t xml:space="preserve"> (2012), this can further result in increased oxidative stress and free radical formation, decreased ATP production, increased intracellular calcium concentration, excitotoxicity, cellular damage from nitric oxide, and eventually dopaminergic neuron death. There are also a number of nuclear gene mutations linked to both autosomal dominant and recessive types of Mende</w:t>
      </w:r>
      <w:r w:rsidR="00BC6CC0">
        <w:rPr>
          <w:rFonts w:ascii="Times New Roman" w:eastAsia="Times New Roman" w:hAnsi="Times New Roman" w:cs="Times New Roman"/>
          <w:sz w:val="24"/>
          <w:szCs w:val="24"/>
        </w:rPr>
        <w:t>lian Parkinson's disease (Table-</w:t>
      </w:r>
      <w:r w:rsidRPr="00184F35">
        <w:rPr>
          <w:rFonts w:ascii="Times New Roman" w:eastAsia="Times New Roman" w:hAnsi="Times New Roman" w:cs="Times New Roman"/>
          <w:sz w:val="24"/>
          <w:szCs w:val="24"/>
        </w:rPr>
        <w:t xml:space="preserve">1). Such genes include leucine-rich repeat kinase 2 (LRRK2), DJ1, α-synuclein, Parkin, phosphate and tensin homologue-induced kinase 1 (PINK1), and HtrA serine peptidase 2 (HTRA2). Numerous nuclear genes also suggest that mitochondria play a part in the pathophysiology of Parkinson's disease. The genetic discovery that animals overexpressing α-synuclein have decreased mitochondrial function, increased oxidative stress, and a lower threshold for nigral degeneration when exposed to complex I inhibitors is supported by knockout studies (Risiglione et al., 2021). Mouse parkin mutations or deficiency causes higher oxidative stress and </w:t>
      </w:r>
      <w:r w:rsidRPr="00184F35">
        <w:rPr>
          <w:rFonts w:ascii="Times New Roman" w:eastAsia="Times New Roman" w:hAnsi="Times New Roman" w:cs="Times New Roman"/>
          <w:sz w:val="24"/>
          <w:szCs w:val="24"/>
        </w:rPr>
        <w:lastRenderedPageBreak/>
        <w:t xml:space="preserve">mitochondrial damage in animal models, while Drosophila produce sporadic. In Drosophila, PINK deficiency causes dopaminergic neurons to degenerate and enhances mitochondrial sensitivity to rotenone (Trancikova et al., 2012). PD-related mutations prevent the protective effect of PINK1, a mitochondria-localized kinase, against cell death (Gonçalves et al., 2021). Seven of the known protein components that make up Complex I, a major multimeric enzyme, are encoded by genes on mtDNA. Abnormalities can result in sporadic illness since mtDNA plays a significant role in complex I's structure and function (Mimaki et al., 2012). PD cybrid cell lines also exhibit changes in mitochondrial respiration and pathways impacted by aerobic metabolism. The transcriptional co-activator PGC1-α, which regulates mitochondrial biogenesis, has lower levels in PD cybrids, and mitochondria have a greater proton leak and a lower respiratory reserve capacity (Arduíno et al., 2011). </w:t>
      </w:r>
    </w:p>
    <w:p w14:paraId="14CB2548" w14:textId="77777777" w:rsidR="00985D79" w:rsidRPr="00184F35" w:rsidRDefault="00985D79" w:rsidP="00985D79">
      <w:pPr>
        <w:spacing w:line="360" w:lineRule="auto"/>
        <w:jc w:val="both"/>
        <w:rPr>
          <w:rFonts w:ascii="Times New Roman" w:eastAsia="Times New Roman" w:hAnsi="Times New Roman" w:cs="Times New Roman"/>
          <w:sz w:val="24"/>
          <w:szCs w:val="24"/>
        </w:rPr>
      </w:pPr>
      <w:r w:rsidRPr="00184F35">
        <w:rPr>
          <w:rFonts w:ascii="Times New Roman" w:eastAsia="Times New Roman" w:hAnsi="Times New Roman" w:cs="Times New Roman"/>
          <w:sz w:val="24"/>
          <w:szCs w:val="24"/>
        </w:rPr>
        <w:t>Amyotrophic Lateral sclerosis</w:t>
      </w:r>
    </w:p>
    <w:p w14:paraId="5061F0BB" w14:textId="77777777" w:rsidR="00985D79" w:rsidRPr="00184F35" w:rsidRDefault="00985D79" w:rsidP="00985D79">
      <w:pPr>
        <w:spacing w:line="360" w:lineRule="auto"/>
        <w:jc w:val="both"/>
        <w:rPr>
          <w:rFonts w:ascii="Times New Roman" w:hAnsi="Times New Roman" w:cs="Times New Roman"/>
          <w:sz w:val="24"/>
          <w:szCs w:val="24"/>
        </w:rPr>
      </w:pPr>
      <w:r w:rsidRPr="00184F35">
        <w:rPr>
          <w:rFonts w:ascii="Times New Roman" w:eastAsia="Times New Roman" w:hAnsi="Times New Roman" w:cs="Times New Roman"/>
          <w:sz w:val="24"/>
          <w:szCs w:val="24"/>
        </w:rPr>
        <w:t>The neurodegenerative condition known as ALS mainly impairs physical strength, and degeneration of both upper and lower motor neurons is one of its characteristics (</w:t>
      </w:r>
      <w:r w:rsidR="00A7397B" w:rsidRPr="00A7397B">
        <w:rPr>
          <w:rFonts w:ascii="Times New Roman" w:eastAsia="Times New Roman" w:hAnsi="Times New Roman" w:cs="Times New Roman"/>
          <w:sz w:val="24"/>
          <w:szCs w:val="24"/>
        </w:rPr>
        <w:t xml:space="preserve">Ryan G. </w:t>
      </w:r>
      <w:r w:rsidR="00A7397B">
        <w:rPr>
          <w:rFonts w:ascii="Times New Roman" w:eastAsia="Times New Roman" w:hAnsi="Times New Roman" w:cs="Times New Roman"/>
          <w:sz w:val="24"/>
          <w:szCs w:val="24"/>
        </w:rPr>
        <w:t xml:space="preserve"> et al., </w:t>
      </w:r>
      <w:r w:rsidR="00A7397B" w:rsidRPr="00184F35">
        <w:rPr>
          <w:rFonts w:ascii="Times New Roman" w:eastAsia="Times New Roman" w:hAnsi="Times New Roman" w:cs="Times New Roman"/>
          <w:sz w:val="24"/>
          <w:szCs w:val="24"/>
        </w:rPr>
        <w:t>2025</w:t>
      </w:r>
      <w:r w:rsidR="00A7397B">
        <w:rPr>
          <w:rFonts w:ascii="Times New Roman" w:eastAsia="Times New Roman" w:hAnsi="Times New Roman" w:cs="Times New Roman"/>
          <w:sz w:val="24"/>
          <w:szCs w:val="24"/>
        </w:rPr>
        <w:t>(</w:t>
      </w:r>
      <w:r w:rsidRPr="00184F35">
        <w:rPr>
          <w:rFonts w:ascii="Times New Roman" w:eastAsia="Times New Roman" w:hAnsi="Times New Roman" w:cs="Times New Roman"/>
          <w:sz w:val="24"/>
          <w:szCs w:val="24"/>
        </w:rPr>
        <w:t>StatPearls</w:t>
      </w:r>
      <w:r w:rsidR="00A7397B">
        <w:rPr>
          <w:rFonts w:ascii="Times New Roman" w:eastAsia="Times New Roman" w:hAnsi="Times New Roman" w:cs="Times New Roman"/>
          <w:sz w:val="24"/>
          <w:szCs w:val="24"/>
        </w:rPr>
        <w:t>)</w:t>
      </w:r>
      <w:r w:rsidRPr="00184F35">
        <w:rPr>
          <w:rFonts w:ascii="Times New Roman" w:eastAsia="Times New Roman" w:hAnsi="Times New Roman" w:cs="Times New Roman"/>
          <w:sz w:val="24"/>
          <w:szCs w:val="24"/>
        </w:rPr>
        <w:t xml:space="preserve">). The incidence of ALS rises with age, and Mendelian inheritance is less likely to be the </w:t>
      </w:r>
      <w:r w:rsidR="00BC6CC0">
        <w:rPr>
          <w:rFonts w:ascii="Times New Roman" w:eastAsia="Times New Roman" w:hAnsi="Times New Roman" w:cs="Times New Roman"/>
          <w:sz w:val="24"/>
          <w:szCs w:val="24"/>
        </w:rPr>
        <w:t>due to</w:t>
      </w:r>
      <w:r w:rsidRPr="00184F35">
        <w:rPr>
          <w:rFonts w:ascii="Times New Roman" w:eastAsia="Times New Roman" w:hAnsi="Times New Roman" w:cs="Times New Roman"/>
          <w:sz w:val="24"/>
          <w:szCs w:val="24"/>
        </w:rPr>
        <w:t xml:space="preserve"> older onset age. The most prevalent mutations in familial cases are found in the chromosome 21 copper-zinc superoxide dismutase (SOD1) gene. About 20% of familial cases and 2% of all cases are caused by SOD1 mutations (Farrimond et al., 2022). Mutations in TDP-43 and FUS/TLW, two RNA processing proteins,  have been identified recently (Jade Pham et al., 2020). In both neuronal and non-neural tissues, mitochondrial changes have been reported in models of familial ALS and sporadic ALS (Swerdlow et al., 2000). Numerous morphological alterations have been documented, including large mitochondria and spiny or stubby mitochondria (Rodríguez et al., 2012). According to Sasaki and Iwata (1996), aberrant mitochondria build up in the axon hillock and the axon's first segment. Several researchers have used ALS patient biopsies and animal models to observe changes in mitochondrial electron transport chain activity (Smith et al., 2019). A significant decrease in complex I activity and non-significant trends toward decreased complex III and IV activities were observed in ALS cybrids generated on a neuroblastoma nuclear background (Wilkins et al., 2014). Another study found that citrate synthase, a common indicator of mitochondrial mass, was less active in patient spinal cord tissue. Although ROS itself may affect mitochondrial function, cell ROS levels may raise </w:t>
      </w:r>
      <w:r w:rsidRPr="00184F35">
        <w:rPr>
          <w:rFonts w:ascii="Times New Roman" w:eastAsia="Times New Roman" w:hAnsi="Times New Roman" w:cs="Times New Roman"/>
          <w:sz w:val="24"/>
          <w:szCs w:val="24"/>
        </w:rPr>
        <w:lastRenderedPageBreak/>
        <w:t>when mitochondrial respiration is compromised (Zorov, et al., 2014). Elevated levels of blood ROS and lactate production indicate that oxidative stress and mitochondrial function are close</w:t>
      </w:r>
      <w:r w:rsidR="00BC6CC0">
        <w:rPr>
          <w:rFonts w:ascii="Times New Roman" w:eastAsia="Times New Roman" w:hAnsi="Times New Roman" w:cs="Times New Roman"/>
          <w:sz w:val="24"/>
          <w:szCs w:val="24"/>
        </w:rPr>
        <w:t>ly related in ALS (</w:t>
      </w:r>
      <w:r w:rsidRPr="00184F35">
        <w:rPr>
          <w:rFonts w:ascii="Times New Roman" w:eastAsia="Times New Roman" w:hAnsi="Times New Roman" w:cs="Times New Roman"/>
          <w:sz w:val="24"/>
          <w:szCs w:val="24"/>
        </w:rPr>
        <w:t>Oliveira, et al., 2020). Patients with sporadic ALS have lower levels of mtDNA in their skeletal muscle (Stoccoro et al., 2000). ALS risk also seems to be influenced by mitocho</w:t>
      </w:r>
      <w:r w:rsidR="00BC6CC0">
        <w:rPr>
          <w:rFonts w:ascii="Times New Roman" w:eastAsia="Times New Roman" w:hAnsi="Times New Roman" w:cs="Times New Roman"/>
          <w:sz w:val="24"/>
          <w:szCs w:val="24"/>
        </w:rPr>
        <w:t>ndrial DNA haplogroups (</w:t>
      </w:r>
      <w:r w:rsidRPr="00184F35">
        <w:rPr>
          <w:rFonts w:ascii="Times New Roman" w:eastAsia="Times New Roman" w:hAnsi="Times New Roman" w:cs="Times New Roman"/>
          <w:sz w:val="24"/>
          <w:szCs w:val="24"/>
        </w:rPr>
        <w:t xml:space="preserve">Brockmann et al., 2023). According to research using animal models, mutant SOD1 aggregates and builds up in the outer mitochondrial membrane, affecting the import of mitochondrial proteins and causing disruptions in mitochondrial function </w:t>
      </w:r>
      <w:r w:rsidRPr="00184F35">
        <w:rPr>
          <w:rFonts w:ascii="Times New Roman" w:hAnsi="Times New Roman" w:cs="Times New Roman"/>
          <w:sz w:val="24"/>
          <w:szCs w:val="24"/>
        </w:rPr>
        <w:t xml:space="preserve">Vacuolation and extensive mitochondrial fragmentation are another abnormal morphologic feature observed in models </w:t>
      </w:r>
      <w:r w:rsidRPr="00184F35">
        <w:rPr>
          <w:rFonts w:ascii="Times New Roman" w:eastAsia="Times New Roman" w:hAnsi="Times New Roman" w:cs="Times New Roman"/>
          <w:sz w:val="24"/>
          <w:szCs w:val="24"/>
        </w:rPr>
        <w:t xml:space="preserve">(Tafuri et al., 2015). </w:t>
      </w:r>
    </w:p>
    <w:p w14:paraId="585D0AE7" w14:textId="77777777" w:rsidR="00985D79" w:rsidRPr="00184F35" w:rsidRDefault="00985D79" w:rsidP="00985D79">
      <w:pPr>
        <w:spacing w:line="360" w:lineRule="auto"/>
        <w:jc w:val="both"/>
        <w:rPr>
          <w:rFonts w:ascii="Times New Roman" w:eastAsia="Times New Roman" w:hAnsi="Times New Roman" w:cs="Times New Roman"/>
          <w:sz w:val="24"/>
          <w:szCs w:val="24"/>
        </w:rPr>
      </w:pPr>
      <w:r w:rsidRPr="00184F35">
        <w:rPr>
          <w:rFonts w:ascii="Times New Roman" w:eastAsia="Times New Roman" w:hAnsi="Times New Roman" w:cs="Times New Roman"/>
          <w:sz w:val="24"/>
          <w:szCs w:val="24"/>
        </w:rPr>
        <w:t xml:space="preserve">Huntington’s Disease </w:t>
      </w:r>
    </w:p>
    <w:p w14:paraId="04781903" w14:textId="77777777" w:rsidR="00985D79" w:rsidRPr="00184F35" w:rsidRDefault="00985D79" w:rsidP="00985D79">
      <w:pPr>
        <w:spacing w:line="360" w:lineRule="auto"/>
        <w:jc w:val="both"/>
        <w:rPr>
          <w:rFonts w:ascii="Times New Roman" w:eastAsia="Times New Roman" w:hAnsi="Times New Roman" w:cs="Times New Roman"/>
          <w:sz w:val="24"/>
          <w:szCs w:val="24"/>
        </w:rPr>
      </w:pPr>
      <w:r w:rsidRPr="00184F35">
        <w:rPr>
          <w:rFonts w:ascii="Times New Roman" w:eastAsia="Times New Roman" w:hAnsi="Times New Roman" w:cs="Times New Roman"/>
          <w:sz w:val="24"/>
          <w:szCs w:val="24"/>
        </w:rPr>
        <w:t>Clinically, HD is a degenerative movement illness that manifests as dementia, mental disorders, and choreiform motions. Although symptoms typically appear in middle age, they can appear in youth or early adulthood. GABAergic medium spiny striatal neurons are disproportionately affected by neuron loss and dysfunction, as seen by clinical alterations (</w:t>
      </w:r>
      <w:r w:rsidR="00A7397B">
        <w:rPr>
          <w:rFonts w:ascii="Times New Roman" w:hAnsi="Times New Roman" w:cs="Times New Roman"/>
          <w:sz w:val="24"/>
          <w:szCs w:val="24"/>
        </w:rPr>
        <w:t>Nicholas</w:t>
      </w:r>
      <w:r w:rsidR="00A7397B" w:rsidRPr="00184F35">
        <w:rPr>
          <w:rFonts w:ascii="Times New Roman" w:hAnsi="Times New Roman" w:cs="Times New Roman"/>
          <w:sz w:val="24"/>
          <w:szCs w:val="24"/>
        </w:rPr>
        <w:t xml:space="preserve">, </w:t>
      </w:r>
      <w:r w:rsidR="00A7397B" w:rsidRPr="00184F35">
        <w:rPr>
          <w:rFonts w:ascii="Times New Roman" w:eastAsia="Times New Roman" w:hAnsi="Times New Roman" w:cs="Times New Roman"/>
          <w:sz w:val="24"/>
          <w:szCs w:val="24"/>
        </w:rPr>
        <w:t>2025</w:t>
      </w:r>
      <w:r w:rsidR="00A7397B">
        <w:rPr>
          <w:rFonts w:ascii="Times New Roman" w:hAnsi="Times New Roman" w:cs="Times New Roman"/>
          <w:sz w:val="24"/>
          <w:szCs w:val="24"/>
        </w:rPr>
        <w:t xml:space="preserve"> (</w:t>
      </w:r>
      <w:r w:rsidR="00A7397B">
        <w:rPr>
          <w:rFonts w:ascii="Times New Roman" w:eastAsia="Times New Roman" w:hAnsi="Times New Roman" w:cs="Times New Roman"/>
          <w:sz w:val="24"/>
          <w:szCs w:val="24"/>
        </w:rPr>
        <w:t>GeneReviews)</w:t>
      </w:r>
      <w:r w:rsidRPr="00184F35">
        <w:rPr>
          <w:rFonts w:ascii="Times New Roman" w:eastAsia="Times New Roman" w:hAnsi="Times New Roman" w:cs="Times New Roman"/>
          <w:sz w:val="24"/>
          <w:szCs w:val="24"/>
        </w:rPr>
        <w:t xml:space="preserve">). A CAG triplet repeat expansion (&gt;35 CAGs) in the first exon of the Huntingtin (HTT) gene on chromosome 4 is the cause of HD, which is exclusively an autosomal dominant condition (Genecards accessed May 2025). Following findings of severe weight loss and inadequate brain FDG uptake on imaging tests, deficiencies relating to energy metabolism are described (Han, et al., 2021). Additionally, HD participants' cortex and basal ganglia showed elevated lactate, according to proton nuclear magnetic resonance spectroscopy (Mader et al., 2001). The brains of HD subjects have markedly lower levels of Complex II, III, and IV activity (Goetzman et al., 2023). According to cell biology research, the mortality of neuron populations impacted by HD may be specifically related to the complex II deficiency (Benchoua et al., 2006). Mice expressing a 72-glutamine-long expansion show direct association between polyglutamine-expanded HTT and mitochondria. Lower calcium exposures caused the brain's mitochondria to depolarize and have lower mitochondrial membrane potentials. Furthermore, normal mitochondria exhibited calcium handling deficiencies similar to those observed in HD transgenic and human HD subject tissues when incubated with a fusion protein containing an excessively long polyglutamine repeat (Reddy </w:t>
      </w:r>
      <w:r w:rsidR="00BC6CC0">
        <w:rPr>
          <w:rFonts w:ascii="Times New Roman" w:eastAsia="Times New Roman" w:hAnsi="Times New Roman" w:cs="Times New Roman"/>
          <w:sz w:val="24"/>
          <w:szCs w:val="24"/>
        </w:rPr>
        <w:t>et al.,</w:t>
      </w:r>
      <w:r w:rsidRPr="00184F35">
        <w:rPr>
          <w:rFonts w:ascii="Times New Roman" w:eastAsia="Times New Roman" w:hAnsi="Times New Roman" w:cs="Times New Roman"/>
          <w:sz w:val="24"/>
          <w:szCs w:val="24"/>
        </w:rPr>
        <w:t xml:space="preserve"> 2024). By changing transcription events relevant to the mitochondria, HTT may have an indirect effect on mitochondrial function. According to </w:t>
      </w:r>
      <w:r w:rsidRPr="00184F35">
        <w:rPr>
          <w:rFonts w:ascii="Times New Roman" w:eastAsia="Times New Roman" w:hAnsi="Times New Roman" w:cs="Times New Roman"/>
          <w:sz w:val="24"/>
          <w:szCs w:val="24"/>
        </w:rPr>
        <w:lastRenderedPageBreak/>
        <w:t>Damiano et al.</w:t>
      </w:r>
      <w:r w:rsidR="00BC6CC0">
        <w:rPr>
          <w:rFonts w:ascii="Times New Roman" w:eastAsia="Times New Roman" w:hAnsi="Times New Roman" w:cs="Times New Roman"/>
          <w:sz w:val="24"/>
          <w:szCs w:val="24"/>
        </w:rPr>
        <w:t>,</w:t>
      </w:r>
      <w:r w:rsidRPr="00184F35">
        <w:rPr>
          <w:rFonts w:ascii="Times New Roman" w:eastAsia="Times New Roman" w:hAnsi="Times New Roman" w:cs="Times New Roman"/>
          <w:sz w:val="24"/>
          <w:szCs w:val="24"/>
        </w:rPr>
        <w:t xml:space="preserve"> (2010), HTT seems to interact with a number of transcription factors, including as p53, CREB-binding protein, Sp1, and PGC1-α. The tumor suppressor protein p53 controls genes related to oxidative stress and mitochondrial activity. PGC-1α is a transcription coactivator that controls metabolic pathways and mitochondrial biogenesis that are important for cell bioenergetics. The phenotype of PGC-1α knock-out mice is similar to that of HD (Wang et al., 2014). </w:t>
      </w:r>
    </w:p>
    <w:p w14:paraId="0E643A72" w14:textId="77777777" w:rsidR="00985D79" w:rsidRPr="00184F35" w:rsidRDefault="00985D79" w:rsidP="00985D79">
      <w:pPr>
        <w:spacing w:line="360" w:lineRule="auto"/>
        <w:jc w:val="both"/>
        <w:rPr>
          <w:rFonts w:ascii="Times New Roman" w:eastAsia="Times New Roman" w:hAnsi="Times New Roman" w:cs="Times New Roman"/>
          <w:sz w:val="24"/>
          <w:szCs w:val="24"/>
        </w:rPr>
      </w:pPr>
    </w:p>
    <w:p w14:paraId="3622DD4A" w14:textId="77777777" w:rsidR="00985D79" w:rsidRPr="00184F35" w:rsidRDefault="00985D79" w:rsidP="00985D79">
      <w:pPr>
        <w:spacing w:line="360" w:lineRule="auto"/>
        <w:jc w:val="both"/>
        <w:rPr>
          <w:rFonts w:ascii="Times New Roman" w:eastAsia="Times New Roman" w:hAnsi="Times New Roman" w:cs="Times New Roman"/>
          <w:b/>
          <w:sz w:val="24"/>
          <w:szCs w:val="24"/>
        </w:rPr>
      </w:pPr>
      <w:r w:rsidRPr="00184F35">
        <w:rPr>
          <w:rFonts w:ascii="Times New Roman" w:eastAsia="Times New Roman" w:hAnsi="Times New Roman" w:cs="Times New Roman"/>
          <w:b/>
          <w:sz w:val="24"/>
          <w:szCs w:val="24"/>
        </w:rPr>
        <w:t>Conclusion</w:t>
      </w:r>
    </w:p>
    <w:p w14:paraId="72902A5C" w14:textId="77777777" w:rsidR="00985D79" w:rsidRPr="00184F35" w:rsidRDefault="00985D79" w:rsidP="00985D79">
      <w:pPr>
        <w:pStyle w:val="NormalWeb"/>
        <w:spacing w:line="360" w:lineRule="auto"/>
        <w:jc w:val="both"/>
      </w:pPr>
      <w:r w:rsidRPr="00184F35">
        <w:t>Through direct contact sites and signaling routes, mitochondria function as the cell's signaling hubs, connecting with other organelles. Energy production, metabolism, cell proliferation, and other processes are all impacted by the interaction between the mitochondria and the nucleus, which is essential for cell survival. Numerous tether proteins, transport proteins, and signaling pathways enable retrograde signaling, which is the signaling from the mitochondria to the nucleus, as was covered in the review. Understanding the structure, distribution, and movement of mitochondria in both healthy and diseased cells has been made possible by cytoarchitecture and high-resolution microscopy techniques. It is reasonable to assume that disruption of retrograde signaling would disproportionately affect the same tissues, as mitochondrial dysfunction significantly impacts tissues and cells with high energy demands. A startlingly high number of proteins that, in their mutant forms, induce neurodegeneration are now recognized to interact with or impact mitochondrial function. The collect</w:t>
      </w:r>
      <w:r w:rsidR="00C6271E">
        <w:t>ive</w:t>
      </w:r>
      <w:r w:rsidRPr="00184F35">
        <w:t xml:space="preserve"> evidences from cellular, biochemical and imaging studies combined with animal and human studies implicate mitochondria and mitochondria nuclear interactions in neurodegenerative diseases. The results could in part explain the inheritance and pathology of these diseases. The high mtDNA mutations in several proteins could explain the maternal inheritance of few diseases and the observed incidences and </w:t>
      </w:r>
      <w:r w:rsidRPr="00BC192E">
        <w:rPr>
          <w:highlight w:val="yellow"/>
        </w:rPr>
        <w:t>pathology. The mitochondria have emerged as a possible target for treatment for human diseases. Both mtDNA and mitochondrial stress signaling pathways are major targets in cancer (Girolimetti et al.</w:t>
      </w:r>
      <w:r w:rsidR="008165FD" w:rsidRPr="00BC192E">
        <w:rPr>
          <w:highlight w:val="yellow"/>
        </w:rPr>
        <w:t>,</w:t>
      </w:r>
      <w:r w:rsidRPr="00BC192E">
        <w:rPr>
          <w:highlight w:val="yellow"/>
        </w:rPr>
        <w:t xml:space="preserve"> 2020); common targets include Akt, HnRNRA2, calcineurin, and UPRmt (Rajendiran Keerthiga et al., 2021). Mitochondria-targeted drugs for neurodegenerative diseases have been developed, and several are under trial and demonstrate </w:t>
      </w:r>
      <w:r w:rsidRPr="00BC192E">
        <w:rPr>
          <w:highlight w:val="yellow"/>
        </w:rPr>
        <w:lastRenderedPageBreak/>
        <w:t>promising leads (Xu et al., 2022). Several recent developments in the area of gene expression such as the allotropic expression (expression of a gene encoded in the mitochondria from nucleus-transfected structures), and mitochondrial transplantation (raising the population of healthy mitochondria), or even mtDNA editing enzymes have been us</w:t>
      </w:r>
      <w:r w:rsidR="008165FD" w:rsidRPr="00BC192E">
        <w:rPr>
          <w:highlight w:val="yellow"/>
        </w:rPr>
        <w:t>ed to address mtDNA mutations (</w:t>
      </w:r>
      <w:r w:rsidR="00C6271E" w:rsidRPr="00BC192E">
        <w:rPr>
          <w:highlight w:val="yellow"/>
        </w:rPr>
        <w:t>Li et al., 2025). The</w:t>
      </w:r>
      <w:r w:rsidRPr="00BC192E">
        <w:rPr>
          <w:highlight w:val="yellow"/>
        </w:rPr>
        <w:t xml:space="preserve"> uncovering</w:t>
      </w:r>
      <w:r w:rsidRPr="00184F35">
        <w:t xml:space="preserve"> several </w:t>
      </w:r>
      <w:r w:rsidR="00C6271E">
        <w:t>critical proteins, and pathways</w:t>
      </w:r>
      <w:r w:rsidRPr="00184F35">
        <w:t xml:space="preserve"> </w:t>
      </w:r>
      <w:r w:rsidR="00C6271E">
        <w:t xml:space="preserve">in </w:t>
      </w:r>
      <w:r w:rsidRPr="00184F35">
        <w:t>neurodegeneration</w:t>
      </w:r>
      <w:r w:rsidR="00C6271E">
        <w:t xml:space="preserve"> implicate the </w:t>
      </w:r>
      <w:r w:rsidR="00C6271E" w:rsidRPr="00184F35">
        <w:t>importance of this are</w:t>
      </w:r>
      <w:r w:rsidR="00C6271E">
        <w:t>a of research</w:t>
      </w:r>
      <w:r w:rsidRPr="00184F35">
        <w:t xml:space="preserve">. </w:t>
      </w:r>
      <w:r w:rsidR="00C6271E">
        <w:t>Hence</w:t>
      </w:r>
      <w:r w:rsidRPr="00184F35">
        <w:t>, it is important th</w:t>
      </w:r>
      <w:r w:rsidR="00C6271E">
        <w:t xml:space="preserve">e </w:t>
      </w:r>
      <w:r w:rsidRPr="00184F35">
        <w:t>stud</w:t>
      </w:r>
      <w:r w:rsidR="00C6271E">
        <w:t>y</w:t>
      </w:r>
      <w:r w:rsidRPr="00184F35">
        <w:t xml:space="preserve"> of the mitochondria and mitochondria and nuclear nexus continue for many reasons since they enable gleaning insights into the basic cell biology and cellular physiology and in human pathology. </w:t>
      </w:r>
    </w:p>
    <w:p w14:paraId="6BEDCA40" w14:textId="77777777" w:rsidR="001D5B69" w:rsidRDefault="001D5B69" w:rsidP="001D5B69">
      <w:pPr>
        <w:spacing w:line="360" w:lineRule="auto"/>
        <w:jc w:val="both"/>
        <w:rPr>
          <w:rFonts w:ascii="Times New Roman" w:hAnsi="Times New Roman" w:cs="Times New Roman"/>
          <w:b/>
          <w:sz w:val="24"/>
          <w:szCs w:val="24"/>
        </w:rPr>
      </w:pPr>
      <w:r w:rsidRPr="00184F35">
        <w:rPr>
          <w:rFonts w:ascii="Times New Roman" w:hAnsi="Times New Roman" w:cs="Times New Roman"/>
          <w:b/>
          <w:sz w:val="24"/>
          <w:szCs w:val="24"/>
        </w:rPr>
        <w:t>References:</w:t>
      </w:r>
    </w:p>
    <w:p w14:paraId="1C74E560" w14:textId="77777777" w:rsidR="00A7397B" w:rsidRPr="00A7397B" w:rsidRDefault="00A7397B" w:rsidP="001D5B69">
      <w:pPr>
        <w:spacing w:line="360" w:lineRule="auto"/>
        <w:jc w:val="both"/>
        <w:rPr>
          <w:rFonts w:ascii="Times New Roman" w:hAnsi="Times New Roman" w:cs="Times New Roman"/>
          <w:sz w:val="24"/>
          <w:szCs w:val="24"/>
        </w:rPr>
      </w:pPr>
      <w:r w:rsidRPr="00A7397B">
        <w:rPr>
          <w:rFonts w:ascii="Times New Roman" w:hAnsi="Times New Roman" w:cs="Times New Roman"/>
          <w:sz w:val="24"/>
          <w:szCs w:val="24"/>
        </w:rPr>
        <w:t>Anil Kumar; Jaskirat Sidhu; Forshing Lui; Jack W. Tsao.Treasure Island (FL): StatPearls Publishing; 2025.</w:t>
      </w:r>
    </w:p>
    <w:p w14:paraId="4B904B8C" w14:textId="77777777" w:rsidR="00184F35" w:rsidRPr="00184F35" w:rsidRDefault="00184F35" w:rsidP="00184F35">
      <w:pPr>
        <w:spacing w:line="360" w:lineRule="auto"/>
        <w:jc w:val="both"/>
        <w:rPr>
          <w:rFonts w:ascii="Times New Roman" w:hAnsi="Times New Roman" w:cs="Times New Roman"/>
          <w:color w:val="000000" w:themeColor="text1"/>
          <w:sz w:val="24"/>
          <w:szCs w:val="24"/>
        </w:rPr>
      </w:pPr>
      <w:r w:rsidRPr="008F4EA2">
        <w:rPr>
          <w:rFonts w:ascii="Times New Roman" w:hAnsi="Times New Roman" w:cs="Times New Roman"/>
          <w:color w:val="000000" w:themeColor="text1"/>
          <w:sz w:val="24"/>
          <w:szCs w:val="24"/>
          <w:lang w:val="es-US"/>
        </w:rPr>
        <w:t>Andrew J Roger, Sergio A Muñoz-Gómez,Ryoma Kamikawa</w:t>
      </w:r>
      <w:r w:rsidR="008165FD" w:rsidRPr="008F4EA2">
        <w:rPr>
          <w:rFonts w:ascii="Times New Roman" w:hAnsi="Times New Roman" w:cs="Times New Roman"/>
          <w:color w:val="000000" w:themeColor="text1"/>
          <w:sz w:val="24"/>
          <w:szCs w:val="24"/>
          <w:lang w:val="es-US"/>
        </w:rPr>
        <w:t>.</w:t>
      </w:r>
      <w:r w:rsidRPr="008F4EA2">
        <w:rPr>
          <w:rFonts w:ascii="Times New Roman" w:hAnsi="Times New Roman" w:cs="Times New Roman"/>
          <w:color w:val="000000" w:themeColor="text1"/>
          <w:sz w:val="24"/>
          <w:szCs w:val="24"/>
          <w:lang w:val="es-US"/>
        </w:rPr>
        <w:t xml:space="preserve"> </w:t>
      </w:r>
      <w:r w:rsidR="008165FD">
        <w:rPr>
          <w:rFonts w:ascii="Times New Roman" w:hAnsi="Times New Roman" w:cs="Times New Roman"/>
          <w:color w:val="000000" w:themeColor="text1"/>
          <w:sz w:val="24"/>
          <w:szCs w:val="24"/>
        </w:rPr>
        <w:t>(</w:t>
      </w:r>
      <w:r w:rsidR="008165FD" w:rsidRPr="00184F35">
        <w:rPr>
          <w:rFonts w:ascii="Times New Roman" w:hAnsi="Times New Roman" w:cs="Times New Roman"/>
          <w:color w:val="000000" w:themeColor="text1"/>
          <w:sz w:val="24"/>
          <w:szCs w:val="24"/>
        </w:rPr>
        <w:t>2017</w:t>
      </w:r>
      <w:r w:rsidR="008165FD">
        <w:rPr>
          <w:rFonts w:ascii="Times New Roman" w:hAnsi="Times New Roman" w:cs="Times New Roman"/>
          <w:color w:val="000000" w:themeColor="text1"/>
          <w:sz w:val="24"/>
          <w:szCs w:val="24"/>
        </w:rPr>
        <w:t>).</w:t>
      </w:r>
      <w:r w:rsidR="008165FD" w:rsidRPr="00184F35">
        <w:rPr>
          <w:rFonts w:ascii="Times New Roman" w:hAnsi="Times New Roman" w:cs="Times New Roman"/>
          <w:color w:val="000000" w:themeColor="text1"/>
          <w:sz w:val="24"/>
          <w:szCs w:val="24"/>
        </w:rPr>
        <w:t>The</w:t>
      </w:r>
      <w:r w:rsidRPr="00184F35">
        <w:rPr>
          <w:rFonts w:ascii="Times New Roman" w:hAnsi="Times New Roman" w:cs="Times New Roman"/>
          <w:color w:val="000000" w:themeColor="text1"/>
          <w:sz w:val="24"/>
          <w:szCs w:val="24"/>
        </w:rPr>
        <w:t xml:space="preserve">Origin and Diversification of Mitochondria. Curr Biol. Nov 6;27(21):R1177-R1192. doi: 10.1016/j.cub.2017.09.015. </w:t>
      </w:r>
    </w:p>
    <w:p w14:paraId="79AF121F"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Alexandra, B., Yaël, T., Diana, Z., Marie, C. G., Nathalie, L., Noelle, D., Frederic, S., Jean, M. E., Etienne, H., Philippe, H., Nicole, D., and Emmanuel, Brouillet. (2006). Involvement of mitochondrial complex II defects in neuronal death produced by N-terminus fragment of mutated huntingtin. </w:t>
      </w:r>
      <w:r w:rsidRPr="00184F35">
        <w:rPr>
          <w:rFonts w:ascii="Times New Roman" w:hAnsi="Times New Roman" w:cs="Times New Roman"/>
          <w:i/>
          <w:iCs/>
          <w:sz w:val="24"/>
          <w:szCs w:val="24"/>
        </w:rPr>
        <w:t>Mol Biol Cell</w:t>
      </w:r>
      <w:r w:rsidR="008165FD">
        <w:rPr>
          <w:rFonts w:ascii="Times New Roman" w:hAnsi="Times New Roman" w:cs="Times New Roman"/>
          <w:sz w:val="24"/>
          <w:szCs w:val="24"/>
        </w:rPr>
        <w:t xml:space="preserve">, 17(4):1652-63. </w:t>
      </w:r>
      <w:r w:rsidRPr="00184F35">
        <w:rPr>
          <w:rFonts w:ascii="Times New Roman" w:hAnsi="Times New Roman" w:cs="Times New Roman"/>
          <w:sz w:val="24"/>
          <w:szCs w:val="24"/>
        </w:rPr>
        <w:t>doi: 10.1091/mbc. e05-07-0607. Epub 2006 Feb 1.</w:t>
      </w:r>
    </w:p>
    <w:p w14:paraId="4C572E6A"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479C7BCA"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Álvaro, G. G., Olga, V., &amp; Inmaculada, I. C. When Oxidative Stress Meets Epigenetics: Implications in Cancer Development. </w:t>
      </w:r>
      <w:r w:rsidRPr="00184F35">
        <w:rPr>
          <w:rFonts w:ascii="Times New Roman" w:hAnsi="Times New Roman" w:cs="Times New Roman"/>
          <w:i/>
          <w:iCs/>
          <w:sz w:val="24"/>
          <w:szCs w:val="24"/>
        </w:rPr>
        <w:t xml:space="preserve">Antioxidants (Basel), </w:t>
      </w:r>
      <w:r w:rsidRPr="00184F35">
        <w:rPr>
          <w:rFonts w:ascii="Times New Roman" w:hAnsi="Times New Roman" w:cs="Times New Roman"/>
          <w:sz w:val="24"/>
          <w:szCs w:val="24"/>
        </w:rPr>
        <w:t>9</w:t>
      </w:r>
      <w:r w:rsidR="008165FD">
        <w:rPr>
          <w:rFonts w:ascii="Times New Roman" w:hAnsi="Times New Roman" w:cs="Times New Roman"/>
          <w:sz w:val="24"/>
          <w:szCs w:val="24"/>
        </w:rPr>
        <w:t>(6):468.</w:t>
      </w:r>
      <w:r w:rsidRPr="00184F35">
        <w:rPr>
          <w:rFonts w:ascii="Times New Roman" w:hAnsi="Times New Roman" w:cs="Times New Roman"/>
          <w:sz w:val="24"/>
          <w:szCs w:val="24"/>
        </w:rPr>
        <w:t>doi: 10.3390/antiox9060468.</w:t>
      </w:r>
    </w:p>
    <w:p w14:paraId="5945C1B5" w14:textId="77777777" w:rsidR="001D5B69" w:rsidRPr="00184F35" w:rsidRDefault="001D5B69" w:rsidP="001D5B69">
      <w:pPr>
        <w:spacing w:line="360" w:lineRule="auto"/>
        <w:jc w:val="both"/>
        <w:rPr>
          <w:rFonts w:ascii="Times New Roman" w:hAnsi="Times New Roman" w:cs="Times New Roman"/>
          <w:sz w:val="24"/>
          <w:szCs w:val="24"/>
        </w:rPr>
      </w:pPr>
      <w:r w:rsidRPr="00253CA3">
        <w:rPr>
          <w:rFonts w:ascii="Times New Roman" w:hAnsi="Times New Roman" w:cs="Times New Roman"/>
          <w:sz w:val="24"/>
          <w:szCs w:val="24"/>
          <w:highlight w:val="yellow"/>
        </w:rPr>
        <w:t>Alice Lacombe,Luca Scorrano.The interplay between mitochondrial dynamics and autophagy: From a key homeostatic mechanism to a driver of pathology.Seminars in Cell &amp; Developmental Biology.Volumes 161–162, September–October 2024, Pages 1-19</w:t>
      </w:r>
    </w:p>
    <w:p w14:paraId="642527F9" w14:textId="77777777" w:rsidR="001D5B69" w:rsidRPr="00184F35" w:rsidRDefault="001D5B69" w:rsidP="001D5B69">
      <w:pPr>
        <w:rPr>
          <w:rFonts w:ascii="Times New Roman" w:hAnsi="Times New Roman" w:cs="Times New Roman"/>
          <w:sz w:val="24"/>
          <w:szCs w:val="24"/>
        </w:rPr>
      </w:pPr>
      <w:r w:rsidRPr="00184F35">
        <w:rPr>
          <w:rFonts w:ascii="Times New Roman" w:hAnsi="Times New Roman" w:cs="Times New Roman"/>
          <w:sz w:val="24"/>
          <w:szCs w:val="24"/>
        </w:rPr>
        <w:t>Adam Green, Tanvir Hossain, David M Eckmann.Mitochondrial dynamics involves molecular and mechanical events in motility, fusion and fission. Front Cell Dev Biol. 2022 Oct 19;10:1010232. doi: 10.3389/fcell.2022.1010232.</w:t>
      </w:r>
    </w:p>
    <w:p w14:paraId="007B78E4" w14:textId="77777777" w:rsidR="001D5B69" w:rsidRPr="00184F35" w:rsidRDefault="001D5B69" w:rsidP="001D5B69">
      <w:pPr>
        <w:pStyle w:val="ListParagraph"/>
        <w:spacing w:line="360" w:lineRule="auto"/>
        <w:ind w:left="643"/>
        <w:jc w:val="both"/>
        <w:rPr>
          <w:rFonts w:ascii="Times New Roman" w:hAnsi="Times New Roman" w:cs="Times New Roman"/>
          <w:sz w:val="24"/>
          <w:szCs w:val="24"/>
        </w:rPr>
      </w:pPr>
    </w:p>
    <w:p w14:paraId="1BD978DB"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Alzbeta, T., Elpida, T., Darren, J.  M. (2012). Mitochondrial Dysfunction in Genetic Animal Models of Parkinson's Disease. </w:t>
      </w:r>
      <w:r w:rsidRPr="00184F35">
        <w:rPr>
          <w:rFonts w:ascii="Times New Roman" w:hAnsi="Times New Roman" w:cs="Times New Roman"/>
          <w:i/>
          <w:iCs/>
          <w:sz w:val="24"/>
          <w:szCs w:val="24"/>
        </w:rPr>
        <w:t xml:space="preserve">Antioxid Redox Signal, </w:t>
      </w:r>
      <w:r w:rsidR="008165FD">
        <w:rPr>
          <w:rFonts w:ascii="Times New Roman" w:hAnsi="Times New Roman" w:cs="Times New Roman"/>
          <w:sz w:val="24"/>
          <w:szCs w:val="24"/>
        </w:rPr>
        <w:t>16(9):896–919.</w:t>
      </w:r>
      <w:r w:rsidRPr="00184F35">
        <w:rPr>
          <w:rFonts w:ascii="Times New Roman" w:hAnsi="Times New Roman" w:cs="Times New Roman"/>
          <w:sz w:val="24"/>
          <w:szCs w:val="24"/>
        </w:rPr>
        <w:t xml:space="preserve"> doi: 10.1089/ars.2011.4200.</w:t>
      </w:r>
    </w:p>
    <w:p w14:paraId="00FE1B9E"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2F7621E7"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Andra, I. T., &amp; Carl, W. C. Emerging roles of oxidative stress in brain aging and Alzheimer's disease. </w:t>
      </w:r>
      <w:r w:rsidRPr="00184F35">
        <w:rPr>
          <w:rFonts w:ascii="Times New Roman" w:hAnsi="Times New Roman" w:cs="Times New Roman"/>
          <w:i/>
          <w:iCs/>
          <w:sz w:val="24"/>
          <w:szCs w:val="24"/>
        </w:rPr>
        <w:t xml:space="preserve">Neurobiology of Aging, </w:t>
      </w:r>
      <w:r w:rsidRPr="00184F35">
        <w:rPr>
          <w:rFonts w:ascii="Times New Roman" w:hAnsi="Times New Roman" w:cs="Times New Roman"/>
          <w:sz w:val="24"/>
          <w:szCs w:val="24"/>
        </w:rPr>
        <w:t>Volume 107, 86-95.</w:t>
      </w:r>
    </w:p>
    <w:p w14:paraId="61FF5E2A"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1CCC6AA5" w14:textId="77777777" w:rsidR="001D5B69"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Andrea, S., Adam, R. S., Lorena, M., Alessandro, M., Francesca, G., Christian, L., Cristina C., Stella G., Katie L., Lucia, M., &amp; Fabio, C. (2020).  Reduced mitochondrial D-loop methylation levels in sporadic amyotrophic lateral sclerosis. </w:t>
      </w:r>
      <w:r w:rsidRPr="00184F35">
        <w:rPr>
          <w:rFonts w:ascii="Times New Roman" w:hAnsi="Times New Roman" w:cs="Times New Roman"/>
          <w:i/>
          <w:iCs/>
          <w:sz w:val="24"/>
          <w:szCs w:val="24"/>
        </w:rPr>
        <w:t xml:space="preserve">Clin Epigenetics, </w:t>
      </w:r>
      <w:r w:rsidR="008165FD">
        <w:rPr>
          <w:rFonts w:ascii="Times New Roman" w:hAnsi="Times New Roman" w:cs="Times New Roman"/>
          <w:sz w:val="24"/>
          <w:szCs w:val="24"/>
        </w:rPr>
        <w:t xml:space="preserve">12(1):137. </w:t>
      </w:r>
      <w:r w:rsidRPr="00184F35">
        <w:rPr>
          <w:rFonts w:ascii="Times New Roman" w:hAnsi="Times New Roman" w:cs="Times New Roman"/>
          <w:sz w:val="24"/>
          <w:szCs w:val="24"/>
        </w:rPr>
        <w:t>doi: 10.1186/s13148-020-00933-2.</w:t>
      </w:r>
    </w:p>
    <w:p w14:paraId="6923F94E" w14:textId="77777777" w:rsidR="008165FD" w:rsidRPr="00184F35" w:rsidRDefault="008165FD" w:rsidP="001D5B69">
      <w:pPr>
        <w:pStyle w:val="ListParagraph"/>
        <w:spacing w:line="360" w:lineRule="auto"/>
        <w:ind w:left="0"/>
        <w:jc w:val="both"/>
        <w:rPr>
          <w:rFonts w:ascii="Times New Roman" w:hAnsi="Times New Roman" w:cs="Times New Roman"/>
          <w:sz w:val="24"/>
          <w:szCs w:val="24"/>
        </w:rPr>
      </w:pPr>
    </w:p>
    <w:p w14:paraId="24201C79" w14:textId="77777777" w:rsidR="001D5B69" w:rsidRPr="00184F35" w:rsidRDefault="001D5B69" w:rsidP="001D5B69">
      <w:pPr>
        <w:pStyle w:val="ListParagraph"/>
        <w:spacing w:line="360" w:lineRule="auto"/>
        <w:ind w:left="0"/>
        <w:jc w:val="both"/>
        <w:rPr>
          <w:rFonts w:ascii="Times New Roman" w:hAnsi="Times New Roman" w:cs="Times New Roman"/>
          <w:i/>
          <w:iCs/>
          <w:sz w:val="24"/>
          <w:szCs w:val="24"/>
        </w:rPr>
      </w:pPr>
      <w:r w:rsidRPr="00184F35">
        <w:rPr>
          <w:rFonts w:ascii="Times New Roman" w:hAnsi="Times New Roman" w:cs="Times New Roman"/>
          <w:sz w:val="24"/>
          <w:szCs w:val="24"/>
        </w:rPr>
        <w:t xml:space="preserve">Anil, K., Jaskirat, S., Forshing, L., &amp; Jack, W. (2025). StatPearls [Internet]. </w:t>
      </w:r>
      <w:r w:rsidRPr="00184F35">
        <w:rPr>
          <w:rFonts w:ascii="Times New Roman" w:hAnsi="Times New Roman" w:cs="Times New Roman"/>
          <w:i/>
          <w:iCs/>
          <w:sz w:val="24"/>
          <w:szCs w:val="24"/>
        </w:rPr>
        <w:t>Treasure Island (FL): StatPearls Publishing.</w:t>
      </w:r>
    </w:p>
    <w:p w14:paraId="7EF12073"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0376DB76"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Anne, E., Karen, S., &amp; Jürgen, G. (2011). Mitochondrial dysfunction - the beginning of the end in Alzheimer's disease? Separate and synergistic modes of tau and amyloid-β toxicity. </w:t>
      </w:r>
      <w:r w:rsidRPr="00184F35">
        <w:rPr>
          <w:rFonts w:ascii="Times New Roman" w:hAnsi="Times New Roman" w:cs="Times New Roman"/>
          <w:i/>
          <w:iCs/>
          <w:sz w:val="24"/>
          <w:szCs w:val="24"/>
        </w:rPr>
        <w:t>Alzheimers Res Ther</w:t>
      </w:r>
      <w:r w:rsidRPr="00184F35">
        <w:rPr>
          <w:rFonts w:ascii="Times New Roman" w:hAnsi="Times New Roman" w:cs="Times New Roman"/>
          <w:sz w:val="24"/>
          <w:szCs w:val="24"/>
        </w:rPr>
        <w:t>, 3(3):15.</w:t>
      </w:r>
    </w:p>
    <w:p w14:paraId="01CDDEC4"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doi: 10.1186/alzrt74.</w:t>
      </w:r>
    </w:p>
    <w:p w14:paraId="51E7AEB6"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40266E16"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Annica, R., Pavel, F. Pavlov., Mansorah, M., Prisca, G., Nicolas, M., Bengt, W., Caroline, G., &amp; Homira, B. (2016). Mitochondrial dysfunction in a transgenic mouse model expressing human amyloid precursor protein (APP) with the Arctic mutation</w:t>
      </w:r>
      <w:r w:rsidRPr="00184F35">
        <w:rPr>
          <w:rFonts w:ascii="Times New Roman" w:hAnsi="Times New Roman" w:cs="Times New Roman"/>
          <w:i/>
          <w:iCs/>
          <w:sz w:val="24"/>
          <w:szCs w:val="24"/>
        </w:rPr>
        <w:t>.  J Neurochem</w:t>
      </w:r>
      <w:r w:rsidRPr="00184F35">
        <w:rPr>
          <w:rFonts w:ascii="Times New Roman" w:hAnsi="Times New Roman" w:cs="Times New Roman"/>
          <w:sz w:val="24"/>
          <w:szCs w:val="24"/>
        </w:rPr>
        <w:t xml:space="preserve">, 136(3):497-502. </w:t>
      </w:r>
    </w:p>
    <w:p w14:paraId="1D5A170A"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doi: 10.1111/jnc.13410. Epub 2015 Nov 19.</w:t>
      </w:r>
    </w:p>
    <w:p w14:paraId="24329454"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43712F1C"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Anthony, P., Leonard, R. B., Cameron, J. L., Speiser, B. J., Wolf, Y. K., Peterson, R. G., Schnellmann., Craig, C., &amp; Beeson, B. R. (2015). Quantitative analysis of mitochondrial morphology and membrane potential in living cells using high-content imaging, machine learning, and morphological binning. </w:t>
      </w:r>
      <w:r w:rsidRPr="00184F35">
        <w:rPr>
          <w:rFonts w:ascii="Times New Roman" w:hAnsi="Times New Roman" w:cs="Times New Roman"/>
          <w:i/>
          <w:iCs/>
          <w:sz w:val="24"/>
          <w:szCs w:val="24"/>
        </w:rPr>
        <w:t>Biochimica et Biophysica Acta (BBA) - Molecular Cell Research</w:t>
      </w:r>
      <w:r w:rsidRPr="00184F35">
        <w:rPr>
          <w:rFonts w:ascii="Times New Roman" w:hAnsi="Times New Roman" w:cs="Times New Roman"/>
          <w:sz w:val="24"/>
          <w:szCs w:val="24"/>
        </w:rPr>
        <w:t>, Volume 1853, Issue 2, 348-360.</w:t>
      </w:r>
    </w:p>
    <w:p w14:paraId="682921C8"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0D01E2FB" w14:textId="77777777" w:rsidR="001D5B69" w:rsidRPr="008F4EA2" w:rsidRDefault="001D5B69" w:rsidP="001D5B69">
      <w:pPr>
        <w:pStyle w:val="ListParagraph"/>
        <w:spacing w:line="360" w:lineRule="auto"/>
        <w:ind w:left="0"/>
        <w:jc w:val="both"/>
        <w:rPr>
          <w:rFonts w:ascii="Times New Roman" w:hAnsi="Times New Roman" w:cs="Times New Roman"/>
          <w:sz w:val="24"/>
          <w:szCs w:val="24"/>
          <w:lang w:val="es-US"/>
        </w:rPr>
      </w:pPr>
      <w:r w:rsidRPr="00184F35">
        <w:rPr>
          <w:rFonts w:ascii="Times New Roman" w:hAnsi="Times New Roman" w:cs="Times New Roman"/>
          <w:sz w:val="24"/>
          <w:szCs w:val="24"/>
        </w:rPr>
        <w:t xml:space="preserve">Antonina., Kouli., Kelli, M., Torsney., &amp; Wei-Li, K. (2018). Parkinson’s Disease: Etiology, Neuropathology, and Pathogenesis. </w:t>
      </w:r>
      <w:r w:rsidRPr="008F4EA2">
        <w:rPr>
          <w:rFonts w:ascii="Times New Roman" w:hAnsi="Times New Roman" w:cs="Times New Roman"/>
          <w:i/>
          <w:iCs/>
          <w:sz w:val="24"/>
          <w:szCs w:val="24"/>
          <w:lang w:val="es-US"/>
        </w:rPr>
        <w:t>Codon Publications</w:t>
      </w:r>
      <w:r w:rsidRPr="008F4EA2">
        <w:rPr>
          <w:rFonts w:ascii="Times New Roman" w:hAnsi="Times New Roman" w:cs="Times New Roman"/>
          <w:sz w:val="24"/>
          <w:szCs w:val="24"/>
          <w:lang w:val="es-US"/>
        </w:rPr>
        <w:t>, chapter 1.</w:t>
      </w:r>
    </w:p>
    <w:p w14:paraId="1C6D6B30"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8F4EA2">
        <w:rPr>
          <w:rFonts w:ascii="Times New Roman" w:hAnsi="Times New Roman" w:cs="Times New Roman"/>
          <w:sz w:val="24"/>
          <w:szCs w:val="24"/>
          <w:lang w:val="es-US"/>
        </w:rPr>
        <w:t xml:space="preserve">Aurora, G. H., Miguel, A. C., Arturo, S. N., Cecilia, Z.,   Luis, E.  </w:t>
      </w:r>
      <w:r w:rsidRPr="00184F35">
        <w:rPr>
          <w:rFonts w:ascii="Times New Roman" w:hAnsi="Times New Roman" w:cs="Times New Roman"/>
          <w:sz w:val="24"/>
          <w:szCs w:val="24"/>
        </w:rPr>
        <w:t xml:space="preserve">G., Alejandro, S. P. (2021). Relevance of Membrane Contact Sites in Cancer Progression. </w:t>
      </w:r>
      <w:r w:rsidRPr="00184F35">
        <w:rPr>
          <w:rFonts w:ascii="Times New Roman" w:hAnsi="Times New Roman" w:cs="Times New Roman"/>
          <w:i/>
          <w:iCs/>
          <w:sz w:val="24"/>
          <w:szCs w:val="24"/>
        </w:rPr>
        <w:t>Front Cell Dev Biol</w:t>
      </w:r>
      <w:r w:rsidRPr="00184F35">
        <w:rPr>
          <w:rFonts w:ascii="Times New Roman" w:hAnsi="Times New Roman" w:cs="Times New Roman"/>
          <w:sz w:val="24"/>
          <w:szCs w:val="24"/>
        </w:rPr>
        <w:t>12:8:622215. doi: 10.3389/fcell.2020.622215. eCollection 202 0.</w:t>
      </w:r>
    </w:p>
    <w:p w14:paraId="2CB5C62A"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547FF5CD"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Battersby, B. J., Loredo-Osti, J., Shoubridge, E. A. (2003). Nuclear genetic control of mitochondrial DNA segregation. </w:t>
      </w:r>
      <w:r w:rsidRPr="00184F35">
        <w:rPr>
          <w:rFonts w:ascii="Times New Roman" w:hAnsi="Times New Roman" w:cs="Times New Roman"/>
          <w:i/>
          <w:iCs/>
          <w:sz w:val="24"/>
          <w:szCs w:val="24"/>
        </w:rPr>
        <w:t>Nat. Genet,</w:t>
      </w:r>
      <w:r w:rsidRPr="00184F35">
        <w:rPr>
          <w:rFonts w:ascii="Times New Roman" w:hAnsi="Times New Roman" w:cs="Times New Roman"/>
          <w:sz w:val="24"/>
          <w:szCs w:val="24"/>
        </w:rPr>
        <w:t xml:space="preserve"> 33, 183–186. </w:t>
      </w:r>
    </w:p>
    <w:p w14:paraId="4C058A52"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0B984542"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Cardamone, M. D., Tanasa, B., Cederquist, C.T., Huang, J., Mahdaviani, K., Li, W., Rosenfeld, M.G., Liesa, M., &amp; Perissi, V. (2018). Faculty Opinions recommendation of Mitochondrial Retrograde Signaling in Mammals Is Mediated by the Transcriptional Cofactor GPS2 via Direct Mitochondria-to-Nucleus Translocation. </w:t>
      </w:r>
      <w:r w:rsidRPr="00184F35">
        <w:rPr>
          <w:rFonts w:ascii="Times New Roman" w:hAnsi="Times New Roman" w:cs="Times New Roman"/>
          <w:i/>
          <w:iCs/>
          <w:sz w:val="24"/>
          <w:szCs w:val="24"/>
        </w:rPr>
        <w:t>Mol. Cell</w:t>
      </w:r>
      <w:r w:rsidRPr="00184F35">
        <w:rPr>
          <w:rFonts w:ascii="Times New Roman" w:hAnsi="Times New Roman" w:cs="Times New Roman"/>
          <w:sz w:val="24"/>
          <w:szCs w:val="24"/>
        </w:rPr>
        <w:t xml:space="preserve">, 69. </w:t>
      </w:r>
    </w:p>
    <w:p w14:paraId="6BA5A3CE"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Chambers, J., LoGrasso, P. V. (2011). Mitochondrial c-Jun N-terminal Kinase (JNK) Signaling Initiates Physiological Changes Resulting in Amplification of Reactive Oxygen Species Generation. </w:t>
      </w:r>
      <w:r w:rsidRPr="00184F35">
        <w:rPr>
          <w:rFonts w:ascii="Times New Roman" w:hAnsi="Times New Roman" w:cs="Times New Roman"/>
          <w:i/>
          <w:iCs/>
          <w:sz w:val="24"/>
          <w:szCs w:val="24"/>
        </w:rPr>
        <w:t>J. Biol. Chem</w:t>
      </w:r>
      <w:r w:rsidRPr="00184F35">
        <w:rPr>
          <w:rFonts w:ascii="Times New Roman" w:hAnsi="Times New Roman" w:cs="Times New Roman"/>
          <w:sz w:val="24"/>
          <w:szCs w:val="24"/>
        </w:rPr>
        <w:t xml:space="preserve">286, 16052–16062. </w:t>
      </w:r>
    </w:p>
    <w:p w14:paraId="4C8A03D5"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65C1CEBB"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Christopher Bi., Stephanie Bi., &amp; Bin, Li. (2019). Processing of Mutant β-Amyloid Precursor Protein and the Clinicopathological Features of Familial Alzheimer’s Disease. Aging Dis, 1;10(2):383–403.</w:t>
      </w:r>
    </w:p>
    <w:p w14:paraId="5724B94B"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 doi: 10.14336/AD.2018.0425</w:t>
      </w:r>
    </w:p>
    <w:p w14:paraId="36E55886" w14:textId="77777777" w:rsidR="001D5B69" w:rsidRPr="00184F35" w:rsidRDefault="001D5B69" w:rsidP="001D5B69">
      <w:pPr>
        <w:rPr>
          <w:rFonts w:ascii="Times New Roman" w:hAnsi="Times New Roman" w:cs="Times New Roman"/>
          <w:sz w:val="24"/>
          <w:szCs w:val="24"/>
        </w:rPr>
      </w:pPr>
      <w:r w:rsidRPr="00184F35">
        <w:rPr>
          <w:rFonts w:ascii="Times New Roman" w:hAnsi="Times New Roman" w:cs="Times New Roman"/>
          <w:sz w:val="24"/>
          <w:szCs w:val="24"/>
        </w:rPr>
        <w:t>Carmen A. Mannella.</w:t>
      </w:r>
      <w:r w:rsidR="008165FD">
        <w:rPr>
          <w:rFonts w:ascii="Times New Roman" w:hAnsi="Times New Roman" w:cs="Times New Roman"/>
          <w:sz w:val="24"/>
          <w:szCs w:val="24"/>
        </w:rPr>
        <w:t>(</w:t>
      </w:r>
      <w:r w:rsidR="008165FD" w:rsidRPr="00184F35">
        <w:rPr>
          <w:rFonts w:ascii="Times New Roman" w:hAnsi="Times New Roman" w:cs="Times New Roman"/>
          <w:sz w:val="24"/>
          <w:szCs w:val="24"/>
        </w:rPr>
        <w:t>2020</w:t>
      </w:r>
      <w:r w:rsidR="008165FD">
        <w:rPr>
          <w:rFonts w:ascii="Times New Roman" w:hAnsi="Times New Roman" w:cs="Times New Roman"/>
          <w:sz w:val="24"/>
          <w:szCs w:val="24"/>
        </w:rPr>
        <w:t>)</w:t>
      </w:r>
      <w:r w:rsidRPr="00184F35">
        <w:rPr>
          <w:rFonts w:ascii="Times New Roman" w:hAnsi="Times New Roman" w:cs="Times New Roman"/>
          <w:sz w:val="24"/>
          <w:szCs w:val="24"/>
        </w:rPr>
        <w:t>Consequences of Folding the Mitochondrial Inner Membrane. Front. Physiol., 09 June.Sec. Mitochondrial Research.Volume 11 - 2020 | https://doi.org/10.3389/fphys.2020.00536.</w:t>
      </w:r>
    </w:p>
    <w:p w14:paraId="1781E433"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6D1C31FF"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D James, S., Jaime, N. G., Javier, S. P., Paul, T. S. (2012). The role of calcium and mitochondrial oxidant stress in the loss of substantia nigra pars compacta dopaminergic neurons in Parkinson’s disease. </w:t>
      </w:r>
      <w:r w:rsidRPr="00184F35">
        <w:rPr>
          <w:rFonts w:ascii="Times New Roman" w:hAnsi="Times New Roman" w:cs="Times New Roman"/>
          <w:i/>
          <w:iCs/>
          <w:sz w:val="24"/>
          <w:szCs w:val="24"/>
        </w:rPr>
        <w:t>Neuroscience</w:t>
      </w:r>
      <w:r w:rsidRPr="00184F35">
        <w:rPr>
          <w:rFonts w:ascii="Times New Roman" w:hAnsi="Times New Roman" w:cs="Times New Roman"/>
          <w:sz w:val="24"/>
          <w:szCs w:val="24"/>
        </w:rPr>
        <w:t>. 2011 Aug 25;198:221–231. doi: 10.1016/j.neuroscience.2011.08.045</w:t>
      </w:r>
    </w:p>
    <w:p w14:paraId="6DB6E9B0"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1D2FEE10"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lastRenderedPageBreak/>
        <w:t xml:space="preserve">Da. Cunha F.M.; Torelli, N.Q.; Kowaltowski, A.J. </w:t>
      </w:r>
      <w:r w:rsidR="008165FD">
        <w:rPr>
          <w:rFonts w:ascii="Times New Roman" w:hAnsi="Times New Roman" w:cs="Times New Roman"/>
          <w:sz w:val="24"/>
          <w:szCs w:val="24"/>
        </w:rPr>
        <w:t>(2015)</w:t>
      </w:r>
      <w:r w:rsidRPr="00184F35">
        <w:rPr>
          <w:rFonts w:ascii="Times New Roman" w:hAnsi="Times New Roman" w:cs="Times New Roman"/>
          <w:sz w:val="24"/>
          <w:szCs w:val="24"/>
        </w:rPr>
        <w:t xml:space="preserve">Mitochondrial Retrograde Signaling: Triggers, Pathways, and Outcomes. Oxid. Med. Cell. Longev, 1–10. </w:t>
      </w:r>
    </w:p>
    <w:p w14:paraId="52CCAFA8"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117BA3B0"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Daniela, M. A., Raquel, A. E., Sandra, M. C. (2011). Mitochondrial Fusion/Fission, Transport and Autophagy in Parkinson's Disease: When Mitochondria Get Nasty. </w:t>
      </w:r>
      <w:r w:rsidRPr="00184F35">
        <w:rPr>
          <w:rFonts w:ascii="Times New Roman" w:hAnsi="Times New Roman" w:cs="Times New Roman"/>
          <w:i/>
          <w:iCs/>
          <w:sz w:val="24"/>
          <w:szCs w:val="24"/>
        </w:rPr>
        <w:t>Parkinsons Dis,</w:t>
      </w:r>
      <w:r w:rsidRPr="00184F35">
        <w:rPr>
          <w:rFonts w:ascii="Times New Roman" w:hAnsi="Times New Roman" w:cs="Times New Roman"/>
          <w:sz w:val="24"/>
          <w:szCs w:val="24"/>
        </w:rPr>
        <w:t xml:space="preserve"> 20;2011:767230. </w:t>
      </w:r>
    </w:p>
    <w:p w14:paraId="4F4360BE"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doi: 10.4061/2011/767230</w:t>
      </w:r>
    </w:p>
    <w:p w14:paraId="66E32FA3" w14:textId="77777777" w:rsidR="001D5B69" w:rsidRPr="00184F35" w:rsidRDefault="001D5B69" w:rsidP="001D5B69">
      <w:pPr>
        <w:pStyle w:val="ListParagraph"/>
        <w:spacing w:line="360" w:lineRule="auto"/>
        <w:ind w:left="0"/>
        <w:rPr>
          <w:rFonts w:ascii="Times New Roman" w:hAnsi="Times New Roman" w:cs="Times New Roman"/>
          <w:sz w:val="24"/>
          <w:szCs w:val="24"/>
        </w:rPr>
      </w:pPr>
    </w:p>
    <w:p w14:paraId="34A77F85" w14:textId="77777777" w:rsidR="001D5B69" w:rsidRPr="00184F35" w:rsidRDefault="001D5B69" w:rsidP="001D5B69">
      <w:pPr>
        <w:pStyle w:val="ListParagraph"/>
        <w:spacing w:line="360" w:lineRule="auto"/>
        <w:ind w:left="0"/>
        <w:rPr>
          <w:rFonts w:ascii="Times New Roman" w:hAnsi="Times New Roman" w:cs="Times New Roman"/>
          <w:sz w:val="24"/>
          <w:szCs w:val="24"/>
        </w:rPr>
      </w:pPr>
      <w:r w:rsidRPr="00184F35">
        <w:rPr>
          <w:rFonts w:ascii="Times New Roman" w:hAnsi="Times New Roman" w:cs="Times New Roman"/>
          <w:sz w:val="24"/>
          <w:szCs w:val="24"/>
        </w:rPr>
        <w:t xml:space="preserve">David, B. W., Chizuru, K., Yoshito, K., Richard, S. M. (2013). p53 and Mitochondrial Function in Neurons. </w:t>
      </w:r>
      <w:r w:rsidRPr="00184F35">
        <w:rPr>
          <w:rFonts w:ascii="Times New Roman" w:hAnsi="Times New Roman" w:cs="Times New Roman"/>
          <w:i/>
          <w:iCs/>
          <w:sz w:val="24"/>
          <w:szCs w:val="24"/>
        </w:rPr>
        <w:t xml:space="preserve">Biochim Biophys Acta, </w:t>
      </w:r>
      <w:r w:rsidRPr="00184F35">
        <w:rPr>
          <w:rFonts w:ascii="Times New Roman" w:hAnsi="Times New Roman" w:cs="Times New Roman"/>
          <w:sz w:val="24"/>
          <w:szCs w:val="24"/>
        </w:rPr>
        <w:t>1842(8):1186–1197.</w:t>
      </w:r>
    </w:p>
    <w:p w14:paraId="18D3DC19" w14:textId="77777777" w:rsidR="001D5B69" w:rsidRPr="00184F35" w:rsidRDefault="001D5B69" w:rsidP="001D5B69">
      <w:pPr>
        <w:pStyle w:val="ListParagraph"/>
        <w:spacing w:line="360" w:lineRule="auto"/>
        <w:ind w:left="0"/>
        <w:rPr>
          <w:rFonts w:ascii="Times New Roman" w:hAnsi="Times New Roman" w:cs="Times New Roman"/>
          <w:sz w:val="24"/>
          <w:szCs w:val="24"/>
        </w:rPr>
      </w:pPr>
      <w:r w:rsidRPr="00184F35">
        <w:rPr>
          <w:rFonts w:ascii="Times New Roman" w:hAnsi="Times New Roman" w:cs="Times New Roman"/>
          <w:sz w:val="24"/>
          <w:szCs w:val="24"/>
        </w:rPr>
        <w:t xml:space="preserve"> doi: 10.1016/j.bbadis.2013.12.015</w:t>
      </w:r>
    </w:p>
    <w:p w14:paraId="12AF6933" w14:textId="77777777" w:rsidR="001D5B69" w:rsidRPr="00184F35" w:rsidRDefault="001D5B69" w:rsidP="001D5B69">
      <w:pPr>
        <w:spacing w:line="360" w:lineRule="auto"/>
        <w:jc w:val="both"/>
        <w:rPr>
          <w:rFonts w:ascii="Times New Roman" w:hAnsi="Times New Roman" w:cs="Times New Roman"/>
          <w:sz w:val="24"/>
          <w:szCs w:val="24"/>
        </w:rPr>
      </w:pPr>
      <w:r w:rsidRPr="00184F35">
        <w:rPr>
          <w:rFonts w:ascii="Times New Roman" w:hAnsi="Times New Roman" w:cs="Times New Roman"/>
          <w:sz w:val="24"/>
          <w:szCs w:val="24"/>
        </w:rPr>
        <w:t xml:space="preserve">Davis, R. J. (2000). Signal Transduction by the JNK Group of MAP Kinases. </w:t>
      </w:r>
      <w:r w:rsidRPr="00184F35">
        <w:rPr>
          <w:rFonts w:ascii="Times New Roman" w:hAnsi="Times New Roman" w:cs="Times New Roman"/>
          <w:i/>
          <w:iCs/>
          <w:sz w:val="24"/>
          <w:szCs w:val="24"/>
        </w:rPr>
        <w:t>Cell</w:t>
      </w:r>
      <w:r w:rsidRPr="00184F35">
        <w:rPr>
          <w:rFonts w:ascii="Times New Roman" w:hAnsi="Times New Roman" w:cs="Times New Roman"/>
          <w:sz w:val="24"/>
          <w:szCs w:val="24"/>
        </w:rPr>
        <w:t xml:space="preserve">, 103, 239–252. </w:t>
      </w:r>
    </w:p>
    <w:p w14:paraId="6E639341"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Desai, R., East, D. A., Hardy, L., Faccenda, D., Rigon, M., Crosby, J., Alvarez, M. S.; Singh, A., Mainenti, M., &amp; Hussey, L. K., et al. (2020). Mitochondria form contact sites with the nucleus to couple prosurvival retrograde response</w:t>
      </w:r>
      <w:r w:rsidRPr="00184F35">
        <w:rPr>
          <w:rFonts w:ascii="Times New Roman" w:hAnsi="Times New Roman" w:cs="Times New Roman"/>
          <w:i/>
          <w:iCs/>
          <w:sz w:val="24"/>
          <w:szCs w:val="24"/>
        </w:rPr>
        <w:t>. Sci. Adv</w:t>
      </w:r>
      <w:r w:rsidRPr="00184F35">
        <w:rPr>
          <w:rFonts w:ascii="Times New Roman" w:hAnsi="Times New Roman" w:cs="Times New Roman"/>
          <w:sz w:val="24"/>
          <w:szCs w:val="24"/>
        </w:rPr>
        <w:t>, 6, eabc9955.</w:t>
      </w:r>
    </w:p>
    <w:p w14:paraId="7D151A9F"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2DAB4943" w14:textId="77777777" w:rsidR="001D5B69" w:rsidRPr="00184F35" w:rsidRDefault="001D5B69" w:rsidP="001D5B69">
      <w:pPr>
        <w:pStyle w:val="ListParagraph"/>
        <w:spacing w:line="360" w:lineRule="auto"/>
        <w:ind w:left="0"/>
        <w:jc w:val="both"/>
        <w:rPr>
          <w:rFonts w:ascii="Times New Roman" w:eastAsia="MS Gothic" w:hAnsi="Times New Roman" w:cs="Times New Roman"/>
          <w:sz w:val="24"/>
          <w:szCs w:val="24"/>
        </w:rPr>
      </w:pPr>
      <w:r w:rsidRPr="00184F35">
        <w:rPr>
          <w:rFonts w:ascii="Times New Roman" w:hAnsi="Times New Roman" w:cs="Times New Roman"/>
          <w:sz w:val="24"/>
          <w:szCs w:val="24"/>
        </w:rPr>
        <w:t xml:space="preserve">Dhani, T. W., Matthew, J. H. (2020). Nucleus–Mitochondria Contact Sites Are Associated with Asynthetic Fission in Zebrafish Skin. </w:t>
      </w:r>
      <w:r w:rsidRPr="00184F35">
        <w:rPr>
          <w:rFonts w:ascii="Times New Roman" w:hAnsi="Times New Roman" w:cs="Times New Roman"/>
          <w:i/>
          <w:iCs/>
          <w:sz w:val="24"/>
          <w:szCs w:val="24"/>
        </w:rPr>
        <w:t xml:space="preserve">Front Cell Dev Biol, </w:t>
      </w:r>
      <w:r w:rsidRPr="00184F35">
        <w:rPr>
          <w:rFonts w:ascii="Times New Roman" w:hAnsi="Times New Roman" w:cs="Times New Roman"/>
          <w:sz w:val="24"/>
          <w:szCs w:val="24"/>
        </w:rPr>
        <w:t xml:space="preserve">12:8:622215. </w:t>
      </w:r>
    </w:p>
    <w:p w14:paraId="1F2660CA" w14:textId="77777777" w:rsidR="001D5B69" w:rsidRPr="00184F35" w:rsidRDefault="001D5B69" w:rsidP="001D5B69">
      <w:pPr>
        <w:pStyle w:val="ListParagraph"/>
        <w:spacing w:line="360" w:lineRule="auto"/>
        <w:ind w:left="0"/>
        <w:jc w:val="both"/>
        <w:rPr>
          <w:rFonts w:ascii="Times New Roman" w:eastAsia="MS Gothic" w:hAnsi="Times New Roman" w:cs="Times New Roman"/>
          <w:sz w:val="24"/>
          <w:szCs w:val="24"/>
        </w:rPr>
      </w:pPr>
      <w:r w:rsidRPr="00184F35">
        <w:rPr>
          <w:rFonts w:ascii="Times New Roman" w:hAnsi="Times New Roman" w:cs="Times New Roman"/>
          <w:sz w:val="24"/>
          <w:szCs w:val="24"/>
        </w:rPr>
        <w:t>doi: 10.3389/fcell.2020.622215. eCollection 2020.</w:t>
      </w:r>
    </w:p>
    <w:p w14:paraId="1E5BE9DF"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4727C43D"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Dmitry, B. Z., Magdalena, J., Steven, J. S. (2014). Mitochondrial Reactive Oxygen Species (ROS) and ROS-Induced ROS Release. </w:t>
      </w:r>
      <w:r w:rsidRPr="00184F35">
        <w:rPr>
          <w:rFonts w:ascii="Times New Roman" w:hAnsi="Times New Roman" w:cs="Times New Roman"/>
          <w:i/>
          <w:iCs/>
          <w:sz w:val="24"/>
          <w:szCs w:val="24"/>
        </w:rPr>
        <w:t xml:space="preserve">Physiol Rev, </w:t>
      </w:r>
      <w:r w:rsidRPr="00184F35">
        <w:rPr>
          <w:rFonts w:ascii="Times New Roman" w:hAnsi="Times New Roman" w:cs="Times New Roman"/>
          <w:sz w:val="24"/>
          <w:szCs w:val="24"/>
        </w:rPr>
        <w:t xml:space="preserve">94(3):909–950. </w:t>
      </w:r>
    </w:p>
    <w:p w14:paraId="5BA022CA" w14:textId="77777777" w:rsidR="00184F35" w:rsidRDefault="001D5B69" w:rsidP="00184F35">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doi: 10.1152/physrev.00026.2013</w:t>
      </w:r>
      <w:r w:rsidR="00184F35">
        <w:rPr>
          <w:rFonts w:ascii="Times New Roman" w:hAnsi="Times New Roman" w:cs="Times New Roman"/>
          <w:sz w:val="24"/>
          <w:szCs w:val="24"/>
        </w:rPr>
        <w:t>.</w:t>
      </w:r>
    </w:p>
    <w:p w14:paraId="296375ED" w14:textId="77777777" w:rsidR="00184F35" w:rsidRDefault="00184F35" w:rsidP="00184F35">
      <w:pPr>
        <w:pStyle w:val="ListParagraph"/>
        <w:spacing w:line="360" w:lineRule="auto"/>
        <w:ind w:left="0"/>
        <w:jc w:val="both"/>
        <w:rPr>
          <w:rFonts w:ascii="Times New Roman" w:hAnsi="Times New Roman" w:cs="Times New Roman"/>
          <w:sz w:val="24"/>
          <w:szCs w:val="24"/>
        </w:rPr>
      </w:pPr>
    </w:p>
    <w:p w14:paraId="67AFD711" w14:textId="77777777" w:rsidR="00184F35" w:rsidRPr="008165FD" w:rsidRDefault="00184F35" w:rsidP="00184F35">
      <w:pPr>
        <w:pStyle w:val="ListParagraph"/>
        <w:spacing w:line="360" w:lineRule="auto"/>
        <w:ind w:left="0"/>
        <w:jc w:val="both"/>
        <w:rPr>
          <w:rFonts w:ascii="Times New Roman" w:hAnsi="Times New Roman" w:cs="Times New Roman"/>
          <w:color w:val="000000" w:themeColor="text1"/>
          <w:sz w:val="24"/>
          <w:szCs w:val="24"/>
        </w:rPr>
      </w:pPr>
      <w:r w:rsidRPr="00184F35">
        <w:rPr>
          <w:rFonts w:ascii="Times New Roman" w:hAnsi="Times New Roman" w:cs="Times New Roman"/>
          <w:color w:val="000000" w:themeColor="text1"/>
          <w:sz w:val="24"/>
          <w:szCs w:val="24"/>
        </w:rPr>
        <w:t xml:space="preserve">Doi, K., Noiri, E., </w:t>
      </w:r>
      <w:r w:rsidR="008165FD">
        <w:rPr>
          <w:rFonts w:ascii="Times New Roman" w:hAnsi="Times New Roman" w:cs="Times New Roman"/>
          <w:color w:val="000000" w:themeColor="text1"/>
          <w:sz w:val="24"/>
          <w:szCs w:val="24"/>
        </w:rPr>
        <w:t>(</w:t>
      </w:r>
      <w:r w:rsidRPr="00184F35">
        <w:rPr>
          <w:rFonts w:ascii="Times New Roman" w:hAnsi="Times New Roman" w:cs="Times New Roman"/>
          <w:color w:val="000000" w:themeColor="text1"/>
          <w:sz w:val="24"/>
          <w:szCs w:val="24"/>
        </w:rPr>
        <w:t>2016</w:t>
      </w:r>
      <w:r w:rsidR="008165FD">
        <w:rPr>
          <w:rFonts w:ascii="Times New Roman" w:hAnsi="Times New Roman" w:cs="Times New Roman"/>
          <w:color w:val="000000" w:themeColor="text1"/>
          <w:sz w:val="24"/>
          <w:szCs w:val="24"/>
        </w:rPr>
        <w:t>)</w:t>
      </w:r>
      <w:r w:rsidRPr="00184F35">
        <w:rPr>
          <w:rFonts w:ascii="Times New Roman" w:hAnsi="Times New Roman" w:cs="Times New Roman"/>
          <w:color w:val="000000" w:themeColor="text1"/>
          <w:sz w:val="24"/>
          <w:szCs w:val="24"/>
        </w:rPr>
        <w:t>. Mitochondrial Dysfunction in Cardiorenal Syndrome. Antioxid. Redox Signal. 25, 200–207. https://doi.org/10.1089/ars.2016.6654.</w:t>
      </w:r>
    </w:p>
    <w:p w14:paraId="5FDA9C70" w14:textId="77777777" w:rsidR="00184F35" w:rsidRPr="00184F35" w:rsidRDefault="00184F35" w:rsidP="001D5B69">
      <w:pPr>
        <w:pStyle w:val="ListParagraph"/>
        <w:spacing w:line="360" w:lineRule="auto"/>
        <w:ind w:left="0"/>
        <w:jc w:val="both"/>
        <w:rPr>
          <w:rFonts w:ascii="Times New Roman" w:hAnsi="Times New Roman" w:cs="Times New Roman"/>
          <w:sz w:val="24"/>
          <w:szCs w:val="24"/>
        </w:rPr>
      </w:pPr>
    </w:p>
    <w:p w14:paraId="60B058CA"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Dnyandev, G., Gadhave., Vrashabh, V., Sugandhi., Saurav, K. J., Sopan, N., Gaurav, G., Sachin, K. S., Kamal, D., Hyunah, C., Philip, M., &amp; Keshav R. P. (2024). Neurodegenerative disorders: </w:t>
      </w:r>
      <w:r w:rsidRPr="00184F35">
        <w:rPr>
          <w:rFonts w:ascii="Times New Roman" w:hAnsi="Times New Roman" w:cs="Times New Roman"/>
          <w:sz w:val="24"/>
          <w:szCs w:val="24"/>
        </w:rPr>
        <w:lastRenderedPageBreak/>
        <w:t xml:space="preserve">Mechanisms of degeneration and therapeutic approaches with their clinical relevance. </w:t>
      </w:r>
      <w:r w:rsidRPr="00184F35">
        <w:rPr>
          <w:rFonts w:ascii="Times New Roman" w:hAnsi="Times New Roman" w:cs="Times New Roman"/>
          <w:i/>
          <w:iCs/>
          <w:sz w:val="24"/>
          <w:szCs w:val="24"/>
        </w:rPr>
        <w:t>Ageing Research Reviews</w:t>
      </w:r>
      <w:r w:rsidRPr="00184F35">
        <w:rPr>
          <w:rFonts w:ascii="Times New Roman" w:hAnsi="Times New Roman" w:cs="Times New Roman"/>
          <w:sz w:val="24"/>
          <w:szCs w:val="24"/>
        </w:rPr>
        <w:t>, Volume 99, 102357.</w:t>
      </w:r>
    </w:p>
    <w:p w14:paraId="684B30FF"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27A38AE5"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Douglas, C. W., &amp; Dimitra, C. </w:t>
      </w:r>
      <w:r w:rsidR="008165FD">
        <w:rPr>
          <w:rFonts w:ascii="Times New Roman" w:hAnsi="Times New Roman" w:cs="Times New Roman"/>
          <w:sz w:val="24"/>
          <w:szCs w:val="24"/>
        </w:rPr>
        <w:t>(2013)</w:t>
      </w:r>
      <w:r w:rsidRPr="00184F35">
        <w:rPr>
          <w:rFonts w:ascii="Times New Roman" w:hAnsi="Times New Roman" w:cs="Times New Roman"/>
          <w:sz w:val="24"/>
          <w:szCs w:val="24"/>
        </w:rPr>
        <w:t xml:space="preserve">Mitochondrial DNA Genetics and the Heteroplasmy Conundrum in Evolution and Disease. </w:t>
      </w:r>
      <w:r w:rsidRPr="00184F35">
        <w:rPr>
          <w:rFonts w:ascii="Times New Roman" w:hAnsi="Times New Roman" w:cs="Times New Roman"/>
          <w:i/>
          <w:iCs/>
          <w:sz w:val="24"/>
          <w:szCs w:val="24"/>
        </w:rPr>
        <w:t xml:space="preserve">Cold Spring Harb Perspect Biol, </w:t>
      </w:r>
      <w:r w:rsidRPr="00184F35">
        <w:rPr>
          <w:rFonts w:ascii="Times New Roman" w:hAnsi="Times New Roman" w:cs="Times New Roman"/>
          <w:sz w:val="24"/>
          <w:szCs w:val="24"/>
        </w:rPr>
        <w:t xml:space="preserve">5(11):a021220. </w:t>
      </w:r>
    </w:p>
    <w:p w14:paraId="48142804"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doi: 10.1101/cshperspect.a021220.</w:t>
      </w:r>
    </w:p>
    <w:p w14:paraId="484FFD77"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3FBB9A2B" w14:textId="77777777" w:rsidR="001D5B69" w:rsidRPr="008F4EA2" w:rsidRDefault="001D5B69" w:rsidP="001D5B69">
      <w:pPr>
        <w:pStyle w:val="ListParagraph"/>
        <w:spacing w:line="360" w:lineRule="auto"/>
        <w:ind w:left="0"/>
        <w:jc w:val="both"/>
        <w:rPr>
          <w:rFonts w:ascii="Times New Roman" w:hAnsi="Times New Roman" w:cs="Times New Roman"/>
          <w:sz w:val="24"/>
          <w:szCs w:val="24"/>
          <w:lang w:val="es-US"/>
        </w:rPr>
      </w:pPr>
      <w:r w:rsidRPr="00184F35">
        <w:rPr>
          <w:rFonts w:ascii="Times New Roman" w:hAnsi="Times New Roman" w:cs="Times New Roman"/>
          <w:sz w:val="24"/>
          <w:szCs w:val="24"/>
        </w:rPr>
        <w:t xml:space="preserve">Dzeja, P. P., Bortolon, R., Perez, T. C., Holmuhamedov, E., &amp; Terzic, A. (2002). Energetic communication between mitochondria and nucleus directed by catalyzed phosphotransfer. </w:t>
      </w:r>
      <w:r w:rsidRPr="008F4EA2">
        <w:rPr>
          <w:rFonts w:ascii="Times New Roman" w:hAnsi="Times New Roman" w:cs="Times New Roman"/>
          <w:i/>
          <w:iCs/>
          <w:sz w:val="24"/>
          <w:szCs w:val="24"/>
          <w:lang w:val="es-US"/>
        </w:rPr>
        <w:t>Proc. Natl. Acad. Sci. USA</w:t>
      </w:r>
      <w:r w:rsidRPr="008F4EA2">
        <w:rPr>
          <w:rFonts w:ascii="Times New Roman" w:hAnsi="Times New Roman" w:cs="Times New Roman"/>
          <w:sz w:val="24"/>
          <w:szCs w:val="24"/>
          <w:lang w:val="es-US"/>
        </w:rPr>
        <w:t>, 99, 10156–10161.</w:t>
      </w:r>
    </w:p>
    <w:p w14:paraId="1B163898" w14:textId="77777777" w:rsidR="00184F35" w:rsidRPr="008F4EA2" w:rsidRDefault="00184F35" w:rsidP="001D5B69">
      <w:pPr>
        <w:pStyle w:val="ListParagraph"/>
        <w:spacing w:line="360" w:lineRule="auto"/>
        <w:ind w:left="0"/>
        <w:jc w:val="both"/>
        <w:rPr>
          <w:rFonts w:ascii="Times New Roman" w:hAnsi="Times New Roman" w:cs="Times New Roman"/>
          <w:sz w:val="24"/>
          <w:szCs w:val="24"/>
          <w:shd w:val="clear" w:color="auto" w:fill="FFFFFF"/>
          <w:lang w:val="es-US"/>
        </w:rPr>
      </w:pPr>
    </w:p>
    <w:p w14:paraId="3E85D1F2" w14:textId="77777777" w:rsidR="001D5B69" w:rsidRPr="00184F35"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8F4EA2">
        <w:rPr>
          <w:rFonts w:ascii="Times New Roman" w:hAnsi="Times New Roman" w:cs="Times New Roman"/>
          <w:sz w:val="24"/>
          <w:szCs w:val="24"/>
          <w:shd w:val="clear" w:color="auto" w:fill="FFFFFF"/>
          <w:lang w:val="es-US"/>
        </w:rPr>
        <w:t>Eduardo, D. P., &amp; Robertis, D</w:t>
      </w:r>
      <w:r w:rsidRPr="008F4EA2">
        <w:rPr>
          <w:rStyle w:val="a-size-base"/>
          <w:rFonts w:ascii="Times New Roman" w:hAnsi="Times New Roman" w:cs="Times New Roman"/>
          <w:color w:val="565959"/>
          <w:sz w:val="24"/>
          <w:szCs w:val="24"/>
          <w:shd w:val="clear" w:color="auto" w:fill="FFFFFF"/>
          <w:lang w:val="es-US"/>
        </w:rPr>
        <w:t>. (2020).</w:t>
      </w:r>
      <w:r w:rsidRPr="008F4EA2">
        <w:rPr>
          <w:rFonts w:ascii="Times New Roman" w:hAnsi="Times New Roman" w:cs="Times New Roman"/>
          <w:color w:val="232323"/>
          <w:sz w:val="24"/>
          <w:szCs w:val="24"/>
          <w:shd w:val="clear" w:color="auto" w:fill="FFFFFF"/>
          <w:lang w:val="es-US"/>
        </w:rPr>
        <w:t xml:space="preserve"> </w:t>
      </w:r>
      <w:r w:rsidRPr="00184F35">
        <w:rPr>
          <w:rFonts w:ascii="Times New Roman" w:hAnsi="Times New Roman" w:cs="Times New Roman"/>
          <w:i/>
          <w:iCs/>
          <w:color w:val="232323"/>
          <w:sz w:val="24"/>
          <w:szCs w:val="24"/>
          <w:shd w:val="clear" w:color="auto" w:fill="FFFFFF"/>
        </w:rPr>
        <w:t>Cell And Molecular Biology 8th Edition.</w:t>
      </w:r>
      <w:r w:rsidRPr="00184F35">
        <w:rPr>
          <w:rFonts w:ascii="Times New Roman" w:hAnsi="Times New Roman" w:cs="Times New Roman"/>
          <w:color w:val="232323"/>
          <w:sz w:val="24"/>
          <w:szCs w:val="24"/>
          <w:shd w:val="clear" w:color="auto" w:fill="FFFFFF"/>
        </w:rPr>
        <w:t xml:space="preserve"> </w:t>
      </w:r>
    </w:p>
    <w:p w14:paraId="2ED409A1" w14:textId="77777777" w:rsidR="00184F35" w:rsidRDefault="00184F35" w:rsidP="001D5B69">
      <w:pPr>
        <w:pStyle w:val="ListParagraph"/>
        <w:ind w:left="0"/>
        <w:rPr>
          <w:rFonts w:ascii="Times New Roman" w:hAnsi="Times New Roman" w:cs="Times New Roman"/>
          <w:sz w:val="24"/>
          <w:szCs w:val="24"/>
        </w:rPr>
      </w:pPr>
    </w:p>
    <w:p w14:paraId="178241BA" w14:textId="77777777" w:rsidR="001D5B69" w:rsidRPr="00184F35" w:rsidRDefault="001D5B69" w:rsidP="001D5B69">
      <w:pPr>
        <w:pStyle w:val="ListParagraph"/>
        <w:ind w:left="0"/>
        <w:rPr>
          <w:rFonts w:ascii="Times New Roman" w:hAnsi="Times New Roman" w:cs="Times New Roman"/>
          <w:sz w:val="24"/>
          <w:szCs w:val="24"/>
        </w:rPr>
      </w:pPr>
      <w:r w:rsidRPr="00184F35">
        <w:rPr>
          <w:rFonts w:ascii="Times New Roman" w:hAnsi="Times New Roman" w:cs="Times New Roman"/>
          <w:sz w:val="24"/>
          <w:szCs w:val="24"/>
        </w:rPr>
        <w:t>Elizabeth J Lawrence, Craig A Mandato .Mitochondria Localize to the Cleavage Furrow in Mammalian Cytokinesis.PLoS One. 2013 Aug 21;8(8):e72886. doi: 10.1371/journal.pone.0072886.</w:t>
      </w:r>
    </w:p>
    <w:p w14:paraId="7B20470C" w14:textId="77777777" w:rsidR="001D5B69" w:rsidRPr="00184F35"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20528655"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Eisenber, B. M., Schuldiner, M. (2016).  Ground control to major TOM: Mitochondria–nucleus communication. </w:t>
      </w:r>
      <w:r w:rsidRPr="00184F35">
        <w:rPr>
          <w:rFonts w:ascii="Times New Roman" w:hAnsi="Times New Roman" w:cs="Times New Roman"/>
          <w:i/>
          <w:iCs/>
          <w:sz w:val="24"/>
          <w:szCs w:val="24"/>
        </w:rPr>
        <w:t xml:space="preserve">FEBS J, </w:t>
      </w:r>
      <w:r w:rsidRPr="00184F35">
        <w:rPr>
          <w:rFonts w:ascii="Times New Roman" w:hAnsi="Times New Roman" w:cs="Times New Roman"/>
          <w:sz w:val="24"/>
          <w:szCs w:val="24"/>
        </w:rPr>
        <w:t xml:space="preserve">284, 196–210. </w:t>
      </w:r>
    </w:p>
    <w:p w14:paraId="18F81ECF"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01C299F5"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Emily, B., &amp; Florian, W. (2022).  Bypassing the nuclear gate: A non-canonical entry pathway for the mitochondrial pyruvate dehydrogenase complex. </w:t>
      </w:r>
      <w:r w:rsidRPr="00184F35">
        <w:rPr>
          <w:rFonts w:ascii="Times New Roman" w:hAnsi="Times New Roman" w:cs="Times New Roman"/>
          <w:i/>
          <w:iCs/>
          <w:sz w:val="24"/>
          <w:szCs w:val="24"/>
        </w:rPr>
        <w:t xml:space="preserve">Mol Cell, </w:t>
      </w:r>
      <w:r w:rsidRPr="00184F35">
        <w:rPr>
          <w:rFonts w:ascii="Times New Roman" w:hAnsi="Times New Roman" w:cs="Times New Roman"/>
          <w:sz w:val="24"/>
          <w:szCs w:val="24"/>
        </w:rPr>
        <w:t xml:space="preserve">82(5):886-888. </w:t>
      </w:r>
    </w:p>
    <w:p w14:paraId="21990CAB"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doi: 10.1016/j.molcel.2022.02.014.</w:t>
      </w:r>
    </w:p>
    <w:p w14:paraId="0787CC9A"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7FC0D734"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Emma, F., Smith, P. J., Shaw, K. J., De, V. (2019). Neuroscience Letters. (2019). The role of mitochondria in amyotrophic lateral sclerosis. </w:t>
      </w:r>
      <w:r w:rsidRPr="00184F35">
        <w:rPr>
          <w:rFonts w:ascii="Times New Roman" w:hAnsi="Times New Roman" w:cs="Times New Roman"/>
          <w:i/>
          <w:iCs/>
          <w:sz w:val="24"/>
          <w:szCs w:val="24"/>
        </w:rPr>
        <w:t>Neuroscience Letters</w:t>
      </w:r>
      <w:r w:rsidRPr="00184F35">
        <w:rPr>
          <w:rFonts w:ascii="Times New Roman" w:hAnsi="Times New Roman" w:cs="Times New Roman"/>
          <w:sz w:val="24"/>
          <w:szCs w:val="24"/>
        </w:rPr>
        <w:t>, Volume 710, 132933.</w:t>
      </w:r>
    </w:p>
    <w:p w14:paraId="240CECFD"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1EEC6C92"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Eric, G., Zhenwei, G., Bob, Z., &amp; Radhika, M. (2023). Complex II Biology in Aging, Health, and Disease. </w:t>
      </w:r>
      <w:r w:rsidRPr="00184F35">
        <w:rPr>
          <w:rFonts w:ascii="Times New Roman" w:hAnsi="Times New Roman" w:cs="Times New Roman"/>
          <w:i/>
          <w:iCs/>
          <w:sz w:val="24"/>
          <w:szCs w:val="24"/>
        </w:rPr>
        <w:t xml:space="preserve">Antioxidants (Basel), </w:t>
      </w:r>
      <w:r w:rsidRPr="00184F35">
        <w:rPr>
          <w:rFonts w:ascii="Times New Roman" w:hAnsi="Times New Roman" w:cs="Times New Roman"/>
          <w:sz w:val="24"/>
          <w:szCs w:val="24"/>
        </w:rPr>
        <w:t xml:space="preserve">12(7):1477. </w:t>
      </w:r>
    </w:p>
    <w:p w14:paraId="6F0DDB87"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doi: 10.3390/antiox12071477.</w:t>
      </w:r>
    </w:p>
    <w:p w14:paraId="01ABB69E"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33898685"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lastRenderedPageBreak/>
        <w:t>Fan, J., &amp; Papadopoulos, V. (2020).  Mitochondrial TSPO Deficiency Triggers Retrograde Signaling in MA-10 Mouse Tumor Leydig Cells</w:t>
      </w:r>
      <w:r w:rsidRPr="00184F35">
        <w:rPr>
          <w:rFonts w:ascii="Times New Roman" w:hAnsi="Times New Roman" w:cs="Times New Roman"/>
          <w:i/>
          <w:iCs/>
          <w:sz w:val="24"/>
          <w:szCs w:val="24"/>
        </w:rPr>
        <w:t xml:space="preserve">. Int. J. Mol. Sci, </w:t>
      </w:r>
      <w:r w:rsidRPr="00184F35">
        <w:rPr>
          <w:rFonts w:ascii="Times New Roman" w:hAnsi="Times New Roman" w:cs="Times New Roman"/>
          <w:sz w:val="24"/>
          <w:szCs w:val="24"/>
        </w:rPr>
        <w:t xml:space="preserve">22, 252. </w:t>
      </w:r>
    </w:p>
    <w:p w14:paraId="3DFA5BDC" w14:textId="77777777" w:rsidR="00CD037D" w:rsidRDefault="00CD037D" w:rsidP="001D5B69">
      <w:pPr>
        <w:pStyle w:val="ListParagraph"/>
        <w:spacing w:line="360" w:lineRule="auto"/>
        <w:ind w:left="0"/>
        <w:rPr>
          <w:rFonts w:ascii="Times New Roman" w:hAnsi="Times New Roman" w:cs="Times New Roman"/>
          <w:sz w:val="24"/>
          <w:szCs w:val="24"/>
        </w:rPr>
      </w:pPr>
    </w:p>
    <w:p w14:paraId="48A2D299" w14:textId="77777777" w:rsidR="001D5B69" w:rsidRPr="00184F35" w:rsidRDefault="001D5B69" w:rsidP="001D5B69">
      <w:pPr>
        <w:pStyle w:val="ListParagraph"/>
        <w:spacing w:line="360" w:lineRule="auto"/>
        <w:ind w:left="0"/>
        <w:rPr>
          <w:rFonts w:ascii="Times New Roman" w:hAnsi="Times New Roman" w:cs="Times New Roman"/>
          <w:sz w:val="24"/>
          <w:szCs w:val="24"/>
        </w:rPr>
      </w:pPr>
      <w:r w:rsidRPr="00184F35">
        <w:rPr>
          <w:rFonts w:ascii="Times New Roman" w:hAnsi="Times New Roman" w:cs="Times New Roman"/>
          <w:sz w:val="24"/>
          <w:szCs w:val="24"/>
        </w:rPr>
        <w:t xml:space="preserve">Fanny, N. G., &amp; Bor, L. T. (2014). Pyruvate dehydrogenase complex (PDC) export from the mitochondrial matrix. </w:t>
      </w:r>
      <w:r w:rsidRPr="00184F35">
        <w:rPr>
          <w:rFonts w:ascii="Times New Roman" w:hAnsi="Times New Roman" w:cs="Times New Roman"/>
          <w:i/>
          <w:iCs/>
          <w:sz w:val="24"/>
          <w:szCs w:val="24"/>
        </w:rPr>
        <w:t>Molecular Membrane Biology,</w:t>
      </w:r>
      <w:r w:rsidRPr="00184F35">
        <w:rPr>
          <w:rFonts w:ascii="Times New Roman" w:hAnsi="Times New Roman" w:cs="Times New Roman"/>
          <w:sz w:val="24"/>
          <w:szCs w:val="24"/>
        </w:rPr>
        <w:t xml:space="preserve">31(7–8), 207–210. </w:t>
      </w:r>
      <w:hyperlink r:id="rId7" w:history="1">
        <w:r w:rsidRPr="00184F35">
          <w:rPr>
            <w:rStyle w:val="Hyperlink"/>
            <w:rFonts w:ascii="Times New Roman" w:hAnsi="Times New Roman" w:cs="Times New Roman"/>
            <w:color w:val="000000" w:themeColor="text1"/>
            <w:sz w:val="24"/>
            <w:szCs w:val="24"/>
          </w:rPr>
          <w:t>https://doi.org/10.3109/09687688.2014.987183</w:t>
        </w:r>
      </w:hyperlink>
      <w:r w:rsidRPr="00184F35">
        <w:rPr>
          <w:rFonts w:ascii="Times New Roman" w:hAnsi="Times New Roman" w:cs="Times New Roman"/>
          <w:sz w:val="24"/>
          <w:szCs w:val="24"/>
        </w:rPr>
        <w:t xml:space="preserve"> </w:t>
      </w:r>
    </w:p>
    <w:p w14:paraId="297622F5"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3427CFA5"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Fawcett, D. W. (1955). Observations on the Cytology and Electron Microscopy of Hepatic Cells1, 2. </w:t>
      </w:r>
      <w:r w:rsidRPr="00184F35">
        <w:rPr>
          <w:rFonts w:ascii="Times New Roman" w:hAnsi="Times New Roman" w:cs="Times New Roman"/>
          <w:i/>
          <w:iCs/>
          <w:sz w:val="24"/>
          <w:szCs w:val="24"/>
        </w:rPr>
        <w:t>JNCI J. Natl. Cancer Inst,</w:t>
      </w:r>
      <w:r w:rsidRPr="00184F35">
        <w:rPr>
          <w:rFonts w:ascii="Times New Roman" w:hAnsi="Times New Roman" w:cs="Times New Roman"/>
          <w:sz w:val="24"/>
          <w:szCs w:val="24"/>
        </w:rPr>
        <w:t>15.</w:t>
      </w:r>
    </w:p>
    <w:p w14:paraId="7655C115"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52DD4228"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Filipa, B. G., &amp; Vanessa, A. M.</w:t>
      </w:r>
      <w:r w:rsidR="008165FD">
        <w:rPr>
          <w:rFonts w:ascii="Times New Roman" w:hAnsi="Times New Roman" w:cs="Times New Roman"/>
          <w:sz w:val="24"/>
          <w:szCs w:val="24"/>
        </w:rPr>
        <w:t>(2021)</w:t>
      </w:r>
      <w:r w:rsidRPr="00184F35">
        <w:rPr>
          <w:rFonts w:ascii="Times New Roman" w:hAnsi="Times New Roman" w:cs="Times New Roman"/>
          <w:sz w:val="24"/>
          <w:szCs w:val="24"/>
        </w:rPr>
        <w:t xml:space="preserve"> PINK1: A Bridge between Mitochondria and Parkinson’s Disease. </w:t>
      </w:r>
      <w:r w:rsidRPr="00184F35">
        <w:rPr>
          <w:rFonts w:ascii="Times New Roman" w:hAnsi="Times New Roman" w:cs="Times New Roman"/>
          <w:i/>
          <w:iCs/>
          <w:sz w:val="24"/>
          <w:szCs w:val="24"/>
        </w:rPr>
        <w:t>Life (Basel),</w:t>
      </w:r>
      <w:r w:rsidRPr="00184F35">
        <w:rPr>
          <w:rFonts w:ascii="Times New Roman" w:hAnsi="Times New Roman" w:cs="Times New Roman"/>
          <w:sz w:val="24"/>
          <w:szCs w:val="24"/>
        </w:rPr>
        <w:t xml:space="preserve"> 11(5):371. doi: 10.3390/life11050371.</w:t>
      </w:r>
    </w:p>
    <w:p w14:paraId="0D3FD85E" w14:textId="77777777" w:rsidR="001D5B69" w:rsidRPr="00184F35" w:rsidRDefault="001D5B69" w:rsidP="001D5B69">
      <w:pPr>
        <w:pStyle w:val="ListParagraph"/>
        <w:spacing w:line="360" w:lineRule="auto"/>
        <w:ind w:left="643"/>
        <w:jc w:val="both"/>
        <w:rPr>
          <w:rFonts w:ascii="Times New Roman" w:hAnsi="Times New Roman" w:cs="Times New Roman"/>
          <w:sz w:val="24"/>
          <w:szCs w:val="24"/>
        </w:rPr>
      </w:pPr>
    </w:p>
    <w:p w14:paraId="655C4DD6"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Francesco, T. D., Francesca, M., Giacomo, P. C., Stefania, C. (2015). SOD1 misplacing and mitochondrial dysfunction in amyotrophic lateral sclerosis pathogenesis. </w:t>
      </w:r>
      <w:r w:rsidRPr="00184F35">
        <w:rPr>
          <w:rFonts w:ascii="Times New Roman" w:hAnsi="Times New Roman" w:cs="Times New Roman"/>
          <w:i/>
          <w:iCs/>
          <w:sz w:val="24"/>
          <w:szCs w:val="24"/>
        </w:rPr>
        <w:t xml:space="preserve">Front Cell Neurosci, </w:t>
      </w:r>
      <w:r w:rsidR="008165FD">
        <w:rPr>
          <w:rFonts w:ascii="Times New Roman" w:hAnsi="Times New Roman" w:cs="Times New Roman"/>
          <w:sz w:val="24"/>
          <w:szCs w:val="24"/>
        </w:rPr>
        <w:t xml:space="preserve">9:336. </w:t>
      </w:r>
      <w:r w:rsidRPr="00184F35">
        <w:rPr>
          <w:rFonts w:ascii="Times New Roman" w:hAnsi="Times New Roman" w:cs="Times New Roman"/>
          <w:sz w:val="24"/>
          <w:szCs w:val="24"/>
        </w:rPr>
        <w:t>doi: 10.3389/fncel.2015.00336.</w:t>
      </w:r>
    </w:p>
    <w:p w14:paraId="2122F3B8"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54EC9FAD"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Frederic, J. (1954). Action of various substances on the mitochondria of living cells cultivated in vitro. </w:t>
      </w:r>
      <w:r w:rsidRPr="00184F35">
        <w:rPr>
          <w:rFonts w:ascii="Times New Roman" w:hAnsi="Times New Roman" w:cs="Times New Roman"/>
          <w:i/>
          <w:iCs/>
          <w:sz w:val="24"/>
          <w:szCs w:val="24"/>
        </w:rPr>
        <w:t xml:space="preserve">Ann. N. Y. Acad. Sci, </w:t>
      </w:r>
      <w:r w:rsidRPr="00184F35">
        <w:rPr>
          <w:rFonts w:ascii="Times New Roman" w:hAnsi="Times New Roman" w:cs="Times New Roman"/>
          <w:sz w:val="24"/>
          <w:szCs w:val="24"/>
        </w:rPr>
        <w:t xml:space="preserve">58, 1246–1263. </w:t>
      </w:r>
    </w:p>
    <w:p w14:paraId="14B694C7"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3B766378"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Frederic, J. (1951). Relation between the nuclear membrane and nucleoli and mitochondria; study of living and contrast phase. </w:t>
      </w:r>
      <w:r w:rsidRPr="00184F35">
        <w:rPr>
          <w:rFonts w:ascii="Times New Roman" w:hAnsi="Times New Roman" w:cs="Times New Roman"/>
          <w:i/>
          <w:iCs/>
          <w:sz w:val="24"/>
          <w:szCs w:val="24"/>
        </w:rPr>
        <w:t>Comptes Rendus Seances Soc. Biol. Fil</w:t>
      </w:r>
      <w:r w:rsidRPr="00184F35">
        <w:rPr>
          <w:rFonts w:ascii="Times New Roman" w:hAnsi="Times New Roman" w:cs="Times New Roman"/>
          <w:sz w:val="24"/>
          <w:szCs w:val="24"/>
        </w:rPr>
        <w:t>, 145, 1913–1916.</w:t>
      </w:r>
    </w:p>
    <w:p w14:paraId="47D2CFE1" w14:textId="77777777" w:rsidR="001D5B69" w:rsidRPr="00184F35" w:rsidRDefault="001D5B69" w:rsidP="001D5B69">
      <w:pPr>
        <w:pStyle w:val="ListParagraph"/>
        <w:spacing w:line="360" w:lineRule="auto"/>
        <w:ind w:left="0"/>
        <w:jc w:val="both"/>
        <w:rPr>
          <w:rFonts w:ascii="Times New Roman" w:hAnsi="Times New Roman" w:cs="Times New Roman"/>
          <w:color w:val="1B1B1B"/>
          <w:sz w:val="24"/>
          <w:szCs w:val="24"/>
          <w:shd w:val="clear" w:color="auto" w:fill="FFFFFF"/>
        </w:rPr>
      </w:pPr>
    </w:p>
    <w:p w14:paraId="7D7DCA0B" w14:textId="77777777" w:rsidR="001D5B69" w:rsidRPr="008F4EA2" w:rsidRDefault="001D5B69" w:rsidP="001D5B69">
      <w:pPr>
        <w:pStyle w:val="ListParagraph"/>
        <w:spacing w:line="360" w:lineRule="auto"/>
        <w:ind w:left="0"/>
        <w:jc w:val="both"/>
        <w:rPr>
          <w:rFonts w:ascii="Times New Roman" w:hAnsi="Times New Roman" w:cs="Times New Roman"/>
          <w:color w:val="000000" w:themeColor="text1"/>
          <w:sz w:val="24"/>
          <w:szCs w:val="24"/>
          <w:lang w:val="es-US"/>
        </w:rPr>
      </w:pPr>
      <w:r w:rsidRPr="00184F35">
        <w:rPr>
          <w:rFonts w:ascii="Times New Roman" w:hAnsi="Times New Roman" w:cs="Times New Roman"/>
          <w:color w:val="1B1B1B"/>
          <w:sz w:val="24"/>
          <w:szCs w:val="24"/>
          <w:shd w:val="clear" w:color="auto" w:fill="FFFFFF"/>
        </w:rPr>
        <w:t xml:space="preserve">Friedman, J. R., &amp; Nunnari, J. (2014). Mitochondrial form and function. </w:t>
      </w:r>
      <w:r w:rsidRPr="008F4EA2">
        <w:rPr>
          <w:rFonts w:ascii="Times New Roman" w:hAnsi="Times New Roman" w:cs="Times New Roman"/>
          <w:i/>
          <w:iCs/>
          <w:color w:val="1B1B1B"/>
          <w:sz w:val="24"/>
          <w:szCs w:val="24"/>
          <w:shd w:val="clear" w:color="auto" w:fill="FFFFFF"/>
          <w:lang w:val="es-US"/>
        </w:rPr>
        <w:t xml:space="preserve">Nature, </w:t>
      </w:r>
      <w:r w:rsidRPr="008F4EA2">
        <w:rPr>
          <w:rFonts w:ascii="Times New Roman" w:hAnsi="Times New Roman" w:cs="Times New Roman"/>
          <w:color w:val="1B1B1B"/>
          <w:sz w:val="24"/>
          <w:szCs w:val="24"/>
          <w:shd w:val="clear" w:color="auto" w:fill="FFFFFF"/>
          <w:lang w:val="es-US"/>
        </w:rPr>
        <w:t>505(7483):335–343. DOI: 10.1038/nature12985.</w:t>
      </w:r>
    </w:p>
    <w:p w14:paraId="5DBD09FF" w14:textId="77777777" w:rsidR="001D5B69" w:rsidRPr="008F4EA2" w:rsidRDefault="001D5B69" w:rsidP="001D5B69">
      <w:pPr>
        <w:pStyle w:val="ListParagraph"/>
        <w:spacing w:line="360" w:lineRule="auto"/>
        <w:ind w:left="0"/>
        <w:jc w:val="both"/>
        <w:rPr>
          <w:rFonts w:ascii="Times New Roman" w:hAnsi="Times New Roman" w:cs="Times New Roman"/>
          <w:sz w:val="24"/>
          <w:szCs w:val="24"/>
          <w:lang w:val="es-US"/>
        </w:rPr>
      </w:pPr>
    </w:p>
    <w:p w14:paraId="38355B2C" w14:textId="77777777" w:rsidR="001D5B69" w:rsidRPr="008F4EA2" w:rsidRDefault="001D5B69" w:rsidP="001D5B69">
      <w:pPr>
        <w:pStyle w:val="ListParagraph"/>
        <w:spacing w:line="360" w:lineRule="auto"/>
        <w:ind w:left="0"/>
        <w:jc w:val="both"/>
        <w:rPr>
          <w:rFonts w:ascii="Times New Roman" w:hAnsi="Times New Roman" w:cs="Times New Roman"/>
          <w:sz w:val="24"/>
          <w:szCs w:val="24"/>
          <w:lang w:val="es-US"/>
        </w:rPr>
      </w:pPr>
      <w:r w:rsidRPr="008F4EA2">
        <w:rPr>
          <w:rFonts w:ascii="Times New Roman" w:hAnsi="Times New Roman" w:cs="Times New Roman"/>
          <w:sz w:val="24"/>
          <w:szCs w:val="24"/>
          <w:lang w:val="es-US"/>
        </w:rPr>
        <w:t xml:space="preserve">Gabriel, E. R., Deniselle, M. C., González, G. M., Gargiulo, M., Juan, J. L., Alejandro, F. N., Roberto, E. P. (2012). </w:t>
      </w:r>
      <w:r w:rsidRPr="00184F35">
        <w:rPr>
          <w:rFonts w:ascii="Times New Roman" w:hAnsi="Times New Roman" w:cs="Times New Roman"/>
          <w:sz w:val="24"/>
          <w:szCs w:val="24"/>
        </w:rPr>
        <w:t xml:space="preserve">Morphological abnormalities in mitochondria of the skin of patients with sporadic amyotrophic lateral sclerosis. </w:t>
      </w:r>
      <w:r w:rsidRPr="008F4EA2">
        <w:rPr>
          <w:rFonts w:ascii="Times New Roman" w:hAnsi="Times New Roman" w:cs="Times New Roman"/>
          <w:i/>
          <w:iCs/>
          <w:sz w:val="24"/>
          <w:szCs w:val="24"/>
          <w:lang w:val="es-US"/>
        </w:rPr>
        <w:t xml:space="preserve">Arq Neuropsiquiatr, </w:t>
      </w:r>
      <w:r w:rsidRPr="008F4EA2">
        <w:rPr>
          <w:rFonts w:ascii="Times New Roman" w:hAnsi="Times New Roman" w:cs="Times New Roman"/>
          <w:sz w:val="24"/>
          <w:szCs w:val="24"/>
          <w:lang w:val="es-US"/>
        </w:rPr>
        <w:t xml:space="preserve">70(1):40-4. </w:t>
      </w:r>
    </w:p>
    <w:p w14:paraId="71F77129" w14:textId="77777777" w:rsidR="001D5B69" w:rsidRPr="008F4EA2" w:rsidRDefault="001D5B69" w:rsidP="001D5B69">
      <w:pPr>
        <w:pStyle w:val="ListParagraph"/>
        <w:spacing w:line="360" w:lineRule="auto"/>
        <w:ind w:left="0"/>
        <w:jc w:val="both"/>
        <w:rPr>
          <w:rFonts w:ascii="Times New Roman" w:hAnsi="Times New Roman" w:cs="Times New Roman"/>
          <w:sz w:val="24"/>
          <w:szCs w:val="24"/>
          <w:lang w:val="es-US"/>
        </w:rPr>
      </w:pPr>
      <w:r w:rsidRPr="008F4EA2">
        <w:rPr>
          <w:rFonts w:ascii="Times New Roman" w:hAnsi="Times New Roman" w:cs="Times New Roman"/>
          <w:sz w:val="24"/>
          <w:szCs w:val="24"/>
          <w:lang w:val="es-US"/>
        </w:rPr>
        <w:t>doi: 10.1590/s0004-282x2012000100010.</w:t>
      </w:r>
    </w:p>
    <w:p w14:paraId="3CBD2B5B" w14:textId="77777777" w:rsidR="00A7397B" w:rsidRPr="008F4EA2" w:rsidRDefault="00A7397B" w:rsidP="001D5B69">
      <w:pPr>
        <w:pStyle w:val="ListParagraph"/>
        <w:spacing w:line="360" w:lineRule="auto"/>
        <w:ind w:left="0"/>
        <w:jc w:val="both"/>
        <w:rPr>
          <w:rFonts w:ascii="Times New Roman" w:hAnsi="Times New Roman" w:cs="Times New Roman"/>
          <w:sz w:val="24"/>
          <w:szCs w:val="24"/>
          <w:lang w:val="es-US"/>
        </w:rPr>
      </w:pPr>
    </w:p>
    <w:p w14:paraId="40350678" w14:textId="77777777" w:rsidR="00A7397B" w:rsidRPr="008F4EA2" w:rsidRDefault="00A7397B" w:rsidP="001D5B69">
      <w:pPr>
        <w:pStyle w:val="ListParagraph"/>
        <w:spacing w:line="360" w:lineRule="auto"/>
        <w:ind w:left="0"/>
        <w:jc w:val="both"/>
        <w:rPr>
          <w:rFonts w:ascii="Times New Roman" w:hAnsi="Times New Roman" w:cs="Times New Roman"/>
          <w:sz w:val="24"/>
          <w:szCs w:val="24"/>
          <w:lang w:val="es-US"/>
        </w:rPr>
      </w:pPr>
      <w:r w:rsidRPr="008F4EA2">
        <w:rPr>
          <w:rFonts w:ascii="Times New Roman" w:hAnsi="Times New Roman" w:cs="Times New Roman"/>
          <w:sz w:val="24"/>
          <w:szCs w:val="24"/>
          <w:lang w:val="es-US"/>
        </w:rPr>
        <w:lastRenderedPageBreak/>
        <w:t>https://www.genecards.org/cgi-bin/carddisp.pl?gene=HTT</w:t>
      </w:r>
    </w:p>
    <w:p w14:paraId="4D45FD37" w14:textId="77777777" w:rsidR="001D5B69" w:rsidRPr="00184F35" w:rsidRDefault="001D5B69" w:rsidP="001D5B69">
      <w:pPr>
        <w:rPr>
          <w:rFonts w:ascii="Times New Roman" w:hAnsi="Times New Roman" w:cs="Times New Roman"/>
          <w:sz w:val="24"/>
          <w:szCs w:val="24"/>
        </w:rPr>
      </w:pPr>
      <w:r w:rsidRPr="008F4EA2">
        <w:rPr>
          <w:rFonts w:ascii="Times New Roman" w:hAnsi="Times New Roman" w:cs="Times New Roman"/>
          <w:sz w:val="24"/>
          <w:szCs w:val="24"/>
          <w:lang w:val="es-US"/>
        </w:rPr>
        <w:t>Guillermo López-Doménech,Josef T. Kittler.</w:t>
      </w:r>
      <w:r w:rsidR="008165FD" w:rsidRPr="008F4EA2">
        <w:rPr>
          <w:rFonts w:ascii="Times New Roman" w:hAnsi="Times New Roman" w:cs="Times New Roman"/>
          <w:sz w:val="24"/>
          <w:szCs w:val="24"/>
          <w:lang w:val="es-US"/>
        </w:rPr>
        <w:t xml:space="preserve"> </w:t>
      </w:r>
      <w:r w:rsidR="008165FD">
        <w:rPr>
          <w:rFonts w:ascii="Times New Roman" w:hAnsi="Times New Roman" w:cs="Times New Roman"/>
          <w:sz w:val="24"/>
          <w:szCs w:val="24"/>
        </w:rPr>
        <w:t>(</w:t>
      </w:r>
      <w:r w:rsidR="008165FD" w:rsidRPr="00184F35">
        <w:rPr>
          <w:rFonts w:ascii="Times New Roman" w:hAnsi="Times New Roman" w:cs="Times New Roman"/>
          <w:sz w:val="24"/>
          <w:szCs w:val="24"/>
        </w:rPr>
        <w:t>2023</w:t>
      </w:r>
      <w:r w:rsidR="008165FD">
        <w:rPr>
          <w:rFonts w:ascii="Times New Roman" w:hAnsi="Times New Roman" w:cs="Times New Roman"/>
          <w:sz w:val="24"/>
          <w:szCs w:val="24"/>
        </w:rPr>
        <w:t>)</w:t>
      </w:r>
      <w:r w:rsidR="008165FD" w:rsidRPr="00184F35">
        <w:rPr>
          <w:rFonts w:ascii="Times New Roman" w:hAnsi="Times New Roman" w:cs="Times New Roman"/>
          <w:sz w:val="24"/>
          <w:szCs w:val="24"/>
        </w:rPr>
        <w:t xml:space="preserve">, </w:t>
      </w:r>
      <w:r w:rsidRPr="00184F35">
        <w:rPr>
          <w:rFonts w:ascii="Times New Roman" w:hAnsi="Times New Roman" w:cs="Times New Roman"/>
          <w:sz w:val="24"/>
          <w:szCs w:val="24"/>
        </w:rPr>
        <w:t>Mitochondrial regulation of local supply of energy in neurons.Current Opinion in Neurobiology.Volume 81, August 102747.</w:t>
      </w:r>
    </w:p>
    <w:p w14:paraId="110FF5BC"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2C52DD1A"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Guaragnella, N., Coyne, L.P., Chen, X.J., &amp; Giannattasio, S. (2018). Mitochondria–cytosol–nucleus crosstalk: Learning from Saccharomyces cerevisiae</w:t>
      </w:r>
      <w:r w:rsidRPr="00184F35">
        <w:rPr>
          <w:rFonts w:ascii="Times New Roman" w:hAnsi="Times New Roman" w:cs="Times New Roman"/>
          <w:i/>
          <w:iCs/>
          <w:sz w:val="24"/>
          <w:szCs w:val="24"/>
        </w:rPr>
        <w:t xml:space="preserve">. FEMS Yeast Res, </w:t>
      </w:r>
      <w:r w:rsidRPr="00184F35">
        <w:rPr>
          <w:rFonts w:ascii="Times New Roman" w:hAnsi="Times New Roman" w:cs="Times New Roman"/>
          <w:sz w:val="24"/>
          <w:szCs w:val="24"/>
        </w:rPr>
        <w:t xml:space="preserve">18. </w:t>
      </w:r>
    </w:p>
    <w:p w14:paraId="01F903F1" w14:textId="77777777" w:rsidR="001D5B69" w:rsidRPr="00184F35"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184F35">
        <w:rPr>
          <w:rFonts w:ascii="Times New Roman" w:hAnsi="Times New Roman" w:cs="Times New Roman"/>
          <w:sz w:val="24"/>
          <w:szCs w:val="24"/>
        </w:rPr>
        <w:t xml:space="preserve">Hafiza, P., Vikrant, R., &amp; Alex, G. (2023). Mitochondrial Metabolism in Pancreatic Ductal Adenocarcinoma: From Mechanism-Based Perspectives to Therapy. </w:t>
      </w:r>
      <w:r w:rsidRPr="00184F35">
        <w:rPr>
          <w:rFonts w:ascii="Times New Roman" w:hAnsi="Times New Roman" w:cs="Times New Roman"/>
          <w:i/>
          <w:iCs/>
          <w:sz w:val="24"/>
          <w:szCs w:val="24"/>
        </w:rPr>
        <w:t xml:space="preserve">Cancers, </w:t>
      </w:r>
      <w:r w:rsidRPr="00184F35">
        <w:rPr>
          <w:rFonts w:ascii="Times New Roman" w:hAnsi="Times New Roman" w:cs="Times New Roman"/>
          <w:sz w:val="24"/>
          <w:szCs w:val="24"/>
        </w:rPr>
        <w:t xml:space="preserve">15(4), 1070. </w:t>
      </w:r>
      <w:hyperlink r:id="rId8" w:history="1">
        <w:r w:rsidRPr="00184F35">
          <w:rPr>
            <w:rStyle w:val="Hyperlink"/>
            <w:rFonts w:ascii="Times New Roman" w:hAnsi="Times New Roman" w:cs="Times New Roman"/>
            <w:color w:val="000000" w:themeColor="text1"/>
            <w:sz w:val="24"/>
            <w:szCs w:val="24"/>
          </w:rPr>
          <w:t>https://doi.org/10.3390/cancers15041070</w:t>
        </w:r>
      </w:hyperlink>
      <w:r w:rsidRPr="00184F35">
        <w:rPr>
          <w:rFonts w:ascii="Times New Roman" w:hAnsi="Times New Roman" w:cs="Times New Roman"/>
          <w:color w:val="000000" w:themeColor="text1"/>
          <w:sz w:val="24"/>
          <w:szCs w:val="24"/>
        </w:rPr>
        <w:t>.</w:t>
      </w:r>
    </w:p>
    <w:p w14:paraId="4918F1B1"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5CFCF588" w14:textId="77777777" w:rsidR="00184F35" w:rsidRPr="00184F35" w:rsidRDefault="00184F35" w:rsidP="00184F35">
      <w:pPr>
        <w:spacing w:line="360" w:lineRule="auto"/>
        <w:jc w:val="both"/>
        <w:rPr>
          <w:rFonts w:ascii="Times New Roman" w:hAnsi="Times New Roman" w:cs="Times New Roman"/>
          <w:color w:val="000000" w:themeColor="text1"/>
          <w:sz w:val="24"/>
          <w:szCs w:val="24"/>
        </w:rPr>
      </w:pPr>
      <w:r w:rsidRPr="00184F35">
        <w:rPr>
          <w:rFonts w:ascii="Times New Roman" w:hAnsi="Times New Roman" w:cs="Times New Roman"/>
          <w:color w:val="1B1B1B"/>
          <w:sz w:val="24"/>
          <w:szCs w:val="24"/>
          <w:shd w:val="clear" w:color="auto" w:fill="FFFFFF"/>
        </w:rPr>
        <w:t>Geoffrey M. Cooper, Robert E. Hausman.  </w:t>
      </w:r>
      <w:r w:rsidRPr="00184F35">
        <w:rPr>
          <w:rFonts w:ascii="Times New Roman" w:hAnsi="Times New Roman" w:cs="Times New Roman"/>
          <w:color w:val="000000" w:themeColor="text1"/>
          <w:sz w:val="24"/>
          <w:szCs w:val="24"/>
        </w:rPr>
        <w:t xml:space="preserve">The Cell: A Molecular Approach. 6th edition. Sunderland (MA): Sinauer Associates;2013. </w:t>
      </w:r>
    </w:p>
    <w:p w14:paraId="6F645844" w14:textId="77777777" w:rsidR="00184F35" w:rsidRPr="00184F35" w:rsidRDefault="00184F35" w:rsidP="001D5B69">
      <w:pPr>
        <w:pStyle w:val="ListParagraph"/>
        <w:spacing w:line="360" w:lineRule="auto"/>
        <w:ind w:left="0"/>
        <w:jc w:val="both"/>
        <w:rPr>
          <w:rFonts w:ascii="Times New Roman" w:hAnsi="Times New Roman" w:cs="Times New Roman"/>
          <w:sz w:val="24"/>
          <w:szCs w:val="24"/>
        </w:rPr>
      </w:pPr>
    </w:p>
    <w:p w14:paraId="779B1E30"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Haipeng, W. D., Bingyan, L. J., Junye, Z., Xian, Z., Shigeo, Y., &amp; Yedi, Z. (2025). Mitochondrial diseases: from molecular mechanisms to therapeutic advances. </w:t>
      </w:r>
      <w:r w:rsidRPr="00184F35">
        <w:rPr>
          <w:rFonts w:ascii="Times New Roman" w:hAnsi="Times New Roman" w:cs="Times New Roman"/>
          <w:i/>
          <w:iCs/>
          <w:sz w:val="24"/>
          <w:szCs w:val="24"/>
        </w:rPr>
        <w:t>Signal Transduction and Targeted Therapy</w:t>
      </w:r>
      <w:r w:rsidRPr="00184F35">
        <w:rPr>
          <w:rFonts w:ascii="Times New Roman" w:hAnsi="Times New Roman" w:cs="Times New Roman"/>
          <w:sz w:val="24"/>
          <w:szCs w:val="24"/>
        </w:rPr>
        <w:t xml:space="preserve"> volume 10, Article number: 9.</w:t>
      </w:r>
    </w:p>
    <w:p w14:paraId="14E21073"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3F9DCCBE" w14:textId="77777777" w:rsidR="001D5B69" w:rsidRPr="008F4EA2" w:rsidRDefault="001D5B69" w:rsidP="001D5B69">
      <w:pPr>
        <w:pStyle w:val="ListParagraph"/>
        <w:spacing w:line="360" w:lineRule="auto"/>
        <w:ind w:left="0"/>
        <w:jc w:val="both"/>
        <w:rPr>
          <w:rFonts w:ascii="Times New Roman" w:hAnsi="Times New Roman" w:cs="Times New Roman"/>
          <w:sz w:val="24"/>
          <w:szCs w:val="24"/>
          <w:lang w:val="es-US"/>
        </w:rPr>
      </w:pPr>
      <w:r w:rsidRPr="00184F35">
        <w:rPr>
          <w:rFonts w:ascii="Times New Roman" w:hAnsi="Times New Roman" w:cs="Times New Roman"/>
          <w:sz w:val="24"/>
          <w:szCs w:val="24"/>
        </w:rPr>
        <w:t xml:space="preserve">Harvey, E. B. (1946).  Structure and development of the clear quarter of the Arbacia punctulata egg. </w:t>
      </w:r>
      <w:r w:rsidRPr="008F4EA2">
        <w:rPr>
          <w:rFonts w:ascii="Times New Roman" w:hAnsi="Times New Roman" w:cs="Times New Roman"/>
          <w:i/>
          <w:iCs/>
          <w:sz w:val="24"/>
          <w:szCs w:val="24"/>
          <w:lang w:val="es-US"/>
        </w:rPr>
        <w:t xml:space="preserve">J. Exp. Zool, </w:t>
      </w:r>
      <w:r w:rsidRPr="008F4EA2">
        <w:rPr>
          <w:rFonts w:ascii="Times New Roman" w:hAnsi="Times New Roman" w:cs="Times New Roman"/>
          <w:sz w:val="24"/>
          <w:szCs w:val="24"/>
          <w:lang w:val="es-US"/>
        </w:rPr>
        <w:t>102, 253–275.</w:t>
      </w:r>
    </w:p>
    <w:p w14:paraId="23C45B02" w14:textId="77777777" w:rsidR="001D5B69" w:rsidRPr="008F4EA2" w:rsidRDefault="001D5B69" w:rsidP="001D5B69">
      <w:pPr>
        <w:pStyle w:val="ListParagraph"/>
        <w:ind w:left="0"/>
        <w:rPr>
          <w:rFonts w:ascii="Times New Roman" w:hAnsi="Times New Roman" w:cs="Times New Roman"/>
          <w:sz w:val="24"/>
          <w:szCs w:val="24"/>
          <w:lang w:val="es-US"/>
        </w:rPr>
      </w:pPr>
    </w:p>
    <w:p w14:paraId="3EE4283B" w14:textId="77777777" w:rsidR="001D5B69" w:rsidRPr="00184F35" w:rsidRDefault="001D5B69" w:rsidP="001D5B69">
      <w:pPr>
        <w:pStyle w:val="ListParagraph"/>
        <w:ind w:left="0"/>
        <w:rPr>
          <w:rFonts w:ascii="Times New Roman" w:hAnsi="Times New Roman" w:cs="Times New Roman"/>
          <w:sz w:val="24"/>
          <w:szCs w:val="24"/>
        </w:rPr>
      </w:pPr>
      <w:r w:rsidRPr="008F4EA2">
        <w:rPr>
          <w:rFonts w:ascii="Times New Roman" w:hAnsi="Times New Roman" w:cs="Times New Roman"/>
          <w:sz w:val="24"/>
          <w:szCs w:val="24"/>
          <w:lang w:val="es-US"/>
        </w:rPr>
        <w:t>Héctor Romero,Pablo S. Aguilar,Martin Graña,Mauricio Langleib,Virginia Gudiño, Benjamin Podbilewicz.</w:t>
      </w:r>
      <w:r w:rsidR="008165FD" w:rsidRPr="008F4EA2">
        <w:rPr>
          <w:rFonts w:ascii="Times New Roman" w:hAnsi="Times New Roman" w:cs="Times New Roman"/>
          <w:sz w:val="24"/>
          <w:szCs w:val="24"/>
          <w:lang w:val="es-US"/>
        </w:rPr>
        <w:t xml:space="preserve"> </w:t>
      </w:r>
      <w:r w:rsidR="008165FD">
        <w:rPr>
          <w:rFonts w:ascii="Times New Roman" w:hAnsi="Times New Roman" w:cs="Times New Roman"/>
          <w:sz w:val="24"/>
          <w:szCs w:val="24"/>
        </w:rPr>
        <w:t>(</w:t>
      </w:r>
      <w:r w:rsidR="008165FD" w:rsidRPr="00184F35">
        <w:rPr>
          <w:rFonts w:ascii="Times New Roman" w:hAnsi="Times New Roman" w:cs="Times New Roman"/>
          <w:sz w:val="24"/>
          <w:szCs w:val="24"/>
        </w:rPr>
        <w:t>2024</w:t>
      </w:r>
      <w:r w:rsidR="008165FD">
        <w:rPr>
          <w:rFonts w:ascii="Times New Roman" w:hAnsi="Times New Roman" w:cs="Times New Roman"/>
          <w:sz w:val="24"/>
          <w:szCs w:val="24"/>
        </w:rPr>
        <w:t>)</w:t>
      </w:r>
      <w:r w:rsidR="008165FD" w:rsidRPr="00184F35">
        <w:rPr>
          <w:rFonts w:ascii="Times New Roman" w:hAnsi="Times New Roman" w:cs="Times New Roman"/>
          <w:sz w:val="24"/>
          <w:szCs w:val="24"/>
        </w:rPr>
        <w:t xml:space="preserve">, </w:t>
      </w:r>
      <w:r w:rsidRPr="00184F35">
        <w:rPr>
          <w:rFonts w:ascii="Times New Roman" w:hAnsi="Times New Roman" w:cs="Times New Roman"/>
          <w:sz w:val="24"/>
          <w:szCs w:val="24"/>
        </w:rPr>
        <w:t>Membrane fusion and fission during eukaryogenesis.Current Opinion in Cell Biology</w:t>
      </w:r>
      <w:r w:rsidR="008165FD">
        <w:rPr>
          <w:rFonts w:ascii="Times New Roman" w:hAnsi="Times New Roman" w:cs="Times New Roman"/>
          <w:sz w:val="24"/>
          <w:szCs w:val="24"/>
        </w:rPr>
        <w:t xml:space="preserve"> </w:t>
      </w:r>
      <w:r w:rsidRPr="00184F35">
        <w:rPr>
          <w:rFonts w:ascii="Times New Roman" w:hAnsi="Times New Roman" w:cs="Times New Roman"/>
          <w:sz w:val="24"/>
          <w:szCs w:val="24"/>
        </w:rPr>
        <w:t>Volume 86, February 102321.</w:t>
      </w:r>
    </w:p>
    <w:p w14:paraId="51E8245E" w14:textId="77777777" w:rsidR="001D5B69" w:rsidRPr="00184F35" w:rsidRDefault="001D5B69" w:rsidP="001D5B69">
      <w:pPr>
        <w:rPr>
          <w:rFonts w:ascii="Times New Roman" w:hAnsi="Times New Roman" w:cs="Times New Roman"/>
          <w:sz w:val="24"/>
          <w:szCs w:val="24"/>
        </w:rPr>
      </w:pPr>
      <w:r w:rsidRPr="00184F35">
        <w:rPr>
          <w:rFonts w:ascii="Times New Roman" w:hAnsi="Times New Roman" w:cs="Times New Roman"/>
          <w:sz w:val="24"/>
          <w:szCs w:val="24"/>
        </w:rPr>
        <w:t>K G Hales , M T Fuller.</w:t>
      </w:r>
      <w:r w:rsidR="008165FD" w:rsidRPr="008165FD">
        <w:rPr>
          <w:rFonts w:ascii="Times New Roman" w:hAnsi="Times New Roman" w:cs="Times New Roman"/>
          <w:sz w:val="24"/>
          <w:szCs w:val="24"/>
        </w:rPr>
        <w:t xml:space="preserve"> </w:t>
      </w:r>
      <w:r w:rsidR="008165FD">
        <w:rPr>
          <w:rFonts w:ascii="Times New Roman" w:hAnsi="Times New Roman" w:cs="Times New Roman"/>
          <w:sz w:val="24"/>
          <w:szCs w:val="24"/>
        </w:rPr>
        <w:t>(</w:t>
      </w:r>
      <w:r w:rsidR="008165FD" w:rsidRPr="00184F35">
        <w:rPr>
          <w:rFonts w:ascii="Times New Roman" w:hAnsi="Times New Roman" w:cs="Times New Roman"/>
          <w:sz w:val="24"/>
          <w:szCs w:val="24"/>
        </w:rPr>
        <w:t>1997</w:t>
      </w:r>
      <w:r w:rsidR="008165FD">
        <w:rPr>
          <w:rFonts w:ascii="Times New Roman" w:hAnsi="Times New Roman" w:cs="Times New Roman"/>
          <w:sz w:val="24"/>
          <w:szCs w:val="24"/>
        </w:rPr>
        <w:t>)</w:t>
      </w:r>
      <w:r w:rsidRPr="00184F35">
        <w:rPr>
          <w:rFonts w:ascii="Times New Roman" w:hAnsi="Times New Roman" w:cs="Times New Roman"/>
          <w:sz w:val="24"/>
          <w:szCs w:val="24"/>
        </w:rPr>
        <w:t>Developmentally regulated mitochondrial fusion mediated by a conserved, novel, predicted GTPase. Cell. Jul 11;90(1):121-9. doi: 10.1016/s0092-8674(00)80319-0.</w:t>
      </w:r>
    </w:p>
    <w:p w14:paraId="51C8082F" w14:textId="77777777" w:rsidR="001D5B69" w:rsidRPr="00184F35" w:rsidRDefault="001D5B69" w:rsidP="008165FD">
      <w:pPr>
        <w:spacing w:line="360" w:lineRule="auto"/>
        <w:jc w:val="both"/>
        <w:rPr>
          <w:rFonts w:ascii="Times New Roman" w:hAnsi="Times New Roman" w:cs="Times New Roman"/>
          <w:sz w:val="24"/>
          <w:szCs w:val="24"/>
        </w:rPr>
      </w:pPr>
      <w:r w:rsidRPr="00184F35">
        <w:rPr>
          <w:rFonts w:ascii="Times New Roman" w:hAnsi="Times New Roman" w:cs="Times New Roman"/>
          <w:sz w:val="24"/>
          <w:szCs w:val="24"/>
        </w:rPr>
        <w:t>Heather, M. W., Steven, M. C., Russell, H. S. (2014). Cytoplasmic hybrid (cybrid) cell lines as a practical model for mitochondriopathies. 619–631. do</w:t>
      </w:r>
      <w:r w:rsidR="008165FD">
        <w:rPr>
          <w:rFonts w:ascii="Times New Roman" w:hAnsi="Times New Roman" w:cs="Times New Roman"/>
          <w:sz w:val="24"/>
          <w:szCs w:val="24"/>
        </w:rPr>
        <w:t>i: 10.1016/j.redox.2014.03.006.</w:t>
      </w:r>
      <w:r w:rsidRPr="00184F35">
        <w:rPr>
          <w:rFonts w:ascii="Times New Roman" w:hAnsi="Times New Roman" w:cs="Times New Roman"/>
          <w:sz w:val="24"/>
          <w:szCs w:val="24"/>
        </w:rPr>
        <w:t>doi: 10.3390/biomedicines9080918</w:t>
      </w:r>
    </w:p>
    <w:p w14:paraId="01EECB58" w14:textId="77777777" w:rsidR="001D5B69" w:rsidRPr="00184F35" w:rsidRDefault="001D5B69" w:rsidP="001D5B69">
      <w:pPr>
        <w:rPr>
          <w:rFonts w:ascii="Times New Roman" w:hAnsi="Times New Roman" w:cs="Times New Roman"/>
          <w:sz w:val="24"/>
          <w:szCs w:val="24"/>
        </w:rPr>
      </w:pPr>
      <w:r w:rsidRPr="00184F35">
        <w:rPr>
          <w:rFonts w:ascii="Times New Roman" w:hAnsi="Times New Roman" w:cs="Times New Roman"/>
          <w:sz w:val="24"/>
          <w:szCs w:val="24"/>
        </w:rPr>
        <w:lastRenderedPageBreak/>
        <w:t>Hubert Grel, Damian Woznica, Katarzyna Ratajczak, Ewelina Kalwarczyk, Julia Anchimowicz, Weronika Switlik , Piotr Olejnik, Piotr Zielonka, Magdalena Stobiecka, Slawomir Jakiela.</w:t>
      </w:r>
      <w:r w:rsidR="008165FD" w:rsidRPr="008165FD">
        <w:rPr>
          <w:rFonts w:ascii="Times New Roman" w:hAnsi="Times New Roman" w:cs="Times New Roman"/>
          <w:sz w:val="24"/>
          <w:szCs w:val="24"/>
        </w:rPr>
        <w:t xml:space="preserve"> </w:t>
      </w:r>
      <w:r w:rsidR="008165FD">
        <w:rPr>
          <w:rFonts w:ascii="Times New Roman" w:hAnsi="Times New Roman" w:cs="Times New Roman"/>
          <w:sz w:val="24"/>
          <w:szCs w:val="24"/>
        </w:rPr>
        <w:t>(</w:t>
      </w:r>
      <w:r w:rsidR="008165FD" w:rsidRPr="00184F35">
        <w:rPr>
          <w:rFonts w:ascii="Times New Roman" w:hAnsi="Times New Roman" w:cs="Times New Roman"/>
          <w:sz w:val="24"/>
          <w:szCs w:val="24"/>
        </w:rPr>
        <w:t>2023</w:t>
      </w:r>
      <w:r w:rsidR="008165FD">
        <w:rPr>
          <w:rFonts w:ascii="Times New Roman" w:hAnsi="Times New Roman" w:cs="Times New Roman"/>
          <w:sz w:val="24"/>
          <w:szCs w:val="24"/>
        </w:rPr>
        <w:t>)</w:t>
      </w:r>
      <w:r w:rsidR="008165FD" w:rsidRPr="00184F35">
        <w:rPr>
          <w:rFonts w:ascii="Times New Roman" w:hAnsi="Times New Roman" w:cs="Times New Roman"/>
          <w:sz w:val="24"/>
          <w:szCs w:val="24"/>
        </w:rPr>
        <w:t xml:space="preserve"> </w:t>
      </w:r>
      <w:r w:rsidRPr="00184F35">
        <w:rPr>
          <w:rFonts w:ascii="Times New Roman" w:hAnsi="Times New Roman" w:cs="Times New Roman"/>
          <w:sz w:val="24"/>
          <w:szCs w:val="24"/>
        </w:rPr>
        <w:t>Mitochondrial Dynamics in Neurodegenerative Diseases: Unraveling the Role of Fusion and Fission Processes.Int J Mol Sci. Aug 22;24(17):13033. doi: 10.3390/ijms241713033</w:t>
      </w:r>
    </w:p>
    <w:p w14:paraId="40FBA165" w14:textId="77777777" w:rsidR="001D5B69" w:rsidRPr="008F4EA2" w:rsidRDefault="001D5B69" w:rsidP="001D5B69">
      <w:pPr>
        <w:pStyle w:val="ListParagraph"/>
        <w:spacing w:line="360" w:lineRule="auto"/>
        <w:ind w:left="0"/>
        <w:jc w:val="both"/>
        <w:rPr>
          <w:rFonts w:ascii="Times New Roman" w:hAnsi="Times New Roman" w:cs="Times New Roman"/>
          <w:sz w:val="24"/>
          <w:szCs w:val="24"/>
          <w:lang w:val="es-US"/>
        </w:rPr>
      </w:pPr>
      <w:r w:rsidRPr="00184F35">
        <w:rPr>
          <w:rFonts w:ascii="Times New Roman" w:hAnsi="Times New Roman" w:cs="Times New Roman"/>
          <w:sz w:val="24"/>
          <w:szCs w:val="24"/>
        </w:rPr>
        <w:t xml:space="preserve">Hoffman, H., &amp; Grigg, G. (1958). An electron microscopic study of mitochondria formation. </w:t>
      </w:r>
      <w:r w:rsidRPr="008F4EA2">
        <w:rPr>
          <w:rFonts w:ascii="Times New Roman" w:hAnsi="Times New Roman" w:cs="Times New Roman"/>
          <w:i/>
          <w:iCs/>
          <w:sz w:val="24"/>
          <w:szCs w:val="24"/>
          <w:lang w:val="es-US"/>
        </w:rPr>
        <w:t xml:space="preserve">Exp. Cell Res, </w:t>
      </w:r>
      <w:r w:rsidRPr="008F4EA2">
        <w:rPr>
          <w:rFonts w:ascii="Times New Roman" w:hAnsi="Times New Roman" w:cs="Times New Roman"/>
          <w:sz w:val="24"/>
          <w:szCs w:val="24"/>
          <w:lang w:val="es-US"/>
        </w:rPr>
        <w:t>15, 118–131.</w:t>
      </w:r>
    </w:p>
    <w:p w14:paraId="106B82E7" w14:textId="77777777" w:rsidR="001D5B69" w:rsidRPr="00184F35"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8F4EA2">
        <w:rPr>
          <w:rFonts w:ascii="Times New Roman" w:hAnsi="Times New Roman" w:cs="Times New Roman"/>
          <w:color w:val="000000" w:themeColor="text1"/>
          <w:sz w:val="24"/>
          <w:szCs w:val="24"/>
          <w:lang w:val="es-US"/>
        </w:rPr>
        <w:t xml:space="preserve">Isabel, A. M., Ana Karina, A. R., Mauricio, R. M., &amp; José, P. C. (2025).  </w:t>
      </w:r>
      <w:r w:rsidRPr="00184F35">
        <w:rPr>
          <w:rFonts w:ascii="Times New Roman" w:hAnsi="Times New Roman" w:cs="Times New Roman"/>
          <w:color w:val="000000" w:themeColor="text1"/>
          <w:sz w:val="24"/>
          <w:szCs w:val="24"/>
        </w:rPr>
        <w:t xml:space="preserve">Mitochondrial quality control and stress signaling pathways in the pathophysiology of cardio-renal diseases. </w:t>
      </w:r>
      <w:r w:rsidRPr="00184F35">
        <w:rPr>
          <w:rFonts w:ascii="Times New Roman" w:hAnsi="Times New Roman" w:cs="Times New Roman"/>
          <w:i/>
          <w:iCs/>
          <w:color w:val="000000" w:themeColor="text1"/>
          <w:sz w:val="24"/>
          <w:szCs w:val="24"/>
        </w:rPr>
        <w:t xml:space="preserve">Mitochondrion, </w:t>
      </w:r>
      <w:r w:rsidRPr="00184F35">
        <w:rPr>
          <w:rFonts w:ascii="Times New Roman" w:hAnsi="Times New Roman" w:cs="Times New Roman"/>
          <w:color w:val="000000" w:themeColor="text1"/>
          <w:sz w:val="24"/>
          <w:szCs w:val="24"/>
        </w:rPr>
        <w:t>Volume 84. 102040, ISSN 1567-7249.</w:t>
      </w:r>
    </w:p>
    <w:p w14:paraId="07898EEB" w14:textId="77777777" w:rsidR="001D5B69" w:rsidRPr="00184F35" w:rsidRDefault="001D5B69" w:rsidP="001D5B69">
      <w:pPr>
        <w:pStyle w:val="ListParagraph"/>
        <w:spacing w:line="360" w:lineRule="auto"/>
        <w:ind w:left="0"/>
        <w:rPr>
          <w:rFonts w:ascii="Times New Roman" w:hAnsi="Times New Roman" w:cs="Times New Roman"/>
          <w:sz w:val="24"/>
          <w:szCs w:val="24"/>
        </w:rPr>
      </w:pPr>
    </w:p>
    <w:p w14:paraId="433C8D49" w14:textId="77777777" w:rsidR="001D5B69" w:rsidRPr="00184F35" w:rsidRDefault="001D5B69" w:rsidP="001D5B69">
      <w:pPr>
        <w:pStyle w:val="ListParagraph"/>
        <w:spacing w:line="360" w:lineRule="auto"/>
        <w:ind w:left="0"/>
        <w:rPr>
          <w:rFonts w:ascii="Times New Roman" w:hAnsi="Times New Roman" w:cs="Times New Roman"/>
          <w:sz w:val="24"/>
          <w:szCs w:val="24"/>
        </w:rPr>
      </w:pPr>
      <w:r w:rsidRPr="00184F35">
        <w:rPr>
          <w:rFonts w:ascii="Times New Roman" w:hAnsi="Times New Roman" w:cs="Times New Roman"/>
          <w:sz w:val="24"/>
          <w:szCs w:val="24"/>
        </w:rPr>
        <w:t xml:space="preserve">Jade, P., Matt, K., Samuel, B., and Nitin, S. (2020).  Connecting RNA-Modifying Similarities of TDP-3, FUS, and SOD1 with MicroRNA Dysregulation Amidst A Renewed Network Perspective of Amyotrophic Lateral Sclerosis Proteinopathy. </w:t>
      </w:r>
      <w:r w:rsidRPr="00184F35">
        <w:rPr>
          <w:rFonts w:ascii="Times New Roman" w:hAnsi="Times New Roman" w:cs="Times New Roman"/>
          <w:i/>
          <w:iCs/>
          <w:sz w:val="24"/>
          <w:szCs w:val="24"/>
        </w:rPr>
        <w:t>Int. J. Mol. Sci,</w:t>
      </w:r>
      <w:r w:rsidRPr="00184F35">
        <w:rPr>
          <w:rFonts w:ascii="Times New Roman" w:hAnsi="Times New Roman" w:cs="Times New Roman"/>
          <w:sz w:val="24"/>
          <w:szCs w:val="24"/>
        </w:rPr>
        <w:t xml:space="preserve">21(10), 3464. </w:t>
      </w:r>
      <w:hyperlink r:id="rId9" w:history="1">
        <w:r w:rsidRPr="00184F35">
          <w:rPr>
            <w:rStyle w:val="Hyperlink"/>
            <w:rFonts w:ascii="Times New Roman" w:hAnsi="Times New Roman" w:cs="Times New Roman"/>
            <w:color w:val="000000" w:themeColor="text1"/>
            <w:sz w:val="24"/>
            <w:szCs w:val="24"/>
          </w:rPr>
          <w:t>https://doi.org/10.3390/ijms21103464</w:t>
        </w:r>
      </w:hyperlink>
    </w:p>
    <w:p w14:paraId="0505010A"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2C05961B"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James, D., Hugh, L., Shamima, R.</w:t>
      </w:r>
      <w:r w:rsidR="00C6271E">
        <w:rPr>
          <w:rFonts w:ascii="Times New Roman" w:hAnsi="Times New Roman" w:cs="Times New Roman"/>
          <w:sz w:val="24"/>
          <w:szCs w:val="24"/>
        </w:rPr>
        <w:t>(2019)</w:t>
      </w:r>
      <w:r w:rsidRPr="00184F35">
        <w:rPr>
          <w:rFonts w:ascii="Times New Roman" w:hAnsi="Times New Roman" w:cs="Times New Roman"/>
          <w:sz w:val="24"/>
          <w:szCs w:val="24"/>
        </w:rPr>
        <w:t xml:space="preserve"> Inherited mitochondrial disease. </w:t>
      </w:r>
      <w:r w:rsidRPr="00184F35">
        <w:rPr>
          <w:rFonts w:ascii="Times New Roman" w:hAnsi="Times New Roman" w:cs="Times New Roman"/>
          <w:i/>
          <w:iCs/>
          <w:sz w:val="24"/>
          <w:szCs w:val="24"/>
        </w:rPr>
        <w:t xml:space="preserve">Paediatrics and Child Health, </w:t>
      </w:r>
      <w:r w:rsidRPr="00184F35">
        <w:rPr>
          <w:rFonts w:ascii="Times New Roman" w:hAnsi="Times New Roman" w:cs="Times New Roman"/>
          <w:sz w:val="24"/>
          <w:szCs w:val="24"/>
        </w:rPr>
        <w:t>Volume 29, Issue 3, 116-122.</w:t>
      </w:r>
    </w:p>
    <w:p w14:paraId="6D5C497F"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087C761D" w14:textId="77777777" w:rsidR="001D5B69" w:rsidRPr="00184F35" w:rsidRDefault="001D5B69" w:rsidP="001D5B69">
      <w:pPr>
        <w:pStyle w:val="ListParagraph"/>
        <w:spacing w:line="360" w:lineRule="auto"/>
        <w:ind w:left="0"/>
        <w:jc w:val="both"/>
        <w:rPr>
          <w:rFonts w:ascii="Times New Roman" w:eastAsia="MS Gothic" w:hAnsi="Times New Roman" w:cs="Times New Roman"/>
          <w:sz w:val="24"/>
          <w:szCs w:val="24"/>
        </w:rPr>
      </w:pPr>
      <w:r w:rsidRPr="00184F35">
        <w:rPr>
          <w:rFonts w:ascii="Times New Roman" w:hAnsi="Times New Roman" w:cs="Times New Roman"/>
          <w:sz w:val="24"/>
          <w:szCs w:val="24"/>
        </w:rPr>
        <w:t>Jana, O., Shikha, S., Lilach, S. (2022). Nuclear Interactions: A Spotlight on Nuclear Mitochondrial Membrane Contact Sites Contact (Thousand Oaks).</w:t>
      </w:r>
    </w:p>
    <w:p w14:paraId="29CBFC72"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 doi: 10.1177/25152564221096217.</w:t>
      </w:r>
    </w:p>
    <w:p w14:paraId="11A066F3" w14:textId="77777777" w:rsidR="001D5B69" w:rsidRPr="00184F35" w:rsidRDefault="001D5B69" w:rsidP="001D5B69">
      <w:pPr>
        <w:rPr>
          <w:rFonts w:ascii="Times New Roman" w:hAnsi="Times New Roman" w:cs="Times New Roman"/>
          <w:sz w:val="24"/>
          <w:szCs w:val="24"/>
        </w:rPr>
      </w:pPr>
      <w:r w:rsidRPr="00184F35">
        <w:rPr>
          <w:rFonts w:ascii="Times New Roman" w:hAnsi="Times New Roman" w:cs="Times New Roman"/>
          <w:sz w:val="24"/>
          <w:szCs w:val="24"/>
        </w:rPr>
        <w:t>John G McCarron, Calum Wilson, Mairi E Sandison, Marnie L Olson, John M Girkin, Christopher Saunter, Susan Chalmers.</w:t>
      </w:r>
      <w:r w:rsidR="00C6271E" w:rsidRPr="00C6271E">
        <w:rPr>
          <w:rFonts w:ascii="Times New Roman" w:hAnsi="Times New Roman" w:cs="Times New Roman"/>
          <w:sz w:val="24"/>
          <w:szCs w:val="24"/>
        </w:rPr>
        <w:t xml:space="preserve"> </w:t>
      </w:r>
      <w:r w:rsidR="00C6271E">
        <w:rPr>
          <w:rFonts w:ascii="Times New Roman" w:hAnsi="Times New Roman" w:cs="Times New Roman"/>
          <w:sz w:val="24"/>
          <w:szCs w:val="24"/>
        </w:rPr>
        <w:t>(</w:t>
      </w:r>
      <w:r w:rsidR="00C6271E" w:rsidRPr="00184F35">
        <w:rPr>
          <w:rFonts w:ascii="Times New Roman" w:hAnsi="Times New Roman" w:cs="Times New Roman"/>
          <w:sz w:val="24"/>
          <w:szCs w:val="24"/>
        </w:rPr>
        <w:t>2013</w:t>
      </w:r>
      <w:r w:rsidR="00C6271E">
        <w:rPr>
          <w:rFonts w:ascii="Times New Roman" w:hAnsi="Times New Roman" w:cs="Times New Roman"/>
          <w:sz w:val="24"/>
          <w:szCs w:val="24"/>
        </w:rPr>
        <w:t>)</w:t>
      </w:r>
      <w:r w:rsidR="00C6271E" w:rsidRPr="00184F35">
        <w:rPr>
          <w:rFonts w:ascii="Times New Roman" w:hAnsi="Times New Roman" w:cs="Times New Roman"/>
          <w:sz w:val="24"/>
          <w:szCs w:val="24"/>
        </w:rPr>
        <w:t xml:space="preserve"> </w:t>
      </w:r>
      <w:r w:rsidRPr="00184F35">
        <w:rPr>
          <w:rFonts w:ascii="Times New Roman" w:hAnsi="Times New Roman" w:cs="Times New Roman"/>
          <w:sz w:val="24"/>
          <w:szCs w:val="24"/>
        </w:rPr>
        <w:t>From Structure to Function: Mitochondrial Morphology, Motion and Shaping in Vascular Smooth Muscle.J Vasc Res. Jul 24;50(5):357–371. doi: 10.1159/000353883.</w:t>
      </w:r>
    </w:p>
    <w:p w14:paraId="519A4155" w14:textId="77777777" w:rsidR="001D5B69" w:rsidRPr="00184F35" w:rsidRDefault="001D5B69" w:rsidP="001D5B69">
      <w:pPr>
        <w:pStyle w:val="ListParagraph"/>
        <w:spacing w:line="360" w:lineRule="auto"/>
        <w:ind w:left="0"/>
        <w:jc w:val="both"/>
        <w:rPr>
          <w:rFonts w:ascii="Times New Roman" w:eastAsia="MS Gothic" w:hAnsi="Times New Roman" w:cs="Times New Roman"/>
          <w:sz w:val="24"/>
          <w:szCs w:val="24"/>
        </w:rPr>
      </w:pPr>
    </w:p>
    <w:p w14:paraId="25C9378B"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Jazwinski, S. M., &amp; Kriete, A. (2012). The Yeast Retrograde Response as a Model of Intracellular Signaling of Mitochondrial Dysfunction. </w:t>
      </w:r>
      <w:r w:rsidRPr="00184F35">
        <w:rPr>
          <w:rFonts w:ascii="Times New Roman" w:hAnsi="Times New Roman" w:cs="Times New Roman"/>
          <w:i/>
          <w:iCs/>
          <w:sz w:val="24"/>
          <w:szCs w:val="24"/>
        </w:rPr>
        <w:t>Front. Physiol</w:t>
      </w:r>
      <w:r w:rsidRPr="00184F35">
        <w:rPr>
          <w:rFonts w:ascii="Times New Roman" w:hAnsi="Times New Roman" w:cs="Times New Roman"/>
          <w:sz w:val="24"/>
          <w:szCs w:val="24"/>
        </w:rPr>
        <w:t xml:space="preserve">, 3, 139. </w:t>
      </w:r>
    </w:p>
    <w:p w14:paraId="336484EC"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Jia, Y., Rothermel, B., Thornton, J., Butow, A. (1997).  A basic helix-loop-helix-leucine zipper transcription complex in yeast functions in a signaling pathway from mitochondria to the nucleus. </w:t>
      </w:r>
      <w:r w:rsidRPr="00184F35">
        <w:rPr>
          <w:rFonts w:ascii="Times New Roman" w:hAnsi="Times New Roman" w:cs="Times New Roman"/>
          <w:i/>
          <w:iCs/>
          <w:sz w:val="24"/>
          <w:szCs w:val="24"/>
        </w:rPr>
        <w:t xml:space="preserve">Mol. Cell. Biol, </w:t>
      </w:r>
      <w:r w:rsidRPr="00184F35">
        <w:rPr>
          <w:rFonts w:ascii="Times New Roman" w:hAnsi="Times New Roman" w:cs="Times New Roman"/>
          <w:sz w:val="24"/>
          <w:szCs w:val="24"/>
        </w:rPr>
        <w:t xml:space="preserve">17, 1110–1117. </w:t>
      </w:r>
    </w:p>
    <w:p w14:paraId="324C18C4"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2C5EF889" w14:textId="77777777" w:rsidR="001D5B69" w:rsidRPr="008F4EA2" w:rsidRDefault="001D5B69" w:rsidP="001D5B69">
      <w:pPr>
        <w:pStyle w:val="ListParagraph"/>
        <w:spacing w:line="360" w:lineRule="auto"/>
        <w:ind w:left="0"/>
        <w:jc w:val="both"/>
        <w:rPr>
          <w:rFonts w:ascii="Times New Roman" w:hAnsi="Times New Roman" w:cs="Times New Roman"/>
          <w:sz w:val="24"/>
          <w:szCs w:val="24"/>
          <w:lang w:val="es-US"/>
        </w:rPr>
      </w:pPr>
      <w:r w:rsidRPr="00184F35">
        <w:rPr>
          <w:rFonts w:ascii="Times New Roman" w:hAnsi="Times New Roman" w:cs="Times New Roman"/>
          <w:sz w:val="24"/>
          <w:szCs w:val="24"/>
        </w:rPr>
        <w:lastRenderedPageBreak/>
        <w:t xml:space="preserve">Jiajia, X. u., Wei, D. u., Yunhe, Z., Kahleong, L., Li, L. u., Chengwu, Z., &amp; Lin, L. (2022). Mitochondria targeting drugs for neurodegenerative diseases—Design, mechanism and application. </w:t>
      </w:r>
      <w:r w:rsidRPr="008F4EA2">
        <w:rPr>
          <w:rFonts w:ascii="Times New Roman" w:hAnsi="Times New Roman" w:cs="Times New Roman"/>
          <w:i/>
          <w:iCs/>
          <w:sz w:val="24"/>
          <w:szCs w:val="24"/>
          <w:lang w:val="es-US"/>
        </w:rPr>
        <w:t xml:space="preserve">Acta Pharm Sin B, </w:t>
      </w:r>
      <w:r w:rsidRPr="008F4EA2">
        <w:rPr>
          <w:rFonts w:ascii="Times New Roman" w:hAnsi="Times New Roman" w:cs="Times New Roman"/>
          <w:sz w:val="24"/>
          <w:szCs w:val="24"/>
          <w:lang w:val="es-US"/>
        </w:rPr>
        <w:t xml:space="preserve">12(6):2778–2789. </w:t>
      </w:r>
    </w:p>
    <w:p w14:paraId="527177BC" w14:textId="77777777" w:rsidR="001D5B69" w:rsidRPr="008F4EA2" w:rsidRDefault="001D5B69" w:rsidP="001D5B69">
      <w:pPr>
        <w:pStyle w:val="ListParagraph"/>
        <w:spacing w:line="360" w:lineRule="auto"/>
        <w:ind w:left="0"/>
        <w:jc w:val="both"/>
        <w:rPr>
          <w:rFonts w:ascii="Times New Roman" w:hAnsi="Times New Roman" w:cs="Times New Roman"/>
          <w:sz w:val="24"/>
          <w:szCs w:val="24"/>
          <w:lang w:val="es-US"/>
        </w:rPr>
      </w:pPr>
      <w:r w:rsidRPr="008F4EA2">
        <w:rPr>
          <w:rFonts w:ascii="Times New Roman" w:hAnsi="Times New Roman" w:cs="Times New Roman"/>
          <w:sz w:val="24"/>
          <w:szCs w:val="24"/>
          <w:lang w:val="es-US"/>
        </w:rPr>
        <w:t>doi: 10.1016/j.apsb.2022.03.001.</w:t>
      </w:r>
    </w:p>
    <w:p w14:paraId="660B4A93" w14:textId="77777777" w:rsidR="001D5B69" w:rsidRPr="008F4EA2" w:rsidRDefault="001D5B69" w:rsidP="001D5B69">
      <w:pPr>
        <w:pStyle w:val="ListParagraph"/>
        <w:spacing w:line="360" w:lineRule="auto"/>
        <w:ind w:left="0"/>
        <w:jc w:val="both"/>
        <w:rPr>
          <w:rFonts w:ascii="Times New Roman" w:hAnsi="Times New Roman" w:cs="Times New Roman"/>
          <w:sz w:val="24"/>
          <w:szCs w:val="24"/>
          <w:lang w:val="es-US"/>
        </w:rPr>
      </w:pPr>
    </w:p>
    <w:p w14:paraId="5A38DD17"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8F4EA2">
        <w:rPr>
          <w:rFonts w:ascii="Times New Roman" w:hAnsi="Times New Roman" w:cs="Times New Roman"/>
          <w:sz w:val="24"/>
          <w:szCs w:val="24"/>
          <w:lang w:val="es-US"/>
        </w:rPr>
        <w:t xml:space="preserve">Joe, D. D., Luis, A. J., Alvarez, X.  </w:t>
      </w:r>
      <w:r w:rsidRPr="00184F35">
        <w:rPr>
          <w:rFonts w:ascii="Times New Roman" w:hAnsi="Times New Roman" w:cs="Times New Roman"/>
          <w:sz w:val="24"/>
          <w:szCs w:val="24"/>
        </w:rPr>
        <w:t xml:space="preserve">Z., Thierry, S. (2015).  Reactive oxygen species and mitochondria: A nexus of cellular homeostasis. </w:t>
      </w:r>
      <w:r w:rsidRPr="00184F35">
        <w:rPr>
          <w:rFonts w:ascii="Times New Roman" w:hAnsi="Times New Roman" w:cs="Times New Roman"/>
          <w:i/>
          <w:iCs/>
          <w:sz w:val="24"/>
          <w:szCs w:val="24"/>
        </w:rPr>
        <w:t xml:space="preserve">Redox Biology, </w:t>
      </w:r>
      <w:r w:rsidRPr="00184F35">
        <w:rPr>
          <w:rFonts w:ascii="Times New Roman" w:hAnsi="Times New Roman" w:cs="Times New Roman"/>
          <w:sz w:val="24"/>
          <w:szCs w:val="24"/>
        </w:rPr>
        <w:t>Volume 6,  472-485.</w:t>
      </w:r>
    </w:p>
    <w:p w14:paraId="5286A694"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12B152D6"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Johannes, A. M., Tobias, B. H., Peter, F., Daniela, K., Christine, M., Johannes, K., René, G. F., Franz, A. Z., Boris, R., Uwe, A., Thomas, M., Holger, P., &amp; Wolfgang, S. (2015). Spectrum of combined respiratory chain defects. </w:t>
      </w:r>
      <w:r w:rsidRPr="00184F35">
        <w:rPr>
          <w:rFonts w:ascii="Times New Roman" w:hAnsi="Times New Roman" w:cs="Times New Roman"/>
          <w:i/>
          <w:iCs/>
          <w:sz w:val="24"/>
          <w:szCs w:val="24"/>
        </w:rPr>
        <w:t xml:space="preserve">J Inherit Metab Dis, </w:t>
      </w:r>
      <w:r w:rsidRPr="00184F35">
        <w:rPr>
          <w:rFonts w:ascii="Times New Roman" w:hAnsi="Times New Roman" w:cs="Times New Roman"/>
          <w:sz w:val="24"/>
          <w:szCs w:val="24"/>
        </w:rPr>
        <w:t xml:space="preserve">38(4):629–640. </w:t>
      </w:r>
    </w:p>
    <w:p w14:paraId="37C391C4"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doi: 10.1007/s10545-015-9831-y.</w:t>
      </w:r>
    </w:p>
    <w:p w14:paraId="64BBE49E" w14:textId="77777777" w:rsidR="001D5B69" w:rsidRPr="00184F35" w:rsidRDefault="001D5B69" w:rsidP="001D5B69">
      <w:pPr>
        <w:pStyle w:val="ListParagraph"/>
        <w:spacing w:line="360" w:lineRule="auto"/>
        <w:ind w:left="0"/>
        <w:rPr>
          <w:rFonts w:ascii="Times New Roman" w:hAnsi="Times New Roman" w:cs="Times New Roman"/>
          <w:sz w:val="24"/>
          <w:szCs w:val="24"/>
        </w:rPr>
      </w:pPr>
    </w:p>
    <w:p w14:paraId="173E6821"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502D6E96"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Kaili, M. G., Chen, W. O., &amp; Kepp, Y Z. (2020). Mitophagy, Mitochondrial Homeostasis, and Cell Fate. </w:t>
      </w:r>
      <w:r w:rsidRPr="00184F35">
        <w:rPr>
          <w:rFonts w:ascii="Times New Roman" w:hAnsi="Times New Roman" w:cs="Times New Roman"/>
          <w:i/>
          <w:iCs/>
          <w:sz w:val="24"/>
          <w:szCs w:val="24"/>
        </w:rPr>
        <w:t xml:space="preserve">Front Cell Dev Biol, </w:t>
      </w:r>
      <w:r w:rsidRPr="00184F35">
        <w:rPr>
          <w:rFonts w:ascii="Times New Roman" w:hAnsi="Times New Roman" w:cs="Times New Roman"/>
          <w:sz w:val="24"/>
          <w:szCs w:val="24"/>
        </w:rPr>
        <w:t xml:space="preserve">8:467. </w:t>
      </w:r>
    </w:p>
    <w:p w14:paraId="79F85DF6"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doi: 10.3389/fcell.2020.00467</w:t>
      </w:r>
    </w:p>
    <w:p w14:paraId="48398EAB"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632309F7"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52422C62"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Kim, S., &amp; Koh, H. (2017). Role of FOXO transcription factors in crosstalk between mitochondria and the nucleus. </w:t>
      </w:r>
      <w:r w:rsidRPr="00184F35">
        <w:rPr>
          <w:rFonts w:ascii="Times New Roman" w:hAnsi="Times New Roman" w:cs="Times New Roman"/>
          <w:i/>
          <w:iCs/>
          <w:sz w:val="24"/>
          <w:szCs w:val="24"/>
        </w:rPr>
        <w:t>J. Bioenerg. Biomembr</w:t>
      </w:r>
      <w:r w:rsidRPr="00184F35">
        <w:rPr>
          <w:rFonts w:ascii="Times New Roman" w:hAnsi="Times New Roman" w:cs="Times New Roman"/>
          <w:sz w:val="24"/>
          <w:szCs w:val="24"/>
        </w:rPr>
        <w:t xml:space="preserve">, 16, 18224–18341. </w:t>
      </w:r>
    </w:p>
    <w:p w14:paraId="4FAD9BC5" w14:textId="77777777" w:rsidR="001D5B69" w:rsidRPr="00184F35"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523DAB2F" w14:textId="77777777" w:rsidR="001D5B69" w:rsidRPr="00D81317" w:rsidRDefault="001D5B69" w:rsidP="001D5B69">
      <w:pPr>
        <w:pStyle w:val="ListParagraph"/>
        <w:spacing w:line="360" w:lineRule="auto"/>
        <w:ind w:left="0"/>
        <w:jc w:val="both"/>
        <w:rPr>
          <w:rStyle w:val="HTMLCite"/>
          <w:rFonts w:ascii="Times New Roman" w:hAnsi="Times New Roman" w:cs="Times New Roman"/>
          <w:i w:val="0"/>
          <w:iCs w:val="0"/>
          <w:color w:val="000000" w:themeColor="text1"/>
          <w:sz w:val="24"/>
          <w:szCs w:val="24"/>
        </w:rPr>
      </w:pPr>
      <w:r w:rsidRPr="00D81317">
        <w:rPr>
          <w:rStyle w:val="HTMLCite"/>
          <w:rFonts w:ascii="Times New Roman" w:hAnsi="Times New Roman" w:cs="Times New Roman"/>
          <w:i w:val="0"/>
          <w:color w:val="1B1B1B"/>
          <w:sz w:val="24"/>
          <w:szCs w:val="24"/>
          <w:shd w:val="clear" w:color="auto" w:fill="FFFFFF"/>
        </w:rPr>
        <w:t>Kuhlbrandt, W. (2015). Structure and function of mitochondrial membrane protein complexes. BMC Biol, 13:89.</w:t>
      </w:r>
    </w:p>
    <w:p w14:paraId="22DD0304" w14:textId="77777777" w:rsidR="001D5B69" w:rsidRPr="00184F35" w:rsidRDefault="001D5B69" w:rsidP="001D5B69">
      <w:pPr>
        <w:pStyle w:val="ListParagraph"/>
        <w:spacing w:line="360" w:lineRule="auto"/>
        <w:ind w:left="0"/>
        <w:jc w:val="both"/>
        <w:rPr>
          <w:rStyle w:val="HTMLCite"/>
          <w:rFonts w:ascii="Times New Roman" w:hAnsi="Times New Roman" w:cs="Times New Roman"/>
          <w:i w:val="0"/>
          <w:iCs w:val="0"/>
          <w:color w:val="000000" w:themeColor="text1"/>
          <w:sz w:val="24"/>
          <w:szCs w:val="24"/>
        </w:rPr>
      </w:pPr>
      <w:r w:rsidRPr="00184F35">
        <w:rPr>
          <w:rStyle w:val="HTMLCite"/>
          <w:rFonts w:ascii="Times New Roman" w:hAnsi="Times New Roman" w:cs="Times New Roman"/>
          <w:color w:val="1B1B1B"/>
          <w:sz w:val="24"/>
          <w:szCs w:val="24"/>
          <w:shd w:val="clear" w:color="auto" w:fill="FFFFFF"/>
        </w:rPr>
        <w:t xml:space="preserve"> DOI: 10.1186/s12915-015-0201-x.</w:t>
      </w:r>
    </w:p>
    <w:p w14:paraId="13C97B3C" w14:textId="77777777" w:rsidR="001D5B69" w:rsidRPr="00184F35" w:rsidRDefault="001D5B69" w:rsidP="001D5B69">
      <w:pPr>
        <w:pStyle w:val="ListParagraph"/>
        <w:spacing w:line="360" w:lineRule="auto"/>
        <w:ind w:left="0"/>
        <w:jc w:val="both"/>
        <w:rPr>
          <w:rStyle w:val="HTMLCite"/>
          <w:rFonts w:ascii="Times New Roman" w:hAnsi="Times New Roman" w:cs="Times New Roman"/>
          <w:i w:val="0"/>
          <w:iCs w:val="0"/>
          <w:color w:val="000000" w:themeColor="text1"/>
          <w:sz w:val="24"/>
          <w:szCs w:val="24"/>
        </w:rPr>
      </w:pPr>
      <w:r w:rsidRPr="00184F35">
        <w:rPr>
          <w:rFonts w:ascii="Times New Roman" w:hAnsi="Times New Roman" w:cs="Times New Roman"/>
          <w:color w:val="000000" w:themeColor="text1"/>
          <w:sz w:val="24"/>
          <w:szCs w:val="24"/>
        </w:rPr>
        <w:t xml:space="preserve">Lee, Y.  T., Senturk, M., Guan, Y., &amp; Wang, M. C. (2024). Bacteria–Organelle Communication in Physiology and Disease. </w:t>
      </w:r>
      <w:r w:rsidRPr="00184F35">
        <w:rPr>
          <w:rFonts w:ascii="Times New Roman" w:hAnsi="Times New Roman" w:cs="Times New Roman"/>
          <w:i/>
          <w:iCs/>
          <w:color w:val="000000" w:themeColor="text1"/>
          <w:sz w:val="24"/>
          <w:szCs w:val="24"/>
        </w:rPr>
        <w:t>J. Cell Biol.,</w:t>
      </w:r>
      <w:r w:rsidRPr="00184F35">
        <w:rPr>
          <w:rFonts w:ascii="Times New Roman" w:hAnsi="Times New Roman" w:cs="Times New Roman"/>
          <w:color w:val="000000" w:themeColor="text1"/>
          <w:sz w:val="24"/>
          <w:szCs w:val="24"/>
        </w:rPr>
        <w:t xml:space="preserve"> Article e202310134, 10.1083/jcb.202310134.</w:t>
      </w:r>
    </w:p>
    <w:p w14:paraId="33896AEA"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39D75CBD"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Li, L. D., Chounghun, K., &amp; Tianou, Z. (2020). The role of mitochondria in redox signaling of muscle homeostasis. </w:t>
      </w:r>
      <w:r w:rsidRPr="00184F35">
        <w:rPr>
          <w:rFonts w:ascii="Times New Roman" w:hAnsi="Times New Roman" w:cs="Times New Roman"/>
          <w:i/>
          <w:iCs/>
          <w:sz w:val="24"/>
          <w:szCs w:val="24"/>
        </w:rPr>
        <w:t>Journal of Sport and Health Science</w:t>
      </w:r>
      <w:r w:rsidRPr="00184F35">
        <w:rPr>
          <w:rFonts w:ascii="Times New Roman" w:hAnsi="Times New Roman" w:cs="Times New Roman"/>
          <w:sz w:val="24"/>
          <w:szCs w:val="24"/>
        </w:rPr>
        <w:t>, Volume 9, Issue 5, 386-393.</w:t>
      </w:r>
    </w:p>
    <w:p w14:paraId="160D8E50" w14:textId="77777777" w:rsidR="00D81317" w:rsidRDefault="00D81317" w:rsidP="001D5B69">
      <w:pPr>
        <w:pStyle w:val="ListParagraph"/>
        <w:spacing w:line="360" w:lineRule="auto"/>
        <w:ind w:left="0"/>
        <w:jc w:val="both"/>
        <w:rPr>
          <w:rFonts w:ascii="Times New Roman" w:hAnsi="Times New Roman" w:cs="Times New Roman"/>
          <w:sz w:val="24"/>
          <w:szCs w:val="24"/>
        </w:rPr>
      </w:pPr>
    </w:p>
    <w:p w14:paraId="211949C3"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lastRenderedPageBreak/>
        <w:t xml:space="preserve">Liu, J., &amp; Lin, A. (2005). Role of JNK activation in apoptosis: A double-edged sword. </w:t>
      </w:r>
      <w:r w:rsidRPr="00184F35">
        <w:rPr>
          <w:rFonts w:ascii="Times New Roman" w:hAnsi="Times New Roman" w:cs="Times New Roman"/>
          <w:i/>
          <w:iCs/>
          <w:sz w:val="24"/>
          <w:szCs w:val="24"/>
        </w:rPr>
        <w:t xml:space="preserve">Cell Res, </w:t>
      </w:r>
      <w:r w:rsidRPr="00184F35">
        <w:rPr>
          <w:rFonts w:ascii="Times New Roman" w:hAnsi="Times New Roman" w:cs="Times New Roman"/>
          <w:sz w:val="24"/>
          <w:szCs w:val="24"/>
        </w:rPr>
        <w:t xml:space="preserve">15, 36–42. </w:t>
      </w:r>
    </w:p>
    <w:p w14:paraId="622F883E"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548A9A86"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Liu, Z., &amp; Butow, R. A. (2006). Mitochondrial Retrograde Signaling. </w:t>
      </w:r>
      <w:r w:rsidRPr="00184F35">
        <w:rPr>
          <w:rFonts w:ascii="Times New Roman" w:hAnsi="Times New Roman" w:cs="Times New Roman"/>
          <w:i/>
          <w:iCs/>
          <w:sz w:val="24"/>
          <w:szCs w:val="24"/>
        </w:rPr>
        <w:t xml:space="preserve">Annu. Rev. Genet, </w:t>
      </w:r>
      <w:r w:rsidRPr="00184F35">
        <w:rPr>
          <w:rFonts w:ascii="Times New Roman" w:hAnsi="Times New Roman" w:cs="Times New Roman"/>
          <w:sz w:val="24"/>
          <w:szCs w:val="24"/>
        </w:rPr>
        <w:t xml:space="preserve">40, 159-185. </w:t>
      </w:r>
    </w:p>
    <w:p w14:paraId="6456E503"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749C983A"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Lucy, F., &amp; Kevin, T. (2022).  A case of SOD1 deficiency: implications for clinical trials. </w:t>
      </w:r>
      <w:r w:rsidRPr="00184F35">
        <w:rPr>
          <w:rFonts w:ascii="Times New Roman" w:hAnsi="Times New Roman" w:cs="Times New Roman"/>
          <w:i/>
          <w:iCs/>
          <w:sz w:val="24"/>
          <w:szCs w:val="24"/>
        </w:rPr>
        <w:t>Brain</w:t>
      </w:r>
      <w:r w:rsidRPr="00184F35">
        <w:rPr>
          <w:rFonts w:ascii="Times New Roman" w:hAnsi="Times New Roman" w:cs="Times New Roman"/>
          <w:sz w:val="24"/>
          <w:szCs w:val="24"/>
        </w:rPr>
        <w:t>, Volume 145, 805–806.</w:t>
      </w:r>
    </w:p>
    <w:p w14:paraId="3688D7BE"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3AC95270"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Marco, S. C. (2016). Oncometabolites: Unconventional triggers of oncogenic signalling cascades. </w:t>
      </w:r>
      <w:r w:rsidRPr="00184F35">
        <w:rPr>
          <w:rFonts w:ascii="Times New Roman" w:hAnsi="Times New Roman" w:cs="Times New Roman"/>
          <w:i/>
          <w:iCs/>
          <w:sz w:val="24"/>
          <w:szCs w:val="24"/>
        </w:rPr>
        <w:t>Free Radic Biol Med</w:t>
      </w:r>
      <w:r w:rsidRPr="00184F35">
        <w:rPr>
          <w:rFonts w:ascii="Times New Roman" w:hAnsi="Times New Roman" w:cs="Times New Roman"/>
          <w:sz w:val="24"/>
          <w:szCs w:val="24"/>
        </w:rPr>
        <w:t xml:space="preserve">, 100:175–181. </w:t>
      </w:r>
    </w:p>
    <w:p w14:paraId="586C784A"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doi: 10.1016/j.freeradbiomed.2016.04.025.</w:t>
      </w:r>
    </w:p>
    <w:p w14:paraId="544F9469"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0BFD5EB5"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Maria, C. B., Salim, K. M., Geller, D., Praticò, J.  P.</w:t>
      </w:r>
      <w:r w:rsidR="00C6271E">
        <w:rPr>
          <w:rFonts w:ascii="Times New Roman" w:hAnsi="Times New Roman" w:cs="Times New Roman"/>
          <w:sz w:val="24"/>
          <w:szCs w:val="24"/>
        </w:rPr>
        <w:t>(2025)</w:t>
      </w:r>
      <w:r w:rsidRPr="00184F35">
        <w:rPr>
          <w:rFonts w:ascii="Times New Roman" w:hAnsi="Times New Roman" w:cs="Times New Roman"/>
          <w:sz w:val="24"/>
          <w:szCs w:val="24"/>
        </w:rPr>
        <w:t xml:space="preserve"> Mitochondrial dysfunction in Alzheimer’s disease</w:t>
      </w:r>
      <w:r w:rsidRPr="00184F35">
        <w:rPr>
          <w:rFonts w:ascii="Times New Roman" w:hAnsi="Times New Roman" w:cs="Times New Roman"/>
          <w:i/>
          <w:iCs/>
          <w:sz w:val="24"/>
          <w:szCs w:val="24"/>
        </w:rPr>
        <w:t>. Ageing Research Reviews</w:t>
      </w:r>
      <w:r w:rsidRPr="00184F35">
        <w:rPr>
          <w:rFonts w:ascii="Times New Roman" w:hAnsi="Times New Roman" w:cs="Times New Roman"/>
          <w:sz w:val="24"/>
          <w:szCs w:val="24"/>
        </w:rPr>
        <w:t>. Volume 107, 102713.</w:t>
      </w:r>
    </w:p>
    <w:p w14:paraId="12270213"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7D874ED7"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Maria, D. Laurie, G. N., &amp; Déglon, E. B. (2010). Mitochondria in Huntington's disease. </w:t>
      </w:r>
      <w:r w:rsidRPr="00184F35">
        <w:rPr>
          <w:rFonts w:ascii="Times New Roman" w:hAnsi="Times New Roman" w:cs="Times New Roman"/>
          <w:i/>
          <w:iCs/>
          <w:sz w:val="24"/>
          <w:szCs w:val="24"/>
        </w:rPr>
        <w:t>Bioimica et Biophysica Acta (BBA)</w:t>
      </w:r>
      <w:r w:rsidRPr="00184F35">
        <w:rPr>
          <w:rFonts w:ascii="Times New Roman" w:hAnsi="Times New Roman" w:cs="Times New Roman"/>
          <w:sz w:val="24"/>
          <w:szCs w:val="24"/>
        </w:rPr>
        <w:t xml:space="preserve"> - Molecular Basis of Disease Volume 1802, Issue 1, 52-61.</w:t>
      </w:r>
    </w:p>
    <w:p w14:paraId="4AE89A4C"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587429C1"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8F4EA2">
        <w:rPr>
          <w:rFonts w:ascii="Times New Roman" w:hAnsi="Times New Roman" w:cs="Times New Roman"/>
          <w:sz w:val="24"/>
          <w:szCs w:val="24"/>
          <w:lang w:val="es-US"/>
        </w:rPr>
        <w:t xml:space="preserve">Maria, V. L. &amp; Jason, W. L. (2016). </w:t>
      </w:r>
      <w:r w:rsidRPr="00184F35">
        <w:rPr>
          <w:rFonts w:ascii="Times New Roman" w:hAnsi="Times New Roman" w:cs="Times New Roman"/>
          <w:sz w:val="24"/>
          <w:szCs w:val="24"/>
        </w:rPr>
        <w:t xml:space="preserve">The Warburg Effect: How Does it Benefit Cancer Cells?. </w:t>
      </w:r>
      <w:r w:rsidRPr="00184F35">
        <w:rPr>
          <w:rFonts w:ascii="Times New Roman" w:hAnsi="Times New Roman" w:cs="Times New Roman"/>
          <w:i/>
          <w:iCs/>
          <w:sz w:val="24"/>
          <w:szCs w:val="24"/>
        </w:rPr>
        <w:t xml:space="preserve">Trends Biochem Sci, </w:t>
      </w:r>
      <w:r w:rsidRPr="00184F35">
        <w:rPr>
          <w:rFonts w:ascii="Times New Roman" w:hAnsi="Times New Roman" w:cs="Times New Roman"/>
          <w:sz w:val="24"/>
          <w:szCs w:val="24"/>
        </w:rPr>
        <w:t xml:space="preserve">41(3):211–218. </w:t>
      </w:r>
    </w:p>
    <w:p w14:paraId="7B72AA46"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doi: 10.1016/j.tibs.2015.12.001.</w:t>
      </w:r>
    </w:p>
    <w:p w14:paraId="78FB4579" w14:textId="77777777" w:rsidR="001D5B69" w:rsidRPr="00184F35" w:rsidRDefault="001D5B69" w:rsidP="001D5B69">
      <w:pPr>
        <w:rPr>
          <w:rFonts w:ascii="Times New Roman" w:hAnsi="Times New Roman" w:cs="Times New Roman"/>
          <w:sz w:val="24"/>
          <w:szCs w:val="24"/>
        </w:rPr>
      </w:pPr>
      <w:r w:rsidRPr="00184F35">
        <w:rPr>
          <w:rFonts w:ascii="Times New Roman" w:hAnsi="Times New Roman" w:cs="Times New Roman"/>
          <w:sz w:val="24"/>
          <w:szCs w:val="24"/>
        </w:rPr>
        <w:t>Mengqian Liu, Chen Gong, Xiaozhu Shen, Yi Jiang , Yiwen Xu , Wen Zhong , Yujiao Chen, Nan Dong, Jingxian Liao, Ning Yin.</w:t>
      </w:r>
      <w:r w:rsidR="00C6271E" w:rsidRPr="00C6271E">
        <w:rPr>
          <w:rFonts w:ascii="Times New Roman" w:hAnsi="Times New Roman" w:cs="Times New Roman"/>
          <w:sz w:val="24"/>
          <w:szCs w:val="24"/>
        </w:rPr>
        <w:t xml:space="preserve"> </w:t>
      </w:r>
      <w:r w:rsidR="00C6271E">
        <w:rPr>
          <w:rFonts w:ascii="Times New Roman" w:hAnsi="Times New Roman" w:cs="Times New Roman"/>
          <w:sz w:val="24"/>
          <w:szCs w:val="24"/>
        </w:rPr>
        <w:t>(</w:t>
      </w:r>
      <w:r w:rsidR="00C6271E" w:rsidRPr="00184F35">
        <w:rPr>
          <w:rFonts w:ascii="Times New Roman" w:hAnsi="Times New Roman" w:cs="Times New Roman"/>
          <w:sz w:val="24"/>
          <w:szCs w:val="24"/>
        </w:rPr>
        <w:t>2023</w:t>
      </w:r>
      <w:r w:rsidR="00C6271E">
        <w:rPr>
          <w:rFonts w:ascii="Times New Roman" w:hAnsi="Times New Roman" w:cs="Times New Roman"/>
          <w:sz w:val="24"/>
          <w:szCs w:val="24"/>
        </w:rPr>
        <w:t>)</w:t>
      </w:r>
      <w:r w:rsidR="00C6271E" w:rsidRPr="00184F35">
        <w:rPr>
          <w:rFonts w:ascii="Times New Roman" w:hAnsi="Times New Roman" w:cs="Times New Roman"/>
          <w:sz w:val="24"/>
          <w:szCs w:val="24"/>
        </w:rPr>
        <w:t xml:space="preserve"> </w:t>
      </w:r>
      <w:r w:rsidRPr="00184F35">
        <w:rPr>
          <w:rFonts w:ascii="Times New Roman" w:hAnsi="Times New Roman" w:cs="Times New Roman"/>
          <w:sz w:val="24"/>
          <w:szCs w:val="24"/>
        </w:rPr>
        <w:t>Mitochondrial dynamics-related genes DRP1 and OPA1 contributes to early diagnosis of cognitive impairment in diabetes.BMC Geriatr. Aug 10;23:484. doi: 10.1186/s12877-023-04156-x.</w:t>
      </w:r>
    </w:p>
    <w:p w14:paraId="5AA53182"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0E69407D"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Martinez, R. I., &amp; Chandel, N. S. (2020).  Mitochondrial TCA cycle metabolites control physiology and disease. </w:t>
      </w:r>
      <w:r w:rsidRPr="00184F35">
        <w:rPr>
          <w:rFonts w:ascii="Times New Roman" w:hAnsi="Times New Roman" w:cs="Times New Roman"/>
          <w:i/>
          <w:iCs/>
          <w:sz w:val="24"/>
          <w:szCs w:val="24"/>
        </w:rPr>
        <w:t>Nat Commun</w:t>
      </w:r>
      <w:r w:rsidRPr="00184F35">
        <w:rPr>
          <w:rFonts w:ascii="Times New Roman" w:hAnsi="Times New Roman" w:cs="Times New Roman"/>
          <w:sz w:val="24"/>
          <w:szCs w:val="24"/>
        </w:rPr>
        <w:t>, </w:t>
      </w:r>
      <w:r w:rsidRPr="00184F35">
        <w:rPr>
          <w:rFonts w:ascii="Times New Roman" w:hAnsi="Times New Roman" w:cs="Times New Roman"/>
          <w:b/>
          <w:bCs/>
          <w:sz w:val="24"/>
          <w:szCs w:val="24"/>
        </w:rPr>
        <w:t>11</w:t>
      </w:r>
      <w:r w:rsidRPr="00184F35">
        <w:rPr>
          <w:rFonts w:ascii="Times New Roman" w:hAnsi="Times New Roman" w:cs="Times New Roman"/>
          <w:sz w:val="24"/>
          <w:szCs w:val="24"/>
        </w:rPr>
        <w:t>(1):102.</w:t>
      </w:r>
    </w:p>
    <w:p w14:paraId="76DBC357"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67E1C8D4"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lastRenderedPageBreak/>
        <w:t xml:space="preserve">Masakazu, M., Xiaonan, W., Matthew, M., David, R. T., Michael, T. R. (2012). Understanding mitochondrial complex I assembly in health and disease. </w:t>
      </w:r>
      <w:r w:rsidRPr="00184F35">
        <w:rPr>
          <w:rFonts w:ascii="Times New Roman" w:hAnsi="Times New Roman" w:cs="Times New Roman"/>
          <w:i/>
          <w:iCs/>
          <w:sz w:val="24"/>
          <w:szCs w:val="24"/>
        </w:rPr>
        <w:t xml:space="preserve">Biochimica et Biophysica Acta (BBA) – Bioenergetics </w:t>
      </w:r>
      <w:r w:rsidRPr="00184F35">
        <w:rPr>
          <w:rFonts w:ascii="Times New Roman" w:hAnsi="Times New Roman" w:cs="Times New Roman"/>
          <w:sz w:val="24"/>
          <w:szCs w:val="24"/>
        </w:rPr>
        <w:t>- Volume 1817, 851-862.</w:t>
      </w:r>
    </w:p>
    <w:p w14:paraId="5BE26054"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16966543"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Mingyang, Li., Limin, W., Haibo, S. Y., Wu, Y. L., Zeng, Y., &amp; Bin, S. (2025). Engineered mitochondria in diseases: mechanisms, strategies, and applications. </w:t>
      </w:r>
      <w:r w:rsidRPr="00184F35">
        <w:rPr>
          <w:rFonts w:ascii="Times New Roman" w:hAnsi="Times New Roman" w:cs="Times New Roman"/>
          <w:i/>
          <w:iCs/>
          <w:sz w:val="24"/>
          <w:szCs w:val="24"/>
        </w:rPr>
        <w:t>Signal Transduction and Targeted Therapy volume 10</w:t>
      </w:r>
      <w:r w:rsidRPr="00184F35">
        <w:rPr>
          <w:rFonts w:ascii="Times New Roman" w:hAnsi="Times New Roman" w:cs="Times New Roman"/>
          <w:sz w:val="24"/>
          <w:szCs w:val="24"/>
        </w:rPr>
        <w:t>, Article number: 71.</w:t>
      </w:r>
    </w:p>
    <w:p w14:paraId="22B780A7" w14:textId="77777777" w:rsidR="001D5B69" w:rsidRPr="00184F35" w:rsidRDefault="001D5B69" w:rsidP="001D5B69">
      <w:pPr>
        <w:pStyle w:val="ListParagraph"/>
        <w:ind w:left="0"/>
        <w:rPr>
          <w:rFonts w:ascii="Times New Roman" w:hAnsi="Times New Roman" w:cs="Times New Roman"/>
          <w:sz w:val="24"/>
          <w:szCs w:val="24"/>
        </w:rPr>
      </w:pPr>
    </w:p>
    <w:p w14:paraId="74CF3AD1" w14:textId="77777777" w:rsidR="001D5B69" w:rsidRPr="00184F35" w:rsidRDefault="001D5B69" w:rsidP="001D5B69">
      <w:pPr>
        <w:pStyle w:val="ListParagraph"/>
        <w:ind w:left="0"/>
        <w:rPr>
          <w:rFonts w:ascii="Times New Roman" w:hAnsi="Times New Roman" w:cs="Times New Roman"/>
          <w:sz w:val="24"/>
          <w:szCs w:val="24"/>
        </w:rPr>
      </w:pPr>
      <w:r w:rsidRPr="00184F35">
        <w:rPr>
          <w:rFonts w:ascii="Times New Roman" w:hAnsi="Times New Roman" w:cs="Times New Roman"/>
          <w:sz w:val="24"/>
          <w:szCs w:val="24"/>
        </w:rPr>
        <w:t xml:space="preserve">Mary Adebayo,Seema Singh,Ajay Pratap Singh,Santanu Dasgupta. </w:t>
      </w:r>
      <w:r w:rsidR="00C6271E">
        <w:rPr>
          <w:rFonts w:ascii="Times New Roman" w:hAnsi="Times New Roman" w:cs="Times New Roman"/>
          <w:sz w:val="24"/>
          <w:szCs w:val="24"/>
        </w:rPr>
        <w:t>(</w:t>
      </w:r>
      <w:r w:rsidR="00C6271E" w:rsidRPr="00184F35">
        <w:rPr>
          <w:rFonts w:ascii="Times New Roman" w:hAnsi="Times New Roman" w:cs="Times New Roman"/>
          <w:sz w:val="24"/>
          <w:szCs w:val="24"/>
        </w:rPr>
        <w:t>2021</w:t>
      </w:r>
      <w:r w:rsidR="00C6271E">
        <w:rPr>
          <w:rFonts w:ascii="Times New Roman" w:hAnsi="Times New Roman" w:cs="Times New Roman"/>
          <w:sz w:val="24"/>
          <w:szCs w:val="24"/>
        </w:rPr>
        <w:t>)</w:t>
      </w:r>
      <w:r w:rsidR="00C6271E" w:rsidRPr="00184F35">
        <w:rPr>
          <w:rFonts w:ascii="Times New Roman" w:hAnsi="Times New Roman" w:cs="Times New Roman"/>
          <w:sz w:val="24"/>
          <w:szCs w:val="24"/>
        </w:rPr>
        <w:t xml:space="preserve"> </w:t>
      </w:r>
      <w:r w:rsidRPr="00184F35">
        <w:rPr>
          <w:rFonts w:ascii="Times New Roman" w:hAnsi="Times New Roman" w:cs="Times New Roman"/>
          <w:sz w:val="24"/>
          <w:szCs w:val="24"/>
        </w:rPr>
        <w:t>Mitochondrial Fusion and Fission: The fine-tune balance for cellular homeostasis.FASEB J. Jun;35(6):e21620. doi: 10.1096/fj.202100067R.</w:t>
      </w:r>
    </w:p>
    <w:p w14:paraId="4D104DF3"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Moraes, C. T., Kenyon, L., &amp; Hao, H. (1999). Mechanisms of Human Mitochondrial DNA Maintenance: The Determining Role of Primary Sequence and Length over Function. </w:t>
      </w:r>
      <w:r w:rsidRPr="00184F35">
        <w:rPr>
          <w:rFonts w:ascii="Times New Roman" w:hAnsi="Times New Roman" w:cs="Times New Roman"/>
          <w:i/>
          <w:iCs/>
          <w:sz w:val="24"/>
          <w:szCs w:val="24"/>
        </w:rPr>
        <w:t>Mol. Biol. Cell</w:t>
      </w:r>
      <w:r w:rsidRPr="00184F35">
        <w:rPr>
          <w:rFonts w:ascii="Times New Roman" w:hAnsi="Times New Roman" w:cs="Times New Roman"/>
          <w:sz w:val="24"/>
          <w:szCs w:val="24"/>
        </w:rPr>
        <w:t xml:space="preserve">, 3345–3356. </w:t>
      </w:r>
    </w:p>
    <w:p w14:paraId="058B3E05"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49D6F805"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Moritz, J. S., Eoin, P. C., Cormac, T. T. (2019). Protein Hydroxylation by Hypoxia-Inducible Factor (HIF) Hydroxylases: Unique or Ubiquitous? </w:t>
      </w:r>
      <w:r w:rsidRPr="00184F35">
        <w:rPr>
          <w:rFonts w:ascii="Times New Roman" w:hAnsi="Times New Roman" w:cs="Times New Roman"/>
          <w:i/>
          <w:iCs/>
          <w:sz w:val="24"/>
          <w:szCs w:val="24"/>
        </w:rPr>
        <w:t xml:space="preserve">Cells, </w:t>
      </w:r>
      <w:r w:rsidRPr="00184F35">
        <w:rPr>
          <w:rFonts w:ascii="Times New Roman" w:hAnsi="Times New Roman" w:cs="Times New Roman"/>
          <w:sz w:val="24"/>
          <w:szCs w:val="24"/>
        </w:rPr>
        <w:t xml:space="preserve">8(5):384. </w:t>
      </w:r>
    </w:p>
    <w:p w14:paraId="56F5A61E"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doi: 10.3390/cells8050384.</w:t>
      </w:r>
    </w:p>
    <w:p w14:paraId="28F29F9F"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7EE25E9D"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Mader, I., Krägeloh-Mann, I., Seeger, U.  A., Bornemann, T. N., &amp; Küker, W. (2001).  Grodd Proton MR spectroscopy reveals lactate in infantile neuroaxonal dystrophy (INAD). </w:t>
      </w:r>
      <w:r w:rsidRPr="00184F35">
        <w:rPr>
          <w:rFonts w:ascii="Times New Roman" w:hAnsi="Times New Roman" w:cs="Times New Roman"/>
          <w:i/>
          <w:iCs/>
          <w:sz w:val="24"/>
          <w:szCs w:val="24"/>
        </w:rPr>
        <w:t xml:space="preserve">Neuropediatrics. </w:t>
      </w:r>
      <w:r w:rsidRPr="00184F35">
        <w:rPr>
          <w:rFonts w:ascii="Times New Roman" w:hAnsi="Times New Roman" w:cs="Times New Roman"/>
          <w:sz w:val="24"/>
          <w:szCs w:val="24"/>
        </w:rPr>
        <w:t xml:space="preserve">97-100. </w:t>
      </w:r>
    </w:p>
    <w:p w14:paraId="4D54B4A8"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doi: 10.1055/s-2001-13874.</w:t>
      </w:r>
    </w:p>
    <w:p w14:paraId="45A3622E"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27FA4DB0"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Mota, M. (1963). Electron Microscope Study of the Relationship between the Nucleus and Mitochondria in Chlorophytum capense (L.) Kuntze. </w:t>
      </w:r>
      <w:r w:rsidRPr="00184F35">
        <w:rPr>
          <w:rFonts w:ascii="Times New Roman" w:hAnsi="Times New Roman" w:cs="Times New Roman"/>
          <w:i/>
          <w:iCs/>
          <w:sz w:val="24"/>
          <w:szCs w:val="24"/>
        </w:rPr>
        <w:t>Cytologia</w:t>
      </w:r>
      <w:r w:rsidRPr="00184F35">
        <w:rPr>
          <w:rFonts w:ascii="Times New Roman" w:hAnsi="Times New Roman" w:cs="Times New Roman"/>
          <w:sz w:val="24"/>
          <w:szCs w:val="24"/>
        </w:rPr>
        <w:t xml:space="preserve">,  28, 409–416. </w:t>
      </w:r>
    </w:p>
    <w:p w14:paraId="48831DA6" w14:textId="77777777" w:rsidR="001D5B69" w:rsidRDefault="001D5B69" w:rsidP="001D5B69">
      <w:pPr>
        <w:pStyle w:val="ListParagraph"/>
        <w:spacing w:line="360" w:lineRule="auto"/>
        <w:ind w:left="0"/>
        <w:jc w:val="both"/>
        <w:rPr>
          <w:rFonts w:ascii="Times New Roman" w:hAnsi="Times New Roman" w:cs="Times New Roman"/>
          <w:sz w:val="24"/>
          <w:szCs w:val="24"/>
        </w:rPr>
      </w:pPr>
    </w:p>
    <w:p w14:paraId="6915326F" w14:textId="77777777" w:rsidR="00CD037D" w:rsidRDefault="00CD037D" w:rsidP="001D5B69">
      <w:pPr>
        <w:pStyle w:val="ListParagraph"/>
        <w:spacing w:line="360" w:lineRule="auto"/>
        <w:ind w:left="0"/>
        <w:jc w:val="both"/>
        <w:rPr>
          <w:rFonts w:ascii="Times New Roman" w:hAnsi="Times New Roman" w:cs="Times New Roman"/>
          <w:sz w:val="24"/>
          <w:szCs w:val="24"/>
        </w:rPr>
      </w:pPr>
      <w:r w:rsidRPr="00CD037D">
        <w:rPr>
          <w:rFonts w:ascii="Times New Roman" w:hAnsi="Times New Roman" w:cs="Times New Roman"/>
          <w:sz w:val="24"/>
          <w:szCs w:val="24"/>
        </w:rPr>
        <w:t>Membrane Fusion.Agricultural and Biological Sciences.Methods in Enzymology, 2017</w:t>
      </w:r>
      <w:r>
        <w:rPr>
          <w:rFonts w:ascii="Times New Roman" w:hAnsi="Times New Roman" w:cs="Times New Roman"/>
          <w:sz w:val="24"/>
          <w:szCs w:val="24"/>
        </w:rPr>
        <w:t>.</w:t>
      </w:r>
    </w:p>
    <w:p w14:paraId="6D3CB0F3" w14:textId="77777777" w:rsidR="00CD037D" w:rsidRPr="00184F35" w:rsidRDefault="00CD037D" w:rsidP="001D5B69">
      <w:pPr>
        <w:pStyle w:val="ListParagraph"/>
        <w:spacing w:line="360" w:lineRule="auto"/>
        <w:ind w:left="0"/>
        <w:jc w:val="both"/>
        <w:rPr>
          <w:rFonts w:ascii="Times New Roman" w:hAnsi="Times New Roman" w:cs="Times New Roman"/>
          <w:sz w:val="24"/>
          <w:szCs w:val="24"/>
        </w:rPr>
      </w:pPr>
    </w:p>
    <w:p w14:paraId="4C5D584E"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Mouchiroud, L., Houtkooper, R. H., Moullan, N., Katsyuba, E., Ryu, D., Cantó, C., Mottis, A., Jo, Y. S., Viswanathan, M., &amp; Schoonjans, K. (2013). The NAD+/Sirtuin Pathway Modulates Longevity through Activation of Mitochondrial UPR and FOXO Signaling. </w:t>
      </w:r>
      <w:r w:rsidRPr="00184F35">
        <w:rPr>
          <w:rFonts w:ascii="Times New Roman" w:hAnsi="Times New Roman" w:cs="Times New Roman"/>
          <w:i/>
          <w:iCs/>
          <w:sz w:val="24"/>
          <w:szCs w:val="24"/>
        </w:rPr>
        <w:t>Cell,</w:t>
      </w:r>
      <w:r w:rsidRPr="00184F35">
        <w:rPr>
          <w:rFonts w:ascii="Times New Roman" w:hAnsi="Times New Roman" w:cs="Times New Roman"/>
          <w:sz w:val="24"/>
          <w:szCs w:val="24"/>
        </w:rPr>
        <w:t xml:space="preserve"> 154, 430–441. </w:t>
      </w:r>
    </w:p>
    <w:p w14:paraId="34119642"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21BE275D" w14:textId="77777777" w:rsidR="001D5B69"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Nakano, H., Nakajima, A., Sakon, K. S., Piao, J. H., Xue, X., &amp; Okumura, K. (2006). Reactive oxygen species mediate crosstalk between NF-_B and JNK</w:t>
      </w:r>
      <w:r w:rsidRPr="00184F35">
        <w:rPr>
          <w:rFonts w:ascii="Times New Roman" w:hAnsi="Times New Roman" w:cs="Times New Roman"/>
          <w:i/>
          <w:iCs/>
          <w:sz w:val="24"/>
          <w:szCs w:val="24"/>
        </w:rPr>
        <w:t xml:space="preserve">. Cell Death Differ, </w:t>
      </w:r>
      <w:r w:rsidRPr="00184F35">
        <w:rPr>
          <w:rFonts w:ascii="Times New Roman" w:hAnsi="Times New Roman" w:cs="Times New Roman"/>
          <w:sz w:val="24"/>
          <w:szCs w:val="24"/>
        </w:rPr>
        <w:t xml:space="preserve">13, 730–737. </w:t>
      </w:r>
    </w:p>
    <w:p w14:paraId="16F8D5E8" w14:textId="77777777" w:rsidR="00184F35" w:rsidRPr="00184F35" w:rsidRDefault="00184F35" w:rsidP="00184F35">
      <w:pPr>
        <w:spacing w:line="360" w:lineRule="auto"/>
        <w:jc w:val="both"/>
        <w:rPr>
          <w:rFonts w:ascii="Times New Roman" w:hAnsi="Times New Roman" w:cs="Times New Roman"/>
          <w:color w:val="000000" w:themeColor="text1"/>
          <w:sz w:val="24"/>
          <w:szCs w:val="24"/>
        </w:rPr>
      </w:pPr>
      <w:r w:rsidRPr="00184F35">
        <w:rPr>
          <w:rFonts w:ascii="Times New Roman" w:hAnsi="Times New Roman" w:cs="Times New Roman"/>
          <w:color w:val="000000" w:themeColor="text1"/>
          <w:sz w:val="24"/>
          <w:szCs w:val="24"/>
        </w:rPr>
        <w:t xml:space="preserve">T. Nemkov, D. Stephenson, E.J. Earley, G.R. Keele, A. Hay, A. Key, Z.B. Haiman, C. Erickson, M. Dzieciatkowska, J.A. Reisz, et al. </w:t>
      </w:r>
      <w:r w:rsidR="008165FD" w:rsidRPr="00184F35">
        <w:rPr>
          <w:rFonts w:ascii="Times New Roman" w:hAnsi="Times New Roman" w:cs="Times New Roman"/>
          <w:color w:val="000000" w:themeColor="text1"/>
          <w:sz w:val="24"/>
          <w:szCs w:val="24"/>
        </w:rPr>
        <w:t xml:space="preserve">(2024), </w:t>
      </w:r>
      <w:r w:rsidRPr="00184F35">
        <w:rPr>
          <w:rFonts w:ascii="Times New Roman" w:hAnsi="Times New Roman" w:cs="Times New Roman"/>
          <w:color w:val="000000" w:themeColor="text1"/>
          <w:sz w:val="24"/>
          <w:szCs w:val="24"/>
        </w:rPr>
        <w:t>Biological and Genetic Determinants of Glycolysis: Phosphofructokinase Isoforms Boost Energy Status of Stored Red Blood Cells and Transfusion Outcomes Cell Metab., S1550–4131 (24) pp. 00232-00238, 10.1016/j.cmet.2024.06.007.</w:t>
      </w:r>
    </w:p>
    <w:p w14:paraId="6332E4D2" w14:textId="77777777" w:rsidR="00184F35" w:rsidRPr="00184F35" w:rsidRDefault="00184F35" w:rsidP="001D5B69">
      <w:pPr>
        <w:pStyle w:val="ListParagraph"/>
        <w:spacing w:line="360" w:lineRule="auto"/>
        <w:ind w:left="0"/>
        <w:jc w:val="both"/>
        <w:rPr>
          <w:rFonts w:ascii="Times New Roman" w:hAnsi="Times New Roman" w:cs="Times New Roman"/>
          <w:sz w:val="24"/>
          <w:szCs w:val="24"/>
        </w:rPr>
      </w:pPr>
    </w:p>
    <w:p w14:paraId="32812754"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1FCE8F98" w14:textId="77777777" w:rsidR="001D5B69"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Nicholas, S. C., Galen, E. B., Wright and Michael, R. H. (1993-2025). Huntington Disease. GeneReviews® [Internet]. University of Washington, Seattle.</w:t>
      </w:r>
    </w:p>
    <w:p w14:paraId="52677809" w14:textId="77777777" w:rsidR="00D81317" w:rsidRPr="00184F35" w:rsidRDefault="00D81317" w:rsidP="001D5B69">
      <w:pPr>
        <w:pStyle w:val="ListParagraph"/>
        <w:spacing w:line="360" w:lineRule="auto"/>
        <w:ind w:left="0"/>
        <w:jc w:val="both"/>
        <w:rPr>
          <w:rFonts w:ascii="Times New Roman" w:hAnsi="Times New Roman" w:cs="Times New Roman"/>
          <w:sz w:val="24"/>
          <w:szCs w:val="24"/>
        </w:rPr>
      </w:pPr>
    </w:p>
    <w:p w14:paraId="6674C57D"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Ornstein, L. (1956). Mitochondrial and Nuclear Interaction. </w:t>
      </w:r>
      <w:r w:rsidRPr="00184F35">
        <w:rPr>
          <w:rFonts w:ascii="Times New Roman" w:hAnsi="Times New Roman" w:cs="Times New Roman"/>
          <w:i/>
          <w:iCs/>
          <w:sz w:val="24"/>
          <w:szCs w:val="24"/>
        </w:rPr>
        <w:t>J. Cell Biol</w:t>
      </w:r>
      <w:r w:rsidRPr="00184F35">
        <w:rPr>
          <w:rFonts w:ascii="Times New Roman" w:hAnsi="Times New Roman" w:cs="Times New Roman"/>
          <w:sz w:val="24"/>
          <w:szCs w:val="24"/>
        </w:rPr>
        <w:t xml:space="preserve">, 2, 351–352. </w:t>
      </w:r>
    </w:p>
    <w:p w14:paraId="28C92C8B" w14:textId="77777777" w:rsidR="001D5B69" w:rsidRPr="00184F35" w:rsidRDefault="001D5B69" w:rsidP="001D5B69">
      <w:pPr>
        <w:pStyle w:val="ListParagraph"/>
        <w:spacing w:line="360" w:lineRule="auto"/>
        <w:ind w:left="0"/>
        <w:rPr>
          <w:rFonts w:ascii="Times New Roman" w:hAnsi="Times New Roman" w:cs="Times New Roman"/>
          <w:sz w:val="24"/>
          <w:szCs w:val="24"/>
        </w:rPr>
      </w:pPr>
    </w:p>
    <w:p w14:paraId="48BEAC0F" w14:textId="77777777" w:rsidR="001D5B69" w:rsidRPr="00184F35" w:rsidRDefault="001D5B69" w:rsidP="001D5B69">
      <w:pPr>
        <w:pStyle w:val="ListParagraph"/>
        <w:spacing w:line="360" w:lineRule="auto"/>
        <w:ind w:left="0"/>
        <w:rPr>
          <w:rFonts w:ascii="Times New Roman" w:hAnsi="Times New Roman" w:cs="Times New Roman"/>
          <w:sz w:val="24"/>
          <w:szCs w:val="24"/>
        </w:rPr>
      </w:pPr>
      <w:r w:rsidRPr="00184F35">
        <w:rPr>
          <w:rFonts w:ascii="Times New Roman" w:hAnsi="Times New Roman" w:cs="Times New Roman"/>
          <w:sz w:val="24"/>
          <w:szCs w:val="24"/>
        </w:rPr>
        <w:t>Hemachandra, P.  R., Peizhong, M., &amp; Maria, M. (2009).  Mitochondrial Structural and Functional Dynamics in Huntington’s Disease. R</w:t>
      </w:r>
      <w:r w:rsidRPr="00184F35">
        <w:rPr>
          <w:rFonts w:ascii="Times New Roman" w:hAnsi="Times New Roman" w:cs="Times New Roman"/>
          <w:i/>
          <w:iCs/>
          <w:sz w:val="24"/>
          <w:szCs w:val="24"/>
        </w:rPr>
        <w:t>ain Res Rev</w:t>
      </w:r>
      <w:r w:rsidRPr="00184F35">
        <w:rPr>
          <w:rFonts w:ascii="Times New Roman" w:hAnsi="Times New Roman" w:cs="Times New Roman"/>
          <w:sz w:val="24"/>
          <w:szCs w:val="24"/>
        </w:rPr>
        <w:t xml:space="preserve">, 61(1):33–48. </w:t>
      </w:r>
    </w:p>
    <w:p w14:paraId="55DB93F0" w14:textId="77777777" w:rsidR="001D5B69" w:rsidRPr="00184F35" w:rsidRDefault="001D5B69" w:rsidP="001D5B69">
      <w:pPr>
        <w:pStyle w:val="ListParagraph"/>
        <w:spacing w:line="360" w:lineRule="auto"/>
        <w:ind w:left="0"/>
        <w:rPr>
          <w:rFonts w:ascii="Times New Roman" w:hAnsi="Times New Roman" w:cs="Times New Roman"/>
          <w:sz w:val="24"/>
          <w:szCs w:val="24"/>
        </w:rPr>
      </w:pPr>
      <w:r w:rsidRPr="00184F35">
        <w:rPr>
          <w:rFonts w:ascii="Times New Roman" w:hAnsi="Times New Roman" w:cs="Times New Roman"/>
          <w:sz w:val="24"/>
          <w:szCs w:val="24"/>
        </w:rPr>
        <w:t>doi: 10.1016/j.brainresrev.2009.04.001.</w:t>
      </w:r>
    </w:p>
    <w:p w14:paraId="63C74BE1"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6FB6F3F1"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Paolo, C., Alessandro, M., Giuseppina. </w:t>
      </w:r>
      <w:r w:rsidRPr="008F4EA2">
        <w:rPr>
          <w:rFonts w:ascii="Times New Roman" w:hAnsi="Times New Roman" w:cs="Times New Roman"/>
          <w:sz w:val="24"/>
          <w:szCs w:val="24"/>
          <w:lang w:val="es-US"/>
        </w:rPr>
        <w:t xml:space="preserve">N., Laura, V. D., Giulia, D. L., &amp; Veronica, G. (2023).  </w:t>
      </w:r>
      <w:r w:rsidRPr="00184F35">
        <w:rPr>
          <w:rFonts w:ascii="Times New Roman" w:hAnsi="Times New Roman" w:cs="Times New Roman"/>
          <w:sz w:val="24"/>
          <w:szCs w:val="24"/>
        </w:rPr>
        <w:t xml:space="preserve">Alpha-synuclein in Parkinson’s disease and other synucleinopathies: from overt neurodegeneration back to early synaptic dysfunction. </w:t>
      </w:r>
      <w:r w:rsidRPr="00184F35">
        <w:rPr>
          <w:rFonts w:ascii="Times New Roman" w:hAnsi="Times New Roman" w:cs="Times New Roman"/>
          <w:i/>
          <w:iCs/>
          <w:sz w:val="24"/>
          <w:szCs w:val="24"/>
        </w:rPr>
        <w:t>Cell Death &amp; Disease volume 14</w:t>
      </w:r>
      <w:r w:rsidRPr="00184F35">
        <w:rPr>
          <w:rFonts w:ascii="Times New Roman" w:hAnsi="Times New Roman" w:cs="Times New Roman"/>
          <w:sz w:val="24"/>
          <w:szCs w:val="24"/>
        </w:rPr>
        <w:t>, Article number: 176.</w:t>
      </w:r>
    </w:p>
    <w:p w14:paraId="58B95265" w14:textId="77777777" w:rsidR="001D5B69" w:rsidRPr="00184F35"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589AD19E" w14:textId="77777777" w:rsidR="001D5B69" w:rsidRPr="008F4EA2" w:rsidRDefault="001D5B69" w:rsidP="001D5B69">
      <w:pPr>
        <w:pStyle w:val="ListParagraph"/>
        <w:spacing w:line="360" w:lineRule="auto"/>
        <w:ind w:left="0"/>
        <w:jc w:val="both"/>
        <w:rPr>
          <w:rFonts w:ascii="Times New Roman" w:hAnsi="Times New Roman" w:cs="Times New Roman"/>
          <w:color w:val="000000" w:themeColor="text1"/>
          <w:sz w:val="24"/>
          <w:szCs w:val="24"/>
          <w:lang w:val="es-US"/>
        </w:rPr>
      </w:pPr>
      <w:r w:rsidRPr="00184F35">
        <w:rPr>
          <w:rFonts w:ascii="Times New Roman" w:hAnsi="Times New Roman" w:cs="Times New Roman"/>
          <w:color w:val="000000" w:themeColor="text1"/>
          <w:sz w:val="24"/>
          <w:szCs w:val="24"/>
        </w:rPr>
        <w:t xml:space="preserve">Pfanner, N., Warscheid, B., &amp; Wiedemann, N. (2019). Mitochondrial Proteins: From Biogenesis to Functional Networks. </w:t>
      </w:r>
      <w:r w:rsidRPr="008F4EA2">
        <w:rPr>
          <w:rFonts w:ascii="Times New Roman" w:hAnsi="Times New Roman" w:cs="Times New Roman"/>
          <w:i/>
          <w:iCs/>
          <w:color w:val="000000" w:themeColor="text1"/>
          <w:sz w:val="24"/>
          <w:szCs w:val="24"/>
          <w:lang w:val="es-US"/>
        </w:rPr>
        <w:t>Nat. Rev. Mol. CellBiol,</w:t>
      </w:r>
      <w:r w:rsidRPr="008F4EA2">
        <w:rPr>
          <w:rFonts w:ascii="Times New Roman" w:hAnsi="Times New Roman" w:cs="Times New Roman"/>
          <w:color w:val="000000" w:themeColor="text1"/>
          <w:sz w:val="24"/>
          <w:szCs w:val="24"/>
          <w:lang w:val="es-US"/>
        </w:rPr>
        <w:t xml:space="preserve"> 20, 267–284.</w:t>
      </w:r>
    </w:p>
    <w:p w14:paraId="46688DF0"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8F4EA2">
        <w:rPr>
          <w:rFonts w:ascii="Times New Roman" w:hAnsi="Times New Roman" w:cs="Times New Roman"/>
          <w:sz w:val="24"/>
          <w:szCs w:val="24"/>
          <w:lang w:val="es-US"/>
        </w:rPr>
        <w:t xml:space="preserve">Pierpaolo, R., Federica, Z., Maria, C. R., Andrea, M., &amp; Angela, M. (2021). </w:t>
      </w:r>
      <w:r w:rsidRPr="00184F35">
        <w:rPr>
          <w:rFonts w:ascii="Times New Roman" w:hAnsi="Times New Roman" w:cs="Times New Roman"/>
          <w:sz w:val="24"/>
          <w:szCs w:val="24"/>
        </w:rPr>
        <w:t xml:space="preserve">Alpha-Synuclein and Mitochondrial Dysfunction in Parkinson’s Disease: The Emerging Role of VDAC. </w:t>
      </w:r>
      <w:r w:rsidRPr="00184F35">
        <w:rPr>
          <w:rFonts w:ascii="Times New Roman" w:hAnsi="Times New Roman" w:cs="Times New Roman"/>
          <w:i/>
          <w:iCs/>
          <w:sz w:val="24"/>
          <w:szCs w:val="24"/>
        </w:rPr>
        <w:t xml:space="preserve">Biomolecules, </w:t>
      </w:r>
      <w:r w:rsidRPr="00184F35">
        <w:rPr>
          <w:rFonts w:ascii="Times New Roman" w:hAnsi="Times New Roman" w:cs="Times New Roman"/>
          <w:sz w:val="24"/>
          <w:szCs w:val="24"/>
        </w:rPr>
        <w:t xml:space="preserve">11(5):718. </w:t>
      </w:r>
    </w:p>
    <w:p w14:paraId="341A0D79"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doi: 10.3390/biom11050718</w:t>
      </w:r>
    </w:p>
    <w:p w14:paraId="6683BA44"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668D9E57"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lastRenderedPageBreak/>
        <w:t>Prachar, J. (2003).  Intimate contacts of mitochondria with nuclear envelope as a potential energy gateway for nucleo-cytoplasmic mRNA transport. Gen. Physiol. Biophys. 2003, 22, 525–534.</w:t>
      </w:r>
    </w:p>
    <w:p w14:paraId="62004F10"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40E60263"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Quiros, P. M., Mottis, A., &amp; Auwerx, J. (2016). Mitonuclear communication in homeostasis and stress. </w:t>
      </w:r>
      <w:r w:rsidRPr="00184F35">
        <w:rPr>
          <w:rFonts w:ascii="Times New Roman" w:hAnsi="Times New Roman" w:cs="Times New Roman"/>
          <w:i/>
          <w:iCs/>
          <w:sz w:val="24"/>
          <w:szCs w:val="24"/>
        </w:rPr>
        <w:t>Nat. Rev. Mol. Cell Biol</w:t>
      </w:r>
      <w:r w:rsidRPr="00184F35">
        <w:rPr>
          <w:rFonts w:ascii="Times New Roman" w:hAnsi="Times New Roman" w:cs="Times New Roman"/>
          <w:sz w:val="24"/>
          <w:szCs w:val="24"/>
        </w:rPr>
        <w:t xml:space="preserve">,  17, 213–226. </w:t>
      </w:r>
    </w:p>
    <w:p w14:paraId="52F6672E"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Rajendiran, K., De-Shen, P., &amp; Ailing, F. (2021). Mitochondrial dysfunction, UPRmt signaling, and targeted therapy in metastasis tumor. </w:t>
      </w:r>
      <w:r w:rsidRPr="00184F35">
        <w:rPr>
          <w:rFonts w:ascii="Times New Roman" w:hAnsi="Times New Roman" w:cs="Times New Roman"/>
          <w:i/>
          <w:iCs/>
          <w:sz w:val="24"/>
          <w:szCs w:val="24"/>
        </w:rPr>
        <w:t>Cell &amp; Bioscience volume 11</w:t>
      </w:r>
      <w:r w:rsidRPr="00184F35">
        <w:rPr>
          <w:rFonts w:ascii="Times New Roman" w:hAnsi="Times New Roman" w:cs="Times New Roman"/>
          <w:sz w:val="24"/>
          <w:szCs w:val="24"/>
        </w:rPr>
        <w:t>, Article number: 186.</w:t>
      </w:r>
    </w:p>
    <w:p w14:paraId="51E13A09"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487C3B71"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Ralph, A., Bradshaw, P.  D., &amp; Stahl. (2016). The Encyclopedia of Cell Biology. </w:t>
      </w:r>
      <w:r w:rsidRPr="00184F35">
        <w:rPr>
          <w:rFonts w:ascii="Times New Roman" w:hAnsi="Times New Roman" w:cs="Times New Roman"/>
          <w:i/>
          <w:iCs/>
          <w:sz w:val="24"/>
          <w:szCs w:val="24"/>
        </w:rPr>
        <w:t>Elsevier Inc</w:t>
      </w:r>
      <w:r w:rsidRPr="00184F35">
        <w:rPr>
          <w:rFonts w:ascii="Times New Roman" w:hAnsi="Times New Roman" w:cs="Times New Roman"/>
          <w:sz w:val="24"/>
          <w:szCs w:val="24"/>
        </w:rPr>
        <w:t>.</w:t>
      </w:r>
    </w:p>
    <w:p w14:paraId="61014586"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08D51FF7"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Ramya, G., Elizabeth, M., &amp; Julian, G. C. (2015). The transcription factors Slug (SNAI2) and Snail (SNAI1) regulate phospholipase D (PLD) promoter in opposite ways towards cancer cell invasion. </w:t>
      </w:r>
      <w:r w:rsidRPr="00184F35">
        <w:rPr>
          <w:rFonts w:ascii="Times New Roman" w:hAnsi="Times New Roman" w:cs="Times New Roman"/>
          <w:i/>
          <w:iCs/>
          <w:sz w:val="24"/>
          <w:szCs w:val="24"/>
        </w:rPr>
        <w:t>Mol Oncol</w:t>
      </w:r>
      <w:r w:rsidRPr="00184F35">
        <w:rPr>
          <w:rFonts w:ascii="Times New Roman" w:hAnsi="Times New Roman" w:cs="Times New Roman"/>
          <w:sz w:val="24"/>
          <w:szCs w:val="24"/>
        </w:rPr>
        <w:t xml:space="preserve">, 10(5):663–676. </w:t>
      </w:r>
    </w:p>
    <w:p w14:paraId="73380AFD"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doi: 10.1016/j.molonc.2015.12.006.</w:t>
      </w:r>
    </w:p>
    <w:p w14:paraId="480A77F5" w14:textId="77777777" w:rsidR="001D5B69" w:rsidRPr="00184F35"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184F35">
        <w:rPr>
          <w:rFonts w:ascii="Times New Roman" w:hAnsi="Times New Roman" w:cs="Times New Roman"/>
          <w:color w:val="000000" w:themeColor="text1"/>
          <w:sz w:val="24"/>
          <w:szCs w:val="24"/>
        </w:rPr>
        <w:t xml:space="preserve">Ratliff, B. B., Abdulmahdi, W., Pawar, R., &amp; Wolin, M.S. (2016). Oxidant Mechanisms in Renal Injury and Disease. </w:t>
      </w:r>
      <w:r w:rsidRPr="00184F35">
        <w:rPr>
          <w:rFonts w:ascii="Times New Roman" w:hAnsi="Times New Roman" w:cs="Times New Roman"/>
          <w:i/>
          <w:iCs/>
          <w:color w:val="000000" w:themeColor="text1"/>
          <w:sz w:val="24"/>
          <w:szCs w:val="24"/>
        </w:rPr>
        <w:t>Antioxid. Redox Signal</w:t>
      </w:r>
      <w:r w:rsidRPr="00184F35">
        <w:rPr>
          <w:rFonts w:ascii="Times New Roman" w:hAnsi="Times New Roman" w:cs="Times New Roman"/>
          <w:color w:val="000000" w:themeColor="text1"/>
          <w:sz w:val="24"/>
          <w:szCs w:val="24"/>
        </w:rPr>
        <w:t>, 25, 119–146.</w:t>
      </w:r>
    </w:p>
    <w:p w14:paraId="54A8C925" w14:textId="77777777" w:rsidR="001D5B69" w:rsidRPr="00184F35"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184F35">
        <w:rPr>
          <w:rFonts w:ascii="Times New Roman" w:hAnsi="Times New Roman" w:cs="Times New Roman"/>
          <w:color w:val="000000" w:themeColor="text1"/>
          <w:sz w:val="24"/>
          <w:szCs w:val="24"/>
        </w:rPr>
        <w:t xml:space="preserve"> https://doi.org/ 10.1089/ars.2016.6665.</w:t>
      </w:r>
    </w:p>
    <w:p w14:paraId="6A3973CB"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391C2D68"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Robert, M., Robert, T., &amp; Andrew, S. (2012).  Chapter 13 - Mitochondrial disorders. </w:t>
      </w:r>
      <w:r w:rsidRPr="00184F35">
        <w:rPr>
          <w:rFonts w:ascii="Times New Roman" w:hAnsi="Times New Roman" w:cs="Times New Roman"/>
          <w:i/>
          <w:iCs/>
          <w:sz w:val="24"/>
          <w:szCs w:val="24"/>
        </w:rPr>
        <w:t>Cambridge University Press,</w:t>
      </w:r>
      <w:r w:rsidRPr="00184F35">
        <w:rPr>
          <w:rFonts w:ascii="Times New Roman" w:hAnsi="Times New Roman" w:cs="Times New Roman"/>
          <w:sz w:val="24"/>
          <w:szCs w:val="24"/>
        </w:rPr>
        <w:t xml:space="preserve"> Chapter 13.</w:t>
      </w:r>
    </w:p>
    <w:p w14:paraId="0906AF86"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Ryan, G., Brotman., Maria, C., Moreno, E., Joe, J., Sunil, M., Gauri, P. (2025). Treasure Island (FL): </w:t>
      </w:r>
      <w:r w:rsidRPr="00184F35">
        <w:rPr>
          <w:rFonts w:ascii="Times New Roman" w:hAnsi="Times New Roman" w:cs="Times New Roman"/>
          <w:i/>
          <w:iCs/>
          <w:sz w:val="24"/>
          <w:szCs w:val="24"/>
        </w:rPr>
        <w:t>StatPearls Publishing</w:t>
      </w:r>
      <w:r w:rsidRPr="00184F35">
        <w:rPr>
          <w:rFonts w:ascii="Times New Roman" w:hAnsi="Times New Roman" w:cs="Times New Roman"/>
          <w:sz w:val="24"/>
          <w:szCs w:val="24"/>
        </w:rPr>
        <w:t>.</w:t>
      </w:r>
    </w:p>
    <w:p w14:paraId="608858C2"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69C1E357"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Sasaki, S., &amp; Iwata, M. (1996). Impairment of fast axonal transport in the proximal axons of anterior horn neurons in amyotrophic lateral sclerosis. </w:t>
      </w:r>
      <w:r w:rsidRPr="00184F35">
        <w:rPr>
          <w:rFonts w:ascii="Times New Roman" w:hAnsi="Times New Roman" w:cs="Times New Roman"/>
          <w:i/>
          <w:iCs/>
          <w:sz w:val="24"/>
          <w:szCs w:val="24"/>
        </w:rPr>
        <w:t>Neurology</w:t>
      </w:r>
      <w:r w:rsidRPr="00184F35">
        <w:rPr>
          <w:rFonts w:ascii="Times New Roman" w:hAnsi="Times New Roman" w:cs="Times New Roman"/>
          <w:sz w:val="24"/>
          <w:szCs w:val="24"/>
        </w:rPr>
        <w:t xml:space="preserve">, 47(2):535-40. </w:t>
      </w:r>
    </w:p>
    <w:p w14:paraId="4E3B6AC7"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doi: 10.1212/wnl.47.2.535.</w:t>
      </w:r>
    </w:p>
    <w:p w14:paraId="587C3CE4"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3138E68C"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Sarah, J. B., Eva, B., Tiziana, C., João, L. M., Wolfgang, P. R., Paolo, F., Karlheinz, H., Jochen, H. W., Albert, C. L., Fiorenzo, C., &amp; Karin, M. D. (2023). Mitochondrial genome study in blood of maternally inherited ALS cases. </w:t>
      </w:r>
      <w:r w:rsidRPr="00184F35">
        <w:rPr>
          <w:rFonts w:ascii="Times New Roman" w:hAnsi="Times New Roman" w:cs="Times New Roman"/>
          <w:i/>
          <w:iCs/>
          <w:sz w:val="24"/>
          <w:szCs w:val="24"/>
        </w:rPr>
        <w:t xml:space="preserve">Hum Genomics, </w:t>
      </w:r>
      <w:r w:rsidRPr="00184F35">
        <w:rPr>
          <w:rFonts w:ascii="Times New Roman" w:hAnsi="Times New Roman" w:cs="Times New Roman"/>
          <w:sz w:val="24"/>
          <w:szCs w:val="24"/>
        </w:rPr>
        <w:t xml:space="preserve">;17:70. </w:t>
      </w:r>
    </w:p>
    <w:p w14:paraId="6EF15C07"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doi: 10.1186/s40246-023-00516-1.</w:t>
      </w:r>
    </w:p>
    <w:p w14:paraId="3C646A36"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734B6238"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Scarpulla, R. C. (2006). Nuclear control of respiratory gene expression in mammalian cells. </w:t>
      </w:r>
      <w:r w:rsidRPr="00184F35">
        <w:rPr>
          <w:rFonts w:ascii="Times New Roman" w:hAnsi="Times New Roman" w:cs="Times New Roman"/>
          <w:i/>
          <w:iCs/>
          <w:sz w:val="24"/>
          <w:szCs w:val="24"/>
        </w:rPr>
        <w:t>J. Cell. Biochem</w:t>
      </w:r>
      <w:r w:rsidRPr="00184F35">
        <w:rPr>
          <w:rFonts w:ascii="Times New Roman" w:hAnsi="Times New Roman" w:cs="Times New Roman"/>
          <w:sz w:val="24"/>
          <w:szCs w:val="24"/>
        </w:rPr>
        <w:t xml:space="preserve">, 97, 673–683. </w:t>
      </w:r>
    </w:p>
    <w:p w14:paraId="2E03FEEC"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6A5771E2"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Schmidt, O., Pfanner, N., Meisinger, C. (2020).  Mitochondrial protein import: From proteomics to functional mechanisms. </w:t>
      </w:r>
      <w:r w:rsidRPr="00184F35">
        <w:rPr>
          <w:rFonts w:ascii="Times New Roman" w:hAnsi="Times New Roman" w:cs="Times New Roman"/>
          <w:i/>
          <w:iCs/>
          <w:sz w:val="24"/>
          <w:szCs w:val="24"/>
        </w:rPr>
        <w:t>Nat. Rev. Mol.Cell Biol</w:t>
      </w:r>
      <w:r w:rsidRPr="00184F35">
        <w:rPr>
          <w:rFonts w:ascii="Times New Roman" w:hAnsi="Times New Roman" w:cs="Times New Roman"/>
          <w:sz w:val="24"/>
          <w:szCs w:val="24"/>
        </w:rPr>
        <w:t>,  11, 655–667.</w:t>
      </w:r>
    </w:p>
    <w:p w14:paraId="37B8D640"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Schwarz, T. L. (2013).  Mitochondrial trafficking in neurons. Cold Spring Harb. </w:t>
      </w:r>
      <w:r w:rsidRPr="00184F35">
        <w:rPr>
          <w:rFonts w:ascii="Times New Roman" w:hAnsi="Times New Roman" w:cs="Times New Roman"/>
          <w:i/>
          <w:iCs/>
          <w:sz w:val="24"/>
          <w:szCs w:val="24"/>
        </w:rPr>
        <w:t>Perspect. Biol,</w:t>
      </w:r>
      <w:r w:rsidRPr="00184F35">
        <w:rPr>
          <w:rFonts w:ascii="Times New Roman" w:hAnsi="Times New Roman" w:cs="Times New Roman"/>
          <w:sz w:val="24"/>
          <w:szCs w:val="24"/>
        </w:rPr>
        <w:t xml:space="preserve"> 5, a011304. </w:t>
      </w:r>
    </w:p>
    <w:p w14:paraId="49002559"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25A5A7D7"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Shen, H. M., Liu, Z. G. (2006). JNK signaling pathway is a key modulator in cell death mediated by reactive oxygen and nitrogen species. </w:t>
      </w:r>
      <w:r w:rsidRPr="00184F35">
        <w:rPr>
          <w:rFonts w:ascii="Times New Roman" w:hAnsi="Times New Roman" w:cs="Times New Roman"/>
          <w:i/>
          <w:iCs/>
          <w:sz w:val="24"/>
          <w:szCs w:val="24"/>
        </w:rPr>
        <w:t>Free Radic. Biol. Med</w:t>
      </w:r>
      <w:r w:rsidRPr="00184F35">
        <w:rPr>
          <w:rFonts w:ascii="Times New Roman" w:hAnsi="Times New Roman" w:cs="Times New Roman"/>
          <w:sz w:val="24"/>
          <w:szCs w:val="24"/>
        </w:rPr>
        <w:t xml:space="preserve">, 40, 928–939. </w:t>
      </w:r>
    </w:p>
    <w:p w14:paraId="5F24BB25" w14:textId="77777777" w:rsidR="001D5B69" w:rsidRPr="00184F35"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1F2C64B1" w14:textId="77777777" w:rsidR="001D5B69" w:rsidRPr="00184F35"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184F35">
        <w:rPr>
          <w:rFonts w:ascii="Times New Roman" w:hAnsi="Times New Roman" w:cs="Times New Roman"/>
          <w:color w:val="000000" w:themeColor="text1"/>
          <w:sz w:val="24"/>
          <w:szCs w:val="24"/>
        </w:rPr>
        <w:t xml:space="preserve">Shi, S., Zhang, B., Li, Y., Xu, X., Lv, J., Jia, Q., Chai, R., Xue, W., Li, Y., &amp; Wang, Y. (2022). Mitochondrial Dysfunction: An Emerging Link in the Pathophysiology of Cardiorenal Syndrome. </w:t>
      </w:r>
      <w:r w:rsidRPr="00184F35">
        <w:rPr>
          <w:rFonts w:ascii="Times New Roman" w:hAnsi="Times New Roman" w:cs="Times New Roman"/>
          <w:i/>
          <w:iCs/>
          <w:color w:val="000000" w:themeColor="text1"/>
          <w:sz w:val="24"/>
          <w:szCs w:val="24"/>
        </w:rPr>
        <w:t>Front. Cardiovasc. Med.</w:t>
      </w:r>
      <w:r w:rsidR="00C6271E">
        <w:rPr>
          <w:rFonts w:ascii="Times New Roman" w:hAnsi="Times New Roman" w:cs="Times New Roman"/>
          <w:color w:val="000000" w:themeColor="text1"/>
          <w:sz w:val="24"/>
          <w:szCs w:val="24"/>
        </w:rPr>
        <w:t xml:space="preserve"> 9, 837270. </w:t>
      </w:r>
      <w:r w:rsidRPr="00184F35">
        <w:rPr>
          <w:rFonts w:ascii="Times New Roman" w:hAnsi="Times New Roman" w:cs="Times New Roman"/>
          <w:color w:val="000000" w:themeColor="text1"/>
          <w:sz w:val="24"/>
          <w:szCs w:val="24"/>
        </w:rPr>
        <w:t>https://doi.org/ 10.3389/fcvm.2022.837270.</w:t>
      </w:r>
    </w:p>
    <w:p w14:paraId="051FA382" w14:textId="77777777" w:rsidR="001D5B69" w:rsidRPr="00184F35" w:rsidRDefault="001D5B69" w:rsidP="001D5B69">
      <w:pPr>
        <w:rPr>
          <w:rFonts w:ascii="Times New Roman" w:hAnsi="Times New Roman" w:cs="Times New Roman"/>
          <w:sz w:val="24"/>
          <w:szCs w:val="24"/>
        </w:rPr>
      </w:pPr>
      <w:r w:rsidRPr="00184F35">
        <w:rPr>
          <w:rFonts w:ascii="Times New Roman" w:hAnsi="Times New Roman" w:cs="Times New Roman"/>
          <w:sz w:val="24"/>
          <w:szCs w:val="24"/>
        </w:rPr>
        <w:t>Sandra Merz , Benedikt Westermann.</w:t>
      </w:r>
      <w:r w:rsidR="00C6271E" w:rsidRPr="00C6271E">
        <w:rPr>
          <w:rFonts w:ascii="Times New Roman" w:hAnsi="Times New Roman" w:cs="Times New Roman"/>
          <w:sz w:val="24"/>
          <w:szCs w:val="24"/>
        </w:rPr>
        <w:t xml:space="preserve"> </w:t>
      </w:r>
      <w:r w:rsidR="00C6271E">
        <w:rPr>
          <w:rFonts w:ascii="Times New Roman" w:hAnsi="Times New Roman" w:cs="Times New Roman"/>
          <w:sz w:val="24"/>
          <w:szCs w:val="24"/>
        </w:rPr>
        <w:t>(</w:t>
      </w:r>
      <w:r w:rsidR="00C6271E" w:rsidRPr="00184F35">
        <w:rPr>
          <w:rFonts w:ascii="Times New Roman" w:hAnsi="Times New Roman" w:cs="Times New Roman"/>
          <w:sz w:val="24"/>
          <w:szCs w:val="24"/>
        </w:rPr>
        <w:t>2009</w:t>
      </w:r>
      <w:r w:rsidR="00C6271E">
        <w:rPr>
          <w:rFonts w:ascii="Times New Roman" w:hAnsi="Times New Roman" w:cs="Times New Roman"/>
          <w:sz w:val="24"/>
          <w:szCs w:val="24"/>
        </w:rPr>
        <w:t>)</w:t>
      </w:r>
      <w:r w:rsidRPr="00184F35">
        <w:rPr>
          <w:rFonts w:ascii="Times New Roman" w:hAnsi="Times New Roman" w:cs="Times New Roman"/>
          <w:sz w:val="24"/>
          <w:szCs w:val="24"/>
        </w:rPr>
        <w:t xml:space="preserve"> Genome-wide deletion mutant analysis reveals genes required for respiratory growth, mitochondrial genome maintenance and mitochondrial protein synthesis in Saccharomyces cerevisiae.Genome Biol.;10(9):R95. doi: 10.1186/gb-2009-10-9-r95. Epub 2009 Sep 14.</w:t>
      </w:r>
    </w:p>
    <w:p w14:paraId="29D07776" w14:textId="77777777" w:rsidR="001D5B69" w:rsidRPr="00184F35" w:rsidRDefault="001D5B69" w:rsidP="001D5B69">
      <w:pPr>
        <w:rPr>
          <w:rFonts w:ascii="Times New Roman" w:hAnsi="Times New Roman" w:cs="Times New Roman"/>
          <w:sz w:val="24"/>
          <w:szCs w:val="24"/>
        </w:rPr>
      </w:pPr>
      <w:r w:rsidRPr="00184F35">
        <w:rPr>
          <w:rFonts w:ascii="Times New Roman" w:hAnsi="Times New Roman" w:cs="Times New Roman"/>
          <w:color w:val="000000" w:themeColor="text1"/>
          <w:sz w:val="24"/>
          <w:szCs w:val="24"/>
        </w:rPr>
        <w:t xml:space="preserve">Sies, H V., Belousov, N. S., Chandel, M. J., Davies, D. P., Jones, G. E., Mann, M. P., Murphy, M. Y., &amp; Winterbourn. (2022). Defining Roles of Specific Reactive Oxygen Species (ROS) in Cell Biology and Physiology. </w:t>
      </w:r>
      <w:r w:rsidRPr="00184F35">
        <w:rPr>
          <w:rFonts w:ascii="Times New Roman" w:hAnsi="Times New Roman" w:cs="Times New Roman"/>
          <w:i/>
          <w:iCs/>
          <w:color w:val="000000" w:themeColor="text1"/>
          <w:sz w:val="24"/>
          <w:szCs w:val="24"/>
        </w:rPr>
        <w:t>Nat. Rev. Mol. Cell Biol</w:t>
      </w:r>
      <w:r w:rsidRPr="00184F35">
        <w:rPr>
          <w:rFonts w:ascii="Times New Roman" w:hAnsi="Times New Roman" w:cs="Times New Roman"/>
          <w:color w:val="000000" w:themeColor="text1"/>
          <w:sz w:val="24"/>
          <w:szCs w:val="24"/>
        </w:rPr>
        <w:t>, 499-515, 10.1038/s41580-022-00456-z.</w:t>
      </w:r>
    </w:p>
    <w:p w14:paraId="3D83BD6A" w14:textId="77777777" w:rsidR="001D5B69" w:rsidRPr="00184F35"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184F35">
        <w:rPr>
          <w:rFonts w:ascii="Times New Roman" w:hAnsi="Times New Roman" w:cs="Times New Roman"/>
          <w:sz w:val="24"/>
          <w:szCs w:val="24"/>
        </w:rPr>
        <w:t>Schieber</w:t>
      </w:r>
      <w:r w:rsidRPr="00184F35">
        <w:rPr>
          <w:rFonts w:ascii="Times New Roman" w:hAnsi="Times New Roman" w:cs="Times New Roman"/>
          <w:color w:val="000000" w:themeColor="text1"/>
          <w:sz w:val="24"/>
          <w:szCs w:val="24"/>
        </w:rPr>
        <w:t xml:space="preserve">, M., &amp; N.S. Chandel. (2014). ROS Function in Redox Signaling and Oxidative Stress. </w:t>
      </w:r>
      <w:r w:rsidRPr="00184F35">
        <w:rPr>
          <w:rFonts w:ascii="Times New Roman" w:hAnsi="Times New Roman" w:cs="Times New Roman"/>
          <w:i/>
          <w:iCs/>
          <w:color w:val="000000" w:themeColor="text1"/>
          <w:sz w:val="24"/>
          <w:szCs w:val="24"/>
        </w:rPr>
        <w:t>Curr. Biol.,</w:t>
      </w:r>
      <w:r w:rsidRPr="00184F35">
        <w:rPr>
          <w:rFonts w:ascii="Times New Roman" w:hAnsi="Times New Roman" w:cs="Times New Roman"/>
          <w:color w:val="000000" w:themeColor="text1"/>
          <w:sz w:val="24"/>
          <w:szCs w:val="24"/>
        </w:rPr>
        <w:t xml:space="preserve"> pp. R453-R462, 10.1016/j.cub.2014.03.034.</w:t>
      </w:r>
    </w:p>
    <w:p w14:paraId="0206534B"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47B6182C"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Siyang, Liao,Li Chen,Zhiyin Song,He He.</w:t>
      </w:r>
      <w:r w:rsidR="00C6271E">
        <w:rPr>
          <w:rFonts w:ascii="Times New Roman" w:hAnsi="Times New Roman" w:cs="Times New Roman"/>
          <w:sz w:val="24"/>
          <w:szCs w:val="24"/>
        </w:rPr>
        <w:t xml:space="preserve"> (</w:t>
      </w:r>
      <w:r w:rsidR="00C6271E" w:rsidRPr="00184F35">
        <w:rPr>
          <w:rFonts w:ascii="Times New Roman" w:hAnsi="Times New Roman" w:cs="Times New Roman"/>
          <w:sz w:val="24"/>
          <w:szCs w:val="24"/>
        </w:rPr>
        <w:t>2022</w:t>
      </w:r>
      <w:r w:rsidR="00C6271E">
        <w:rPr>
          <w:rFonts w:ascii="Times New Roman" w:hAnsi="Times New Roman" w:cs="Times New Roman"/>
          <w:sz w:val="24"/>
          <w:szCs w:val="24"/>
        </w:rPr>
        <w:t>)</w:t>
      </w:r>
      <w:r w:rsidRPr="00184F35">
        <w:rPr>
          <w:rFonts w:ascii="Times New Roman" w:hAnsi="Times New Roman" w:cs="Times New Roman"/>
          <w:sz w:val="24"/>
          <w:szCs w:val="24"/>
        </w:rPr>
        <w:t>The fate of damaged mitochondrial DNA in the cell.Biochimica et Biophysica Acta (BBA) - Molecular Cell Research.Volume 1869, Issue 5, May, 119233.</w:t>
      </w:r>
    </w:p>
    <w:p w14:paraId="2FCA251B"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78FE5479"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8F4EA2">
        <w:rPr>
          <w:rFonts w:ascii="Times New Roman" w:hAnsi="Times New Roman" w:cs="Times New Roman"/>
          <w:sz w:val="24"/>
          <w:szCs w:val="24"/>
          <w:lang w:val="es-US"/>
        </w:rPr>
        <w:t xml:space="preserve">Soledad, R. B., Charles, S., &amp; Samarjit, D. (2019). </w:t>
      </w:r>
      <w:r w:rsidRPr="00184F35">
        <w:rPr>
          <w:rFonts w:ascii="Times New Roman" w:hAnsi="Times New Roman" w:cs="Times New Roman"/>
          <w:sz w:val="24"/>
          <w:szCs w:val="24"/>
        </w:rPr>
        <w:t xml:space="preserve">The secret messages between mitochondria and nucleus in muscle cell biology. </w:t>
      </w:r>
      <w:r w:rsidRPr="00184F35">
        <w:rPr>
          <w:rFonts w:ascii="Times New Roman" w:hAnsi="Times New Roman" w:cs="Times New Roman"/>
          <w:i/>
          <w:iCs/>
          <w:sz w:val="24"/>
          <w:szCs w:val="24"/>
        </w:rPr>
        <w:t>Arch. Biochem. Biophys</w:t>
      </w:r>
      <w:r w:rsidRPr="00184F35">
        <w:rPr>
          <w:rFonts w:ascii="Times New Roman" w:hAnsi="Times New Roman" w:cs="Times New Roman"/>
          <w:sz w:val="24"/>
          <w:szCs w:val="24"/>
        </w:rPr>
        <w:t xml:space="preserve">, 666, 52–62. </w:t>
      </w:r>
    </w:p>
    <w:p w14:paraId="4FFB93BA"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015F2476"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Srinivasan, V., Kriete, A., Sacan, A., &amp; Michal Jazwinski, S. (2010). Comparing the yeast retrograde response and NF-kB stress responses: Implications for aging. </w:t>
      </w:r>
      <w:r w:rsidRPr="00184F35">
        <w:rPr>
          <w:rFonts w:ascii="Times New Roman" w:hAnsi="Times New Roman" w:cs="Times New Roman"/>
          <w:i/>
          <w:iCs/>
          <w:sz w:val="24"/>
          <w:szCs w:val="24"/>
        </w:rPr>
        <w:t>Aging Cell</w:t>
      </w:r>
      <w:r w:rsidRPr="00184F35">
        <w:rPr>
          <w:rFonts w:ascii="Times New Roman" w:hAnsi="Times New Roman" w:cs="Times New Roman"/>
          <w:sz w:val="24"/>
          <w:szCs w:val="24"/>
        </w:rPr>
        <w:t xml:space="preserve">, 933–941. </w:t>
      </w:r>
    </w:p>
    <w:p w14:paraId="3A0666D5"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22A3DA6A"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Stéphane, D., Patricia, R., &amp; Thierry, A. (2019). Mitochondrial Uncoupling: A Key Controller of Biological Processes in Physiology and Diseases. </w:t>
      </w:r>
      <w:r w:rsidRPr="00184F35">
        <w:rPr>
          <w:rFonts w:ascii="Times New Roman" w:hAnsi="Times New Roman" w:cs="Times New Roman"/>
          <w:i/>
          <w:iCs/>
          <w:sz w:val="24"/>
          <w:szCs w:val="24"/>
        </w:rPr>
        <w:t>Cells</w:t>
      </w:r>
      <w:r w:rsidRPr="00184F35">
        <w:rPr>
          <w:rFonts w:ascii="Times New Roman" w:hAnsi="Times New Roman" w:cs="Times New Roman"/>
          <w:sz w:val="24"/>
          <w:szCs w:val="24"/>
        </w:rPr>
        <w:t xml:space="preserve">, 8(8):795. </w:t>
      </w:r>
    </w:p>
    <w:p w14:paraId="02FEDC12"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doi: 10.3390/cells8080795.</w:t>
      </w:r>
    </w:p>
    <w:p w14:paraId="064D3D90"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Sutong, X., Zhang, X., Chenming, L., Qiulu, L., Huazhen, C., Yuping, L., &amp; Siguang, Li. (2021).  Role of Mitochondria in Neurodegenerative Diseases: From an Epigenetic Perspective. </w:t>
      </w:r>
      <w:r w:rsidRPr="00184F35">
        <w:rPr>
          <w:rFonts w:ascii="Times New Roman" w:hAnsi="Times New Roman" w:cs="Times New Roman"/>
          <w:i/>
          <w:iCs/>
          <w:sz w:val="24"/>
          <w:szCs w:val="24"/>
        </w:rPr>
        <w:t>Front Cell Dev Biol</w:t>
      </w:r>
      <w:r w:rsidRPr="00184F35">
        <w:rPr>
          <w:rFonts w:ascii="Times New Roman" w:hAnsi="Times New Roman" w:cs="Times New Roman"/>
          <w:sz w:val="24"/>
          <w:szCs w:val="24"/>
        </w:rPr>
        <w:t xml:space="preserve">, 9:688789. </w:t>
      </w:r>
    </w:p>
    <w:p w14:paraId="5C3F786F"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doi: 10.3389/fcell.2021.688789.</w:t>
      </w:r>
    </w:p>
    <w:p w14:paraId="09FC10DC"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261F8A9C"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Takeshi, T., Asei, H., Isshin, S., Naoki, I., Keigo, M., Keisuke, T., Kanata, S., Koki, M., Nobuko, M., Toshifumi, F., Ryoko, I., Shigeru, Y. (2020). Mitochondrial Dynamics Regulation in Skin Fibroblasts from Mitochondrial Disease Patients. </w:t>
      </w:r>
      <w:r w:rsidRPr="00184F35">
        <w:rPr>
          <w:rFonts w:ascii="Times New Roman" w:hAnsi="Times New Roman" w:cs="Times New Roman"/>
          <w:i/>
          <w:iCs/>
          <w:sz w:val="24"/>
          <w:szCs w:val="24"/>
        </w:rPr>
        <w:t>Biomolecules</w:t>
      </w:r>
      <w:r w:rsidRPr="00184F35">
        <w:rPr>
          <w:rFonts w:ascii="Times New Roman" w:hAnsi="Times New Roman" w:cs="Times New Roman"/>
          <w:sz w:val="24"/>
          <w:szCs w:val="24"/>
        </w:rPr>
        <w:t xml:space="preserve">, 10(3):0. </w:t>
      </w:r>
    </w:p>
    <w:p w14:paraId="23154F7A"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doi: 10.3390/biom10030450.</w:t>
      </w:r>
    </w:p>
    <w:p w14:paraId="0396B5C5"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47C7EDC1" w14:textId="77777777" w:rsidR="001D5B69" w:rsidRPr="008F4EA2" w:rsidRDefault="001D5B69" w:rsidP="001D5B69">
      <w:pPr>
        <w:pStyle w:val="ListParagraph"/>
        <w:spacing w:line="360" w:lineRule="auto"/>
        <w:ind w:left="0"/>
        <w:jc w:val="both"/>
        <w:rPr>
          <w:rFonts w:ascii="Times New Roman" w:hAnsi="Times New Roman" w:cs="Times New Roman"/>
          <w:sz w:val="24"/>
          <w:szCs w:val="24"/>
          <w:lang w:val="es-US"/>
        </w:rPr>
      </w:pPr>
      <w:r w:rsidRPr="00184F35">
        <w:rPr>
          <w:rFonts w:ascii="Times New Roman" w:hAnsi="Times New Roman" w:cs="Times New Roman"/>
          <w:sz w:val="24"/>
          <w:szCs w:val="24"/>
        </w:rPr>
        <w:t xml:space="preserve">Tanaka, Y., Kanai, Y., Okada, Y., Nonaka, S., Takeda, S., Harada, A., &amp; Hirokawa, N. (1998). Targeted Disruption of Mouse Conventional Kinesin Heavy Chain kif5B, Results in Abnormal Perinuclear Clustering of Mitochondria. </w:t>
      </w:r>
      <w:r w:rsidRPr="008F4EA2">
        <w:rPr>
          <w:rFonts w:ascii="Times New Roman" w:hAnsi="Times New Roman" w:cs="Times New Roman"/>
          <w:i/>
          <w:iCs/>
          <w:sz w:val="24"/>
          <w:szCs w:val="24"/>
          <w:lang w:val="es-US"/>
        </w:rPr>
        <w:t>Cell</w:t>
      </w:r>
      <w:r w:rsidRPr="008F4EA2">
        <w:rPr>
          <w:rFonts w:ascii="Times New Roman" w:hAnsi="Times New Roman" w:cs="Times New Roman"/>
          <w:sz w:val="24"/>
          <w:szCs w:val="24"/>
          <w:lang w:val="es-US"/>
        </w:rPr>
        <w:t>, 93, 1147–1158.</w:t>
      </w:r>
    </w:p>
    <w:p w14:paraId="5BF8DEE0" w14:textId="77777777" w:rsidR="001D5B69" w:rsidRPr="008F4EA2" w:rsidRDefault="001D5B69" w:rsidP="001D5B69">
      <w:pPr>
        <w:pStyle w:val="ListParagraph"/>
        <w:spacing w:line="360" w:lineRule="auto"/>
        <w:ind w:left="0"/>
        <w:jc w:val="both"/>
        <w:rPr>
          <w:rFonts w:ascii="Times New Roman" w:hAnsi="Times New Roman" w:cs="Times New Roman"/>
          <w:sz w:val="24"/>
          <w:szCs w:val="24"/>
          <w:lang w:val="es-US"/>
        </w:rPr>
      </w:pPr>
    </w:p>
    <w:p w14:paraId="758B2870"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8F4EA2">
        <w:rPr>
          <w:rFonts w:ascii="Times New Roman" w:hAnsi="Times New Roman" w:cs="Times New Roman"/>
          <w:sz w:val="24"/>
          <w:szCs w:val="24"/>
          <w:lang w:val="es-US"/>
        </w:rPr>
        <w:t xml:space="preserve">Teresa, C. O., Lilian, M., Catarina, M., Omidreza, F., Luciano, S., Paulo, J. O., &amp; Filomena S. G. (2020). </w:t>
      </w:r>
      <w:r w:rsidRPr="00184F35">
        <w:rPr>
          <w:rFonts w:ascii="Times New Roman" w:hAnsi="Times New Roman" w:cs="Times New Roman"/>
          <w:sz w:val="24"/>
          <w:szCs w:val="24"/>
        </w:rPr>
        <w:t xml:space="preserve">Oxidative Stress in Amyotrophic Lateral Sclerosis: Pathophysiology and Opportunities for Pharmacological Intervention. </w:t>
      </w:r>
      <w:r w:rsidRPr="00184F35">
        <w:rPr>
          <w:rFonts w:ascii="Times New Roman" w:hAnsi="Times New Roman" w:cs="Times New Roman"/>
          <w:i/>
          <w:iCs/>
          <w:sz w:val="24"/>
          <w:szCs w:val="24"/>
        </w:rPr>
        <w:t>Oxid Med Cell Longev</w:t>
      </w:r>
      <w:r w:rsidRPr="00184F35">
        <w:rPr>
          <w:rFonts w:ascii="Times New Roman" w:hAnsi="Times New Roman" w:cs="Times New Roman"/>
          <w:sz w:val="24"/>
          <w:szCs w:val="24"/>
        </w:rPr>
        <w:t>, 5021694.</w:t>
      </w:r>
    </w:p>
    <w:p w14:paraId="769B548F"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 doi: 10.1155/2020/5021694.</w:t>
      </w:r>
    </w:p>
    <w:p w14:paraId="4007E62A"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0A15A89C"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Vogtle, F. (2020). Open questions on the mitochondrial unfolded protein response. </w:t>
      </w:r>
      <w:r w:rsidRPr="00184F35">
        <w:rPr>
          <w:rFonts w:ascii="Times New Roman" w:hAnsi="Times New Roman" w:cs="Times New Roman"/>
          <w:i/>
          <w:iCs/>
          <w:sz w:val="24"/>
          <w:szCs w:val="24"/>
        </w:rPr>
        <w:t>FEBS J</w:t>
      </w:r>
      <w:r w:rsidRPr="00184F35">
        <w:rPr>
          <w:rFonts w:ascii="Times New Roman" w:hAnsi="Times New Roman" w:cs="Times New Roman"/>
          <w:sz w:val="24"/>
          <w:szCs w:val="24"/>
        </w:rPr>
        <w:t xml:space="preserve">., 288, 2856–2869. </w:t>
      </w:r>
    </w:p>
    <w:p w14:paraId="7BF229DB" w14:textId="77777777" w:rsidR="001D5B69" w:rsidRPr="00184F35" w:rsidRDefault="001D5B69" w:rsidP="001D5B69">
      <w:pPr>
        <w:pStyle w:val="ListParagraph"/>
        <w:ind w:left="0"/>
        <w:jc w:val="both"/>
        <w:rPr>
          <w:rFonts w:ascii="Times New Roman" w:hAnsi="Times New Roman" w:cs="Times New Roman"/>
          <w:sz w:val="24"/>
          <w:szCs w:val="24"/>
        </w:rPr>
      </w:pPr>
    </w:p>
    <w:p w14:paraId="143CB7D0" w14:textId="77777777" w:rsidR="001D5B69" w:rsidRPr="00184F35" w:rsidRDefault="001D5B69" w:rsidP="001D5B69">
      <w:pPr>
        <w:pStyle w:val="ListParagraph"/>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Walker, B. R., &amp; Moraes, C. T. (2022). Nuclear-Mitochondrial Interactions. </w:t>
      </w:r>
      <w:r w:rsidRPr="00184F35">
        <w:rPr>
          <w:rFonts w:ascii="Times New Roman" w:hAnsi="Times New Roman" w:cs="Times New Roman"/>
          <w:i/>
          <w:iCs/>
          <w:sz w:val="24"/>
          <w:szCs w:val="24"/>
        </w:rPr>
        <w:t>Biomolecules</w:t>
      </w:r>
      <w:r w:rsidRPr="00184F35">
        <w:rPr>
          <w:rFonts w:ascii="Times New Roman" w:hAnsi="Times New Roman" w:cs="Times New Roman"/>
          <w:sz w:val="24"/>
          <w:szCs w:val="24"/>
        </w:rPr>
        <w:t xml:space="preserve">, 12, 427. </w:t>
      </w:r>
    </w:p>
    <w:p w14:paraId="786466C6" w14:textId="77777777" w:rsidR="001D5B69" w:rsidRPr="00184F35" w:rsidRDefault="001D5B69" w:rsidP="001D5B69">
      <w:pPr>
        <w:pStyle w:val="ListParagraph"/>
        <w:ind w:left="0"/>
        <w:jc w:val="both"/>
        <w:rPr>
          <w:rFonts w:ascii="Times New Roman" w:hAnsi="Times New Roman" w:cs="Times New Roman"/>
          <w:sz w:val="24"/>
          <w:szCs w:val="24"/>
        </w:rPr>
      </w:pPr>
      <w:r w:rsidRPr="00184F35">
        <w:rPr>
          <w:rFonts w:ascii="Times New Roman" w:hAnsi="Times New Roman" w:cs="Times New Roman"/>
          <w:sz w:val="24"/>
          <w:szCs w:val="24"/>
        </w:rPr>
        <w:t>https://doi.org/10.3390/biom12030427.</w:t>
      </w:r>
    </w:p>
    <w:p w14:paraId="3EC7AD52"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0D50F224"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Wankhede, N., Kale, M., Umare, M., Lokhande, S., Upaganlawar, A., Wal, P. T., Umekar, M., Khandig, P., Singh, B., Sadananda, V., Ramniwas, S., &amp; Behl, T. (2024) Revisiting the Mitochondrial Function and Communication in Neurodegenerative Diseases. </w:t>
      </w:r>
      <w:r w:rsidRPr="00184F35">
        <w:rPr>
          <w:rFonts w:ascii="Times New Roman" w:hAnsi="Times New Roman" w:cs="Times New Roman"/>
          <w:i/>
          <w:iCs/>
          <w:sz w:val="24"/>
          <w:szCs w:val="24"/>
        </w:rPr>
        <w:t>Current pharmaceutical design</w:t>
      </w:r>
      <w:r w:rsidRPr="00184F35">
        <w:rPr>
          <w:rFonts w:ascii="Times New Roman" w:hAnsi="Times New Roman" w:cs="Times New Roman"/>
          <w:sz w:val="24"/>
          <w:szCs w:val="24"/>
        </w:rPr>
        <w:t xml:space="preserve">. 30.10.2174/0113816128286655240304070740. </w:t>
      </w:r>
    </w:p>
    <w:p w14:paraId="75661043" w14:textId="77777777" w:rsidR="00C970EF" w:rsidRDefault="00C970EF" w:rsidP="001D5B69">
      <w:pPr>
        <w:pStyle w:val="ListParagraph"/>
        <w:spacing w:line="360" w:lineRule="auto"/>
        <w:ind w:left="0"/>
        <w:jc w:val="both"/>
        <w:rPr>
          <w:rFonts w:ascii="Times New Roman" w:hAnsi="Times New Roman" w:cs="Times New Roman"/>
          <w:sz w:val="24"/>
          <w:szCs w:val="24"/>
        </w:rPr>
      </w:pPr>
    </w:p>
    <w:p w14:paraId="678ADB97" w14:textId="77777777" w:rsidR="001D5B69" w:rsidRDefault="001D5B69" w:rsidP="001D5B69">
      <w:pPr>
        <w:pStyle w:val="ListParagraph"/>
        <w:spacing w:line="360" w:lineRule="auto"/>
        <w:ind w:left="0"/>
        <w:jc w:val="both"/>
        <w:rPr>
          <w:rFonts w:ascii="Times New Roman" w:hAnsi="Times New Roman" w:cs="Times New Roman"/>
          <w:sz w:val="24"/>
          <w:szCs w:val="24"/>
        </w:rPr>
      </w:pPr>
      <w:r w:rsidRPr="00253CA3">
        <w:rPr>
          <w:rFonts w:ascii="Times New Roman" w:hAnsi="Times New Roman" w:cs="Times New Roman"/>
          <w:sz w:val="24"/>
          <w:szCs w:val="24"/>
          <w:highlight w:val="yellow"/>
        </w:rPr>
        <w:t>Wenzhang, W., Fanpeng, Z., Xiaopin, M., George, P., &amp; Xiongwei, Z. (2020) Mitochondria dysfunction in the pathogenesis of Alzheimer’s disease: recent advances. Molecular Neurodegeneration volume 15, Article number, 30.</w:t>
      </w:r>
    </w:p>
    <w:p w14:paraId="5517166E" w14:textId="77777777" w:rsidR="00C970EF" w:rsidRPr="00184F35" w:rsidRDefault="00C970EF" w:rsidP="001D5B69">
      <w:pPr>
        <w:pStyle w:val="ListParagraph"/>
        <w:spacing w:line="360" w:lineRule="auto"/>
        <w:ind w:left="0"/>
        <w:jc w:val="both"/>
        <w:rPr>
          <w:rFonts w:ascii="Times New Roman" w:hAnsi="Times New Roman" w:cs="Times New Roman"/>
          <w:sz w:val="24"/>
          <w:szCs w:val="24"/>
        </w:rPr>
      </w:pPr>
    </w:p>
    <w:p w14:paraId="71C46D59"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Wu, Q. H., Yuan, Z. H., Zhang, X. J. (2014). </w:t>
      </w:r>
      <w:r w:rsidRPr="00184F35">
        <w:rPr>
          <w:rFonts w:ascii="Times New Roman" w:hAnsi="Times New Roman" w:cs="Times New Roman"/>
          <w:i/>
          <w:iCs/>
          <w:sz w:val="24"/>
          <w:szCs w:val="24"/>
        </w:rPr>
        <w:t>The Cell Survival Function of Jnk. Mil. Med. Sci. Lett</w:t>
      </w:r>
      <w:r w:rsidRPr="00184F35">
        <w:rPr>
          <w:rFonts w:ascii="Times New Roman" w:hAnsi="Times New Roman" w:cs="Times New Roman"/>
          <w:sz w:val="24"/>
          <w:szCs w:val="24"/>
        </w:rPr>
        <w:t xml:space="preserve">, 83, 28–33. </w:t>
      </w:r>
    </w:p>
    <w:p w14:paraId="17A3E50C"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0596BEA0"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Xiaoning, H., Honglei, R., Ayon, N., Xuanjia, F. &amp; Raymond, C. K. (2021). Analysis of glucose metabolism by 18F-FDG-PET imaging and glucose transporter expression in a mouse model of intracerebral hemorrhage. </w:t>
      </w:r>
      <w:r w:rsidRPr="00184F35">
        <w:rPr>
          <w:rFonts w:ascii="Times New Roman" w:hAnsi="Times New Roman" w:cs="Times New Roman"/>
          <w:i/>
          <w:iCs/>
          <w:sz w:val="24"/>
          <w:szCs w:val="24"/>
        </w:rPr>
        <w:t>Sci Rep</w:t>
      </w:r>
      <w:r w:rsidRPr="00184F35">
        <w:rPr>
          <w:rFonts w:ascii="Times New Roman" w:hAnsi="Times New Roman" w:cs="Times New Roman"/>
          <w:sz w:val="24"/>
          <w:szCs w:val="24"/>
        </w:rPr>
        <w:t xml:space="preserve">, 11:10885. </w:t>
      </w:r>
    </w:p>
    <w:p w14:paraId="031BBB9F"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doi: 10.1038/s41598-021-90216-4.</w:t>
      </w:r>
    </w:p>
    <w:p w14:paraId="59F97EC7"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53818517"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Xinglong, W., Sandra, L. S., Paula, I. M., Hisashi, F., Yang, W., Gemma, C., &amp; Xiongwei, Z. (2008). Amyloid-β overproduction causes abnormal mitochondrial dynamics via differential modulation of mitochondrial fission/fusion proteins. </w:t>
      </w:r>
      <w:r w:rsidRPr="00184F35">
        <w:rPr>
          <w:rFonts w:ascii="Times New Roman" w:hAnsi="Times New Roman" w:cs="Times New Roman"/>
          <w:i/>
          <w:iCs/>
          <w:sz w:val="24"/>
          <w:szCs w:val="24"/>
        </w:rPr>
        <w:t>Acad Sci U S A</w:t>
      </w:r>
      <w:r w:rsidRPr="00184F35">
        <w:rPr>
          <w:rFonts w:ascii="Times New Roman" w:hAnsi="Times New Roman" w:cs="Times New Roman"/>
          <w:sz w:val="24"/>
          <w:szCs w:val="24"/>
        </w:rPr>
        <w:t>, 105(49), 19318–19323.</w:t>
      </w:r>
    </w:p>
    <w:p w14:paraId="2ADBAA4F"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 doi: 10.1073/pnas.0804871105.</w:t>
      </w:r>
    </w:p>
    <w:p w14:paraId="48216234" w14:textId="77777777" w:rsidR="001D5B69" w:rsidRPr="00184F35" w:rsidRDefault="001D5B69" w:rsidP="001D5B69">
      <w:pPr>
        <w:pStyle w:val="ListParagraph"/>
        <w:spacing w:line="360" w:lineRule="auto"/>
        <w:ind w:left="0" w:right="-563"/>
        <w:jc w:val="both"/>
        <w:rPr>
          <w:rFonts w:ascii="Times New Roman" w:hAnsi="Times New Roman" w:cs="Times New Roman"/>
          <w:sz w:val="24"/>
          <w:szCs w:val="24"/>
        </w:rPr>
      </w:pPr>
    </w:p>
    <w:p w14:paraId="43C145FF" w14:textId="77777777" w:rsidR="001D5B69" w:rsidRPr="00184F35" w:rsidRDefault="001D5B69" w:rsidP="001D5B69">
      <w:pPr>
        <w:pStyle w:val="ListParagraph"/>
        <w:spacing w:line="360" w:lineRule="auto"/>
        <w:ind w:left="0" w:right="-563"/>
        <w:jc w:val="both"/>
        <w:rPr>
          <w:rFonts w:ascii="Times New Roman" w:hAnsi="Times New Roman" w:cs="Times New Roman"/>
          <w:sz w:val="24"/>
          <w:szCs w:val="24"/>
        </w:rPr>
      </w:pPr>
      <w:r w:rsidRPr="00184F35">
        <w:rPr>
          <w:rFonts w:ascii="Times New Roman" w:hAnsi="Times New Roman" w:cs="Times New Roman"/>
          <w:sz w:val="24"/>
          <w:szCs w:val="24"/>
        </w:rPr>
        <w:t xml:space="preserve">Yanfang, R. 1., Priyanka, T., Zuoping, X., &amp; James, Q. Z. (2006). Acute impairment of mitochondrial trafficking by beta-amyloid peptides in hippocampal neurons. </w:t>
      </w:r>
      <w:r w:rsidRPr="00184F35">
        <w:rPr>
          <w:rFonts w:ascii="Times New Roman" w:hAnsi="Times New Roman" w:cs="Times New Roman"/>
          <w:i/>
          <w:iCs/>
          <w:sz w:val="24"/>
          <w:szCs w:val="24"/>
        </w:rPr>
        <w:t>Comparative Study J Neurosci</w:t>
      </w:r>
      <w:r w:rsidRPr="00184F35">
        <w:rPr>
          <w:rFonts w:ascii="Times New Roman" w:hAnsi="Times New Roman" w:cs="Times New Roman"/>
          <w:sz w:val="24"/>
          <w:szCs w:val="24"/>
        </w:rPr>
        <w:t xml:space="preserve">, 26(41), 10480-7. </w:t>
      </w:r>
    </w:p>
    <w:p w14:paraId="68A7310F" w14:textId="77777777" w:rsidR="001D5B69" w:rsidRPr="00184F35" w:rsidRDefault="001D5B69" w:rsidP="001D5B69">
      <w:pPr>
        <w:pStyle w:val="ListParagraph"/>
        <w:spacing w:line="360" w:lineRule="auto"/>
        <w:ind w:left="0" w:right="-563"/>
        <w:jc w:val="both"/>
        <w:rPr>
          <w:rFonts w:ascii="Times New Roman" w:hAnsi="Times New Roman" w:cs="Times New Roman"/>
          <w:sz w:val="24"/>
          <w:szCs w:val="24"/>
        </w:rPr>
      </w:pPr>
      <w:r w:rsidRPr="00184F35">
        <w:rPr>
          <w:rFonts w:ascii="Times New Roman" w:hAnsi="Times New Roman" w:cs="Times New Roman"/>
          <w:sz w:val="24"/>
          <w:szCs w:val="24"/>
        </w:rPr>
        <w:t>doi: 10.1523/JNEUROSCI.3231-06.2006.</w:t>
      </w:r>
    </w:p>
    <w:p w14:paraId="7111FC17" w14:textId="77777777" w:rsidR="001D5B69" w:rsidRPr="00184F35" w:rsidRDefault="001D5B69" w:rsidP="001D5B69">
      <w:pPr>
        <w:pStyle w:val="ListParagraph"/>
        <w:spacing w:line="360" w:lineRule="auto"/>
        <w:ind w:left="0" w:right="-563"/>
        <w:jc w:val="both"/>
        <w:rPr>
          <w:rFonts w:ascii="Times New Roman" w:hAnsi="Times New Roman" w:cs="Times New Roman"/>
          <w:sz w:val="24"/>
          <w:szCs w:val="24"/>
        </w:rPr>
      </w:pPr>
    </w:p>
    <w:p w14:paraId="5A00F0EB" w14:textId="77777777" w:rsidR="001D5B69" w:rsidRPr="00184F35" w:rsidRDefault="001D5B69" w:rsidP="001D5B69">
      <w:pPr>
        <w:pStyle w:val="ListParagraph"/>
        <w:spacing w:line="360" w:lineRule="auto"/>
        <w:ind w:left="0" w:right="-563"/>
        <w:jc w:val="both"/>
        <w:rPr>
          <w:rFonts w:ascii="Times New Roman" w:hAnsi="Times New Roman" w:cs="Times New Roman"/>
          <w:sz w:val="24"/>
          <w:szCs w:val="24"/>
        </w:rPr>
      </w:pPr>
      <w:r w:rsidRPr="00184F35">
        <w:rPr>
          <w:rFonts w:ascii="Times New Roman" w:hAnsi="Times New Roman" w:cs="Times New Roman"/>
          <w:sz w:val="24"/>
          <w:szCs w:val="24"/>
        </w:rPr>
        <w:t>Yao, Z., Hao, Li., Peng, L., Long, C., Yao, P., Yongqiang, Z., Changqing, Z., Delin, L., Minghao, Z., &amp; Junjie, Gao. (2024). Mitochondrial dysfunction: mechanisms and advances in therapy. Signal Transduction and Targeted Therapy volume 9, Article number: 124.</w:t>
      </w:r>
    </w:p>
    <w:p w14:paraId="71275D3B" w14:textId="77777777" w:rsidR="001D5B69" w:rsidRPr="00184F35" w:rsidRDefault="001D5B69" w:rsidP="001D5B69">
      <w:pPr>
        <w:pStyle w:val="ListParagraph"/>
        <w:spacing w:line="360" w:lineRule="auto"/>
        <w:ind w:left="0" w:right="-563"/>
        <w:jc w:val="both"/>
        <w:rPr>
          <w:rFonts w:ascii="Times New Roman" w:hAnsi="Times New Roman" w:cs="Times New Roman"/>
          <w:sz w:val="24"/>
          <w:szCs w:val="24"/>
        </w:rPr>
      </w:pPr>
    </w:p>
    <w:p w14:paraId="0E3095ED" w14:textId="77777777" w:rsidR="001D5B69" w:rsidRPr="00184F35" w:rsidRDefault="001D5B69" w:rsidP="001D5B69">
      <w:pPr>
        <w:pStyle w:val="ListParagraph"/>
        <w:spacing w:line="360" w:lineRule="auto"/>
        <w:ind w:left="0" w:right="-563"/>
        <w:jc w:val="both"/>
        <w:rPr>
          <w:rFonts w:ascii="Times New Roman" w:hAnsi="Times New Roman" w:cs="Times New Roman"/>
          <w:sz w:val="24"/>
          <w:szCs w:val="24"/>
        </w:rPr>
      </w:pPr>
      <w:r w:rsidRPr="00184F35">
        <w:rPr>
          <w:rFonts w:ascii="Times New Roman" w:hAnsi="Times New Roman" w:cs="Times New Roman"/>
          <w:sz w:val="24"/>
          <w:szCs w:val="24"/>
        </w:rPr>
        <w:t xml:space="preserve">Yong, H. P., Soo, J. S., Hyeon, S. K., Sang, B. H., Sujin, K., Yunkwon, N., Jwa-Jin, K., Kyu, L., Jong-Seok, K., Jin-il, K., Seong, G.  J., &amp; Minho, M. </w:t>
      </w:r>
      <w:r w:rsidR="008165FD" w:rsidRPr="00184F35">
        <w:rPr>
          <w:rFonts w:ascii="Times New Roman" w:hAnsi="Times New Roman" w:cs="Times New Roman"/>
          <w:sz w:val="24"/>
          <w:szCs w:val="24"/>
        </w:rPr>
        <w:t xml:space="preserve">(2020). </w:t>
      </w:r>
      <w:r w:rsidRPr="00184F35">
        <w:rPr>
          <w:rFonts w:ascii="Times New Roman" w:hAnsi="Times New Roman" w:cs="Times New Roman"/>
          <w:sz w:val="24"/>
          <w:szCs w:val="24"/>
        </w:rPr>
        <w:t xml:space="preserve">Omega-3 Fatty Acid-Type Docosahexaenoic Acid Protects against Aβ-Mediated Mitochondrial Deficits and Pathomechanisms in Alzheimer’s Disease-Related Animal Model. </w:t>
      </w:r>
      <w:r w:rsidRPr="00184F35">
        <w:rPr>
          <w:rFonts w:ascii="Times New Roman" w:hAnsi="Times New Roman" w:cs="Times New Roman"/>
          <w:i/>
          <w:iCs/>
          <w:sz w:val="24"/>
          <w:szCs w:val="24"/>
        </w:rPr>
        <w:t>Int. J. Mol. Sci</w:t>
      </w:r>
      <w:r w:rsidRPr="00184F35">
        <w:rPr>
          <w:rFonts w:ascii="Times New Roman" w:hAnsi="Times New Roman" w:cs="Times New Roman"/>
          <w:sz w:val="24"/>
          <w:szCs w:val="24"/>
        </w:rPr>
        <w:t>, 21(11), 3879.</w:t>
      </w:r>
    </w:p>
    <w:p w14:paraId="78F45161" w14:textId="77777777" w:rsidR="001D5B69" w:rsidRPr="008F4EA2" w:rsidRDefault="001D5B69" w:rsidP="001D5B69">
      <w:pPr>
        <w:pStyle w:val="ListParagraph"/>
        <w:spacing w:line="360" w:lineRule="auto"/>
        <w:ind w:left="0" w:right="-563"/>
        <w:jc w:val="both"/>
        <w:rPr>
          <w:rFonts w:ascii="Times New Roman" w:hAnsi="Times New Roman" w:cs="Times New Roman"/>
          <w:color w:val="000000" w:themeColor="text1"/>
          <w:sz w:val="24"/>
          <w:szCs w:val="24"/>
          <w:lang w:val="es-US"/>
        </w:rPr>
      </w:pPr>
      <w:r w:rsidRPr="00184F35">
        <w:rPr>
          <w:rFonts w:ascii="Times New Roman" w:hAnsi="Times New Roman" w:cs="Times New Roman"/>
          <w:sz w:val="24"/>
          <w:szCs w:val="24"/>
        </w:rPr>
        <w:t xml:space="preserve"> </w:t>
      </w:r>
      <w:hyperlink r:id="rId10" w:history="1">
        <w:r w:rsidRPr="008F4EA2">
          <w:rPr>
            <w:rStyle w:val="Hyperlink"/>
            <w:rFonts w:ascii="Times New Roman" w:hAnsi="Times New Roman" w:cs="Times New Roman"/>
            <w:color w:val="000000" w:themeColor="text1"/>
            <w:sz w:val="24"/>
            <w:szCs w:val="24"/>
            <w:lang w:val="es-US"/>
          </w:rPr>
          <w:t>https://doi.org/10.3390/ijms21113879</w:t>
        </w:r>
      </w:hyperlink>
      <w:r w:rsidRPr="008F4EA2">
        <w:rPr>
          <w:rFonts w:ascii="Times New Roman" w:hAnsi="Times New Roman" w:cs="Times New Roman"/>
          <w:color w:val="000000" w:themeColor="text1"/>
          <w:sz w:val="24"/>
          <w:szCs w:val="24"/>
          <w:lang w:val="es-US"/>
        </w:rPr>
        <w:t>.</w:t>
      </w:r>
    </w:p>
    <w:p w14:paraId="4FE2DD7D" w14:textId="77777777" w:rsidR="00A76141" w:rsidRPr="008F4EA2" w:rsidRDefault="00A76141" w:rsidP="001D5B69">
      <w:pPr>
        <w:pStyle w:val="ListParagraph"/>
        <w:spacing w:line="360" w:lineRule="auto"/>
        <w:ind w:left="0" w:right="-563"/>
        <w:jc w:val="both"/>
        <w:rPr>
          <w:rFonts w:ascii="Times New Roman" w:hAnsi="Times New Roman" w:cs="Times New Roman"/>
          <w:sz w:val="24"/>
          <w:szCs w:val="24"/>
          <w:lang w:val="es-US"/>
        </w:rPr>
      </w:pPr>
    </w:p>
    <w:p w14:paraId="4D57E9F0" w14:textId="77777777" w:rsidR="001D5B69" w:rsidRPr="00184F35" w:rsidRDefault="001D5B69" w:rsidP="001D5B69">
      <w:pPr>
        <w:pStyle w:val="ListParagraph"/>
        <w:spacing w:line="360" w:lineRule="auto"/>
        <w:ind w:left="0" w:right="-563"/>
        <w:jc w:val="both"/>
        <w:rPr>
          <w:rFonts w:ascii="Times New Roman" w:hAnsi="Times New Roman" w:cs="Times New Roman"/>
          <w:sz w:val="24"/>
          <w:szCs w:val="24"/>
        </w:rPr>
      </w:pPr>
      <w:r w:rsidRPr="008F4EA2">
        <w:rPr>
          <w:rFonts w:ascii="Times New Roman" w:hAnsi="Times New Roman" w:cs="Times New Roman"/>
          <w:sz w:val="24"/>
          <w:szCs w:val="24"/>
          <w:lang w:val="es-US"/>
        </w:rPr>
        <w:t xml:space="preserve">Yongxia, Z., Xiaochun, Y., Zhifeng, X., Awais, I., Irma, A., Marta, M., Bernardo, L., María-Rosa, M. L., Arturo, A., Xu, W., &amp; María, A. M. (2023). </w:t>
      </w:r>
      <w:r w:rsidRPr="00184F35">
        <w:rPr>
          <w:rFonts w:ascii="Times New Roman" w:hAnsi="Times New Roman" w:cs="Times New Roman"/>
          <w:sz w:val="24"/>
          <w:szCs w:val="24"/>
        </w:rPr>
        <w:t>Cancer Metabolism: The Role of ROS in DNA Damage and Induction of Apoptosis in Cancer Cells. 13(7), 796.</w:t>
      </w:r>
    </w:p>
    <w:p w14:paraId="40B67ABF" w14:textId="77777777" w:rsidR="001D5B69" w:rsidRPr="00184F35" w:rsidRDefault="001D5B69" w:rsidP="001D5B69">
      <w:pPr>
        <w:pStyle w:val="ListParagraph"/>
        <w:spacing w:line="360" w:lineRule="auto"/>
        <w:ind w:left="0" w:right="-563"/>
        <w:jc w:val="both"/>
        <w:rPr>
          <w:rFonts w:ascii="Times New Roman" w:hAnsi="Times New Roman" w:cs="Times New Roman"/>
          <w:sz w:val="24"/>
          <w:szCs w:val="24"/>
        </w:rPr>
      </w:pPr>
      <w:r w:rsidRPr="00184F35">
        <w:rPr>
          <w:rFonts w:ascii="Times New Roman" w:hAnsi="Times New Roman" w:cs="Times New Roman"/>
          <w:sz w:val="24"/>
          <w:szCs w:val="24"/>
        </w:rPr>
        <w:t xml:space="preserve"> doi: 10.3390/metabo13070796.</w:t>
      </w:r>
    </w:p>
    <w:p w14:paraId="338FD412" w14:textId="77777777" w:rsidR="001D5B69" w:rsidRPr="00253CA3" w:rsidRDefault="001D5B69" w:rsidP="001D5B69">
      <w:pPr>
        <w:pStyle w:val="ListParagraph"/>
        <w:spacing w:line="360" w:lineRule="auto"/>
        <w:ind w:left="0" w:right="-563"/>
        <w:jc w:val="both"/>
        <w:rPr>
          <w:rFonts w:ascii="Times New Roman" w:hAnsi="Times New Roman" w:cs="Times New Roman"/>
          <w:sz w:val="24"/>
          <w:szCs w:val="24"/>
          <w:highlight w:val="yellow"/>
        </w:rPr>
      </w:pPr>
      <w:r w:rsidRPr="00253CA3">
        <w:rPr>
          <w:rFonts w:ascii="Times New Roman" w:hAnsi="Times New Roman" w:cs="Times New Roman"/>
          <w:sz w:val="24"/>
          <w:szCs w:val="24"/>
          <w:highlight w:val="yellow"/>
        </w:rPr>
        <w:t xml:space="preserve">Zhen, J., Wenzhang, W., George, P., Xiongwei, Z., &amp; Xinglong W. (2015). Mitochondrial dynamic abnormalities in amyotrophic lateral sclerosis Transl Neurodegener.  </w:t>
      </w:r>
    </w:p>
    <w:p w14:paraId="2FC7727C" w14:textId="77777777" w:rsidR="001D5B69" w:rsidRDefault="001D5B69" w:rsidP="001D5B69">
      <w:pPr>
        <w:pStyle w:val="ListParagraph"/>
        <w:spacing w:line="360" w:lineRule="auto"/>
        <w:ind w:left="0" w:right="-563"/>
        <w:jc w:val="both"/>
        <w:rPr>
          <w:rFonts w:ascii="Times New Roman" w:hAnsi="Times New Roman" w:cs="Times New Roman"/>
          <w:sz w:val="24"/>
          <w:szCs w:val="24"/>
        </w:rPr>
      </w:pPr>
      <w:r w:rsidRPr="00253CA3">
        <w:rPr>
          <w:rFonts w:ascii="Times New Roman" w:hAnsi="Times New Roman" w:cs="Times New Roman"/>
          <w:sz w:val="24"/>
          <w:szCs w:val="24"/>
          <w:highlight w:val="yellow"/>
        </w:rPr>
        <w:t>doi: 10.1186/s40035-015-0037-x.</w:t>
      </w:r>
    </w:p>
    <w:p w14:paraId="117FBE84" w14:textId="77777777" w:rsidR="00A76141" w:rsidRDefault="00A76141" w:rsidP="001D5B69">
      <w:pPr>
        <w:pStyle w:val="ListParagraph"/>
        <w:spacing w:line="360" w:lineRule="auto"/>
        <w:ind w:left="0" w:right="-563"/>
        <w:jc w:val="both"/>
        <w:rPr>
          <w:rFonts w:ascii="Times New Roman" w:hAnsi="Times New Roman" w:cs="Times New Roman"/>
          <w:sz w:val="24"/>
          <w:szCs w:val="24"/>
        </w:rPr>
      </w:pPr>
    </w:p>
    <w:p w14:paraId="6CBC7BA8" w14:textId="77777777" w:rsidR="00A76141" w:rsidRPr="00184F35" w:rsidRDefault="00A76141" w:rsidP="001D5B69">
      <w:pPr>
        <w:pStyle w:val="ListParagraph"/>
        <w:spacing w:line="360" w:lineRule="auto"/>
        <w:ind w:left="0" w:right="-563"/>
        <w:jc w:val="both"/>
        <w:rPr>
          <w:rFonts w:ascii="Times New Roman" w:hAnsi="Times New Roman" w:cs="Times New Roman"/>
          <w:sz w:val="24"/>
          <w:szCs w:val="24"/>
        </w:rPr>
      </w:pPr>
    </w:p>
    <w:p w14:paraId="15E0D498" w14:textId="77777777" w:rsidR="001D5B69" w:rsidRPr="00184F35" w:rsidRDefault="001D5B69" w:rsidP="001D5B69">
      <w:pPr>
        <w:rPr>
          <w:rFonts w:ascii="Times New Roman" w:hAnsi="Times New Roman" w:cs="Times New Roman"/>
          <w:sz w:val="24"/>
          <w:szCs w:val="24"/>
        </w:rPr>
      </w:pPr>
      <w:r w:rsidRPr="00253CA3">
        <w:rPr>
          <w:rFonts w:ascii="Times New Roman" w:hAnsi="Times New Roman" w:cs="Times New Roman"/>
          <w:sz w:val="24"/>
          <w:szCs w:val="24"/>
          <w:highlight w:val="yellow"/>
        </w:rPr>
        <w:t>Ziye Rong,Ziye Rong, Peipei Tu, Peipei Tu, Peiqi Xu, Peiqi Xu Yan SunYan Sun, Fangfang YuFangfang Yu1Na TuNa Tu1Lixia GuoLixia Guo, Yanan Yang,Yanan Yang.</w:t>
      </w:r>
      <w:r w:rsidR="00C6271E" w:rsidRPr="00253CA3">
        <w:rPr>
          <w:rFonts w:ascii="Times New Roman" w:hAnsi="Times New Roman" w:cs="Times New Roman"/>
          <w:sz w:val="24"/>
          <w:szCs w:val="24"/>
          <w:highlight w:val="yellow"/>
        </w:rPr>
        <w:t xml:space="preserve"> (2021) </w:t>
      </w:r>
      <w:r w:rsidRPr="00253CA3">
        <w:rPr>
          <w:rFonts w:ascii="Times New Roman" w:hAnsi="Times New Roman" w:cs="Times New Roman"/>
          <w:sz w:val="24"/>
          <w:szCs w:val="24"/>
          <w:highlight w:val="yellow"/>
        </w:rPr>
        <w:t>The</w:t>
      </w:r>
      <w:r w:rsidR="00A76141" w:rsidRPr="00253CA3">
        <w:rPr>
          <w:rFonts w:ascii="Times New Roman" w:hAnsi="Times New Roman" w:cs="Times New Roman"/>
          <w:sz w:val="24"/>
          <w:szCs w:val="24"/>
          <w:highlight w:val="yellow"/>
        </w:rPr>
        <w:t xml:space="preserve"> </w:t>
      </w:r>
      <w:r w:rsidRPr="00253CA3">
        <w:rPr>
          <w:rFonts w:ascii="Times New Roman" w:hAnsi="Times New Roman" w:cs="Times New Roman"/>
          <w:sz w:val="24"/>
          <w:szCs w:val="24"/>
          <w:highlight w:val="yellow"/>
        </w:rPr>
        <w:t xml:space="preserve">Mitochondrial Response to DNA Damage.Front. Cell Dev. Biol., 12 May 2021.Sec. Cell Death and SurvivalVolume 9 </w:t>
      </w:r>
      <w:r w:rsidR="00C6271E" w:rsidRPr="00253CA3">
        <w:rPr>
          <w:rFonts w:ascii="Times New Roman" w:hAnsi="Times New Roman" w:cs="Times New Roman"/>
          <w:sz w:val="24"/>
          <w:szCs w:val="24"/>
          <w:highlight w:val="yellow"/>
        </w:rPr>
        <w:t>–</w:t>
      </w:r>
      <w:r w:rsidRPr="00253CA3">
        <w:rPr>
          <w:rFonts w:ascii="Times New Roman" w:hAnsi="Times New Roman" w:cs="Times New Roman"/>
          <w:sz w:val="24"/>
          <w:szCs w:val="24"/>
          <w:highlight w:val="yellow"/>
        </w:rPr>
        <w:t xml:space="preserve">| </w:t>
      </w:r>
      <w:hyperlink r:id="rId11" w:history="1">
        <w:r w:rsidRPr="00253CA3">
          <w:rPr>
            <w:rStyle w:val="Hyperlink"/>
            <w:rFonts w:ascii="Times New Roman" w:hAnsi="Times New Roman" w:cs="Times New Roman"/>
            <w:sz w:val="24"/>
            <w:szCs w:val="24"/>
            <w:highlight w:val="yellow"/>
          </w:rPr>
          <w:t>https://doi.org/10.3389/fcell.2021.669379</w:t>
        </w:r>
      </w:hyperlink>
      <w:r w:rsidRPr="00253CA3">
        <w:rPr>
          <w:rFonts w:ascii="Times New Roman" w:hAnsi="Times New Roman" w:cs="Times New Roman"/>
          <w:sz w:val="24"/>
          <w:szCs w:val="24"/>
          <w:highlight w:val="yellow"/>
        </w:rPr>
        <w:t>.</w:t>
      </w:r>
    </w:p>
    <w:p w14:paraId="6D4888BC" w14:textId="77777777" w:rsidR="001D5B69" w:rsidRPr="00184F35" w:rsidRDefault="001D5B69" w:rsidP="001D5B69">
      <w:pPr>
        <w:rPr>
          <w:rFonts w:ascii="Times New Roman" w:hAnsi="Times New Roman" w:cs="Times New Roman"/>
          <w:sz w:val="24"/>
          <w:szCs w:val="24"/>
        </w:rPr>
      </w:pPr>
      <w:r w:rsidRPr="00253CA3">
        <w:rPr>
          <w:rFonts w:ascii="Times New Roman" w:hAnsi="Times New Roman" w:cs="Times New Roman"/>
          <w:sz w:val="24"/>
          <w:szCs w:val="24"/>
          <w:highlight w:val="yellow"/>
        </w:rPr>
        <w:t>Zu-Hang Sheng.Mitochondrial trafficking and anchoring in neurons: New insight and implications</w:t>
      </w:r>
      <w:r w:rsidR="00C6271E" w:rsidRPr="00253CA3">
        <w:rPr>
          <w:rFonts w:ascii="Times New Roman" w:hAnsi="Times New Roman" w:cs="Times New Roman"/>
          <w:sz w:val="24"/>
          <w:szCs w:val="24"/>
          <w:highlight w:val="yellow"/>
        </w:rPr>
        <w:t>. (2014)</w:t>
      </w:r>
      <w:r w:rsidRPr="00184F35">
        <w:rPr>
          <w:rFonts w:ascii="Times New Roman" w:hAnsi="Times New Roman" w:cs="Times New Roman"/>
          <w:sz w:val="24"/>
          <w:szCs w:val="24"/>
        </w:rPr>
        <w:t xml:space="preserve">Journal of Cell </w:t>
      </w:r>
      <w:r w:rsidRPr="00253CA3">
        <w:rPr>
          <w:rFonts w:ascii="Times New Roman" w:hAnsi="Times New Roman" w:cs="Times New Roman"/>
          <w:sz w:val="24"/>
          <w:szCs w:val="24"/>
          <w:highlight w:val="yellow"/>
        </w:rPr>
        <w:t>Biology (JCB)March</w:t>
      </w:r>
      <w:r w:rsidR="00C6271E" w:rsidRPr="00253CA3">
        <w:rPr>
          <w:rFonts w:ascii="Times New Roman" w:hAnsi="Times New Roman" w:cs="Times New Roman"/>
          <w:sz w:val="24"/>
          <w:szCs w:val="24"/>
          <w:highlight w:val="yellow"/>
        </w:rPr>
        <w:t>.</w:t>
      </w:r>
      <w:r w:rsidRPr="00253CA3">
        <w:rPr>
          <w:rFonts w:ascii="Times New Roman" w:hAnsi="Times New Roman" w:cs="Times New Roman"/>
          <w:sz w:val="24"/>
          <w:szCs w:val="24"/>
          <w:highlight w:val="yellow"/>
        </w:rPr>
        <w:t>204(7):1087-98.</w:t>
      </w:r>
    </w:p>
    <w:p w14:paraId="12B27302" w14:textId="77777777" w:rsidR="001D5B69" w:rsidRPr="00184F35" w:rsidRDefault="001D5B69" w:rsidP="001D5B69">
      <w:pPr>
        <w:rPr>
          <w:rFonts w:ascii="Times New Roman" w:hAnsi="Times New Roman" w:cs="Times New Roman"/>
          <w:sz w:val="24"/>
          <w:szCs w:val="24"/>
        </w:rPr>
      </w:pPr>
      <w:r w:rsidRPr="00184F35">
        <w:rPr>
          <w:rFonts w:ascii="Times New Roman" w:hAnsi="Times New Roman" w:cs="Times New Roman"/>
          <w:b/>
          <w:sz w:val="24"/>
          <w:szCs w:val="24"/>
        </w:rPr>
        <w:t>Declaration:</w:t>
      </w:r>
      <w:r w:rsidRPr="00184F35">
        <w:rPr>
          <w:rFonts w:ascii="Times New Roman" w:hAnsi="Times New Roman" w:cs="Times New Roman"/>
          <w:sz w:val="24"/>
          <w:szCs w:val="24"/>
        </w:rPr>
        <w:t xml:space="preserve"> No ethics clearance since animal/human subjects were used. The authors pooled the funds towards the manuscript preparation and associated logistics.</w:t>
      </w:r>
    </w:p>
    <w:p w14:paraId="55E37FFB" w14:textId="77777777" w:rsidR="00566893" w:rsidRPr="00A76141" w:rsidRDefault="00566893" w:rsidP="001D5B69">
      <w:pPr>
        <w:rPr>
          <w:rFonts w:ascii="Times New Roman" w:hAnsi="Times New Roman" w:cs="Times New Roman"/>
          <w:sz w:val="24"/>
          <w:szCs w:val="24"/>
        </w:rPr>
      </w:pPr>
    </w:p>
    <w:p w14:paraId="5AEE1776" w14:textId="2A7E0031" w:rsidR="00A76141" w:rsidRPr="00DE6F38" w:rsidRDefault="00566893" w:rsidP="001D5B69">
      <w:pPr>
        <w:rPr>
          <w:rFonts w:ascii="Times New Roman" w:hAnsi="Times New Roman" w:cs="Times New Roman"/>
          <w:bCs/>
          <w:sz w:val="24"/>
          <w:szCs w:val="24"/>
        </w:rPr>
      </w:pPr>
      <w:r w:rsidRPr="00253CA3">
        <w:rPr>
          <w:rFonts w:ascii="Times New Roman" w:hAnsi="Times New Roman" w:cs="Times New Roman"/>
          <w:bCs/>
          <w:sz w:val="24"/>
          <w:szCs w:val="24"/>
          <w:highlight w:val="yellow"/>
        </w:rPr>
        <w:t>Table 1:</w:t>
      </w:r>
      <w:r w:rsidRPr="00DE6F38">
        <w:rPr>
          <w:rFonts w:ascii="Times New Roman" w:hAnsi="Times New Roman" w:cs="Times New Roman"/>
          <w:bCs/>
          <w:sz w:val="24"/>
          <w:szCs w:val="24"/>
        </w:rPr>
        <w:t xml:space="preserve"> </w:t>
      </w:r>
      <w:r w:rsidR="008F4EA2" w:rsidRPr="00DE6F38">
        <w:rPr>
          <w:rFonts w:ascii="Times New Roman" w:hAnsi="Times New Roman" w:cs="Times New Roman"/>
          <w:bCs/>
          <w:sz w:val="24"/>
          <w:szCs w:val="24"/>
        </w:rPr>
        <w:t xml:space="preserve">List of Genes, Functions and Disorders associated with </w:t>
      </w:r>
      <w:r w:rsidR="00DE6F38">
        <w:rPr>
          <w:rFonts w:ascii="Times New Roman" w:hAnsi="Times New Roman" w:cs="Times New Roman"/>
          <w:bCs/>
          <w:sz w:val="24"/>
          <w:szCs w:val="24"/>
        </w:rPr>
        <w:t>Neurodegenerative Diseases</w:t>
      </w:r>
    </w:p>
    <w:tbl>
      <w:tblPr>
        <w:tblStyle w:val="TableGrid"/>
        <w:tblW w:w="0" w:type="auto"/>
        <w:tblLook w:val="04A0" w:firstRow="1" w:lastRow="0" w:firstColumn="1" w:lastColumn="0" w:noHBand="0" w:noVBand="1"/>
      </w:tblPr>
      <w:tblGrid>
        <w:gridCol w:w="717"/>
        <w:gridCol w:w="2239"/>
        <w:gridCol w:w="4808"/>
        <w:gridCol w:w="1812"/>
      </w:tblGrid>
      <w:tr w:rsidR="00A76141" w:rsidRPr="00184F35" w14:paraId="2B9E108C" w14:textId="77777777" w:rsidTr="00566893">
        <w:tc>
          <w:tcPr>
            <w:tcW w:w="717" w:type="dxa"/>
          </w:tcPr>
          <w:p w14:paraId="2D8D5004"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Sl.no</w:t>
            </w:r>
          </w:p>
        </w:tc>
        <w:tc>
          <w:tcPr>
            <w:tcW w:w="2239" w:type="dxa"/>
          </w:tcPr>
          <w:p w14:paraId="21436A58"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Genes associated with Neurodegenerative diseases/function</w:t>
            </w:r>
          </w:p>
        </w:tc>
        <w:tc>
          <w:tcPr>
            <w:tcW w:w="4808" w:type="dxa"/>
          </w:tcPr>
          <w:p w14:paraId="325370FC"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Function</w:t>
            </w:r>
          </w:p>
        </w:tc>
        <w:tc>
          <w:tcPr>
            <w:tcW w:w="1812" w:type="dxa"/>
          </w:tcPr>
          <w:p w14:paraId="4622442B"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Disorder</w:t>
            </w:r>
          </w:p>
        </w:tc>
      </w:tr>
      <w:tr w:rsidR="00A76141" w:rsidRPr="00184F35" w14:paraId="06640FC6" w14:textId="77777777" w:rsidTr="00566893">
        <w:tc>
          <w:tcPr>
            <w:tcW w:w="717" w:type="dxa"/>
          </w:tcPr>
          <w:p w14:paraId="69ED860D"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1</w:t>
            </w:r>
          </w:p>
        </w:tc>
        <w:tc>
          <w:tcPr>
            <w:tcW w:w="2239" w:type="dxa"/>
          </w:tcPr>
          <w:p w14:paraId="583C8D98" w14:textId="77777777" w:rsidR="00A76141" w:rsidRPr="00184F35" w:rsidRDefault="00A76141" w:rsidP="00566893">
            <w:pPr>
              <w:rPr>
                <w:rFonts w:ascii="Times New Roman" w:hAnsi="Times New Roman" w:cs="Times New Roman"/>
                <w:i/>
                <w:sz w:val="24"/>
                <w:szCs w:val="24"/>
              </w:rPr>
            </w:pPr>
            <w:r w:rsidRPr="00184F35">
              <w:rPr>
                <w:rFonts w:ascii="Times New Roman" w:hAnsi="Times New Roman" w:cs="Times New Roman"/>
                <w:i/>
                <w:sz w:val="24"/>
                <w:szCs w:val="24"/>
              </w:rPr>
              <w:t>SNCA (PARK1</w:t>
            </w:r>
          </w:p>
        </w:tc>
        <w:tc>
          <w:tcPr>
            <w:tcW w:w="4808" w:type="dxa"/>
          </w:tcPr>
          <w:p w14:paraId="2610D723"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Encodes a-synuclein, the primary component in Lewy bodies.</w:t>
            </w:r>
          </w:p>
        </w:tc>
        <w:tc>
          <w:tcPr>
            <w:tcW w:w="1812" w:type="dxa"/>
            <w:vMerge w:val="restart"/>
          </w:tcPr>
          <w:p w14:paraId="6F1A282A" w14:textId="77777777" w:rsidR="00A76141" w:rsidRPr="00184F35" w:rsidRDefault="00A76141" w:rsidP="00566893">
            <w:pPr>
              <w:rPr>
                <w:rFonts w:ascii="Times New Roman" w:hAnsi="Times New Roman" w:cs="Times New Roman"/>
                <w:sz w:val="24"/>
                <w:szCs w:val="24"/>
              </w:rPr>
            </w:pPr>
          </w:p>
          <w:p w14:paraId="5983B3EA" w14:textId="77777777" w:rsidR="00A76141" w:rsidRPr="00184F35" w:rsidRDefault="00A76141" w:rsidP="00566893">
            <w:pPr>
              <w:rPr>
                <w:rFonts w:ascii="Times New Roman" w:hAnsi="Times New Roman" w:cs="Times New Roman"/>
                <w:sz w:val="24"/>
                <w:szCs w:val="24"/>
              </w:rPr>
            </w:pPr>
          </w:p>
          <w:p w14:paraId="2C99FE23" w14:textId="77777777" w:rsidR="00A76141" w:rsidRPr="00184F35" w:rsidRDefault="00A76141" w:rsidP="00566893">
            <w:pPr>
              <w:rPr>
                <w:rFonts w:ascii="Times New Roman" w:hAnsi="Times New Roman" w:cs="Times New Roman"/>
                <w:sz w:val="24"/>
                <w:szCs w:val="24"/>
              </w:rPr>
            </w:pPr>
          </w:p>
          <w:p w14:paraId="2AB74E4C" w14:textId="77777777" w:rsidR="00A76141" w:rsidRPr="00184F35" w:rsidRDefault="00A76141" w:rsidP="00566893">
            <w:pPr>
              <w:rPr>
                <w:rFonts w:ascii="Times New Roman" w:hAnsi="Times New Roman" w:cs="Times New Roman"/>
                <w:sz w:val="24"/>
                <w:szCs w:val="24"/>
              </w:rPr>
            </w:pPr>
          </w:p>
          <w:p w14:paraId="55437B52" w14:textId="77777777" w:rsidR="00A76141" w:rsidRPr="00184F35" w:rsidRDefault="00A76141" w:rsidP="00566893">
            <w:pPr>
              <w:rPr>
                <w:rFonts w:ascii="Times New Roman" w:hAnsi="Times New Roman" w:cs="Times New Roman"/>
                <w:sz w:val="24"/>
                <w:szCs w:val="24"/>
              </w:rPr>
            </w:pPr>
          </w:p>
          <w:p w14:paraId="18DEDE18" w14:textId="77777777" w:rsidR="00A76141" w:rsidRPr="00184F35" w:rsidRDefault="00A76141" w:rsidP="00566893">
            <w:pPr>
              <w:rPr>
                <w:rFonts w:ascii="Times New Roman" w:hAnsi="Times New Roman" w:cs="Times New Roman"/>
                <w:sz w:val="24"/>
                <w:szCs w:val="24"/>
              </w:rPr>
            </w:pPr>
          </w:p>
          <w:p w14:paraId="38FB0860" w14:textId="77777777" w:rsidR="00A76141" w:rsidRPr="00184F35" w:rsidRDefault="00A76141" w:rsidP="00566893">
            <w:pPr>
              <w:rPr>
                <w:rFonts w:ascii="Times New Roman" w:hAnsi="Times New Roman" w:cs="Times New Roman"/>
                <w:sz w:val="24"/>
                <w:szCs w:val="24"/>
              </w:rPr>
            </w:pPr>
          </w:p>
          <w:p w14:paraId="117D138F"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Parkinson Disease</w:t>
            </w:r>
          </w:p>
        </w:tc>
      </w:tr>
      <w:tr w:rsidR="00A76141" w:rsidRPr="00184F35" w14:paraId="5C636AD2" w14:textId="77777777" w:rsidTr="00566893">
        <w:tc>
          <w:tcPr>
            <w:tcW w:w="717" w:type="dxa"/>
          </w:tcPr>
          <w:p w14:paraId="47BDC298" w14:textId="77777777" w:rsidR="00A76141" w:rsidRPr="00184F35" w:rsidRDefault="00A76141" w:rsidP="00566893">
            <w:pPr>
              <w:rPr>
                <w:rFonts w:ascii="Times New Roman" w:hAnsi="Times New Roman" w:cs="Times New Roman"/>
                <w:sz w:val="24"/>
                <w:szCs w:val="24"/>
              </w:rPr>
            </w:pPr>
          </w:p>
        </w:tc>
        <w:tc>
          <w:tcPr>
            <w:tcW w:w="2239" w:type="dxa"/>
          </w:tcPr>
          <w:p w14:paraId="55DF2CBD" w14:textId="77777777" w:rsidR="00A76141" w:rsidRPr="00184F35" w:rsidRDefault="00A76141" w:rsidP="00566893">
            <w:pPr>
              <w:rPr>
                <w:rFonts w:ascii="Times New Roman" w:hAnsi="Times New Roman" w:cs="Times New Roman"/>
                <w:i/>
                <w:sz w:val="24"/>
                <w:szCs w:val="24"/>
              </w:rPr>
            </w:pPr>
            <w:r w:rsidRPr="00184F35">
              <w:rPr>
                <w:rFonts w:ascii="Times New Roman" w:hAnsi="Times New Roman" w:cs="Times New Roman"/>
                <w:i/>
                <w:sz w:val="24"/>
                <w:szCs w:val="24"/>
              </w:rPr>
              <w:t xml:space="preserve">PARK2 </w:t>
            </w:r>
          </w:p>
        </w:tc>
        <w:tc>
          <w:tcPr>
            <w:tcW w:w="4808" w:type="dxa"/>
          </w:tcPr>
          <w:p w14:paraId="6DC44199"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E3 ubiquitin ligase, protein degradation</w:t>
            </w:r>
          </w:p>
        </w:tc>
        <w:tc>
          <w:tcPr>
            <w:tcW w:w="1812" w:type="dxa"/>
            <w:vMerge/>
          </w:tcPr>
          <w:p w14:paraId="1D157CDA" w14:textId="77777777" w:rsidR="00A76141" w:rsidRPr="00184F35" w:rsidRDefault="00A76141" w:rsidP="00566893">
            <w:pPr>
              <w:rPr>
                <w:rFonts w:ascii="Times New Roman" w:hAnsi="Times New Roman" w:cs="Times New Roman"/>
                <w:sz w:val="24"/>
                <w:szCs w:val="24"/>
              </w:rPr>
            </w:pPr>
          </w:p>
        </w:tc>
      </w:tr>
      <w:tr w:rsidR="00A76141" w:rsidRPr="00184F35" w14:paraId="13B6F5F2" w14:textId="77777777" w:rsidTr="00566893">
        <w:tc>
          <w:tcPr>
            <w:tcW w:w="717" w:type="dxa"/>
          </w:tcPr>
          <w:p w14:paraId="6D05D9E5" w14:textId="77777777" w:rsidR="00A76141" w:rsidRPr="00184F35" w:rsidRDefault="00A76141" w:rsidP="00566893">
            <w:pPr>
              <w:rPr>
                <w:rFonts w:ascii="Times New Roman" w:hAnsi="Times New Roman" w:cs="Times New Roman"/>
                <w:sz w:val="24"/>
                <w:szCs w:val="24"/>
              </w:rPr>
            </w:pPr>
          </w:p>
        </w:tc>
        <w:tc>
          <w:tcPr>
            <w:tcW w:w="2239" w:type="dxa"/>
          </w:tcPr>
          <w:p w14:paraId="14851DB4" w14:textId="77777777" w:rsidR="00A76141" w:rsidRPr="00184F35" w:rsidRDefault="00A76141" w:rsidP="00566893">
            <w:pPr>
              <w:rPr>
                <w:rFonts w:ascii="Times New Roman" w:hAnsi="Times New Roman" w:cs="Times New Roman"/>
                <w:i/>
                <w:sz w:val="24"/>
                <w:szCs w:val="24"/>
              </w:rPr>
            </w:pPr>
            <w:r w:rsidRPr="00184F35">
              <w:rPr>
                <w:rFonts w:ascii="Times New Roman" w:hAnsi="Times New Roman" w:cs="Times New Roman"/>
                <w:i/>
                <w:sz w:val="24"/>
                <w:szCs w:val="24"/>
              </w:rPr>
              <w:t xml:space="preserve">PINK1 (PARK6) </w:t>
            </w:r>
          </w:p>
        </w:tc>
        <w:tc>
          <w:tcPr>
            <w:tcW w:w="4808" w:type="dxa"/>
          </w:tcPr>
          <w:p w14:paraId="51D15170"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Serine/threonine kinase, stress-induced mitochondrial response</w:t>
            </w:r>
          </w:p>
        </w:tc>
        <w:tc>
          <w:tcPr>
            <w:tcW w:w="1812" w:type="dxa"/>
            <w:vMerge/>
          </w:tcPr>
          <w:p w14:paraId="662E27BA" w14:textId="77777777" w:rsidR="00A76141" w:rsidRPr="00184F35" w:rsidRDefault="00A76141" w:rsidP="00566893">
            <w:pPr>
              <w:rPr>
                <w:rFonts w:ascii="Times New Roman" w:hAnsi="Times New Roman" w:cs="Times New Roman"/>
                <w:sz w:val="24"/>
                <w:szCs w:val="24"/>
              </w:rPr>
            </w:pPr>
          </w:p>
        </w:tc>
      </w:tr>
      <w:tr w:rsidR="00A76141" w:rsidRPr="00184F35" w14:paraId="71881835" w14:textId="77777777" w:rsidTr="00566893">
        <w:tc>
          <w:tcPr>
            <w:tcW w:w="717" w:type="dxa"/>
          </w:tcPr>
          <w:p w14:paraId="6D06038D" w14:textId="77777777" w:rsidR="00A76141" w:rsidRPr="00184F35" w:rsidRDefault="00A76141" w:rsidP="00566893">
            <w:pPr>
              <w:rPr>
                <w:rFonts w:ascii="Times New Roman" w:hAnsi="Times New Roman" w:cs="Times New Roman"/>
                <w:sz w:val="24"/>
                <w:szCs w:val="24"/>
              </w:rPr>
            </w:pPr>
          </w:p>
        </w:tc>
        <w:tc>
          <w:tcPr>
            <w:tcW w:w="2239" w:type="dxa"/>
          </w:tcPr>
          <w:p w14:paraId="1AC332BC" w14:textId="77777777" w:rsidR="00A76141" w:rsidRPr="00184F35" w:rsidRDefault="00A76141" w:rsidP="00566893">
            <w:pPr>
              <w:rPr>
                <w:rFonts w:ascii="Times New Roman" w:hAnsi="Times New Roman" w:cs="Times New Roman"/>
                <w:i/>
                <w:sz w:val="24"/>
                <w:szCs w:val="24"/>
              </w:rPr>
            </w:pPr>
            <w:r w:rsidRPr="00184F35">
              <w:rPr>
                <w:rFonts w:ascii="Times New Roman" w:hAnsi="Times New Roman" w:cs="Times New Roman"/>
                <w:i/>
                <w:sz w:val="24"/>
                <w:szCs w:val="24"/>
              </w:rPr>
              <w:t xml:space="preserve">DJ-1 (PARK7) </w:t>
            </w:r>
          </w:p>
        </w:tc>
        <w:tc>
          <w:tcPr>
            <w:tcW w:w="4808" w:type="dxa"/>
          </w:tcPr>
          <w:p w14:paraId="4D7E092C"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Antioxidant and oxidative stress sensor</w:t>
            </w:r>
          </w:p>
        </w:tc>
        <w:tc>
          <w:tcPr>
            <w:tcW w:w="1812" w:type="dxa"/>
            <w:vMerge/>
          </w:tcPr>
          <w:p w14:paraId="7732C3A2" w14:textId="77777777" w:rsidR="00A76141" w:rsidRPr="00184F35" w:rsidRDefault="00A76141" w:rsidP="00566893">
            <w:pPr>
              <w:rPr>
                <w:rFonts w:ascii="Times New Roman" w:hAnsi="Times New Roman" w:cs="Times New Roman"/>
                <w:sz w:val="24"/>
                <w:szCs w:val="24"/>
              </w:rPr>
            </w:pPr>
          </w:p>
        </w:tc>
      </w:tr>
      <w:tr w:rsidR="00A76141" w:rsidRPr="00184F35" w14:paraId="64BAD4D5" w14:textId="77777777" w:rsidTr="00566893">
        <w:tc>
          <w:tcPr>
            <w:tcW w:w="717" w:type="dxa"/>
          </w:tcPr>
          <w:p w14:paraId="0D159AEC" w14:textId="77777777" w:rsidR="00A76141" w:rsidRPr="00184F35" w:rsidRDefault="00A76141" w:rsidP="00566893">
            <w:pPr>
              <w:rPr>
                <w:rFonts w:ascii="Times New Roman" w:hAnsi="Times New Roman" w:cs="Times New Roman"/>
                <w:sz w:val="24"/>
                <w:szCs w:val="24"/>
              </w:rPr>
            </w:pPr>
          </w:p>
        </w:tc>
        <w:tc>
          <w:tcPr>
            <w:tcW w:w="2239" w:type="dxa"/>
          </w:tcPr>
          <w:p w14:paraId="10E51858" w14:textId="77777777" w:rsidR="00A76141" w:rsidRPr="00184F35" w:rsidRDefault="00A76141" w:rsidP="00566893">
            <w:pPr>
              <w:rPr>
                <w:rFonts w:ascii="Times New Roman" w:hAnsi="Times New Roman" w:cs="Times New Roman"/>
                <w:i/>
                <w:sz w:val="24"/>
                <w:szCs w:val="24"/>
              </w:rPr>
            </w:pPr>
            <w:r w:rsidRPr="00184F35">
              <w:rPr>
                <w:rFonts w:ascii="Times New Roman" w:hAnsi="Times New Roman" w:cs="Times New Roman"/>
                <w:i/>
                <w:sz w:val="24"/>
                <w:szCs w:val="24"/>
              </w:rPr>
              <w:t xml:space="preserve">ATP13A2 (PARK9) </w:t>
            </w:r>
          </w:p>
        </w:tc>
        <w:tc>
          <w:tcPr>
            <w:tcW w:w="4808" w:type="dxa"/>
          </w:tcPr>
          <w:p w14:paraId="3FE39BD2"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Lysosomal transmembrane ATPase protein, necessary for lysosomal function</w:t>
            </w:r>
          </w:p>
        </w:tc>
        <w:tc>
          <w:tcPr>
            <w:tcW w:w="1812" w:type="dxa"/>
            <w:vMerge/>
          </w:tcPr>
          <w:p w14:paraId="19DD9571" w14:textId="77777777" w:rsidR="00A76141" w:rsidRPr="00184F35" w:rsidRDefault="00A76141" w:rsidP="00566893">
            <w:pPr>
              <w:rPr>
                <w:rFonts w:ascii="Times New Roman" w:hAnsi="Times New Roman" w:cs="Times New Roman"/>
                <w:sz w:val="24"/>
                <w:szCs w:val="24"/>
              </w:rPr>
            </w:pPr>
          </w:p>
        </w:tc>
      </w:tr>
      <w:tr w:rsidR="00A76141" w:rsidRPr="00184F35" w14:paraId="46E27C5F" w14:textId="77777777" w:rsidTr="00566893">
        <w:tc>
          <w:tcPr>
            <w:tcW w:w="717" w:type="dxa"/>
          </w:tcPr>
          <w:p w14:paraId="6E83E5D7" w14:textId="77777777" w:rsidR="00A76141" w:rsidRPr="00184F35" w:rsidRDefault="00A76141" w:rsidP="00566893">
            <w:pPr>
              <w:rPr>
                <w:rFonts w:ascii="Times New Roman" w:hAnsi="Times New Roman" w:cs="Times New Roman"/>
                <w:sz w:val="24"/>
                <w:szCs w:val="24"/>
              </w:rPr>
            </w:pPr>
          </w:p>
        </w:tc>
        <w:tc>
          <w:tcPr>
            <w:tcW w:w="2239" w:type="dxa"/>
          </w:tcPr>
          <w:p w14:paraId="5515499D" w14:textId="77777777" w:rsidR="00A76141" w:rsidRPr="00184F35" w:rsidRDefault="00A76141" w:rsidP="00566893">
            <w:pPr>
              <w:rPr>
                <w:rFonts w:ascii="Times New Roman" w:hAnsi="Times New Roman" w:cs="Times New Roman"/>
                <w:i/>
                <w:sz w:val="24"/>
                <w:szCs w:val="24"/>
              </w:rPr>
            </w:pPr>
            <w:r w:rsidRPr="00184F35">
              <w:rPr>
                <w:rFonts w:ascii="Times New Roman" w:hAnsi="Times New Roman" w:cs="Times New Roman"/>
                <w:i/>
                <w:sz w:val="24"/>
                <w:szCs w:val="24"/>
              </w:rPr>
              <w:t xml:space="preserve">PLA2G6 (PARK14) </w:t>
            </w:r>
          </w:p>
        </w:tc>
        <w:tc>
          <w:tcPr>
            <w:tcW w:w="4808" w:type="dxa"/>
          </w:tcPr>
          <w:p w14:paraId="2CB5E414"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Encodes iPLA2-VI, cell membrane homeostasis</w:t>
            </w:r>
          </w:p>
        </w:tc>
        <w:tc>
          <w:tcPr>
            <w:tcW w:w="1812" w:type="dxa"/>
            <w:vMerge/>
          </w:tcPr>
          <w:p w14:paraId="58FB9726" w14:textId="77777777" w:rsidR="00A76141" w:rsidRPr="00184F35" w:rsidRDefault="00A76141" w:rsidP="00566893">
            <w:pPr>
              <w:rPr>
                <w:rFonts w:ascii="Times New Roman" w:hAnsi="Times New Roman" w:cs="Times New Roman"/>
                <w:sz w:val="24"/>
                <w:szCs w:val="24"/>
              </w:rPr>
            </w:pPr>
          </w:p>
        </w:tc>
      </w:tr>
      <w:tr w:rsidR="00A76141" w:rsidRPr="00184F35" w14:paraId="5B9A5C84" w14:textId="77777777" w:rsidTr="00566893">
        <w:tc>
          <w:tcPr>
            <w:tcW w:w="717" w:type="dxa"/>
          </w:tcPr>
          <w:p w14:paraId="79CA341B" w14:textId="77777777" w:rsidR="00A76141" w:rsidRPr="00184F35" w:rsidRDefault="00A76141" w:rsidP="00566893">
            <w:pPr>
              <w:rPr>
                <w:rFonts w:ascii="Times New Roman" w:hAnsi="Times New Roman" w:cs="Times New Roman"/>
                <w:sz w:val="24"/>
                <w:szCs w:val="24"/>
              </w:rPr>
            </w:pPr>
          </w:p>
        </w:tc>
        <w:tc>
          <w:tcPr>
            <w:tcW w:w="2239" w:type="dxa"/>
          </w:tcPr>
          <w:p w14:paraId="5D3DE9B7" w14:textId="77777777" w:rsidR="00A76141" w:rsidRPr="00184F35" w:rsidRDefault="00A76141" w:rsidP="00566893">
            <w:pPr>
              <w:rPr>
                <w:rFonts w:ascii="Times New Roman" w:hAnsi="Times New Roman" w:cs="Times New Roman"/>
                <w:i/>
                <w:sz w:val="24"/>
                <w:szCs w:val="24"/>
              </w:rPr>
            </w:pPr>
            <w:r w:rsidRPr="00184F35">
              <w:rPr>
                <w:rFonts w:ascii="Times New Roman" w:hAnsi="Times New Roman" w:cs="Times New Roman"/>
                <w:i/>
                <w:sz w:val="24"/>
                <w:szCs w:val="24"/>
              </w:rPr>
              <w:t xml:space="preserve">FBXO7 (PARK15) </w:t>
            </w:r>
          </w:p>
        </w:tc>
        <w:tc>
          <w:tcPr>
            <w:tcW w:w="4808" w:type="dxa"/>
          </w:tcPr>
          <w:p w14:paraId="2B3BFFB4"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F-box-containing protein, protection of neurons and apoptosis inhibitor</w:t>
            </w:r>
          </w:p>
        </w:tc>
        <w:tc>
          <w:tcPr>
            <w:tcW w:w="1812" w:type="dxa"/>
            <w:vMerge/>
          </w:tcPr>
          <w:p w14:paraId="37CD5749" w14:textId="77777777" w:rsidR="00A76141" w:rsidRPr="00184F35" w:rsidRDefault="00A76141" w:rsidP="00566893">
            <w:pPr>
              <w:rPr>
                <w:rFonts w:ascii="Times New Roman" w:hAnsi="Times New Roman" w:cs="Times New Roman"/>
                <w:sz w:val="24"/>
                <w:szCs w:val="24"/>
              </w:rPr>
            </w:pPr>
          </w:p>
        </w:tc>
      </w:tr>
      <w:tr w:rsidR="00A76141" w:rsidRPr="00184F35" w14:paraId="6F208437" w14:textId="77777777" w:rsidTr="00566893">
        <w:tc>
          <w:tcPr>
            <w:tcW w:w="717" w:type="dxa"/>
          </w:tcPr>
          <w:p w14:paraId="4BDC1B5B" w14:textId="77777777" w:rsidR="00A76141" w:rsidRPr="00184F35" w:rsidRDefault="00A76141" w:rsidP="00566893">
            <w:pPr>
              <w:rPr>
                <w:rFonts w:ascii="Times New Roman" w:hAnsi="Times New Roman" w:cs="Times New Roman"/>
                <w:sz w:val="24"/>
                <w:szCs w:val="24"/>
              </w:rPr>
            </w:pPr>
          </w:p>
        </w:tc>
        <w:tc>
          <w:tcPr>
            <w:tcW w:w="2239" w:type="dxa"/>
          </w:tcPr>
          <w:p w14:paraId="56123F02" w14:textId="77777777" w:rsidR="00A76141" w:rsidRPr="00184F35" w:rsidRDefault="00A76141" w:rsidP="00566893">
            <w:pPr>
              <w:rPr>
                <w:rFonts w:ascii="Times New Roman" w:hAnsi="Times New Roman" w:cs="Times New Roman"/>
                <w:i/>
                <w:sz w:val="24"/>
                <w:szCs w:val="24"/>
              </w:rPr>
            </w:pPr>
            <w:r w:rsidRPr="00184F35">
              <w:rPr>
                <w:rFonts w:ascii="Times New Roman" w:hAnsi="Times New Roman" w:cs="Times New Roman"/>
                <w:i/>
                <w:sz w:val="24"/>
                <w:szCs w:val="24"/>
              </w:rPr>
              <w:t xml:space="preserve">EIF4G1 (PARK18) </w:t>
            </w:r>
          </w:p>
        </w:tc>
        <w:tc>
          <w:tcPr>
            <w:tcW w:w="4808" w:type="dxa"/>
          </w:tcPr>
          <w:p w14:paraId="15081E79"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Eukaryotic translation initiation factor 4-gamma 1, translation initiation</w:t>
            </w:r>
          </w:p>
        </w:tc>
        <w:tc>
          <w:tcPr>
            <w:tcW w:w="1812" w:type="dxa"/>
            <w:vMerge/>
          </w:tcPr>
          <w:p w14:paraId="7385CD43" w14:textId="77777777" w:rsidR="00A76141" w:rsidRPr="00184F35" w:rsidRDefault="00A76141" w:rsidP="00566893">
            <w:pPr>
              <w:rPr>
                <w:rFonts w:ascii="Times New Roman" w:hAnsi="Times New Roman" w:cs="Times New Roman"/>
                <w:sz w:val="24"/>
                <w:szCs w:val="24"/>
              </w:rPr>
            </w:pPr>
          </w:p>
        </w:tc>
      </w:tr>
      <w:tr w:rsidR="00A76141" w:rsidRPr="00184F35" w14:paraId="616E7B1F" w14:textId="77777777" w:rsidTr="00566893">
        <w:tc>
          <w:tcPr>
            <w:tcW w:w="717" w:type="dxa"/>
          </w:tcPr>
          <w:p w14:paraId="4D7D1C01" w14:textId="77777777" w:rsidR="00A76141" w:rsidRPr="00184F35" w:rsidRDefault="00A76141" w:rsidP="00566893">
            <w:pPr>
              <w:rPr>
                <w:rFonts w:ascii="Times New Roman" w:hAnsi="Times New Roman" w:cs="Times New Roman"/>
                <w:sz w:val="24"/>
                <w:szCs w:val="24"/>
              </w:rPr>
            </w:pPr>
          </w:p>
        </w:tc>
        <w:tc>
          <w:tcPr>
            <w:tcW w:w="2239" w:type="dxa"/>
          </w:tcPr>
          <w:p w14:paraId="53A82D1A" w14:textId="77777777" w:rsidR="00A76141" w:rsidRPr="00184F35" w:rsidRDefault="00A76141" w:rsidP="00566893">
            <w:pPr>
              <w:rPr>
                <w:rFonts w:ascii="Times New Roman" w:hAnsi="Times New Roman" w:cs="Times New Roman"/>
                <w:i/>
                <w:sz w:val="24"/>
                <w:szCs w:val="24"/>
              </w:rPr>
            </w:pPr>
            <w:r w:rsidRPr="00184F35">
              <w:rPr>
                <w:rFonts w:ascii="Times New Roman" w:hAnsi="Times New Roman" w:cs="Times New Roman"/>
                <w:i/>
                <w:sz w:val="24"/>
                <w:szCs w:val="24"/>
              </w:rPr>
              <w:t xml:space="preserve">DNAJC6 </w:t>
            </w:r>
          </w:p>
        </w:tc>
        <w:tc>
          <w:tcPr>
            <w:tcW w:w="4808" w:type="dxa"/>
          </w:tcPr>
          <w:p w14:paraId="75D71702"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Encodes auxilin, synaptic vesicle recycling</w:t>
            </w:r>
          </w:p>
        </w:tc>
        <w:tc>
          <w:tcPr>
            <w:tcW w:w="1812" w:type="dxa"/>
            <w:vMerge/>
          </w:tcPr>
          <w:p w14:paraId="579A9C64" w14:textId="77777777" w:rsidR="00A76141" w:rsidRPr="00184F35" w:rsidRDefault="00A76141" w:rsidP="00566893">
            <w:pPr>
              <w:rPr>
                <w:rFonts w:ascii="Times New Roman" w:hAnsi="Times New Roman" w:cs="Times New Roman"/>
                <w:sz w:val="24"/>
                <w:szCs w:val="24"/>
              </w:rPr>
            </w:pPr>
          </w:p>
        </w:tc>
      </w:tr>
      <w:tr w:rsidR="00A76141" w:rsidRPr="00184F35" w14:paraId="06EF799D" w14:textId="77777777" w:rsidTr="00566893">
        <w:tc>
          <w:tcPr>
            <w:tcW w:w="717" w:type="dxa"/>
          </w:tcPr>
          <w:p w14:paraId="66764973" w14:textId="77777777" w:rsidR="00A76141" w:rsidRPr="00184F35" w:rsidRDefault="00A76141" w:rsidP="00566893">
            <w:pPr>
              <w:rPr>
                <w:rFonts w:ascii="Times New Roman" w:hAnsi="Times New Roman" w:cs="Times New Roman"/>
                <w:sz w:val="24"/>
                <w:szCs w:val="24"/>
              </w:rPr>
            </w:pPr>
          </w:p>
        </w:tc>
        <w:tc>
          <w:tcPr>
            <w:tcW w:w="2239" w:type="dxa"/>
          </w:tcPr>
          <w:p w14:paraId="62EC9DE9" w14:textId="77777777" w:rsidR="00A76141" w:rsidRPr="00184F35" w:rsidRDefault="00A76141" w:rsidP="00566893">
            <w:pPr>
              <w:rPr>
                <w:rFonts w:ascii="Times New Roman" w:hAnsi="Times New Roman" w:cs="Times New Roman"/>
                <w:i/>
                <w:sz w:val="24"/>
                <w:szCs w:val="24"/>
              </w:rPr>
            </w:pPr>
            <w:r w:rsidRPr="00184F35">
              <w:rPr>
                <w:rFonts w:ascii="Times New Roman" w:hAnsi="Times New Roman" w:cs="Times New Roman"/>
                <w:i/>
                <w:sz w:val="24"/>
                <w:szCs w:val="24"/>
              </w:rPr>
              <w:t xml:space="preserve">COQ2 Ubiquinone, </w:t>
            </w:r>
          </w:p>
        </w:tc>
        <w:tc>
          <w:tcPr>
            <w:tcW w:w="4808" w:type="dxa"/>
          </w:tcPr>
          <w:p w14:paraId="2A72EB62"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mitochondrial electron transport chain</w:t>
            </w:r>
          </w:p>
        </w:tc>
        <w:tc>
          <w:tcPr>
            <w:tcW w:w="1812" w:type="dxa"/>
            <w:vMerge/>
          </w:tcPr>
          <w:p w14:paraId="15BCCC1F" w14:textId="77777777" w:rsidR="00A76141" w:rsidRPr="00184F35" w:rsidRDefault="00A76141" w:rsidP="00566893">
            <w:pPr>
              <w:rPr>
                <w:rFonts w:ascii="Times New Roman" w:hAnsi="Times New Roman" w:cs="Times New Roman"/>
                <w:sz w:val="24"/>
                <w:szCs w:val="24"/>
              </w:rPr>
            </w:pPr>
          </w:p>
        </w:tc>
      </w:tr>
      <w:tr w:rsidR="00A76141" w:rsidRPr="00184F35" w14:paraId="5A32D0E5" w14:textId="77777777" w:rsidTr="00566893">
        <w:tc>
          <w:tcPr>
            <w:tcW w:w="717" w:type="dxa"/>
          </w:tcPr>
          <w:p w14:paraId="2C191FED" w14:textId="77777777" w:rsidR="00A76141" w:rsidRPr="00184F35" w:rsidRDefault="00A76141" w:rsidP="00566893">
            <w:pPr>
              <w:rPr>
                <w:rFonts w:ascii="Times New Roman" w:hAnsi="Times New Roman" w:cs="Times New Roman"/>
                <w:sz w:val="24"/>
                <w:szCs w:val="24"/>
              </w:rPr>
            </w:pPr>
          </w:p>
        </w:tc>
        <w:tc>
          <w:tcPr>
            <w:tcW w:w="2239" w:type="dxa"/>
          </w:tcPr>
          <w:p w14:paraId="5AEAA129" w14:textId="77777777" w:rsidR="00A76141" w:rsidRPr="00184F35" w:rsidRDefault="00A76141" w:rsidP="00566893">
            <w:pPr>
              <w:rPr>
                <w:rFonts w:ascii="Times New Roman" w:hAnsi="Times New Roman" w:cs="Times New Roman"/>
                <w:i/>
                <w:sz w:val="24"/>
                <w:szCs w:val="24"/>
              </w:rPr>
            </w:pPr>
            <w:r w:rsidRPr="00184F35">
              <w:rPr>
                <w:rFonts w:ascii="Times New Roman" w:hAnsi="Times New Roman" w:cs="Times New Roman"/>
                <w:i/>
                <w:sz w:val="24"/>
                <w:szCs w:val="24"/>
              </w:rPr>
              <w:t xml:space="preserve">SYNJ1 </w:t>
            </w:r>
          </w:p>
        </w:tc>
        <w:tc>
          <w:tcPr>
            <w:tcW w:w="4808" w:type="dxa"/>
          </w:tcPr>
          <w:p w14:paraId="76358878"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Encodes synaptojanin 1, synaptic vesicle recycling</w:t>
            </w:r>
          </w:p>
        </w:tc>
        <w:tc>
          <w:tcPr>
            <w:tcW w:w="1812" w:type="dxa"/>
            <w:vMerge/>
          </w:tcPr>
          <w:p w14:paraId="7EC156FB" w14:textId="77777777" w:rsidR="00A76141" w:rsidRPr="00184F35" w:rsidRDefault="00A76141" w:rsidP="00566893">
            <w:pPr>
              <w:rPr>
                <w:rFonts w:ascii="Times New Roman" w:hAnsi="Times New Roman" w:cs="Times New Roman"/>
                <w:sz w:val="24"/>
                <w:szCs w:val="24"/>
              </w:rPr>
            </w:pPr>
          </w:p>
        </w:tc>
      </w:tr>
      <w:tr w:rsidR="00A76141" w:rsidRPr="00184F35" w14:paraId="27FC6A5E" w14:textId="77777777" w:rsidTr="00566893">
        <w:tc>
          <w:tcPr>
            <w:tcW w:w="717" w:type="dxa"/>
          </w:tcPr>
          <w:p w14:paraId="6A84C8D1"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2</w:t>
            </w:r>
          </w:p>
        </w:tc>
        <w:tc>
          <w:tcPr>
            <w:tcW w:w="2239" w:type="dxa"/>
          </w:tcPr>
          <w:p w14:paraId="0318DBC9" w14:textId="77777777" w:rsidR="00A76141" w:rsidRPr="00184F35" w:rsidRDefault="00A76141" w:rsidP="00566893">
            <w:pPr>
              <w:rPr>
                <w:rFonts w:ascii="Times New Roman" w:hAnsi="Times New Roman" w:cs="Times New Roman"/>
                <w:i/>
                <w:sz w:val="24"/>
                <w:szCs w:val="24"/>
              </w:rPr>
            </w:pPr>
            <w:r w:rsidRPr="00184F35">
              <w:rPr>
                <w:rFonts w:ascii="Times New Roman" w:hAnsi="Times New Roman" w:cs="Times New Roman"/>
                <w:i/>
                <w:sz w:val="24"/>
                <w:szCs w:val="24"/>
              </w:rPr>
              <w:t xml:space="preserve">APP </w:t>
            </w:r>
          </w:p>
        </w:tc>
        <w:tc>
          <w:tcPr>
            <w:tcW w:w="4808" w:type="dxa"/>
          </w:tcPr>
          <w:p w14:paraId="6BB46A09"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Transmembrane protein, amyloid plaques in AD</w:t>
            </w:r>
          </w:p>
        </w:tc>
        <w:tc>
          <w:tcPr>
            <w:tcW w:w="1812" w:type="dxa"/>
            <w:vMerge w:val="restart"/>
          </w:tcPr>
          <w:p w14:paraId="0354C812" w14:textId="77777777" w:rsidR="00A76141" w:rsidRPr="00184F35" w:rsidRDefault="00A76141" w:rsidP="00566893">
            <w:pPr>
              <w:rPr>
                <w:rFonts w:ascii="Times New Roman" w:hAnsi="Times New Roman" w:cs="Times New Roman"/>
                <w:sz w:val="24"/>
                <w:szCs w:val="24"/>
              </w:rPr>
            </w:pPr>
          </w:p>
          <w:p w14:paraId="668C1B33"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Alzheimer’s Disease</w:t>
            </w:r>
          </w:p>
        </w:tc>
      </w:tr>
      <w:tr w:rsidR="00A76141" w:rsidRPr="00184F35" w14:paraId="041E081B" w14:textId="77777777" w:rsidTr="00566893">
        <w:tc>
          <w:tcPr>
            <w:tcW w:w="717" w:type="dxa"/>
          </w:tcPr>
          <w:p w14:paraId="198965C7" w14:textId="77777777" w:rsidR="00A76141" w:rsidRPr="00184F35" w:rsidRDefault="00A76141" w:rsidP="00566893">
            <w:pPr>
              <w:rPr>
                <w:rFonts w:ascii="Times New Roman" w:hAnsi="Times New Roman" w:cs="Times New Roman"/>
                <w:sz w:val="24"/>
                <w:szCs w:val="24"/>
              </w:rPr>
            </w:pPr>
          </w:p>
        </w:tc>
        <w:tc>
          <w:tcPr>
            <w:tcW w:w="2239" w:type="dxa"/>
          </w:tcPr>
          <w:p w14:paraId="47123DA9" w14:textId="77777777" w:rsidR="00A76141" w:rsidRPr="00184F35" w:rsidRDefault="00A76141" w:rsidP="00566893">
            <w:pPr>
              <w:rPr>
                <w:rFonts w:ascii="Times New Roman" w:hAnsi="Times New Roman" w:cs="Times New Roman"/>
                <w:i/>
                <w:sz w:val="24"/>
                <w:szCs w:val="24"/>
              </w:rPr>
            </w:pPr>
            <w:r w:rsidRPr="00184F35">
              <w:rPr>
                <w:rFonts w:ascii="Times New Roman" w:hAnsi="Times New Roman" w:cs="Times New Roman"/>
                <w:i/>
                <w:sz w:val="24"/>
                <w:szCs w:val="24"/>
              </w:rPr>
              <w:t xml:space="preserve">PSEN1 </w:t>
            </w:r>
          </w:p>
        </w:tc>
        <w:tc>
          <w:tcPr>
            <w:tcW w:w="4808" w:type="dxa"/>
          </w:tcPr>
          <w:p w14:paraId="21D46958"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Component of gamma-secretase, cleaves APP</w:t>
            </w:r>
          </w:p>
        </w:tc>
        <w:tc>
          <w:tcPr>
            <w:tcW w:w="1812" w:type="dxa"/>
            <w:vMerge/>
          </w:tcPr>
          <w:p w14:paraId="6CDA0C7D" w14:textId="77777777" w:rsidR="00A76141" w:rsidRPr="00184F35" w:rsidRDefault="00A76141" w:rsidP="00566893">
            <w:pPr>
              <w:rPr>
                <w:rFonts w:ascii="Times New Roman" w:hAnsi="Times New Roman" w:cs="Times New Roman"/>
                <w:sz w:val="24"/>
                <w:szCs w:val="24"/>
              </w:rPr>
            </w:pPr>
          </w:p>
        </w:tc>
      </w:tr>
      <w:tr w:rsidR="00A76141" w:rsidRPr="00184F35" w14:paraId="259503B9" w14:textId="77777777" w:rsidTr="00566893">
        <w:tc>
          <w:tcPr>
            <w:tcW w:w="717" w:type="dxa"/>
          </w:tcPr>
          <w:p w14:paraId="0F29AE7B" w14:textId="77777777" w:rsidR="00A76141" w:rsidRPr="00184F35" w:rsidRDefault="00A76141" w:rsidP="00566893">
            <w:pPr>
              <w:rPr>
                <w:rFonts w:ascii="Times New Roman" w:hAnsi="Times New Roman" w:cs="Times New Roman"/>
                <w:sz w:val="24"/>
                <w:szCs w:val="24"/>
              </w:rPr>
            </w:pPr>
          </w:p>
        </w:tc>
        <w:tc>
          <w:tcPr>
            <w:tcW w:w="2239" w:type="dxa"/>
          </w:tcPr>
          <w:p w14:paraId="4D1760C7" w14:textId="77777777" w:rsidR="00A76141" w:rsidRPr="00184F35" w:rsidRDefault="00A76141" w:rsidP="00566893">
            <w:pPr>
              <w:rPr>
                <w:rFonts w:ascii="Times New Roman" w:hAnsi="Times New Roman" w:cs="Times New Roman"/>
                <w:i/>
                <w:sz w:val="24"/>
                <w:szCs w:val="24"/>
              </w:rPr>
            </w:pPr>
            <w:r w:rsidRPr="00184F35">
              <w:rPr>
                <w:rFonts w:ascii="Times New Roman" w:hAnsi="Times New Roman" w:cs="Times New Roman"/>
                <w:i/>
                <w:sz w:val="24"/>
                <w:szCs w:val="24"/>
              </w:rPr>
              <w:t xml:space="preserve">PSEN2 </w:t>
            </w:r>
          </w:p>
        </w:tc>
        <w:tc>
          <w:tcPr>
            <w:tcW w:w="4808" w:type="dxa"/>
          </w:tcPr>
          <w:p w14:paraId="14E87FB2"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Component of gamma-secretase, cleaves APP</w:t>
            </w:r>
          </w:p>
        </w:tc>
        <w:tc>
          <w:tcPr>
            <w:tcW w:w="1812" w:type="dxa"/>
            <w:vMerge/>
          </w:tcPr>
          <w:p w14:paraId="36779B7E" w14:textId="77777777" w:rsidR="00A76141" w:rsidRPr="00184F35" w:rsidRDefault="00A76141" w:rsidP="00566893">
            <w:pPr>
              <w:rPr>
                <w:rFonts w:ascii="Times New Roman" w:hAnsi="Times New Roman" w:cs="Times New Roman"/>
                <w:sz w:val="24"/>
                <w:szCs w:val="24"/>
              </w:rPr>
            </w:pPr>
          </w:p>
        </w:tc>
      </w:tr>
      <w:tr w:rsidR="00A76141" w:rsidRPr="00184F35" w14:paraId="2B180909" w14:textId="77777777" w:rsidTr="00566893">
        <w:tc>
          <w:tcPr>
            <w:tcW w:w="717" w:type="dxa"/>
          </w:tcPr>
          <w:p w14:paraId="60BC869A" w14:textId="77777777" w:rsidR="00A76141" w:rsidRPr="00184F35" w:rsidRDefault="00A76141" w:rsidP="00566893">
            <w:pPr>
              <w:rPr>
                <w:rFonts w:ascii="Times New Roman" w:hAnsi="Times New Roman" w:cs="Times New Roman"/>
                <w:sz w:val="24"/>
                <w:szCs w:val="24"/>
              </w:rPr>
            </w:pPr>
          </w:p>
        </w:tc>
        <w:tc>
          <w:tcPr>
            <w:tcW w:w="2239" w:type="dxa"/>
          </w:tcPr>
          <w:p w14:paraId="3B84BD34" w14:textId="77777777" w:rsidR="00A76141" w:rsidRPr="00184F35" w:rsidRDefault="00A76141" w:rsidP="00566893">
            <w:pPr>
              <w:rPr>
                <w:rFonts w:ascii="Times New Roman" w:hAnsi="Times New Roman" w:cs="Times New Roman"/>
                <w:i/>
                <w:sz w:val="24"/>
                <w:szCs w:val="24"/>
              </w:rPr>
            </w:pPr>
            <w:r w:rsidRPr="00184F35">
              <w:rPr>
                <w:rFonts w:ascii="Times New Roman" w:hAnsi="Times New Roman" w:cs="Times New Roman"/>
                <w:i/>
                <w:sz w:val="24"/>
                <w:szCs w:val="24"/>
              </w:rPr>
              <w:t xml:space="preserve">APOE </w:t>
            </w:r>
          </w:p>
        </w:tc>
        <w:tc>
          <w:tcPr>
            <w:tcW w:w="4808" w:type="dxa"/>
          </w:tcPr>
          <w:p w14:paraId="6E5B4602"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Glycoprotein, cholesterol distribution</w:t>
            </w:r>
          </w:p>
        </w:tc>
        <w:tc>
          <w:tcPr>
            <w:tcW w:w="1812" w:type="dxa"/>
            <w:vMerge/>
          </w:tcPr>
          <w:p w14:paraId="3E99BDED" w14:textId="77777777" w:rsidR="00A76141" w:rsidRPr="00184F35" w:rsidRDefault="00A76141" w:rsidP="00566893">
            <w:pPr>
              <w:rPr>
                <w:rFonts w:ascii="Times New Roman" w:hAnsi="Times New Roman" w:cs="Times New Roman"/>
                <w:sz w:val="24"/>
                <w:szCs w:val="24"/>
              </w:rPr>
            </w:pPr>
          </w:p>
        </w:tc>
      </w:tr>
      <w:tr w:rsidR="00A76141" w:rsidRPr="00184F35" w14:paraId="7A01F292" w14:textId="77777777" w:rsidTr="00566893">
        <w:tc>
          <w:tcPr>
            <w:tcW w:w="717" w:type="dxa"/>
          </w:tcPr>
          <w:p w14:paraId="541F733D"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3</w:t>
            </w:r>
          </w:p>
        </w:tc>
        <w:tc>
          <w:tcPr>
            <w:tcW w:w="2239" w:type="dxa"/>
          </w:tcPr>
          <w:p w14:paraId="5594C440" w14:textId="77777777" w:rsidR="00A76141" w:rsidRPr="00184F35" w:rsidRDefault="00A76141" w:rsidP="00566893">
            <w:pPr>
              <w:rPr>
                <w:rFonts w:ascii="Times New Roman" w:hAnsi="Times New Roman" w:cs="Times New Roman"/>
                <w:i/>
                <w:sz w:val="24"/>
                <w:szCs w:val="24"/>
              </w:rPr>
            </w:pPr>
            <w:r w:rsidRPr="00184F35">
              <w:rPr>
                <w:rFonts w:ascii="Times New Roman" w:hAnsi="Times New Roman" w:cs="Times New Roman"/>
                <w:i/>
                <w:sz w:val="24"/>
                <w:szCs w:val="24"/>
              </w:rPr>
              <w:t xml:space="preserve">Huntingtin </w:t>
            </w:r>
          </w:p>
        </w:tc>
        <w:tc>
          <w:tcPr>
            <w:tcW w:w="4808" w:type="dxa"/>
          </w:tcPr>
          <w:p w14:paraId="4739A3F7"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Aggregation leads to neurodegeneration</w:t>
            </w:r>
          </w:p>
        </w:tc>
        <w:tc>
          <w:tcPr>
            <w:tcW w:w="1812" w:type="dxa"/>
          </w:tcPr>
          <w:p w14:paraId="095416F9"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Huntington’s disease</w:t>
            </w:r>
          </w:p>
        </w:tc>
      </w:tr>
    </w:tbl>
    <w:p w14:paraId="37C3BA02" w14:textId="77777777" w:rsidR="00A76141" w:rsidRPr="00184F35" w:rsidRDefault="00A76141" w:rsidP="001D5B69">
      <w:pPr>
        <w:rPr>
          <w:rFonts w:ascii="Times New Roman" w:hAnsi="Times New Roman" w:cs="Times New Roman"/>
          <w:b/>
          <w:sz w:val="24"/>
          <w:szCs w:val="24"/>
        </w:rPr>
      </w:pPr>
    </w:p>
    <w:p w14:paraId="50BDCE29" w14:textId="77777777" w:rsidR="001D5B69" w:rsidRPr="00184F35" w:rsidRDefault="001D5B69" w:rsidP="001D5B69">
      <w:pPr>
        <w:rPr>
          <w:rFonts w:ascii="Times New Roman" w:hAnsi="Times New Roman" w:cs="Times New Roman"/>
          <w:sz w:val="24"/>
          <w:szCs w:val="24"/>
        </w:rPr>
      </w:pPr>
      <w:r w:rsidRPr="00253CA3">
        <w:rPr>
          <w:rFonts w:ascii="Times New Roman" w:hAnsi="Times New Roman" w:cs="Times New Roman"/>
          <w:sz w:val="24"/>
          <w:szCs w:val="24"/>
          <w:highlight w:val="yellow"/>
        </w:rPr>
        <w:t>Table- 2a.</w:t>
      </w:r>
      <w:r w:rsidRPr="00184F35">
        <w:rPr>
          <w:rFonts w:ascii="Times New Roman" w:hAnsi="Times New Roman" w:cs="Times New Roman"/>
          <w:sz w:val="24"/>
          <w:szCs w:val="24"/>
        </w:rPr>
        <w:t xml:space="preserve"> Proteins involved in Nuclear-mitochondrial responses</w:t>
      </w:r>
    </w:p>
    <w:tbl>
      <w:tblPr>
        <w:tblStyle w:val="TableGrid"/>
        <w:tblW w:w="8388" w:type="dxa"/>
        <w:tblLook w:val="04A0" w:firstRow="1" w:lastRow="0" w:firstColumn="1" w:lastColumn="0" w:noHBand="0" w:noVBand="1"/>
      </w:tblPr>
      <w:tblGrid>
        <w:gridCol w:w="730"/>
        <w:gridCol w:w="1910"/>
        <w:gridCol w:w="2868"/>
        <w:gridCol w:w="2880"/>
      </w:tblGrid>
      <w:tr w:rsidR="001D5B69" w:rsidRPr="00184F35" w14:paraId="2AEFCD15" w14:textId="77777777" w:rsidTr="00184F35">
        <w:tc>
          <w:tcPr>
            <w:tcW w:w="730" w:type="dxa"/>
          </w:tcPr>
          <w:p w14:paraId="1C9AD14A" w14:textId="77777777" w:rsidR="001D5B69" w:rsidRPr="00184F35" w:rsidRDefault="001D5B69" w:rsidP="00184F35">
            <w:pPr>
              <w:spacing w:line="276" w:lineRule="auto"/>
              <w:jc w:val="center"/>
              <w:rPr>
                <w:rFonts w:ascii="Times New Roman" w:hAnsi="Times New Roman" w:cs="Times New Roman"/>
                <w:b/>
                <w:bCs/>
                <w:sz w:val="24"/>
                <w:szCs w:val="24"/>
              </w:rPr>
            </w:pPr>
            <w:r w:rsidRPr="00184F35">
              <w:rPr>
                <w:rFonts w:ascii="Times New Roman" w:hAnsi="Times New Roman" w:cs="Times New Roman"/>
                <w:b/>
                <w:bCs/>
                <w:sz w:val="24"/>
                <w:szCs w:val="24"/>
              </w:rPr>
              <w:t>Sl.no</w:t>
            </w:r>
          </w:p>
        </w:tc>
        <w:tc>
          <w:tcPr>
            <w:tcW w:w="1910" w:type="dxa"/>
          </w:tcPr>
          <w:p w14:paraId="7A5BC7EA" w14:textId="77777777" w:rsidR="001D5B69" w:rsidRPr="00184F35" w:rsidRDefault="001D5B69" w:rsidP="00184F35">
            <w:pPr>
              <w:spacing w:line="276" w:lineRule="auto"/>
              <w:jc w:val="center"/>
              <w:rPr>
                <w:rFonts w:ascii="Times New Roman" w:hAnsi="Times New Roman" w:cs="Times New Roman"/>
                <w:b/>
                <w:bCs/>
                <w:sz w:val="24"/>
                <w:szCs w:val="24"/>
              </w:rPr>
            </w:pPr>
            <w:r w:rsidRPr="00184F35">
              <w:rPr>
                <w:rFonts w:ascii="Times New Roman" w:hAnsi="Times New Roman" w:cs="Times New Roman"/>
                <w:b/>
                <w:bCs/>
                <w:sz w:val="24"/>
                <w:szCs w:val="24"/>
              </w:rPr>
              <w:t>Nuclear signal/mediation</w:t>
            </w:r>
          </w:p>
        </w:tc>
        <w:tc>
          <w:tcPr>
            <w:tcW w:w="2868" w:type="dxa"/>
          </w:tcPr>
          <w:p w14:paraId="2E115984" w14:textId="77777777" w:rsidR="001D5B69" w:rsidRPr="00184F35" w:rsidRDefault="001D5B69" w:rsidP="00184F35">
            <w:pPr>
              <w:spacing w:line="276" w:lineRule="auto"/>
              <w:jc w:val="center"/>
              <w:rPr>
                <w:rFonts w:ascii="Times New Roman" w:hAnsi="Times New Roman" w:cs="Times New Roman"/>
                <w:b/>
                <w:bCs/>
                <w:sz w:val="24"/>
                <w:szCs w:val="24"/>
              </w:rPr>
            </w:pPr>
            <w:r w:rsidRPr="00184F35">
              <w:rPr>
                <w:rFonts w:ascii="Times New Roman" w:hAnsi="Times New Roman" w:cs="Times New Roman"/>
                <w:b/>
                <w:bCs/>
                <w:sz w:val="24"/>
                <w:szCs w:val="24"/>
              </w:rPr>
              <w:t>Mitochondrial response</w:t>
            </w:r>
          </w:p>
        </w:tc>
        <w:tc>
          <w:tcPr>
            <w:tcW w:w="2880" w:type="dxa"/>
          </w:tcPr>
          <w:p w14:paraId="6AA3DA04" w14:textId="77777777" w:rsidR="001D5B69" w:rsidRPr="00184F35" w:rsidRDefault="001D5B69" w:rsidP="00184F35">
            <w:pPr>
              <w:spacing w:line="276" w:lineRule="auto"/>
              <w:jc w:val="center"/>
              <w:rPr>
                <w:rFonts w:ascii="Times New Roman" w:hAnsi="Times New Roman" w:cs="Times New Roman"/>
                <w:b/>
                <w:bCs/>
                <w:sz w:val="24"/>
                <w:szCs w:val="24"/>
              </w:rPr>
            </w:pPr>
            <w:r w:rsidRPr="00184F35">
              <w:rPr>
                <w:rFonts w:ascii="Times New Roman" w:hAnsi="Times New Roman" w:cs="Times New Roman"/>
                <w:b/>
                <w:bCs/>
                <w:sz w:val="24"/>
                <w:szCs w:val="24"/>
              </w:rPr>
              <w:t>References</w:t>
            </w:r>
          </w:p>
        </w:tc>
      </w:tr>
      <w:tr w:rsidR="001D5B69" w:rsidRPr="00184F35" w14:paraId="2AB4B6B5" w14:textId="77777777" w:rsidTr="00184F35">
        <w:tc>
          <w:tcPr>
            <w:tcW w:w="730" w:type="dxa"/>
          </w:tcPr>
          <w:p w14:paraId="4C9B5B3F" w14:textId="77777777" w:rsidR="001D5B69" w:rsidRPr="00184F35" w:rsidRDefault="001D5B69" w:rsidP="00184F35">
            <w:pPr>
              <w:spacing w:line="276" w:lineRule="auto"/>
              <w:jc w:val="both"/>
              <w:rPr>
                <w:rFonts w:ascii="Times New Roman" w:hAnsi="Times New Roman" w:cs="Times New Roman"/>
                <w:sz w:val="24"/>
                <w:szCs w:val="24"/>
              </w:rPr>
            </w:pPr>
            <w:r w:rsidRPr="00184F35">
              <w:rPr>
                <w:rFonts w:ascii="Times New Roman" w:hAnsi="Times New Roman" w:cs="Times New Roman"/>
                <w:sz w:val="24"/>
                <w:szCs w:val="24"/>
              </w:rPr>
              <w:t>2.</w:t>
            </w:r>
          </w:p>
        </w:tc>
        <w:tc>
          <w:tcPr>
            <w:tcW w:w="1910" w:type="dxa"/>
          </w:tcPr>
          <w:p w14:paraId="7F0857B3" w14:textId="77777777" w:rsidR="001D5B69" w:rsidRPr="00184F35" w:rsidRDefault="001D5B69" w:rsidP="00184F35">
            <w:pPr>
              <w:spacing w:line="276" w:lineRule="auto"/>
              <w:jc w:val="both"/>
              <w:rPr>
                <w:rFonts w:ascii="Times New Roman" w:hAnsi="Times New Roman" w:cs="Times New Roman"/>
                <w:sz w:val="24"/>
                <w:szCs w:val="24"/>
              </w:rPr>
            </w:pPr>
            <w:r w:rsidRPr="00184F35">
              <w:rPr>
                <w:rFonts w:ascii="Times New Roman" w:hAnsi="Times New Roman" w:cs="Times New Roman"/>
                <w:sz w:val="24"/>
                <w:szCs w:val="24"/>
                <w:lang w:val="en-IN"/>
              </w:rPr>
              <w:t>PARP1</w:t>
            </w:r>
          </w:p>
        </w:tc>
        <w:tc>
          <w:tcPr>
            <w:tcW w:w="2868" w:type="dxa"/>
          </w:tcPr>
          <w:p w14:paraId="7E1969BB" w14:textId="77777777" w:rsidR="001D5B69" w:rsidRPr="00184F35" w:rsidRDefault="001D5B69" w:rsidP="00184F35">
            <w:pPr>
              <w:spacing w:line="276" w:lineRule="auto"/>
              <w:jc w:val="both"/>
              <w:rPr>
                <w:rFonts w:ascii="Times New Roman" w:hAnsi="Times New Roman" w:cs="Times New Roman"/>
                <w:sz w:val="24"/>
                <w:szCs w:val="24"/>
              </w:rPr>
            </w:pPr>
            <w:r w:rsidRPr="00184F35">
              <w:rPr>
                <w:rFonts w:ascii="Times New Roman" w:hAnsi="Times New Roman" w:cs="Times New Roman"/>
                <w:sz w:val="24"/>
                <w:szCs w:val="24"/>
              </w:rPr>
              <w:t>Decreased metabolism and mitogenesis, increased oxidative stress</w:t>
            </w:r>
          </w:p>
        </w:tc>
        <w:tc>
          <w:tcPr>
            <w:tcW w:w="2880" w:type="dxa"/>
          </w:tcPr>
          <w:p w14:paraId="2FFA26F1" w14:textId="77777777" w:rsidR="001D5B69" w:rsidRPr="00184F35" w:rsidRDefault="001D5B69" w:rsidP="00184F35">
            <w:pPr>
              <w:spacing w:line="276" w:lineRule="auto"/>
              <w:jc w:val="both"/>
              <w:rPr>
                <w:rFonts w:ascii="Times New Roman" w:hAnsi="Times New Roman" w:cs="Times New Roman"/>
                <w:sz w:val="24"/>
                <w:szCs w:val="24"/>
                <w:lang w:val="en-IN"/>
              </w:rPr>
            </w:pPr>
            <w:r w:rsidRPr="00184F35">
              <w:rPr>
                <w:rFonts w:ascii="Times New Roman" w:hAnsi="Times New Roman" w:cs="Times New Roman"/>
                <w:sz w:val="24"/>
                <w:szCs w:val="24"/>
                <w:lang w:val="en-IN"/>
              </w:rPr>
              <w:t xml:space="preserve">Fang </w:t>
            </w:r>
            <w:r w:rsidRPr="00184F35">
              <w:rPr>
                <w:rFonts w:ascii="Times New Roman" w:hAnsi="Times New Roman" w:cs="Times New Roman"/>
                <w:i/>
                <w:iCs/>
                <w:sz w:val="24"/>
                <w:szCs w:val="24"/>
                <w:lang w:val="en-IN"/>
              </w:rPr>
              <w:t>et al.,</w:t>
            </w:r>
            <w:r w:rsidRPr="00184F35">
              <w:rPr>
                <w:rFonts w:ascii="Times New Roman" w:hAnsi="Times New Roman" w:cs="Times New Roman"/>
                <w:sz w:val="24"/>
                <w:szCs w:val="24"/>
                <w:lang w:val="en-IN"/>
              </w:rPr>
              <w:t xml:space="preserve"> 2016</w:t>
            </w:r>
          </w:p>
        </w:tc>
      </w:tr>
      <w:tr w:rsidR="001D5B69" w:rsidRPr="00184F35" w14:paraId="359F52D0" w14:textId="77777777" w:rsidTr="00184F35">
        <w:tc>
          <w:tcPr>
            <w:tcW w:w="730" w:type="dxa"/>
          </w:tcPr>
          <w:p w14:paraId="71D1F858" w14:textId="77777777" w:rsidR="001D5B69" w:rsidRPr="00184F35" w:rsidRDefault="001D5B69" w:rsidP="00184F35">
            <w:pPr>
              <w:spacing w:line="276" w:lineRule="auto"/>
              <w:jc w:val="both"/>
              <w:rPr>
                <w:rFonts w:ascii="Times New Roman" w:hAnsi="Times New Roman" w:cs="Times New Roman"/>
                <w:sz w:val="24"/>
                <w:szCs w:val="24"/>
              </w:rPr>
            </w:pPr>
            <w:r w:rsidRPr="00184F35">
              <w:rPr>
                <w:rFonts w:ascii="Times New Roman" w:hAnsi="Times New Roman" w:cs="Times New Roman"/>
                <w:sz w:val="24"/>
                <w:szCs w:val="24"/>
              </w:rPr>
              <w:t>4.</w:t>
            </w:r>
          </w:p>
        </w:tc>
        <w:tc>
          <w:tcPr>
            <w:tcW w:w="1910" w:type="dxa"/>
          </w:tcPr>
          <w:p w14:paraId="1F3149D2" w14:textId="77777777" w:rsidR="001D5B69" w:rsidRPr="00184F35" w:rsidRDefault="001D5B69" w:rsidP="00184F35">
            <w:pPr>
              <w:spacing w:line="276" w:lineRule="auto"/>
              <w:jc w:val="both"/>
              <w:rPr>
                <w:rFonts w:ascii="Times New Roman" w:hAnsi="Times New Roman" w:cs="Times New Roman"/>
                <w:sz w:val="24"/>
                <w:szCs w:val="24"/>
              </w:rPr>
            </w:pPr>
            <w:r w:rsidRPr="00184F35">
              <w:rPr>
                <w:rFonts w:ascii="Times New Roman" w:hAnsi="Times New Roman" w:cs="Times New Roman"/>
                <w:sz w:val="24"/>
                <w:szCs w:val="24"/>
                <w:lang w:val="en-IN"/>
              </w:rPr>
              <w:t>CREB/ Mitochondrial PKA</w:t>
            </w:r>
          </w:p>
        </w:tc>
        <w:tc>
          <w:tcPr>
            <w:tcW w:w="2868" w:type="dxa"/>
          </w:tcPr>
          <w:p w14:paraId="40E9CEE3" w14:textId="77777777" w:rsidR="001D5B69" w:rsidRPr="00184F35" w:rsidRDefault="001D5B69" w:rsidP="00184F35">
            <w:pPr>
              <w:spacing w:line="276" w:lineRule="auto"/>
              <w:jc w:val="both"/>
              <w:rPr>
                <w:rFonts w:ascii="Times New Roman" w:hAnsi="Times New Roman" w:cs="Times New Roman"/>
                <w:sz w:val="24"/>
                <w:szCs w:val="24"/>
                <w:lang w:val="en-IN"/>
              </w:rPr>
            </w:pPr>
            <w:r w:rsidRPr="00184F35">
              <w:rPr>
                <w:rFonts w:ascii="Times New Roman" w:hAnsi="Times New Roman" w:cs="Times New Roman"/>
                <w:sz w:val="24"/>
                <w:szCs w:val="24"/>
                <w:lang w:val="en-IN"/>
              </w:rPr>
              <w:t>Expression of ETC components</w:t>
            </w:r>
          </w:p>
        </w:tc>
        <w:tc>
          <w:tcPr>
            <w:tcW w:w="2880" w:type="dxa"/>
          </w:tcPr>
          <w:p w14:paraId="64B2ACE2" w14:textId="77777777" w:rsidR="001D5B69" w:rsidRPr="00184F35" w:rsidRDefault="001D5B69" w:rsidP="00184F35">
            <w:pPr>
              <w:spacing w:line="276" w:lineRule="auto"/>
              <w:jc w:val="both"/>
              <w:rPr>
                <w:rFonts w:ascii="Times New Roman" w:hAnsi="Times New Roman" w:cs="Times New Roman"/>
                <w:sz w:val="24"/>
                <w:szCs w:val="24"/>
                <w:lang w:val="en-IN"/>
              </w:rPr>
            </w:pPr>
            <w:r w:rsidRPr="00184F35">
              <w:rPr>
                <w:rFonts w:ascii="Times New Roman" w:hAnsi="Times New Roman" w:cs="Times New Roman"/>
                <w:sz w:val="24"/>
                <w:szCs w:val="24"/>
                <w:lang w:val="en-IN"/>
              </w:rPr>
              <w:t xml:space="preserve">Kotiadis </w:t>
            </w:r>
            <w:r w:rsidRPr="00184F35">
              <w:rPr>
                <w:rFonts w:ascii="Times New Roman" w:hAnsi="Times New Roman" w:cs="Times New Roman"/>
                <w:i/>
                <w:iCs/>
                <w:sz w:val="24"/>
                <w:szCs w:val="24"/>
                <w:lang w:val="en-IN"/>
              </w:rPr>
              <w:t>et al.,</w:t>
            </w:r>
            <w:r w:rsidRPr="00184F35">
              <w:rPr>
                <w:rFonts w:ascii="Times New Roman" w:hAnsi="Times New Roman" w:cs="Times New Roman"/>
                <w:sz w:val="24"/>
                <w:szCs w:val="24"/>
                <w:lang w:val="en-IN"/>
              </w:rPr>
              <w:t xml:space="preserve"> 2013; Wang </w:t>
            </w:r>
            <w:r w:rsidRPr="00184F35">
              <w:rPr>
                <w:rFonts w:ascii="Times New Roman" w:hAnsi="Times New Roman" w:cs="Times New Roman"/>
                <w:i/>
                <w:iCs/>
                <w:sz w:val="24"/>
                <w:szCs w:val="24"/>
                <w:lang w:val="en-IN"/>
              </w:rPr>
              <w:t>et al.,</w:t>
            </w:r>
            <w:r w:rsidRPr="00184F35">
              <w:rPr>
                <w:rFonts w:ascii="Times New Roman" w:hAnsi="Times New Roman" w:cs="Times New Roman"/>
                <w:sz w:val="24"/>
                <w:szCs w:val="24"/>
                <w:lang w:val="en-IN"/>
              </w:rPr>
              <w:t xml:space="preserve"> 2018; Ryu </w:t>
            </w:r>
            <w:r w:rsidRPr="00184F35">
              <w:rPr>
                <w:rFonts w:ascii="Times New Roman" w:hAnsi="Times New Roman" w:cs="Times New Roman"/>
                <w:i/>
                <w:iCs/>
                <w:sz w:val="24"/>
                <w:szCs w:val="24"/>
                <w:lang w:val="en-IN"/>
              </w:rPr>
              <w:t>et al.,</w:t>
            </w:r>
            <w:r w:rsidRPr="00184F35">
              <w:rPr>
                <w:rFonts w:ascii="Times New Roman" w:hAnsi="Times New Roman" w:cs="Times New Roman"/>
                <w:sz w:val="24"/>
                <w:szCs w:val="24"/>
                <w:lang w:val="en-IN"/>
              </w:rPr>
              <w:t xml:space="preserve"> 2005</w:t>
            </w:r>
          </w:p>
        </w:tc>
      </w:tr>
      <w:tr w:rsidR="001D5B69" w:rsidRPr="00184F35" w14:paraId="6F45B492" w14:textId="77777777" w:rsidTr="00184F35">
        <w:tc>
          <w:tcPr>
            <w:tcW w:w="730" w:type="dxa"/>
          </w:tcPr>
          <w:p w14:paraId="3C38C0F1" w14:textId="77777777" w:rsidR="001D5B69" w:rsidRPr="00184F35" w:rsidRDefault="001D5B69" w:rsidP="00184F35">
            <w:pPr>
              <w:spacing w:line="276" w:lineRule="auto"/>
              <w:jc w:val="both"/>
              <w:rPr>
                <w:rFonts w:ascii="Times New Roman" w:hAnsi="Times New Roman" w:cs="Times New Roman"/>
                <w:sz w:val="24"/>
                <w:szCs w:val="24"/>
              </w:rPr>
            </w:pPr>
            <w:r w:rsidRPr="00184F35">
              <w:rPr>
                <w:rFonts w:ascii="Times New Roman" w:hAnsi="Times New Roman" w:cs="Times New Roman"/>
                <w:sz w:val="24"/>
                <w:szCs w:val="24"/>
              </w:rPr>
              <w:t>5.</w:t>
            </w:r>
          </w:p>
        </w:tc>
        <w:tc>
          <w:tcPr>
            <w:tcW w:w="1910" w:type="dxa"/>
          </w:tcPr>
          <w:p w14:paraId="684EAD0C" w14:textId="77777777" w:rsidR="001D5B69" w:rsidRPr="00184F35" w:rsidRDefault="001D5B69" w:rsidP="00184F35">
            <w:pPr>
              <w:spacing w:line="276" w:lineRule="auto"/>
              <w:jc w:val="both"/>
              <w:rPr>
                <w:rFonts w:ascii="Times New Roman" w:hAnsi="Times New Roman" w:cs="Times New Roman"/>
                <w:sz w:val="24"/>
                <w:szCs w:val="24"/>
              </w:rPr>
            </w:pPr>
            <w:r w:rsidRPr="00184F35">
              <w:rPr>
                <w:rFonts w:ascii="Times New Roman" w:hAnsi="Times New Roman" w:cs="Times New Roman"/>
                <w:sz w:val="24"/>
                <w:szCs w:val="24"/>
                <w:lang w:val="en-IN"/>
              </w:rPr>
              <w:t>SOD2</w:t>
            </w:r>
          </w:p>
        </w:tc>
        <w:tc>
          <w:tcPr>
            <w:tcW w:w="2868" w:type="dxa"/>
          </w:tcPr>
          <w:p w14:paraId="2D519AD9" w14:textId="77777777" w:rsidR="001D5B69" w:rsidRPr="00184F35" w:rsidRDefault="001D5B69" w:rsidP="00184F35">
            <w:pPr>
              <w:spacing w:line="276" w:lineRule="auto"/>
              <w:jc w:val="both"/>
              <w:rPr>
                <w:rFonts w:ascii="Times New Roman" w:hAnsi="Times New Roman" w:cs="Times New Roman"/>
                <w:sz w:val="24"/>
                <w:szCs w:val="24"/>
              </w:rPr>
            </w:pPr>
            <w:r w:rsidRPr="00184F35">
              <w:rPr>
                <w:rFonts w:ascii="Times New Roman" w:hAnsi="Times New Roman" w:cs="Times New Roman"/>
                <w:sz w:val="24"/>
                <w:szCs w:val="24"/>
                <w:lang w:val="en-IN"/>
              </w:rPr>
              <w:t>ROS degradation</w:t>
            </w:r>
          </w:p>
        </w:tc>
        <w:tc>
          <w:tcPr>
            <w:tcW w:w="2880" w:type="dxa"/>
          </w:tcPr>
          <w:p w14:paraId="2EAE497B" w14:textId="77777777" w:rsidR="001D5B69" w:rsidRPr="00184F35" w:rsidRDefault="001D5B69" w:rsidP="00184F35">
            <w:pPr>
              <w:spacing w:line="276" w:lineRule="auto"/>
              <w:jc w:val="both"/>
              <w:rPr>
                <w:rFonts w:ascii="Times New Roman" w:hAnsi="Times New Roman" w:cs="Times New Roman"/>
                <w:sz w:val="24"/>
                <w:szCs w:val="24"/>
                <w:lang w:val="en-IN"/>
              </w:rPr>
            </w:pPr>
            <w:r w:rsidRPr="00184F35">
              <w:rPr>
                <w:rFonts w:ascii="Times New Roman" w:hAnsi="Times New Roman" w:cs="Times New Roman"/>
                <w:sz w:val="24"/>
                <w:szCs w:val="24"/>
                <w:lang w:val="en-IN"/>
              </w:rPr>
              <w:t xml:space="preserve">He </w:t>
            </w:r>
            <w:r w:rsidRPr="00184F35">
              <w:rPr>
                <w:rFonts w:ascii="Times New Roman" w:hAnsi="Times New Roman" w:cs="Times New Roman"/>
                <w:i/>
                <w:iCs/>
                <w:sz w:val="24"/>
                <w:szCs w:val="24"/>
                <w:lang w:val="en-IN"/>
              </w:rPr>
              <w:t>et al.,</w:t>
            </w:r>
            <w:r w:rsidRPr="00184F35">
              <w:rPr>
                <w:rFonts w:ascii="Times New Roman" w:hAnsi="Times New Roman" w:cs="Times New Roman"/>
                <w:sz w:val="24"/>
                <w:szCs w:val="24"/>
                <w:lang w:val="en-IN"/>
              </w:rPr>
              <w:t xml:space="preserve"> 2017</w:t>
            </w:r>
          </w:p>
        </w:tc>
      </w:tr>
      <w:tr w:rsidR="001D5B69" w:rsidRPr="00184F35" w14:paraId="3144EA7E" w14:textId="77777777" w:rsidTr="00184F35">
        <w:tc>
          <w:tcPr>
            <w:tcW w:w="730" w:type="dxa"/>
          </w:tcPr>
          <w:p w14:paraId="602D2A6A" w14:textId="77777777" w:rsidR="001D5B69" w:rsidRPr="00184F35" w:rsidRDefault="001D5B69" w:rsidP="00184F35">
            <w:pPr>
              <w:spacing w:line="276" w:lineRule="auto"/>
              <w:jc w:val="both"/>
              <w:rPr>
                <w:rFonts w:ascii="Times New Roman" w:hAnsi="Times New Roman" w:cs="Times New Roman"/>
                <w:sz w:val="24"/>
                <w:szCs w:val="24"/>
              </w:rPr>
            </w:pPr>
            <w:r w:rsidRPr="00184F35">
              <w:rPr>
                <w:rFonts w:ascii="Times New Roman" w:hAnsi="Times New Roman" w:cs="Times New Roman"/>
                <w:sz w:val="24"/>
                <w:szCs w:val="24"/>
              </w:rPr>
              <w:t>6.</w:t>
            </w:r>
          </w:p>
        </w:tc>
        <w:tc>
          <w:tcPr>
            <w:tcW w:w="1910" w:type="dxa"/>
          </w:tcPr>
          <w:p w14:paraId="3FC11B92" w14:textId="77777777" w:rsidR="001D5B69" w:rsidRPr="00184F35" w:rsidRDefault="001D5B69" w:rsidP="00184F35">
            <w:pPr>
              <w:spacing w:line="276" w:lineRule="auto"/>
              <w:jc w:val="both"/>
              <w:rPr>
                <w:rFonts w:ascii="Times New Roman" w:hAnsi="Times New Roman" w:cs="Times New Roman"/>
                <w:sz w:val="24"/>
                <w:szCs w:val="24"/>
              </w:rPr>
            </w:pPr>
            <w:r w:rsidRPr="00184F35">
              <w:rPr>
                <w:rFonts w:ascii="Times New Roman" w:hAnsi="Times New Roman" w:cs="Times New Roman"/>
                <w:sz w:val="24"/>
                <w:szCs w:val="24"/>
                <w:lang w:val="en-IN"/>
              </w:rPr>
              <w:t>MEF2D/ Hsp70</w:t>
            </w:r>
          </w:p>
        </w:tc>
        <w:tc>
          <w:tcPr>
            <w:tcW w:w="2868" w:type="dxa"/>
          </w:tcPr>
          <w:p w14:paraId="6E4B7B90" w14:textId="77777777" w:rsidR="001D5B69" w:rsidRPr="00184F35" w:rsidRDefault="001D5B69" w:rsidP="00184F35">
            <w:pPr>
              <w:spacing w:line="276" w:lineRule="auto"/>
              <w:jc w:val="both"/>
              <w:rPr>
                <w:rFonts w:ascii="Times New Roman" w:hAnsi="Times New Roman" w:cs="Times New Roman"/>
                <w:sz w:val="24"/>
                <w:szCs w:val="24"/>
              </w:rPr>
            </w:pPr>
            <w:r w:rsidRPr="00184F35">
              <w:rPr>
                <w:rFonts w:ascii="Times New Roman" w:hAnsi="Times New Roman" w:cs="Times New Roman"/>
                <w:sz w:val="24"/>
                <w:szCs w:val="24"/>
                <w:lang w:val="en-IN"/>
              </w:rPr>
              <w:t>Complex I function</w:t>
            </w:r>
          </w:p>
        </w:tc>
        <w:tc>
          <w:tcPr>
            <w:tcW w:w="2880" w:type="dxa"/>
          </w:tcPr>
          <w:p w14:paraId="60D0471C" w14:textId="77777777" w:rsidR="001D5B69" w:rsidRPr="00184F35" w:rsidRDefault="001D5B69" w:rsidP="00184F35">
            <w:pPr>
              <w:spacing w:line="276" w:lineRule="auto"/>
              <w:jc w:val="both"/>
              <w:rPr>
                <w:rFonts w:ascii="Times New Roman" w:hAnsi="Times New Roman" w:cs="Times New Roman"/>
                <w:sz w:val="24"/>
                <w:szCs w:val="24"/>
                <w:lang w:val="en-IN"/>
              </w:rPr>
            </w:pPr>
            <w:r w:rsidRPr="00184F35">
              <w:rPr>
                <w:rFonts w:ascii="Times New Roman" w:hAnsi="Times New Roman" w:cs="Times New Roman"/>
                <w:sz w:val="24"/>
                <w:szCs w:val="24"/>
                <w:lang w:val="en-IN"/>
              </w:rPr>
              <w:t xml:space="preserve">Soledad </w:t>
            </w:r>
            <w:r w:rsidRPr="00184F35">
              <w:rPr>
                <w:rFonts w:ascii="Times New Roman" w:hAnsi="Times New Roman" w:cs="Times New Roman"/>
                <w:i/>
                <w:iCs/>
                <w:sz w:val="24"/>
                <w:szCs w:val="24"/>
                <w:lang w:val="en-IN"/>
              </w:rPr>
              <w:t xml:space="preserve">et al., </w:t>
            </w:r>
            <w:r w:rsidRPr="00184F35">
              <w:rPr>
                <w:rFonts w:ascii="Times New Roman" w:hAnsi="Times New Roman" w:cs="Times New Roman"/>
                <w:sz w:val="24"/>
                <w:szCs w:val="24"/>
                <w:lang w:val="en-IN"/>
              </w:rPr>
              <w:t xml:space="preserve">2019; She </w:t>
            </w:r>
            <w:r w:rsidRPr="00184F35">
              <w:rPr>
                <w:rFonts w:ascii="Times New Roman" w:hAnsi="Times New Roman" w:cs="Times New Roman"/>
                <w:i/>
                <w:iCs/>
                <w:sz w:val="24"/>
                <w:szCs w:val="24"/>
                <w:lang w:val="en-IN"/>
              </w:rPr>
              <w:t>et al.,</w:t>
            </w:r>
            <w:r w:rsidRPr="00184F35">
              <w:rPr>
                <w:rFonts w:ascii="Times New Roman" w:hAnsi="Times New Roman" w:cs="Times New Roman"/>
                <w:sz w:val="24"/>
                <w:szCs w:val="24"/>
                <w:lang w:val="en-IN"/>
              </w:rPr>
              <w:t xml:space="preserve"> 2011</w:t>
            </w:r>
          </w:p>
        </w:tc>
      </w:tr>
      <w:tr w:rsidR="001D5B69" w:rsidRPr="00184F35" w14:paraId="76E32A74" w14:textId="77777777" w:rsidTr="00184F35">
        <w:tc>
          <w:tcPr>
            <w:tcW w:w="730" w:type="dxa"/>
          </w:tcPr>
          <w:p w14:paraId="3BE4BE23" w14:textId="77777777" w:rsidR="001D5B69" w:rsidRPr="00184F35" w:rsidRDefault="001D5B69" w:rsidP="00184F35">
            <w:pPr>
              <w:spacing w:line="276" w:lineRule="auto"/>
              <w:jc w:val="both"/>
              <w:rPr>
                <w:rFonts w:ascii="Times New Roman" w:hAnsi="Times New Roman" w:cs="Times New Roman"/>
                <w:sz w:val="24"/>
                <w:szCs w:val="24"/>
              </w:rPr>
            </w:pPr>
            <w:r w:rsidRPr="00184F35">
              <w:rPr>
                <w:rFonts w:ascii="Times New Roman" w:hAnsi="Times New Roman" w:cs="Times New Roman"/>
                <w:sz w:val="24"/>
                <w:szCs w:val="24"/>
              </w:rPr>
              <w:t>8.</w:t>
            </w:r>
          </w:p>
        </w:tc>
        <w:tc>
          <w:tcPr>
            <w:tcW w:w="1910" w:type="dxa"/>
          </w:tcPr>
          <w:p w14:paraId="515F20CD" w14:textId="77777777" w:rsidR="001D5B69" w:rsidRPr="00184F35" w:rsidRDefault="001D5B69" w:rsidP="00184F35">
            <w:pPr>
              <w:spacing w:line="276" w:lineRule="auto"/>
              <w:jc w:val="both"/>
              <w:rPr>
                <w:rFonts w:ascii="Times New Roman" w:hAnsi="Times New Roman" w:cs="Times New Roman"/>
                <w:sz w:val="24"/>
                <w:szCs w:val="24"/>
                <w:lang w:val="en-IN"/>
              </w:rPr>
            </w:pPr>
            <w:r w:rsidRPr="00184F35">
              <w:rPr>
                <w:rFonts w:ascii="Times New Roman" w:hAnsi="Times New Roman" w:cs="Times New Roman"/>
                <w:sz w:val="24"/>
                <w:szCs w:val="24"/>
                <w:lang w:val="en-IN"/>
              </w:rPr>
              <w:t>TERT/Src kinase, Ran GTPase</w:t>
            </w:r>
          </w:p>
        </w:tc>
        <w:tc>
          <w:tcPr>
            <w:tcW w:w="2868" w:type="dxa"/>
          </w:tcPr>
          <w:p w14:paraId="497A3B61" w14:textId="77777777" w:rsidR="001D5B69" w:rsidRPr="00184F35" w:rsidRDefault="001D5B69" w:rsidP="00184F35">
            <w:pPr>
              <w:spacing w:line="276" w:lineRule="auto"/>
              <w:jc w:val="both"/>
              <w:rPr>
                <w:rFonts w:ascii="Times New Roman" w:hAnsi="Times New Roman" w:cs="Times New Roman"/>
                <w:sz w:val="24"/>
                <w:szCs w:val="24"/>
                <w:lang w:val="en-IN"/>
              </w:rPr>
            </w:pPr>
            <w:r w:rsidRPr="00184F35">
              <w:rPr>
                <w:rFonts w:ascii="Times New Roman" w:hAnsi="Times New Roman" w:cs="Times New Roman"/>
                <w:sz w:val="24"/>
                <w:szCs w:val="24"/>
                <w:lang w:val="en-IN"/>
              </w:rPr>
              <w:t>mtDNA protection</w:t>
            </w:r>
          </w:p>
        </w:tc>
        <w:tc>
          <w:tcPr>
            <w:tcW w:w="2880" w:type="dxa"/>
          </w:tcPr>
          <w:p w14:paraId="7144C915" w14:textId="77777777" w:rsidR="001D5B69" w:rsidRPr="00184F35" w:rsidRDefault="001D5B69" w:rsidP="00184F35">
            <w:pPr>
              <w:spacing w:line="276" w:lineRule="auto"/>
              <w:jc w:val="both"/>
              <w:rPr>
                <w:rFonts w:ascii="Times New Roman" w:hAnsi="Times New Roman" w:cs="Times New Roman"/>
                <w:sz w:val="24"/>
                <w:szCs w:val="24"/>
                <w:lang w:val="en-IN"/>
              </w:rPr>
            </w:pPr>
            <w:r w:rsidRPr="00184F35">
              <w:rPr>
                <w:rFonts w:ascii="Times New Roman" w:hAnsi="Times New Roman" w:cs="Times New Roman"/>
                <w:sz w:val="24"/>
                <w:szCs w:val="24"/>
                <w:lang w:val="en-IN"/>
              </w:rPr>
              <w:t xml:space="preserve">Ahmed </w:t>
            </w:r>
            <w:r w:rsidRPr="00184F35">
              <w:rPr>
                <w:rFonts w:ascii="Times New Roman" w:hAnsi="Times New Roman" w:cs="Times New Roman"/>
                <w:i/>
                <w:iCs/>
                <w:sz w:val="24"/>
                <w:szCs w:val="24"/>
                <w:lang w:val="en-IN"/>
              </w:rPr>
              <w:t xml:space="preserve">et al., </w:t>
            </w:r>
            <w:r w:rsidRPr="00184F35">
              <w:rPr>
                <w:rFonts w:ascii="Times New Roman" w:hAnsi="Times New Roman" w:cs="Times New Roman"/>
                <w:sz w:val="24"/>
                <w:szCs w:val="24"/>
                <w:lang w:val="en-IN"/>
              </w:rPr>
              <w:t>2008</w:t>
            </w:r>
          </w:p>
        </w:tc>
      </w:tr>
      <w:tr w:rsidR="001D5B69" w:rsidRPr="008F4EA2" w14:paraId="1973B89B" w14:textId="77777777" w:rsidTr="00184F35">
        <w:tc>
          <w:tcPr>
            <w:tcW w:w="730" w:type="dxa"/>
          </w:tcPr>
          <w:p w14:paraId="03E09FDA" w14:textId="77777777" w:rsidR="001D5B69" w:rsidRPr="00184F35" w:rsidRDefault="001D5B69" w:rsidP="00184F35">
            <w:pPr>
              <w:spacing w:line="276" w:lineRule="auto"/>
              <w:jc w:val="both"/>
              <w:rPr>
                <w:rFonts w:ascii="Times New Roman" w:hAnsi="Times New Roman" w:cs="Times New Roman"/>
                <w:sz w:val="24"/>
                <w:szCs w:val="24"/>
              </w:rPr>
            </w:pPr>
            <w:r w:rsidRPr="00184F35">
              <w:rPr>
                <w:rFonts w:ascii="Times New Roman" w:hAnsi="Times New Roman" w:cs="Times New Roman"/>
                <w:sz w:val="24"/>
                <w:szCs w:val="24"/>
              </w:rPr>
              <w:t>10.</w:t>
            </w:r>
          </w:p>
        </w:tc>
        <w:tc>
          <w:tcPr>
            <w:tcW w:w="1910" w:type="dxa"/>
          </w:tcPr>
          <w:p w14:paraId="5B611D79" w14:textId="77777777" w:rsidR="001D5B69" w:rsidRPr="00184F35" w:rsidRDefault="001D5B69" w:rsidP="00184F35">
            <w:pPr>
              <w:spacing w:line="276" w:lineRule="auto"/>
              <w:jc w:val="both"/>
              <w:rPr>
                <w:rFonts w:ascii="Times New Roman" w:hAnsi="Times New Roman" w:cs="Times New Roman"/>
                <w:sz w:val="24"/>
                <w:szCs w:val="24"/>
                <w:lang w:val="en-IN"/>
              </w:rPr>
            </w:pPr>
            <w:r w:rsidRPr="00184F35">
              <w:rPr>
                <w:rFonts w:ascii="Times New Roman" w:hAnsi="Times New Roman" w:cs="Times New Roman"/>
                <w:sz w:val="24"/>
                <w:szCs w:val="24"/>
                <w:lang w:val="en-IN"/>
              </w:rPr>
              <w:t>P53/ Tid1</w:t>
            </w:r>
          </w:p>
        </w:tc>
        <w:tc>
          <w:tcPr>
            <w:tcW w:w="2868" w:type="dxa"/>
          </w:tcPr>
          <w:p w14:paraId="37B49C66" w14:textId="77777777" w:rsidR="001D5B69" w:rsidRPr="00184F35" w:rsidRDefault="001D5B69" w:rsidP="00184F35">
            <w:pPr>
              <w:spacing w:line="276" w:lineRule="auto"/>
              <w:jc w:val="both"/>
              <w:rPr>
                <w:rFonts w:ascii="Times New Roman" w:hAnsi="Times New Roman" w:cs="Times New Roman"/>
                <w:sz w:val="24"/>
                <w:szCs w:val="24"/>
                <w:lang w:val="en-IN"/>
              </w:rPr>
            </w:pPr>
            <w:r w:rsidRPr="00184F35">
              <w:rPr>
                <w:rFonts w:ascii="Times New Roman" w:hAnsi="Times New Roman" w:cs="Times New Roman"/>
                <w:sz w:val="24"/>
                <w:szCs w:val="24"/>
                <w:lang w:val="en-IN"/>
              </w:rPr>
              <w:t>Apoptosis, necrosis</w:t>
            </w:r>
          </w:p>
        </w:tc>
        <w:tc>
          <w:tcPr>
            <w:tcW w:w="2880" w:type="dxa"/>
          </w:tcPr>
          <w:p w14:paraId="26E0CF0C" w14:textId="77777777" w:rsidR="001D5B69" w:rsidRPr="008F4EA2" w:rsidRDefault="001D5B69" w:rsidP="00184F35">
            <w:pPr>
              <w:spacing w:line="276" w:lineRule="auto"/>
              <w:jc w:val="both"/>
              <w:rPr>
                <w:rFonts w:ascii="Times New Roman" w:hAnsi="Times New Roman" w:cs="Times New Roman"/>
                <w:sz w:val="24"/>
                <w:szCs w:val="24"/>
                <w:lang w:val="es-US"/>
              </w:rPr>
            </w:pPr>
            <w:r w:rsidRPr="008F4EA2">
              <w:rPr>
                <w:rFonts w:ascii="Times New Roman" w:hAnsi="Times New Roman" w:cs="Times New Roman"/>
                <w:sz w:val="24"/>
                <w:szCs w:val="24"/>
                <w:lang w:val="es-US"/>
              </w:rPr>
              <w:t xml:space="preserve">Vaseva </w:t>
            </w:r>
            <w:r w:rsidRPr="008F4EA2">
              <w:rPr>
                <w:rFonts w:ascii="Times New Roman" w:hAnsi="Times New Roman" w:cs="Times New Roman"/>
                <w:i/>
                <w:iCs/>
                <w:sz w:val="24"/>
                <w:szCs w:val="24"/>
                <w:lang w:val="es-US"/>
              </w:rPr>
              <w:t xml:space="preserve">et al., </w:t>
            </w:r>
            <w:r w:rsidRPr="008F4EA2">
              <w:rPr>
                <w:rFonts w:ascii="Times New Roman" w:hAnsi="Times New Roman" w:cs="Times New Roman"/>
                <w:sz w:val="24"/>
                <w:szCs w:val="24"/>
                <w:lang w:val="es-US"/>
              </w:rPr>
              <w:t xml:space="preserve">2012; Ahn </w:t>
            </w:r>
            <w:r w:rsidRPr="008F4EA2">
              <w:rPr>
                <w:rFonts w:ascii="Times New Roman" w:hAnsi="Times New Roman" w:cs="Times New Roman"/>
                <w:i/>
                <w:iCs/>
                <w:sz w:val="24"/>
                <w:szCs w:val="24"/>
                <w:lang w:val="es-US"/>
              </w:rPr>
              <w:t>et al.,</w:t>
            </w:r>
            <w:r w:rsidRPr="008F4EA2">
              <w:rPr>
                <w:rFonts w:ascii="Times New Roman" w:hAnsi="Times New Roman" w:cs="Times New Roman"/>
                <w:sz w:val="24"/>
                <w:szCs w:val="24"/>
                <w:lang w:val="es-US"/>
              </w:rPr>
              <w:t xml:space="preserve"> 2009; Marchenko </w:t>
            </w:r>
            <w:r w:rsidRPr="008F4EA2">
              <w:rPr>
                <w:rFonts w:ascii="Times New Roman" w:hAnsi="Times New Roman" w:cs="Times New Roman"/>
                <w:i/>
                <w:iCs/>
                <w:sz w:val="24"/>
                <w:szCs w:val="24"/>
                <w:lang w:val="es-US"/>
              </w:rPr>
              <w:t xml:space="preserve">et </w:t>
            </w:r>
            <w:r w:rsidRPr="008F4EA2">
              <w:rPr>
                <w:rFonts w:ascii="Times New Roman" w:hAnsi="Times New Roman" w:cs="Times New Roman"/>
                <w:i/>
                <w:iCs/>
                <w:sz w:val="24"/>
                <w:szCs w:val="24"/>
                <w:lang w:val="es-US"/>
              </w:rPr>
              <w:lastRenderedPageBreak/>
              <w:t>al.,</w:t>
            </w:r>
            <w:r w:rsidRPr="008F4EA2">
              <w:rPr>
                <w:rFonts w:ascii="Times New Roman" w:hAnsi="Times New Roman" w:cs="Times New Roman"/>
                <w:sz w:val="24"/>
                <w:szCs w:val="24"/>
                <w:lang w:val="es-US"/>
              </w:rPr>
              <w:t xml:space="preserve"> 2007</w:t>
            </w:r>
          </w:p>
        </w:tc>
      </w:tr>
    </w:tbl>
    <w:p w14:paraId="077DE376" w14:textId="3F6742D7" w:rsidR="001D5B69" w:rsidRPr="00184F35" w:rsidRDefault="001D5B69" w:rsidP="001D5B69">
      <w:pPr>
        <w:jc w:val="both"/>
        <w:rPr>
          <w:rFonts w:ascii="Times New Roman" w:hAnsi="Times New Roman" w:cs="Times New Roman"/>
          <w:sz w:val="24"/>
          <w:szCs w:val="24"/>
        </w:rPr>
      </w:pPr>
      <w:r w:rsidRPr="00253CA3">
        <w:rPr>
          <w:rFonts w:ascii="Times New Roman" w:hAnsi="Times New Roman" w:cs="Times New Roman"/>
          <w:sz w:val="24"/>
          <w:szCs w:val="24"/>
          <w:highlight w:val="yellow"/>
        </w:rPr>
        <w:lastRenderedPageBreak/>
        <w:t>Table-2b</w:t>
      </w:r>
      <w:r w:rsidR="009A2DB9" w:rsidRPr="00253CA3">
        <w:rPr>
          <w:rFonts w:ascii="Times New Roman" w:hAnsi="Times New Roman" w:cs="Times New Roman"/>
          <w:sz w:val="24"/>
          <w:szCs w:val="24"/>
          <w:highlight w:val="yellow"/>
        </w:rPr>
        <w:t>. Proteins</w:t>
      </w:r>
      <w:r w:rsidR="009A2DB9">
        <w:rPr>
          <w:rFonts w:ascii="Times New Roman" w:hAnsi="Times New Roman" w:cs="Times New Roman"/>
          <w:sz w:val="24"/>
          <w:szCs w:val="24"/>
        </w:rPr>
        <w:t xml:space="preserve"> involved in </w:t>
      </w:r>
      <w:r w:rsidR="00B64156">
        <w:rPr>
          <w:rFonts w:ascii="Times New Roman" w:hAnsi="Times New Roman" w:cs="Times New Roman"/>
          <w:sz w:val="24"/>
          <w:szCs w:val="24"/>
        </w:rPr>
        <w:t xml:space="preserve">Mitochondrial-nuclear responses </w:t>
      </w: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989"/>
        <w:gridCol w:w="2823"/>
        <w:gridCol w:w="2880"/>
      </w:tblGrid>
      <w:tr w:rsidR="001D5B69" w:rsidRPr="00184F35" w14:paraId="1FD92B0A" w14:textId="77777777" w:rsidTr="00184F35">
        <w:trPr>
          <w:trHeight w:val="290"/>
        </w:trPr>
        <w:tc>
          <w:tcPr>
            <w:tcW w:w="730" w:type="dxa"/>
            <w:shd w:val="clear" w:color="auto" w:fill="auto"/>
            <w:noWrap/>
            <w:vAlign w:val="bottom"/>
            <w:hideMark/>
          </w:tcPr>
          <w:p w14:paraId="038BCE7B" w14:textId="77777777" w:rsidR="001D5B69" w:rsidRPr="00184F35" w:rsidRDefault="001D5B69" w:rsidP="00184F35">
            <w:pPr>
              <w:spacing w:after="0"/>
              <w:jc w:val="center"/>
              <w:rPr>
                <w:rFonts w:ascii="Times New Roman" w:eastAsia="Times New Roman" w:hAnsi="Times New Roman" w:cs="Times New Roman"/>
                <w:b/>
                <w:bCs/>
                <w:sz w:val="24"/>
                <w:szCs w:val="24"/>
                <w:lang w:val="en-IN" w:eastAsia="en-IN"/>
              </w:rPr>
            </w:pPr>
            <w:r w:rsidRPr="00184F35">
              <w:rPr>
                <w:rFonts w:ascii="Times New Roman" w:hAnsi="Times New Roman" w:cs="Times New Roman"/>
                <w:b/>
                <w:bCs/>
                <w:sz w:val="24"/>
                <w:szCs w:val="24"/>
              </w:rPr>
              <w:t>Sl.no</w:t>
            </w:r>
          </w:p>
        </w:tc>
        <w:tc>
          <w:tcPr>
            <w:tcW w:w="1989" w:type="dxa"/>
            <w:shd w:val="clear" w:color="auto" w:fill="auto"/>
            <w:noWrap/>
            <w:vAlign w:val="bottom"/>
            <w:hideMark/>
          </w:tcPr>
          <w:p w14:paraId="257D0965" w14:textId="77777777" w:rsidR="001D5B69" w:rsidRPr="00184F35" w:rsidRDefault="001D5B69" w:rsidP="00184F35">
            <w:pPr>
              <w:spacing w:after="0"/>
              <w:jc w:val="center"/>
              <w:rPr>
                <w:rFonts w:ascii="Times New Roman" w:eastAsia="Times New Roman" w:hAnsi="Times New Roman" w:cs="Times New Roman"/>
                <w:b/>
                <w:bCs/>
                <w:sz w:val="24"/>
                <w:szCs w:val="24"/>
                <w:lang w:val="en-IN" w:eastAsia="en-IN"/>
              </w:rPr>
            </w:pPr>
            <w:r w:rsidRPr="00184F35">
              <w:rPr>
                <w:rFonts w:ascii="Times New Roman" w:hAnsi="Times New Roman" w:cs="Times New Roman"/>
                <w:b/>
                <w:bCs/>
                <w:sz w:val="24"/>
                <w:szCs w:val="24"/>
              </w:rPr>
              <w:t>Mitochondrial signal/mediation</w:t>
            </w:r>
          </w:p>
        </w:tc>
        <w:tc>
          <w:tcPr>
            <w:tcW w:w="2823" w:type="dxa"/>
            <w:shd w:val="clear" w:color="auto" w:fill="auto"/>
            <w:noWrap/>
            <w:hideMark/>
          </w:tcPr>
          <w:p w14:paraId="48DE30D2" w14:textId="77777777" w:rsidR="001D5B69" w:rsidRPr="00184F35" w:rsidRDefault="001D5B69" w:rsidP="00184F35">
            <w:pPr>
              <w:spacing w:after="0"/>
              <w:jc w:val="center"/>
              <w:rPr>
                <w:rFonts w:ascii="Times New Roman" w:eastAsia="Times New Roman" w:hAnsi="Times New Roman" w:cs="Times New Roman"/>
                <w:b/>
                <w:bCs/>
                <w:sz w:val="24"/>
                <w:szCs w:val="24"/>
                <w:lang w:val="en-IN" w:eastAsia="en-IN"/>
              </w:rPr>
            </w:pPr>
            <w:r w:rsidRPr="00184F35">
              <w:rPr>
                <w:rFonts w:ascii="Times New Roman" w:hAnsi="Times New Roman" w:cs="Times New Roman"/>
                <w:b/>
                <w:bCs/>
                <w:sz w:val="24"/>
                <w:szCs w:val="24"/>
              </w:rPr>
              <w:t>Nuclear response</w:t>
            </w:r>
          </w:p>
        </w:tc>
        <w:tc>
          <w:tcPr>
            <w:tcW w:w="2880" w:type="dxa"/>
            <w:shd w:val="clear" w:color="auto" w:fill="auto"/>
            <w:noWrap/>
            <w:hideMark/>
          </w:tcPr>
          <w:p w14:paraId="0F03CCEC" w14:textId="77777777" w:rsidR="001D5B69" w:rsidRPr="00184F35" w:rsidRDefault="001D5B69" w:rsidP="00184F35">
            <w:pPr>
              <w:spacing w:after="0"/>
              <w:jc w:val="center"/>
              <w:rPr>
                <w:rFonts w:ascii="Times New Roman" w:eastAsia="Times New Roman" w:hAnsi="Times New Roman" w:cs="Times New Roman"/>
                <w:b/>
                <w:bCs/>
                <w:sz w:val="24"/>
                <w:szCs w:val="24"/>
                <w:lang w:val="en-IN" w:eastAsia="en-IN"/>
              </w:rPr>
            </w:pPr>
            <w:r w:rsidRPr="00184F35">
              <w:rPr>
                <w:rFonts w:ascii="Times New Roman" w:hAnsi="Times New Roman" w:cs="Times New Roman"/>
                <w:b/>
                <w:bCs/>
                <w:sz w:val="24"/>
                <w:szCs w:val="24"/>
              </w:rPr>
              <w:t>References</w:t>
            </w:r>
          </w:p>
        </w:tc>
      </w:tr>
      <w:tr w:rsidR="001D5B69" w:rsidRPr="008F4EA2" w14:paraId="13BFC395" w14:textId="77777777" w:rsidTr="00184F35">
        <w:trPr>
          <w:trHeight w:val="290"/>
        </w:trPr>
        <w:tc>
          <w:tcPr>
            <w:tcW w:w="730" w:type="dxa"/>
            <w:shd w:val="clear" w:color="auto" w:fill="auto"/>
            <w:noWrap/>
            <w:vAlign w:val="bottom"/>
            <w:hideMark/>
          </w:tcPr>
          <w:p w14:paraId="6954E60A"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 xml:space="preserve">4. </w:t>
            </w:r>
          </w:p>
        </w:tc>
        <w:tc>
          <w:tcPr>
            <w:tcW w:w="1989" w:type="dxa"/>
            <w:shd w:val="clear" w:color="auto" w:fill="auto"/>
            <w:noWrap/>
            <w:vAlign w:val="bottom"/>
            <w:hideMark/>
          </w:tcPr>
          <w:p w14:paraId="7909EB71"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AMP/ATP</w:t>
            </w:r>
          </w:p>
        </w:tc>
        <w:tc>
          <w:tcPr>
            <w:tcW w:w="2823" w:type="dxa"/>
            <w:shd w:val="clear" w:color="auto" w:fill="auto"/>
            <w:noWrap/>
            <w:vAlign w:val="bottom"/>
            <w:hideMark/>
          </w:tcPr>
          <w:p w14:paraId="0C9A37C7"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Mitogenesis, mitophagy</w:t>
            </w:r>
          </w:p>
        </w:tc>
        <w:tc>
          <w:tcPr>
            <w:tcW w:w="2880" w:type="dxa"/>
            <w:shd w:val="clear" w:color="auto" w:fill="auto"/>
            <w:noWrap/>
            <w:vAlign w:val="bottom"/>
            <w:hideMark/>
          </w:tcPr>
          <w:p w14:paraId="135A8C29" w14:textId="77777777" w:rsidR="001D5B69" w:rsidRPr="008F4EA2" w:rsidRDefault="001D5B69" w:rsidP="00184F35">
            <w:pPr>
              <w:spacing w:after="0"/>
              <w:rPr>
                <w:rFonts w:ascii="Times New Roman" w:eastAsia="Times New Roman" w:hAnsi="Times New Roman" w:cs="Times New Roman"/>
                <w:sz w:val="24"/>
                <w:szCs w:val="24"/>
                <w:lang w:val="es-US" w:eastAsia="en-IN"/>
              </w:rPr>
            </w:pPr>
            <w:r w:rsidRPr="008F4EA2">
              <w:rPr>
                <w:rFonts w:ascii="Times New Roman" w:eastAsia="Times New Roman" w:hAnsi="Times New Roman" w:cs="Times New Roman"/>
                <w:sz w:val="24"/>
                <w:szCs w:val="24"/>
                <w:lang w:val="es-US" w:eastAsia="en-IN"/>
              </w:rPr>
              <w:t xml:space="preserve">Kahn </w:t>
            </w:r>
            <w:r w:rsidRPr="008F4EA2">
              <w:rPr>
                <w:rFonts w:ascii="Times New Roman" w:eastAsia="Times New Roman" w:hAnsi="Times New Roman" w:cs="Times New Roman"/>
                <w:i/>
                <w:iCs/>
                <w:sz w:val="24"/>
                <w:szCs w:val="24"/>
                <w:lang w:val="es-US" w:eastAsia="en-IN"/>
              </w:rPr>
              <w:t>et al.,</w:t>
            </w:r>
            <w:r w:rsidRPr="008F4EA2">
              <w:rPr>
                <w:rFonts w:ascii="Times New Roman" w:eastAsia="Times New Roman" w:hAnsi="Times New Roman" w:cs="Times New Roman"/>
                <w:sz w:val="24"/>
                <w:szCs w:val="24"/>
                <w:lang w:val="es-US" w:eastAsia="en-IN"/>
              </w:rPr>
              <w:t xml:space="preserve"> 2005; Herzig </w:t>
            </w:r>
            <w:r w:rsidRPr="008F4EA2">
              <w:rPr>
                <w:rFonts w:ascii="Times New Roman" w:eastAsia="Times New Roman" w:hAnsi="Times New Roman" w:cs="Times New Roman"/>
                <w:i/>
                <w:iCs/>
                <w:sz w:val="24"/>
                <w:szCs w:val="24"/>
                <w:lang w:val="es-US" w:eastAsia="en-IN"/>
              </w:rPr>
              <w:t xml:space="preserve">et al., </w:t>
            </w:r>
            <w:r w:rsidRPr="008F4EA2">
              <w:rPr>
                <w:rFonts w:ascii="Times New Roman" w:eastAsia="Times New Roman" w:hAnsi="Times New Roman" w:cs="Times New Roman"/>
                <w:sz w:val="24"/>
                <w:szCs w:val="24"/>
                <w:lang w:val="es-US" w:eastAsia="en-IN"/>
              </w:rPr>
              <w:t xml:space="preserve">2018; Miyamoto </w:t>
            </w:r>
            <w:r w:rsidRPr="008F4EA2">
              <w:rPr>
                <w:rFonts w:ascii="Times New Roman" w:eastAsia="Times New Roman" w:hAnsi="Times New Roman" w:cs="Times New Roman"/>
                <w:i/>
                <w:iCs/>
                <w:sz w:val="24"/>
                <w:szCs w:val="24"/>
                <w:lang w:val="es-US" w:eastAsia="en-IN"/>
              </w:rPr>
              <w:t>et al.,</w:t>
            </w:r>
            <w:r w:rsidRPr="008F4EA2">
              <w:rPr>
                <w:rFonts w:ascii="Times New Roman" w:eastAsia="Times New Roman" w:hAnsi="Times New Roman" w:cs="Times New Roman"/>
                <w:sz w:val="24"/>
                <w:szCs w:val="24"/>
                <w:lang w:val="es-US" w:eastAsia="en-IN"/>
              </w:rPr>
              <w:t xml:space="preserve"> 2015; Bergeron </w:t>
            </w:r>
            <w:r w:rsidRPr="008F4EA2">
              <w:rPr>
                <w:rFonts w:ascii="Times New Roman" w:eastAsia="Times New Roman" w:hAnsi="Times New Roman" w:cs="Times New Roman"/>
                <w:i/>
                <w:iCs/>
                <w:sz w:val="24"/>
                <w:szCs w:val="24"/>
                <w:lang w:val="es-US" w:eastAsia="en-IN"/>
              </w:rPr>
              <w:t>et al.,</w:t>
            </w:r>
            <w:r w:rsidRPr="008F4EA2">
              <w:rPr>
                <w:rFonts w:ascii="Times New Roman" w:eastAsia="Times New Roman" w:hAnsi="Times New Roman" w:cs="Times New Roman"/>
                <w:sz w:val="24"/>
                <w:szCs w:val="24"/>
                <w:lang w:val="es-US" w:eastAsia="en-IN"/>
              </w:rPr>
              <w:t xml:space="preserve"> 2001; Egan </w:t>
            </w:r>
            <w:r w:rsidRPr="008F4EA2">
              <w:rPr>
                <w:rFonts w:ascii="Times New Roman" w:eastAsia="Times New Roman" w:hAnsi="Times New Roman" w:cs="Times New Roman"/>
                <w:i/>
                <w:iCs/>
                <w:sz w:val="24"/>
                <w:szCs w:val="24"/>
                <w:lang w:val="es-US" w:eastAsia="en-IN"/>
              </w:rPr>
              <w:t>et al.,</w:t>
            </w:r>
            <w:r w:rsidRPr="008F4EA2">
              <w:rPr>
                <w:rFonts w:ascii="Times New Roman" w:eastAsia="Times New Roman" w:hAnsi="Times New Roman" w:cs="Times New Roman"/>
                <w:sz w:val="24"/>
                <w:szCs w:val="24"/>
                <w:lang w:val="es-US" w:eastAsia="en-IN"/>
              </w:rPr>
              <w:t xml:space="preserve"> 2011; Kim </w:t>
            </w:r>
            <w:r w:rsidRPr="008F4EA2">
              <w:rPr>
                <w:rFonts w:ascii="Times New Roman" w:eastAsia="Times New Roman" w:hAnsi="Times New Roman" w:cs="Times New Roman"/>
                <w:i/>
                <w:iCs/>
                <w:sz w:val="24"/>
                <w:szCs w:val="24"/>
                <w:lang w:val="es-US" w:eastAsia="en-IN"/>
              </w:rPr>
              <w:t>et al.,</w:t>
            </w:r>
            <w:r w:rsidRPr="008F4EA2">
              <w:rPr>
                <w:rFonts w:ascii="Times New Roman" w:eastAsia="Times New Roman" w:hAnsi="Times New Roman" w:cs="Times New Roman"/>
                <w:sz w:val="24"/>
                <w:szCs w:val="24"/>
                <w:lang w:val="es-US" w:eastAsia="en-IN"/>
              </w:rPr>
              <w:t xml:space="preserve"> 2011; Toyama </w:t>
            </w:r>
            <w:r w:rsidRPr="008F4EA2">
              <w:rPr>
                <w:rFonts w:ascii="Times New Roman" w:eastAsia="Times New Roman" w:hAnsi="Times New Roman" w:cs="Times New Roman"/>
                <w:i/>
                <w:iCs/>
                <w:sz w:val="24"/>
                <w:szCs w:val="24"/>
                <w:lang w:val="es-US" w:eastAsia="en-IN"/>
              </w:rPr>
              <w:t>et al.,</w:t>
            </w:r>
            <w:r w:rsidRPr="008F4EA2">
              <w:rPr>
                <w:rFonts w:ascii="Times New Roman" w:eastAsia="Times New Roman" w:hAnsi="Times New Roman" w:cs="Times New Roman"/>
                <w:sz w:val="24"/>
                <w:szCs w:val="24"/>
                <w:lang w:val="es-US" w:eastAsia="en-IN"/>
              </w:rPr>
              <w:t xml:space="preserve"> 2016</w:t>
            </w:r>
          </w:p>
        </w:tc>
      </w:tr>
      <w:tr w:rsidR="001D5B69" w:rsidRPr="008F4EA2" w14:paraId="5EE834E0" w14:textId="77777777" w:rsidTr="00184F35">
        <w:trPr>
          <w:trHeight w:val="290"/>
        </w:trPr>
        <w:tc>
          <w:tcPr>
            <w:tcW w:w="730" w:type="dxa"/>
            <w:shd w:val="clear" w:color="auto" w:fill="auto"/>
            <w:noWrap/>
            <w:vAlign w:val="bottom"/>
            <w:hideMark/>
          </w:tcPr>
          <w:p w14:paraId="3EBEF7EE"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6.</w:t>
            </w:r>
          </w:p>
        </w:tc>
        <w:tc>
          <w:tcPr>
            <w:tcW w:w="1989" w:type="dxa"/>
            <w:shd w:val="clear" w:color="auto" w:fill="auto"/>
            <w:noWrap/>
            <w:vAlign w:val="bottom"/>
            <w:hideMark/>
          </w:tcPr>
          <w:p w14:paraId="3F3A4645"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Acetyl CoA /acetyltransferases</w:t>
            </w:r>
          </w:p>
        </w:tc>
        <w:tc>
          <w:tcPr>
            <w:tcW w:w="2823" w:type="dxa"/>
            <w:shd w:val="clear" w:color="auto" w:fill="auto"/>
            <w:noWrap/>
            <w:vAlign w:val="bottom"/>
            <w:hideMark/>
          </w:tcPr>
          <w:p w14:paraId="39A6929E"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Histone acetylation, cell</w:t>
            </w:r>
          </w:p>
          <w:p w14:paraId="4653912A"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growth, and proliferation</w:t>
            </w:r>
          </w:p>
        </w:tc>
        <w:tc>
          <w:tcPr>
            <w:tcW w:w="2880" w:type="dxa"/>
            <w:shd w:val="clear" w:color="auto" w:fill="auto"/>
            <w:noWrap/>
            <w:vAlign w:val="bottom"/>
            <w:hideMark/>
          </w:tcPr>
          <w:p w14:paraId="0EF4C2F7" w14:textId="77777777" w:rsidR="001D5B69" w:rsidRPr="008F4EA2" w:rsidRDefault="001D5B69" w:rsidP="00184F35">
            <w:pPr>
              <w:spacing w:after="0"/>
              <w:jc w:val="both"/>
              <w:rPr>
                <w:rFonts w:ascii="Times New Roman" w:eastAsia="Times New Roman" w:hAnsi="Times New Roman" w:cs="Times New Roman"/>
                <w:sz w:val="24"/>
                <w:szCs w:val="24"/>
                <w:lang w:val="es-US" w:eastAsia="en-IN"/>
              </w:rPr>
            </w:pPr>
            <w:r w:rsidRPr="008F4EA2">
              <w:rPr>
                <w:rFonts w:ascii="Times New Roman" w:eastAsia="Times New Roman" w:hAnsi="Times New Roman" w:cs="Times New Roman"/>
                <w:sz w:val="24"/>
                <w:szCs w:val="24"/>
                <w:lang w:val="es-US" w:eastAsia="en-IN"/>
              </w:rPr>
              <w:t xml:space="preserve">Martinez-Reyes </w:t>
            </w:r>
            <w:r w:rsidRPr="008F4EA2">
              <w:rPr>
                <w:rFonts w:ascii="Times New Roman" w:eastAsia="Times New Roman" w:hAnsi="Times New Roman" w:cs="Times New Roman"/>
                <w:i/>
                <w:iCs/>
                <w:sz w:val="24"/>
                <w:szCs w:val="24"/>
                <w:lang w:val="es-US" w:eastAsia="en-IN"/>
              </w:rPr>
              <w:t>et al.,</w:t>
            </w:r>
            <w:r w:rsidRPr="008F4EA2">
              <w:rPr>
                <w:rFonts w:ascii="Times New Roman" w:eastAsia="Times New Roman" w:hAnsi="Times New Roman" w:cs="Times New Roman"/>
                <w:sz w:val="24"/>
                <w:szCs w:val="24"/>
                <w:lang w:val="es-US" w:eastAsia="en-IN"/>
              </w:rPr>
              <w:t xml:space="preserve"> 2020; Shi </w:t>
            </w:r>
            <w:r w:rsidRPr="008F4EA2">
              <w:rPr>
                <w:rFonts w:ascii="Times New Roman" w:eastAsia="Times New Roman" w:hAnsi="Times New Roman" w:cs="Times New Roman"/>
                <w:i/>
                <w:iCs/>
                <w:sz w:val="24"/>
                <w:szCs w:val="24"/>
                <w:lang w:val="es-US" w:eastAsia="en-IN"/>
              </w:rPr>
              <w:t>et al.,</w:t>
            </w:r>
            <w:r w:rsidRPr="008F4EA2">
              <w:rPr>
                <w:rFonts w:ascii="Times New Roman" w:eastAsia="Times New Roman" w:hAnsi="Times New Roman" w:cs="Times New Roman"/>
                <w:sz w:val="24"/>
                <w:szCs w:val="24"/>
                <w:lang w:val="es-US" w:eastAsia="en-IN"/>
              </w:rPr>
              <w:t xml:space="preserve"> 2015</w:t>
            </w:r>
          </w:p>
        </w:tc>
      </w:tr>
      <w:tr w:rsidR="001D5B69" w:rsidRPr="00184F35" w14:paraId="73FCADFD" w14:textId="77777777" w:rsidTr="00184F35">
        <w:trPr>
          <w:trHeight w:val="290"/>
        </w:trPr>
        <w:tc>
          <w:tcPr>
            <w:tcW w:w="730" w:type="dxa"/>
            <w:shd w:val="clear" w:color="auto" w:fill="auto"/>
            <w:noWrap/>
            <w:vAlign w:val="bottom"/>
            <w:hideMark/>
          </w:tcPr>
          <w:p w14:paraId="0D416998"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7.</w:t>
            </w:r>
          </w:p>
        </w:tc>
        <w:tc>
          <w:tcPr>
            <w:tcW w:w="1989" w:type="dxa"/>
            <w:shd w:val="clear" w:color="auto" w:fill="auto"/>
            <w:noWrap/>
            <w:vAlign w:val="bottom"/>
            <w:hideMark/>
          </w:tcPr>
          <w:p w14:paraId="217C9522"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α-ketoglutarate/ 2-OGDDs</w:t>
            </w:r>
          </w:p>
        </w:tc>
        <w:tc>
          <w:tcPr>
            <w:tcW w:w="2823" w:type="dxa"/>
            <w:shd w:val="clear" w:color="auto" w:fill="auto"/>
            <w:noWrap/>
            <w:vAlign w:val="bottom"/>
            <w:hideMark/>
          </w:tcPr>
          <w:p w14:paraId="4371F392"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Hypoxic response, chromatin</w:t>
            </w:r>
          </w:p>
          <w:p w14:paraId="059A070D"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modifications</w:t>
            </w:r>
          </w:p>
        </w:tc>
        <w:tc>
          <w:tcPr>
            <w:tcW w:w="2880" w:type="dxa"/>
            <w:shd w:val="clear" w:color="auto" w:fill="auto"/>
            <w:noWrap/>
            <w:vAlign w:val="bottom"/>
            <w:hideMark/>
          </w:tcPr>
          <w:p w14:paraId="010D3D7E"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 xml:space="preserve">Martinez-Reyes </w:t>
            </w:r>
            <w:r w:rsidRPr="00184F35">
              <w:rPr>
                <w:rFonts w:ascii="Times New Roman" w:eastAsia="Times New Roman" w:hAnsi="Times New Roman" w:cs="Times New Roman"/>
                <w:i/>
                <w:iCs/>
                <w:sz w:val="24"/>
                <w:szCs w:val="24"/>
                <w:lang w:val="en-IN" w:eastAsia="en-IN"/>
              </w:rPr>
              <w:t>et al.,</w:t>
            </w:r>
            <w:r w:rsidRPr="00184F35">
              <w:rPr>
                <w:rFonts w:ascii="Times New Roman" w:eastAsia="Times New Roman" w:hAnsi="Times New Roman" w:cs="Times New Roman"/>
                <w:sz w:val="24"/>
                <w:szCs w:val="24"/>
                <w:lang w:val="en-IN" w:eastAsia="en-IN"/>
              </w:rPr>
              <w:t xml:space="preserve"> 2020</w:t>
            </w:r>
          </w:p>
        </w:tc>
      </w:tr>
      <w:tr w:rsidR="001D5B69" w:rsidRPr="00184F35" w14:paraId="6021212C" w14:textId="77777777" w:rsidTr="00184F35">
        <w:trPr>
          <w:trHeight w:val="290"/>
        </w:trPr>
        <w:tc>
          <w:tcPr>
            <w:tcW w:w="730" w:type="dxa"/>
            <w:shd w:val="clear" w:color="auto" w:fill="auto"/>
            <w:noWrap/>
            <w:vAlign w:val="bottom"/>
            <w:hideMark/>
          </w:tcPr>
          <w:p w14:paraId="3FABAAFD"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 xml:space="preserve">8. </w:t>
            </w:r>
          </w:p>
        </w:tc>
        <w:tc>
          <w:tcPr>
            <w:tcW w:w="1989" w:type="dxa"/>
            <w:shd w:val="clear" w:color="auto" w:fill="auto"/>
            <w:noWrap/>
            <w:vAlign w:val="bottom"/>
            <w:hideMark/>
          </w:tcPr>
          <w:p w14:paraId="37CB7677"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Succinate/ HIF-1α</w:t>
            </w:r>
          </w:p>
        </w:tc>
        <w:tc>
          <w:tcPr>
            <w:tcW w:w="2823" w:type="dxa"/>
            <w:shd w:val="clear" w:color="auto" w:fill="auto"/>
            <w:noWrap/>
            <w:vAlign w:val="bottom"/>
            <w:hideMark/>
          </w:tcPr>
          <w:p w14:paraId="138C82CF"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Histone and DNA</w:t>
            </w:r>
          </w:p>
          <w:p w14:paraId="1082EEEF"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methylation</w:t>
            </w:r>
          </w:p>
        </w:tc>
        <w:tc>
          <w:tcPr>
            <w:tcW w:w="2880" w:type="dxa"/>
            <w:shd w:val="clear" w:color="auto" w:fill="auto"/>
            <w:noWrap/>
            <w:vAlign w:val="bottom"/>
            <w:hideMark/>
          </w:tcPr>
          <w:p w14:paraId="0A14EEFD"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 xml:space="preserve">Martinez-Reyes </w:t>
            </w:r>
            <w:r w:rsidRPr="00184F35">
              <w:rPr>
                <w:rFonts w:ascii="Times New Roman" w:eastAsia="Times New Roman" w:hAnsi="Times New Roman" w:cs="Times New Roman"/>
                <w:i/>
                <w:iCs/>
                <w:sz w:val="24"/>
                <w:szCs w:val="24"/>
                <w:lang w:val="en-IN" w:eastAsia="en-IN"/>
              </w:rPr>
              <w:t>et al.,</w:t>
            </w:r>
            <w:r w:rsidRPr="00184F35">
              <w:rPr>
                <w:rFonts w:ascii="Times New Roman" w:eastAsia="Times New Roman" w:hAnsi="Times New Roman" w:cs="Times New Roman"/>
                <w:sz w:val="24"/>
                <w:szCs w:val="24"/>
                <w:lang w:val="en-IN" w:eastAsia="en-IN"/>
              </w:rPr>
              <w:t xml:space="preserve"> 2020</w:t>
            </w:r>
          </w:p>
        </w:tc>
      </w:tr>
      <w:tr w:rsidR="001D5B69" w:rsidRPr="008F4EA2" w14:paraId="6E481C55" w14:textId="77777777" w:rsidTr="00184F35">
        <w:trPr>
          <w:trHeight w:val="290"/>
        </w:trPr>
        <w:tc>
          <w:tcPr>
            <w:tcW w:w="730" w:type="dxa"/>
            <w:shd w:val="clear" w:color="auto" w:fill="auto"/>
            <w:noWrap/>
            <w:vAlign w:val="bottom"/>
            <w:hideMark/>
          </w:tcPr>
          <w:p w14:paraId="720276D7"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9.</w:t>
            </w:r>
          </w:p>
        </w:tc>
        <w:tc>
          <w:tcPr>
            <w:tcW w:w="1989" w:type="dxa"/>
            <w:shd w:val="clear" w:color="auto" w:fill="auto"/>
            <w:noWrap/>
            <w:vAlign w:val="bottom"/>
            <w:hideMark/>
          </w:tcPr>
          <w:p w14:paraId="6395F87C"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Fumarate/ HIF-1α</w:t>
            </w:r>
          </w:p>
        </w:tc>
        <w:tc>
          <w:tcPr>
            <w:tcW w:w="2823" w:type="dxa"/>
            <w:shd w:val="clear" w:color="auto" w:fill="auto"/>
            <w:noWrap/>
            <w:vAlign w:val="bottom"/>
            <w:hideMark/>
          </w:tcPr>
          <w:p w14:paraId="0B6A99EC"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Histone modifications</w:t>
            </w:r>
          </w:p>
        </w:tc>
        <w:tc>
          <w:tcPr>
            <w:tcW w:w="2880" w:type="dxa"/>
            <w:shd w:val="clear" w:color="auto" w:fill="auto"/>
            <w:noWrap/>
            <w:vAlign w:val="bottom"/>
            <w:hideMark/>
          </w:tcPr>
          <w:p w14:paraId="139FA34A" w14:textId="77777777" w:rsidR="001D5B69" w:rsidRPr="008F4EA2" w:rsidRDefault="001D5B69" w:rsidP="00184F35">
            <w:pPr>
              <w:spacing w:after="0"/>
              <w:jc w:val="both"/>
              <w:rPr>
                <w:rFonts w:ascii="Times New Roman" w:eastAsia="Times New Roman" w:hAnsi="Times New Roman" w:cs="Times New Roman"/>
                <w:sz w:val="24"/>
                <w:szCs w:val="24"/>
                <w:lang w:val="es-US" w:eastAsia="en-IN"/>
              </w:rPr>
            </w:pPr>
            <w:r w:rsidRPr="008F4EA2">
              <w:rPr>
                <w:rFonts w:ascii="Times New Roman" w:eastAsia="Times New Roman" w:hAnsi="Times New Roman" w:cs="Times New Roman"/>
                <w:sz w:val="24"/>
                <w:szCs w:val="24"/>
                <w:lang w:val="es-US" w:eastAsia="en-IN"/>
              </w:rPr>
              <w:t xml:space="preserve">Martinez-Reyes </w:t>
            </w:r>
            <w:r w:rsidRPr="008F4EA2">
              <w:rPr>
                <w:rFonts w:ascii="Times New Roman" w:eastAsia="Times New Roman" w:hAnsi="Times New Roman" w:cs="Times New Roman"/>
                <w:i/>
                <w:iCs/>
                <w:sz w:val="24"/>
                <w:szCs w:val="24"/>
                <w:lang w:val="es-US" w:eastAsia="en-IN"/>
              </w:rPr>
              <w:t>et al.,</w:t>
            </w:r>
            <w:r w:rsidRPr="008F4EA2">
              <w:rPr>
                <w:rFonts w:ascii="Times New Roman" w:eastAsia="Times New Roman" w:hAnsi="Times New Roman" w:cs="Times New Roman"/>
                <w:sz w:val="24"/>
                <w:szCs w:val="24"/>
                <w:lang w:val="es-US" w:eastAsia="en-IN"/>
              </w:rPr>
              <w:t xml:space="preserve"> 2020; Arts </w:t>
            </w:r>
            <w:r w:rsidRPr="008F4EA2">
              <w:rPr>
                <w:rFonts w:ascii="Times New Roman" w:eastAsia="Times New Roman" w:hAnsi="Times New Roman" w:cs="Times New Roman"/>
                <w:i/>
                <w:iCs/>
                <w:sz w:val="24"/>
                <w:szCs w:val="24"/>
                <w:lang w:val="es-US" w:eastAsia="en-IN"/>
              </w:rPr>
              <w:t>et al.,</w:t>
            </w:r>
            <w:r w:rsidRPr="008F4EA2">
              <w:rPr>
                <w:rFonts w:ascii="Times New Roman" w:eastAsia="Times New Roman" w:hAnsi="Times New Roman" w:cs="Times New Roman"/>
                <w:sz w:val="24"/>
                <w:szCs w:val="24"/>
                <w:lang w:val="es-US" w:eastAsia="en-IN"/>
              </w:rPr>
              <w:t xml:space="preserve"> 2016</w:t>
            </w:r>
          </w:p>
        </w:tc>
      </w:tr>
      <w:tr w:rsidR="001D5B69" w:rsidRPr="008F4EA2" w14:paraId="75F93DA4" w14:textId="77777777" w:rsidTr="00184F35">
        <w:trPr>
          <w:trHeight w:val="290"/>
        </w:trPr>
        <w:tc>
          <w:tcPr>
            <w:tcW w:w="730" w:type="dxa"/>
            <w:shd w:val="clear" w:color="auto" w:fill="auto"/>
            <w:noWrap/>
            <w:vAlign w:val="bottom"/>
            <w:hideMark/>
          </w:tcPr>
          <w:p w14:paraId="5F73C989"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10.</w:t>
            </w:r>
          </w:p>
        </w:tc>
        <w:tc>
          <w:tcPr>
            <w:tcW w:w="1989" w:type="dxa"/>
            <w:shd w:val="clear" w:color="auto" w:fill="auto"/>
            <w:noWrap/>
            <w:vAlign w:val="bottom"/>
            <w:hideMark/>
          </w:tcPr>
          <w:p w14:paraId="780772E5"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FAD/FADH</w:t>
            </w:r>
          </w:p>
        </w:tc>
        <w:tc>
          <w:tcPr>
            <w:tcW w:w="2823" w:type="dxa"/>
            <w:shd w:val="clear" w:color="auto" w:fill="auto"/>
            <w:noWrap/>
            <w:vAlign w:val="bottom"/>
            <w:hideMark/>
          </w:tcPr>
          <w:p w14:paraId="50CFAB22"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demethylation</w:t>
            </w:r>
          </w:p>
        </w:tc>
        <w:tc>
          <w:tcPr>
            <w:tcW w:w="2880" w:type="dxa"/>
            <w:shd w:val="clear" w:color="auto" w:fill="auto"/>
            <w:noWrap/>
            <w:vAlign w:val="bottom"/>
            <w:hideMark/>
          </w:tcPr>
          <w:p w14:paraId="49E51F94" w14:textId="77777777" w:rsidR="001D5B69" w:rsidRPr="008F4EA2" w:rsidRDefault="001D5B69" w:rsidP="00184F35">
            <w:pPr>
              <w:spacing w:after="0"/>
              <w:jc w:val="both"/>
              <w:rPr>
                <w:rFonts w:ascii="Times New Roman" w:eastAsia="Times New Roman" w:hAnsi="Times New Roman" w:cs="Times New Roman"/>
                <w:sz w:val="24"/>
                <w:szCs w:val="24"/>
                <w:lang w:val="es-US" w:eastAsia="en-IN"/>
              </w:rPr>
            </w:pPr>
            <w:r w:rsidRPr="008F4EA2">
              <w:rPr>
                <w:rFonts w:ascii="Times New Roman" w:eastAsia="Times New Roman" w:hAnsi="Times New Roman" w:cs="Times New Roman"/>
                <w:sz w:val="24"/>
                <w:szCs w:val="24"/>
                <w:lang w:val="es-US" w:eastAsia="en-IN"/>
              </w:rPr>
              <w:t xml:space="preserve">Xie </w:t>
            </w:r>
            <w:r w:rsidRPr="008F4EA2">
              <w:rPr>
                <w:rFonts w:ascii="Times New Roman" w:eastAsia="Times New Roman" w:hAnsi="Times New Roman" w:cs="Times New Roman"/>
                <w:i/>
                <w:iCs/>
                <w:sz w:val="24"/>
                <w:szCs w:val="24"/>
                <w:lang w:val="es-US" w:eastAsia="en-IN"/>
              </w:rPr>
              <w:t>et al.,</w:t>
            </w:r>
            <w:r w:rsidRPr="008F4EA2">
              <w:rPr>
                <w:rFonts w:ascii="Times New Roman" w:eastAsia="Times New Roman" w:hAnsi="Times New Roman" w:cs="Times New Roman"/>
                <w:sz w:val="24"/>
                <w:szCs w:val="24"/>
                <w:lang w:val="es-US" w:eastAsia="en-IN"/>
              </w:rPr>
              <w:t xml:space="preserve"> 2020; Shi </w:t>
            </w:r>
            <w:r w:rsidRPr="008F4EA2">
              <w:rPr>
                <w:rFonts w:ascii="Times New Roman" w:eastAsia="Times New Roman" w:hAnsi="Times New Roman" w:cs="Times New Roman"/>
                <w:i/>
                <w:iCs/>
                <w:sz w:val="24"/>
                <w:szCs w:val="24"/>
                <w:lang w:val="es-US" w:eastAsia="en-IN"/>
              </w:rPr>
              <w:t>et al.,</w:t>
            </w:r>
            <w:r w:rsidRPr="008F4EA2">
              <w:rPr>
                <w:rFonts w:ascii="Times New Roman" w:eastAsia="Times New Roman" w:hAnsi="Times New Roman" w:cs="Times New Roman"/>
                <w:sz w:val="24"/>
                <w:szCs w:val="24"/>
                <w:lang w:val="es-US" w:eastAsia="en-IN"/>
              </w:rPr>
              <w:t xml:space="preserve"> 2004</w:t>
            </w:r>
          </w:p>
        </w:tc>
      </w:tr>
    </w:tbl>
    <w:p w14:paraId="75BEA45A" w14:textId="77777777" w:rsidR="001D5B69" w:rsidRPr="008F4EA2" w:rsidRDefault="001D5B69" w:rsidP="001D5B69">
      <w:pPr>
        <w:jc w:val="both"/>
        <w:rPr>
          <w:rFonts w:ascii="Times New Roman" w:hAnsi="Times New Roman" w:cs="Times New Roman"/>
          <w:sz w:val="24"/>
          <w:szCs w:val="24"/>
          <w:lang w:val="es-US"/>
        </w:rPr>
      </w:pPr>
    </w:p>
    <w:p w14:paraId="2DB40091" w14:textId="77777777" w:rsidR="001D5B69" w:rsidRPr="00184F35" w:rsidRDefault="001D5B69" w:rsidP="001D5B69">
      <w:pPr>
        <w:jc w:val="both"/>
        <w:rPr>
          <w:rFonts w:ascii="Times New Roman" w:hAnsi="Times New Roman" w:cs="Times New Roman"/>
          <w:sz w:val="24"/>
          <w:szCs w:val="24"/>
        </w:rPr>
      </w:pPr>
      <w:r w:rsidRPr="00253CA3">
        <w:rPr>
          <w:rFonts w:ascii="Times New Roman" w:hAnsi="Times New Roman" w:cs="Times New Roman"/>
          <w:sz w:val="24"/>
          <w:szCs w:val="24"/>
          <w:highlight w:val="yellow"/>
        </w:rPr>
        <w:t>Table-3 :Y</w:t>
      </w:r>
      <w:r w:rsidRPr="00184F35">
        <w:rPr>
          <w:rFonts w:ascii="Times New Roman" w:hAnsi="Times New Roman" w:cs="Times New Roman"/>
          <w:sz w:val="24"/>
          <w:szCs w:val="24"/>
        </w:rPr>
        <w:t>east and mammalian proteins constituting the core machineries of mitochondrial dynamics and their interaction partners (Reference- Brittni R. Walker 1 and Carlos T. Moraes- 2022)</w:t>
      </w:r>
    </w:p>
    <w:tbl>
      <w:tblPr>
        <w:tblStyle w:val="TableGrid"/>
        <w:tblW w:w="0" w:type="auto"/>
        <w:tblLayout w:type="fixed"/>
        <w:tblLook w:val="04A0" w:firstRow="1" w:lastRow="0" w:firstColumn="1" w:lastColumn="0" w:noHBand="0" w:noVBand="1"/>
      </w:tblPr>
      <w:tblGrid>
        <w:gridCol w:w="2394"/>
        <w:gridCol w:w="2394"/>
        <w:gridCol w:w="3240"/>
      </w:tblGrid>
      <w:tr w:rsidR="001D5B69" w:rsidRPr="00184F35" w14:paraId="61378E3B" w14:textId="77777777" w:rsidTr="00184F35">
        <w:tc>
          <w:tcPr>
            <w:tcW w:w="2394" w:type="dxa"/>
          </w:tcPr>
          <w:p w14:paraId="6D86757E" w14:textId="77777777" w:rsidR="001D5B69" w:rsidRPr="00184F35" w:rsidRDefault="00A76141" w:rsidP="00184F35">
            <w:pPr>
              <w:autoSpaceDE w:val="0"/>
              <w:autoSpaceDN w:val="0"/>
              <w:adjustRightInd w:val="0"/>
              <w:spacing w:line="360" w:lineRule="auto"/>
              <w:rPr>
                <w:rFonts w:ascii="Times New Roman" w:hAnsi="Times New Roman" w:cs="Times New Roman"/>
                <w:b/>
                <w:bCs/>
                <w:sz w:val="24"/>
                <w:szCs w:val="24"/>
              </w:rPr>
            </w:pPr>
            <w:r>
              <w:rPr>
                <w:rFonts w:ascii="Times New Roman" w:hAnsi="Times New Roman" w:cs="Times New Roman"/>
                <w:b/>
                <w:bCs/>
                <w:sz w:val="24"/>
                <w:szCs w:val="24"/>
              </w:rPr>
              <w:t>Y</w:t>
            </w:r>
            <w:r w:rsidR="001D5B69" w:rsidRPr="00184F35">
              <w:rPr>
                <w:rFonts w:ascii="Times New Roman" w:hAnsi="Times New Roman" w:cs="Times New Roman"/>
                <w:b/>
                <w:bCs/>
                <w:sz w:val="24"/>
                <w:szCs w:val="24"/>
              </w:rPr>
              <w:t xml:space="preserve">east protein* </w:t>
            </w:r>
          </w:p>
        </w:tc>
        <w:tc>
          <w:tcPr>
            <w:tcW w:w="2394" w:type="dxa"/>
          </w:tcPr>
          <w:p w14:paraId="5A56532A" w14:textId="77777777" w:rsidR="001D5B69" w:rsidRPr="00184F35" w:rsidRDefault="001D5B69" w:rsidP="00184F35">
            <w:pPr>
              <w:autoSpaceDE w:val="0"/>
              <w:autoSpaceDN w:val="0"/>
              <w:adjustRightInd w:val="0"/>
              <w:spacing w:line="360" w:lineRule="auto"/>
              <w:rPr>
                <w:rFonts w:ascii="Times New Roman" w:hAnsi="Times New Roman" w:cs="Times New Roman"/>
                <w:i/>
                <w:iCs/>
                <w:sz w:val="24"/>
                <w:szCs w:val="24"/>
              </w:rPr>
            </w:pPr>
            <w:r w:rsidRPr="00184F35">
              <w:rPr>
                <w:rFonts w:ascii="Times New Roman" w:hAnsi="Times New Roman" w:cs="Times New Roman"/>
                <w:b/>
                <w:bCs/>
                <w:sz w:val="24"/>
                <w:szCs w:val="24"/>
              </w:rPr>
              <w:t>Mammalian protein*</w:t>
            </w:r>
          </w:p>
        </w:tc>
        <w:tc>
          <w:tcPr>
            <w:tcW w:w="3240" w:type="dxa"/>
          </w:tcPr>
          <w:p w14:paraId="3CC15DC8"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b/>
                <w:bCs/>
                <w:sz w:val="24"/>
                <w:szCs w:val="24"/>
              </w:rPr>
              <w:t xml:space="preserve">Function </w:t>
            </w:r>
          </w:p>
        </w:tc>
      </w:tr>
      <w:tr w:rsidR="001D5B69" w:rsidRPr="00184F35" w14:paraId="785C2FF0" w14:textId="77777777" w:rsidTr="00184F35">
        <w:tc>
          <w:tcPr>
            <w:tcW w:w="8028" w:type="dxa"/>
            <w:gridSpan w:val="3"/>
          </w:tcPr>
          <w:p w14:paraId="2B585FB3"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i/>
                <w:iCs/>
                <w:sz w:val="24"/>
                <w:szCs w:val="24"/>
              </w:rPr>
              <w:t>Core components of the fusion machinery</w:t>
            </w:r>
          </w:p>
        </w:tc>
      </w:tr>
      <w:tr w:rsidR="001D5B69" w:rsidRPr="00184F35" w14:paraId="2A80F634" w14:textId="77777777" w:rsidTr="00184F35">
        <w:tc>
          <w:tcPr>
            <w:tcW w:w="2394" w:type="dxa"/>
          </w:tcPr>
          <w:p w14:paraId="03A80932"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Fzo1 </w:t>
            </w:r>
          </w:p>
        </w:tc>
        <w:tc>
          <w:tcPr>
            <w:tcW w:w="2394" w:type="dxa"/>
          </w:tcPr>
          <w:p w14:paraId="60757224"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MFN1 and MFN2‡</w:t>
            </w:r>
          </w:p>
        </w:tc>
        <w:tc>
          <w:tcPr>
            <w:tcW w:w="3240" w:type="dxa"/>
          </w:tcPr>
          <w:p w14:paraId="14A8CB03" w14:textId="77777777" w:rsidR="001D5B69" w:rsidRPr="00184F35" w:rsidRDefault="001D5B69" w:rsidP="00184F35">
            <w:pPr>
              <w:autoSpaceDE w:val="0"/>
              <w:autoSpaceDN w:val="0"/>
              <w:adjustRightInd w:val="0"/>
              <w:spacing w:line="360" w:lineRule="auto"/>
              <w:rPr>
                <w:rFonts w:ascii="Times New Roman" w:hAnsi="Times New Roman" w:cs="Times New Roman"/>
                <w:i/>
                <w:iCs/>
                <w:sz w:val="24"/>
                <w:szCs w:val="24"/>
              </w:rPr>
            </w:pPr>
            <w:r w:rsidRPr="00184F35">
              <w:rPr>
                <w:rFonts w:ascii="Times New Roman" w:hAnsi="Times New Roman" w:cs="Times New Roman"/>
                <w:sz w:val="24"/>
                <w:szCs w:val="24"/>
              </w:rPr>
              <w:t xml:space="preserve">Outer membrane fusion </w:t>
            </w:r>
          </w:p>
        </w:tc>
      </w:tr>
      <w:tr w:rsidR="001D5B69" w:rsidRPr="00184F35" w14:paraId="0207D4FF" w14:textId="77777777" w:rsidTr="00184F35">
        <w:tc>
          <w:tcPr>
            <w:tcW w:w="2394" w:type="dxa"/>
          </w:tcPr>
          <w:p w14:paraId="3071E0A3"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Mgm1</w:t>
            </w:r>
          </w:p>
        </w:tc>
        <w:tc>
          <w:tcPr>
            <w:tcW w:w="2394" w:type="dxa"/>
          </w:tcPr>
          <w:p w14:paraId="1BC3AC74"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OPA1</w:t>
            </w:r>
          </w:p>
        </w:tc>
        <w:tc>
          <w:tcPr>
            <w:tcW w:w="3240" w:type="dxa"/>
          </w:tcPr>
          <w:p w14:paraId="3CBB8C72"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Inner membrane fusion</w:t>
            </w:r>
          </w:p>
        </w:tc>
      </w:tr>
      <w:tr w:rsidR="001D5B69" w:rsidRPr="00184F35" w14:paraId="6D38028A" w14:textId="77777777" w:rsidTr="00184F35">
        <w:tc>
          <w:tcPr>
            <w:tcW w:w="2394" w:type="dxa"/>
          </w:tcPr>
          <w:p w14:paraId="0182FD7A"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Ugo1 </w:t>
            </w:r>
          </w:p>
        </w:tc>
        <w:tc>
          <w:tcPr>
            <w:tcW w:w="2394" w:type="dxa"/>
          </w:tcPr>
          <w:p w14:paraId="1942E5B3"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Unknown</w:t>
            </w:r>
          </w:p>
        </w:tc>
        <w:tc>
          <w:tcPr>
            <w:tcW w:w="3240" w:type="dxa"/>
          </w:tcPr>
          <w:p w14:paraId="3672CD3A"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Outer membrane fusion and linking of Fzo1 and Mgm1</w:t>
            </w:r>
          </w:p>
        </w:tc>
      </w:tr>
      <w:tr w:rsidR="001D5B69" w:rsidRPr="00184F35" w14:paraId="0D054F5B" w14:textId="77777777" w:rsidTr="00184F35">
        <w:tc>
          <w:tcPr>
            <w:tcW w:w="8028" w:type="dxa"/>
            <w:gridSpan w:val="3"/>
          </w:tcPr>
          <w:p w14:paraId="18C65DB3"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i/>
                <w:iCs/>
                <w:sz w:val="24"/>
                <w:szCs w:val="24"/>
              </w:rPr>
              <w:t>Core components of the fission machinery</w:t>
            </w:r>
          </w:p>
        </w:tc>
      </w:tr>
      <w:tr w:rsidR="001D5B69" w:rsidRPr="00184F35" w14:paraId="20056F6E" w14:textId="77777777" w:rsidTr="00184F35">
        <w:tc>
          <w:tcPr>
            <w:tcW w:w="2394" w:type="dxa"/>
          </w:tcPr>
          <w:p w14:paraId="1FC219CC"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Dnm1 </w:t>
            </w:r>
          </w:p>
        </w:tc>
        <w:tc>
          <w:tcPr>
            <w:tcW w:w="2394" w:type="dxa"/>
          </w:tcPr>
          <w:p w14:paraId="74646260"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DRP1 (DLP1)</w:t>
            </w:r>
          </w:p>
        </w:tc>
        <w:tc>
          <w:tcPr>
            <w:tcW w:w="3240" w:type="dxa"/>
          </w:tcPr>
          <w:p w14:paraId="4A1EF0B7"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Outer membrane division </w:t>
            </w:r>
          </w:p>
        </w:tc>
      </w:tr>
      <w:tr w:rsidR="001D5B69" w:rsidRPr="00184F35" w14:paraId="38D77FB2" w14:textId="77777777" w:rsidTr="00184F35">
        <w:tc>
          <w:tcPr>
            <w:tcW w:w="2394" w:type="dxa"/>
          </w:tcPr>
          <w:p w14:paraId="0B90855D"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Fis1 </w:t>
            </w:r>
          </w:p>
        </w:tc>
        <w:tc>
          <w:tcPr>
            <w:tcW w:w="2394" w:type="dxa"/>
          </w:tcPr>
          <w:p w14:paraId="4258EF51"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FIS1</w:t>
            </w:r>
          </w:p>
        </w:tc>
        <w:tc>
          <w:tcPr>
            <w:tcW w:w="3240" w:type="dxa"/>
          </w:tcPr>
          <w:p w14:paraId="68E1C88C"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Outer membrane receptor for </w:t>
            </w:r>
            <w:r w:rsidRPr="00184F35">
              <w:rPr>
                <w:rFonts w:ascii="Times New Roman" w:hAnsi="Times New Roman" w:cs="Times New Roman"/>
                <w:sz w:val="24"/>
                <w:szCs w:val="24"/>
              </w:rPr>
              <w:lastRenderedPageBreak/>
              <w:t>recruitment of Dnm1 or DRP1</w:t>
            </w:r>
          </w:p>
        </w:tc>
      </w:tr>
      <w:tr w:rsidR="001D5B69" w:rsidRPr="00184F35" w14:paraId="7C6EC897" w14:textId="77777777" w:rsidTr="00184F35">
        <w:tc>
          <w:tcPr>
            <w:tcW w:w="2394" w:type="dxa"/>
          </w:tcPr>
          <w:p w14:paraId="3E4AAB87"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lastRenderedPageBreak/>
              <w:t>Mdv1 and Caf4</w:t>
            </w:r>
          </w:p>
        </w:tc>
        <w:tc>
          <w:tcPr>
            <w:tcW w:w="2394" w:type="dxa"/>
          </w:tcPr>
          <w:p w14:paraId="51A3280B"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Unknown</w:t>
            </w:r>
          </w:p>
        </w:tc>
        <w:tc>
          <w:tcPr>
            <w:tcW w:w="3240" w:type="dxa"/>
          </w:tcPr>
          <w:p w14:paraId="7B440B34"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Adaptor for Dnm1 binding to Fis1 and nucleator for Dnm1 oligomerization</w:t>
            </w:r>
          </w:p>
        </w:tc>
      </w:tr>
      <w:tr w:rsidR="001D5B69" w:rsidRPr="00184F35" w14:paraId="4618DB28" w14:textId="77777777" w:rsidTr="00184F35">
        <w:tc>
          <w:tcPr>
            <w:tcW w:w="2394" w:type="dxa"/>
          </w:tcPr>
          <w:p w14:paraId="41124F0D"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Unknown</w:t>
            </w:r>
          </w:p>
        </w:tc>
        <w:tc>
          <w:tcPr>
            <w:tcW w:w="2394" w:type="dxa"/>
          </w:tcPr>
          <w:p w14:paraId="766F8BD9"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MFF</w:t>
            </w:r>
          </w:p>
        </w:tc>
        <w:tc>
          <w:tcPr>
            <w:tcW w:w="3240" w:type="dxa"/>
          </w:tcPr>
          <w:p w14:paraId="3054F3C7"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Putative alternative DRP1 recruitment factor </w:t>
            </w:r>
          </w:p>
        </w:tc>
      </w:tr>
      <w:tr w:rsidR="00A76141" w:rsidRPr="00184F35" w14:paraId="03452F90" w14:textId="77777777" w:rsidTr="00253CA3">
        <w:tc>
          <w:tcPr>
            <w:tcW w:w="8028" w:type="dxa"/>
            <w:gridSpan w:val="3"/>
          </w:tcPr>
          <w:p w14:paraId="429C5A68" w14:textId="77777777" w:rsidR="00A76141" w:rsidRPr="00184F35" w:rsidRDefault="00A76141" w:rsidP="00184F35">
            <w:pPr>
              <w:autoSpaceDE w:val="0"/>
              <w:autoSpaceDN w:val="0"/>
              <w:adjustRightInd w:val="0"/>
              <w:spacing w:line="360" w:lineRule="auto"/>
              <w:rPr>
                <w:rFonts w:ascii="Times New Roman" w:hAnsi="Times New Roman" w:cs="Times New Roman"/>
                <w:sz w:val="24"/>
                <w:szCs w:val="24"/>
              </w:rPr>
            </w:pPr>
            <w:r w:rsidRPr="0023228B">
              <w:rPr>
                <w:rFonts w:ascii="Times New Roman" w:hAnsi="Times New Roman" w:cs="Times New Roman"/>
                <w:i/>
                <w:iCs/>
              </w:rPr>
              <w:t>Accessory components of fusion and fission</w:t>
            </w:r>
          </w:p>
        </w:tc>
      </w:tr>
      <w:tr w:rsidR="001D5B69" w:rsidRPr="00184F35" w14:paraId="3ADC723C" w14:textId="77777777" w:rsidTr="00184F35">
        <w:tc>
          <w:tcPr>
            <w:tcW w:w="2394" w:type="dxa"/>
          </w:tcPr>
          <w:p w14:paraId="103E4A62"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Pcp1 (Rbd1 and</w:t>
            </w:r>
          </w:p>
          <w:p w14:paraId="40B84561" w14:textId="77777777" w:rsidR="001D5B69" w:rsidRPr="00184F35" w:rsidRDefault="001D5B69" w:rsidP="00184F35">
            <w:pPr>
              <w:autoSpaceDE w:val="0"/>
              <w:autoSpaceDN w:val="0"/>
              <w:adjustRightInd w:val="0"/>
              <w:spacing w:line="360" w:lineRule="auto"/>
              <w:rPr>
                <w:rFonts w:ascii="Times New Roman" w:hAnsi="Times New Roman" w:cs="Times New Roman"/>
                <w:i/>
                <w:iCs/>
                <w:sz w:val="24"/>
                <w:szCs w:val="24"/>
              </w:rPr>
            </w:pPr>
            <w:r w:rsidRPr="00184F35">
              <w:rPr>
                <w:rFonts w:ascii="Times New Roman" w:hAnsi="Times New Roman" w:cs="Times New Roman"/>
                <w:sz w:val="24"/>
                <w:szCs w:val="24"/>
              </w:rPr>
              <w:t>Mdm37)</w:t>
            </w:r>
          </w:p>
        </w:tc>
        <w:tc>
          <w:tcPr>
            <w:tcW w:w="2394" w:type="dxa"/>
          </w:tcPr>
          <w:p w14:paraId="784A786C"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PARL</w:t>
            </w:r>
          </w:p>
        </w:tc>
        <w:tc>
          <w:tcPr>
            <w:tcW w:w="3240" w:type="dxa"/>
          </w:tcPr>
          <w:p w14:paraId="5BFAAD6F"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Processing of Mgm1 or OPA1 </w:t>
            </w:r>
          </w:p>
        </w:tc>
      </w:tr>
      <w:tr w:rsidR="001D5B69" w:rsidRPr="00184F35" w14:paraId="0A802729" w14:textId="77777777" w:rsidTr="00184F35">
        <w:tc>
          <w:tcPr>
            <w:tcW w:w="2394" w:type="dxa"/>
          </w:tcPr>
          <w:p w14:paraId="36174BC1"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Unknown </w:t>
            </w:r>
          </w:p>
        </w:tc>
        <w:tc>
          <w:tcPr>
            <w:tcW w:w="2394" w:type="dxa"/>
          </w:tcPr>
          <w:p w14:paraId="36C1EA6E"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Intermembrane space and matrix </w:t>
            </w:r>
          </w:p>
        </w:tc>
        <w:tc>
          <w:tcPr>
            <w:tcW w:w="3240" w:type="dxa"/>
          </w:tcPr>
          <w:p w14:paraId="484B4418" w14:textId="77777777" w:rsidR="001D5B69" w:rsidRPr="00184F35" w:rsidRDefault="001D5B69" w:rsidP="00184F35">
            <w:pPr>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AAA proteases Processing of OPA1 </w:t>
            </w:r>
          </w:p>
        </w:tc>
      </w:tr>
      <w:tr w:rsidR="001D5B69" w:rsidRPr="00184F35" w14:paraId="78E0ED43" w14:textId="77777777" w:rsidTr="00184F35">
        <w:tc>
          <w:tcPr>
            <w:tcW w:w="2394" w:type="dxa"/>
          </w:tcPr>
          <w:p w14:paraId="716B0C95"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Unknown </w:t>
            </w:r>
          </w:p>
        </w:tc>
        <w:tc>
          <w:tcPr>
            <w:tcW w:w="2394" w:type="dxa"/>
          </w:tcPr>
          <w:p w14:paraId="32CEB547"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OMA1</w:t>
            </w:r>
          </w:p>
        </w:tc>
        <w:tc>
          <w:tcPr>
            <w:tcW w:w="3240" w:type="dxa"/>
          </w:tcPr>
          <w:p w14:paraId="3F0D3617" w14:textId="77777777" w:rsidR="001D5B69" w:rsidRPr="00184F35" w:rsidRDefault="001D5B69" w:rsidP="00184F35">
            <w:pPr>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Processing of OPA1 </w:t>
            </w:r>
          </w:p>
        </w:tc>
      </w:tr>
      <w:tr w:rsidR="001D5B69" w:rsidRPr="00184F35" w14:paraId="5B768789" w14:textId="77777777" w:rsidTr="00184F35">
        <w:tc>
          <w:tcPr>
            <w:tcW w:w="2394" w:type="dxa"/>
          </w:tcPr>
          <w:p w14:paraId="67FB2C88"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Num1</w:t>
            </w:r>
          </w:p>
        </w:tc>
        <w:tc>
          <w:tcPr>
            <w:tcW w:w="2394" w:type="dxa"/>
          </w:tcPr>
          <w:p w14:paraId="29E84DBA"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Unknown</w:t>
            </w:r>
          </w:p>
        </w:tc>
        <w:tc>
          <w:tcPr>
            <w:tcW w:w="3240" w:type="dxa"/>
          </w:tcPr>
          <w:p w14:paraId="4FFA96C3" w14:textId="77777777" w:rsidR="001D5B69" w:rsidRPr="00184F35" w:rsidRDefault="001D5B69" w:rsidP="00184F35">
            <w:pPr>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Cell cortex anchor with Dnm1 </w:t>
            </w:r>
          </w:p>
        </w:tc>
      </w:tr>
      <w:tr w:rsidR="00A76141" w:rsidRPr="00184F35" w14:paraId="790024D4" w14:textId="77777777" w:rsidTr="00253CA3">
        <w:tc>
          <w:tcPr>
            <w:tcW w:w="8028" w:type="dxa"/>
            <w:gridSpan w:val="3"/>
          </w:tcPr>
          <w:p w14:paraId="6D3A84A8" w14:textId="77777777" w:rsidR="00A76141" w:rsidRPr="00184F35" w:rsidRDefault="00A76141" w:rsidP="00184F35">
            <w:pPr>
              <w:spacing w:line="360" w:lineRule="auto"/>
              <w:rPr>
                <w:rFonts w:ascii="Times New Roman" w:hAnsi="Times New Roman" w:cs="Times New Roman"/>
                <w:sz w:val="24"/>
                <w:szCs w:val="24"/>
              </w:rPr>
            </w:pPr>
            <w:r w:rsidRPr="0023228B">
              <w:rPr>
                <w:rFonts w:ascii="Times New Roman" w:hAnsi="Times New Roman" w:cs="Times New Roman"/>
                <w:i/>
                <w:iCs/>
              </w:rPr>
              <w:t>Regulatory components of fusion and fission</w:t>
            </w:r>
          </w:p>
        </w:tc>
      </w:tr>
      <w:tr w:rsidR="001D5B69" w:rsidRPr="00184F35" w14:paraId="0C09B07E" w14:textId="77777777" w:rsidTr="00184F35">
        <w:tc>
          <w:tcPr>
            <w:tcW w:w="2394" w:type="dxa"/>
          </w:tcPr>
          <w:p w14:paraId="1591C657"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Mdm30 </w:t>
            </w:r>
          </w:p>
        </w:tc>
        <w:tc>
          <w:tcPr>
            <w:tcW w:w="2394" w:type="dxa"/>
          </w:tcPr>
          <w:p w14:paraId="1472ABAF"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Unknown</w:t>
            </w:r>
          </w:p>
        </w:tc>
        <w:tc>
          <w:tcPr>
            <w:tcW w:w="3240" w:type="dxa"/>
          </w:tcPr>
          <w:p w14:paraId="0E311545" w14:textId="77777777" w:rsidR="001D5B69" w:rsidRPr="00184F35" w:rsidRDefault="001D5B69" w:rsidP="00184F35">
            <w:pPr>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Ubiquitin ligase for Fzo1 </w:t>
            </w:r>
          </w:p>
        </w:tc>
      </w:tr>
      <w:tr w:rsidR="001D5B69" w:rsidRPr="00184F35" w14:paraId="4C98AE67" w14:textId="77777777" w:rsidTr="00184F35">
        <w:tc>
          <w:tcPr>
            <w:tcW w:w="2394" w:type="dxa"/>
          </w:tcPr>
          <w:p w14:paraId="6AC47CA1"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Unknown </w:t>
            </w:r>
          </w:p>
        </w:tc>
        <w:tc>
          <w:tcPr>
            <w:tcW w:w="2394" w:type="dxa"/>
          </w:tcPr>
          <w:p w14:paraId="0EEE28CC" w14:textId="77777777" w:rsidR="001D5B69" w:rsidRPr="00184F35" w:rsidRDefault="001D5B69" w:rsidP="00184F35">
            <w:pPr>
              <w:autoSpaceDE w:val="0"/>
              <w:autoSpaceDN w:val="0"/>
              <w:adjustRightInd w:val="0"/>
              <w:spacing w:line="360" w:lineRule="auto"/>
              <w:rPr>
                <w:rFonts w:ascii="Times New Roman" w:hAnsi="Times New Roman" w:cs="Times New Roman"/>
                <w:i/>
                <w:iCs/>
                <w:sz w:val="24"/>
                <w:szCs w:val="24"/>
              </w:rPr>
            </w:pPr>
            <w:r w:rsidRPr="00184F35">
              <w:rPr>
                <w:rFonts w:ascii="Times New Roman" w:hAnsi="Times New Roman" w:cs="Times New Roman"/>
                <w:sz w:val="24"/>
                <w:szCs w:val="24"/>
              </w:rPr>
              <w:t>MAPL</w:t>
            </w:r>
          </w:p>
        </w:tc>
        <w:tc>
          <w:tcPr>
            <w:tcW w:w="3240" w:type="dxa"/>
          </w:tcPr>
          <w:p w14:paraId="619FDAC5"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SUMO ligase for DRP1 </w:t>
            </w:r>
          </w:p>
        </w:tc>
      </w:tr>
      <w:tr w:rsidR="001D5B69" w:rsidRPr="00184F35" w14:paraId="31897068" w14:textId="77777777" w:rsidTr="00184F35">
        <w:tc>
          <w:tcPr>
            <w:tcW w:w="2394" w:type="dxa"/>
          </w:tcPr>
          <w:p w14:paraId="18678268"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Unknown </w:t>
            </w:r>
          </w:p>
        </w:tc>
        <w:tc>
          <w:tcPr>
            <w:tcW w:w="2394" w:type="dxa"/>
          </w:tcPr>
          <w:p w14:paraId="56029337"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CDK1–cyclin B</w:t>
            </w:r>
          </w:p>
        </w:tc>
        <w:tc>
          <w:tcPr>
            <w:tcW w:w="3240" w:type="dxa"/>
          </w:tcPr>
          <w:p w14:paraId="3BD6911A"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Cell cycle-dependent phosphorylation of DRP1 </w:t>
            </w:r>
          </w:p>
        </w:tc>
      </w:tr>
      <w:tr w:rsidR="001D5B69" w:rsidRPr="00184F35" w14:paraId="4E456617" w14:textId="77777777" w:rsidTr="00184F35">
        <w:tc>
          <w:tcPr>
            <w:tcW w:w="2394" w:type="dxa"/>
          </w:tcPr>
          <w:p w14:paraId="00AA1715"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Unknown </w:t>
            </w:r>
          </w:p>
        </w:tc>
        <w:tc>
          <w:tcPr>
            <w:tcW w:w="2394" w:type="dxa"/>
          </w:tcPr>
          <w:p w14:paraId="1844372E"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PKA</w:t>
            </w:r>
          </w:p>
        </w:tc>
        <w:tc>
          <w:tcPr>
            <w:tcW w:w="3240" w:type="dxa"/>
          </w:tcPr>
          <w:p w14:paraId="0C059C2F"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cAMP-dependent phosphorylation of DRP1 </w:t>
            </w:r>
          </w:p>
        </w:tc>
      </w:tr>
      <w:tr w:rsidR="001D5B69" w:rsidRPr="00184F35" w14:paraId="71C02D4C" w14:textId="77777777" w:rsidTr="00184F35">
        <w:tc>
          <w:tcPr>
            <w:tcW w:w="2394" w:type="dxa"/>
          </w:tcPr>
          <w:p w14:paraId="576A6C97" w14:textId="77777777" w:rsidR="001D5B69" w:rsidRPr="00184F35" w:rsidRDefault="001D5B69" w:rsidP="00184F35">
            <w:pPr>
              <w:autoSpaceDE w:val="0"/>
              <w:autoSpaceDN w:val="0"/>
              <w:adjustRightInd w:val="0"/>
              <w:spacing w:line="360" w:lineRule="auto"/>
              <w:rPr>
                <w:rFonts w:ascii="Times New Roman" w:hAnsi="Times New Roman" w:cs="Times New Roman"/>
                <w:i/>
                <w:iCs/>
                <w:sz w:val="24"/>
                <w:szCs w:val="24"/>
              </w:rPr>
            </w:pPr>
            <w:r w:rsidRPr="00184F35">
              <w:rPr>
                <w:rFonts w:ascii="Times New Roman" w:hAnsi="Times New Roman" w:cs="Times New Roman"/>
                <w:sz w:val="24"/>
                <w:szCs w:val="24"/>
              </w:rPr>
              <w:t xml:space="preserve">Unknown </w:t>
            </w:r>
          </w:p>
        </w:tc>
        <w:tc>
          <w:tcPr>
            <w:tcW w:w="2394" w:type="dxa"/>
          </w:tcPr>
          <w:p w14:paraId="28D4B220"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CaMKIα</w:t>
            </w:r>
          </w:p>
        </w:tc>
        <w:tc>
          <w:tcPr>
            <w:tcW w:w="3240" w:type="dxa"/>
          </w:tcPr>
          <w:p w14:paraId="02C2443B"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Calcium-dependent phosphorylation of DRP1 </w:t>
            </w:r>
          </w:p>
        </w:tc>
      </w:tr>
    </w:tbl>
    <w:p w14:paraId="7496C0B5" w14:textId="77777777" w:rsidR="001D5B69" w:rsidRPr="00184F35" w:rsidRDefault="001D5B69" w:rsidP="001D5B69">
      <w:pPr>
        <w:rPr>
          <w:rFonts w:ascii="Times New Roman" w:hAnsi="Times New Roman" w:cs="Times New Roman"/>
          <w:sz w:val="24"/>
          <w:szCs w:val="24"/>
        </w:rPr>
      </w:pPr>
    </w:p>
    <w:p w14:paraId="566BD983" w14:textId="77777777" w:rsidR="001D5B69" w:rsidRPr="00184F35" w:rsidRDefault="001D5B69" w:rsidP="001D5B69">
      <w:pPr>
        <w:rPr>
          <w:rFonts w:ascii="Times New Roman" w:hAnsi="Times New Roman" w:cs="Times New Roman"/>
          <w:sz w:val="24"/>
          <w:szCs w:val="24"/>
        </w:rPr>
      </w:pPr>
    </w:p>
    <w:p w14:paraId="028456E0" w14:textId="77777777" w:rsidR="001D5B69" w:rsidRPr="00184F35" w:rsidRDefault="001D5B69" w:rsidP="001D5B69">
      <w:pPr>
        <w:rPr>
          <w:rFonts w:ascii="Times New Roman" w:hAnsi="Times New Roman" w:cs="Times New Roman"/>
          <w:sz w:val="24"/>
          <w:szCs w:val="24"/>
        </w:rPr>
      </w:pPr>
    </w:p>
    <w:p w14:paraId="2A059283" w14:textId="77777777" w:rsidR="001D5B69" w:rsidRPr="00184F35" w:rsidRDefault="001D5B69" w:rsidP="001D5B69">
      <w:pPr>
        <w:rPr>
          <w:rFonts w:ascii="Times New Roman" w:hAnsi="Times New Roman" w:cs="Times New Roman"/>
          <w:sz w:val="24"/>
          <w:szCs w:val="24"/>
        </w:rPr>
      </w:pPr>
    </w:p>
    <w:p w14:paraId="32D27BD7" w14:textId="77777777" w:rsidR="001D5B69" w:rsidRPr="00184F35" w:rsidRDefault="001D5B69" w:rsidP="001D5B69">
      <w:pPr>
        <w:rPr>
          <w:rFonts w:ascii="Times New Roman" w:hAnsi="Times New Roman" w:cs="Times New Roman"/>
          <w:sz w:val="24"/>
          <w:szCs w:val="24"/>
        </w:rPr>
      </w:pPr>
    </w:p>
    <w:p w14:paraId="4FE5C630" w14:textId="77777777" w:rsidR="001D5B69" w:rsidRPr="00184F35" w:rsidRDefault="001D5B69" w:rsidP="001D5B69">
      <w:pPr>
        <w:rPr>
          <w:rFonts w:ascii="Times New Roman" w:hAnsi="Times New Roman" w:cs="Times New Roman"/>
          <w:sz w:val="24"/>
          <w:szCs w:val="24"/>
        </w:rPr>
      </w:pPr>
    </w:p>
    <w:p w14:paraId="3CF10C89" w14:textId="77777777" w:rsidR="001D5B69" w:rsidRPr="00184F35" w:rsidRDefault="001D5B69" w:rsidP="001D5B69">
      <w:pPr>
        <w:rPr>
          <w:rFonts w:ascii="Times New Roman" w:hAnsi="Times New Roman" w:cs="Times New Roman"/>
          <w:sz w:val="24"/>
          <w:szCs w:val="24"/>
        </w:rPr>
      </w:pPr>
    </w:p>
    <w:p w14:paraId="067AA93B" w14:textId="77777777" w:rsidR="001D5B69" w:rsidRPr="00184F35" w:rsidRDefault="001D5B69" w:rsidP="001D5B69">
      <w:pPr>
        <w:rPr>
          <w:rFonts w:ascii="Times New Roman" w:hAnsi="Times New Roman" w:cs="Times New Roman"/>
          <w:sz w:val="24"/>
          <w:szCs w:val="24"/>
        </w:rPr>
      </w:pPr>
    </w:p>
    <w:p w14:paraId="2ABAFE86" w14:textId="77777777" w:rsidR="001D5B69" w:rsidRPr="00184F35" w:rsidRDefault="001D5B69" w:rsidP="001D5B69">
      <w:pPr>
        <w:rPr>
          <w:rFonts w:ascii="Times New Roman" w:hAnsi="Times New Roman" w:cs="Times New Roman"/>
          <w:sz w:val="24"/>
          <w:szCs w:val="24"/>
        </w:rPr>
      </w:pPr>
    </w:p>
    <w:p w14:paraId="62C31619" w14:textId="77777777" w:rsidR="001D5B69" w:rsidRPr="00184F35" w:rsidRDefault="001D5B69" w:rsidP="001D5B69">
      <w:pPr>
        <w:rPr>
          <w:rFonts w:ascii="Times New Roman" w:hAnsi="Times New Roman" w:cs="Times New Roman"/>
          <w:sz w:val="24"/>
          <w:szCs w:val="24"/>
        </w:rPr>
      </w:pPr>
    </w:p>
    <w:p w14:paraId="7133987E" w14:textId="77777777" w:rsidR="001D5B69" w:rsidRPr="00184F35" w:rsidRDefault="001D5B69" w:rsidP="001D5B69">
      <w:pPr>
        <w:rPr>
          <w:rFonts w:ascii="Times New Roman" w:hAnsi="Times New Roman" w:cs="Times New Roman"/>
          <w:sz w:val="24"/>
          <w:szCs w:val="24"/>
        </w:rPr>
      </w:pPr>
    </w:p>
    <w:p w14:paraId="636E0AB0" w14:textId="77777777" w:rsidR="001D5B69" w:rsidRPr="00184F35" w:rsidRDefault="001D5B69" w:rsidP="001D5B69">
      <w:pPr>
        <w:rPr>
          <w:rFonts w:ascii="Times New Roman" w:hAnsi="Times New Roman" w:cs="Times New Roman"/>
          <w:sz w:val="24"/>
          <w:szCs w:val="24"/>
        </w:rPr>
      </w:pPr>
    </w:p>
    <w:p w14:paraId="0F9CF7F4" w14:textId="77777777" w:rsidR="001D5B69" w:rsidRPr="00184F35" w:rsidRDefault="001D5B69" w:rsidP="001D5B69">
      <w:pPr>
        <w:rPr>
          <w:rFonts w:ascii="Times New Roman" w:hAnsi="Times New Roman" w:cs="Times New Roman"/>
          <w:sz w:val="24"/>
          <w:szCs w:val="24"/>
        </w:rPr>
      </w:pPr>
    </w:p>
    <w:p w14:paraId="13E10257" w14:textId="77777777" w:rsidR="001D5B69" w:rsidRPr="00184F35" w:rsidRDefault="001D5B69" w:rsidP="001D5B69">
      <w:pPr>
        <w:rPr>
          <w:rFonts w:ascii="Times New Roman" w:hAnsi="Times New Roman" w:cs="Times New Roman"/>
          <w:sz w:val="24"/>
          <w:szCs w:val="24"/>
        </w:rPr>
      </w:pPr>
    </w:p>
    <w:p w14:paraId="3A238E03" w14:textId="77777777" w:rsidR="001D5B69" w:rsidRPr="00184F35" w:rsidRDefault="001D5B69" w:rsidP="001D5B69">
      <w:pPr>
        <w:spacing w:line="360" w:lineRule="auto"/>
        <w:jc w:val="both"/>
        <w:rPr>
          <w:rFonts w:ascii="Times New Roman" w:hAnsi="Times New Roman" w:cs="Times New Roman"/>
          <w:sz w:val="24"/>
          <w:szCs w:val="24"/>
        </w:rPr>
      </w:pPr>
      <w:r w:rsidRPr="00184F35">
        <w:rPr>
          <w:rFonts w:ascii="Times New Roman" w:hAnsi="Times New Roman" w:cs="Times New Roman"/>
          <w:noProof/>
          <w:sz w:val="24"/>
          <w:szCs w:val="24"/>
        </w:rPr>
        <w:drawing>
          <wp:inline distT="0" distB="0" distL="0" distR="0" wp14:anchorId="29710EA0" wp14:editId="714AC638">
            <wp:extent cx="6115050" cy="4800600"/>
            <wp:effectExtent l="19050" t="19050" r="1905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GIF"/>
                    <pic:cNvPicPr/>
                  </pic:nvPicPr>
                  <pic:blipFill>
                    <a:blip r:embed="rId12">
                      <a:extLst>
                        <a:ext uri="{28A0092B-C50C-407E-A947-70E740481C1C}">
                          <a14:useLocalDpi xmlns:a14="http://schemas.microsoft.com/office/drawing/2010/main" val="0"/>
                        </a:ext>
                      </a:extLst>
                    </a:blip>
                    <a:stretch>
                      <a:fillRect/>
                    </a:stretch>
                  </pic:blipFill>
                  <pic:spPr>
                    <a:xfrm>
                      <a:off x="0" y="0"/>
                      <a:ext cx="6115050" cy="4800600"/>
                    </a:xfrm>
                    <a:prstGeom prst="rect">
                      <a:avLst/>
                    </a:prstGeom>
                    <a:ln>
                      <a:solidFill>
                        <a:schemeClr val="accent1"/>
                      </a:solidFill>
                    </a:ln>
                  </pic:spPr>
                </pic:pic>
              </a:graphicData>
            </a:graphic>
          </wp:inline>
        </w:drawing>
      </w:r>
    </w:p>
    <w:p w14:paraId="010BCABB" w14:textId="77777777" w:rsidR="001D5B69" w:rsidRPr="00184F35" w:rsidRDefault="001D5B69" w:rsidP="001D5B69">
      <w:pPr>
        <w:spacing w:line="360" w:lineRule="auto"/>
        <w:jc w:val="both"/>
        <w:rPr>
          <w:rFonts w:ascii="Times New Roman" w:hAnsi="Times New Roman" w:cs="Times New Roman"/>
          <w:sz w:val="24"/>
          <w:szCs w:val="24"/>
        </w:rPr>
      </w:pPr>
    </w:p>
    <w:p w14:paraId="3C6D1FE8" w14:textId="77777777" w:rsidR="001D5B69" w:rsidRPr="00184F35" w:rsidRDefault="001D5B69" w:rsidP="001D5B69">
      <w:pPr>
        <w:spacing w:line="360" w:lineRule="auto"/>
        <w:jc w:val="both"/>
        <w:rPr>
          <w:rFonts w:ascii="Times New Roman" w:hAnsi="Times New Roman" w:cs="Times New Roman"/>
          <w:sz w:val="24"/>
          <w:szCs w:val="24"/>
        </w:rPr>
      </w:pPr>
    </w:p>
    <w:p w14:paraId="416DD50F" w14:textId="77777777" w:rsidR="001D5B69" w:rsidRPr="00184F35" w:rsidRDefault="001D5B69" w:rsidP="001D5B69">
      <w:pPr>
        <w:spacing w:line="360" w:lineRule="auto"/>
        <w:jc w:val="both"/>
        <w:rPr>
          <w:rFonts w:ascii="Times New Roman" w:hAnsi="Times New Roman" w:cs="Times New Roman"/>
          <w:sz w:val="24"/>
          <w:szCs w:val="24"/>
        </w:rPr>
      </w:pPr>
    </w:p>
    <w:p w14:paraId="2D937438" w14:textId="77777777" w:rsidR="001D5B69" w:rsidRPr="00184F35" w:rsidRDefault="001D5B69" w:rsidP="001D5B69">
      <w:pPr>
        <w:spacing w:line="360" w:lineRule="auto"/>
        <w:jc w:val="both"/>
        <w:rPr>
          <w:rFonts w:ascii="Times New Roman" w:hAnsi="Times New Roman" w:cs="Times New Roman"/>
          <w:sz w:val="24"/>
          <w:szCs w:val="24"/>
        </w:rPr>
      </w:pPr>
    </w:p>
    <w:p w14:paraId="0CDE6509" w14:textId="77777777" w:rsidR="001D5B69" w:rsidRPr="00184F35" w:rsidRDefault="001D5B69" w:rsidP="001D5B69">
      <w:pPr>
        <w:spacing w:line="360" w:lineRule="auto"/>
        <w:jc w:val="both"/>
        <w:rPr>
          <w:rFonts w:ascii="Times New Roman" w:hAnsi="Times New Roman" w:cs="Times New Roman"/>
          <w:sz w:val="24"/>
          <w:szCs w:val="24"/>
        </w:rPr>
      </w:pPr>
      <w:r w:rsidRPr="00184F35">
        <w:rPr>
          <w:rFonts w:ascii="Times New Roman" w:hAnsi="Times New Roman" w:cs="Times New Roman"/>
          <w:noProof/>
          <w:sz w:val="24"/>
          <w:szCs w:val="24"/>
        </w:rPr>
        <w:drawing>
          <wp:inline distT="0" distB="0" distL="0" distR="0" wp14:anchorId="5CA35817" wp14:editId="01774D0A">
            <wp:extent cx="6115050" cy="5705475"/>
            <wp:effectExtent l="19050" t="19050" r="1905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GIF"/>
                    <pic:cNvPicPr/>
                  </pic:nvPicPr>
                  <pic:blipFill>
                    <a:blip r:embed="rId13">
                      <a:extLst>
                        <a:ext uri="{28A0092B-C50C-407E-A947-70E740481C1C}">
                          <a14:useLocalDpi xmlns:a14="http://schemas.microsoft.com/office/drawing/2010/main" val="0"/>
                        </a:ext>
                      </a:extLst>
                    </a:blip>
                    <a:stretch>
                      <a:fillRect/>
                    </a:stretch>
                  </pic:blipFill>
                  <pic:spPr>
                    <a:xfrm>
                      <a:off x="0" y="0"/>
                      <a:ext cx="6115050" cy="5705475"/>
                    </a:xfrm>
                    <a:prstGeom prst="rect">
                      <a:avLst/>
                    </a:prstGeom>
                    <a:ln>
                      <a:solidFill>
                        <a:schemeClr val="accent1"/>
                      </a:solidFill>
                    </a:ln>
                  </pic:spPr>
                </pic:pic>
              </a:graphicData>
            </a:graphic>
          </wp:inline>
        </w:drawing>
      </w:r>
    </w:p>
    <w:p w14:paraId="4AD6B1D5" w14:textId="77777777" w:rsidR="001D5B69" w:rsidRPr="00184F35" w:rsidRDefault="001D5B69" w:rsidP="00B9776B">
      <w:pPr>
        <w:pStyle w:val="NormalWeb"/>
        <w:spacing w:line="360" w:lineRule="auto"/>
        <w:jc w:val="both"/>
      </w:pPr>
    </w:p>
    <w:sectPr w:rsidR="001D5B69" w:rsidRPr="00184F3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FBB96" w14:textId="77777777" w:rsidR="00A01FEA" w:rsidRDefault="00A01FEA" w:rsidP="00A710F5">
      <w:pPr>
        <w:spacing w:after="0" w:line="240" w:lineRule="auto"/>
      </w:pPr>
      <w:r>
        <w:separator/>
      </w:r>
    </w:p>
  </w:endnote>
  <w:endnote w:type="continuationSeparator" w:id="0">
    <w:p w14:paraId="0FB2490C" w14:textId="77777777" w:rsidR="00A01FEA" w:rsidRDefault="00A01FEA" w:rsidP="00A71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C3C08" w14:textId="77777777" w:rsidR="00253CA3" w:rsidRDefault="00253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3498167"/>
      <w:docPartObj>
        <w:docPartGallery w:val="Page Numbers (Bottom of Page)"/>
        <w:docPartUnique/>
      </w:docPartObj>
    </w:sdtPr>
    <w:sdtEndPr>
      <w:rPr>
        <w:noProof/>
      </w:rPr>
    </w:sdtEndPr>
    <w:sdtContent>
      <w:p w14:paraId="5608D90B" w14:textId="31AEFC73" w:rsidR="00253CA3" w:rsidRDefault="00253CA3">
        <w:pPr>
          <w:pStyle w:val="Footer"/>
          <w:jc w:val="right"/>
        </w:pPr>
        <w:r>
          <w:fldChar w:fldCharType="begin"/>
        </w:r>
        <w:r>
          <w:instrText xml:space="preserve"> PAGE   \* MERGEFORMAT </w:instrText>
        </w:r>
        <w:r>
          <w:fldChar w:fldCharType="separate"/>
        </w:r>
        <w:r w:rsidR="007F75B4">
          <w:rPr>
            <w:noProof/>
          </w:rPr>
          <w:t>40</w:t>
        </w:r>
        <w:r>
          <w:rPr>
            <w:noProof/>
          </w:rPr>
          <w:fldChar w:fldCharType="end"/>
        </w:r>
      </w:p>
    </w:sdtContent>
  </w:sdt>
  <w:p w14:paraId="2C7B6ADE" w14:textId="77777777" w:rsidR="00253CA3" w:rsidRDefault="00253C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A6321" w14:textId="77777777" w:rsidR="00253CA3" w:rsidRDefault="00253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E8F9F" w14:textId="77777777" w:rsidR="00A01FEA" w:rsidRDefault="00A01FEA" w:rsidP="00A710F5">
      <w:pPr>
        <w:spacing w:after="0" w:line="240" w:lineRule="auto"/>
      </w:pPr>
      <w:r>
        <w:separator/>
      </w:r>
    </w:p>
  </w:footnote>
  <w:footnote w:type="continuationSeparator" w:id="0">
    <w:p w14:paraId="7151A634" w14:textId="77777777" w:rsidR="00A01FEA" w:rsidRDefault="00A01FEA" w:rsidP="00A71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A9B89" w14:textId="6D7450D6" w:rsidR="00253CA3" w:rsidRDefault="00A01FEA">
    <w:pPr>
      <w:pStyle w:val="Header"/>
    </w:pPr>
    <w:r>
      <w:rPr>
        <w:noProof/>
      </w:rPr>
      <w:pict w14:anchorId="42F288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4353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AD9CE" w14:textId="687842CD" w:rsidR="00253CA3" w:rsidRDefault="00A01FEA">
    <w:pPr>
      <w:pStyle w:val="Header"/>
    </w:pPr>
    <w:r>
      <w:rPr>
        <w:noProof/>
      </w:rPr>
      <w:pict w14:anchorId="4D8E55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4353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04541" w14:textId="736DBAC0" w:rsidR="00253CA3" w:rsidRDefault="00A01FEA">
    <w:pPr>
      <w:pStyle w:val="Header"/>
    </w:pPr>
    <w:r>
      <w:rPr>
        <w:noProof/>
      </w:rPr>
      <w:pict w14:anchorId="16CA8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4353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FB36A7"/>
    <w:multiLevelType w:val="hybridMultilevel"/>
    <w:tmpl w:val="8A7643CC"/>
    <w:lvl w:ilvl="0" w:tplc="4009000F">
      <w:start w:val="1"/>
      <w:numFmt w:val="decimal"/>
      <w:lvlText w:val="%1."/>
      <w:lvlJc w:val="left"/>
      <w:pPr>
        <w:ind w:left="643"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s-US" w:vendorID="64" w:dllVersion="131078" w:nlCheck="1" w:checkStyle="0"/>
  <w:activeWritingStyle w:appName="MSWord" w:lang="en-US" w:vendorID="64" w:dllVersion="131078" w:nlCheck="1" w:checkStyle="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YzMzc3NbM0NTQzMDdV0lEKTi0uzszPAykwrAUA1noaqSwAAAA="/>
  </w:docVars>
  <w:rsids>
    <w:rsidRoot w:val="007B003C"/>
    <w:rsid w:val="000113A0"/>
    <w:rsid w:val="00133AA4"/>
    <w:rsid w:val="00170E10"/>
    <w:rsid w:val="001829B7"/>
    <w:rsid w:val="00184F35"/>
    <w:rsid w:val="001D5B69"/>
    <w:rsid w:val="00253CA3"/>
    <w:rsid w:val="00272E84"/>
    <w:rsid w:val="00276933"/>
    <w:rsid w:val="002B7F8A"/>
    <w:rsid w:val="0035756C"/>
    <w:rsid w:val="004E57A7"/>
    <w:rsid w:val="00506251"/>
    <w:rsid w:val="00566893"/>
    <w:rsid w:val="005756F2"/>
    <w:rsid w:val="00593346"/>
    <w:rsid w:val="005D2F98"/>
    <w:rsid w:val="0064130F"/>
    <w:rsid w:val="006D1F84"/>
    <w:rsid w:val="007B003C"/>
    <w:rsid w:val="007F75B4"/>
    <w:rsid w:val="008165FD"/>
    <w:rsid w:val="00831D97"/>
    <w:rsid w:val="008360A1"/>
    <w:rsid w:val="00862785"/>
    <w:rsid w:val="008F4EA2"/>
    <w:rsid w:val="008F540E"/>
    <w:rsid w:val="00901079"/>
    <w:rsid w:val="00925F3F"/>
    <w:rsid w:val="00985D79"/>
    <w:rsid w:val="009A2DB9"/>
    <w:rsid w:val="009A6EC3"/>
    <w:rsid w:val="00A01FEA"/>
    <w:rsid w:val="00A046F6"/>
    <w:rsid w:val="00A710F5"/>
    <w:rsid w:val="00A7397B"/>
    <w:rsid w:val="00A76141"/>
    <w:rsid w:val="00A9318A"/>
    <w:rsid w:val="00B64156"/>
    <w:rsid w:val="00B9776B"/>
    <w:rsid w:val="00BC192E"/>
    <w:rsid w:val="00BC5620"/>
    <w:rsid w:val="00BC6CC0"/>
    <w:rsid w:val="00BD007A"/>
    <w:rsid w:val="00C01CF9"/>
    <w:rsid w:val="00C16F20"/>
    <w:rsid w:val="00C349CF"/>
    <w:rsid w:val="00C6271E"/>
    <w:rsid w:val="00C81883"/>
    <w:rsid w:val="00C970EF"/>
    <w:rsid w:val="00CC52B7"/>
    <w:rsid w:val="00CD037D"/>
    <w:rsid w:val="00D136BF"/>
    <w:rsid w:val="00D81317"/>
    <w:rsid w:val="00D91D3F"/>
    <w:rsid w:val="00DC069B"/>
    <w:rsid w:val="00DE6F38"/>
    <w:rsid w:val="00E407C5"/>
    <w:rsid w:val="00EF3E71"/>
    <w:rsid w:val="00F26D8B"/>
    <w:rsid w:val="00F55592"/>
    <w:rsid w:val="00F56B13"/>
    <w:rsid w:val="00FB2EE4"/>
    <w:rsid w:val="00FB5A6F"/>
    <w:rsid w:val="00FF2962"/>
    <w:rsid w:val="00FF6F8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7223038"/>
  <w15:docId w15:val="{29516321-6B71-4115-8A55-A75B455D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56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007A"/>
    <w:rPr>
      <w:b/>
      <w:bCs/>
    </w:rPr>
  </w:style>
  <w:style w:type="paragraph" w:styleId="Header">
    <w:name w:val="header"/>
    <w:basedOn w:val="Normal"/>
    <w:link w:val="HeaderChar"/>
    <w:uiPriority w:val="99"/>
    <w:unhideWhenUsed/>
    <w:rsid w:val="00A710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0F5"/>
  </w:style>
  <w:style w:type="paragraph" w:styleId="Footer">
    <w:name w:val="footer"/>
    <w:basedOn w:val="Normal"/>
    <w:link w:val="FooterChar"/>
    <w:uiPriority w:val="99"/>
    <w:unhideWhenUsed/>
    <w:rsid w:val="00A710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0F5"/>
  </w:style>
  <w:style w:type="paragraph" w:styleId="BalloonText">
    <w:name w:val="Balloon Text"/>
    <w:basedOn w:val="Normal"/>
    <w:link w:val="BalloonTextChar"/>
    <w:uiPriority w:val="99"/>
    <w:semiHidden/>
    <w:unhideWhenUsed/>
    <w:rsid w:val="00A71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0F5"/>
    <w:rPr>
      <w:rFonts w:ascii="Tahoma" w:hAnsi="Tahoma" w:cs="Tahoma"/>
      <w:sz w:val="16"/>
      <w:szCs w:val="16"/>
    </w:rPr>
  </w:style>
  <w:style w:type="character" w:styleId="HTMLCite">
    <w:name w:val="HTML Cite"/>
    <w:basedOn w:val="DefaultParagraphFont"/>
    <w:uiPriority w:val="99"/>
    <w:semiHidden/>
    <w:unhideWhenUsed/>
    <w:rsid w:val="001D5B69"/>
    <w:rPr>
      <w:i/>
      <w:iCs/>
    </w:rPr>
  </w:style>
  <w:style w:type="table" w:styleId="TableGrid">
    <w:name w:val="Table Grid"/>
    <w:basedOn w:val="TableNormal"/>
    <w:uiPriority w:val="59"/>
    <w:rsid w:val="001D5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5B69"/>
    <w:rPr>
      <w:color w:val="0000FF" w:themeColor="hyperlink"/>
      <w:u w:val="single"/>
    </w:rPr>
  </w:style>
  <w:style w:type="paragraph" w:styleId="ListParagraph">
    <w:name w:val="List Paragraph"/>
    <w:basedOn w:val="Normal"/>
    <w:uiPriority w:val="34"/>
    <w:qFormat/>
    <w:rsid w:val="001D5B69"/>
    <w:pPr>
      <w:ind w:left="720"/>
      <w:contextualSpacing/>
    </w:pPr>
  </w:style>
  <w:style w:type="character" w:customStyle="1" w:styleId="a-size-base">
    <w:name w:val="a-size-base"/>
    <w:basedOn w:val="DefaultParagraphFont"/>
    <w:rsid w:val="001D5B69"/>
  </w:style>
  <w:style w:type="character" w:customStyle="1" w:styleId="UnresolvedMention">
    <w:name w:val="Unresolved Mention"/>
    <w:basedOn w:val="DefaultParagraphFont"/>
    <w:uiPriority w:val="99"/>
    <w:semiHidden/>
    <w:unhideWhenUsed/>
    <w:rsid w:val="00C81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6082">
      <w:bodyDiv w:val="1"/>
      <w:marLeft w:val="0"/>
      <w:marRight w:val="0"/>
      <w:marTop w:val="0"/>
      <w:marBottom w:val="0"/>
      <w:divBdr>
        <w:top w:val="none" w:sz="0" w:space="0" w:color="auto"/>
        <w:left w:val="none" w:sz="0" w:space="0" w:color="auto"/>
        <w:bottom w:val="none" w:sz="0" w:space="0" w:color="auto"/>
        <w:right w:val="none" w:sz="0" w:space="0" w:color="auto"/>
      </w:divBdr>
    </w:div>
    <w:div w:id="105851940">
      <w:bodyDiv w:val="1"/>
      <w:marLeft w:val="0"/>
      <w:marRight w:val="0"/>
      <w:marTop w:val="0"/>
      <w:marBottom w:val="0"/>
      <w:divBdr>
        <w:top w:val="none" w:sz="0" w:space="0" w:color="auto"/>
        <w:left w:val="none" w:sz="0" w:space="0" w:color="auto"/>
        <w:bottom w:val="none" w:sz="0" w:space="0" w:color="auto"/>
        <w:right w:val="none" w:sz="0" w:space="0" w:color="auto"/>
      </w:divBdr>
    </w:div>
    <w:div w:id="178395446">
      <w:bodyDiv w:val="1"/>
      <w:marLeft w:val="0"/>
      <w:marRight w:val="0"/>
      <w:marTop w:val="0"/>
      <w:marBottom w:val="0"/>
      <w:divBdr>
        <w:top w:val="none" w:sz="0" w:space="0" w:color="auto"/>
        <w:left w:val="none" w:sz="0" w:space="0" w:color="auto"/>
        <w:bottom w:val="none" w:sz="0" w:space="0" w:color="auto"/>
        <w:right w:val="none" w:sz="0" w:space="0" w:color="auto"/>
      </w:divBdr>
    </w:div>
    <w:div w:id="269896201">
      <w:bodyDiv w:val="1"/>
      <w:marLeft w:val="0"/>
      <w:marRight w:val="0"/>
      <w:marTop w:val="0"/>
      <w:marBottom w:val="0"/>
      <w:divBdr>
        <w:top w:val="none" w:sz="0" w:space="0" w:color="auto"/>
        <w:left w:val="none" w:sz="0" w:space="0" w:color="auto"/>
        <w:bottom w:val="none" w:sz="0" w:space="0" w:color="auto"/>
        <w:right w:val="none" w:sz="0" w:space="0" w:color="auto"/>
      </w:divBdr>
    </w:div>
    <w:div w:id="284896263">
      <w:bodyDiv w:val="1"/>
      <w:marLeft w:val="0"/>
      <w:marRight w:val="0"/>
      <w:marTop w:val="0"/>
      <w:marBottom w:val="0"/>
      <w:divBdr>
        <w:top w:val="none" w:sz="0" w:space="0" w:color="auto"/>
        <w:left w:val="none" w:sz="0" w:space="0" w:color="auto"/>
        <w:bottom w:val="none" w:sz="0" w:space="0" w:color="auto"/>
        <w:right w:val="none" w:sz="0" w:space="0" w:color="auto"/>
      </w:divBdr>
    </w:div>
    <w:div w:id="340275688">
      <w:bodyDiv w:val="1"/>
      <w:marLeft w:val="0"/>
      <w:marRight w:val="0"/>
      <w:marTop w:val="0"/>
      <w:marBottom w:val="0"/>
      <w:divBdr>
        <w:top w:val="none" w:sz="0" w:space="0" w:color="auto"/>
        <w:left w:val="none" w:sz="0" w:space="0" w:color="auto"/>
        <w:bottom w:val="none" w:sz="0" w:space="0" w:color="auto"/>
        <w:right w:val="none" w:sz="0" w:space="0" w:color="auto"/>
      </w:divBdr>
    </w:div>
    <w:div w:id="369451899">
      <w:bodyDiv w:val="1"/>
      <w:marLeft w:val="0"/>
      <w:marRight w:val="0"/>
      <w:marTop w:val="0"/>
      <w:marBottom w:val="0"/>
      <w:divBdr>
        <w:top w:val="none" w:sz="0" w:space="0" w:color="auto"/>
        <w:left w:val="none" w:sz="0" w:space="0" w:color="auto"/>
        <w:bottom w:val="none" w:sz="0" w:space="0" w:color="auto"/>
        <w:right w:val="none" w:sz="0" w:space="0" w:color="auto"/>
      </w:divBdr>
    </w:div>
    <w:div w:id="472061899">
      <w:bodyDiv w:val="1"/>
      <w:marLeft w:val="0"/>
      <w:marRight w:val="0"/>
      <w:marTop w:val="0"/>
      <w:marBottom w:val="0"/>
      <w:divBdr>
        <w:top w:val="none" w:sz="0" w:space="0" w:color="auto"/>
        <w:left w:val="none" w:sz="0" w:space="0" w:color="auto"/>
        <w:bottom w:val="none" w:sz="0" w:space="0" w:color="auto"/>
        <w:right w:val="none" w:sz="0" w:space="0" w:color="auto"/>
      </w:divBdr>
    </w:div>
    <w:div w:id="526717932">
      <w:bodyDiv w:val="1"/>
      <w:marLeft w:val="0"/>
      <w:marRight w:val="0"/>
      <w:marTop w:val="0"/>
      <w:marBottom w:val="0"/>
      <w:divBdr>
        <w:top w:val="none" w:sz="0" w:space="0" w:color="auto"/>
        <w:left w:val="none" w:sz="0" w:space="0" w:color="auto"/>
        <w:bottom w:val="none" w:sz="0" w:space="0" w:color="auto"/>
        <w:right w:val="none" w:sz="0" w:space="0" w:color="auto"/>
      </w:divBdr>
    </w:div>
    <w:div w:id="555776676">
      <w:bodyDiv w:val="1"/>
      <w:marLeft w:val="0"/>
      <w:marRight w:val="0"/>
      <w:marTop w:val="0"/>
      <w:marBottom w:val="0"/>
      <w:divBdr>
        <w:top w:val="none" w:sz="0" w:space="0" w:color="auto"/>
        <w:left w:val="none" w:sz="0" w:space="0" w:color="auto"/>
        <w:bottom w:val="none" w:sz="0" w:space="0" w:color="auto"/>
        <w:right w:val="none" w:sz="0" w:space="0" w:color="auto"/>
      </w:divBdr>
    </w:div>
    <w:div w:id="562716183">
      <w:bodyDiv w:val="1"/>
      <w:marLeft w:val="0"/>
      <w:marRight w:val="0"/>
      <w:marTop w:val="0"/>
      <w:marBottom w:val="0"/>
      <w:divBdr>
        <w:top w:val="none" w:sz="0" w:space="0" w:color="auto"/>
        <w:left w:val="none" w:sz="0" w:space="0" w:color="auto"/>
        <w:bottom w:val="none" w:sz="0" w:space="0" w:color="auto"/>
        <w:right w:val="none" w:sz="0" w:space="0" w:color="auto"/>
      </w:divBdr>
    </w:div>
    <w:div w:id="569267525">
      <w:bodyDiv w:val="1"/>
      <w:marLeft w:val="0"/>
      <w:marRight w:val="0"/>
      <w:marTop w:val="0"/>
      <w:marBottom w:val="0"/>
      <w:divBdr>
        <w:top w:val="none" w:sz="0" w:space="0" w:color="auto"/>
        <w:left w:val="none" w:sz="0" w:space="0" w:color="auto"/>
        <w:bottom w:val="none" w:sz="0" w:space="0" w:color="auto"/>
        <w:right w:val="none" w:sz="0" w:space="0" w:color="auto"/>
      </w:divBdr>
    </w:div>
    <w:div w:id="608974363">
      <w:bodyDiv w:val="1"/>
      <w:marLeft w:val="0"/>
      <w:marRight w:val="0"/>
      <w:marTop w:val="0"/>
      <w:marBottom w:val="0"/>
      <w:divBdr>
        <w:top w:val="none" w:sz="0" w:space="0" w:color="auto"/>
        <w:left w:val="none" w:sz="0" w:space="0" w:color="auto"/>
        <w:bottom w:val="none" w:sz="0" w:space="0" w:color="auto"/>
        <w:right w:val="none" w:sz="0" w:space="0" w:color="auto"/>
      </w:divBdr>
    </w:div>
    <w:div w:id="612250963">
      <w:bodyDiv w:val="1"/>
      <w:marLeft w:val="0"/>
      <w:marRight w:val="0"/>
      <w:marTop w:val="0"/>
      <w:marBottom w:val="0"/>
      <w:divBdr>
        <w:top w:val="none" w:sz="0" w:space="0" w:color="auto"/>
        <w:left w:val="none" w:sz="0" w:space="0" w:color="auto"/>
        <w:bottom w:val="none" w:sz="0" w:space="0" w:color="auto"/>
        <w:right w:val="none" w:sz="0" w:space="0" w:color="auto"/>
      </w:divBdr>
    </w:div>
    <w:div w:id="659500091">
      <w:bodyDiv w:val="1"/>
      <w:marLeft w:val="0"/>
      <w:marRight w:val="0"/>
      <w:marTop w:val="0"/>
      <w:marBottom w:val="0"/>
      <w:divBdr>
        <w:top w:val="none" w:sz="0" w:space="0" w:color="auto"/>
        <w:left w:val="none" w:sz="0" w:space="0" w:color="auto"/>
        <w:bottom w:val="none" w:sz="0" w:space="0" w:color="auto"/>
        <w:right w:val="none" w:sz="0" w:space="0" w:color="auto"/>
      </w:divBdr>
    </w:div>
    <w:div w:id="756367685">
      <w:bodyDiv w:val="1"/>
      <w:marLeft w:val="0"/>
      <w:marRight w:val="0"/>
      <w:marTop w:val="0"/>
      <w:marBottom w:val="0"/>
      <w:divBdr>
        <w:top w:val="none" w:sz="0" w:space="0" w:color="auto"/>
        <w:left w:val="none" w:sz="0" w:space="0" w:color="auto"/>
        <w:bottom w:val="none" w:sz="0" w:space="0" w:color="auto"/>
        <w:right w:val="none" w:sz="0" w:space="0" w:color="auto"/>
      </w:divBdr>
    </w:div>
    <w:div w:id="757748687">
      <w:bodyDiv w:val="1"/>
      <w:marLeft w:val="0"/>
      <w:marRight w:val="0"/>
      <w:marTop w:val="0"/>
      <w:marBottom w:val="0"/>
      <w:divBdr>
        <w:top w:val="none" w:sz="0" w:space="0" w:color="auto"/>
        <w:left w:val="none" w:sz="0" w:space="0" w:color="auto"/>
        <w:bottom w:val="none" w:sz="0" w:space="0" w:color="auto"/>
        <w:right w:val="none" w:sz="0" w:space="0" w:color="auto"/>
      </w:divBdr>
    </w:div>
    <w:div w:id="763305669">
      <w:bodyDiv w:val="1"/>
      <w:marLeft w:val="0"/>
      <w:marRight w:val="0"/>
      <w:marTop w:val="0"/>
      <w:marBottom w:val="0"/>
      <w:divBdr>
        <w:top w:val="none" w:sz="0" w:space="0" w:color="auto"/>
        <w:left w:val="none" w:sz="0" w:space="0" w:color="auto"/>
        <w:bottom w:val="none" w:sz="0" w:space="0" w:color="auto"/>
        <w:right w:val="none" w:sz="0" w:space="0" w:color="auto"/>
      </w:divBdr>
    </w:div>
    <w:div w:id="806552330">
      <w:bodyDiv w:val="1"/>
      <w:marLeft w:val="0"/>
      <w:marRight w:val="0"/>
      <w:marTop w:val="0"/>
      <w:marBottom w:val="0"/>
      <w:divBdr>
        <w:top w:val="none" w:sz="0" w:space="0" w:color="auto"/>
        <w:left w:val="none" w:sz="0" w:space="0" w:color="auto"/>
        <w:bottom w:val="none" w:sz="0" w:space="0" w:color="auto"/>
        <w:right w:val="none" w:sz="0" w:space="0" w:color="auto"/>
      </w:divBdr>
    </w:div>
    <w:div w:id="810899661">
      <w:bodyDiv w:val="1"/>
      <w:marLeft w:val="0"/>
      <w:marRight w:val="0"/>
      <w:marTop w:val="0"/>
      <w:marBottom w:val="0"/>
      <w:divBdr>
        <w:top w:val="none" w:sz="0" w:space="0" w:color="auto"/>
        <w:left w:val="none" w:sz="0" w:space="0" w:color="auto"/>
        <w:bottom w:val="none" w:sz="0" w:space="0" w:color="auto"/>
        <w:right w:val="none" w:sz="0" w:space="0" w:color="auto"/>
      </w:divBdr>
    </w:div>
    <w:div w:id="829752032">
      <w:bodyDiv w:val="1"/>
      <w:marLeft w:val="0"/>
      <w:marRight w:val="0"/>
      <w:marTop w:val="0"/>
      <w:marBottom w:val="0"/>
      <w:divBdr>
        <w:top w:val="none" w:sz="0" w:space="0" w:color="auto"/>
        <w:left w:val="none" w:sz="0" w:space="0" w:color="auto"/>
        <w:bottom w:val="none" w:sz="0" w:space="0" w:color="auto"/>
        <w:right w:val="none" w:sz="0" w:space="0" w:color="auto"/>
      </w:divBdr>
    </w:div>
    <w:div w:id="926232735">
      <w:bodyDiv w:val="1"/>
      <w:marLeft w:val="0"/>
      <w:marRight w:val="0"/>
      <w:marTop w:val="0"/>
      <w:marBottom w:val="0"/>
      <w:divBdr>
        <w:top w:val="none" w:sz="0" w:space="0" w:color="auto"/>
        <w:left w:val="none" w:sz="0" w:space="0" w:color="auto"/>
        <w:bottom w:val="none" w:sz="0" w:space="0" w:color="auto"/>
        <w:right w:val="none" w:sz="0" w:space="0" w:color="auto"/>
      </w:divBdr>
    </w:div>
    <w:div w:id="944651809">
      <w:bodyDiv w:val="1"/>
      <w:marLeft w:val="0"/>
      <w:marRight w:val="0"/>
      <w:marTop w:val="0"/>
      <w:marBottom w:val="0"/>
      <w:divBdr>
        <w:top w:val="none" w:sz="0" w:space="0" w:color="auto"/>
        <w:left w:val="none" w:sz="0" w:space="0" w:color="auto"/>
        <w:bottom w:val="none" w:sz="0" w:space="0" w:color="auto"/>
        <w:right w:val="none" w:sz="0" w:space="0" w:color="auto"/>
      </w:divBdr>
    </w:div>
    <w:div w:id="949358369">
      <w:bodyDiv w:val="1"/>
      <w:marLeft w:val="0"/>
      <w:marRight w:val="0"/>
      <w:marTop w:val="0"/>
      <w:marBottom w:val="0"/>
      <w:divBdr>
        <w:top w:val="none" w:sz="0" w:space="0" w:color="auto"/>
        <w:left w:val="none" w:sz="0" w:space="0" w:color="auto"/>
        <w:bottom w:val="none" w:sz="0" w:space="0" w:color="auto"/>
        <w:right w:val="none" w:sz="0" w:space="0" w:color="auto"/>
      </w:divBdr>
    </w:div>
    <w:div w:id="972443737">
      <w:bodyDiv w:val="1"/>
      <w:marLeft w:val="0"/>
      <w:marRight w:val="0"/>
      <w:marTop w:val="0"/>
      <w:marBottom w:val="0"/>
      <w:divBdr>
        <w:top w:val="none" w:sz="0" w:space="0" w:color="auto"/>
        <w:left w:val="none" w:sz="0" w:space="0" w:color="auto"/>
        <w:bottom w:val="none" w:sz="0" w:space="0" w:color="auto"/>
        <w:right w:val="none" w:sz="0" w:space="0" w:color="auto"/>
      </w:divBdr>
    </w:div>
    <w:div w:id="999621533">
      <w:bodyDiv w:val="1"/>
      <w:marLeft w:val="0"/>
      <w:marRight w:val="0"/>
      <w:marTop w:val="0"/>
      <w:marBottom w:val="0"/>
      <w:divBdr>
        <w:top w:val="none" w:sz="0" w:space="0" w:color="auto"/>
        <w:left w:val="none" w:sz="0" w:space="0" w:color="auto"/>
        <w:bottom w:val="none" w:sz="0" w:space="0" w:color="auto"/>
        <w:right w:val="none" w:sz="0" w:space="0" w:color="auto"/>
      </w:divBdr>
    </w:div>
    <w:div w:id="1019742849">
      <w:bodyDiv w:val="1"/>
      <w:marLeft w:val="0"/>
      <w:marRight w:val="0"/>
      <w:marTop w:val="0"/>
      <w:marBottom w:val="0"/>
      <w:divBdr>
        <w:top w:val="none" w:sz="0" w:space="0" w:color="auto"/>
        <w:left w:val="none" w:sz="0" w:space="0" w:color="auto"/>
        <w:bottom w:val="none" w:sz="0" w:space="0" w:color="auto"/>
        <w:right w:val="none" w:sz="0" w:space="0" w:color="auto"/>
      </w:divBdr>
    </w:div>
    <w:div w:id="1029188652">
      <w:bodyDiv w:val="1"/>
      <w:marLeft w:val="0"/>
      <w:marRight w:val="0"/>
      <w:marTop w:val="0"/>
      <w:marBottom w:val="0"/>
      <w:divBdr>
        <w:top w:val="none" w:sz="0" w:space="0" w:color="auto"/>
        <w:left w:val="none" w:sz="0" w:space="0" w:color="auto"/>
        <w:bottom w:val="none" w:sz="0" w:space="0" w:color="auto"/>
        <w:right w:val="none" w:sz="0" w:space="0" w:color="auto"/>
      </w:divBdr>
    </w:div>
    <w:div w:id="1038041839">
      <w:bodyDiv w:val="1"/>
      <w:marLeft w:val="0"/>
      <w:marRight w:val="0"/>
      <w:marTop w:val="0"/>
      <w:marBottom w:val="0"/>
      <w:divBdr>
        <w:top w:val="none" w:sz="0" w:space="0" w:color="auto"/>
        <w:left w:val="none" w:sz="0" w:space="0" w:color="auto"/>
        <w:bottom w:val="none" w:sz="0" w:space="0" w:color="auto"/>
        <w:right w:val="none" w:sz="0" w:space="0" w:color="auto"/>
      </w:divBdr>
    </w:div>
    <w:div w:id="1051928243">
      <w:bodyDiv w:val="1"/>
      <w:marLeft w:val="0"/>
      <w:marRight w:val="0"/>
      <w:marTop w:val="0"/>
      <w:marBottom w:val="0"/>
      <w:divBdr>
        <w:top w:val="none" w:sz="0" w:space="0" w:color="auto"/>
        <w:left w:val="none" w:sz="0" w:space="0" w:color="auto"/>
        <w:bottom w:val="none" w:sz="0" w:space="0" w:color="auto"/>
        <w:right w:val="none" w:sz="0" w:space="0" w:color="auto"/>
      </w:divBdr>
    </w:div>
    <w:div w:id="1080635997">
      <w:bodyDiv w:val="1"/>
      <w:marLeft w:val="0"/>
      <w:marRight w:val="0"/>
      <w:marTop w:val="0"/>
      <w:marBottom w:val="0"/>
      <w:divBdr>
        <w:top w:val="none" w:sz="0" w:space="0" w:color="auto"/>
        <w:left w:val="none" w:sz="0" w:space="0" w:color="auto"/>
        <w:bottom w:val="none" w:sz="0" w:space="0" w:color="auto"/>
        <w:right w:val="none" w:sz="0" w:space="0" w:color="auto"/>
      </w:divBdr>
    </w:div>
    <w:div w:id="1161311598">
      <w:bodyDiv w:val="1"/>
      <w:marLeft w:val="0"/>
      <w:marRight w:val="0"/>
      <w:marTop w:val="0"/>
      <w:marBottom w:val="0"/>
      <w:divBdr>
        <w:top w:val="none" w:sz="0" w:space="0" w:color="auto"/>
        <w:left w:val="none" w:sz="0" w:space="0" w:color="auto"/>
        <w:bottom w:val="none" w:sz="0" w:space="0" w:color="auto"/>
        <w:right w:val="none" w:sz="0" w:space="0" w:color="auto"/>
      </w:divBdr>
    </w:div>
    <w:div w:id="1183856217">
      <w:bodyDiv w:val="1"/>
      <w:marLeft w:val="0"/>
      <w:marRight w:val="0"/>
      <w:marTop w:val="0"/>
      <w:marBottom w:val="0"/>
      <w:divBdr>
        <w:top w:val="none" w:sz="0" w:space="0" w:color="auto"/>
        <w:left w:val="none" w:sz="0" w:space="0" w:color="auto"/>
        <w:bottom w:val="none" w:sz="0" w:space="0" w:color="auto"/>
        <w:right w:val="none" w:sz="0" w:space="0" w:color="auto"/>
      </w:divBdr>
    </w:div>
    <w:div w:id="1185946069">
      <w:bodyDiv w:val="1"/>
      <w:marLeft w:val="0"/>
      <w:marRight w:val="0"/>
      <w:marTop w:val="0"/>
      <w:marBottom w:val="0"/>
      <w:divBdr>
        <w:top w:val="none" w:sz="0" w:space="0" w:color="auto"/>
        <w:left w:val="none" w:sz="0" w:space="0" w:color="auto"/>
        <w:bottom w:val="none" w:sz="0" w:space="0" w:color="auto"/>
        <w:right w:val="none" w:sz="0" w:space="0" w:color="auto"/>
      </w:divBdr>
    </w:div>
    <w:div w:id="1189102802">
      <w:bodyDiv w:val="1"/>
      <w:marLeft w:val="0"/>
      <w:marRight w:val="0"/>
      <w:marTop w:val="0"/>
      <w:marBottom w:val="0"/>
      <w:divBdr>
        <w:top w:val="none" w:sz="0" w:space="0" w:color="auto"/>
        <w:left w:val="none" w:sz="0" w:space="0" w:color="auto"/>
        <w:bottom w:val="none" w:sz="0" w:space="0" w:color="auto"/>
        <w:right w:val="none" w:sz="0" w:space="0" w:color="auto"/>
      </w:divBdr>
    </w:div>
    <w:div w:id="1199708264">
      <w:bodyDiv w:val="1"/>
      <w:marLeft w:val="0"/>
      <w:marRight w:val="0"/>
      <w:marTop w:val="0"/>
      <w:marBottom w:val="0"/>
      <w:divBdr>
        <w:top w:val="none" w:sz="0" w:space="0" w:color="auto"/>
        <w:left w:val="none" w:sz="0" w:space="0" w:color="auto"/>
        <w:bottom w:val="none" w:sz="0" w:space="0" w:color="auto"/>
        <w:right w:val="none" w:sz="0" w:space="0" w:color="auto"/>
      </w:divBdr>
    </w:div>
    <w:div w:id="1212569480">
      <w:bodyDiv w:val="1"/>
      <w:marLeft w:val="0"/>
      <w:marRight w:val="0"/>
      <w:marTop w:val="0"/>
      <w:marBottom w:val="0"/>
      <w:divBdr>
        <w:top w:val="none" w:sz="0" w:space="0" w:color="auto"/>
        <w:left w:val="none" w:sz="0" w:space="0" w:color="auto"/>
        <w:bottom w:val="none" w:sz="0" w:space="0" w:color="auto"/>
        <w:right w:val="none" w:sz="0" w:space="0" w:color="auto"/>
      </w:divBdr>
    </w:div>
    <w:div w:id="1248732451">
      <w:bodyDiv w:val="1"/>
      <w:marLeft w:val="0"/>
      <w:marRight w:val="0"/>
      <w:marTop w:val="0"/>
      <w:marBottom w:val="0"/>
      <w:divBdr>
        <w:top w:val="none" w:sz="0" w:space="0" w:color="auto"/>
        <w:left w:val="none" w:sz="0" w:space="0" w:color="auto"/>
        <w:bottom w:val="none" w:sz="0" w:space="0" w:color="auto"/>
        <w:right w:val="none" w:sz="0" w:space="0" w:color="auto"/>
      </w:divBdr>
    </w:div>
    <w:div w:id="1330863764">
      <w:bodyDiv w:val="1"/>
      <w:marLeft w:val="0"/>
      <w:marRight w:val="0"/>
      <w:marTop w:val="0"/>
      <w:marBottom w:val="0"/>
      <w:divBdr>
        <w:top w:val="none" w:sz="0" w:space="0" w:color="auto"/>
        <w:left w:val="none" w:sz="0" w:space="0" w:color="auto"/>
        <w:bottom w:val="none" w:sz="0" w:space="0" w:color="auto"/>
        <w:right w:val="none" w:sz="0" w:space="0" w:color="auto"/>
      </w:divBdr>
    </w:div>
    <w:div w:id="1460151133">
      <w:bodyDiv w:val="1"/>
      <w:marLeft w:val="0"/>
      <w:marRight w:val="0"/>
      <w:marTop w:val="0"/>
      <w:marBottom w:val="0"/>
      <w:divBdr>
        <w:top w:val="none" w:sz="0" w:space="0" w:color="auto"/>
        <w:left w:val="none" w:sz="0" w:space="0" w:color="auto"/>
        <w:bottom w:val="none" w:sz="0" w:space="0" w:color="auto"/>
        <w:right w:val="none" w:sz="0" w:space="0" w:color="auto"/>
      </w:divBdr>
    </w:div>
    <w:div w:id="1506287284">
      <w:bodyDiv w:val="1"/>
      <w:marLeft w:val="0"/>
      <w:marRight w:val="0"/>
      <w:marTop w:val="0"/>
      <w:marBottom w:val="0"/>
      <w:divBdr>
        <w:top w:val="none" w:sz="0" w:space="0" w:color="auto"/>
        <w:left w:val="none" w:sz="0" w:space="0" w:color="auto"/>
        <w:bottom w:val="none" w:sz="0" w:space="0" w:color="auto"/>
        <w:right w:val="none" w:sz="0" w:space="0" w:color="auto"/>
      </w:divBdr>
    </w:div>
    <w:div w:id="1541938836">
      <w:bodyDiv w:val="1"/>
      <w:marLeft w:val="0"/>
      <w:marRight w:val="0"/>
      <w:marTop w:val="0"/>
      <w:marBottom w:val="0"/>
      <w:divBdr>
        <w:top w:val="none" w:sz="0" w:space="0" w:color="auto"/>
        <w:left w:val="none" w:sz="0" w:space="0" w:color="auto"/>
        <w:bottom w:val="none" w:sz="0" w:space="0" w:color="auto"/>
        <w:right w:val="none" w:sz="0" w:space="0" w:color="auto"/>
      </w:divBdr>
    </w:div>
    <w:div w:id="1556236480">
      <w:bodyDiv w:val="1"/>
      <w:marLeft w:val="0"/>
      <w:marRight w:val="0"/>
      <w:marTop w:val="0"/>
      <w:marBottom w:val="0"/>
      <w:divBdr>
        <w:top w:val="none" w:sz="0" w:space="0" w:color="auto"/>
        <w:left w:val="none" w:sz="0" w:space="0" w:color="auto"/>
        <w:bottom w:val="none" w:sz="0" w:space="0" w:color="auto"/>
        <w:right w:val="none" w:sz="0" w:space="0" w:color="auto"/>
      </w:divBdr>
    </w:div>
    <w:div w:id="1571384571">
      <w:bodyDiv w:val="1"/>
      <w:marLeft w:val="0"/>
      <w:marRight w:val="0"/>
      <w:marTop w:val="0"/>
      <w:marBottom w:val="0"/>
      <w:divBdr>
        <w:top w:val="none" w:sz="0" w:space="0" w:color="auto"/>
        <w:left w:val="none" w:sz="0" w:space="0" w:color="auto"/>
        <w:bottom w:val="none" w:sz="0" w:space="0" w:color="auto"/>
        <w:right w:val="none" w:sz="0" w:space="0" w:color="auto"/>
      </w:divBdr>
    </w:div>
    <w:div w:id="1575386536">
      <w:bodyDiv w:val="1"/>
      <w:marLeft w:val="0"/>
      <w:marRight w:val="0"/>
      <w:marTop w:val="0"/>
      <w:marBottom w:val="0"/>
      <w:divBdr>
        <w:top w:val="none" w:sz="0" w:space="0" w:color="auto"/>
        <w:left w:val="none" w:sz="0" w:space="0" w:color="auto"/>
        <w:bottom w:val="none" w:sz="0" w:space="0" w:color="auto"/>
        <w:right w:val="none" w:sz="0" w:space="0" w:color="auto"/>
      </w:divBdr>
    </w:div>
    <w:div w:id="1577321075">
      <w:bodyDiv w:val="1"/>
      <w:marLeft w:val="0"/>
      <w:marRight w:val="0"/>
      <w:marTop w:val="0"/>
      <w:marBottom w:val="0"/>
      <w:divBdr>
        <w:top w:val="none" w:sz="0" w:space="0" w:color="auto"/>
        <w:left w:val="none" w:sz="0" w:space="0" w:color="auto"/>
        <w:bottom w:val="none" w:sz="0" w:space="0" w:color="auto"/>
        <w:right w:val="none" w:sz="0" w:space="0" w:color="auto"/>
      </w:divBdr>
    </w:div>
    <w:div w:id="1654287830">
      <w:bodyDiv w:val="1"/>
      <w:marLeft w:val="0"/>
      <w:marRight w:val="0"/>
      <w:marTop w:val="0"/>
      <w:marBottom w:val="0"/>
      <w:divBdr>
        <w:top w:val="none" w:sz="0" w:space="0" w:color="auto"/>
        <w:left w:val="none" w:sz="0" w:space="0" w:color="auto"/>
        <w:bottom w:val="none" w:sz="0" w:space="0" w:color="auto"/>
        <w:right w:val="none" w:sz="0" w:space="0" w:color="auto"/>
      </w:divBdr>
    </w:div>
    <w:div w:id="1709375939">
      <w:bodyDiv w:val="1"/>
      <w:marLeft w:val="0"/>
      <w:marRight w:val="0"/>
      <w:marTop w:val="0"/>
      <w:marBottom w:val="0"/>
      <w:divBdr>
        <w:top w:val="none" w:sz="0" w:space="0" w:color="auto"/>
        <w:left w:val="none" w:sz="0" w:space="0" w:color="auto"/>
        <w:bottom w:val="none" w:sz="0" w:space="0" w:color="auto"/>
        <w:right w:val="none" w:sz="0" w:space="0" w:color="auto"/>
      </w:divBdr>
    </w:div>
    <w:div w:id="1739745969">
      <w:bodyDiv w:val="1"/>
      <w:marLeft w:val="0"/>
      <w:marRight w:val="0"/>
      <w:marTop w:val="0"/>
      <w:marBottom w:val="0"/>
      <w:divBdr>
        <w:top w:val="none" w:sz="0" w:space="0" w:color="auto"/>
        <w:left w:val="none" w:sz="0" w:space="0" w:color="auto"/>
        <w:bottom w:val="none" w:sz="0" w:space="0" w:color="auto"/>
        <w:right w:val="none" w:sz="0" w:space="0" w:color="auto"/>
      </w:divBdr>
    </w:div>
    <w:div w:id="1812601694">
      <w:bodyDiv w:val="1"/>
      <w:marLeft w:val="0"/>
      <w:marRight w:val="0"/>
      <w:marTop w:val="0"/>
      <w:marBottom w:val="0"/>
      <w:divBdr>
        <w:top w:val="none" w:sz="0" w:space="0" w:color="auto"/>
        <w:left w:val="none" w:sz="0" w:space="0" w:color="auto"/>
        <w:bottom w:val="none" w:sz="0" w:space="0" w:color="auto"/>
        <w:right w:val="none" w:sz="0" w:space="0" w:color="auto"/>
      </w:divBdr>
    </w:div>
    <w:div w:id="1884756291">
      <w:bodyDiv w:val="1"/>
      <w:marLeft w:val="0"/>
      <w:marRight w:val="0"/>
      <w:marTop w:val="0"/>
      <w:marBottom w:val="0"/>
      <w:divBdr>
        <w:top w:val="none" w:sz="0" w:space="0" w:color="auto"/>
        <w:left w:val="none" w:sz="0" w:space="0" w:color="auto"/>
        <w:bottom w:val="none" w:sz="0" w:space="0" w:color="auto"/>
        <w:right w:val="none" w:sz="0" w:space="0" w:color="auto"/>
      </w:divBdr>
    </w:div>
    <w:div w:id="1940676128">
      <w:bodyDiv w:val="1"/>
      <w:marLeft w:val="0"/>
      <w:marRight w:val="0"/>
      <w:marTop w:val="0"/>
      <w:marBottom w:val="0"/>
      <w:divBdr>
        <w:top w:val="none" w:sz="0" w:space="0" w:color="auto"/>
        <w:left w:val="none" w:sz="0" w:space="0" w:color="auto"/>
        <w:bottom w:val="none" w:sz="0" w:space="0" w:color="auto"/>
        <w:right w:val="none" w:sz="0" w:space="0" w:color="auto"/>
      </w:divBdr>
    </w:div>
    <w:div w:id="1952129030">
      <w:bodyDiv w:val="1"/>
      <w:marLeft w:val="0"/>
      <w:marRight w:val="0"/>
      <w:marTop w:val="0"/>
      <w:marBottom w:val="0"/>
      <w:divBdr>
        <w:top w:val="none" w:sz="0" w:space="0" w:color="auto"/>
        <w:left w:val="none" w:sz="0" w:space="0" w:color="auto"/>
        <w:bottom w:val="none" w:sz="0" w:space="0" w:color="auto"/>
        <w:right w:val="none" w:sz="0" w:space="0" w:color="auto"/>
      </w:divBdr>
    </w:div>
    <w:div w:id="1957833267">
      <w:bodyDiv w:val="1"/>
      <w:marLeft w:val="0"/>
      <w:marRight w:val="0"/>
      <w:marTop w:val="0"/>
      <w:marBottom w:val="0"/>
      <w:divBdr>
        <w:top w:val="none" w:sz="0" w:space="0" w:color="auto"/>
        <w:left w:val="none" w:sz="0" w:space="0" w:color="auto"/>
        <w:bottom w:val="none" w:sz="0" w:space="0" w:color="auto"/>
        <w:right w:val="none" w:sz="0" w:space="0" w:color="auto"/>
      </w:divBdr>
    </w:div>
    <w:div w:id="2057503283">
      <w:bodyDiv w:val="1"/>
      <w:marLeft w:val="0"/>
      <w:marRight w:val="0"/>
      <w:marTop w:val="0"/>
      <w:marBottom w:val="0"/>
      <w:divBdr>
        <w:top w:val="none" w:sz="0" w:space="0" w:color="auto"/>
        <w:left w:val="none" w:sz="0" w:space="0" w:color="auto"/>
        <w:bottom w:val="none" w:sz="0" w:space="0" w:color="auto"/>
        <w:right w:val="none" w:sz="0" w:space="0" w:color="auto"/>
      </w:divBdr>
    </w:div>
    <w:div w:id="2114592153">
      <w:bodyDiv w:val="1"/>
      <w:marLeft w:val="0"/>
      <w:marRight w:val="0"/>
      <w:marTop w:val="0"/>
      <w:marBottom w:val="0"/>
      <w:divBdr>
        <w:top w:val="none" w:sz="0" w:space="0" w:color="auto"/>
        <w:left w:val="none" w:sz="0" w:space="0" w:color="auto"/>
        <w:bottom w:val="none" w:sz="0" w:space="0" w:color="auto"/>
        <w:right w:val="none" w:sz="0" w:space="0" w:color="auto"/>
      </w:divBdr>
    </w:div>
    <w:div w:id="2117672263">
      <w:bodyDiv w:val="1"/>
      <w:marLeft w:val="0"/>
      <w:marRight w:val="0"/>
      <w:marTop w:val="0"/>
      <w:marBottom w:val="0"/>
      <w:divBdr>
        <w:top w:val="none" w:sz="0" w:space="0" w:color="auto"/>
        <w:left w:val="none" w:sz="0" w:space="0" w:color="auto"/>
        <w:bottom w:val="none" w:sz="0" w:space="0" w:color="auto"/>
        <w:right w:val="none" w:sz="0" w:space="0" w:color="auto"/>
      </w:divBdr>
    </w:div>
    <w:div w:id="212187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cancers15041070" TargetMode="External"/><Relationship Id="rId13" Type="http://schemas.openxmlformats.org/officeDocument/2006/relationships/image" Target="media/image2.GIF"/><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3109/09687688.2014.987183" TargetMode="External"/><Relationship Id="rId12" Type="http://schemas.openxmlformats.org/officeDocument/2006/relationships/image" Target="media/image1.GI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cell.2021.66937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3390/ijms21113879"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3390/ijms2110346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40</Pages>
  <Words>12173</Words>
  <Characters>69392</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81403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CPU 1130</cp:lastModifiedBy>
  <cp:revision>22</cp:revision>
  <dcterms:created xsi:type="dcterms:W3CDTF">2025-05-26T09:57:00Z</dcterms:created>
  <dcterms:modified xsi:type="dcterms:W3CDTF">2025-06-13T05:28:00Z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a6fc6ef2-2daa-47f9-b7d9-c45e6d4b0c3f</vt:lpwstr>
  </property>
</Properties>
</file>