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E3AB1" w14:textId="77777777" w:rsidR="00E67CBD" w:rsidRDefault="00E67CBD" w:rsidP="0088125C">
      <w:pPr>
        <w:spacing w:line="256" w:lineRule="auto"/>
        <w:jc w:val="right"/>
        <w:rPr>
          <w:rFonts w:ascii="Arial" w:eastAsia="Calibri" w:hAnsi="Arial" w:cs="Arial"/>
          <w:b/>
          <w:sz w:val="36"/>
          <w:szCs w:val="20"/>
          <w:lang w:val="en-US"/>
        </w:rPr>
      </w:pPr>
      <w:r w:rsidRPr="0088125C">
        <w:rPr>
          <w:rFonts w:ascii="Arial" w:eastAsia="Calibri" w:hAnsi="Arial" w:cs="Arial"/>
          <w:noProof/>
          <w:sz w:val="36"/>
          <w:szCs w:val="20"/>
          <w:lang w:val="en-US"/>
        </w:rPr>
        <mc:AlternateContent>
          <mc:Choice Requires="wps">
            <w:drawing>
              <wp:anchor distT="0" distB="0" distL="114300" distR="114300" simplePos="0" relativeHeight="251671552" behindDoc="0" locked="0" layoutInCell="1" allowOverlap="1" wp14:anchorId="63B0D9E6" wp14:editId="12A43382">
                <wp:simplePos x="0" y="0"/>
                <wp:positionH relativeFrom="column">
                  <wp:posOffset>0</wp:posOffset>
                </wp:positionH>
                <wp:positionV relativeFrom="paragraph">
                  <wp:posOffset>0</wp:posOffset>
                </wp:positionV>
                <wp:extent cx="635000" cy="635000"/>
                <wp:effectExtent l="9525" t="9525" r="12700" b="12700"/>
                <wp:wrapNone/>
                <wp:docPr id="75"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939A39" id="_x0000_t202" coordsize="21600,21600" o:spt="202" path="m,l,21600r21600,l21600,xe">
                <v:stroke joinstyle="miter"/>
                <v:path gradientshapeok="t" o:connecttype="rect"/>
              </v:shapetype>
              <v:shape id="DeepLBoxSPIDType"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">
                <o:lock v:ext="edit" selection="t"/>
              </v:shape>
            </w:pict>
          </mc:Fallback>
        </mc:AlternateContent>
      </w:r>
      <w:r w:rsidRPr="0088125C">
        <w:rPr>
          <w:rFonts w:ascii="Arial" w:eastAsia="Calibri" w:hAnsi="Arial" w:cs="Arial"/>
          <w:b/>
          <w:sz w:val="36"/>
          <w:szCs w:val="20"/>
          <w:lang w:val="en-US"/>
        </w:rPr>
        <w:t xml:space="preserve">Taxonomic and biochemical analysis of enterobacteria </w:t>
      </w:r>
      <w:r w:rsidR="00AA10FD" w:rsidRPr="0088125C">
        <w:rPr>
          <w:rFonts w:ascii="Arial" w:eastAsia="Calibri" w:hAnsi="Arial" w:cs="Arial"/>
          <w:b/>
          <w:sz w:val="36"/>
          <w:szCs w:val="20"/>
          <w:lang w:val="en-US"/>
        </w:rPr>
        <w:t>strains isolated from</w:t>
      </w:r>
      <w:r w:rsidRPr="0088125C">
        <w:rPr>
          <w:rFonts w:ascii="Arial" w:eastAsia="Calibri" w:hAnsi="Arial" w:cs="Arial"/>
          <w:b/>
          <w:sz w:val="36"/>
          <w:szCs w:val="20"/>
          <w:lang w:val="en-US"/>
        </w:rPr>
        <w:t xml:space="preserve"> some vegetables in Niamey, Niger</w:t>
      </w:r>
    </w:p>
    <w:p w14:paraId="7437B4B1" w14:textId="77777777" w:rsidR="00EB57A5" w:rsidRPr="0088125C" w:rsidRDefault="00EB57A5" w:rsidP="0088125C">
      <w:pPr>
        <w:spacing w:line="256" w:lineRule="auto"/>
        <w:jc w:val="right"/>
        <w:rPr>
          <w:rFonts w:ascii="Arial" w:eastAsia="Calibri" w:hAnsi="Arial" w:cs="Arial"/>
          <w:sz w:val="36"/>
          <w:szCs w:val="20"/>
          <w:lang w:val="en-US"/>
        </w:rPr>
      </w:pPr>
    </w:p>
    <w:p w14:paraId="4FE7910F" w14:textId="77777777" w:rsidR="00E63309" w:rsidRDefault="00E63309" w:rsidP="00E67CBD">
      <w:pPr>
        <w:spacing w:line="360" w:lineRule="auto"/>
        <w:jc w:val="both"/>
        <w:rPr>
          <w:rFonts w:ascii="Arial" w:eastAsia="Calibri" w:hAnsi="Arial" w:cs="Arial"/>
          <w:b/>
          <w:sz w:val="20"/>
          <w:szCs w:val="20"/>
          <w:lang w:val="en-US"/>
        </w:rPr>
      </w:pPr>
    </w:p>
    <w:p w14:paraId="4C63365D" w14:textId="1289EA20" w:rsidR="00E67CBD" w:rsidRPr="0088125C" w:rsidRDefault="008C689A" w:rsidP="00E67CBD">
      <w:pPr>
        <w:spacing w:line="360" w:lineRule="auto"/>
        <w:jc w:val="both"/>
        <w:rPr>
          <w:rFonts w:ascii="Arial" w:eastAsia="Calibri" w:hAnsi="Arial" w:cs="Arial"/>
          <w:b/>
          <w:sz w:val="20"/>
          <w:szCs w:val="20"/>
          <w:lang w:val="en-US"/>
        </w:rPr>
      </w:pPr>
      <w:commentRangeStart w:id="0"/>
      <w:r w:rsidRPr="0088125C">
        <w:rPr>
          <w:rFonts w:ascii="Arial" w:eastAsia="Calibri" w:hAnsi="Arial" w:cs="Arial"/>
          <w:b/>
          <w:sz w:val="20"/>
          <w:szCs w:val="20"/>
          <w:lang w:val="en-US"/>
        </w:rPr>
        <w:t>Abstract</w:t>
      </w:r>
      <w:commentRangeEnd w:id="0"/>
      <w:r w:rsidR="00F85C60">
        <w:rPr>
          <w:rStyle w:val="CommentReference"/>
        </w:rPr>
        <w:commentReference w:id="0"/>
      </w:r>
      <w:r w:rsidRPr="0088125C">
        <w:rPr>
          <w:rFonts w:ascii="Arial" w:eastAsia="Calibri" w:hAnsi="Arial" w:cs="Arial"/>
          <w:b/>
          <w:sz w:val="20"/>
          <w:szCs w:val="20"/>
          <w:lang w:val="en-US"/>
        </w:rPr>
        <w:t>:</w:t>
      </w:r>
    </w:p>
    <w:p w14:paraId="15296019" w14:textId="77777777" w:rsidR="00E67CBD" w:rsidRPr="0088125C" w:rsidRDefault="00E67CBD" w:rsidP="00E67CBD">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Enterobacteriaceae are one of the most important bacterial families in human pathology. This family includes numerous species, most of which are normal hosts in the digestive tract of humans and animals. The aim of this study was to characterize the taxonomy and diversity of enterobacteria contaminating vegetables in Niamey. A total of 124 vegetable samples and 29 irrigation water samples were collected and analyzed</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Enterobacteria were enumerated in accordance with ISO 21528-1 and biochemical characteristics of enterobacteria were determined using the m</w:t>
      </w:r>
      <w:r w:rsidR="003B795A" w:rsidRPr="0088125C">
        <w:rPr>
          <w:rFonts w:ascii="Arial" w:eastAsia="Calibri" w:hAnsi="Arial" w:cs="Arial"/>
          <w:sz w:val="20"/>
          <w:szCs w:val="20"/>
          <w:lang w:val="en-US"/>
        </w:rPr>
        <w:t xml:space="preserve">ethod of Le Minor and Richard. </w:t>
      </w:r>
      <w:r w:rsidRPr="0088125C">
        <w:rPr>
          <w:rFonts w:ascii="Arial" w:eastAsia="Calibri" w:hAnsi="Arial" w:cs="Arial"/>
          <w:sz w:val="20"/>
          <w:szCs w:val="20"/>
          <w:lang w:val="en-US"/>
        </w:rPr>
        <w:t>The results showed a high abundance of enterobacteria in vegetables, around 5.58 Log</w:t>
      </w:r>
      <w:r w:rsidRPr="0088125C">
        <w:rPr>
          <w:rFonts w:ascii="Arial" w:eastAsia="Calibri" w:hAnsi="Arial" w:cs="Arial"/>
          <w:sz w:val="20"/>
          <w:szCs w:val="20"/>
          <w:vertAlign w:val="subscript"/>
          <w:lang w:val="en-US"/>
        </w:rPr>
        <w:t>10</w:t>
      </w:r>
      <w:r w:rsidRPr="0088125C">
        <w:rPr>
          <w:rFonts w:ascii="Arial" w:eastAsia="Calibri" w:hAnsi="Arial" w:cs="Arial"/>
          <w:sz w:val="20"/>
          <w:szCs w:val="20"/>
          <w:lang w:val="en-US"/>
        </w:rPr>
        <w:t xml:space="preserve"> CFU/g (onion). Enterobacteriaceae were more abundant in market samples than in field samples. Secondly, several species of enterobacteria were isolated, with sixty (60) strains identified, divided between eighteen (18) species belonging to the enterobacteria family, including twenty (20) strains of </w:t>
      </w:r>
      <w:r w:rsidRPr="0088125C">
        <w:rPr>
          <w:rFonts w:ascii="Arial" w:eastAsia="Calibri" w:hAnsi="Arial" w:cs="Arial"/>
          <w:i/>
          <w:iCs/>
          <w:sz w:val="20"/>
          <w:szCs w:val="20"/>
          <w:lang w:val="en-US"/>
        </w:rPr>
        <w:t xml:space="preserve">Salmonella, </w:t>
      </w:r>
      <w:r w:rsidRPr="0088125C">
        <w:rPr>
          <w:rFonts w:ascii="Arial" w:eastAsia="Calibri" w:hAnsi="Arial" w:cs="Arial"/>
          <w:sz w:val="20"/>
          <w:szCs w:val="20"/>
          <w:lang w:val="en-US"/>
        </w:rPr>
        <w:t xml:space="preserve">ten (10) strains of </w:t>
      </w:r>
      <w:r w:rsidRPr="0088125C">
        <w:rPr>
          <w:rFonts w:ascii="Arial" w:eastAsia="Calibri" w:hAnsi="Arial" w:cs="Arial"/>
          <w:i/>
          <w:iCs/>
          <w:sz w:val="20"/>
          <w:szCs w:val="20"/>
          <w:lang w:val="en-US"/>
        </w:rPr>
        <w:t xml:space="preserve">Escherichia coli </w:t>
      </w:r>
      <w:r w:rsidRPr="0088125C">
        <w:rPr>
          <w:rFonts w:ascii="Arial" w:eastAsia="Calibri" w:hAnsi="Arial" w:cs="Arial"/>
          <w:iCs/>
          <w:sz w:val="20"/>
          <w:szCs w:val="20"/>
          <w:lang w:val="en-US"/>
        </w:rPr>
        <w:t xml:space="preserve">and seven (7) strains of </w:t>
      </w:r>
      <w:r w:rsidRPr="0088125C">
        <w:rPr>
          <w:rFonts w:ascii="Arial" w:eastAsia="Calibri" w:hAnsi="Arial" w:cs="Arial"/>
          <w:i/>
          <w:iCs/>
          <w:sz w:val="20"/>
          <w:szCs w:val="20"/>
          <w:lang w:val="en-US"/>
        </w:rPr>
        <w:t xml:space="preserve">Serratia. </w:t>
      </w:r>
      <w:r w:rsidRPr="0088125C">
        <w:rPr>
          <w:rFonts w:ascii="Arial" w:eastAsia="Calibri" w:hAnsi="Arial" w:cs="Arial"/>
          <w:iCs/>
          <w:sz w:val="20"/>
          <w:szCs w:val="20"/>
          <w:lang w:val="en-US"/>
        </w:rPr>
        <w:t xml:space="preserve">Lettuce samples were more contaminated with </w:t>
      </w:r>
      <w:r w:rsidRPr="0088125C">
        <w:rPr>
          <w:rFonts w:ascii="Arial" w:eastAsia="Calibri" w:hAnsi="Arial" w:cs="Arial"/>
          <w:i/>
          <w:iCs/>
          <w:sz w:val="20"/>
          <w:szCs w:val="20"/>
          <w:lang w:val="en-US"/>
        </w:rPr>
        <w:t>Salmonella spp</w:t>
      </w:r>
      <w:r w:rsidRPr="0088125C">
        <w:rPr>
          <w:rFonts w:ascii="Arial" w:eastAsia="Calibri" w:hAnsi="Arial" w:cs="Arial"/>
          <w:iCs/>
          <w:sz w:val="20"/>
          <w:szCs w:val="20"/>
          <w:lang w:val="en-US"/>
        </w:rPr>
        <w:t xml:space="preserve">. (15.22%) and tomato with </w:t>
      </w:r>
      <w:r w:rsidRPr="0088125C">
        <w:rPr>
          <w:rFonts w:ascii="Arial" w:eastAsia="Calibri" w:hAnsi="Arial" w:cs="Arial"/>
          <w:i/>
          <w:iCs/>
          <w:sz w:val="20"/>
          <w:szCs w:val="20"/>
          <w:lang w:val="en-US"/>
        </w:rPr>
        <w:t xml:space="preserve">Enterobacter cloacae </w:t>
      </w:r>
      <w:r w:rsidRPr="0088125C">
        <w:rPr>
          <w:rFonts w:ascii="Arial" w:eastAsia="Calibri" w:hAnsi="Arial" w:cs="Arial"/>
          <w:iCs/>
          <w:sz w:val="20"/>
          <w:szCs w:val="20"/>
          <w:lang w:val="en-US"/>
        </w:rPr>
        <w:t>(4.35%). A certain biochemical similarity was observed between the different enterobacteria species identified.</w:t>
      </w:r>
      <w:r w:rsidR="003B795A" w:rsidRPr="0088125C">
        <w:rPr>
          <w:rFonts w:ascii="Arial" w:eastAsia="Calibri" w:hAnsi="Arial" w:cs="Arial"/>
          <w:sz w:val="20"/>
          <w:szCs w:val="20"/>
          <w:lang w:val="en-US"/>
        </w:rPr>
        <w:t xml:space="preserve"> </w:t>
      </w:r>
      <w:r w:rsidRPr="0088125C">
        <w:rPr>
          <w:rFonts w:ascii="Arial" w:eastAsia="Calibri" w:hAnsi="Arial" w:cs="Arial"/>
          <w:iCs/>
          <w:sz w:val="20"/>
          <w:szCs w:val="20"/>
          <w:lang w:val="en-US"/>
        </w:rPr>
        <w:t xml:space="preserve">Whatever </w:t>
      </w:r>
      <w:r w:rsidRPr="0088125C">
        <w:rPr>
          <w:rFonts w:ascii="Arial" w:eastAsia="Calibri" w:hAnsi="Arial" w:cs="Arial"/>
          <w:sz w:val="20"/>
          <w:szCs w:val="20"/>
          <w:lang w:val="en-US"/>
        </w:rPr>
        <w:t>the type of vegetable considered, the enterobacteria loads obtained exceed the microbiological criteria for vegetables.  As a result, the sanitary quality of these vegetables is low. It is therefore essential to make producers and retailers aware of the need to strictly adhere to good hygiene practices in order to produce healthy vegetables. To characterize the risk associated with consumption of this vegetable, it would be important to determine the profile and antibiotic resistance genes of these Enterobacteriaceae species.</w:t>
      </w:r>
    </w:p>
    <w:p w14:paraId="6F5853D4"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Key words</w:t>
      </w:r>
      <w:r w:rsidRPr="0088125C">
        <w:rPr>
          <w:rFonts w:ascii="Arial" w:eastAsia="Calibri" w:hAnsi="Arial" w:cs="Arial"/>
          <w:sz w:val="20"/>
          <w:szCs w:val="20"/>
          <w:lang w:val="en-US"/>
        </w:rPr>
        <w:t>: enterobacteria, vegetables, contamination, taxonomy, Niamey/Niger</w:t>
      </w:r>
    </w:p>
    <w:p w14:paraId="2A94E76D" w14:textId="77777777" w:rsidR="00E67CBD" w:rsidRPr="0088125C" w:rsidRDefault="00E67CBD" w:rsidP="003B795A">
      <w:pPr>
        <w:pStyle w:val="ListParagraph"/>
        <w:numPr>
          <w:ilvl w:val="0"/>
          <w:numId w:val="9"/>
        </w:numPr>
        <w:spacing w:before="240" w:line="360" w:lineRule="auto"/>
        <w:jc w:val="both"/>
        <w:rPr>
          <w:rFonts w:ascii="Arial" w:hAnsi="Arial" w:cs="Arial"/>
          <w:b/>
          <w:sz w:val="20"/>
          <w:szCs w:val="20"/>
          <w:lang w:val="en-US"/>
        </w:rPr>
      </w:pPr>
      <w:commentRangeStart w:id="1"/>
      <w:r w:rsidRPr="0088125C">
        <w:rPr>
          <w:rFonts w:ascii="Arial" w:hAnsi="Arial" w:cs="Arial"/>
          <w:b/>
          <w:sz w:val="20"/>
          <w:szCs w:val="20"/>
          <w:lang w:val="en-US"/>
        </w:rPr>
        <w:t>Introduction</w:t>
      </w:r>
      <w:commentRangeEnd w:id="1"/>
      <w:r w:rsidR="00C11A55">
        <w:rPr>
          <w:rStyle w:val="CommentReference"/>
          <w:rFonts w:asciiTheme="minorHAnsi" w:eastAsiaTheme="minorHAnsi" w:hAnsiTheme="minorHAnsi" w:cstheme="minorBidi"/>
        </w:rPr>
        <w:commentReference w:id="1"/>
      </w:r>
      <w:r w:rsidRPr="0088125C">
        <w:rPr>
          <w:rFonts w:ascii="Arial" w:hAnsi="Arial" w:cs="Arial"/>
          <w:b/>
          <w:sz w:val="20"/>
          <w:szCs w:val="20"/>
          <w:lang w:val="en-US"/>
        </w:rPr>
        <w:t xml:space="preserve"> </w:t>
      </w:r>
    </w:p>
    <w:p w14:paraId="2D7EFA5E"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The term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 xml:space="preserve">comes from two Greek words: </w:t>
      </w:r>
      <w:proofErr w:type="spellStart"/>
      <w:r w:rsidRPr="0088125C">
        <w:rPr>
          <w:rFonts w:ascii="Arial" w:eastAsia="Calibri" w:hAnsi="Arial" w:cs="Arial"/>
          <w:i/>
          <w:sz w:val="20"/>
          <w:szCs w:val="20"/>
          <w:lang w:val="en-US"/>
        </w:rPr>
        <w:t>Enteron</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"intestine" and </w:t>
      </w:r>
      <w:proofErr w:type="spellStart"/>
      <w:r w:rsidRPr="0088125C">
        <w:rPr>
          <w:rFonts w:ascii="Arial" w:eastAsia="Calibri" w:hAnsi="Arial" w:cs="Arial"/>
          <w:i/>
          <w:sz w:val="20"/>
          <w:szCs w:val="20"/>
          <w:lang w:val="en-US"/>
        </w:rPr>
        <w:t>bakteron</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"little stick", meaning intestinal bacilli [1]. Enterobacteriaceae belong to the kingdom </w:t>
      </w:r>
      <w:r w:rsidRPr="0088125C">
        <w:rPr>
          <w:rFonts w:ascii="Arial" w:eastAsia="Calibri" w:hAnsi="Arial" w:cs="Arial"/>
          <w:i/>
          <w:sz w:val="20"/>
          <w:szCs w:val="20"/>
          <w:lang w:val="en-US"/>
        </w:rPr>
        <w:t>Bacteria</w:t>
      </w:r>
      <w:r w:rsidRPr="0088125C">
        <w:rPr>
          <w:rFonts w:ascii="Arial" w:eastAsia="Calibri" w:hAnsi="Arial" w:cs="Arial"/>
          <w:sz w:val="20"/>
          <w:szCs w:val="20"/>
          <w:lang w:val="en-US"/>
        </w:rPr>
        <w:t xml:space="preserve">, the phylum </w:t>
      </w:r>
      <w:proofErr w:type="spellStart"/>
      <w:r w:rsidRPr="0088125C">
        <w:rPr>
          <w:rFonts w:ascii="Arial" w:eastAsia="Calibri" w:hAnsi="Arial" w:cs="Arial"/>
          <w:i/>
          <w:sz w:val="20"/>
          <w:szCs w:val="20"/>
          <w:lang w:val="en-US"/>
        </w:rPr>
        <w:t>Proteobacteria</w:t>
      </w:r>
      <w:proofErr w:type="spellEnd"/>
      <w:r w:rsidRPr="0088125C">
        <w:rPr>
          <w:rFonts w:ascii="Arial" w:eastAsia="Calibri" w:hAnsi="Arial" w:cs="Arial"/>
          <w:sz w:val="20"/>
          <w:szCs w:val="20"/>
          <w:lang w:val="en-US"/>
        </w:rPr>
        <w:t xml:space="preserve">, the class </w:t>
      </w:r>
      <w:r w:rsidRPr="0088125C">
        <w:rPr>
          <w:rFonts w:ascii="Arial" w:eastAsia="Calibri" w:hAnsi="Arial" w:cs="Arial"/>
          <w:i/>
          <w:sz w:val="20"/>
          <w:szCs w:val="20"/>
          <w:lang w:val="en-US"/>
        </w:rPr>
        <w:t>Gamma-</w:t>
      </w:r>
      <w:proofErr w:type="spellStart"/>
      <w:r w:rsidRPr="0088125C">
        <w:rPr>
          <w:rFonts w:ascii="Arial" w:eastAsia="Calibri" w:hAnsi="Arial" w:cs="Arial"/>
          <w:i/>
          <w:sz w:val="20"/>
          <w:szCs w:val="20"/>
          <w:lang w:val="en-US"/>
        </w:rPr>
        <w:t>proteobacteria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the order </w:t>
      </w:r>
      <w:proofErr w:type="spellStart"/>
      <w:r w:rsidRPr="0088125C">
        <w:rPr>
          <w:rFonts w:ascii="Arial" w:eastAsia="Calibri" w:hAnsi="Arial" w:cs="Arial"/>
          <w:i/>
          <w:sz w:val="20"/>
          <w:szCs w:val="20"/>
          <w:lang w:val="en-US"/>
        </w:rPr>
        <w:t>Enterobacteriales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the family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[2]. This is a biochemically and genetically related group, with great heterogeneity in terms of ecology, hosts and pathogenic potential for humans, animals, insects and plants [3]. Phenotypically, they are straight Gram-negative bacilli; motile by peritrichous flagella, or immobile; non-spore-forming; facultative aerobes, producing acid from glucose; no sodium requirement, nor stimulation; catalase positive; oxidase negative; usually reduce nitrate to nitrite (not N</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16S rRNA from gamma-proteobacteria [4]. The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 xml:space="preserve">family comprises over 30 genera and 120 listed </w:t>
      </w:r>
      <w:r w:rsidRPr="0088125C">
        <w:rPr>
          <w:rFonts w:ascii="Arial" w:eastAsia="Calibri" w:hAnsi="Arial" w:cs="Arial"/>
          <w:sz w:val="20"/>
          <w:szCs w:val="20"/>
          <w:lang w:val="en-US"/>
        </w:rPr>
        <w:lastRenderedPageBreak/>
        <w:t xml:space="preserve">bacterial species [5]. The species most commonly isolated in clinical bacteriology belong to 12 genera: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Escherichia, Hafnia,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Morganella</w:t>
      </w:r>
      <w:proofErr w:type="spellEnd"/>
      <w:r w:rsidRPr="0088125C">
        <w:rPr>
          <w:rFonts w:ascii="Arial" w:eastAsia="Calibri" w:hAnsi="Arial" w:cs="Arial"/>
          <w:i/>
          <w:sz w:val="20"/>
          <w:szCs w:val="20"/>
          <w:lang w:val="en-US"/>
        </w:rPr>
        <w:t xml:space="preserve">, Proteus,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Salmonella, Serratia, Shigella, Yersinia </w:t>
      </w:r>
      <w:r w:rsidRPr="0088125C">
        <w:rPr>
          <w:rFonts w:ascii="Arial" w:eastAsia="Calibri" w:hAnsi="Arial" w:cs="Arial"/>
          <w:sz w:val="20"/>
          <w:szCs w:val="20"/>
          <w:lang w:val="en-US"/>
        </w:rPr>
        <w:t xml:space="preserve">[2]. They are ubiquitous, found everywhere in soil, water, certain foodstuffs, the oral cavity, the upper airways and the genitals, but most of the species that make up this family are normal hosts (known as commensals) or pathogens of the digestive tract of humans and animals, which is why they are called enterobacteria [6]. Depending on the variability of their behavior and aggressiveness, two groups of pathogenic enterobacteria can be distinguished: strict pathogens and opportunistic pathogens [7]. Opportunistic pathogens are intestinal pathogens that can, to varying degrees, become aggressive to humans. The frequency of their pathological manifestations is on the increase, often due to the existence in these species of antibiotic resistance plasmids enabling their selection [8]. The presence of strict pathogens in the organism is abnormal, whatever their number, and often leads to infection. They cause intestinal disorders characterized by diarrhea followed by dehydration, by adhering to the intestinal mucosa and then crossing the enterocyte barrier [7]. These organisms can contaminate crops, soils, surface water and groundwater. Wastewater is an important vehicle for these biological agents. The use of wastewater represents a potential threat to both the environment and consumer health [9]. In developing countries, for example, wastewater is generally used without prior treatment, or with only partial treatment, leading to contamination of vegetables [10, 11, 12]. Consumption of these vegetables is a potential risk factor for infection by pathogenic enterobacteria such as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responsible for infectious </w:t>
      </w:r>
      <w:proofErr w:type="spellStart"/>
      <w:r w:rsidRPr="0088125C">
        <w:rPr>
          <w:rFonts w:ascii="Arial" w:eastAsia="Calibri" w:hAnsi="Arial" w:cs="Arial"/>
          <w:sz w:val="20"/>
          <w:szCs w:val="20"/>
          <w:lang w:val="en-US"/>
        </w:rPr>
        <w:t>diarrhoea</w:t>
      </w:r>
      <w:proofErr w:type="spellEnd"/>
      <w:r w:rsidRPr="0088125C">
        <w:rPr>
          <w:rFonts w:ascii="Arial" w:eastAsia="Calibri" w:hAnsi="Arial" w:cs="Arial"/>
          <w:sz w:val="20"/>
          <w:szCs w:val="20"/>
          <w:lang w:val="en-US"/>
        </w:rPr>
        <w:t xml:space="preserve"> in humans [13]. Illnesses associated with the consumption of these contaminated vegetables are common in many regions of developing countries, but are underestimated due to the lack of reliable survey and surveillance data. As a result, a high proportion of epidemic cases go undetected, or are only rarely mentioned in scientific reports [14]. The aim of the present study is to assess the diversity of enterobacteria contaminating vegetables produced and sold in the urban community of Niamey.</w:t>
      </w:r>
    </w:p>
    <w:p w14:paraId="7B57C3B5" w14:textId="77777777" w:rsidR="00E67CBD" w:rsidRPr="0088125C" w:rsidRDefault="00E67CBD" w:rsidP="003B795A">
      <w:pPr>
        <w:pStyle w:val="ListParagraph"/>
        <w:numPr>
          <w:ilvl w:val="0"/>
          <w:numId w:val="9"/>
        </w:numPr>
        <w:spacing w:after="0" w:line="360" w:lineRule="auto"/>
        <w:jc w:val="both"/>
        <w:rPr>
          <w:rFonts w:ascii="Arial" w:hAnsi="Arial" w:cs="Arial"/>
          <w:b/>
          <w:sz w:val="20"/>
          <w:szCs w:val="20"/>
          <w:lang w:val="en-US"/>
        </w:rPr>
      </w:pPr>
      <w:r w:rsidRPr="0088125C">
        <w:rPr>
          <w:rFonts w:ascii="Arial" w:hAnsi="Arial" w:cs="Arial"/>
          <w:b/>
          <w:sz w:val="20"/>
          <w:szCs w:val="20"/>
          <w:lang w:val="en-US"/>
        </w:rPr>
        <w:t xml:space="preserve">Material </w:t>
      </w:r>
      <w:commentRangeStart w:id="2"/>
      <w:r w:rsidRPr="0088125C">
        <w:rPr>
          <w:rFonts w:ascii="Arial" w:hAnsi="Arial" w:cs="Arial"/>
          <w:b/>
          <w:sz w:val="20"/>
          <w:szCs w:val="20"/>
          <w:lang w:val="en-US"/>
        </w:rPr>
        <w:t>and</w:t>
      </w:r>
      <w:commentRangeEnd w:id="2"/>
      <w:r w:rsidR="00C11A55">
        <w:rPr>
          <w:rStyle w:val="CommentReference"/>
          <w:rFonts w:asciiTheme="minorHAnsi" w:eastAsiaTheme="minorHAnsi" w:hAnsiTheme="minorHAnsi" w:cstheme="minorBidi"/>
        </w:rPr>
        <w:commentReference w:id="2"/>
      </w:r>
      <w:r w:rsidRPr="0088125C">
        <w:rPr>
          <w:rFonts w:ascii="Arial" w:hAnsi="Arial" w:cs="Arial"/>
          <w:b/>
          <w:sz w:val="20"/>
          <w:szCs w:val="20"/>
          <w:lang w:val="en-US"/>
        </w:rPr>
        <w:t xml:space="preserve"> method </w:t>
      </w:r>
    </w:p>
    <w:p w14:paraId="70FBF59B" w14:textId="77777777" w:rsidR="00E67CBD" w:rsidRPr="0088125C" w:rsidRDefault="003B795A" w:rsidP="003B795A">
      <w:pPr>
        <w:pStyle w:val="ListParagraph"/>
        <w:numPr>
          <w:ilvl w:val="1"/>
          <w:numId w:val="9"/>
        </w:numPr>
        <w:spacing w:after="0" w:line="360" w:lineRule="auto"/>
        <w:jc w:val="both"/>
        <w:rPr>
          <w:rFonts w:ascii="Arial" w:hAnsi="Arial" w:cs="Arial"/>
          <w:b/>
          <w:i/>
          <w:sz w:val="20"/>
          <w:szCs w:val="20"/>
          <w:lang w:val="en-US"/>
        </w:rPr>
      </w:pPr>
      <w:r w:rsidRPr="0088125C">
        <w:rPr>
          <w:rFonts w:ascii="Arial" w:hAnsi="Arial" w:cs="Arial"/>
          <w:b/>
          <w:i/>
          <w:sz w:val="20"/>
          <w:szCs w:val="20"/>
          <w:lang w:val="en-US"/>
        </w:rPr>
        <w:t xml:space="preserve"> </w:t>
      </w:r>
      <w:commentRangeStart w:id="3"/>
      <w:r w:rsidR="00E67CBD" w:rsidRPr="0088125C">
        <w:rPr>
          <w:rFonts w:ascii="Arial" w:hAnsi="Arial" w:cs="Arial"/>
          <w:b/>
          <w:i/>
          <w:sz w:val="20"/>
          <w:szCs w:val="20"/>
          <w:lang w:val="en-US"/>
        </w:rPr>
        <w:t>Sampling</w:t>
      </w:r>
      <w:commentRangeEnd w:id="3"/>
      <w:r w:rsidR="00597B7E">
        <w:rPr>
          <w:rStyle w:val="CommentReference"/>
          <w:rFonts w:asciiTheme="minorHAnsi" w:eastAsiaTheme="minorHAnsi" w:hAnsiTheme="minorHAnsi" w:cstheme="minorBidi"/>
        </w:rPr>
        <w:commentReference w:id="3"/>
      </w:r>
      <w:r w:rsidR="00E67CBD" w:rsidRPr="0088125C">
        <w:rPr>
          <w:rFonts w:ascii="Arial" w:hAnsi="Arial" w:cs="Arial"/>
          <w:b/>
          <w:i/>
          <w:sz w:val="20"/>
          <w:szCs w:val="20"/>
          <w:lang w:val="en-US"/>
        </w:rPr>
        <w:t xml:space="preserve"> mode </w:t>
      </w:r>
    </w:p>
    <w:p w14:paraId="0D0A2915" w14:textId="77777777" w:rsidR="00E67CBD" w:rsidRPr="0088125C" w:rsidRDefault="00E67CBD" w:rsidP="00E67CBD">
      <w:pPr>
        <w:spacing w:after="0" w:line="360" w:lineRule="auto"/>
        <w:jc w:val="both"/>
        <w:rPr>
          <w:rFonts w:ascii="Arial" w:eastAsia="Calibri" w:hAnsi="Arial" w:cs="Arial"/>
          <w:b/>
          <w:sz w:val="20"/>
          <w:szCs w:val="20"/>
          <w:lang w:val="en-US"/>
        </w:rPr>
      </w:pPr>
    </w:p>
    <w:p w14:paraId="59D6C226" w14:textId="77777777" w:rsidR="00E67CBD" w:rsidRPr="0088125C" w:rsidRDefault="00E67CBD" w:rsidP="00AD0A13">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Vegetable samples were taken from fields and sales markets. Samples were taken under sterile conditions, using single-use sterile gloves to avoid external contamination. Samples were taken from rootless lettuces, whole tomatoes showing no visible damage or cracks, whole carrots and whole onions. A lettuce sample corresponded to three (3) heads of lettuce, and a tomato sample corresponded to three (3) fruits without cracks, weighing around 150g, taken at random from different corners of the field or from the same vendor's lot. Carrot and onion samples were taken at the point of sale only (market). A carrot sample consists of at least three carrots weighing a minimum of 150g, taken at random from the same vendor. A batch of approximately 150g was used as the onion sample. An information sheet was attached to each sample. Water samples were taken only at production sites. Sterile 100 mL bottles were used for sampling. A sample of irrigation water corresponds to 100 mL of water taken from the irrigation water source by extending the bottle directly into the source. Each bottle is labelled after sampling. A total of 124 vegetable samples and 29 water samples were taken.</w:t>
      </w:r>
      <w:r w:rsidR="00AD0A13"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Each sample taken was well packaged in a polyethylene bag, then carefully labeled. The samples were then transferred to the </w:t>
      </w:r>
      <w:r w:rsidRPr="0088125C">
        <w:rPr>
          <w:rFonts w:ascii="Arial" w:eastAsia="Calibri" w:hAnsi="Arial" w:cs="Arial"/>
          <w:sz w:val="20"/>
          <w:szCs w:val="20"/>
          <w:lang w:val="en-US"/>
        </w:rPr>
        <w:lastRenderedPageBreak/>
        <w:t xml:space="preserve">microbiology laboratory of the Faculty of Science and Technology (FAST), after being packaged and placed in a cooler containing </w:t>
      </w:r>
      <w:proofErr w:type="spellStart"/>
      <w:r w:rsidRPr="0088125C">
        <w:rPr>
          <w:rFonts w:ascii="Arial" w:eastAsia="Calibri" w:hAnsi="Arial" w:cs="Arial"/>
          <w:sz w:val="20"/>
          <w:szCs w:val="20"/>
          <w:lang w:val="en-US"/>
        </w:rPr>
        <w:t>carboglass</w:t>
      </w:r>
      <w:proofErr w:type="spellEnd"/>
      <w:r w:rsidRPr="0088125C">
        <w:rPr>
          <w:rFonts w:ascii="Arial" w:eastAsia="Calibri" w:hAnsi="Arial" w:cs="Arial"/>
          <w:sz w:val="20"/>
          <w:szCs w:val="20"/>
          <w:lang w:val="en-US"/>
        </w:rPr>
        <w:t xml:space="preserve"> to keep the temperature down to around 4°C.</w:t>
      </w:r>
    </w:p>
    <w:p w14:paraId="1EE31C80" w14:textId="77777777" w:rsidR="00E67CBD" w:rsidRPr="0088125C" w:rsidRDefault="003B795A" w:rsidP="003B795A">
      <w:pPr>
        <w:pStyle w:val="ListParagraph"/>
        <w:numPr>
          <w:ilvl w:val="1"/>
          <w:numId w:val="9"/>
        </w:numPr>
        <w:spacing w:before="240" w:line="360" w:lineRule="auto"/>
        <w:jc w:val="both"/>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Bacteriological analysis </w:t>
      </w:r>
    </w:p>
    <w:p w14:paraId="09C9152C" w14:textId="77777777" w:rsidR="00E67CBD" w:rsidRPr="0088125C" w:rsidRDefault="00E67CBD" w:rsidP="00913077">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Stock solution preparation and decimal dilutions</w:t>
      </w:r>
      <w:r w:rsidRPr="0088125C">
        <w:rPr>
          <w:rFonts w:ascii="Arial" w:eastAsia="Calibri" w:hAnsi="Arial" w:cs="Arial"/>
          <w:sz w:val="20"/>
          <w:szCs w:val="20"/>
          <w:lang w:val="en-US"/>
        </w:rPr>
        <w:t xml:space="preserve">: A stock suspension was prepared from 25 grams of the shredded material from each vegetable sample, introduced into 225 mL of buffered peptone water, previously prepared and sterilized in accordance with ISO 6887-1:1999. Several decimal dilutions were made from this stock suspension. </w:t>
      </w:r>
    </w:p>
    <w:p w14:paraId="023DF515"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Enterobacteriaceae enumeration</w:t>
      </w:r>
      <w:r w:rsidRPr="0088125C">
        <w:rPr>
          <w:rFonts w:ascii="Arial" w:eastAsia="Calibri" w:hAnsi="Arial" w:cs="Arial"/>
          <w:sz w:val="20"/>
          <w:szCs w:val="20"/>
          <w:lang w:val="en-US"/>
        </w:rPr>
        <w:t xml:space="preserve">: enumeration was carried out on Mac </w:t>
      </w:r>
      <w:proofErr w:type="spellStart"/>
      <w:r w:rsidRPr="0088125C">
        <w:rPr>
          <w:rFonts w:ascii="Arial" w:eastAsia="Calibri" w:hAnsi="Arial" w:cs="Arial"/>
          <w:sz w:val="20"/>
          <w:szCs w:val="20"/>
          <w:lang w:val="en-US"/>
        </w:rPr>
        <w:t>conkey</w:t>
      </w:r>
      <w:proofErr w:type="spellEnd"/>
      <w:r w:rsidRPr="0088125C">
        <w:rPr>
          <w:rFonts w:ascii="Arial" w:eastAsia="Calibri" w:hAnsi="Arial" w:cs="Arial"/>
          <w:sz w:val="20"/>
          <w:szCs w:val="20"/>
          <w:lang w:val="en-US"/>
        </w:rPr>
        <w:t xml:space="preserve"> agar in accordance with ISO 21528-2:2017 [17], with incubation at 37° for 24 hours. After incubation, colonies characteristic of enterobacteria were counted. A few colonies were then selected and transferred to the nutrient agar to obtain a pure culture.  </w:t>
      </w:r>
    </w:p>
    <w:p w14:paraId="1DEFCDAB"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 xml:space="preserve">Identification: </w:t>
      </w:r>
      <w:r w:rsidRPr="0088125C">
        <w:rPr>
          <w:rFonts w:ascii="Arial" w:eastAsia="Calibri" w:hAnsi="Arial" w:cs="Arial"/>
          <w:sz w:val="20"/>
          <w:szCs w:val="20"/>
          <w:lang w:val="en-US"/>
        </w:rPr>
        <w:t>Enterobacteriaceae from the various samples were randomly selected and streaked onto nutrient agar. Biochemical characteristics were determined using the method of Le Minor and Richard (1993) [18] and ISO 21528-1:2017 [19].</w:t>
      </w:r>
    </w:p>
    <w:p w14:paraId="13B1E4F4"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 xml:space="preserve">Testing for urease and indole: </w:t>
      </w:r>
      <w:r w:rsidRPr="0088125C">
        <w:rPr>
          <w:rFonts w:ascii="Arial" w:eastAsia="Calibri" w:hAnsi="Arial" w:cs="Arial"/>
          <w:sz w:val="20"/>
          <w:szCs w:val="20"/>
          <w:lang w:val="en-US"/>
        </w:rPr>
        <w:t>a hemolysis tube containing 1 mL of Fergusson urea-indole medium is inoculated with a pure colony obtained on nutrient agar. The mixture is incubated at 37°C for 24 hours. After incubation, the medium turns from orange to pink, indicating urease production by the bacteria. After adding a few drops of Kovacs reagent to the first tube, the appearance of a red ring t</w:t>
      </w:r>
      <w:bookmarkStart w:id="4" w:name="_Toc158673852"/>
      <w:bookmarkStart w:id="5" w:name="_Toc158153554"/>
      <w:r w:rsidRPr="0088125C">
        <w:rPr>
          <w:rFonts w:ascii="Arial" w:eastAsia="Calibri" w:hAnsi="Arial" w:cs="Arial"/>
          <w:sz w:val="20"/>
          <w:szCs w:val="20"/>
          <w:lang w:val="en-US"/>
        </w:rPr>
        <w:t xml:space="preserve"> indicates indole production. </w:t>
      </w:r>
    </w:p>
    <w:p w14:paraId="2AA9283A"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 xml:space="preserve">Search for citrate as the sole carbon </w:t>
      </w:r>
      <w:bookmarkEnd w:id="4"/>
      <w:bookmarkEnd w:id="5"/>
      <w:r w:rsidR="008C689A" w:rsidRPr="0088125C">
        <w:rPr>
          <w:rFonts w:ascii="Arial" w:eastAsia="Calibri" w:hAnsi="Arial" w:cs="Arial"/>
          <w:b/>
          <w:i/>
          <w:sz w:val="20"/>
          <w:szCs w:val="20"/>
          <w:lang w:val="en-US"/>
        </w:rPr>
        <w:t>source:</w:t>
      </w:r>
      <w:r w:rsidRPr="0088125C">
        <w:rPr>
          <w:rFonts w:ascii="Arial" w:eastAsia="Calibri" w:hAnsi="Arial" w:cs="Arial"/>
          <w:b/>
          <w:i/>
          <w:sz w:val="20"/>
          <w:szCs w:val="20"/>
          <w:lang w:val="en-US"/>
        </w:rPr>
        <w:t xml:space="preserve"> </w:t>
      </w:r>
      <w:r w:rsidRPr="0088125C">
        <w:rPr>
          <w:rFonts w:ascii="Arial" w:eastAsia="Calibri" w:hAnsi="Arial" w:cs="Arial"/>
          <w:sz w:val="20"/>
          <w:szCs w:val="20"/>
          <w:lang w:val="en-US"/>
        </w:rPr>
        <w:t>Simmons citrate medium is poured into test tubes after sterilization. This medium is streaked longitudinally from colonies obtained on nutrient agar. Incubation took place at 37°C for 24 hours. The bacterium's use of sodium citrate as its sole carbon source is reflected by the appearance of colonies on the slope, or by the medium turning from</w:t>
      </w:r>
      <w:bookmarkStart w:id="6" w:name="_Toc158673853"/>
      <w:bookmarkStart w:id="7" w:name="_Toc158153555"/>
      <w:r w:rsidRPr="0088125C">
        <w:rPr>
          <w:rFonts w:ascii="Arial" w:eastAsia="Calibri" w:hAnsi="Arial" w:cs="Arial"/>
          <w:sz w:val="20"/>
          <w:szCs w:val="20"/>
          <w:lang w:val="en-US"/>
        </w:rPr>
        <w:t xml:space="preserve"> green to blue.</w:t>
      </w:r>
    </w:p>
    <w:p w14:paraId="36790CC4"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Sugar utilization, gas production and hydrogen sulfide (H</w:t>
      </w:r>
      <w:r w:rsidRPr="0088125C">
        <w:rPr>
          <w:rFonts w:ascii="Arial" w:eastAsia="Calibri" w:hAnsi="Arial" w:cs="Arial"/>
          <w:b/>
          <w:i/>
          <w:sz w:val="20"/>
          <w:szCs w:val="20"/>
          <w:vertAlign w:val="subscript"/>
          <w:lang w:val="en-US"/>
        </w:rPr>
        <w:t>2</w:t>
      </w:r>
      <w:r w:rsidRPr="0088125C">
        <w:rPr>
          <w:rFonts w:ascii="Arial" w:eastAsia="Calibri" w:hAnsi="Arial" w:cs="Arial"/>
          <w:b/>
          <w:i/>
          <w:sz w:val="20"/>
          <w:szCs w:val="20"/>
          <w:lang w:val="en-US"/>
        </w:rPr>
        <w:t xml:space="preserve"> S</w:t>
      </w:r>
      <w:bookmarkEnd w:id="6"/>
      <w:bookmarkEnd w:id="7"/>
      <w:r w:rsidR="008C689A" w:rsidRPr="0088125C">
        <w:rPr>
          <w:rFonts w:ascii="Arial" w:eastAsia="Calibri" w:hAnsi="Arial" w:cs="Arial"/>
          <w:b/>
          <w:i/>
          <w:sz w:val="20"/>
          <w:szCs w:val="20"/>
          <w:lang w:val="en-US"/>
        </w:rPr>
        <w:t>):</w:t>
      </w:r>
      <w:r w:rsidRPr="0088125C">
        <w:rPr>
          <w:rFonts w:ascii="Arial" w:eastAsia="Calibri" w:hAnsi="Arial" w:cs="Arial"/>
          <w:b/>
          <w:i/>
          <w:sz w:val="20"/>
          <w:szCs w:val="20"/>
          <w:lang w:val="en-US"/>
        </w:rPr>
        <w:t xml:space="preserve"> </w:t>
      </w:r>
      <w:proofErr w:type="spellStart"/>
      <w:r w:rsidRPr="0088125C">
        <w:rPr>
          <w:rFonts w:ascii="Arial" w:eastAsia="Calibri" w:hAnsi="Arial" w:cs="Arial"/>
          <w:sz w:val="20"/>
          <w:szCs w:val="20"/>
          <w:lang w:val="en-US"/>
        </w:rPr>
        <w:t>Kligler-Hajna</w:t>
      </w:r>
      <w:proofErr w:type="spellEnd"/>
      <w:r w:rsidRPr="0088125C">
        <w:rPr>
          <w:rFonts w:ascii="Arial" w:eastAsia="Calibri" w:hAnsi="Arial" w:cs="Arial"/>
          <w:sz w:val="20"/>
          <w:szCs w:val="20"/>
          <w:lang w:val="en-US"/>
        </w:rPr>
        <w:t xml:space="preserve"> medium is poured into test tubes in pellets and slants. The seeded urea-indole medium was streaked on the slope and pitted centrally in the pellet. Incubation took place at 37°C for 24 hours. The yellow color of the pellet reflects the fermentation of glucose (Glu+), while the yellow color of the slope reflects the oxidation of lactose (Lac+) by the bacteria. The appearance of black coloration in the tubes indicates the presence of H</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S, while the appearance of bubbles indicates the presence of gas. When the pellet and slope remain unchanged, this means that the strain tested is unable to utilize </w:t>
      </w:r>
      <w:proofErr w:type="spellStart"/>
      <w:r w:rsidRPr="0088125C">
        <w:rPr>
          <w:rFonts w:ascii="Arial" w:eastAsia="Calibri" w:hAnsi="Arial" w:cs="Arial"/>
          <w:sz w:val="20"/>
          <w:szCs w:val="20"/>
          <w:lang w:val="en-US"/>
        </w:rPr>
        <w:t>gluco</w:t>
      </w:r>
      <w:bookmarkStart w:id="8" w:name="_Toc158673854"/>
      <w:bookmarkStart w:id="9" w:name="_Toc158153556"/>
      <w:proofErr w:type="spellEnd"/>
      <w:r w:rsidRPr="0088125C">
        <w:rPr>
          <w:rFonts w:ascii="Arial" w:eastAsia="Calibri" w:hAnsi="Arial" w:cs="Arial"/>
          <w:sz w:val="20"/>
          <w:szCs w:val="20"/>
          <w:lang w:val="en-US"/>
        </w:rPr>
        <w:t xml:space="preserve"> se (</w:t>
      </w:r>
      <w:proofErr w:type="spellStart"/>
      <w:r w:rsidRPr="0088125C">
        <w:rPr>
          <w:rFonts w:ascii="Arial" w:eastAsia="Calibri" w:hAnsi="Arial" w:cs="Arial"/>
          <w:sz w:val="20"/>
          <w:szCs w:val="20"/>
          <w:lang w:val="en-US"/>
        </w:rPr>
        <w:t>Glu</w:t>
      </w:r>
      <w:proofErr w:type="spellEnd"/>
      <w:r w:rsidRPr="0088125C">
        <w:rPr>
          <w:rFonts w:ascii="Arial" w:eastAsia="Calibri" w:hAnsi="Arial" w:cs="Arial"/>
          <w:sz w:val="20"/>
          <w:szCs w:val="20"/>
          <w:lang w:val="en-US"/>
        </w:rPr>
        <w:t xml:space="preserve">-) and lactose (Lac-). </w:t>
      </w:r>
    </w:p>
    <w:p w14:paraId="5CEB90EB"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Phenotypic confirmation using API 20</w:t>
      </w:r>
      <w:bookmarkEnd w:id="8"/>
      <w:bookmarkEnd w:id="9"/>
      <w:r w:rsidR="008C689A" w:rsidRPr="0088125C">
        <w:rPr>
          <w:rFonts w:ascii="Arial" w:eastAsia="Calibri" w:hAnsi="Arial" w:cs="Arial"/>
          <w:b/>
          <w:i/>
          <w:sz w:val="20"/>
          <w:szCs w:val="20"/>
          <w:vertAlign w:val="superscript"/>
          <w:lang w:val="en-US"/>
        </w:rPr>
        <w:t>E</w:t>
      </w:r>
      <w:r w:rsidR="008C689A" w:rsidRPr="0088125C">
        <w:rPr>
          <w:rFonts w:ascii="Arial" w:eastAsia="Calibri" w:hAnsi="Arial" w:cs="Arial"/>
          <w:b/>
          <w:sz w:val="20"/>
          <w:szCs w:val="20"/>
          <w:lang w:val="en-US"/>
        </w:rPr>
        <w:t>:</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The API 20</w:t>
      </w:r>
      <w:r w:rsidR="00AD0A13" w:rsidRPr="0088125C">
        <w:rPr>
          <w:rFonts w:ascii="Arial" w:eastAsia="Calibri" w:hAnsi="Arial" w:cs="Arial"/>
          <w:sz w:val="20"/>
          <w:szCs w:val="20"/>
          <w:lang w:val="en-US"/>
        </w:rPr>
        <w:t>E</w:t>
      </w:r>
      <w:r w:rsidRPr="0088125C">
        <w:rPr>
          <w:rFonts w:ascii="Arial" w:eastAsia="Calibri" w:hAnsi="Arial" w:cs="Arial"/>
          <w:sz w:val="20"/>
          <w:szCs w:val="20"/>
          <w:lang w:val="en-US"/>
        </w:rPr>
        <w:t xml:space="preserve"> gallery (Bio </w:t>
      </w:r>
      <w:proofErr w:type="spellStart"/>
      <w:r w:rsidRPr="0088125C">
        <w:rPr>
          <w:rFonts w:ascii="Arial" w:eastAsia="Calibri" w:hAnsi="Arial" w:cs="Arial"/>
          <w:sz w:val="20"/>
          <w:szCs w:val="20"/>
          <w:lang w:val="en-US"/>
        </w:rPr>
        <w:t>Mérieux</w:t>
      </w:r>
      <w:proofErr w:type="spellEnd"/>
      <w:r w:rsidRPr="0088125C">
        <w:rPr>
          <w:rFonts w:ascii="Arial" w:eastAsia="Calibri" w:hAnsi="Arial" w:cs="Arial"/>
          <w:sz w:val="20"/>
          <w:szCs w:val="20"/>
          <w:lang w:val="en-US"/>
        </w:rPr>
        <w:t xml:space="preserve">, France) is a standardized system comprising 20 microtubes containing dehydrated substrates (AFNOR, 1996). The microtubes are inoculated with bacterial suspensions. Reactions produced during the incubation period result in spontaneous color changes, or are revealed by the addition of </w:t>
      </w:r>
      <w:r w:rsidRPr="0088125C">
        <w:rPr>
          <w:rFonts w:ascii="Arial" w:eastAsia="Calibri" w:hAnsi="Arial" w:cs="Arial"/>
          <w:sz w:val="20"/>
          <w:szCs w:val="20"/>
          <w:lang w:val="en-US"/>
        </w:rPr>
        <w:lastRenderedPageBreak/>
        <w:t xml:space="preserve">reagents. These reactions were read using the reading table, and identification was obtained using the identification software (API WEB). </w:t>
      </w:r>
    </w:p>
    <w:p w14:paraId="54237FC8" w14:textId="77777777" w:rsidR="00E67CBD" w:rsidRPr="0088125C" w:rsidRDefault="003B795A" w:rsidP="003B795A">
      <w:pPr>
        <w:pStyle w:val="ListParagraph"/>
        <w:numPr>
          <w:ilvl w:val="1"/>
          <w:numId w:val="9"/>
        </w:numPr>
        <w:rPr>
          <w:rFonts w:ascii="Arial" w:hAnsi="Arial" w:cs="Arial"/>
          <w:b/>
          <w:i/>
          <w:sz w:val="20"/>
          <w:szCs w:val="20"/>
          <w:lang w:val="en-US"/>
        </w:rPr>
      </w:pPr>
      <w:r w:rsidRPr="0088125C">
        <w:rPr>
          <w:rFonts w:ascii="Arial" w:hAnsi="Arial" w:cs="Arial"/>
          <w:b/>
          <w:sz w:val="20"/>
          <w:szCs w:val="20"/>
          <w:lang w:val="en-US"/>
        </w:rPr>
        <w:t xml:space="preserve"> </w:t>
      </w:r>
      <w:commentRangeStart w:id="10"/>
      <w:r w:rsidR="00E67CBD" w:rsidRPr="0088125C">
        <w:rPr>
          <w:rFonts w:ascii="Arial" w:hAnsi="Arial" w:cs="Arial"/>
          <w:b/>
          <w:i/>
          <w:sz w:val="20"/>
          <w:szCs w:val="20"/>
          <w:lang w:val="en-US"/>
        </w:rPr>
        <w:t>Statistical</w:t>
      </w:r>
      <w:commentRangeEnd w:id="10"/>
      <w:r w:rsidR="00597B7E">
        <w:rPr>
          <w:rStyle w:val="CommentReference"/>
          <w:rFonts w:asciiTheme="minorHAnsi" w:eastAsiaTheme="minorHAnsi" w:hAnsiTheme="minorHAnsi" w:cstheme="minorBidi"/>
        </w:rPr>
        <w:commentReference w:id="10"/>
      </w:r>
      <w:r w:rsidR="00E67CBD" w:rsidRPr="0088125C">
        <w:rPr>
          <w:rFonts w:ascii="Arial" w:hAnsi="Arial" w:cs="Arial"/>
          <w:b/>
          <w:i/>
          <w:sz w:val="20"/>
          <w:szCs w:val="20"/>
          <w:lang w:val="en-US"/>
        </w:rPr>
        <w:t xml:space="preserve"> analysis </w:t>
      </w:r>
    </w:p>
    <w:p w14:paraId="70E9F185" w14:textId="77777777" w:rsidR="00E67CBD" w:rsidRPr="0088125C" w:rsidRDefault="00E67CBD" w:rsidP="00E67CBD">
      <w:pPr>
        <w:spacing w:line="256" w:lineRule="auto"/>
        <w:rPr>
          <w:rFonts w:ascii="Arial" w:eastAsia="Calibri" w:hAnsi="Arial" w:cs="Arial"/>
          <w:b/>
          <w:sz w:val="20"/>
          <w:szCs w:val="20"/>
          <w:lang w:val="en-US"/>
        </w:rPr>
      </w:pPr>
    </w:p>
    <w:p w14:paraId="59E381A9"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sz w:val="20"/>
          <w:szCs w:val="20"/>
          <w:lang w:val="en-US"/>
        </w:rPr>
        <w:t xml:space="preserve">Data were subjected to frequency, mean and standard deviation calculations using IBM </w:t>
      </w:r>
      <w:r w:rsidRPr="0088125C">
        <w:rPr>
          <w:rFonts w:ascii="Arial" w:eastAsia="Calibri" w:hAnsi="Arial" w:cs="Arial"/>
          <w:i/>
          <w:iCs/>
          <w:sz w:val="20"/>
          <w:szCs w:val="20"/>
          <w:lang w:val="en-US"/>
        </w:rPr>
        <w:t xml:space="preserve">SPSS </w:t>
      </w:r>
      <w:r w:rsidRPr="0088125C">
        <w:rPr>
          <w:rFonts w:ascii="Arial" w:eastAsia="Calibri" w:hAnsi="Arial" w:cs="Arial"/>
          <w:sz w:val="20"/>
          <w:szCs w:val="20"/>
          <w:lang w:val="en-US"/>
        </w:rPr>
        <w:t xml:space="preserve">Statistics </w:t>
      </w:r>
      <w:r w:rsidRPr="0088125C">
        <w:rPr>
          <w:rFonts w:ascii="Arial" w:eastAsia="Calibri" w:hAnsi="Arial" w:cs="Arial"/>
          <w:iCs/>
          <w:sz w:val="20"/>
          <w:szCs w:val="20"/>
          <w:lang w:val="en-US"/>
        </w:rPr>
        <w:t xml:space="preserve">23 </w:t>
      </w:r>
      <w:r w:rsidRPr="0088125C">
        <w:rPr>
          <w:rFonts w:ascii="Arial" w:eastAsia="Calibri" w:hAnsi="Arial" w:cs="Arial"/>
          <w:sz w:val="20"/>
          <w:szCs w:val="20"/>
          <w:lang w:val="en-US"/>
        </w:rPr>
        <w:t>software</w:t>
      </w:r>
      <w:r w:rsidRPr="0088125C">
        <w:rPr>
          <w:rFonts w:ascii="Arial" w:eastAsia="Calibri" w:hAnsi="Arial" w:cs="Arial"/>
          <w:i/>
          <w:iCs/>
          <w:sz w:val="20"/>
          <w:szCs w:val="20"/>
          <w:lang w:val="en-US"/>
        </w:rPr>
        <w:t xml:space="preserve">. </w:t>
      </w:r>
      <w:r w:rsidRPr="0088125C">
        <w:rPr>
          <w:rFonts w:ascii="Arial" w:eastAsia="Calibri" w:hAnsi="Arial" w:cs="Arial"/>
          <w:sz w:val="20"/>
          <w:szCs w:val="20"/>
          <w:lang w:val="en-US"/>
        </w:rPr>
        <w:t xml:space="preserve">Non-parametric Kruskal-Walis and Wilcoxon tests were then performed to test not only variability between different samples from one sampling site to another, but also variability between different vegetable types. In addition, </w:t>
      </w:r>
      <w:r w:rsidR="00AD0A13" w:rsidRPr="0088125C">
        <w:rPr>
          <w:rFonts w:ascii="Arial" w:eastAsia="Calibri" w:hAnsi="Arial" w:cs="Arial"/>
          <w:sz w:val="20"/>
          <w:szCs w:val="20"/>
          <w:lang w:val="en-US"/>
        </w:rPr>
        <w:t>a Hierarchical Ascending C</w:t>
      </w:r>
      <w:r w:rsidRPr="0088125C">
        <w:rPr>
          <w:rFonts w:ascii="Arial" w:eastAsia="Calibri" w:hAnsi="Arial" w:cs="Arial"/>
          <w:sz w:val="20"/>
          <w:szCs w:val="20"/>
          <w:lang w:val="en-US"/>
        </w:rPr>
        <w:t>lassification (HAC) based on Euclidean dist</w:t>
      </w:r>
      <w:r w:rsidR="00AD0A13" w:rsidRPr="0088125C">
        <w:rPr>
          <w:rFonts w:ascii="Arial" w:eastAsia="Calibri" w:hAnsi="Arial" w:cs="Arial"/>
          <w:sz w:val="20"/>
          <w:szCs w:val="20"/>
          <w:lang w:val="en-US"/>
        </w:rPr>
        <w:t>ance using Ward's method and a Discriminant Factor A</w:t>
      </w:r>
      <w:r w:rsidRPr="0088125C">
        <w:rPr>
          <w:rFonts w:ascii="Arial" w:eastAsia="Calibri" w:hAnsi="Arial" w:cs="Arial"/>
          <w:sz w:val="20"/>
          <w:szCs w:val="20"/>
          <w:lang w:val="en-US"/>
        </w:rPr>
        <w:t xml:space="preserve">nalysis (DFA) were performed to determine whether the species identified are similar or dissimilar. Differences are considered significant for values of </w:t>
      </w:r>
      <w:r w:rsidRPr="0088125C">
        <w:rPr>
          <w:rFonts w:ascii="Arial" w:eastAsia="Calibri" w:hAnsi="Arial" w:cs="Arial"/>
          <w:i/>
          <w:sz w:val="20"/>
          <w:szCs w:val="20"/>
          <w:lang w:val="en-US"/>
        </w:rPr>
        <w:t>P-value&lt;0</w:t>
      </w:r>
      <w:r w:rsidRPr="0088125C">
        <w:rPr>
          <w:rFonts w:ascii="Arial" w:eastAsia="Calibri" w:hAnsi="Arial" w:cs="Arial"/>
          <w:sz w:val="20"/>
          <w:szCs w:val="20"/>
          <w:lang w:val="en-US"/>
        </w:rPr>
        <w:t>.05.</w:t>
      </w:r>
    </w:p>
    <w:p w14:paraId="07F22476" w14:textId="77777777" w:rsidR="00E67CBD" w:rsidRPr="0088125C" w:rsidRDefault="00E67CBD" w:rsidP="00E67CBD">
      <w:pPr>
        <w:spacing w:after="0" w:line="256" w:lineRule="auto"/>
        <w:rPr>
          <w:rFonts w:ascii="Arial" w:eastAsia="Calibri" w:hAnsi="Arial" w:cs="Arial"/>
          <w:b/>
          <w:sz w:val="20"/>
          <w:szCs w:val="20"/>
          <w:lang w:val="en-US"/>
        </w:rPr>
      </w:pPr>
    </w:p>
    <w:p w14:paraId="6F6D8434" w14:textId="77777777" w:rsidR="00E67CBD" w:rsidRPr="0088125C" w:rsidRDefault="00E67CBD" w:rsidP="003B795A">
      <w:pPr>
        <w:pStyle w:val="ListParagraph"/>
        <w:numPr>
          <w:ilvl w:val="0"/>
          <w:numId w:val="9"/>
        </w:numPr>
        <w:spacing w:after="0"/>
        <w:rPr>
          <w:rFonts w:ascii="Arial" w:hAnsi="Arial" w:cs="Arial"/>
          <w:b/>
          <w:sz w:val="20"/>
          <w:szCs w:val="20"/>
          <w:lang w:val="en-US"/>
        </w:rPr>
      </w:pPr>
      <w:commentRangeStart w:id="11"/>
      <w:r w:rsidRPr="0088125C">
        <w:rPr>
          <w:rFonts w:ascii="Arial" w:hAnsi="Arial" w:cs="Arial"/>
          <w:b/>
          <w:sz w:val="20"/>
          <w:szCs w:val="20"/>
          <w:lang w:val="en-US"/>
        </w:rPr>
        <w:t>Results</w:t>
      </w:r>
      <w:commentRangeEnd w:id="11"/>
      <w:r w:rsidR="00597B7E">
        <w:rPr>
          <w:rStyle w:val="CommentReference"/>
          <w:rFonts w:asciiTheme="minorHAnsi" w:eastAsiaTheme="minorHAnsi" w:hAnsiTheme="minorHAnsi" w:cstheme="minorBidi"/>
        </w:rPr>
        <w:commentReference w:id="11"/>
      </w:r>
      <w:r w:rsidRPr="0088125C">
        <w:rPr>
          <w:rFonts w:ascii="Arial" w:hAnsi="Arial" w:cs="Arial"/>
          <w:b/>
          <w:sz w:val="20"/>
          <w:szCs w:val="20"/>
          <w:lang w:val="en-US"/>
        </w:rPr>
        <w:t xml:space="preserve">  </w:t>
      </w:r>
    </w:p>
    <w:p w14:paraId="5775A7B7" w14:textId="77777777" w:rsidR="00E67CBD" w:rsidRPr="0088125C" w:rsidRDefault="00E67CBD" w:rsidP="00E67CBD">
      <w:pPr>
        <w:spacing w:after="0" w:line="256" w:lineRule="auto"/>
        <w:rPr>
          <w:rFonts w:ascii="Arial" w:eastAsia="Calibri" w:hAnsi="Arial" w:cs="Arial"/>
          <w:b/>
          <w:sz w:val="20"/>
          <w:szCs w:val="20"/>
          <w:lang w:val="en-US"/>
        </w:rPr>
      </w:pPr>
    </w:p>
    <w:p w14:paraId="57AFF5D0" w14:textId="77777777" w:rsidR="00E67CBD" w:rsidRPr="0088125C" w:rsidRDefault="003B795A" w:rsidP="003B795A">
      <w:pPr>
        <w:pStyle w:val="ListParagraph"/>
        <w:numPr>
          <w:ilvl w:val="1"/>
          <w:numId w:val="9"/>
        </w:numPr>
        <w:spacing w:after="0"/>
        <w:rPr>
          <w:rFonts w:ascii="Arial" w:hAnsi="Arial" w:cs="Arial"/>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Abundance of enterobacteria in vegetables</w:t>
      </w:r>
    </w:p>
    <w:p w14:paraId="147620B4" w14:textId="77777777" w:rsidR="00E67CBD" w:rsidRPr="0088125C" w:rsidRDefault="00E67CBD" w:rsidP="00E67CBD">
      <w:pPr>
        <w:spacing w:after="0" w:line="256" w:lineRule="auto"/>
        <w:rPr>
          <w:rFonts w:ascii="Arial" w:eastAsia="Calibri" w:hAnsi="Arial" w:cs="Arial"/>
          <w:sz w:val="20"/>
          <w:szCs w:val="20"/>
          <w:lang w:val="en-US"/>
        </w:rPr>
      </w:pPr>
    </w:p>
    <w:p w14:paraId="12D161B3" w14:textId="77777777" w:rsidR="00E67CBD" w:rsidRPr="0088125C" w:rsidRDefault="0003335F" w:rsidP="00E67CBD">
      <w:pPr>
        <w:spacing w:after="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Figure 1</w:t>
      </w:r>
      <w:r w:rsidR="00E67CBD" w:rsidRPr="0088125C">
        <w:rPr>
          <w:rFonts w:ascii="Arial" w:eastAsia="Calibri" w:hAnsi="Arial" w:cs="Arial"/>
          <w:sz w:val="20"/>
          <w:szCs w:val="20"/>
          <w:lang w:val="en-US"/>
        </w:rPr>
        <w:t xml:space="preserve"> shows the average enterobacteria loads of the different types of vegetables analyzed, according to sampling site. The results show that whatever the sampling site and type of vegetable considered, enterobacteria loads are higher than the microbiological criteria (3.48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UFC/g) defined by AFNOR for raw edible vegetables. Onion samples were more contaminated, at around 5.69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(MD), while tomato samples were less contaminated (2.48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(champ3)). However, lettuce samples taken from markets were less contaminated, from 4.08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(MH) to 5.22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w:t>
      </w:r>
      <w:proofErr w:type="gramStart"/>
      <w:r w:rsidR="00E67CBD" w:rsidRPr="0088125C">
        <w:rPr>
          <w:rFonts w:ascii="Arial" w:eastAsia="Calibri" w:hAnsi="Arial" w:cs="Arial"/>
          <w:sz w:val="20"/>
          <w:szCs w:val="20"/>
          <w:lang w:val="en-US"/>
        </w:rPr>
        <w:t>g</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w:t>
      </w:r>
      <w:proofErr w:type="gramEnd"/>
      <w:r w:rsidR="00E67CBD" w:rsidRPr="0088125C">
        <w:rPr>
          <w:rFonts w:ascii="Arial" w:eastAsia="Calibri" w:hAnsi="Arial" w:cs="Arial"/>
          <w:sz w:val="20"/>
          <w:szCs w:val="20"/>
          <w:lang w:val="en-US"/>
        </w:rPr>
        <w:t>MD), than field samples (from 5.05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(Champ3)</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to 5.47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CFU/g (Champ1). Differences were statistically significant between enterobacteria loads, sampling sites and vegetable type (</w:t>
      </w:r>
      <w:r w:rsidR="00E67CBD" w:rsidRPr="0088125C">
        <w:rPr>
          <w:rFonts w:ascii="Arial" w:eastAsia="Calibri" w:hAnsi="Arial" w:cs="Arial"/>
          <w:i/>
          <w:sz w:val="20"/>
          <w:szCs w:val="20"/>
          <w:lang w:val="en-US"/>
        </w:rPr>
        <w:t xml:space="preserve">P-value </w:t>
      </w:r>
      <w:r w:rsidR="00E67CBD" w:rsidRPr="0088125C">
        <w:rPr>
          <w:rFonts w:ascii="Arial" w:eastAsia="Calibri" w:hAnsi="Arial" w:cs="Arial"/>
          <w:sz w:val="20"/>
          <w:szCs w:val="20"/>
          <w:lang w:val="en-US"/>
        </w:rPr>
        <w:t>= 0.004 and 0.000).</w:t>
      </w:r>
    </w:p>
    <w:p w14:paraId="059DCE5F"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sz w:val="20"/>
          <w:szCs w:val="20"/>
          <w:lang w:val="en-US"/>
        </w:rPr>
        <w:br w:type="page"/>
      </w:r>
    </w:p>
    <w:p w14:paraId="1202CAC9" w14:textId="77777777" w:rsidR="00E67CBD" w:rsidRPr="0088125C" w:rsidRDefault="00E67CBD" w:rsidP="00E67CBD">
      <w:pPr>
        <w:spacing w:after="0" w:line="360" w:lineRule="auto"/>
        <w:jc w:val="both"/>
        <w:rPr>
          <w:rFonts w:ascii="Arial" w:eastAsia="Calibri" w:hAnsi="Arial" w:cs="Arial"/>
          <w:sz w:val="20"/>
          <w:szCs w:val="20"/>
          <w:lang w:val="en-US"/>
        </w:rPr>
      </w:pPr>
    </w:p>
    <w:p w14:paraId="102A444F"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p>
    <w:p w14:paraId="408B42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val="en-US"/>
        </w:rPr>
        <w:drawing>
          <wp:inline distT="0" distB="0" distL="0" distR="0" wp14:anchorId="4058CBBB" wp14:editId="298CA60B">
            <wp:extent cx="2771775" cy="2466975"/>
            <wp:effectExtent l="0" t="0" r="0" b="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val="en-US"/>
        </w:rPr>
        <w:drawing>
          <wp:inline distT="0" distB="0" distL="0" distR="0" wp14:anchorId="13CAB70F" wp14:editId="62DD83BA">
            <wp:extent cx="2867025" cy="2486025"/>
            <wp:effectExtent l="0" t="0" r="0" b="0"/>
            <wp:docPr id="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83CE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val="en-US"/>
        </w:rPr>
        <w:drawing>
          <wp:inline distT="0" distB="0" distL="0" distR="0" wp14:anchorId="67136922" wp14:editId="6EB53323">
            <wp:extent cx="2752725" cy="2266950"/>
            <wp:effectExtent l="0" t="0" r="0" b="0"/>
            <wp:docPr id="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val="en-US"/>
        </w:rPr>
        <w:drawing>
          <wp:inline distT="0" distB="0" distL="0" distR="0" wp14:anchorId="3877B43C" wp14:editId="634A38A3">
            <wp:extent cx="2905125" cy="2276475"/>
            <wp:effectExtent l="0" t="0" r="0" b="0"/>
            <wp:docPr id="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9694DE" w14:textId="77777777" w:rsidR="00E67CBD" w:rsidRPr="0088125C" w:rsidRDefault="00E67CBD" w:rsidP="00E67CBD">
      <w:pPr>
        <w:keepNext/>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val="en-US"/>
        </w:rPr>
        <w:drawing>
          <wp:inline distT="0" distB="0" distL="0" distR="0" wp14:anchorId="316BB310" wp14:editId="0BC12B3B">
            <wp:extent cx="2809875" cy="2505075"/>
            <wp:effectExtent l="0" t="0" r="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val="en-US"/>
        </w:rPr>
        <w:drawing>
          <wp:inline distT="0" distB="0" distL="0" distR="0" wp14:anchorId="0CA435AD" wp14:editId="12ABED04">
            <wp:extent cx="2847975" cy="2514600"/>
            <wp:effectExtent l="0" t="0" r="0" b="0"/>
            <wp:docPr id="8"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D9C63C" w14:textId="77777777" w:rsidR="00E67CBD" w:rsidRPr="0088125C" w:rsidRDefault="00E67CBD" w:rsidP="00E67CBD">
      <w:pPr>
        <w:spacing w:after="200" w:line="240" w:lineRule="auto"/>
        <w:jc w:val="both"/>
        <w:rPr>
          <w:rFonts w:ascii="Arial" w:eastAsia="Calibri" w:hAnsi="Arial" w:cs="Arial"/>
          <w:iCs/>
          <w:sz w:val="20"/>
          <w:szCs w:val="20"/>
          <w:lang w:val="en-US"/>
        </w:rPr>
      </w:pPr>
      <w:r w:rsidRPr="0088125C">
        <w:rPr>
          <w:rFonts w:ascii="Arial" w:eastAsia="Calibri" w:hAnsi="Arial" w:cs="Arial"/>
          <w:b/>
          <w:iCs/>
          <w:sz w:val="20"/>
          <w:szCs w:val="20"/>
          <w:lang w:val="en-US"/>
        </w:rPr>
        <w:t xml:space="preserve">Figure </w:t>
      </w:r>
      <w:r w:rsidR="0003335F" w:rsidRPr="0088125C">
        <w:rPr>
          <w:rFonts w:ascii="Arial" w:eastAsia="Calibri" w:hAnsi="Arial" w:cs="Arial"/>
          <w:b/>
          <w:iCs/>
          <w:sz w:val="20"/>
          <w:szCs w:val="20"/>
          <w:lang w:val="en-US"/>
        </w:rPr>
        <w:t>1</w:t>
      </w:r>
      <w:r w:rsidR="008C689A" w:rsidRPr="0088125C">
        <w:rPr>
          <w:rFonts w:ascii="Arial" w:eastAsia="Calibri" w:hAnsi="Arial" w:cs="Arial"/>
          <w:b/>
          <w:iCs/>
          <w:sz w:val="20"/>
          <w:szCs w:val="20"/>
          <w:lang w:val="en-US"/>
        </w:rPr>
        <w:t>.</w:t>
      </w:r>
      <w:r w:rsidRPr="0088125C">
        <w:rPr>
          <w:rFonts w:ascii="Arial" w:eastAsia="Calibri" w:hAnsi="Arial" w:cs="Arial"/>
          <w:iCs/>
          <w:sz w:val="20"/>
          <w:szCs w:val="20"/>
          <w:lang w:val="en-US"/>
        </w:rPr>
        <w:t xml:space="preserve"> Average enterobacteria loads in vegetable samples by sampling site</w:t>
      </w:r>
      <w:r w:rsidR="00370075" w:rsidRPr="0088125C">
        <w:rPr>
          <w:rFonts w:ascii="Arial" w:eastAsia="Calibri" w:hAnsi="Arial" w:cs="Arial"/>
          <w:iCs/>
          <w:sz w:val="20"/>
          <w:szCs w:val="20"/>
          <w:lang w:val="en-US"/>
        </w:rPr>
        <w:t xml:space="preserve">, MP: petit Market, </w:t>
      </w:r>
      <w:proofErr w:type="gramStart"/>
      <w:r w:rsidR="00370075" w:rsidRPr="0088125C">
        <w:rPr>
          <w:rFonts w:ascii="Arial" w:eastAsia="Calibri" w:hAnsi="Arial" w:cs="Arial"/>
          <w:iCs/>
          <w:sz w:val="20"/>
          <w:szCs w:val="20"/>
          <w:lang w:val="en-US"/>
        </w:rPr>
        <w:t>MD :</w:t>
      </w:r>
      <w:proofErr w:type="gram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Dolé</w:t>
      </w:r>
      <w:proofErr w:type="spellEnd"/>
      <w:r w:rsidR="00370075" w:rsidRPr="0088125C">
        <w:rPr>
          <w:rFonts w:ascii="Arial" w:eastAsia="Calibri" w:hAnsi="Arial" w:cs="Arial"/>
          <w:iCs/>
          <w:sz w:val="20"/>
          <w:szCs w:val="20"/>
          <w:lang w:val="en-US"/>
        </w:rPr>
        <w:t xml:space="preserve"> market, MDR: Dar </w:t>
      </w:r>
      <w:proofErr w:type="spellStart"/>
      <w:r w:rsidR="00370075" w:rsidRPr="0088125C">
        <w:rPr>
          <w:rFonts w:ascii="Arial" w:eastAsia="Calibri" w:hAnsi="Arial" w:cs="Arial"/>
          <w:iCs/>
          <w:sz w:val="20"/>
          <w:szCs w:val="20"/>
          <w:lang w:val="en-US"/>
        </w:rPr>
        <w:t>es</w:t>
      </w:r>
      <w:proofErr w:type="spell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salam</w:t>
      </w:r>
      <w:proofErr w:type="spellEnd"/>
      <w:r w:rsidR="00370075" w:rsidRPr="0088125C">
        <w:rPr>
          <w:rFonts w:ascii="Arial" w:eastAsia="Calibri" w:hAnsi="Arial" w:cs="Arial"/>
          <w:iCs/>
          <w:sz w:val="20"/>
          <w:szCs w:val="20"/>
          <w:lang w:val="en-US"/>
        </w:rPr>
        <w:t xml:space="preserve"> market, MW: </w:t>
      </w:r>
      <w:proofErr w:type="spellStart"/>
      <w:r w:rsidR="00370075" w:rsidRPr="0088125C">
        <w:rPr>
          <w:rFonts w:ascii="Arial" w:eastAsia="Calibri" w:hAnsi="Arial" w:cs="Arial"/>
          <w:iCs/>
          <w:sz w:val="20"/>
          <w:szCs w:val="20"/>
          <w:lang w:val="en-US"/>
        </w:rPr>
        <w:t>Wadata</w:t>
      </w:r>
      <w:proofErr w:type="spell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maket</w:t>
      </w:r>
      <w:proofErr w:type="spellEnd"/>
      <w:r w:rsidR="00370075" w:rsidRPr="0088125C">
        <w:rPr>
          <w:rFonts w:ascii="Arial" w:eastAsia="Calibri" w:hAnsi="Arial" w:cs="Arial"/>
          <w:iCs/>
          <w:sz w:val="20"/>
          <w:szCs w:val="20"/>
          <w:lang w:val="en-US"/>
        </w:rPr>
        <w:t>, MH:</w:t>
      </w:r>
      <w:r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Harobanda</w:t>
      </w:r>
      <w:proofErr w:type="spellEnd"/>
      <w:r w:rsidR="00370075" w:rsidRPr="0088125C">
        <w:rPr>
          <w:rFonts w:ascii="Arial" w:eastAsia="Calibri" w:hAnsi="Arial" w:cs="Arial"/>
          <w:iCs/>
          <w:sz w:val="20"/>
          <w:szCs w:val="20"/>
          <w:lang w:val="en-US"/>
        </w:rPr>
        <w:t xml:space="preserve"> market</w:t>
      </w:r>
    </w:p>
    <w:p w14:paraId="6C96F7D6" w14:textId="77777777" w:rsidR="00E67CBD" w:rsidRPr="0088125C" w:rsidRDefault="00E67CBD" w:rsidP="00E67CBD">
      <w:pPr>
        <w:spacing w:after="0" w:line="360" w:lineRule="auto"/>
        <w:jc w:val="both"/>
        <w:rPr>
          <w:rFonts w:ascii="Arial" w:eastAsia="Calibri" w:hAnsi="Arial" w:cs="Arial"/>
          <w:sz w:val="20"/>
          <w:szCs w:val="20"/>
          <w:lang w:val="en-US"/>
        </w:rPr>
      </w:pPr>
    </w:p>
    <w:p w14:paraId="76AEB94F" w14:textId="77777777" w:rsidR="00E67CBD" w:rsidRPr="0088125C" w:rsidRDefault="0003335F" w:rsidP="00E67CBD">
      <w:pPr>
        <w:keepNext/>
        <w:spacing w:after="200" w:line="360" w:lineRule="auto"/>
        <w:rPr>
          <w:rFonts w:ascii="Arial" w:eastAsia="Calibri" w:hAnsi="Arial" w:cs="Arial"/>
          <w:b/>
          <w:iCs/>
          <w:sz w:val="20"/>
          <w:szCs w:val="20"/>
          <w:lang w:val="en-US"/>
        </w:rPr>
      </w:pPr>
      <w:r w:rsidRPr="0088125C">
        <w:rPr>
          <w:rFonts w:ascii="Arial" w:eastAsia="Calibri" w:hAnsi="Arial" w:cs="Arial"/>
          <w:b/>
          <w:sz w:val="20"/>
          <w:szCs w:val="20"/>
          <w:lang w:val="en-US"/>
        </w:rPr>
        <w:lastRenderedPageBreak/>
        <w:t>Figure 2</w:t>
      </w:r>
      <w:r w:rsidR="00E67CBD" w:rsidRPr="0088125C">
        <w:rPr>
          <w:rFonts w:ascii="Arial" w:eastAsia="Calibri" w:hAnsi="Arial" w:cs="Arial"/>
          <w:sz w:val="20"/>
          <w:szCs w:val="20"/>
          <w:lang w:val="en-US"/>
        </w:rPr>
        <w:t xml:space="preserve"> shows the abundance of Enterobacteriaceae in vegetable samples from markets and fields. There was no significant difference between the abundance of enterobacteria in market and field samples (</w:t>
      </w:r>
      <w:r w:rsidR="00E67CBD" w:rsidRPr="0088125C">
        <w:rPr>
          <w:rFonts w:ascii="Arial" w:eastAsia="Calibri" w:hAnsi="Arial" w:cs="Arial"/>
          <w:i/>
          <w:sz w:val="20"/>
          <w:szCs w:val="20"/>
          <w:lang w:val="en-US"/>
        </w:rPr>
        <w:t xml:space="preserve">P-values </w:t>
      </w:r>
      <w:r w:rsidR="00E67CBD" w:rsidRPr="0088125C">
        <w:rPr>
          <w:rFonts w:ascii="Arial" w:eastAsia="Calibri" w:hAnsi="Arial" w:cs="Arial"/>
          <w:sz w:val="20"/>
          <w:szCs w:val="20"/>
          <w:lang w:val="en-US"/>
        </w:rPr>
        <w:t>= 0.935 according to the Wilcoxon U test).</w:t>
      </w:r>
    </w:p>
    <w:p w14:paraId="2808138C"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r w:rsidRPr="0088125C">
        <w:rPr>
          <w:rFonts w:ascii="Arial" w:eastAsia="Calibri" w:hAnsi="Arial" w:cs="Arial"/>
          <w:noProof/>
          <w:sz w:val="20"/>
          <w:szCs w:val="20"/>
          <w:lang w:val="en-US"/>
        </w:rPr>
        <mc:AlternateContent>
          <mc:Choice Requires="wpg">
            <w:drawing>
              <wp:anchor distT="0" distB="0" distL="114300" distR="114300" simplePos="0" relativeHeight="251658240" behindDoc="0" locked="0" layoutInCell="1" allowOverlap="1" wp14:anchorId="68B06AA6" wp14:editId="52F844FC">
                <wp:simplePos x="0" y="0"/>
                <wp:positionH relativeFrom="column">
                  <wp:posOffset>799465</wp:posOffset>
                </wp:positionH>
                <wp:positionV relativeFrom="paragraph">
                  <wp:posOffset>157480</wp:posOffset>
                </wp:positionV>
                <wp:extent cx="1362710" cy="328930"/>
                <wp:effectExtent l="0" t="0" r="27940" b="13970"/>
                <wp:wrapNone/>
                <wp:docPr id="74" name="Groupe 25"/>
                <wp:cNvGraphicFramePr/>
                <a:graphic xmlns:a="http://schemas.openxmlformats.org/drawingml/2006/main">
                  <a:graphicData uri="http://schemas.microsoft.com/office/word/2010/wordprocessingGroup">
                    <wpg:wgp>
                      <wpg:cNvGrpSpPr/>
                      <wpg:grpSpPr>
                        <a:xfrm>
                          <a:off x="0" y="0"/>
                          <a:ext cx="1362710" cy="328295"/>
                          <a:chOff x="0" y="0"/>
                          <a:chExt cx="1363027" cy="328614"/>
                        </a:xfrm>
                      </wpg:grpSpPr>
                      <wps:wsp>
                        <wps:cNvPr id="82" name="Parenthèse ouvrante 82"/>
                        <wps:cNvSpPr/>
                        <wps:spPr>
                          <a:xfrm rot="5400000">
                            <a:off x="634364" y="-400050"/>
                            <a:ext cx="94300" cy="1363027"/>
                          </a:xfrm>
                          <a:prstGeom prst="leftBracket">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Zone de texte 27"/>
                        <wps:cNvSpPr txBox="1"/>
                        <wps:spPr>
                          <a:xfrm>
                            <a:off x="139064" y="0"/>
                            <a:ext cx="1200150" cy="266700"/>
                          </a:xfrm>
                          <a:prstGeom prst="rect">
                            <a:avLst/>
                          </a:prstGeom>
                          <a:noFill/>
                          <a:ln w="6350">
                            <a:noFill/>
                          </a:ln>
                        </wps:spPr>
                        <wps:txbx>
                          <w:txbxContent>
                            <w:p w14:paraId="2CE19524" w14:textId="77777777" w:rsidR="00D34FD5" w:rsidRDefault="00D34FD5" w:rsidP="00E67CBD">
                              <w:pPr>
                                <w:rPr>
                                  <w:lang w:val="en-US"/>
                                </w:rPr>
                              </w:pPr>
                              <w:r>
                                <w:rPr>
                                  <w:rFonts w:ascii="Times New Roman" w:hAnsi="Times New Roman"/>
                                  <w:i/>
                                  <w:lang w:val="en-US"/>
                                </w:rPr>
                                <w:t xml:space="preserve">P-value </w:t>
                              </w:r>
                              <w:r>
                                <w:rPr>
                                  <w:lang w:val="en-US"/>
                                </w:rPr>
                                <w:t>= 0.935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8B06AA6" id="Groupe 25" o:spid="_x0000_s1026" style="position:absolute;margin-left:62.95pt;margin-top:12.4pt;width:107.3pt;height:25.9pt;z-index:251658240" coordsize="136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82" o:spid="_x0000_s1027" type="#_x0000_t85" style="position:absolute;left:6343;top:-4000;width:943;height:136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" adj="125" strokecolor="windowText" strokeweight=".5pt">
                  <v:stroke joinstyle="miter"/>
                </v:shape>
                <v:shapetype id="_x0000_t202" coordsize="21600,21600" o:spt="202" path="m,l,21600r21600,l21600,xe">
                  <v:stroke joinstyle="miter"/>
                  <v:path gradientshapeok="t" o:connecttype="rect"/>
                </v:shapetype>
                <v:shape id="Zone de texte 27" o:spid="_x0000_s1028" type="#_x0000_t202" style="position:absolute;left:1390;width:120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CE19524" w14:textId="77777777" w:rsidR="00D34FD5" w:rsidRDefault="00D34FD5" w:rsidP="00E67CBD">
                        <w:pPr>
                          <w:rPr>
                            <w:lang w:val="en-US"/>
                          </w:rPr>
                        </w:pPr>
                        <w:r>
                          <w:rPr>
                            <w:rFonts w:ascii="Times New Roman" w:hAnsi="Times New Roman"/>
                            <w:i/>
                            <w:lang w:val="en-US"/>
                          </w:rPr>
                          <w:t xml:space="preserve">P-value </w:t>
                        </w:r>
                        <w:r>
                          <w:rPr>
                            <w:lang w:val="en-US"/>
                          </w:rPr>
                          <w:t>= 0.935</w:t>
                        </w:r>
                      </w:p>
                    </w:txbxContent>
                  </v:textbox>
                </v:shape>
              </v:group>
            </w:pict>
          </mc:Fallback>
        </mc:AlternateContent>
      </w:r>
      <w:r w:rsidRPr="0088125C">
        <w:rPr>
          <w:rFonts w:ascii="Arial" w:eastAsia="Calibri" w:hAnsi="Arial" w:cs="Arial"/>
          <w:noProof/>
          <w:sz w:val="20"/>
          <w:szCs w:val="20"/>
          <w:lang w:val="en-US"/>
        </w:rPr>
        <w:drawing>
          <wp:inline distT="0" distB="0" distL="0" distR="0" wp14:anchorId="197B59DB" wp14:editId="2C32E606">
            <wp:extent cx="2695575" cy="2305050"/>
            <wp:effectExtent l="19050" t="19050" r="28575" b="19050"/>
            <wp:docPr id="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5">
                      <a:extLst>
                        <a:ext uri="{28A0092B-C50C-407E-A947-70E740481C1C}">
                          <a14:useLocalDpi xmlns:a14="http://schemas.microsoft.com/office/drawing/2010/main" val="0"/>
                        </a:ext>
                      </a:extLst>
                    </a:blip>
                    <a:srcRect l="4785" t="4375" r="4625" b="6163"/>
                    <a:stretch>
                      <a:fillRect/>
                    </a:stretch>
                  </pic:blipFill>
                  <pic:spPr bwMode="auto">
                    <a:xfrm>
                      <a:off x="0" y="0"/>
                      <a:ext cx="2695575" cy="2305050"/>
                    </a:xfrm>
                    <a:prstGeom prst="rect">
                      <a:avLst/>
                    </a:prstGeom>
                    <a:noFill/>
                    <a:ln w="9525" cmpd="sng">
                      <a:solidFill>
                        <a:srgbClr val="000000"/>
                      </a:solidFill>
                      <a:miter lim="800000"/>
                      <a:headEnd/>
                      <a:tailEnd/>
                    </a:ln>
                    <a:effectLst/>
                  </pic:spPr>
                </pic:pic>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val="en-US"/>
        </w:rPr>
        <w:drawing>
          <wp:inline distT="0" distB="0" distL="0" distR="0" wp14:anchorId="37AF4840" wp14:editId="5A739172">
            <wp:extent cx="2876550" cy="2286000"/>
            <wp:effectExtent l="19050" t="19050" r="19050" b="19050"/>
            <wp:docPr id="1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6">
                      <a:extLst>
                        <a:ext uri="{28A0092B-C50C-407E-A947-70E740481C1C}">
                          <a14:useLocalDpi xmlns:a14="http://schemas.microsoft.com/office/drawing/2010/main" val="0"/>
                        </a:ext>
                      </a:extLst>
                    </a:blip>
                    <a:srcRect l="2367" t="1788" r="2020" b="59660"/>
                    <a:stretch>
                      <a:fillRect/>
                    </a:stretch>
                  </pic:blipFill>
                  <pic:spPr bwMode="auto">
                    <a:xfrm>
                      <a:off x="0" y="0"/>
                      <a:ext cx="2876550" cy="2286000"/>
                    </a:xfrm>
                    <a:prstGeom prst="rect">
                      <a:avLst/>
                    </a:prstGeom>
                    <a:noFill/>
                    <a:ln w="9525" cmpd="sng">
                      <a:solidFill>
                        <a:srgbClr val="000000"/>
                      </a:solidFill>
                      <a:miter lim="800000"/>
                      <a:headEnd/>
                      <a:tailEnd/>
                    </a:ln>
                    <a:effectLst/>
                  </pic:spPr>
                </pic:pic>
              </a:graphicData>
            </a:graphic>
          </wp:inline>
        </w:drawing>
      </w:r>
    </w:p>
    <w:p w14:paraId="58E2A179"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p>
    <w:p w14:paraId="095980F8" w14:textId="77777777" w:rsidR="00E67CBD" w:rsidRPr="0088125C" w:rsidRDefault="0003335F" w:rsidP="00E67CBD">
      <w:pPr>
        <w:keepNext/>
        <w:spacing w:after="200" w:line="360" w:lineRule="auto"/>
        <w:rPr>
          <w:rFonts w:ascii="Arial" w:eastAsia="Calibri" w:hAnsi="Arial" w:cs="Arial"/>
          <w:iCs/>
          <w:sz w:val="20"/>
          <w:szCs w:val="20"/>
          <w:lang w:val="en-US"/>
        </w:rPr>
      </w:pPr>
      <w:r w:rsidRPr="0088125C">
        <w:rPr>
          <w:rFonts w:ascii="Arial" w:eastAsia="Calibri" w:hAnsi="Arial" w:cs="Arial"/>
          <w:b/>
          <w:iCs/>
          <w:sz w:val="20"/>
          <w:szCs w:val="20"/>
          <w:lang w:val="en-US"/>
        </w:rPr>
        <w:t>Figure 2</w:t>
      </w:r>
      <w:r w:rsidR="00E67CBD" w:rsidRPr="0088125C">
        <w:rPr>
          <w:rFonts w:ascii="Arial" w:eastAsia="Calibri" w:hAnsi="Arial" w:cs="Arial"/>
          <w:b/>
          <w:iCs/>
          <w:sz w:val="20"/>
          <w:szCs w:val="20"/>
          <w:lang w:val="en-US"/>
        </w:rPr>
        <w:t xml:space="preserve">. </w:t>
      </w:r>
      <w:r w:rsidR="00E67CBD" w:rsidRPr="0088125C">
        <w:rPr>
          <w:rFonts w:ascii="Arial" w:eastAsia="Calibri" w:hAnsi="Arial" w:cs="Arial"/>
          <w:iCs/>
          <w:sz w:val="20"/>
          <w:szCs w:val="20"/>
          <w:lang w:val="en-US"/>
        </w:rPr>
        <w:t>Abundance of Enterobacteriaceae in market and field samples by U test</w:t>
      </w:r>
    </w:p>
    <w:p w14:paraId="49B54DAF"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Prevalence and diversity of enterobacteria isolated from vegetables</w:t>
      </w:r>
    </w:p>
    <w:p w14:paraId="4B721721"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72EE1DAF"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Several species of Enterobacteriaceae belonging to several</w:t>
      </w:r>
      <w:r w:rsidR="0003335F" w:rsidRPr="0088125C">
        <w:rPr>
          <w:rFonts w:ascii="Arial" w:eastAsia="Calibri" w:hAnsi="Arial" w:cs="Arial"/>
          <w:sz w:val="20"/>
          <w:szCs w:val="20"/>
          <w:lang w:val="en-US"/>
        </w:rPr>
        <w:t xml:space="preserve"> genera were isolated (</w:t>
      </w:r>
      <w:r w:rsidR="0003335F" w:rsidRPr="0088125C">
        <w:rPr>
          <w:rFonts w:ascii="Arial" w:eastAsia="Calibri" w:hAnsi="Arial" w:cs="Arial"/>
          <w:b/>
          <w:sz w:val="20"/>
          <w:szCs w:val="20"/>
          <w:lang w:val="en-US"/>
        </w:rPr>
        <w:t>figures 3 and 4</w:t>
      </w:r>
      <w:r w:rsidRPr="0088125C">
        <w:rPr>
          <w:rFonts w:ascii="Arial" w:eastAsia="Calibri" w:hAnsi="Arial" w:cs="Arial"/>
          <w:sz w:val="20"/>
          <w:szCs w:val="20"/>
          <w:lang w:val="en-US"/>
        </w:rPr>
        <w:t xml:space="preserve">) from vegetables sampled at </w:t>
      </w:r>
      <w:r w:rsidR="00913077" w:rsidRPr="0088125C">
        <w:rPr>
          <w:rFonts w:ascii="Arial" w:eastAsia="Calibri" w:hAnsi="Arial" w:cs="Arial"/>
          <w:sz w:val="20"/>
          <w:szCs w:val="20"/>
          <w:lang w:val="en-US"/>
        </w:rPr>
        <w:t>field</w:t>
      </w:r>
      <w:r w:rsidRPr="0088125C">
        <w:rPr>
          <w:rFonts w:ascii="Arial" w:eastAsia="Calibri" w:hAnsi="Arial" w:cs="Arial"/>
          <w:sz w:val="20"/>
          <w:szCs w:val="20"/>
          <w:lang w:val="en-US"/>
        </w:rPr>
        <w:t xml:space="preserve"> and sales markets. The Enterobacteriaceae species isolated were almost identical whatever the sampling site considered (market garden site or field). </w:t>
      </w:r>
      <w:bookmarkStart w:id="12" w:name="_Hlk163202940"/>
      <w:r w:rsidRPr="0088125C">
        <w:rPr>
          <w:rFonts w:ascii="Arial" w:eastAsia="Calibri" w:hAnsi="Arial" w:cs="Arial"/>
          <w:sz w:val="20"/>
          <w:szCs w:val="20"/>
          <w:lang w:val="en-US"/>
        </w:rPr>
        <w:t xml:space="preserve">A total of sixty (60) strains of enterobacteria were identified, divided into eighteen (18) species belonging to ten (10) genera. </w:t>
      </w:r>
      <w:bookmarkStart w:id="13" w:name="_Hlk163225206"/>
      <w:bookmarkEnd w:id="12"/>
      <w:r w:rsidRPr="0088125C">
        <w:rPr>
          <w:rFonts w:ascii="Arial" w:eastAsia="Calibri" w:hAnsi="Arial" w:cs="Arial"/>
          <w:sz w:val="20"/>
          <w:szCs w:val="20"/>
          <w:lang w:val="en-US"/>
        </w:rPr>
        <w:t xml:space="preserve">The genera concerned were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Proteus,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and Serratia </w:t>
      </w:r>
      <w:r w:rsidR="0003335F" w:rsidRPr="0088125C">
        <w:rPr>
          <w:rFonts w:ascii="Arial" w:eastAsia="Calibri" w:hAnsi="Arial" w:cs="Arial"/>
          <w:sz w:val="20"/>
          <w:szCs w:val="20"/>
          <w:lang w:val="en-US"/>
        </w:rPr>
        <w:t>(</w:t>
      </w:r>
      <w:r w:rsidR="0003335F" w:rsidRPr="0088125C">
        <w:rPr>
          <w:rFonts w:ascii="Arial" w:eastAsia="Calibri" w:hAnsi="Arial" w:cs="Arial"/>
          <w:b/>
          <w:sz w:val="20"/>
          <w:szCs w:val="20"/>
          <w:lang w:val="en-US"/>
        </w:rPr>
        <w:t>figure 3</w:t>
      </w:r>
      <w:r w:rsidRPr="0088125C">
        <w:rPr>
          <w:rFonts w:ascii="Arial" w:eastAsia="Calibri" w:hAnsi="Arial" w:cs="Arial"/>
          <w:sz w:val="20"/>
          <w:szCs w:val="20"/>
          <w:lang w:val="en-US"/>
        </w:rPr>
        <w:t xml:space="preserve">). The species isolated were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terrigena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and two (2) </w:t>
      </w:r>
      <w:proofErr w:type="spellStart"/>
      <w:r w:rsidRPr="0088125C">
        <w:rPr>
          <w:rFonts w:ascii="Arial" w:eastAsia="Calibri" w:hAnsi="Arial" w:cs="Arial"/>
          <w:sz w:val="20"/>
          <w:szCs w:val="20"/>
          <w:lang w:val="en-US"/>
        </w:rPr>
        <w:t>serovars</w:t>
      </w:r>
      <w:proofErr w:type="spellEnd"/>
      <w:r w:rsidRPr="0088125C">
        <w:rPr>
          <w:rFonts w:ascii="Arial" w:eastAsia="Calibri" w:hAnsi="Arial" w:cs="Arial"/>
          <w:sz w:val="20"/>
          <w:szCs w:val="20"/>
          <w:lang w:val="en-US"/>
        </w:rPr>
        <w:t xml:space="preserve"> of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enterica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marcescens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t>
      </w:r>
      <w:r w:rsidR="0003335F" w:rsidRPr="0088125C">
        <w:rPr>
          <w:rFonts w:ascii="Arial" w:eastAsia="Calibri" w:hAnsi="Arial" w:cs="Arial"/>
          <w:sz w:val="20"/>
          <w:szCs w:val="20"/>
          <w:lang w:val="en-US"/>
        </w:rPr>
        <w:t>(</w:t>
      </w:r>
      <w:r w:rsidR="0003335F" w:rsidRPr="0088125C">
        <w:rPr>
          <w:rFonts w:ascii="Arial" w:eastAsia="Calibri" w:hAnsi="Arial" w:cs="Arial"/>
          <w:b/>
          <w:sz w:val="20"/>
          <w:szCs w:val="20"/>
          <w:lang w:val="en-US"/>
        </w:rPr>
        <w:t>figure 4</w:t>
      </w:r>
      <w:r w:rsidRPr="0088125C">
        <w:rPr>
          <w:rFonts w:ascii="Arial" w:eastAsia="Calibri" w:hAnsi="Arial" w:cs="Arial"/>
          <w:sz w:val="20"/>
          <w:szCs w:val="20"/>
          <w:lang w:val="en-US"/>
        </w:rPr>
        <w:t xml:space="preserve">). Among these species, five (5) were found in the majority, namely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(25.00%),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1 and 2 (15.00%),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2 (8.34%), </w:t>
      </w:r>
      <w:r w:rsidRPr="0088125C">
        <w:rPr>
          <w:rFonts w:ascii="Arial" w:eastAsia="Calibri" w:hAnsi="Arial" w:cs="Arial"/>
          <w:i/>
          <w:sz w:val="20"/>
          <w:szCs w:val="20"/>
          <w:lang w:val="en-US"/>
        </w:rPr>
        <w:t xml:space="preserve">Enterobacter Cloacae, and Salmonella </w:t>
      </w:r>
      <w:proofErr w:type="spellStart"/>
      <w:r w:rsidRPr="0088125C">
        <w:rPr>
          <w:rFonts w:ascii="Arial" w:eastAsia="Calibri" w:hAnsi="Arial" w:cs="Arial"/>
          <w:i/>
          <w:sz w:val="20"/>
          <w:szCs w:val="20"/>
          <w:lang w:val="en-US"/>
        </w:rPr>
        <w:t>enterica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sz w:val="20"/>
          <w:szCs w:val="20"/>
          <w:lang w:val="en-US"/>
        </w:rPr>
        <w:t>) (6.67% for each species).</w:t>
      </w:r>
    </w:p>
    <w:p w14:paraId="33F5B477" w14:textId="77777777" w:rsidR="00E67CBD" w:rsidRPr="0088125C" w:rsidRDefault="00E67CBD" w:rsidP="00E67CBD">
      <w:pPr>
        <w:spacing w:line="256" w:lineRule="auto"/>
        <w:rPr>
          <w:rFonts w:ascii="Arial" w:eastAsia="Calibri" w:hAnsi="Arial" w:cs="Arial"/>
          <w:sz w:val="20"/>
          <w:szCs w:val="20"/>
        </w:rPr>
      </w:pPr>
      <w:r w:rsidRPr="0088125C">
        <w:rPr>
          <w:rFonts w:ascii="Arial" w:eastAsia="Calibri" w:hAnsi="Arial" w:cs="Arial"/>
          <w:noProof/>
          <w:sz w:val="20"/>
          <w:szCs w:val="20"/>
          <w:shd w:val="clear" w:color="auto" w:fill="767171" w:themeFill="background2" w:themeFillShade="80"/>
          <w:lang w:val="en-US"/>
        </w:rPr>
        <w:lastRenderedPageBreak/>
        <w:drawing>
          <wp:inline distT="0" distB="0" distL="0" distR="0" wp14:anchorId="1E9FA639" wp14:editId="6DB88A15">
            <wp:extent cx="5724525" cy="2638425"/>
            <wp:effectExtent l="0" t="0" r="0" b="0"/>
            <wp:docPr id="11" name="Graphique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14" w:name="_Toc164617601"/>
      <w:bookmarkEnd w:id="13"/>
    </w:p>
    <w:p w14:paraId="741916AA"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
          <w:sz w:val="20"/>
          <w:szCs w:val="20"/>
          <w:lang w:val="en-US"/>
        </w:rPr>
        <w:t xml:space="preserve">Figure </w:t>
      </w:r>
      <w:r w:rsidR="0003335F" w:rsidRPr="0088125C">
        <w:rPr>
          <w:rFonts w:ascii="Arial" w:eastAsia="Calibri" w:hAnsi="Arial" w:cs="Arial"/>
          <w:b/>
          <w:sz w:val="20"/>
          <w:szCs w:val="20"/>
          <w:lang w:val="en-US"/>
        </w:rPr>
        <w:t>3</w:t>
      </w:r>
      <w:r w:rsidRPr="0088125C">
        <w:rPr>
          <w:rFonts w:ascii="Arial" w:eastAsia="Calibri" w:hAnsi="Arial" w:cs="Arial"/>
          <w:sz w:val="20"/>
          <w:szCs w:val="20"/>
          <w:lang w:val="en-US"/>
        </w:rPr>
        <w:t>: Distribution of enterobacteria genera isolated from vegetable samples</w:t>
      </w:r>
    </w:p>
    <w:p w14:paraId="01876502" w14:textId="77777777" w:rsidR="00E67CBD" w:rsidRPr="0088125C" w:rsidRDefault="00E67CBD" w:rsidP="00E67CBD">
      <w:pPr>
        <w:keepNext/>
        <w:spacing w:after="0" w:line="360" w:lineRule="auto"/>
        <w:jc w:val="both"/>
        <w:rPr>
          <w:rFonts w:ascii="Arial" w:eastAsia="Times New Roman" w:hAnsi="Arial" w:cs="Arial"/>
          <w:b/>
          <w:bCs/>
          <w:sz w:val="20"/>
          <w:szCs w:val="20"/>
        </w:rPr>
      </w:pPr>
      <w:r w:rsidRPr="0088125C">
        <w:rPr>
          <w:rFonts w:ascii="Arial" w:eastAsia="Calibri" w:hAnsi="Arial" w:cs="Arial"/>
          <w:noProof/>
          <w:sz w:val="20"/>
          <w:szCs w:val="20"/>
          <w:lang w:val="en-US"/>
        </w:rPr>
        <w:drawing>
          <wp:inline distT="0" distB="0" distL="0" distR="0" wp14:anchorId="5B963C5E" wp14:editId="2D96BBFD">
            <wp:extent cx="5753100" cy="2971800"/>
            <wp:effectExtent l="0" t="0" r="0" b="0"/>
            <wp:docPr id="12"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3AAAE9" w14:textId="77777777" w:rsidR="00E67CBD" w:rsidRPr="0088125C" w:rsidRDefault="0003335F" w:rsidP="00E67CBD">
      <w:pPr>
        <w:keepNext/>
        <w:spacing w:after="0" w:line="360" w:lineRule="auto"/>
        <w:jc w:val="both"/>
        <w:rPr>
          <w:rFonts w:ascii="Arial" w:eastAsia="Times New Roman" w:hAnsi="Arial" w:cs="Arial"/>
          <w:b/>
          <w:bCs/>
          <w:sz w:val="20"/>
          <w:szCs w:val="20"/>
          <w:lang w:val="en-US"/>
        </w:rPr>
      </w:pPr>
      <w:r w:rsidRPr="0088125C">
        <w:rPr>
          <w:rFonts w:ascii="Arial" w:eastAsia="Times New Roman" w:hAnsi="Arial" w:cs="Arial"/>
          <w:b/>
          <w:bCs/>
          <w:sz w:val="20"/>
          <w:szCs w:val="20"/>
          <w:lang w:val="en-US"/>
        </w:rPr>
        <w:t>Figure 4</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Distribution of enterobacteria species isolated from </w:t>
      </w:r>
      <w:r w:rsidR="00E67CBD" w:rsidRPr="0088125C">
        <w:rPr>
          <w:rFonts w:ascii="Arial" w:eastAsia="Times New Roman" w:hAnsi="Arial" w:cs="Arial"/>
          <w:b/>
          <w:bCs/>
          <w:sz w:val="20"/>
          <w:szCs w:val="20"/>
          <w:lang w:val="en-US"/>
        </w:rPr>
        <w:t>vegetable</w:t>
      </w:r>
      <w:r w:rsidR="00E67CBD" w:rsidRPr="0088125C">
        <w:rPr>
          <w:rFonts w:ascii="Arial" w:eastAsia="Times New Roman" w:hAnsi="Arial" w:cs="Arial"/>
          <w:bCs/>
          <w:sz w:val="20"/>
          <w:szCs w:val="20"/>
          <w:lang w:val="en-US"/>
        </w:rPr>
        <w:t xml:space="preserve"> samples </w:t>
      </w:r>
      <w:bookmarkStart w:id="15" w:name="_Toc165296591"/>
      <w:bookmarkStart w:id="16" w:name="_Toc162908011"/>
      <w:bookmarkStart w:id="17" w:name="_Toc162900121"/>
      <w:bookmarkEnd w:id="14"/>
    </w:p>
    <w:p w14:paraId="5FBB746D"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356E5F5A" w14:textId="77777777" w:rsidR="00E67CBD" w:rsidRPr="0088125C" w:rsidRDefault="003B795A" w:rsidP="003B795A">
      <w:pPr>
        <w:pStyle w:val="ListParagraph"/>
        <w:numPr>
          <w:ilvl w:val="1"/>
          <w:numId w:val="9"/>
        </w:numPr>
        <w:spacing w:after="0" w:line="360" w:lineRule="auto"/>
        <w:jc w:val="both"/>
        <w:rPr>
          <w:rFonts w:ascii="Arial" w:hAnsi="Arial" w:cs="Arial"/>
          <w:bCs/>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 xml:space="preserve">Prevalence and diversity of enterobacteria identified by market </w:t>
      </w:r>
      <w:bookmarkEnd w:id="15"/>
      <w:bookmarkEnd w:id="16"/>
      <w:bookmarkEnd w:id="17"/>
    </w:p>
    <w:p w14:paraId="664CCCCB"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2B59846E" w14:textId="77777777" w:rsidR="00E67CBD" w:rsidRPr="0088125C" w:rsidRDefault="00E67CBD" w:rsidP="00E67CBD">
      <w:pPr>
        <w:spacing w:after="0" w:line="360" w:lineRule="auto"/>
        <w:jc w:val="both"/>
        <w:rPr>
          <w:rFonts w:ascii="Arial" w:eastAsia="Calibri" w:hAnsi="Arial" w:cs="Arial"/>
          <w:bCs/>
          <w:sz w:val="20"/>
          <w:szCs w:val="20"/>
          <w:lang w:val="en-US"/>
        </w:rPr>
      </w:pPr>
      <w:r w:rsidRPr="0088125C">
        <w:rPr>
          <w:rFonts w:ascii="Arial" w:eastAsia="Calibri" w:hAnsi="Arial" w:cs="Arial"/>
          <w:b/>
          <w:sz w:val="20"/>
          <w:szCs w:val="20"/>
          <w:lang w:val="en-US"/>
        </w:rPr>
        <w:t xml:space="preserve">Table I </w:t>
      </w:r>
      <w:r w:rsidRPr="0088125C">
        <w:rPr>
          <w:rFonts w:ascii="Arial" w:eastAsia="Calibri" w:hAnsi="Arial" w:cs="Arial"/>
          <w:sz w:val="20"/>
          <w:szCs w:val="20"/>
          <w:lang w:val="en-US"/>
        </w:rPr>
        <w:t xml:space="preserve">shows the prevalence of Enterobacteriaceae identified by </w:t>
      </w:r>
      <w:r w:rsidR="00913077" w:rsidRPr="0088125C">
        <w:rPr>
          <w:rFonts w:ascii="Arial" w:eastAsia="Calibri" w:hAnsi="Arial" w:cs="Arial"/>
          <w:sz w:val="20"/>
          <w:szCs w:val="20"/>
          <w:lang w:val="en-US"/>
        </w:rPr>
        <w:t>sales markets</w:t>
      </w:r>
      <w:r w:rsidRPr="0088125C">
        <w:rPr>
          <w:rFonts w:ascii="Arial" w:eastAsia="Calibri" w:hAnsi="Arial" w:cs="Arial"/>
          <w:sz w:val="20"/>
          <w:szCs w:val="20"/>
          <w:lang w:val="en-US"/>
        </w:rPr>
        <w:t xml:space="preserve">.  In all, thirty-three (33) strains were identified in market samples, divided into nine (9) species: </w:t>
      </w:r>
      <w:r w:rsidRPr="0088125C">
        <w:rPr>
          <w:rFonts w:ascii="Arial" w:eastAsia="Calibri" w:hAnsi="Arial" w:cs="Arial"/>
          <w:i/>
          <w:sz w:val="20"/>
          <w:szCs w:val="20"/>
          <w:lang w:val="en-US"/>
        </w:rPr>
        <w:t xml:space="preserve">Enterobacter cloacae,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w:t>
      </w:r>
      <w:r w:rsidRPr="0088125C">
        <w:rPr>
          <w:rFonts w:ascii="Arial" w:eastAsia="Calibri" w:hAnsi="Arial" w:cs="Arial"/>
          <w:sz w:val="20"/>
          <w:szCs w:val="20"/>
          <w:lang w:val="en-US"/>
        </w:rPr>
        <w:t xml:space="preserve">two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enterica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sz w:val="20"/>
          <w:szCs w:val="20"/>
          <w:lang w:val="en-US"/>
        </w:rPr>
        <w:t>serovars</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marcescens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MH recorded the highest prevalence (27.27%, i.e. nine (09) species). The species identified in this market are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Escherichia coli1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2,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sz w:val="20"/>
          <w:szCs w:val="20"/>
          <w:lang w:val="en-US"/>
        </w:rPr>
        <w:t xml:space="preserve">. Seven (7) species (21.21%) were found in the MW, namely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w:t>
      </w:r>
      <w:r w:rsidRPr="0088125C">
        <w:rPr>
          <w:rFonts w:ascii="Arial" w:eastAsia="Calibri" w:hAnsi="Arial" w:cs="Arial"/>
          <w:i/>
          <w:sz w:val="20"/>
          <w:szCs w:val="20"/>
          <w:lang w:val="en-US"/>
        </w:rPr>
        <w:lastRenderedPageBreak/>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1</w:t>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Pneumoniae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and Proteus mirabilis</w:t>
      </w:r>
      <w:r w:rsidRPr="0088125C">
        <w:rPr>
          <w:rFonts w:ascii="Arial" w:eastAsia="Calibri" w:hAnsi="Arial" w:cs="Arial"/>
          <w:sz w:val="20"/>
          <w:szCs w:val="20"/>
          <w:lang w:val="en-US"/>
        </w:rPr>
        <w:t xml:space="preserve">. </w:t>
      </w:r>
      <w:r w:rsidRPr="0088125C">
        <w:rPr>
          <w:rFonts w:ascii="Arial" w:eastAsia="Calibri" w:hAnsi="Arial" w:cs="Arial"/>
          <w:bCs/>
          <w:sz w:val="20"/>
          <w:szCs w:val="20"/>
          <w:lang w:val="en-US"/>
        </w:rPr>
        <w:t>The distribution of Enterobacteriaceae species was not significant between markets (</w:t>
      </w:r>
      <w:r w:rsidRPr="0088125C">
        <w:rPr>
          <w:rFonts w:ascii="Arial" w:eastAsia="Calibri" w:hAnsi="Arial" w:cs="Arial"/>
          <w:bCs/>
          <w:i/>
          <w:sz w:val="20"/>
          <w:szCs w:val="20"/>
          <w:lang w:val="en-US"/>
        </w:rPr>
        <w:t xml:space="preserve">P-value </w:t>
      </w:r>
      <w:r w:rsidRPr="0088125C">
        <w:rPr>
          <w:rFonts w:ascii="Arial" w:eastAsia="Calibri" w:hAnsi="Arial" w:cs="Arial"/>
          <w:bCs/>
          <w:sz w:val="20"/>
          <w:szCs w:val="20"/>
          <w:lang w:val="en-US"/>
        </w:rPr>
        <w:t>= 0.552).</w:t>
      </w:r>
    </w:p>
    <w:p w14:paraId="243A2D08" w14:textId="77777777" w:rsidR="00E67CBD" w:rsidRPr="0088125C" w:rsidRDefault="00E67CBD" w:rsidP="00E67CBD">
      <w:pPr>
        <w:spacing w:after="0" w:line="360" w:lineRule="auto"/>
        <w:rPr>
          <w:rFonts w:ascii="Arial" w:eastAsia="Calibri" w:hAnsi="Arial" w:cs="Arial"/>
          <w:bCs/>
          <w:sz w:val="20"/>
          <w:szCs w:val="20"/>
          <w:lang w:val="en-US"/>
        </w:rPr>
        <w:sectPr w:rsidR="00E67CBD" w:rsidRPr="0088125C">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sectPr>
      </w:pPr>
    </w:p>
    <w:p w14:paraId="66DE40CE" w14:textId="77777777"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18" w:name="_Toc164617602"/>
      <w:r w:rsidRPr="0088125C">
        <w:rPr>
          <w:rFonts w:ascii="Arial" w:eastAsia="Times New Roman" w:hAnsi="Arial" w:cs="Arial"/>
          <w:b/>
          <w:bCs/>
          <w:sz w:val="20"/>
          <w:szCs w:val="20"/>
          <w:lang w:val="en-US"/>
        </w:rPr>
        <w:lastRenderedPageBreak/>
        <w:t xml:space="preserve">Table I. </w:t>
      </w:r>
      <w:r w:rsidRPr="0088125C">
        <w:rPr>
          <w:rFonts w:ascii="Arial" w:eastAsia="Calibri" w:hAnsi="Arial" w:cs="Arial"/>
          <w:bCs/>
          <w:sz w:val="20"/>
          <w:szCs w:val="20"/>
          <w:lang w:val="en-US"/>
        </w:rPr>
        <w:t>Distribution of Enterobacteriaceae species isolated from market vegetable samples</w:t>
      </w:r>
      <w:bookmarkEnd w:id="18"/>
    </w:p>
    <w:tbl>
      <w:tblPr>
        <w:tblStyle w:val="Grilledutableau1"/>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4842"/>
        <w:gridCol w:w="1226"/>
        <w:gridCol w:w="1226"/>
        <w:gridCol w:w="1226"/>
        <w:gridCol w:w="1226"/>
        <w:gridCol w:w="1226"/>
        <w:gridCol w:w="1510"/>
      </w:tblGrid>
      <w:tr w:rsidR="00E67CBD" w:rsidRPr="0088125C" w14:paraId="737B1BBF" w14:textId="77777777" w:rsidTr="00E67CBD">
        <w:trPr>
          <w:trHeight w:val="270"/>
        </w:trPr>
        <w:tc>
          <w:tcPr>
            <w:tcW w:w="0" w:type="auto"/>
            <w:tcBorders>
              <w:top w:val="single" w:sz="12" w:space="0" w:color="auto"/>
              <w:left w:val="nil"/>
              <w:bottom w:val="single" w:sz="12" w:space="0" w:color="auto"/>
              <w:right w:val="nil"/>
            </w:tcBorders>
            <w:hideMark/>
          </w:tcPr>
          <w:p w14:paraId="776901D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Type </w:t>
            </w:r>
          </w:p>
        </w:tc>
        <w:tc>
          <w:tcPr>
            <w:tcW w:w="0" w:type="auto"/>
            <w:vMerge w:val="restart"/>
            <w:tcBorders>
              <w:top w:val="single" w:sz="12" w:space="0" w:color="auto"/>
              <w:left w:val="nil"/>
              <w:bottom w:val="single" w:sz="12" w:space="0" w:color="auto"/>
              <w:right w:val="nil"/>
            </w:tcBorders>
            <w:noWrap/>
            <w:hideMark/>
          </w:tcPr>
          <w:p w14:paraId="127786BF"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p>
          <w:p w14:paraId="0E78FC5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 </w:t>
            </w:r>
          </w:p>
        </w:tc>
        <w:tc>
          <w:tcPr>
            <w:tcW w:w="0" w:type="auto"/>
            <w:gridSpan w:val="5"/>
            <w:tcBorders>
              <w:top w:val="single" w:sz="12" w:space="0" w:color="auto"/>
              <w:left w:val="nil"/>
              <w:bottom w:val="single" w:sz="12" w:space="0" w:color="auto"/>
              <w:right w:val="nil"/>
            </w:tcBorders>
            <w:noWrap/>
            <w:hideMark/>
          </w:tcPr>
          <w:p w14:paraId="527677B7"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market </w:t>
            </w: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0" w:type="auto"/>
            <w:vMerge w:val="restart"/>
            <w:tcBorders>
              <w:top w:val="single" w:sz="12" w:space="0" w:color="auto"/>
              <w:left w:val="nil"/>
              <w:bottom w:val="single" w:sz="12" w:space="0" w:color="auto"/>
              <w:right w:val="nil"/>
            </w:tcBorders>
            <w:noWrap/>
            <w:hideMark/>
          </w:tcPr>
          <w:p w14:paraId="25DB91F5"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5DF971A5" w14:textId="77777777" w:rsidTr="00E67CBD">
        <w:trPr>
          <w:trHeight w:val="270"/>
        </w:trPr>
        <w:tc>
          <w:tcPr>
            <w:tcW w:w="0" w:type="auto"/>
            <w:tcBorders>
              <w:top w:val="single" w:sz="12" w:space="0" w:color="auto"/>
              <w:left w:val="nil"/>
              <w:bottom w:val="single" w:sz="12" w:space="0" w:color="auto"/>
              <w:right w:val="nil"/>
            </w:tcBorders>
          </w:tcPr>
          <w:p w14:paraId="54E473FC" w14:textId="77777777" w:rsidR="00E67CBD" w:rsidRPr="0088125C" w:rsidRDefault="00E67CBD" w:rsidP="00E67CBD">
            <w:pPr>
              <w:spacing w:line="360" w:lineRule="auto"/>
              <w:jc w:val="both"/>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5B425F4A"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C4E846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MP</w:t>
            </w:r>
          </w:p>
        </w:tc>
        <w:tc>
          <w:tcPr>
            <w:tcW w:w="0" w:type="auto"/>
            <w:tcBorders>
              <w:top w:val="single" w:sz="12" w:space="0" w:color="auto"/>
              <w:left w:val="nil"/>
              <w:bottom w:val="single" w:sz="12" w:space="0" w:color="auto"/>
              <w:right w:val="nil"/>
            </w:tcBorders>
            <w:noWrap/>
            <w:hideMark/>
          </w:tcPr>
          <w:p w14:paraId="0B3B550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MDR</w:t>
            </w:r>
          </w:p>
        </w:tc>
        <w:tc>
          <w:tcPr>
            <w:tcW w:w="0" w:type="auto"/>
            <w:tcBorders>
              <w:top w:val="single" w:sz="12" w:space="0" w:color="auto"/>
              <w:left w:val="nil"/>
              <w:bottom w:val="single" w:sz="12" w:space="0" w:color="auto"/>
              <w:right w:val="nil"/>
            </w:tcBorders>
            <w:noWrap/>
            <w:hideMark/>
          </w:tcPr>
          <w:p w14:paraId="7E3A3BBE"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MD</w:t>
            </w:r>
          </w:p>
        </w:tc>
        <w:tc>
          <w:tcPr>
            <w:tcW w:w="0" w:type="auto"/>
            <w:tcBorders>
              <w:top w:val="single" w:sz="12" w:space="0" w:color="auto"/>
              <w:left w:val="nil"/>
              <w:bottom w:val="single" w:sz="12" w:space="0" w:color="auto"/>
              <w:right w:val="nil"/>
            </w:tcBorders>
            <w:noWrap/>
            <w:hideMark/>
          </w:tcPr>
          <w:p w14:paraId="1B12E36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MW</w:t>
            </w:r>
          </w:p>
        </w:tc>
        <w:tc>
          <w:tcPr>
            <w:tcW w:w="0" w:type="auto"/>
            <w:tcBorders>
              <w:top w:val="single" w:sz="12" w:space="0" w:color="auto"/>
              <w:left w:val="nil"/>
              <w:bottom w:val="single" w:sz="12" w:space="0" w:color="auto"/>
              <w:right w:val="nil"/>
            </w:tcBorders>
            <w:noWrap/>
            <w:hideMark/>
          </w:tcPr>
          <w:p w14:paraId="3EABD318"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MH</w:t>
            </w:r>
          </w:p>
        </w:tc>
        <w:tc>
          <w:tcPr>
            <w:tcW w:w="0" w:type="auto"/>
            <w:vMerge/>
            <w:tcBorders>
              <w:top w:val="single" w:sz="12" w:space="0" w:color="auto"/>
              <w:left w:val="nil"/>
              <w:bottom w:val="single" w:sz="12" w:space="0" w:color="auto"/>
              <w:right w:val="nil"/>
            </w:tcBorders>
            <w:vAlign w:val="center"/>
            <w:hideMark/>
          </w:tcPr>
          <w:p w14:paraId="60CE1B48" w14:textId="77777777" w:rsidR="00E67CBD" w:rsidRPr="0088125C" w:rsidRDefault="00E67CBD" w:rsidP="00E67CBD">
            <w:pPr>
              <w:rPr>
                <w:rFonts w:ascii="Arial" w:hAnsi="Arial" w:cs="Arial"/>
                <w:b/>
                <w:sz w:val="20"/>
                <w:szCs w:val="20"/>
              </w:rPr>
            </w:pPr>
          </w:p>
        </w:tc>
      </w:tr>
      <w:tr w:rsidR="00E67CBD" w:rsidRPr="0088125C" w14:paraId="1EF382A2" w14:textId="77777777" w:rsidTr="00E67CBD">
        <w:trPr>
          <w:trHeight w:val="270"/>
        </w:trPr>
        <w:tc>
          <w:tcPr>
            <w:tcW w:w="0" w:type="auto"/>
            <w:tcBorders>
              <w:top w:val="single" w:sz="12" w:space="0" w:color="auto"/>
              <w:left w:val="nil"/>
              <w:bottom w:val="nil"/>
              <w:right w:val="nil"/>
            </w:tcBorders>
            <w:hideMark/>
          </w:tcPr>
          <w:p w14:paraId="4589B4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single" w:sz="12" w:space="0" w:color="auto"/>
              <w:left w:val="nil"/>
              <w:bottom w:val="nil"/>
              <w:right w:val="nil"/>
            </w:tcBorders>
            <w:noWrap/>
            <w:hideMark/>
          </w:tcPr>
          <w:p w14:paraId="4EE3A80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Enterobacter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cloacae</w:t>
            </w:r>
            <w:proofErr w:type="spellEnd"/>
          </w:p>
        </w:tc>
        <w:tc>
          <w:tcPr>
            <w:tcW w:w="0" w:type="auto"/>
            <w:tcBorders>
              <w:top w:val="single" w:sz="12" w:space="0" w:color="auto"/>
              <w:left w:val="nil"/>
              <w:bottom w:val="nil"/>
              <w:right w:val="nil"/>
            </w:tcBorders>
            <w:noWrap/>
            <w:hideMark/>
          </w:tcPr>
          <w:p w14:paraId="0EB30EE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single" w:sz="12" w:space="0" w:color="auto"/>
              <w:left w:val="nil"/>
              <w:bottom w:val="nil"/>
              <w:right w:val="nil"/>
            </w:tcBorders>
            <w:noWrap/>
            <w:hideMark/>
          </w:tcPr>
          <w:p w14:paraId="0650A53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5EDFFAC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51A3F05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194924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single" w:sz="12" w:space="0" w:color="auto"/>
              <w:left w:val="nil"/>
              <w:bottom w:val="nil"/>
              <w:right w:val="nil"/>
            </w:tcBorders>
            <w:noWrap/>
            <w:hideMark/>
          </w:tcPr>
          <w:p w14:paraId="2612167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2(6,06)</w:t>
            </w:r>
          </w:p>
        </w:tc>
      </w:tr>
      <w:tr w:rsidR="00E67CBD" w:rsidRPr="0088125C" w14:paraId="5F06AD36" w14:textId="77777777" w:rsidTr="00E67CBD">
        <w:trPr>
          <w:trHeight w:val="270"/>
        </w:trPr>
        <w:tc>
          <w:tcPr>
            <w:tcW w:w="0" w:type="auto"/>
            <w:tcBorders>
              <w:top w:val="nil"/>
              <w:left w:val="nil"/>
              <w:bottom w:val="nil"/>
              <w:right w:val="nil"/>
            </w:tcBorders>
            <w:hideMark/>
          </w:tcPr>
          <w:p w14:paraId="7EE7405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9B378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0" w:type="auto"/>
            <w:tcBorders>
              <w:top w:val="nil"/>
              <w:left w:val="nil"/>
              <w:bottom w:val="nil"/>
              <w:right w:val="nil"/>
            </w:tcBorders>
            <w:noWrap/>
            <w:hideMark/>
          </w:tcPr>
          <w:p w14:paraId="45ACD57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1286C16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56B7421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F6F88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04C92B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34A5FDC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4(11,11)</w:t>
            </w:r>
          </w:p>
        </w:tc>
      </w:tr>
      <w:tr w:rsidR="00E67CBD" w:rsidRPr="0088125C" w14:paraId="4FC1FF5C" w14:textId="77777777" w:rsidTr="00E67CBD">
        <w:trPr>
          <w:trHeight w:val="270"/>
        </w:trPr>
        <w:tc>
          <w:tcPr>
            <w:tcW w:w="0" w:type="auto"/>
            <w:tcBorders>
              <w:top w:val="nil"/>
              <w:left w:val="nil"/>
              <w:bottom w:val="nil"/>
              <w:right w:val="nil"/>
            </w:tcBorders>
            <w:hideMark/>
          </w:tcPr>
          <w:p w14:paraId="1E2FE79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2ED4E9D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coli2</w:t>
            </w:r>
          </w:p>
        </w:tc>
        <w:tc>
          <w:tcPr>
            <w:tcW w:w="0" w:type="auto"/>
            <w:tcBorders>
              <w:top w:val="nil"/>
              <w:left w:val="nil"/>
              <w:bottom w:val="nil"/>
              <w:right w:val="nil"/>
            </w:tcBorders>
            <w:noWrap/>
            <w:hideMark/>
          </w:tcPr>
          <w:p w14:paraId="391CCB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0AC76C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354ED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C31F9E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4DD9C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19A7A71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5D5C7E9" w14:textId="77777777" w:rsidTr="00E67CBD">
        <w:trPr>
          <w:trHeight w:val="270"/>
        </w:trPr>
        <w:tc>
          <w:tcPr>
            <w:tcW w:w="0" w:type="auto"/>
            <w:tcBorders>
              <w:top w:val="nil"/>
              <w:left w:val="nil"/>
              <w:bottom w:val="nil"/>
              <w:right w:val="nil"/>
            </w:tcBorders>
            <w:hideMark/>
          </w:tcPr>
          <w:p w14:paraId="606E5CB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4E8A33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0" w:type="auto"/>
            <w:tcBorders>
              <w:top w:val="nil"/>
              <w:left w:val="nil"/>
              <w:bottom w:val="nil"/>
              <w:right w:val="nil"/>
            </w:tcBorders>
            <w:noWrap/>
            <w:hideMark/>
          </w:tcPr>
          <w:p w14:paraId="6BCA45A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9DFEF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2EFD031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3B6C9CF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CE832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D8942D6"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2(6,06)</w:t>
            </w:r>
          </w:p>
        </w:tc>
      </w:tr>
      <w:tr w:rsidR="00E67CBD" w:rsidRPr="0088125C" w14:paraId="3A069A2B" w14:textId="77777777" w:rsidTr="00E67CBD">
        <w:trPr>
          <w:trHeight w:val="270"/>
        </w:trPr>
        <w:tc>
          <w:tcPr>
            <w:tcW w:w="0" w:type="auto"/>
            <w:tcBorders>
              <w:top w:val="nil"/>
              <w:left w:val="nil"/>
              <w:bottom w:val="nil"/>
              <w:right w:val="nil"/>
            </w:tcBorders>
            <w:hideMark/>
          </w:tcPr>
          <w:p w14:paraId="65630A0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3840329"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Klebsiella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0" w:type="auto"/>
            <w:tcBorders>
              <w:top w:val="nil"/>
              <w:left w:val="nil"/>
              <w:bottom w:val="nil"/>
              <w:right w:val="nil"/>
            </w:tcBorders>
            <w:noWrap/>
            <w:hideMark/>
          </w:tcPr>
          <w:p w14:paraId="1A7A0F3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7A68A3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B116C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68F46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5195801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F5F673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BCD8088" w14:textId="77777777" w:rsidTr="00E67CBD">
        <w:trPr>
          <w:trHeight w:val="270"/>
        </w:trPr>
        <w:tc>
          <w:tcPr>
            <w:tcW w:w="0" w:type="auto"/>
            <w:tcBorders>
              <w:top w:val="nil"/>
              <w:left w:val="nil"/>
              <w:bottom w:val="nil"/>
              <w:right w:val="nil"/>
            </w:tcBorders>
            <w:hideMark/>
          </w:tcPr>
          <w:p w14:paraId="2A5535AB"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21F8B6F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5D90E7E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2(6,06)a</w:t>
            </w:r>
          </w:p>
        </w:tc>
        <w:tc>
          <w:tcPr>
            <w:tcW w:w="0" w:type="auto"/>
            <w:tcBorders>
              <w:top w:val="nil"/>
              <w:left w:val="nil"/>
              <w:bottom w:val="nil"/>
              <w:right w:val="nil"/>
            </w:tcBorders>
            <w:noWrap/>
            <w:hideMark/>
          </w:tcPr>
          <w:p w14:paraId="1B1D09D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40E77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A1154F9" w14:textId="77777777" w:rsidR="00E67CBD" w:rsidRPr="0088125C" w:rsidRDefault="00E67CBD" w:rsidP="00913077">
            <w:pPr>
              <w:spacing w:line="256" w:lineRule="auto"/>
              <w:jc w:val="center"/>
              <w:rPr>
                <w:rFonts w:ascii="Arial" w:hAnsi="Arial" w:cs="Arial"/>
                <w:sz w:val="20"/>
                <w:szCs w:val="20"/>
              </w:rPr>
            </w:pPr>
          </w:p>
        </w:tc>
        <w:tc>
          <w:tcPr>
            <w:tcW w:w="0" w:type="auto"/>
            <w:tcBorders>
              <w:top w:val="nil"/>
              <w:left w:val="nil"/>
              <w:bottom w:val="nil"/>
              <w:right w:val="nil"/>
            </w:tcBorders>
            <w:noWrap/>
            <w:hideMark/>
          </w:tcPr>
          <w:p w14:paraId="05F5D8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4387622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3(9,09)</w:t>
            </w:r>
          </w:p>
        </w:tc>
      </w:tr>
      <w:tr w:rsidR="00E67CBD" w:rsidRPr="0088125C" w14:paraId="2EF56ADD" w14:textId="77777777" w:rsidTr="00E67CBD">
        <w:trPr>
          <w:trHeight w:val="270"/>
        </w:trPr>
        <w:tc>
          <w:tcPr>
            <w:tcW w:w="0" w:type="auto"/>
            <w:tcBorders>
              <w:top w:val="nil"/>
              <w:left w:val="nil"/>
              <w:bottom w:val="nil"/>
              <w:right w:val="nil"/>
            </w:tcBorders>
            <w:hideMark/>
          </w:tcPr>
          <w:p w14:paraId="55C8BFB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p>
        </w:tc>
        <w:tc>
          <w:tcPr>
            <w:tcW w:w="0" w:type="auto"/>
            <w:tcBorders>
              <w:top w:val="nil"/>
              <w:left w:val="nil"/>
              <w:bottom w:val="nil"/>
              <w:right w:val="nil"/>
            </w:tcBorders>
            <w:noWrap/>
            <w:hideMark/>
          </w:tcPr>
          <w:p w14:paraId="1170A9C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2</w:t>
            </w:r>
          </w:p>
        </w:tc>
        <w:tc>
          <w:tcPr>
            <w:tcW w:w="0" w:type="auto"/>
            <w:tcBorders>
              <w:top w:val="nil"/>
              <w:left w:val="nil"/>
              <w:bottom w:val="nil"/>
              <w:right w:val="nil"/>
            </w:tcBorders>
            <w:noWrap/>
            <w:hideMark/>
          </w:tcPr>
          <w:p w14:paraId="2A2EE5C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31E7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699E004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D7D40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9288AA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35C820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72FBCAE5" w14:textId="77777777" w:rsidTr="00E67CBD">
        <w:trPr>
          <w:trHeight w:val="270"/>
        </w:trPr>
        <w:tc>
          <w:tcPr>
            <w:tcW w:w="0" w:type="auto"/>
            <w:tcBorders>
              <w:top w:val="nil"/>
              <w:left w:val="nil"/>
              <w:bottom w:val="nil"/>
              <w:right w:val="nil"/>
            </w:tcBorders>
            <w:hideMark/>
          </w:tcPr>
          <w:p w14:paraId="181160B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6DB87B2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5958D71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03F69A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BC4707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A1BBF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3580216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8EC3D7"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1F192533" w14:textId="77777777" w:rsidTr="00E67CBD">
        <w:trPr>
          <w:trHeight w:val="270"/>
        </w:trPr>
        <w:tc>
          <w:tcPr>
            <w:tcW w:w="0" w:type="auto"/>
            <w:tcBorders>
              <w:top w:val="nil"/>
              <w:left w:val="nil"/>
              <w:bottom w:val="nil"/>
              <w:right w:val="nil"/>
            </w:tcBorders>
            <w:hideMark/>
          </w:tcPr>
          <w:p w14:paraId="40A3B17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62DB3E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vulgaris group</w:t>
            </w:r>
          </w:p>
        </w:tc>
        <w:tc>
          <w:tcPr>
            <w:tcW w:w="0" w:type="auto"/>
            <w:tcBorders>
              <w:top w:val="nil"/>
              <w:left w:val="nil"/>
              <w:bottom w:val="nil"/>
              <w:right w:val="nil"/>
            </w:tcBorders>
            <w:noWrap/>
            <w:hideMark/>
          </w:tcPr>
          <w:p w14:paraId="100516E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2E4BE93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13DD7C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C8B415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555B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6B73FD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8D9F39F" w14:textId="77777777" w:rsidTr="00E67CBD">
        <w:trPr>
          <w:trHeight w:val="270"/>
        </w:trPr>
        <w:tc>
          <w:tcPr>
            <w:tcW w:w="0" w:type="auto"/>
            <w:tcBorders>
              <w:top w:val="nil"/>
              <w:left w:val="nil"/>
              <w:bottom w:val="nil"/>
              <w:right w:val="nil"/>
            </w:tcBorders>
            <w:hideMark/>
          </w:tcPr>
          <w:p w14:paraId="22B4E64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10F3EA79"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rettgeri</w:t>
            </w:r>
            <w:proofErr w:type="spellEnd"/>
          </w:p>
        </w:tc>
        <w:tc>
          <w:tcPr>
            <w:tcW w:w="0" w:type="auto"/>
            <w:tcBorders>
              <w:top w:val="nil"/>
              <w:left w:val="nil"/>
              <w:bottom w:val="nil"/>
              <w:right w:val="nil"/>
            </w:tcBorders>
            <w:noWrap/>
            <w:hideMark/>
          </w:tcPr>
          <w:p w14:paraId="7876D6E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21F6FE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B14C0D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3637D73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748769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1FB82E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05C01508" w14:textId="77777777" w:rsidTr="00E67CBD">
        <w:trPr>
          <w:trHeight w:val="270"/>
        </w:trPr>
        <w:tc>
          <w:tcPr>
            <w:tcW w:w="0" w:type="auto"/>
            <w:tcBorders>
              <w:top w:val="nil"/>
              <w:left w:val="nil"/>
              <w:bottom w:val="nil"/>
              <w:right w:val="nil"/>
            </w:tcBorders>
            <w:hideMark/>
          </w:tcPr>
          <w:p w14:paraId="1C63DF7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3E80EE16"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pullorum</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733AA69E" w14:textId="77777777" w:rsidR="00E67CBD" w:rsidRPr="0088125C" w:rsidRDefault="00E67CBD" w:rsidP="00913077">
            <w:pPr>
              <w:spacing w:line="256" w:lineRule="auto"/>
              <w:jc w:val="center"/>
              <w:rPr>
                <w:rFonts w:ascii="Arial" w:hAnsi="Arial" w:cs="Arial"/>
                <w:i/>
                <w:sz w:val="20"/>
                <w:szCs w:val="20"/>
              </w:rPr>
            </w:pPr>
          </w:p>
        </w:tc>
        <w:tc>
          <w:tcPr>
            <w:tcW w:w="0" w:type="auto"/>
            <w:tcBorders>
              <w:top w:val="nil"/>
              <w:left w:val="nil"/>
              <w:bottom w:val="nil"/>
              <w:right w:val="nil"/>
            </w:tcBorders>
            <w:noWrap/>
            <w:hideMark/>
          </w:tcPr>
          <w:p w14:paraId="2C16F96E"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086BB885"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27928BB4"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3C06338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54F2E82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1(3,06)</w:t>
            </w:r>
          </w:p>
        </w:tc>
      </w:tr>
      <w:tr w:rsidR="00E67CBD" w:rsidRPr="0088125C" w14:paraId="3A27822B" w14:textId="77777777" w:rsidTr="00E67CBD">
        <w:trPr>
          <w:trHeight w:val="270"/>
        </w:trPr>
        <w:tc>
          <w:tcPr>
            <w:tcW w:w="0" w:type="auto"/>
            <w:tcBorders>
              <w:top w:val="nil"/>
              <w:left w:val="nil"/>
              <w:bottom w:val="nil"/>
              <w:right w:val="nil"/>
            </w:tcBorders>
            <w:hideMark/>
          </w:tcPr>
          <w:p w14:paraId="34F37B9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7BDA409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0" w:type="auto"/>
            <w:tcBorders>
              <w:top w:val="nil"/>
              <w:left w:val="nil"/>
              <w:bottom w:val="nil"/>
              <w:right w:val="nil"/>
            </w:tcBorders>
            <w:noWrap/>
            <w:hideMark/>
          </w:tcPr>
          <w:p w14:paraId="7EEC41F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8AC40A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133A2ED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A241A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1611727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3660C9B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3(9,09)</w:t>
            </w:r>
          </w:p>
        </w:tc>
      </w:tr>
      <w:tr w:rsidR="00E67CBD" w:rsidRPr="0088125C" w14:paraId="6C8977B7" w14:textId="77777777" w:rsidTr="00E67CBD">
        <w:trPr>
          <w:trHeight w:val="270"/>
        </w:trPr>
        <w:tc>
          <w:tcPr>
            <w:tcW w:w="0" w:type="auto"/>
            <w:tcBorders>
              <w:top w:val="nil"/>
              <w:left w:val="nil"/>
              <w:bottom w:val="nil"/>
              <w:right w:val="nil"/>
            </w:tcBorders>
            <w:hideMark/>
          </w:tcPr>
          <w:p w14:paraId="18B97BC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1ECF023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r w:rsidRPr="0088125C">
              <w:rPr>
                <w:rFonts w:ascii="Arial" w:hAnsi="Arial" w:cs="Arial"/>
                <w:i/>
                <w:sz w:val="20"/>
                <w:szCs w:val="20"/>
              </w:rPr>
              <w:t>.</w:t>
            </w:r>
          </w:p>
        </w:tc>
        <w:tc>
          <w:tcPr>
            <w:tcW w:w="0" w:type="auto"/>
            <w:tcBorders>
              <w:top w:val="nil"/>
              <w:left w:val="nil"/>
              <w:bottom w:val="nil"/>
              <w:right w:val="nil"/>
            </w:tcBorders>
            <w:noWrap/>
            <w:hideMark/>
          </w:tcPr>
          <w:p w14:paraId="069518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20DE9CC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1730377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3(9,09)a</w:t>
            </w:r>
          </w:p>
        </w:tc>
        <w:tc>
          <w:tcPr>
            <w:tcW w:w="0" w:type="auto"/>
            <w:tcBorders>
              <w:top w:val="nil"/>
              <w:left w:val="nil"/>
              <w:bottom w:val="nil"/>
              <w:right w:val="nil"/>
            </w:tcBorders>
            <w:noWrap/>
            <w:hideMark/>
          </w:tcPr>
          <w:p w14:paraId="2FCB745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3(9,09)a</w:t>
            </w:r>
          </w:p>
        </w:tc>
        <w:tc>
          <w:tcPr>
            <w:tcW w:w="0" w:type="auto"/>
            <w:tcBorders>
              <w:top w:val="nil"/>
              <w:left w:val="nil"/>
              <w:bottom w:val="nil"/>
              <w:right w:val="nil"/>
            </w:tcBorders>
            <w:noWrap/>
            <w:hideMark/>
          </w:tcPr>
          <w:p w14:paraId="2B3A1CD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6F71670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9(27,27)</w:t>
            </w:r>
          </w:p>
        </w:tc>
      </w:tr>
      <w:tr w:rsidR="00E67CBD" w:rsidRPr="0088125C" w14:paraId="7EC16C09" w14:textId="77777777" w:rsidTr="00E67CBD">
        <w:trPr>
          <w:trHeight w:val="270"/>
        </w:trPr>
        <w:tc>
          <w:tcPr>
            <w:tcW w:w="0" w:type="auto"/>
            <w:tcBorders>
              <w:top w:val="nil"/>
              <w:left w:val="nil"/>
              <w:bottom w:val="nil"/>
              <w:right w:val="nil"/>
            </w:tcBorders>
            <w:hideMark/>
          </w:tcPr>
          <w:p w14:paraId="70C2861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19FF042"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liquefaciens</w:t>
            </w:r>
            <w:proofErr w:type="spellEnd"/>
          </w:p>
        </w:tc>
        <w:tc>
          <w:tcPr>
            <w:tcW w:w="0" w:type="auto"/>
            <w:tcBorders>
              <w:top w:val="nil"/>
              <w:left w:val="nil"/>
              <w:bottom w:val="nil"/>
              <w:right w:val="nil"/>
            </w:tcBorders>
            <w:noWrap/>
            <w:hideMark/>
          </w:tcPr>
          <w:p w14:paraId="1FD0F9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EF5290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E33523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1E6316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701BD9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78D42CA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47A25FE5" w14:textId="77777777" w:rsidTr="00E67CBD">
        <w:trPr>
          <w:trHeight w:val="270"/>
        </w:trPr>
        <w:tc>
          <w:tcPr>
            <w:tcW w:w="0" w:type="auto"/>
            <w:tcBorders>
              <w:top w:val="nil"/>
              <w:left w:val="nil"/>
              <w:bottom w:val="nil"/>
              <w:right w:val="nil"/>
            </w:tcBorders>
            <w:hideMark/>
          </w:tcPr>
          <w:p w14:paraId="5D5A9B2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7FF8ADF"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marcescens</w:t>
            </w:r>
            <w:proofErr w:type="spellEnd"/>
          </w:p>
        </w:tc>
        <w:tc>
          <w:tcPr>
            <w:tcW w:w="0" w:type="auto"/>
            <w:tcBorders>
              <w:top w:val="nil"/>
              <w:left w:val="nil"/>
              <w:bottom w:val="nil"/>
              <w:right w:val="nil"/>
            </w:tcBorders>
            <w:noWrap/>
            <w:hideMark/>
          </w:tcPr>
          <w:p w14:paraId="217F8D7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561E86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081E057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2C4BA1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22E01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FC8C6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61835F8F" w14:textId="77777777" w:rsidTr="00E67CBD">
        <w:trPr>
          <w:trHeight w:val="270"/>
        </w:trPr>
        <w:tc>
          <w:tcPr>
            <w:tcW w:w="0" w:type="auto"/>
            <w:tcBorders>
              <w:top w:val="nil"/>
              <w:left w:val="nil"/>
              <w:bottom w:val="nil"/>
              <w:right w:val="nil"/>
            </w:tcBorders>
            <w:hideMark/>
          </w:tcPr>
          <w:p w14:paraId="3B45BB4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2F03AF"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rubidaea</w:t>
            </w:r>
            <w:proofErr w:type="spellEnd"/>
          </w:p>
        </w:tc>
        <w:tc>
          <w:tcPr>
            <w:tcW w:w="0" w:type="auto"/>
            <w:tcBorders>
              <w:top w:val="nil"/>
              <w:left w:val="nil"/>
              <w:bottom w:val="nil"/>
              <w:right w:val="nil"/>
            </w:tcBorders>
            <w:noWrap/>
            <w:hideMark/>
          </w:tcPr>
          <w:p w14:paraId="0FAD4FC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6DB55C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777434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55D08A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D2102C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1(3,03)a</w:t>
            </w:r>
          </w:p>
        </w:tc>
        <w:tc>
          <w:tcPr>
            <w:tcW w:w="0" w:type="auto"/>
            <w:tcBorders>
              <w:top w:val="nil"/>
              <w:left w:val="nil"/>
              <w:bottom w:val="nil"/>
              <w:right w:val="nil"/>
            </w:tcBorders>
            <w:noWrap/>
            <w:hideMark/>
          </w:tcPr>
          <w:p w14:paraId="76742A3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65AC450C" w14:textId="77777777" w:rsidTr="00E67CBD">
        <w:trPr>
          <w:trHeight w:val="270"/>
        </w:trPr>
        <w:tc>
          <w:tcPr>
            <w:tcW w:w="0" w:type="auto"/>
            <w:tcBorders>
              <w:top w:val="nil"/>
              <w:left w:val="nil"/>
              <w:bottom w:val="single" w:sz="12" w:space="0" w:color="auto"/>
              <w:right w:val="nil"/>
            </w:tcBorders>
            <w:hideMark/>
          </w:tcPr>
          <w:p w14:paraId="07F5CEF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c>
          <w:tcPr>
            <w:tcW w:w="0" w:type="auto"/>
            <w:tcBorders>
              <w:top w:val="nil"/>
              <w:left w:val="nil"/>
              <w:bottom w:val="single" w:sz="12" w:space="0" w:color="auto"/>
              <w:right w:val="nil"/>
            </w:tcBorders>
            <w:noWrap/>
            <w:hideMark/>
          </w:tcPr>
          <w:p w14:paraId="7C1271CF"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6AA5115A"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6(18,18)</w:t>
            </w:r>
          </w:p>
        </w:tc>
        <w:tc>
          <w:tcPr>
            <w:tcW w:w="0" w:type="auto"/>
            <w:tcBorders>
              <w:top w:val="nil"/>
              <w:left w:val="nil"/>
              <w:bottom w:val="single" w:sz="12" w:space="0" w:color="auto"/>
              <w:right w:val="nil"/>
            </w:tcBorders>
            <w:noWrap/>
            <w:hideMark/>
          </w:tcPr>
          <w:p w14:paraId="59978CF9"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6(18,18)</w:t>
            </w:r>
          </w:p>
        </w:tc>
        <w:tc>
          <w:tcPr>
            <w:tcW w:w="0" w:type="auto"/>
            <w:tcBorders>
              <w:top w:val="nil"/>
              <w:left w:val="nil"/>
              <w:bottom w:val="single" w:sz="12" w:space="0" w:color="auto"/>
              <w:right w:val="nil"/>
            </w:tcBorders>
            <w:noWrap/>
            <w:hideMark/>
          </w:tcPr>
          <w:p w14:paraId="26082026"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5(15,15)</w:t>
            </w:r>
          </w:p>
        </w:tc>
        <w:tc>
          <w:tcPr>
            <w:tcW w:w="0" w:type="auto"/>
            <w:tcBorders>
              <w:top w:val="nil"/>
              <w:left w:val="nil"/>
              <w:bottom w:val="single" w:sz="12" w:space="0" w:color="auto"/>
              <w:right w:val="nil"/>
            </w:tcBorders>
            <w:noWrap/>
            <w:hideMark/>
          </w:tcPr>
          <w:p w14:paraId="20C616A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7(21,21)</w:t>
            </w:r>
          </w:p>
        </w:tc>
        <w:tc>
          <w:tcPr>
            <w:tcW w:w="0" w:type="auto"/>
            <w:tcBorders>
              <w:top w:val="nil"/>
              <w:left w:val="nil"/>
              <w:bottom w:val="single" w:sz="12" w:space="0" w:color="auto"/>
              <w:right w:val="nil"/>
            </w:tcBorders>
            <w:noWrap/>
            <w:hideMark/>
          </w:tcPr>
          <w:p w14:paraId="6A604ED2"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9(27,27)</w:t>
            </w:r>
          </w:p>
        </w:tc>
        <w:tc>
          <w:tcPr>
            <w:tcW w:w="0" w:type="auto"/>
            <w:tcBorders>
              <w:top w:val="nil"/>
              <w:left w:val="nil"/>
              <w:bottom w:val="single" w:sz="12" w:space="0" w:color="auto"/>
              <w:right w:val="nil"/>
            </w:tcBorders>
            <w:noWrap/>
            <w:hideMark/>
          </w:tcPr>
          <w:p w14:paraId="0BBCD10B" w14:textId="77777777"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(33)100,00</w:t>
            </w:r>
          </w:p>
        </w:tc>
      </w:tr>
    </w:tbl>
    <w:p w14:paraId="1CE1C417" w14:textId="77777777" w:rsidR="00E67CBD" w:rsidRPr="0088125C" w:rsidRDefault="00E67CBD" w:rsidP="00E67CBD">
      <w:pPr>
        <w:spacing w:after="0" w:line="360" w:lineRule="auto"/>
        <w:jc w:val="both"/>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MP: Small market; MDR: Dar </w:t>
      </w:r>
      <w:proofErr w:type="spellStart"/>
      <w:r w:rsidRPr="0088125C">
        <w:rPr>
          <w:rFonts w:ascii="Arial" w:eastAsia="Calibri" w:hAnsi="Arial" w:cs="Arial"/>
          <w:bCs/>
          <w:i/>
          <w:sz w:val="20"/>
          <w:szCs w:val="20"/>
          <w:lang w:val="en-US"/>
        </w:rPr>
        <w:t>es</w:t>
      </w:r>
      <w:proofErr w:type="spellEnd"/>
      <w:r w:rsidRPr="0088125C">
        <w:rPr>
          <w:rFonts w:ascii="Arial" w:eastAsia="Calibri" w:hAnsi="Arial" w:cs="Arial"/>
          <w:bCs/>
          <w:i/>
          <w:sz w:val="20"/>
          <w:szCs w:val="20"/>
          <w:lang w:val="en-US"/>
        </w:rPr>
        <w:t xml:space="preserve"> </w:t>
      </w:r>
      <w:proofErr w:type="spellStart"/>
      <w:r w:rsidRPr="0088125C">
        <w:rPr>
          <w:rFonts w:ascii="Arial" w:eastAsia="Calibri" w:hAnsi="Arial" w:cs="Arial"/>
          <w:bCs/>
          <w:i/>
          <w:sz w:val="20"/>
          <w:szCs w:val="20"/>
          <w:lang w:val="en-US"/>
        </w:rPr>
        <w:t>salam</w:t>
      </w:r>
      <w:proofErr w:type="spellEnd"/>
      <w:r w:rsidRPr="0088125C">
        <w:rPr>
          <w:rFonts w:ascii="Arial" w:eastAsia="Calibri" w:hAnsi="Arial" w:cs="Arial"/>
          <w:bCs/>
          <w:i/>
          <w:sz w:val="20"/>
          <w:szCs w:val="20"/>
          <w:lang w:val="en-US"/>
        </w:rPr>
        <w:t xml:space="preserve"> market; MD: </w:t>
      </w:r>
      <w:proofErr w:type="spellStart"/>
      <w:r w:rsidRPr="0088125C">
        <w:rPr>
          <w:rFonts w:ascii="Arial" w:eastAsia="Calibri" w:hAnsi="Arial" w:cs="Arial"/>
          <w:bCs/>
          <w:i/>
          <w:sz w:val="20"/>
          <w:szCs w:val="20"/>
          <w:lang w:val="en-US"/>
        </w:rPr>
        <w:t>Dolé</w:t>
      </w:r>
      <w:proofErr w:type="spellEnd"/>
      <w:r w:rsidRPr="0088125C">
        <w:rPr>
          <w:rFonts w:ascii="Arial" w:eastAsia="Calibri" w:hAnsi="Arial" w:cs="Arial"/>
          <w:bCs/>
          <w:i/>
          <w:sz w:val="20"/>
          <w:szCs w:val="20"/>
          <w:lang w:val="en-US"/>
        </w:rPr>
        <w:t xml:space="preserve"> market MW: </w:t>
      </w:r>
      <w:proofErr w:type="spellStart"/>
      <w:r w:rsidRPr="0088125C">
        <w:rPr>
          <w:rFonts w:ascii="Arial" w:eastAsia="Calibri" w:hAnsi="Arial" w:cs="Arial"/>
          <w:bCs/>
          <w:i/>
          <w:sz w:val="20"/>
          <w:szCs w:val="20"/>
          <w:lang w:val="en-US"/>
        </w:rPr>
        <w:t>Wadata</w:t>
      </w:r>
      <w:proofErr w:type="spellEnd"/>
      <w:r w:rsidRPr="0088125C">
        <w:rPr>
          <w:rFonts w:ascii="Arial" w:eastAsia="Calibri" w:hAnsi="Arial" w:cs="Arial"/>
          <w:bCs/>
          <w:i/>
          <w:sz w:val="20"/>
          <w:szCs w:val="20"/>
          <w:lang w:val="en-US"/>
        </w:rPr>
        <w:t xml:space="preserve"> market; MH: </w:t>
      </w:r>
      <w:proofErr w:type="spellStart"/>
      <w:r w:rsidRPr="0088125C">
        <w:rPr>
          <w:rFonts w:ascii="Arial" w:eastAsia="Calibri" w:hAnsi="Arial" w:cs="Arial"/>
          <w:bCs/>
          <w:i/>
          <w:sz w:val="20"/>
          <w:szCs w:val="20"/>
          <w:lang w:val="en-US"/>
        </w:rPr>
        <w:t>Harobanda</w:t>
      </w:r>
      <w:proofErr w:type="spellEnd"/>
      <w:r w:rsidRPr="0088125C">
        <w:rPr>
          <w:rFonts w:ascii="Arial" w:eastAsia="Calibri" w:hAnsi="Arial" w:cs="Arial"/>
          <w:bCs/>
          <w:i/>
          <w:sz w:val="20"/>
          <w:szCs w:val="20"/>
          <w:lang w:val="en-US"/>
        </w:rPr>
        <w:t xml:space="preserve"> market</w:t>
      </w:r>
    </w:p>
    <w:p w14:paraId="1C2C5AF5" w14:textId="77777777" w:rsidR="00E67CBD" w:rsidRPr="0088125C" w:rsidRDefault="00E67CBD" w:rsidP="00E67CBD">
      <w:pPr>
        <w:spacing w:after="0" w:line="360" w:lineRule="auto"/>
        <w:rPr>
          <w:rFonts w:ascii="Arial" w:eastAsia="Calibri" w:hAnsi="Arial" w:cs="Arial"/>
          <w:bCs/>
          <w:i/>
          <w:sz w:val="20"/>
          <w:szCs w:val="20"/>
          <w:lang w:val="en-US"/>
        </w:rPr>
        <w:sectPr w:rsidR="00E67CBD" w:rsidRPr="0088125C">
          <w:pgSz w:w="16838" w:h="11906" w:orient="landscape"/>
          <w:pgMar w:top="1417" w:right="1417" w:bottom="1417" w:left="1417" w:header="708" w:footer="708" w:gutter="0"/>
          <w:cols w:space="720"/>
        </w:sectPr>
      </w:pPr>
    </w:p>
    <w:p w14:paraId="6CAA301C" w14:textId="77777777" w:rsidR="00E67CBD" w:rsidRPr="0088125C" w:rsidRDefault="003B795A" w:rsidP="003B795A">
      <w:pPr>
        <w:pStyle w:val="ListParagraph"/>
        <w:numPr>
          <w:ilvl w:val="1"/>
          <w:numId w:val="9"/>
        </w:numPr>
        <w:rPr>
          <w:rFonts w:ascii="Arial" w:hAnsi="Arial" w:cs="Arial"/>
          <w:b/>
          <w:sz w:val="20"/>
          <w:szCs w:val="20"/>
          <w:lang w:val="en-US"/>
        </w:rPr>
      </w:pPr>
      <w:bookmarkStart w:id="19" w:name="_Toc165296592"/>
      <w:bookmarkStart w:id="20" w:name="_Toc162908012"/>
      <w:bookmarkStart w:id="21" w:name="_Toc162900122"/>
      <w:bookmarkStart w:id="22" w:name="_Hlk163203048"/>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identified on</w:t>
      </w:r>
      <w:bookmarkEnd w:id="19"/>
      <w:bookmarkEnd w:id="20"/>
      <w:bookmarkEnd w:id="21"/>
      <w:r w:rsidR="00E67CBD" w:rsidRPr="0088125C">
        <w:rPr>
          <w:rFonts w:ascii="Arial" w:hAnsi="Arial" w:cs="Arial"/>
          <w:b/>
          <w:sz w:val="20"/>
          <w:szCs w:val="20"/>
          <w:lang w:val="en-US"/>
        </w:rPr>
        <w:t xml:space="preserve"> the fields</w:t>
      </w:r>
    </w:p>
    <w:p w14:paraId="58048A79" w14:textId="77777777" w:rsidR="00E67CBD" w:rsidRPr="0088125C" w:rsidRDefault="00E67CBD" w:rsidP="00E67CBD">
      <w:pPr>
        <w:spacing w:after="0" w:line="276" w:lineRule="auto"/>
        <w:jc w:val="both"/>
        <w:rPr>
          <w:rFonts w:ascii="Arial" w:eastAsia="Times New Roman" w:hAnsi="Arial" w:cs="Arial"/>
          <w:sz w:val="20"/>
          <w:szCs w:val="20"/>
          <w:lang w:val="en-US"/>
        </w:rPr>
      </w:pPr>
    </w:p>
    <w:bookmarkEnd w:id="22"/>
    <w:p w14:paraId="414117CD"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The distribution of Enterobacteriaceae species identified by production site is shown in </w:t>
      </w:r>
      <w:r w:rsidRPr="0088125C">
        <w:rPr>
          <w:rFonts w:ascii="Arial" w:eastAsia="Calibri" w:hAnsi="Arial" w:cs="Arial"/>
          <w:b/>
          <w:sz w:val="20"/>
          <w:szCs w:val="20"/>
          <w:lang w:val="en-US"/>
        </w:rPr>
        <w:t>Table II</w:t>
      </w:r>
      <w:r w:rsidRPr="0088125C">
        <w:rPr>
          <w:rFonts w:ascii="Arial" w:eastAsia="Calibri" w:hAnsi="Arial" w:cs="Arial"/>
          <w:sz w:val="20"/>
          <w:szCs w:val="20"/>
          <w:lang w:val="en-US"/>
        </w:rPr>
        <w:t xml:space="preserve">. </w:t>
      </w:r>
      <w:bookmarkStart w:id="23" w:name="_Hlk163203078"/>
      <w:r w:rsidRPr="0088125C">
        <w:rPr>
          <w:rFonts w:ascii="Arial" w:eastAsia="Calibri" w:hAnsi="Arial" w:cs="Arial"/>
          <w:sz w:val="20"/>
          <w:szCs w:val="20"/>
          <w:lang w:val="en-US"/>
        </w:rPr>
        <w:t xml:space="preserve">A total of twenty-seven (27) strains of enterobacteria were identified in the fields, belonging to eight (8) genera (i.e. fourteen (14) different species). </w:t>
      </w:r>
      <w:bookmarkEnd w:id="23"/>
      <w:r w:rsidRPr="0088125C">
        <w:rPr>
          <w:rFonts w:ascii="Arial" w:eastAsia="Calibri" w:hAnsi="Arial" w:cs="Arial"/>
          <w:sz w:val="20"/>
          <w:szCs w:val="20"/>
          <w:lang w:val="en-US"/>
        </w:rPr>
        <w:t>Eleven (</w:t>
      </w:r>
      <w:r w:rsidR="00913077" w:rsidRPr="0088125C">
        <w:rPr>
          <w:rFonts w:ascii="Arial" w:eastAsia="Calibri" w:hAnsi="Arial" w:cs="Arial"/>
          <w:sz w:val="20"/>
          <w:szCs w:val="20"/>
          <w:lang w:val="en-US"/>
        </w:rPr>
        <w:t>11) species were found in field</w:t>
      </w:r>
      <w:r w:rsidRPr="0088125C">
        <w:rPr>
          <w:rFonts w:ascii="Arial" w:eastAsia="Calibri" w:hAnsi="Arial" w:cs="Arial"/>
          <w:sz w:val="20"/>
          <w:szCs w:val="20"/>
          <w:lang w:val="en-US"/>
        </w:rPr>
        <w:t xml:space="preserve">3: </w:t>
      </w:r>
      <w:r w:rsidRPr="0088125C">
        <w:rPr>
          <w:rFonts w:ascii="Arial" w:eastAsia="Calibri" w:hAnsi="Arial" w:cs="Arial"/>
          <w:i/>
          <w:sz w:val="20"/>
          <w:szCs w:val="20"/>
          <w:lang w:val="en-US"/>
        </w:rPr>
        <w:t xml:space="preserve">Escherichia coli 1 and 2 </w:t>
      </w:r>
      <w:r w:rsidRPr="0088125C">
        <w:rPr>
          <w:rFonts w:ascii="Arial" w:eastAsia="Calibri" w:hAnsi="Arial" w:cs="Arial"/>
          <w:sz w:val="20"/>
          <w:szCs w:val="20"/>
          <w:lang w:val="en-US"/>
        </w:rPr>
        <w:t>(14.81%)</w:t>
      </w:r>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(7.41%)</w:t>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liquéfactions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(3.70% each)</w:t>
      </w:r>
      <w:r w:rsidR="00913077" w:rsidRPr="0088125C">
        <w:rPr>
          <w:rFonts w:ascii="Arial" w:eastAsia="Calibri" w:hAnsi="Arial" w:cs="Arial"/>
          <w:sz w:val="20"/>
          <w:szCs w:val="20"/>
          <w:lang w:val="en-US"/>
        </w:rPr>
        <w:t>. Field</w:t>
      </w:r>
      <w:r w:rsidRPr="0088125C">
        <w:rPr>
          <w:rFonts w:ascii="Arial" w:eastAsia="Calibri" w:hAnsi="Arial" w:cs="Arial"/>
          <w:sz w:val="20"/>
          <w:szCs w:val="20"/>
          <w:lang w:val="en-US"/>
        </w:rPr>
        <w:t xml:space="preserve">2 had fewer species (7) than the other sites. The species found were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(7.41%),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pneumoniae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Proteus mirabilis,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marcescens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r w:rsidRPr="0088125C">
        <w:rPr>
          <w:rFonts w:ascii="Arial" w:eastAsia="Calibri" w:hAnsi="Arial" w:cs="Arial"/>
          <w:sz w:val="20"/>
          <w:szCs w:val="20"/>
          <w:lang w:val="en-US"/>
        </w:rPr>
        <w:t xml:space="preserve">(3.70% each).  Among these species,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were identified at all sites (a total of six (6) species or 22.22%, including three </w:t>
      </w:r>
      <w:r w:rsidR="00913077" w:rsidRPr="0088125C">
        <w:rPr>
          <w:rFonts w:ascii="Arial" w:eastAsia="Calibri" w:hAnsi="Arial" w:cs="Arial"/>
          <w:sz w:val="20"/>
          <w:szCs w:val="20"/>
          <w:lang w:val="en-US"/>
        </w:rPr>
        <w:t>(3) species identified in field</w:t>
      </w:r>
      <w:r w:rsidRPr="0088125C">
        <w:rPr>
          <w:rFonts w:ascii="Arial" w:eastAsia="Calibri" w:hAnsi="Arial" w:cs="Arial"/>
          <w:sz w:val="20"/>
          <w:szCs w:val="20"/>
          <w:lang w:val="en-US"/>
        </w:rPr>
        <w:t xml:space="preserve">3). </w:t>
      </w:r>
    </w:p>
    <w:p w14:paraId="793AF720"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  </w:t>
      </w:r>
    </w:p>
    <w:p w14:paraId="662776CA"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1906" w:h="16838"/>
          <w:pgMar w:top="1417" w:right="1417" w:bottom="1417" w:left="1417" w:header="708" w:footer="708" w:gutter="0"/>
          <w:cols w:space="720"/>
        </w:sectPr>
      </w:pPr>
    </w:p>
    <w:p w14:paraId="13052071" w14:textId="77777777"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24" w:name="_Toc164617603"/>
      <w:r w:rsidRPr="0088125C">
        <w:rPr>
          <w:rFonts w:ascii="Arial" w:eastAsia="Times New Roman" w:hAnsi="Arial" w:cs="Arial"/>
          <w:b/>
          <w:bCs/>
          <w:sz w:val="20"/>
          <w:szCs w:val="20"/>
          <w:lang w:val="en-US"/>
        </w:rPr>
        <w:lastRenderedPageBreak/>
        <w:t xml:space="preserve">Table II. </w:t>
      </w:r>
      <w:r w:rsidR="00913077" w:rsidRPr="0088125C">
        <w:rPr>
          <w:rFonts w:ascii="Arial" w:eastAsia="Calibri" w:hAnsi="Arial" w:cs="Arial"/>
          <w:bCs/>
          <w:sz w:val="20"/>
          <w:szCs w:val="20"/>
          <w:lang w:val="en-US"/>
        </w:rPr>
        <w:t>Prevalence’s</w:t>
      </w:r>
      <w:r w:rsidRPr="0088125C">
        <w:rPr>
          <w:rFonts w:ascii="Arial" w:eastAsia="Calibri" w:hAnsi="Arial" w:cs="Arial"/>
          <w:bCs/>
          <w:sz w:val="20"/>
          <w:szCs w:val="20"/>
          <w:lang w:val="en-US"/>
        </w:rPr>
        <w:t xml:space="preserve"> of Enterobacteriaceae species isolated from vegetable samples collected at market garden sites.</w:t>
      </w:r>
      <w:bookmarkEnd w:id="24"/>
    </w:p>
    <w:tbl>
      <w:tblPr>
        <w:tblStyle w:val="Grilledutableau1"/>
        <w:tblW w:w="1445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5773"/>
        <w:gridCol w:w="1632"/>
        <w:gridCol w:w="1462"/>
        <w:gridCol w:w="1716"/>
        <w:gridCol w:w="1801"/>
      </w:tblGrid>
      <w:tr w:rsidR="00E67CBD" w:rsidRPr="0088125C" w14:paraId="6450AF56" w14:textId="77777777" w:rsidTr="00E67CBD">
        <w:trPr>
          <w:trHeight w:val="292"/>
        </w:trPr>
        <w:tc>
          <w:tcPr>
            <w:tcW w:w="0" w:type="auto"/>
            <w:vMerge w:val="restart"/>
            <w:tcBorders>
              <w:top w:val="single" w:sz="12" w:space="0" w:color="auto"/>
              <w:left w:val="nil"/>
              <w:bottom w:val="single" w:sz="12" w:space="0" w:color="auto"/>
              <w:right w:val="nil"/>
            </w:tcBorders>
            <w:hideMark/>
          </w:tcPr>
          <w:p w14:paraId="46BA489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Type </w:t>
            </w:r>
          </w:p>
        </w:tc>
        <w:tc>
          <w:tcPr>
            <w:tcW w:w="0" w:type="auto"/>
            <w:vMerge w:val="restart"/>
            <w:tcBorders>
              <w:top w:val="single" w:sz="12" w:space="0" w:color="auto"/>
              <w:left w:val="nil"/>
              <w:bottom w:val="single" w:sz="12" w:space="0" w:color="auto"/>
              <w:right w:val="nil"/>
            </w:tcBorders>
            <w:noWrap/>
            <w:hideMark/>
          </w:tcPr>
          <w:p w14:paraId="737FDC3D"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0" w:type="auto"/>
            <w:gridSpan w:val="3"/>
            <w:tcBorders>
              <w:top w:val="single" w:sz="12" w:space="0" w:color="auto"/>
              <w:left w:val="nil"/>
              <w:bottom w:val="single" w:sz="12" w:space="0" w:color="auto"/>
              <w:right w:val="nil"/>
            </w:tcBorders>
            <w:noWrap/>
            <w:hideMark/>
          </w:tcPr>
          <w:p w14:paraId="0B30F504"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w:t>
            </w:r>
            <w:r w:rsidR="00913077" w:rsidRPr="0088125C">
              <w:rPr>
                <w:rFonts w:ascii="Arial" w:hAnsi="Arial" w:cs="Arial"/>
                <w:b/>
                <w:sz w:val="20"/>
                <w:szCs w:val="20"/>
                <w:lang w:val="en-US"/>
              </w:rPr>
              <w:t>fields</w:t>
            </w:r>
          </w:p>
          <w:p w14:paraId="703460CF" w14:textId="77777777" w:rsidR="00E67CBD" w:rsidRPr="0088125C" w:rsidRDefault="00E67CBD" w:rsidP="00913077">
            <w:pPr>
              <w:spacing w:line="360" w:lineRule="auto"/>
              <w:jc w:val="center"/>
              <w:rPr>
                <w:rFonts w:ascii="Arial" w:hAnsi="Arial" w:cs="Arial"/>
                <w:b/>
                <w:sz w:val="20"/>
                <w:szCs w:val="20"/>
                <w:lang w:val="en-US"/>
              </w:rPr>
            </w:pP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0" w:type="auto"/>
            <w:vMerge w:val="restart"/>
            <w:tcBorders>
              <w:top w:val="single" w:sz="12" w:space="0" w:color="auto"/>
              <w:left w:val="nil"/>
              <w:bottom w:val="single" w:sz="12" w:space="0" w:color="auto"/>
              <w:right w:val="nil"/>
            </w:tcBorders>
            <w:noWrap/>
            <w:hideMark/>
          </w:tcPr>
          <w:p w14:paraId="2472D48B"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322A1347" w14:textId="77777777" w:rsidTr="00E67CBD">
        <w:trPr>
          <w:trHeight w:val="292"/>
        </w:trPr>
        <w:tc>
          <w:tcPr>
            <w:tcW w:w="0" w:type="auto"/>
            <w:vMerge/>
            <w:tcBorders>
              <w:top w:val="single" w:sz="12" w:space="0" w:color="auto"/>
              <w:left w:val="nil"/>
              <w:bottom w:val="single" w:sz="12" w:space="0" w:color="auto"/>
              <w:right w:val="nil"/>
            </w:tcBorders>
            <w:vAlign w:val="center"/>
            <w:hideMark/>
          </w:tcPr>
          <w:p w14:paraId="06636417"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E0384C6"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58095F2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Field1</w:t>
            </w:r>
          </w:p>
        </w:tc>
        <w:tc>
          <w:tcPr>
            <w:tcW w:w="0" w:type="auto"/>
            <w:tcBorders>
              <w:top w:val="single" w:sz="12" w:space="0" w:color="auto"/>
              <w:left w:val="nil"/>
              <w:bottom w:val="single" w:sz="12" w:space="0" w:color="auto"/>
              <w:right w:val="nil"/>
            </w:tcBorders>
            <w:noWrap/>
            <w:hideMark/>
          </w:tcPr>
          <w:p w14:paraId="7A94DA25"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Field2</w:t>
            </w:r>
          </w:p>
        </w:tc>
        <w:tc>
          <w:tcPr>
            <w:tcW w:w="0" w:type="auto"/>
            <w:tcBorders>
              <w:top w:val="single" w:sz="12" w:space="0" w:color="auto"/>
              <w:left w:val="nil"/>
              <w:bottom w:val="single" w:sz="12" w:space="0" w:color="auto"/>
              <w:right w:val="nil"/>
            </w:tcBorders>
            <w:noWrap/>
            <w:hideMark/>
          </w:tcPr>
          <w:p w14:paraId="3B81C25D"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Field3</w:t>
            </w:r>
          </w:p>
        </w:tc>
        <w:tc>
          <w:tcPr>
            <w:tcW w:w="0" w:type="auto"/>
            <w:vMerge/>
            <w:tcBorders>
              <w:top w:val="single" w:sz="12" w:space="0" w:color="auto"/>
              <w:left w:val="nil"/>
              <w:bottom w:val="single" w:sz="12" w:space="0" w:color="auto"/>
              <w:right w:val="nil"/>
            </w:tcBorders>
            <w:vAlign w:val="center"/>
            <w:hideMark/>
          </w:tcPr>
          <w:p w14:paraId="7C0A4C9D" w14:textId="77777777" w:rsidR="00E67CBD" w:rsidRPr="0088125C" w:rsidRDefault="00E67CBD" w:rsidP="00E67CBD">
            <w:pPr>
              <w:rPr>
                <w:rFonts w:ascii="Arial" w:hAnsi="Arial" w:cs="Arial"/>
                <w:b/>
                <w:sz w:val="20"/>
                <w:szCs w:val="20"/>
              </w:rPr>
            </w:pPr>
          </w:p>
        </w:tc>
      </w:tr>
      <w:tr w:rsidR="00E67CBD" w:rsidRPr="0088125C" w14:paraId="5DE38419" w14:textId="77777777" w:rsidTr="00E67CBD">
        <w:trPr>
          <w:trHeight w:val="292"/>
        </w:trPr>
        <w:tc>
          <w:tcPr>
            <w:tcW w:w="0" w:type="auto"/>
            <w:tcBorders>
              <w:top w:val="single" w:sz="12" w:space="0" w:color="auto"/>
              <w:left w:val="nil"/>
              <w:bottom w:val="nil"/>
              <w:right w:val="nil"/>
            </w:tcBorders>
            <w:hideMark/>
          </w:tcPr>
          <w:p w14:paraId="13326888"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
        </w:tc>
        <w:tc>
          <w:tcPr>
            <w:tcW w:w="0" w:type="auto"/>
            <w:tcBorders>
              <w:top w:val="single" w:sz="12" w:space="0" w:color="auto"/>
              <w:left w:val="nil"/>
              <w:bottom w:val="nil"/>
              <w:right w:val="nil"/>
            </w:tcBorders>
            <w:noWrap/>
            <w:hideMark/>
          </w:tcPr>
          <w:p w14:paraId="0FE0E5C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freundii</w:t>
            </w:r>
            <w:proofErr w:type="spellEnd"/>
          </w:p>
        </w:tc>
        <w:tc>
          <w:tcPr>
            <w:tcW w:w="0" w:type="auto"/>
            <w:tcBorders>
              <w:top w:val="single" w:sz="12" w:space="0" w:color="auto"/>
              <w:left w:val="nil"/>
              <w:bottom w:val="nil"/>
              <w:right w:val="nil"/>
            </w:tcBorders>
            <w:noWrap/>
            <w:hideMark/>
          </w:tcPr>
          <w:p w14:paraId="41DCAC6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(2)7,41</w:t>
            </w:r>
          </w:p>
        </w:tc>
        <w:tc>
          <w:tcPr>
            <w:tcW w:w="0" w:type="auto"/>
            <w:tcBorders>
              <w:top w:val="single" w:sz="12" w:space="0" w:color="auto"/>
              <w:left w:val="nil"/>
              <w:bottom w:val="nil"/>
              <w:right w:val="nil"/>
            </w:tcBorders>
            <w:noWrap/>
            <w:hideMark/>
          </w:tcPr>
          <w:p w14:paraId="49CE0D4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00E1642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61CBAE1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56DC2276" w14:textId="77777777" w:rsidTr="00E67CBD">
        <w:trPr>
          <w:trHeight w:val="292"/>
        </w:trPr>
        <w:tc>
          <w:tcPr>
            <w:tcW w:w="0" w:type="auto"/>
            <w:tcBorders>
              <w:top w:val="nil"/>
              <w:left w:val="nil"/>
              <w:bottom w:val="nil"/>
              <w:right w:val="nil"/>
            </w:tcBorders>
            <w:hideMark/>
          </w:tcPr>
          <w:p w14:paraId="7C4F982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48D380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Enterobacter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cloacae</w:t>
            </w:r>
            <w:proofErr w:type="spellEnd"/>
          </w:p>
        </w:tc>
        <w:tc>
          <w:tcPr>
            <w:tcW w:w="0" w:type="auto"/>
            <w:tcBorders>
              <w:top w:val="nil"/>
              <w:left w:val="nil"/>
              <w:bottom w:val="nil"/>
              <w:right w:val="nil"/>
            </w:tcBorders>
            <w:noWrap/>
            <w:hideMark/>
          </w:tcPr>
          <w:p w14:paraId="08AA79C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0E5A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34B780B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7ED1EF74"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4A1D3D28" w14:textId="77777777" w:rsidTr="00E67CBD">
        <w:trPr>
          <w:trHeight w:val="292"/>
        </w:trPr>
        <w:tc>
          <w:tcPr>
            <w:tcW w:w="0" w:type="auto"/>
            <w:tcBorders>
              <w:top w:val="nil"/>
              <w:left w:val="nil"/>
              <w:bottom w:val="nil"/>
              <w:right w:val="nil"/>
            </w:tcBorders>
            <w:hideMark/>
          </w:tcPr>
          <w:p w14:paraId="5622E3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3770A65"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Enterobacter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sakazakii</w:t>
            </w:r>
            <w:proofErr w:type="spellEnd"/>
          </w:p>
        </w:tc>
        <w:tc>
          <w:tcPr>
            <w:tcW w:w="0" w:type="auto"/>
            <w:tcBorders>
              <w:top w:val="nil"/>
              <w:left w:val="nil"/>
              <w:bottom w:val="nil"/>
              <w:right w:val="nil"/>
            </w:tcBorders>
            <w:noWrap/>
            <w:hideMark/>
          </w:tcPr>
          <w:p w14:paraId="58D67D1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78A92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A2CF26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095CD9D4"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AE82981" w14:textId="77777777" w:rsidTr="00E67CBD">
        <w:trPr>
          <w:trHeight w:val="292"/>
        </w:trPr>
        <w:tc>
          <w:tcPr>
            <w:tcW w:w="0" w:type="auto"/>
            <w:tcBorders>
              <w:top w:val="nil"/>
              <w:left w:val="nil"/>
              <w:bottom w:val="nil"/>
              <w:right w:val="nil"/>
            </w:tcBorders>
            <w:hideMark/>
          </w:tcPr>
          <w:p w14:paraId="5EC008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183EA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0" w:type="auto"/>
            <w:tcBorders>
              <w:top w:val="nil"/>
              <w:left w:val="nil"/>
              <w:bottom w:val="nil"/>
              <w:right w:val="nil"/>
            </w:tcBorders>
            <w:noWrap/>
            <w:hideMark/>
          </w:tcPr>
          <w:p w14:paraId="2527E2D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0636DE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1F4410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4 (11,11)a</w:t>
            </w:r>
          </w:p>
        </w:tc>
        <w:tc>
          <w:tcPr>
            <w:tcW w:w="0" w:type="auto"/>
            <w:tcBorders>
              <w:top w:val="nil"/>
              <w:left w:val="nil"/>
              <w:bottom w:val="nil"/>
              <w:right w:val="nil"/>
            </w:tcBorders>
            <w:noWrap/>
            <w:hideMark/>
          </w:tcPr>
          <w:p w14:paraId="127057E2"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4(14,81)</w:t>
            </w:r>
          </w:p>
        </w:tc>
      </w:tr>
      <w:tr w:rsidR="00E67CBD" w:rsidRPr="0088125C" w14:paraId="271D561F" w14:textId="77777777" w:rsidTr="00E67CBD">
        <w:trPr>
          <w:trHeight w:val="292"/>
        </w:trPr>
        <w:tc>
          <w:tcPr>
            <w:tcW w:w="0" w:type="auto"/>
            <w:tcBorders>
              <w:top w:val="nil"/>
              <w:left w:val="nil"/>
              <w:bottom w:val="nil"/>
              <w:right w:val="nil"/>
            </w:tcBorders>
            <w:hideMark/>
          </w:tcPr>
          <w:p w14:paraId="378D37B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3FA053D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coli2</w:t>
            </w:r>
          </w:p>
        </w:tc>
        <w:tc>
          <w:tcPr>
            <w:tcW w:w="0" w:type="auto"/>
            <w:tcBorders>
              <w:top w:val="nil"/>
              <w:left w:val="nil"/>
              <w:bottom w:val="nil"/>
              <w:right w:val="nil"/>
            </w:tcBorders>
            <w:noWrap/>
            <w:hideMark/>
          </w:tcPr>
          <w:p w14:paraId="04BDDE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311EFA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223792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05EB18A6"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C2D5432" w14:textId="77777777" w:rsidTr="00E67CBD">
        <w:trPr>
          <w:trHeight w:val="292"/>
        </w:trPr>
        <w:tc>
          <w:tcPr>
            <w:tcW w:w="0" w:type="auto"/>
            <w:tcBorders>
              <w:top w:val="nil"/>
              <w:left w:val="nil"/>
              <w:bottom w:val="nil"/>
              <w:right w:val="nil"/>
            </w:tcBorders>
            <w:hideMark/>
          </w:tcPr>
          <w:p w14:paraId="2B7DB77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10F4C9D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0" w:type="auto"/>
            <w:tcBorders>
              <w:top w:val="nil"/>
              <w:left w:val="nil"/>
              <w:bottom w:val="nil"/>
              <w:right w:val="nil"/>
            </w:tcBorders>
            <w:noWrap/>
            <w:hideMark/>
          </w:tcPr>
          <w:p w14:paraId="19EF327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70BD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8320E3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w:t>
            </w:r>
          </w:p>
        </w:tc>
        <w:tc>
          <w:tcPr>
            <w:tcW w:w="0" w:type="auto"/>
            <w:tcBorders>
              <w:top w:val="nil"/>
              <w:left w:val="nil"/>
              <w:bottom w:val="nil"/>
              <w:right w:val="nil"/>
            </w:tcBorders>
            <w:noWrap/>
            <w:hideMark/>
          </w:tcPr>
          <w:p w14:paraId="63598417"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33D65441" w14:textId="77777777" w:rsidTr="00E67CBD">
        <w:trPr>
          <w:trHeight w:val="292"/>
        </w:trPr>
        <w:tc>
          <w:tcPr>
            <w:tcW w:w="0" w:type="auto"/>
            <w:tcBorders>
              <w:top w:val="nil"/>
              <w:left w:val="nil"/>
              <w:bottom w:val="nil"/>
              <w:right w:val="nil"/>
            </w:tcBorders>
            <w:hideMark/>
          </w:tcPr>
          <w:p w14:paraId="72040D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07F4F04"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Klebsiella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0" w:type="auto"/>
            <w:tcBorders>
              <w:top w:val="nil"/>
              <w:left w:val="nil"/>
              <w:bottom w:val="nil"/>
              <w:right w:val="nil"/>
            </w:tcBorders>
            <w:noWrap/>
            <w:hideMark/>
          </w:tcPr>
          <w:p w14:paraId="4F0712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D63BEC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569B9D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AF27DF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8598410" w14:textId="77777777" w:rsidTr="00E67CBD">
        <w:trPr>
          <w:trHeight w:val="292"/>
        </w:trPr>
        <w:tc>
          <w:tcPr>
            <w:tcW w:w="0" w:type="auto"/>
            <w:tcBorders>
              <w:top w:val="nil"/>
              <w:left w:val="nil"/>
              <w:bottom w:val="nil"/>
              <w:right w:val="nil"/>
            </w:tcBorders>
            <w:hideMark/>
          </w:tcPr>
          <w:p w14:paraId="406B02F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p>
        </w:tc>
        <w:tc>
          <w:tcPr>
            <w:tcW w:w="0" w:type="auto"/>
            <w:tcBorders>
              <w:top w:val="nil"/>
              <w:left w:val="nil"/>
              <w:bottom w:val="nil"/>
              <w:right w:val="nil"/>
            </w:tcBorders>
            <w:noWrap/>
            <w:hideMark/>
          </w:tcPr>
          <w:p w14:paraId="645D0D1A"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60CC7CB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1FD8F29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0DE4A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AE618F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4AA9D187" w14:textId="77777777" w:rsidTr="00E67CBD">
        <w:trPr>
          <w:trHeight w:val="292"/>
        </w:trPr>
        <w:tc>
          <w:tcPr>
            <w:tcW w:w="0" w:type="auto"/>
            <w:tcBorders>
              <w:top w:val="nil"/>
              <w:left w:val="nil"/>
              <w:bottom w:val="nil"/>
              <w:right w:val="nil"/>
            </w:tcBorders>
            <w:hideMark/>
          </w:tcPr>
          <w:p w14:paraId="1D2C581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493B60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05F44CB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30624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4337D89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7C4682"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1F2F4DA1" w14:textId="77777777" w:rsidTr="00E67CBD">
        <w:trPr>
          <w:trHeight w:val="292"/>
        </w:trPr>
        <w:tc>
          <w:tcPr>
            <w:tcW w:w="0" w:type="auto"/>
            <w:tcBorders>
              <w:top w:val="nil"/>
              <w:left w:val="nil"/>
              <w:bottom w:val="nil"/>
              <w:right w:val="nil"/>
            </w:tcBorders>
            <w:hideMark/>
          </w:tcPr>
          <w:p w14:paraId="6FD7FBE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p>
        </w:tc>
        <w:tc>
          <w:tcPr>
            <w:tcW w:w="0" w:type="auto"/>
            <w:tcBorders>
              <w:top w:val="nil"/>
              <w:left w:val="nil"/>
              <w:bottom w:val="nil"/>
              <w:right w:val="nil"/>
            </w:tcBorders>
            <w:noWrap/>
            <w:hideMark/>
          </w:tcPr>
          <w:p w14:paraId="4BE7171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stuartii</w:t>
            </w:r>
            <w:proofErr w:type="spellEnd"/>
          </w:p>
        </w:tc>
        <w:tc>
          <w:tcPr>
            <w:tcW w:w="0" w:type="auto"/>
            <w:tcBorders>
              <w:top w:val="nil"/>
              <w:left w:val="nil"/>
              <w:bottom w:val="nil"/>
              <w:right w:val="nil"/>
            </w:tcBorders>
            <w:noWrap/>
            <w:hideMark/>
          </w:tcPr>
          <w:p w14:paraId="7B6ECA3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50848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F94C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19FD22DE"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221E1A04" w14:textId="77777777" w:rsidTr="00E67CBD">
        <w:trPr>
          <w:trHeight w:val="292"/>
        </w:trPr>
        <w:tc>
          <w:tcPr>
            <w:tcW w:w="0" w:type="auto"/>
            <w:tcBorders>
              <w:top w:val="nil"/>
              <w:left w:val="nil"/>
              <w:bottom w:val="nil"/>
              <w:right w:val="nil"/>
            </w:tcBorders>
            <w:hideMark/>
          </w:tcPr>
          <w:p w14:paraId="74C1EF0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Salmonella</w:t>
            </w:r>
          </w:p>
        </w:tc>
        <w:tc>
          <w:tcPr>
            <w:tcW w:w="0" w:type="auto"/>
            <w:tcBorders>
              <w:top w:val="nil"/>
              <w:left w:val="nil"/>
              <w:bottom w:val="nil"/>
              <w:right w:val="nil"/>
            </w:tcBorders>
            <w:noWrap/>
            <w:hideMark/>
          </w:tcPr>
          <w:p w14:paraId="4EFCD6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0" w:type="auto"/>
            <w:tcBorders>
              <w:top w:val="nil"/>
              <w:left w:val="nil"/>
              <w:bottom w:val="nil"/>
              <w:right w:val="nil"/>
            </w:tcBorders>
            <w:noWrap/>
            <w:hideMark/>
          </w:tcPr>
          <w:p w14:paraId="54C00A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6651A08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8938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3B544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0708B41B" w14:textId="77777777" w:rsidTr="00E67CBD">
        <w:trPr>
          <w:trHeight w:val="292"/>
        </w:trPr>
        <w:tc>
          <w:tcPr>
            <w:tcW w:w="0" w:type="auto"/>
            <w:tcBorders>
              <w:top w:val="nil"/>
              <w:left w:val="nil"/>
              <w:bottom w:val="nil"/>
              <w:right w:val="nil"/>
            </w:tcBorders>
            <w:hideMark/>
          </w:tcPr>
          <w:p w14:paraId="77D8D1A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53F021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0" w:type="auto"/>
            <w:tcBorders>
              <w:top w:val="nil"/>
              <w:left w:val="nil"/>
              <w:bottom w:val="nil"/>
              <w:right w:val="nil"/>
            </w:tcBorders>
            <w:noWrap/>
            <w:hideMark/>
          </w:tcPr>
          <w:p w14:paraId="3E4D94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3(11,11)a</w:t>
            </w:r>
          </w:p>
        </w:tc>
        <w:tc>
          <w:tcPr>
            <w:tcW w:w="0" w:type="auto"/>
            <w:tcBorders>
              <w:top w:val="nil"/>
              <w:left w:val="nil"/>
              <w:bottom w:val="nil"/>
              <w:right w:val="nil"/>
            </w:tcBorders>
            <w:noWrap/>
            <w:hideMark/>
          </w:tcPr>
          <w:p w14:paraId="414338F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(2)7,41</w:t>
            </w:r>
          </w:p>
        </w:tc>
        <w:tc>
          <w:tcPr>
            <w:tcW w:w="0" w:type="auto"/>
            <w:tcBorders>
              <w:top w:val="nil"/>
              <w:left w:val="nil"/>
              <w:bottom w:val="nil"/>
              <w:right w:val="nil"/>
            </w:tcBorders>
            <w:noWrap/>
            <w:hideMark/>
          </w:tcPr>
          <w:p w14:paraId="4AEC434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64DCD5F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6(22,22)</w:t>
            </w:r>
          </w:p>
        </w:tc>
      </w:tr>
      <w:tr w:rsidR="00E67CBD" w:rsidRPr="0088125C" w14:paraId="2079EADC" w14:textId="77777777" w:rsidTr="00E67CBD">
        <w:trPr>
          <w:trHeight w:val="292"/>
        </w:trPr>
        <w:tc>
          <w:tcPr>
            <w:tcW w:w="0" w:type="auto"/>
            <w:tcBorders>
              <w:top w:val="nil"/>
              <w:left w:val="nil"/>
              <w:bottom w:val="nil"/>
              <w:right w:val="nil"/>
            </w:tcBorders>
            <w:hideMark/>
          </w:tcPr>
          <w:p w14:paraId="73F227B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2BEA1190"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liquefaciens</w:t>
            </w:r>
            <w:proofErr w:type="spellEnd"/>
          </w:p>
        </w:tc>
        <w:tc>
          <w:tcPr>
            <w:tcW w:w="0" w:type="auto"/>
            <w:tcBorders>
              <w:top w:val="nil"/>
              <w:left w:val="nil"/>
              <w:bottom w:val="nil"/>
              <w:right w:val="nil"/>
            </w:tcBorders>
            <w:noWrap/>
            <w:hideMark/>
          </w:tcPr>
          <w:p w14:paraId="4DB08DD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093D4FD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02D88F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3DEBF745"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1E1DD172" w14:textId="77777777" w:rsidTr="00E67CBD">
        <w:trPr>
          <w:trHeight w:val="292"/>
        </w:trPr>
        <w:tc>
          <w:tcPr>
            <w:tcW w:w="0" w:type="auto"/>
            <w:tcBorders>
              <w:top w:val="nil"/>
              <w:left w:val="nil"/>
              <w:bottom w:val="nil"/>
              <w:right w:val="nil"/>
            </w:tcBorders>
            <w:hideMark/>
          </w:tcPr>
          <w:p w14:paraId="0033B6C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5AF7438F"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marcescens</w:t>
            </w:r>
            <w:proofErr w:type="spellEnd"/>
          </w:p>
        </w:tc>
        <w:tc>
          <w:tcPr>
            <w:tcW w:w="0" w:type="auto"/>
            <w:tcBorders>
              <w:top w:val="nil"/>
              <w:left w:val="nil"/>
              <w:bottom w:val="nil"/>
              <w:right w:val="nil"/>
            </w:tcBorders>
            <w:noWrap/>
            <w:hideMark/>
          </w:tcPr>
          <w:p w14:paraId="5AE7B4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5FC865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43B9F94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9C7AB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32C08A07" w14:textId="77777777" w:rsidTr="00E67CBD">
        <w:trPr>
          <w:trHeight w:val="292"/>
        </w:trPr>
        <w:tc>
          <w:tcPr>
            <w:tcW w:w="0" w:type="auto"/>
            <w:tcBorders>
              <w:top w:val="nil"/>
              <w:left w:val="nil"/>
              <w:bottom w:val="nil"/>
              <w:right w:val="nil"/>
            </w:tcBorders>
            <w:hideMark/>
          </w:tcPr>
          <w:p w14:paraId="78F8D701"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5D4456"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odorifera</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7E13848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DD162C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1(3,70)a</w:t>
            </w:r>
          </w:p>
        </w:tc>
        <w:tc>
          <w:tcPr>
            <w:tcW w:w="0" w:type="auto"/>
            <w:tcBorders>
              <w:top w:val="nil"/>
              <w:left w:val="nil"/>
              <w:bottom w:val="nil"/>
              <w:right w:val="nil"/>
            </w:tcBorders>
            <w:noWrap/>
            <w:hideMark/>
          </w:tcPr>
          <w:p w14:paraId="74C642E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00977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21CE9090" w14:textId="77777777" w:rsidTr="00E67CBD">
        <w:trPr>
          <w:trHeight w:val="292"/>
        </w:trPr>
        <w:tc>
          <w:tcPr>
            <w:tcW w:w="0" w:type="auto"/>
            <w:tcBorders>
              <w:top w:val="nil"/>
              <w:left w:val="nil"/>
              <w:bottom w:val="single" w:sz="12" w:space="0" w:color="auto"/>
              <w:right w:val="nil"/>
            </w:tcBorders>
            <w:hideMark/>
          </w:tcPr>
          <w:p w14:paraId="1F7BEC8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702D1961"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0D339C7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(9)33,33</w:t>
            </w:r>
          </w:p>
        </w:tc>
        <w:tc>
          <w:tcPr>
            <w:tcW w:w="0" w:type="auto"/>
            <w:tcBorders>
              <w:top w:val="nil"/>
              <w:left w:val="nil"/>
              <w:bottom w:val="single" w:sz="12" w:space="0" w:color="auto"/>
              <w:right w:val="nil"/>
            </w:tcBorders>
            <w:noWrap/>
            <w:hideMark/>
          </w:tcPr>
          <w:p w14:paraId="10076A2A"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(7)25,93</w:t>
            </w:r>
          </w:p>
        </w:tc>
        <w:tc>
          <w:tcPr>
            <w:tcW w:w="0" w:type="auto"/>
            <w:tcBorders>
              <w:top w:val="nil"/>
              <w:left w:val="nil"/>
              <w:bottom w:val="single" w:sz="12" w:space="0" w:color="auto"/>
              <w:right w:val="nil"/>
            </w:tcBorders>
            <w:noWrap/>
            <w:hideMark/>
          </w:tcPr>
          <w:p w14:paraId="07807F50"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(11)40,74</w:t>
            </w:r>
          </w:p>
        </w:tc>
        <w:tc>
          <w:tcPr>
            <w:tcW w:w="0" w:type="auto"/>
            <w:tcBorders>
              <w:top w:val="nil"/>
              <w:left w:val="nil"/>
              <w:bottom w:val="single" w:sz="12" w:space="0" w:color="auto"/>
              <w:right w:val="nil"/>
            </w:tcBorders>
            <w:noWrap/>
            <w:hideMark/>
          </w:tcPr>
          <w:p w14:paraId="67A0E06C" w14:textId="77777777"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(27)100,00</w:t>
            </w:r>
          </w:p>
        </w:tc>
      </w:tr>
    </w:tbl>
    <w:p w14:paraId="0C8CAB6C" w14:textId="77777777" w:rsidR="00E67CBD" w:rsidRPr="0088125C" w:rsidRDefault="00E67CBD" w:rsidP="00E67CBD">
      <w:pPr>
        <w:spacing w:after="0" w:line="360" w:lineRule="auto"/>
        <w:jc w:val="both"/>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0B99102D"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0A0E3BD5" w14:textId="77777777" w:rsidR="00E67CBD" w:rsidRPr="0088125C" w:rsidRDefault="003B795A" w:rsidP="003B795A">
      <w:pPr>
        <w:pStyle w:val="ListParagraph"/>
        <w:numPr>
          <w:ilvl w:val="1"/>
          <w:numId w:val="9"/>
        </w:numPr>
        <w:rPr>
          <w:rFonts w:ascii="Arial" w:hAnsi="Arial" w:cs="Arial"/>
          <w:b/>
          <w:sz w:val="20"/>
          <w:szCs w:val="20"/>
          <w:lang w:val="en-US"/>
        </w:rPr>
      </w:pPr>
      <w:bookmarkStart w:id="25" w:name="_Toc165296593"/>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 xml:space="preserve">Prevalence and diversity of enterobacteria identified according to vegetable typology </w:t>
      </w:r>
      <w:bookmarkEnd w:id="25"/>
    </w:p>
    <w:p w14:paraId="5F1A17AB"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070AEB4B" w14:textId="77777777" w:rsidR="00E67CBD" w:rsidRPr="0088125C" w:rsidRDefault="00E67CBD" w:rsidP="00E67CBD">
      <w:pPr>
        <w:spacing w:after="0" w:line="360" w:lineRule="auto"/>
        <w:ind w:firstLine="708"/>
        <w:jc w:val="both"/>
        <w:rPr>
          <w:rFonts w:ascii="Arial" w:eastAsia="Calibri" w:hAnsi="Arial" w:cs="Arial"/>
          <w:i/>
          <w:sz w:val="20"/>
          <w:szCs w:val="20"/>
          <w:lang w:val="en-US"/>
        </w:rPr>
      </w:pPr>
      <w:r w:rsidRPr="0088125C">
        <w:rPr>
          <w:rFonts w:ascii="Arial" w:eastAsia="Calibri" w:hAnsi="Arial" w:cs="Arial"/>
          <w:sz w:val="20"/>
          <w:szCs w:val="20"/>
          <w:lang w:val="en-US"/>
        </w:rPr>
        <w:t xml:space="preserve">The prevalence of enterobacteria species identified according to vegetable type is shown in </w:t>
      </w:r>
      <w:r w:rsidRPr="0088125C">
        <w:rPr>
          <w:rFonts w:ascii="Arial" w:eastAsia="Calibri" w:hAnsi="Arial" w:cs="Arial"/>
          <w:b/>
          <w:sz w:val="20"/>
          <w:szCs w:val="20"/>
          <w:lang w:val="en-US"/>
        </w:rPr>
        <w:t>Table III</w:t>
      </w:r>
      <w:r w:rsidRPr="0088125C">
        <w:rPr>
          <w:rFonts w:ascii="Arial" w:eastAsia="Calibri" w:hAnsi="Arial" w:cs="Arial"/>
          <w:sz w:val="20"/>
          <w:szCs w:val="20"/>
          <w:lang w:val="en-US"/>
        </w:rPr>
        <w:t xml:space="preserve">. A high prevalence of Enterobacteriaceae was observed in lettuce samples </w:t>
      </w:r>
      <w:r w:rsidRPr="0088125C">
        <w:rPr>
          <w:rFonts w:ascii="Arial" w:eastAsia="Calibri" w:hAnsi="Arial" w:cs="Arial"/>
          <w:b/>
          <w:sz w:val="20"/>
          <w:szCs w:val="20"/>
          <w:lang w:val="en-US"/>
        </w:rPr>
        <w:t>(</w:t>
      </w:r>
      <w:r w:rsidRPr="0088125C">
        <w:rPr>
          <w:rFonts w:ascii="Arial" w:eastAsia="Calibri" w:hAnsi="Arial" w:cs="Arial"/>
          <w:sz w:val="20"/>
          <w:szCs w:val="20"/>
          <w:lang w:val="en-US"/>
        </w:rPr>
        <w:t xml:space="preserve">53.06% of strains identified). The species most frequently found in lettuce samples were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(15.22%), </w:t>
      </w:r>
      <w:r w:rsidRPr="0088125C">
        <w:rPr>
          <w:rFonts w:ascii="Arial" w:eastAsia="Calibri" w:hAnsi="Arial" w:cs="Arial"/>
          <w:i/>
          <w:sz w:val="20"/>
          <w:szCs w:val="20"/>
          <w:lang w:val="en-US"/>
        </w:rPr>
        <w:t xml:space="preserve">Escherichia coli1,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pneumoniae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choleraesuis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(4.35% or two (2) times identified each). However, onions were the vegetable with the fewest enterobacteria species (5 species, or </w:t>
      </w:r>
      <w:r w:rsidRPr="0088125C">
        <w:rPr>
          <w:rFonts w:ascii="Arial" w:eastAsia="Calibri" w:hAnsi="Arial" w:cs="Arial"/>
          <w:b/>
          <w:sz w:val="20"/>
          <w:szCs w:val="20"/>
          <w:lang w:val="en-US"/>
        </w:rPr>
        <w:t>12.24%</w:t>
      </w:r>
      <w:r w:rsidRPr="0088125C">
        <w:rPr>
          <w:rFonts w:ascii="Arial" w:eastAsia="Calibri" w:hAnsi="Arial" w:cs="Arial"/>
          <w:sz w:val="20"/>
          <w:szCs w:val="20"/>
          <w:lang w:val="en-US"/>
        </w:rPr>
        <w:t xml:space="preserve">). The species identified were </w:t>
      </w:r>
      <w:r w:rsidRPr="0088125C">
        <w:rPr>
          <w:rFonts w:ascii="Arial" w:eastAsia="Calibri" w:hAnsi="Arial" w:cs="Arial"/>
          <w:i/>
          <w:sz w:val="20"/>
          <w:szCs w:val="20"/>
          <w:lang w:val="en-US"/>
        </w:rPr>
        <w:t xml:space="preserve">Escherichia coli 1, Proteus mirabilis,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marcescens </w:t>
      </w:r>
      <w:r w:rsidRPr="0088125C">
        <w:rPr>
          <w:rFonts w:ascii="Arial" w:eastAsia="Calibri" w:hAnsi="Arial" w:cs="Arial"/>
          <w:sz w:val="20"/>
          <w:szCs w:val="20"/>
          <w:lang w:val="en-US"/>
        </w:rPr>
        <w:t xml:space="preserve">(2.17% each). On the other hand,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pneumoniae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2, Proteus vulgaris group, Salmonella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were </w:t>
      </w:r>
      <w:r w:rsidRPr="0088125C">
        <w:rPr>
          <w:rFonts w:ascii="Arial" w:eastAsia="Calibri" w:hAnsi="Arial" w:cs="Arial"/>
          <w:sz w:val="20"/>
          <w:szCs w:val="20"/>
          <w:lang w:val="en-US"/>
        </w:rPr>
        <w:t xml:space="preserve">isolated only from lettuce samples,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only from tomato samples, and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from </w:t>
      </w:r>
      <w:r w:rsidRPr="0088125C">
        <w:rPr>
          <w:rFonts w:ascii="Arial" w:eastAsia="Calibri" w:hAnsi="Arial" w:cs="Arial"/>
          <w:sz w:val="20"/>
          <w:szCs w:val="20"/>
          <w:lang w:val="en-US"/>
        </w:rPr>
        <w:t xml:space="preserve">onions only. It is also important to note that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were identified in all vegetables. Only one statistically significant difference was recorded between carrot and tomato frequencies (</w:t>
      </w:r>
      <w:r w:rsidRPr="0088125C">
        <w:rPr>
          <w:rFonts w:ascii="Arial" w:eastAsia="Calibri" w:hAnsi="Arial" w:cs="Arial"/>
          <w:i/>
          <w:sz w:val="20"/>
          <w:szCs w:val="20"/>
          <w:lang w:val="en-US"/>
        </w:rPr>
        <w:t>P-value&lt;0.05).</w:t>
      </w:r>
    </w:p>
    <w:p w14:paraId="48F14C80" w14:textId="77777777" w:rsidR="00E67CBD" w:rsidRPr="0088125C" w:rsidRDefault="00E67CBD" w:rsidP="00E67CBD">
      <w:pPr>
        <w:spacing w:after="0" w:line="360" w:lineRule="auto"/>
        <w:rPr>
          <w:rFonts w:ascii="Arial" w:eastAsia="Calibri" w:hAnsi="Arial" w:cs="Arial"/>
          <w:i/>
          <w:sz w:val="20"/>
          <w:szCs w:val="20"/>
          <w:lang w:val="en-US"/>
        </w:rPr>
        <w:sectPr w:rsidR="00E67CBD" w:rsidRPr="0088125C">
          <w:pgSz w:w="11906" w:h="16838"/>
          <w:pgMar w:top="1417" w:right="1417" w:bottom="1417" w:left="1417" w:header="708" w:footer="708" w:gutter="0"/>
          <w:cols w:space="720"/>
        </w:sectPr>
      </w:pPr>
    </w:p>
    <w:p w14:paraId="6C10A370" w14:textId="77777777" w:rsidR="00E67CBD" w:rsidRPr="0088125C" w:rsidRDefault="00E67CBD" w:rsidP="00E67CBD">
      <w:pPr>
        <w:spacing w:after="0" w:line="360" w:lineRule="auto"/>
        <w:ind w:firstLine="708"/>
        <w:jc w:val="both"/>
        <w:rPr>
          <w:rFonts w:ascii="Arial" w:eastAsia="Calibri" w:hAnsi="Arial" w:cs="Arial"/>
          <w:i/>
          <w:sz w:val="20"/>
          <w:szCs w:val="20"/>
          <w:lang w:val="en-US"/>
        </w:rPr>
      </w:pPr>
    </w:p>
    <w:p w14:paraId="555AF0D4" w14:textId="77777777" w:rsidR="00E67CBD" w:rsidRPr="0088125C" w:rsidRDefault="00E67CBD" w:rsidP="00E67CBD">
      <w:pPr>
        <w:spacing w:after="0" w:line="360" w:lineRule="auto"/>
        <w:jc w:val="both"/>
        <w:rPr>
          <w:rFonts w:ascii="Arial" w:eastAsia="Calibri" w:hAnsi="Arial" w:cs="Arial"/>
          <w:i/>
          <w:sz w:val="20"/>
          <w:szCs w:val="20"/>
          <w:lang w:val="en-US"/>
        </w:rPr>
      </w:pPr>
      <w:bookmarkStart w:id="26" w:name="_Toc164617604"/>
      <w:r w:rsidRPr="0088125C">
        <w:rPr>
          <w:rFonts w:ascii="Arial" w:eastAsia="Times New Roman" w:hAnsi="Arial" w:cs="Arial"/>
          <w:b/>
          <w:bCs/>
          <w:sz w:val="20"/>
          <w:szCs w:val="20"/>
          <w:lang w:val="en-US"/>
        </w:rPr>
        <w:t xml:space="preserve">Table III. </w:t>
      </w:r>
      <w:r w:rsidR="008C689A" w:rsidRPr="0088125C">
        <w:rPr>
          <w:rFonts w:ascii="Arial" w:eastAsia="Calibri" w:hAnsi="Arial" w:cs="Arial"/>
          <w:bCs/>
          <w:sz w:val="20"/>
          <w:szCs w:val="20"/>
          <w:lang w:val="en-US"/>
        </w:rPr>
        <w:t>Prevalence’s</w:t>
      </w:r>
      <w:r w:rsidRPr="0088125C">
        <w:rPr>
          <w:rFonts w:ascii="Arial" w:eastAsia="Calibri" w:hAnsi="Arial" w:cs="Arial"/>
          <w:bCs/>
          <w:sz w:val="20"/>
          <w:szCs w:val="20"/>
          <w:lang w:val="en-US"/>
        </w:rPr>
        <w:t xml:space="preserve"> of enterobacteria species isolated from market garden sites and markets, by type of vegetable.</w:t>
      </w:r>
      <w:bookmarkEnd w:id="26"/>
    </w:p>
    <w:tbl>
      <w:tblPr>
        <w:tblStyle w:val="Grilledutableau29"/>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701"/>
        <w:gridCol w:w="1815"/>
        <w:gridCol w:w="1559"/>
        <w:gridCol w:w="1490"/>
        <w:gridCol w:w="1447"/>
        <w:gridCol w:w="1682"/>
      </w:tblGrid>
      <w:tr w:rsidR="00E67CBD" w:rsidRPr="0088125C" w14:paraId="3C7571A0" w14:textId="77777777" w:rsidTr="00E67CBD">
        <w:trPr>
          <w:trHeight w:val="328"/>
        </w:trPr>
        <w:tc>
          <w:tcPr>
            <w:tcW w:w="1526" w:type="dxa"/>
            <w:vMerge w:val="restart"/>
            <w:tcBorders>
              <w:top w:val="single" w:sz="12" w:space="0" w:color="auto"/>
              <w:left w:val="nil"/>
              <w:bottom w:val="single" w:sz="12" w:space="0" w:color="auto"/>
              <w:right w:val="nil"/>
            </w:tcBorders>
            <w:hideMark/>
          </w:tcPr>
          <w:p w14:paraId="1CD5D9A6"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Type </w:t>
            </w:r>
          </w:p>
        </w:tc>
        <w:tc>
          <w:tcPr>
            <w:tcW w:w="4701" w:type="dxa"/>
            <w:vMerge w:val="restart"/>
            <w:tcBorders>
              <w:top w:val="single" w:sz="12" w:space="0" w:color="auto"/>
              <w:left w:val="nil"/>
              <w:bottom w:val="single" w:sz="12" w:space="0" w:color="auto"/>
              <w:right w:val="nil"/>
            </w:tcBorders>
            <w:noWrap/>
            <w:hideMark/>
          </w:tcPr>
          <w:p w14:paraId="530B669B" w14:textId="77777777" w:rsidR="00E67CBD" w:rsidRPr="0088125C" w:rsidRDefault="00E67CBD" w:rsidP="00E67CBD">
            <w:pPr>
              <w:spacing w:line="276"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6311" w:type="dxa"/>
            <w:gridSpan w:val="4"/>
            <w:tcBorders>
              <w:top w:val="single" w:sz="12" w:space="0" w:color="auto"/>
              <w:left w:val="nil"/>
              <w:bottom w:val="single" w:sz="12" w:space="0" w:color="auto"/>
              <w:right w:val="nil"/>
            </w:tcBorders>
            <w:noWrap/>
            <w:hideMark/>
          </w:tcPr>
          <w:p w14:paraId="776C3613" w14:textId="77777777" w:rsidR="00E67CBD" w:rsidRPr="0088125C" w:rsidRDefault="00E67CBD" w:rsidP="008C689A">
            <w:pPr>
              <w:spacing w:line="276" w:lineRule="auto"/>
              <w:jc w:val="center"/>
              <w:rPr>
                <w:rFonts w:ascii="Arial" w:hAnsi="Arial" w:cs="Arial"/>
                <w:b/>
                <w:sz w:val="20"/>
                <w:szCs w:val="20"/>
                <w:lang w:val="en-US"/>
              </w:rPr>
            </w:pPr>
            <w:r w:rsidRPr="0088125C">
              <w:rPr>
                <w:rFonts w:ascii="Arial" w:hAnsi="Arial" w:cs="Arial"/>
                <w:b/>
                <w:sz w:val="20"/>
                <w:szCs w:val="20"/>
                <w:lang w:val="en-US"/>
              </w:rPr>
              <w:t xml:space="preserve">Distribution by type of vegetable </w:t>
            </w: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1682" w:type="dxa"/>
            <w:vMerge w:val="restart"/>
            <w:tcBorders>
              <w:top w:val="single" w:sz="12" w:space="0" w:color="auto"/>
              <w:left w:val="nil"/>
              <w:bottom w:val="single" w:sz="12" w:space="0" w:color="auto"/>
              <w:right w:val="nil"/>
            </w:tcBorders>
            <w:noWrap/>
            <w:hideMark/>
          </w:tcPr>
          <w:p w14:paraId="0D637B1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Total</w:t>
            </w:r>
          </w:p>
        </w:tc>
      </w:tr>
      <w:tr w:rsidR="00E67CBD" w:rsidRPr="0088125C" w14:paraId="285FB916" w14:textId="77777777" w:rsidTr="00E67CBD">
        <w:trPr>
          <w:trHeight w:val="328"/>
        </w:trPr>
        <w:tc>
          <w:tcPr>
            <w:tcW w:w="0" w:type="auto"/>
            <w:vMerge/>
            <w:tcBorders>
              <w:top w:val="single" w:sz="12" w:space="0" w:color="auto"/>
              <w:left w:val="nil"/>
              <w:bottom w:val="single" w:sz="12" w:space="0" w:color="auto"/>
              <w:right w:val="nil"/>
            </w:tcBorders>
            <w:vAlign w:val="center"/>
            <w:hideMark/>
          </w:tcPr>
          <w:p w14:paraId="0094EC48"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6C3941DF" w14:textId="77777777" w:rsidR="00E67CBD" w:rsidRPr="0088125C" w:rsidRDefault="00E67CBD" w:rsidP="00E67CBD">
            <w:pPr>
              <w:rPr>
                <w:rFonts w:ascii="Arial" w:hAnsi="Arial" w:cs="Arial"/>
                <w:b/>
                <w:sz w:val="20"/>
                <w:szCs w:val="20"/>
              </w:rPr>
            </w:pPr>
          </w:p>
        </w:tc>
        <w:tc>
          <w:tcPr>
            <w:tcW w:w="1815" w:type="dxa"/>
            <w:tcBorders>
              <w:top w:val="single" w:sz="12" w:space="0" w:color="auto"/>
              <w:left w:val="nil"/>
              <w:bottom w:val="single" w:sz="12" w:space="0" w:color="auto"/>
              <w:right w:val="nil"/>
            </w:tcBorders>
            <w:noWrap/>
            <w:hideMark/>
          </w:tcPr>
          <w:p w14:paraId="6BA0FF4C"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Lettuce</w:t>
            </w:r>
            <w:proofErr w:type="spellEnd"/>
          </w:p>
        </w:tc>
        <w:tc>
          <w:tcPr>
            <w:tcW w:w="1559" w:type="dxa"/>
            <w:tcBorders>
              <w:top w:val="single" w:sz="12" w:space="0" w:color="auto"/>
              <w:left w:val="nil"/>
              <w:bottom w:val="single" w:sz="12" w:space="0" w:color="auto"/>
              <w:right w:val="nil"/>
            </w:tcBorders>
            <w:noWrap/>
            <w:hideMark/>
          </w:tcPr>
          <w:p w14:paraId="1A6EF295"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Tomato</w:t>
            </w:r>
            <w:proofErr w:type="spellEnd"/>
          </w:p>
        </w:tc>
        <w:tc>
          <w:tcPr>
            <w:tcW w:w="1490" w:type="dxa"/>
            <w:tcBorders>
              <w:top w:val="single" w:sz="12" w:space="0" w:color="auto"/>
              <w:left w:val="nil"/>
              <w:bottom w:val="single" w:sz="12" w:space="0" w:color="auto"/>
              <w:right w:val="nil"/>
            </w:tcBorders>
            <w:noWrap/>
            <w:hideMark/>
          </w:tcPr>
          <w:p w14:paraId="2D5D0E3B"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Carrot</w:t>
            </w:r>
            <w:proofErr w:type="spellEnd"/>
          </w:p>
        </w:tc>
        <w:tc>
          <w:tcPr>
            <w:tcW w:w="1447" w:type="dxa"/>
            <w:tcBorders>
              <w:top w:val="single" w:sz="12" w:space="0" w:color="auto"/>
              <w:left w:val="nil"/>
              <w:bottom w:val="single" w:sz="12" w:space="0" w:color="auto"/>
              <w:right w:val="nil"/>
            </w:tcBorders>
            <w:noWrap/>
            <w:hideMark/>
          </w:tcPr>
          <w:p w14:paraId="65F7A793"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Onion</w:t>
            </w:r>
            <w:proofErr w:type="spellEnd"/>
          </w:p>
        </w:tc>
        <w:tc>
          <w:tcPr>
            <w:tcW w:w="0" w:type="auto"/>
            <w:vMerge/>
            <w:tcBorders>
              <w:top w:val="single" w:sz="12" w:space="0" w:color="auto"/>
              <w:left w:val="nil"/>
              <w:bottom w:val="single" w:sz="12" w:space="0" w:color="auto"/>
              <w:right w:val="nil"/>
            </w:tcBorders>
            <w:vAlign w:val="center"/>
            <w:hideMark/>
          </w:tcPr>
          <w:p w14:paraId="68E4B0CE" w14:textId="77777777" w:rsidR="00E67CBD" w:rsidRPr="0088125C" w:rsidRDefault="00E67CBD" w:rsidP="00E67CBD">
            <w:pPr>
              <w:rPr>
                <w:rFonts w:ascii="Arial" w:hAnsi="Arial" w:cs="Arial"/>
                <w:b/>
                <w:sz w:val="20"/>
                <w:szCs w:val="20"/>
              </w:rPr>
            </w:pPr>
          </w:p>
        </w:tc>
      </w:tr>
      <w:tr w:rsidR="00E67CBD" w:rsidRPr="0088125C" w14:paraId="772366F2" w14:textId="77777777" w:rsidTr="00E67CBD">
        <w:trPr>
          <w:trHeight w:val="328"/>
        </w:trPr>
        <w:tc>
          <w:tcPr>
            <w:tcW w:w="1526" w:type="dxa"/>
            <w:tcBorders>
              <w:top w:val="single" w:sz="12" w:space="0" w:color="auto"/>
              <w:left w:val="nil"/>
              <w:bottom w:val="nil"/>
              <w:right w:val="nil"/>
            </w:tcBorders>
            <w:hideMark/>
          </w:tcPr>
          <w:p w14:paraId="7B4C4A32" w14:textId="77777777" w:rsidR="00E67CBD" w:rsidRPr="0088125C" w:rsidRDefault="00E67CBD" w:rsidP="00E67CBD">
            <w:pPr>
              <w:spacing w:line="276" w:lineRule="auto"/>
              <w:jc w:val="both"/>
              <w:rPr>
                <w:rFonts w:ascii="Arial" w:hAnsi="Arial" w:cs="Arial"/>
                <w:i/>
                <w:sz w:val="20"/>
                <w:szCs w:val="20"/>
              </w:rPr>
            </w:pPr>
            <w:bookmarkStart w:id="27" w:name="_Hlk163224841" w:colFirst="1" w:colLast="6"/>
            <w:r w:rsidRPr="0088125C">
              <w:rPr>
                <w:rFonts w:ascii="Arial" w:hAnsi="Arial" w:cs="Arial"/>
                <w:i/>
                <w:sz w:val="20"/>
                <w:szCs w:val="20"/>
              </w:rPr>
              <w:t xml:space="preserve">Enterobacter </w:t>
            </w:r>
          </w:p>
        </w:tc>
        <w:tc>
          <w:tcPr>
            <w:tcW w:w="4701" w:type="dxa"/>
            <w:tcBorders>
              <w:top w:val="single" w:sz="12" w:space="0" w:color="auto"/>
              <w:left w:val="nil"/>
              <w:bottom w:val="nil"/>
              <w:right w:val="nil"/>
            </w:tcBorders>
            <w:noWrap/>
            <w:hideMark/>
          </w:tcPr>
          <w:p w14:paraId="38C74BC3"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Enterobacter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cloacae</w:t>
            </w:r>
            <w:proofErr w:type="spellEnd"/>
          </w:p>
        </w:tc>
        <w:tc>
          <w:tcPr>
            <w:tcW w:w="1815" w:type="dxa"/>
            <w:tcBorders>
              <w:top w:val="single" w:sz="12" w:space="0" w:color="auto"/>
              <w:left w:val="nil"/>
              <w:bottom w:val="nil"/>
              <w:right w:val="nil"/>
            </w:tcBorders>
            <w:noWrap/>
            <w:hideMark/>
          </w:tcPr>
          <w:p w14:paraId="50B24B62"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single" w:sz="12" w:space="0" w:color="auto"/>
              <w:left w:val="nil"/>
              <w:bottom w:val="nil"/>
              <w:right w:val="nil"/>
            </w:tcBorders>
            <w:noWrap/>
            <w:hideMark/>
          </w:tcPr>
          <w:p w14:paraId="6302DCBF"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2(4,35)</w:t>
            </w:r>
            <w:r w:rsidRPr="0088125C">
              <w:rPr>
                <w:rFonts w:ascii="Arial" w:hAnsi="Arial" w:cs="Arial"/>
                <w:sz w:val="20"/>
                <w:szCs w:val="20"/>
                <w:vertAlign w:val="superscript"/>
              </w:rPr>
              <w:t>a</w:t>
            </w:r>
          </w:p>
        </w:tc>
        <w:tc>
          <w:tcPr>
            <w:tcW w:w="1490" w:type="dxa"/>
            <w:tcBorders>
              <w:top w:val="single" w:sz="12" w:space="0" w:color="auto"/>
              <w:left w:val="nil"/>
              <w:bottom w:val="nil"/>
              <w:right w:val="nil"/>
            </w:tcBorders>
            <w:noWrap/>
            <w:hideMark/>
          </w:tcPr>
          <w:p w14:paraId="7FDB65A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single" w:sz="12" w:space="0" w:color="auto"/>
              <w:left w:val="nil"/>
              <w:bottom w:val="nil"/>
              <w:right w:val="nil"/>
            </w:tcBorders>
            <w:noWrap/>
            <w:hideMark/>
          </w:tcPr>
          <w:p w14:paraId="1ED872F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single" w:sz="12" w:space="0" w:color="auto"/>
              <w:left w:val="nil"/>
              <w:bottom w:val="nil"/>
              <w:right w:val="nil"/>
            </w:tcBorders>
            <w:noWrap/>
            <w:hideMark/>
          </w:tcPr>
          <w:p w14:paraId="70BF54C1"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4C65F4EA" w14:textId="77777777" w:rsidTr="00E67CBD">
        <w:trPr>
          <w:trHeight w:val="328"/>
        </w:trPr>
        <w:tc>
          <w:tcPr>
            <w:tcW w:w="1526" w:type="dxa"/>
            <w:tcBorders>
              <w:top w:val="nil"/>
              <w:left w:val="nil"/>
              <w:bottom w:val="nil"/>
              <w:right w:val="nil"/>
            </w:tcBorders>
            <w:hideMark/>
          </w:tcPr>
          <w:p w14:paraId="2431556A"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13A694F5"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coli1</w:t>
            </w:r>
          </w:p>
        </w:tc>
        <w:tc>
          <w:tcPr>
            <w:tcW w:w="1815" w:type="dxa"/>
            <w:tcBorders>
              <w:top w:val="nil"/>
              <w:left w:val="nil"/>
              <w:bottom w:val="nil"/>
              <w:right w:val="nil"/>
            </w:tcBorders>
            <w:noWrap/>
            <w:hideMark/>
          </w:tcPr>
          <w:p w14:paraId="78AD3F7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2(4,35)</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29697900"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2(4,35)</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4E53BFB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DEE39E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373020C5"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5(10,20)</w:t>
            </w:r>
          </w:p>
        </w:tc>
      </w:tr>
      <w:tr w:rsidR="00E67CBD" w:rsidRPr="0088125C" w14:paraId="6270BC0A" w14:textId="77777777" w:rsidTr="00E67CBD">
        <w:trPr>
          <w:trHeight w:val="328"/>
        </w:trPr>
        <w:tc>
          <w:tcPr>
            <w:tcW w:w="1526" w:type="dxa"/>
            <w:tcBorders>
              <w:top w:val="nil"/>
              <w:left w:val="nil"/>
              <w:bottom w:val="nil"/>
              <w:right w:val="nil"/>
            </w:tcBorders>
            <w:hideMark/>
          </w:tcPr>
          <w:p w14:paraId="7E719C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678FF4D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coli2</w:t>
            </w:r>
          </w:p>
        </w:tc>
        <w:tc>
          <w:tcPr>
            <w:tcW w:w="1815" w:type="dxa"/>
            <w:tcBorders>
              <w:top w:val="nil"/>
              <w:left w:val="nil"/>
              <w:bottom w:val="nil"/>
              <w:right w:val="nil"/>
            </w:tcBorders>
            <w:noWrap/>
            <w:hideMark/>
          </w:tcPr>
          <w:p w14:paraId="18B09C5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4A69C2D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56639B4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648B3F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E2D7F12"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37EF9C43" w14:textId="77777777" w:rsidTr="00E67CBD">
        <w:trPr>
          <w:trHeight w:val="328"/>
        </w:trPr>
        <w:tc>
          <w:tcPr>
            <w:tcW w:w="1526" w:type="dxa"/>
            <w:tcBorders>
              <w:top w:val="nil"/>
              <w:left w:val="nil"/>
              <w:bottom w:val="nil"/>
              <w:right w:val="nil"/>
            </w:tcBorders>
            <w:hideMark/>
          </w:tcPr>
          <w:p w14:paraId="19EAB80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5CA3C4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1815" w:type="dxa"/>
            <w:tcBorders>
              <w:top w:val="nil"/>
              <w:left w:val="nil"/>
              <w:bottom w:val="nil"/>
              <w:right w:val="nil"/>
            </w:tcBorders>
            <w:noWrap/>
            <w:hideMark/>
          </w:tcPr>
          <w:p w14:paraId="11B862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69B1B13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60E9B8FE"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016AD2D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7A26A75D"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110EFE43" w14:textId="77777777" w:rsidTr="00E67CBD">
        <w:trPr>
          <w:trHeight w:val="328"/>
        </w:trPr>
        <w:tc>
          <w:tcPr>
            <w:tcW w:w="1526" w:type="dxa"/>
            <w:tcBorders>
              <w:top w:val="nil"/>
              <w:left w:val="nil"/>
              <w:bottom w:val="nil"/>
              <w:right w:val="nil"/>
            </w:tcBorders>
            <w:hideMark/>
          </w:tcPr>
          <w:p w14:paraId="7E4A96EB"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Klebsiella </w:t>
            </w:r>
          </w:p>
        </w:tc>
        <w:tc>
          <w:tcPr>
            <w:tcW w:w="4701" w:type="dxa"/>
            <w:tcBorders>
              <w:top w:val="nil"/>
              <w:left w:val="nil"/>
              <w:bottom w:val="nil"/>
              <w:right w:val="nil"/>
            </w:tcBorders>
            <w:noWrap/>
            <w:hideMark/>
          </w:tcPr>
          <w:p w14:paraId="0E8CBABF"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Klebsiella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1815" w:type="dxa"/>
            <w:tcBorders>
              <w:top w:val="nil"/>
              <w:left w:val="nil"/>
              <w:bottom w:val="nil"/>
              <w:right w:val="nil"/>
            </w:tcBorders>
            <w:noWrap/>
            <w:hideMark/>
          </w:tcPr>
          <w:p w14:paraId="47E4F12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2(4,35)</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35042EC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7C823D7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B7CBD2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720AA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79BE88DC" w14:textId="77777777" w:rsidTr="00E67CBD">
        <w:trPr>
          <w:trHeight w:val="328"/>
        </w:trPr>
        <w:tc>
          <w:tcPr>
            <w:tcW w:w="1526" w:type="dxa"/>
            <w:tcBorders>
              <w:top w:val="nil"/>
              <w:left w:val="nil"/>
              <w:bottom w:val="nil"/>
              <w:right w:val="nil"/>
            </w:tcBorders>
            <w:hideMark/>
          </w:tcPr>
          <w:p w14:paraId="073D0B50"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4BE7ADAA"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1815" w:type="dxa"/>
            <w:tcBorders>
              <w:top w:val="nil"/>
              <w:left w:val="nil"/>
              <w:bottom w:val="nil"/>
              <w:right w:val="nil"/>
            </w:tcBorders>
            <w:noWrap/>
            <w:hideMark/>
          </w:tcPr>
          <w:p w14:paraId="11FE360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606BEAF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2721A43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50A61C2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F92471B"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4EA23494" w14:textId="77777777" w:rsidTr="00E67CBD">
        <w:trPr>
          <w:trHeight w:val="328"/>
        </w:trPr>
        <w:tc>
          <w:tcPr>
            <w:tcW w:w="1526" w:type="dxa"/>
            <w:tcBorders>
              <w:top w:val="nil"/>
              <w:left w:val="nil"/>
              <w:bottom w:val="nil"/>
              <w:right w:val="nil"/>
            </w:tcBorders>
            <w:hideMark/>
          </w:tcPr>
          <w:p w14:paraId="1D9546A7"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02C42959"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2</w:t>
            </w:r>
          </w:p>
        </w:tc>
        <w:tc>
          <w:tcPr>
            <w:tcW w:w="1815" w:type="dxa"/>
            <w:tcBorders>
              <w:top w:val="nil"/>
              <w:left w:val="nil"/>
              <w:bottom w:val="nil"/>
              <w:right w:val="nil"/>
            </w:tcBorders>
            <w:noWrap/>
            <w:hideMark/>
          </w:tcPr>
          <w:p w14:paraId="3A72E30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647D01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2AA3069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3FE61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D6B7631"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5CB45C43" w14:textId="77777777" w:rsidTr="00E67CBD">
        <w:trPr>
          <w:trHeight w:val="328"/>
        </w:trPr>
        <w:tc>
          <w:tcPr>
            <w:tcW w:w="1526" w:type="dxa"/>
            <w:tcBorders>
              <w:top w:val="nil"/>
              <w:left w:val="nil"/>
              <w:bottom w:val="nil"/>
              <w:right w:val="nil"/>
            </w:tcBorders>
            <w:hideMark/>
          </w:tcPr>
          <w:p w14:paraId="3FC7F87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594D4B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mirabilis</w:t>
            </w:r>
          </w:p>
        </w:tc>
        <w:tc>
          <w:tcPr>
            <w:tcW w:w="1815" w:type="dxa"/>
            <w:tcBorders>
              <w:top w:val="nil"/>
              <w:left w:val="nil"/>
              <w:bottom w:val="nil"/>
              <w:right w:val="nil"/>
            </w:tcBorders>
            <w:noWrap/>
            <w:hideMark/>
          </w:tcPr>
          <w:p w14:paraId="69B21D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712CD09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F4A989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CC454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768B6526"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59C0732B" w14:textId="77777777" w:rsidTr="00E67CBD">
        <w:trPr>
          <w:trHeight w:val="328"/>
        </w:trPr>
        <w:tc>
          <w:tcPr>
            <w:tcW w:w="1526" w:type="dxa"/>
            <w:tcBorders>
              <w:top w:val="nil"/>
              <w:left w:val="nil"/>
              <w:bottom w:val="nil"/>
              <w:right w:val="nil"/>
            </w:tcBorders>
            <w:hideMark/>
          </w:tcPr>
          <w:p w14:paraId="0E44611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04E6927"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vulgaris group</w:t>
            </w:r>
          </w:p>
        </w:tc>
        <w:tc>
          <w:tcPr>
            <w:tcW w:w="1815" w:type="dxa"/>
            <w:tcBorders>
              <w:top w:val="nil"/>
              <w:left w:val="nil"/>
              <w:bottom w:val="nil"/>
              <w:right w:val="nil"/>
            </w:tcBorders>
            <w:noWrap/>
            <w:hideMark/>
          </w:tcPr>
          <w:p w14:paraId="0B24F249"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236F8A6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91D478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34D725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282FD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0355A5C2" w14:textId="77777777" w:rsidTr="00E67CBD">
        <w:trPr>
          <w:trHeight w:val="328"/>
        </w:trPr>
        <w:tc>
          <w:tcPr>
            <w:tcW w:w="1526" w:type="dxa"/>
            <w:tcBorders>
              <w:top w:val="nil"/>
              <w:left w:val="nil"/>
              <w:bottom w:val="nil"/>
              <w:right w:val="nil"/>
            </w:tcBorders>
            <w:hideMark/>
          </w:tcPr>
          <w:p w14:paraId="470F2292"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2AAE0EBC"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rettgeri</w:t>
            </w:r>
            <w:proofErr w:type="spellEnd"/>
          </w:p>
        </w:tc>
        <w:tc>
          <w:tcPr>
            <w:tcW w:w="1815" w:type="dxa"/>
            <w:tcBorders>
              <w:top w:val="nil"/>
              <w:left w:val="nil"/>
              <w:bottom w:val="nil"/>
              <w:right w:val="nil"/>
            </w:tcBorders>
            <w:noWrap/>
            <w:hideMark/>
          </w:tcPr>
          <w:p w14:paraId="7278180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043E238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EE4BB7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07F7C50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474D80DE"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3C44FB6D" w14:textId="77777777" w:rsidTr="00E67CBD">
        <w:trPr>
          <w:trHeight w:val="328"/>
        </w:trPr>
        <w:tc>
          <w:tcPr>
            <w:tcW w:w="1526" w:type="dxa"/>
            <w:tcBorders>
              <w:top w:val="nil"/>
              <w:left w:val="nil"/>
              <w:bottom w:val="nil"/>
              <w:right w:val="nil"/>
            </w:tcBorders>
            <w:hideMark/>
          </w:tcPr>
          <w:p w14:paraId="07C4C68B"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2301656A"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stuartii</w:t>
            </w:r>
            <w:proofErr w:type="spellEnd"/>
          </w:p>
        </w:tc>
        <w:tc>
          <w:tcPr>
            <w:tcW w:w="1815" w:type="dxa"/>
            <w:tcBorders>
              <w:top w:val="nil"/>
              <w:left w:val="nil"/>
              <w:bottom w:val="nil"/>
              <w:right w:val="nil"/>
            </w:tcBorders>
            <w:noWrap/>
            <w:hideMark/>
          </w:tcPr>
          <w:p w14:paraId="079C5FB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1510988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38B8D4A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5C2E17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404F463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2C7128E8" w14:textId="77777777" w:rsidTr="00E67CBD">
        <w:trPr>
          <w:trHeight w:val="328"/>
        </w:trPr>
        <w:tc>
          <w:tcPr>
            <w:tcW w:w="1526" w:type="dxa"/>
            <w:tcBorders>
              <w:top w:val="nil"/>
              <w:left w:val="nil"/>
              <w:bottom w:val="nil"/>
              <w:right w:val="nil"/>
            </w:tcBorders>
            <w:hideMark/>
          </w:tcPr>
          <w:p w14:paraId="3D6E69D4"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4FDEACB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pullorum</w:t>
            </w:r>
            <w:proofErr w:type="spellEnd"/>
            <w:r w:rsidRPr="0088125C">
              <w:rPr>
                <w:rFonts w:ascii="Arial" w:hAnsi="Arial" w:cs="Arial"/>
                <w:i/>
                <w:sz w:val="20"/>
                <w:szCs w:val="20"/>
              </w:rPr>
              <w:t xml:space="preserve"> </w:t>
            </w:r>
          </w:p>
        </w:tc>
        <w:tc>
          <w:tcPr>
            <w:tcW w:w="1815" w:type="dxa"/>
            <w:tcBorders>
              <w:top w:val="nil"/>
              <w:left w:val="nil"/>
              <w:bottom w:val="nil"/>
              <w:right w:val="nil"/>
            </w:tcBorders>
            <w:noWrap/>
            <w:hideMark/>
          </w:tcPr>
          <w:p w14:paraId="2C944232"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1(2,35)</w:t>
            </w:r>
            <w:r w:rsidRPr="0088125C">
              <w:rPr>
                <w:rFonts w:ascii="Arial" w:hAnsi="Arial" w:cs="Arial"/>
                <w:sz w:val="20"/>
                <w:szCs w:val="20"/>
                <w:vertAlign w:val="superscript"/>
              </w:rPr>
              <w:t>a</w:t>
            </w:r>
          </w:p>
        </w:tc>
        <w:tc>
          <w:tcPr>
            <w:tcW w:w="1559" w:type="dxa"/>
            <w:tcBorders>
              <w:top w:val="nil"/>
              <w:left w:val="nil"/>
              <w:bottom w:val="nil"/>
              <w:right w:val="nil"/>
            </w:tcBorders>
            <w:noWrap/>
          </w:tcPr>
          <w:p w14:paraId="4EBC329C" w14:textId="77777777" w:rsidR="00E67CBD" w:rsidRPr="0088125C" w:rsidRDefault="00E67CBD" w:rsidP="008C689A">
            <w:pPr>
              <w:spacing w:line="276" w:lineRule="auto"/>
              <w:jc w:val="center"/>
              <w:rPr>
                <w:rFonts w:ascii="Arial" w:hAnsi="Arial" w:cs="Arial"/>
                <w:sz w:val="20"/>
                <w:szCs w:val="20"/>
              </w:rPr>
            </w:pPr>
          </w:p>
        </w:tc>
        <w:tc>
          <w:tcPr>
            <w:tcW w:w="1490" w:type="dxa"/>
            <w:tcBorders>
              <w:top w:val="nil"/>
              <w:left w:val="nil"/>
              <w:bottom w:val="nil"/>
              <w:right w:val="nil"/>
            </w:tcBorders>
            <w:noWrap/>
          </w:tcPr>
          <w:p w14:paraId="24EE583A" w14:textId="77777777" w:rsidR="00E67CBD" w:rsidRPr="0088125C" w:rsidRDefault="00E67CBD" w:rsidP="008C689A">
            <w:pPr>
              <w:spacing w:line="276" w:lineRule="auto"/>
              <w:jc w:val="center"/>
              <w:rPr>
                <w:rFonts w:ascii="Arial" w:hAnsi="Arial" w:cs="Arial"/>
                <w:sz w:val="20"/>
                <w:szCs w:val="20"/>
              </w:rPr>
            </w:pPr>
          </w:p>
        </w:tc>
        <w:tc>
          <w:tcPr>
            <w:tcW w:w="1447" w:type="dxa"/>
            <w:tcBorders>
              <w:top w:val="nil"/>
              <w:left w:val="nil"/>
              <w:bottom w:val="nil"/>
              <w:right w:val="nil"/>
            </w:tcBorders>
            <w:noWrap/>
          </w:tcPr>
          <w:p w14:paraId="66BB5C78" w14:textId="77777777" w:rsidR="00E67CBD" w:rsidRPr="0088125C" w:rsidRDefault="00E67CBD" w:rsidP="008C689A">
            <w:pPr>
              <w:spacing w:line="276" w:lineRule="auto"/>
              <w:jc w:val="center"/>
              <w:rPr>
                <w:rFonts w:ascii="Arial" w:hAnsi="Arial" w:cs="Arial"/>
                <w:sz w:val="20"/>
                <w:szCs w:val="20"/>
              </w:rPr>
            </w:pPr>
          </w:p>
        </w:tc>
        <w:tc>
          <w:tcPr>
            <w:tcW w:w="1682" w:type="dxa"/>
            <w:tcBorders>
              <w:top w:val="nil"/>
              <w:left w:val="nil"/>
              <w:bottom w:val="nil"/>
              <w:right w:val="nil"/>
            </w:tcBorders>
            <w:noWrap/>
            <w:hideMark/>
          </w:tcPr>
          <w:p w14:paraId="3CD758A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38478AFF" w14:textId="77777777" w:rsidTr="00E67CBD">
        <w:trPr>
          <w:trHeight w:val="328"/>
        </w:trPr>
        <w:tc>
          <w:tcPr>
            <w:tcW w:w="1526" w:type="dxa"/>
            <w:tcBorders>
              <w:top w:val="nil"/>
              <w:left w:val="nil"/>
              <w:bottom w:val="nil"/>
              <w:right w:val="nil"/>
            </w:tcBorders>
            <w:hideMark/>
          </w:tcPr>
          <w:p w14:paraId="0C3B1A2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526659A0"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1815" w:type="dxa"/>
            <w:tcBorders>
              <w:top w:val="nil"/>
              <w:left w:val="nil"/>
              <w:bottom w:val="nil"/>
              <w:right w:val="nil"/>
            </w:tcBorders>
            <w:noWrap/>
            <w:hideMark/>
          </w:tcPr>
          <w:p w14:paraId="3B892FB5"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2(4,35)</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18F811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7FCE4BF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284532A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1B5D8B7" w14:textId="77777777" w:rsidR="00E67CBD" w:rsidRPr="0088125C" w:rsidRDefault="00E67CBD" w:rsidP="00E67CBD">
            <w:pPr>
              <w:spacing w:line="276" w:lineRule="auto"/>
              <w:jc w:val="both"/>
              <w:rPr>
                <w:rFonts w:ascii="Arial" w:hAnsi="Arial" w:cs="Arial"/>
                <w:b/>
                <w:sz w:val="20"/>
                <w:szCs w:val="20"/>
                <w:vertAlign w:val="superscript"/>
              </w:rPr>
            </w:pPr>
            <w:r w:rsidRPr="0088125C">
              <w:rPr>
                <w:rFonts w:ascii="Arial" w:hAnsi="Arial" w:cs="Arial"/>
                <w:b/>
                <w:sz w:val="20"/>
                <w:szCs w:val="20"/>
              </w:rPr>
              <w:t>4(8,69)</w:t>
            </w:r>
          </w:p>
        </w:tc>
      </w:tr>
      <w:tr w:rsidR="00E67CBD" w:rsidRPr="0088125C" w14:paraId="5D9031E6" w14:textId="77777777" w:rsidTr="00E67CBD">
        <w:trPr>
          <w:trHeight w:val="328"/>
        </w:trPr>
        <w:tc>
          <w:tcPr>
            <w:tcW w:w="1526" w:type="dxa"/>
            <w:tcBorders>
              <w:top w:val="nil"/>
              <w:left w:val="nil"/>
              <w:bottom w:val="nil"/>
              <w:right w:val="nil"/>
            </w:tcBorders>
            <w:hideMark/>
          </w:tcPr>
          <w:p w14:paraId="2BAC1A0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04704529"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1815" w:type="dxa"/>
            <w:tcBorders>
              <w:top w:val="nil"/>
              <w:left w:val="nil"/>
              <w:bottom w:val="nil"/>
              <w:right w:val="nil"/>
            </w:tcBorders>
            <w:noWrap/>
            <w:hideMark/>
          </w:tcPr>
          <w:p w14:paraId="6219E09A"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7(15,22)</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15CA625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2(4,35)</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102A864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2(4,35)</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4A6D5AB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603EA015"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13(28,26)</w:t>
            </w:r>
          </w:p>
        </w:tc>
      </w:tr>
      <w:tr w:rsidR="00E67CBD" w:rsidRPr="0088125C" w14:paraId="148C0BA4" w14:textId="77777777" w:rsidTr="00E67CBD">
        <w:trPr>
          <w:trHeight w:val="328"/>
        </w:trPr>
        <w:tc>
          <w:tcPr>
            <w:tcW w:w="1526" w:type="dxa"/>
            <w:tcBorders>
              <w:top w:val="nil"/>
              <w:left w:val="nil"/>
              <w:bottom w:val="nil"/>
              <w:right w:val="nil"/>
            </w:tcBorders>
            <w:hideMark/>
          </w:tcPr>
          <w:p w14:paraId="7FD7307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7D6A9B31"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liquefaciens</w:t>
            </w:r>
            <w:proofErr w:type="spellEnd"/>
          </w:p>
        </w:tc>
        <w:tc>
          <w:tcPr>
            <w:tcW w:w="1815" w:type="dxa"/>
            <w:tcBorders>
              <w:top w:val="nil"/>
              <w:left w:val="nil"/>
              <w:bottom w:val="nil"/>
              <w:right w:val="nil"/>
            </w:tcBorders>
            <w:noWrap/>
            <w:hideMark/>
          </w:tcPr>
          <w:p w14:paraId="7DD0AAE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49391C6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2F02CBE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1955DAE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BC86CC"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13A8A74D" w14:textId="77777777" w:rsidTr="00E67CBD">
        <w:trPr>
          <w:trHeight w:val="328"/>
        </w:trPr>
        <w:tc>
          <w:tcPr>
            <w:tcW w:w="1526" w:type="dxa"/>
            <w:tcBorders>
              <w:top w:val="nil"/>
              <w:left w:val="nil"/>
              <w:bottom w:val="nil"/>
              <w:right w:val="nil"/>
            </w:tcBorders>
            <w:hideMark/>
          </w:tcPr>
          <w:p w14:paraId="5BA749A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BC1528D"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marcescens</w:t>
            </w:r>
            <w:proofErr w:type="spellEnd"/>
          </w:p>
        </w:tc>
        <w:tc>
          <w:tcPr>
            <w:tcW w:w="1815" w:type="dxa"/>
            <w:tcBorders>
              <w:top w:val="nil"/>
              <w:left w:val="nil"/>
              <w:bottom w:val="nil"/>
              <w:right w:val="nil"/>
            </w:tcBorders>
            <w:noWrap/>
            <w:hideMark/>
          </w:tcPr>
          <w:p w14:paraId="0288BE9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5305939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17FC83D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D5ABA7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2CB0BF5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7DA32F35" w14:textId="77777777" w:rsidTr="00E67CBD">
        <w:trPr>
          <w:trHeight w:val="328"/>
        </w:trPr>
        <w:tc>
          <w:tcPr>
            <w:tcW w:w="1526" w:type="dxa"/>
            <w:tcBorders>
              <w:top w:val="nil"/>
              <w:left w:val="nil"/>
              <w:bottom w:val="nil"/>
              <w:right w:val="nil"/>
            </w:tcBorders>
            <w:hideMark/>
          </w:tcPr>
          <w:p w14:paraId="4826E7C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1796769E"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odorifera</w:t>
            </w:r>
            <w:proofErr w:type="spellEnd"/>
            <w:r w:rsidRPr="0088125C">
              <w:rPr>
                <w:rFonts w:ascii="Arial" w:hAnsi="Arial" w:cs="Arial"/>
                <w:i/>
                <w:sz w:val="20"/>
                <w:szCs w:val="20"/>
              </w:rPr>
              <w:t xml:space="preserve"> 1</w:t>
            </w:r>
          </w:p>
        </w:tc>
        <w:tc>
          <w:tcPr>
            <w:tcW w:w="1815" w:type="dxa"/>
            <w:tcBorders>
              <w:top w:val="nil"/>
              <w:left w:val="nil"/>
              <w:bottom w:val="nil"/>
              <w:right w:val="nil"/>
            </w:tcBorders>
            <w:noWrap/>
            <w:hideMark/>
          </w:tcPr>
          <w:p w14:paraId="02513D2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01A3CC0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3D6C74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61A7584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F3A8E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437DD7E7" w14:textId="77777777" w:rsidTr="00E67CBD">
        <w:trPr>
          <w:trHeight w:val="328"/>
        </w:trPr>
        <w:tc>
          <w:tcPr>
            <w:tcW w:w="1526" w:type="dxa"/>
            <w:tcBorders>
              <w:top w:val="nil"/>
              <w:left w:val="nil"/>
              <w:bottom w:val="nil"/>
              <w:right w:val="nil"/>
            </w:tcBorders>
            <w:hideMark/>
          </w:tcPr>
          <w:p w14:paraId="7856F22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A956DCF"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rubidaea</w:t>
            </w:r>
            <w:proofErr w:type="spellEnd"/>
          </w:p>
        </w:tc>
        <w:tc>
          <w:tcPr>
            <w:tcW w:w="1815" w:type="dxa"/>
            <w:tcBorders>
              <w:top w:val="nil"/>
              <w:left w:val="nil"/>
              <w:bottom w:val="nil"/>
              <w:right w:val="nil"/>
            </w:tcBorders>
            <w:noWrap/>
            <w:hideMark/>
          </w:tcPr>
          <w:p w14:paraId="11A2605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1D5792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438F794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22C63B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2BFA7C4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50E384F3" w14:textId="77777777" w:rsidTr="00E67CBD">
        <w:trPr>
          <w:trHeight w:val="328"/>
        </w:trPr>
        <w:tc>
          <w:tcPr>
            <w:tcW w:w="1526" w:type="dxa"/>
            <w:tcBorders>
              <w:top w:val="nil"/>
              <w:left w:val="nil"/>
              <w:bottom w:val="single" w:sz="12" w:space="0" w:color="auto"/>
              <w:right w:val="nil"/>
            </w:tcBorders>
            <w:hideMark/>
          </w:tcPr>
          <w:p w14:paraId="4DD0904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Total </w:t>
            </w:r>
          </w:p>
        </w:tc>
        <w:tc>
          <w:tcPr>
            <w:tcW w:w="4701" w:type="dxa"/>
            <w:tcBorders>
              <w:top w:val="nil"/>
              <w:left w:val="nil"/>
              <w:bottom w:val="single" w:sz="12" w:space="0" w:color="auto"/>
              <w:right w:val="nil"/>
            </w:tcBorders>
            <w:noWrap/>
            <w:hideMark/>
          </w:tcPr>
          <w:p w14:paraId="553C126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 </w:t>
            </w:r>
          </w:p>
        </w:tc>
        <w:tc>
          <w:tcPr>
            <w:tcW w:w="1815" w:type="dxa"/>
            <w:tcBorders>
              <w:top w:val="nil"/>
              <w:left w:val="nil"/>
              <w:bottom w:val="single" w:sz="12" w:space="0" w:color="auto"/>
              <w:right w:val="nil"/>
            </w:tcBorders>
            <w:noWrap/>
            <w:hideMark/>
          </w:tcPr>
          <w:p w14:paraId="7C9B5ACD"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24(52,17)</w:t>
            </w:r>
          </w:p>
        </w:tc>
        <w:tc>
          <w:tcPr>
            <w:tcW w:w="1559" w:type="dxa"/>
            <w:tcBorders>
              <w:top w:val="nil"/>
              <w:left w:val="nil"/>
              <w:bottom w:val="single" w:sz="12" w:space="0" w:color="auto"/>
              <w:right w:val="nil"/>
            </w:tcBorders>
            <w:noWrap/>
            <w:hideMark/>
          </w:tcPr>
          <w:p w14:paraId="6EF752B2"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12(26,06)</w:t>
            </w:r>
          </w:p>
        </w:tc>
        <w:tc>
          <w:tcPr>
            <w:tcW w:w="1490" w:type="dxa"/>
            <w:tcBorders>
              <w:top w:val="nil"/>
              <w:left w:val="nil"/>
              <w:bottom w:val="single" w:sz="12" w:space="0" w:color="auto"/>
              <w:right w:val="nil"/>
            </w:tcBorders>
            <w:noWrap/>
            <w:hideMark/>
          </w:tcPr>
          <w:p w14:paraId="212C69FB"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5(10,87)</w:t>
            </w:r>
          </w:p>
        </w:tc>
        <w:tc>
          <w:tcPr>
            <w:tcW w:w="1447" w:type="dxa"/>
            <w:tcBorders>
              <w:top w:val="nil"/>
              <w:left w:val="nil"/>
              <w:bottom w:val="single" w:sz="12" w:space="0" w:color="auto"/>
              <w:right w:val="nil"/>
            </w:tcBorders>
            <w:noWrap/>
            <w:hideMark/>
          </w:tcPr>
          <w:p w14:paraId="3FEA8AA4"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5(10,87)</w:t>
            </w:r>
          </w:p>
        </w:tc>
        <w:tc>
          <w:tcPr>
            <w:tcW w:w="1682" w:type="dxa"/>
            <w:tcBorders>
              <w:top w:val="nil"/>
              <w:left w:val="nil"/>
              <w:bottom w:val="single" w:sz="12" w:space="0" w:color="auto"/>
              <w:right w:val="nil"/>
            </w:tcBorders>
            <w:noWrap/>
            <w:hideMark/>
          </w:tcPr>
          <w:p w14:paraId="23D581DB" w14:textId="77777777" w:rsidR="00E67CBD" w:rsidRPr="0088125C" w:rsidRDefault="00E67CBD" w:rsidP="00E67CBD">
            <w:pPr>
              <w:keepNext/>
              <w:spacing w:line="276" w:lineRule="auto"/>
              <w:jc w:val="both"/>
              <w:rPr>
                <w:rFonts w:ascii="Arial" w:hAnsi="Arial" w:cs="Arial"/>
                <w:b/>
                <w:sz w:val="20"/>
                <w:szCs w:val="20"/>
              </w:rPr>
            </w:pPr>
            <w:r w:rsidRPr="0088125C">
              <w:rPr>
                <w:rFonts w:ascii="Arial" w:hAnsi="Arial" w:cs="Arial"/>
                <w:b/>
                <w:sz w:val="20"/>
                <w:szCs w:val="20"/>
              </w:rPr>
              <w:t>46(100,00)</w:t>
            </w:r>
          </w:p>
        </w:tc>
      </w:tr>
    </w:tbl>
    <w:bookmarkEnd w:id="27"/>
    <w:p w14:paraId="437048AD"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45A0EBFD" w14:textId="77777777" w:rsidR="00E67CBD" w:rsidRPr="0088125C" w:rsidRDefault="00E67CBD" w:rsidP="00E67CBD">
      <w:pPr>
        <w:spacing w:after="0" w:line="256"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498A2C44"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isolated from irrigation water</w:t>
      </w:r>
    </w:p>
    <w:p w14:paraId="54D100FF" w14:textId="77777777" w:rsidR="00E67CBD" w:rsidRPr="0088125C" w:rsidRDefault="00E67CBD" w:rsidP="00E67CBD">
      <w:pPr>
        <w:keepNext/>
        <w:keepLines/>
        <w:numPr>
          <w:ilvl w:val="3"/>
          <w:numId w:val="2"/>
        </w:numPr>
        <w:spacing w:after="0" w:line="360" w:lineRule="auto"/>
        <w:outlineLvl w:val="3"/>
        <w:rPr>
          <w:rFonts w:ascii="Arial" w:eastAsia="Calibri" w:hAnsi="Arial" w:cs="Arial"/>
          <w:b/>
          <w:bCs/>
          <w:iCs/>
          <w:sz w:val="20"/>
          <w:szCs w:val="20"/>
          <w:lang w:val="en-US"/>
        </w:rPr>
      </w:pPr>
      <w:r w:rsidRPr="0088125C">
        <w:rPr>
          <w:rFonts w:ascii="Arial" w:eastAsia="Calibri" w:hAnsi="Arial" w:cs="Arial"/>
          <w:b/>
          <w:bCs/>
          <w:iCs/>
          <w:sz w:val="20"/>
          <w:szCs w:val="20"/>
          <w:lang w:val="en-US"/>
        </w:rPr>
        <w:t xml:space="preserve"> </w:t>
      </w:r>
    </w:p>
    <w:p w14:paraId="71201DBC"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b/>
          <w:sz w:val="20"/>
          <w:szCs w:val="20"/>
          <w:lang w:val="en-US"/>
        </w:rPr>
        <w:t xml:space="preserve">Table IV </w:t>
      </w:r>
      <w:r w:rsidRPr="0088125C">
        <w:rPr>
          <w:rFonts w:ascii="Arial" w:eastAsia="Calibri" w:hAnsi="Arial" w:cs="Arial"/>
          <w:sz w:val="20"/>
          <w:szCs w:val="20"/>
          <w:lang w:val="en-US"/>
        </w:rPr>
        <w:t xml:space="preserve">shows the different species of Enterobacteriaceae identified in irrigation water. Fourteen (14) strains were identified, corresponding to seven (7) species and belonging to six (6) genera. These were </w:t>
      </w:r>
      <w:r w:rsidRPr="0088125C">
        <w:rPr>
          <w:rFonts w:ascii="Arial" w:eastAsia="Calibri" w:hAnsi="Arial" w:cs="Arial"/>
          <w:i/>
          <w:sz w:val="20"/>
          <w:szCs w:val="20"/>
          <w:lang w:val="en-US"/>
        </w:rPr>
        <w:t xml:space="preserve">Escherichia coli 1 </w:t>
      </w:r>
      <w:r w:rsidRPr="0088125C">
        <w:rPr>
          <w:rFonts w:ascii="Arial" w:eastAsia="Calibri" w:hAnsi="Arial" w:cs="Arial"/>
          <w:sz w:val="20"/>
          <w:szCs w:val="20"/>
          <w:lang w:val="en-US"/>
        </w:rPr>
        <w:t>(28.50%)</w:t>
      </w:r>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(21.4% each),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(14.3%) and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spp. </w:t>
      </w:r>
      <w:r w:rsidRPr="0088125C">
        <w:rPr>
          <w:rFonts w:ascii="Arial" w:eastAsia="Calibri" w:hAnsi="Arial" w:cs="Arial"/>
          <w:sz w:val="20"/>
          <w:szCs w:val="20"/>
          <w:lang w:val="en-US"/>
        </w:rPr>
        <w:t xml:space="preserve">(7.1% each). Field 3 recorded more species (7 species, i.e. 50% of species identified in irrigation water). Only one species of enterobacteria was identified in field 2,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(7.10%). Similarly,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was only identified at site 1 (two (2) times, i.e. 14.30%). On the other hand,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was identified at all market garden sites. </w:t>
      </w:r>
    </w:p>
    <w:p w14:paraId="7821B319" w14:textId="77777777" w:rsidR="00E67CBD" w:rsidRPr="0088125C" w:rsidRDefault="00E67CBD" w:rsidP="00E67CBD">
      <w:pPr>
        <w:spacing w:after="0" w:line="360" w:lineRule="auto"/>
        <w:jc w:val="both"/>
        <w:rPr>
          <w:rFonts w:ascii="Arial" w:eastAsia="Calibri" w:hAnsi="Arial" w:cs="Arial"/>
          <w:b/>
          <w:sz w:val="20"/>
          <w:szCs w:val="20"/>
          <w:lang w:val="en-US"/>
        </w:rPr>
      </w:pPr>
    </w:p>
    <w:p w14:paraId="3FE0C563" w14:textId="77777777" w:rsidR="00E67CBD" w:rsidRPr="0088125C" w:rsidRDefault="00153B3C" w:rsidP="00E67CBD">
      <w:pPr>
        <w:keepNext/>
        <w:spacing w:after="0" w:line="360" w:lineRule="auto"/>
        <w:rPr>
          <w:rFonts w:ascii="Arial" w:eastAsia="Times New Roman" w:hAnsi="Arial" w:cs="Arial"/>
          <w:b/>
          <w:bCs/>
          <w:sz w:val="20"/>
          <w:szCs w:val="20"/>
          <w:lang w:val="en-US"/>
        </w:rPr>
      </w:pPr>
      <w:bookmarkStart w:id="28" w:name="_Toc164617605"/>
      <w:r w:rsidRPr="0088125C">
        <w:rPr>
          <w:rFonts w:ascii="Arial" w:eastAsia="Times New Roman" w:hAnsi="Arial" w:cs="Arial"/>
          <w:b/>
          <w:bCs/>
          <w:sz w:val="20"/>
          <w:szCs w:val="20"/>
          <w:lang w:val="en-US"/>
        </w:rPr>
        <w:t>Table IV</w:t>
      </w:r>
      <w:r w:rsidR="00E67CBD" w:rsidRPr="0088125C">
        <w:rPr>
          <w:rFonts w:ascii="Arial" w:eastAsia="Times New Roman" w:hAnsi="Arial" w:cs="Arial"/>
          <w:b/>
          <w:bCs/>
          <w:sz w:val="20"/>
          <w:szCs w:val="20"/>
          <w:lang w:val="en-US"/>
        </w:rPr>
        <w:t xml:space="preserve">. </w:t>
      </w:r>
      <w:r w:rsidR="00E67CBD" w:rsidRPr="0088125C">
        <w:rPr>
          <w:rFonts w:ascii="Arial" w:eastAsia="Calibri" w:hAnsi="Arial" w:cs="Arial"/>
          <w:bCs/>
          <w:sz w:val="20"/>
          <w:szCs w:val="20"/>
          <w:lang w:val="en-US"/>
        </w:rPr>
        <w:t>Diversity of Enterobacteriaceae strains isolated from irrigation water in relation to market garden sites</w:t>
      </w:r>
      <w:bookmarkEnd w:id="28"/>
    </w:p>
    <w:tbl>
      <w:tblPr>
        <w:tblStyle w:val="Grilledutableau2"/>
        <w:tblW w:w="910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1900"/>
        <w:gridCol w:w="1390"/>
        <w:gridCol w:w="1390"/>
        <w:gridCol w:w="1390"/>
      </w:tblGrid>
      <w:tr w:rsidR="00E67CBD" w:rsidRPr="0088125C" w14:paraId="0284D715" w14:textId="77777777" w:rsidTr="00E67CBD">
        <w:trPr>
          <w:trHeight w:val="323"/>
        </w:trPr>
        <w:tc>
          <w:tcPr>
            <w:tcW w:w="3035" w:type="dxa"/>
            <w:vMerge w:val="restart"/>
            <w:tcBorders>
              <w:top w:val="single" w:sz="12" w:space="0" w:color="auto"/>
              <w:left w:val="nil"/>
              <w:bottom w:val="single" w:sz="12" w:space="0" w:color="auto"/>
              <w:right w:val="nil"/>
            </w:tcBorders>
            <w:noWrap/>
            <w:hideMark/>
          </w:tcPr>
          <w:p w14:paraId="2D0131D2"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4680" w:type="dxa"/>
            <w:gridSpan w:val="3"/>
            <w:tcBorders>
              <w:top w:val="single" w:sz="12" w:space="0" w:color="auto"/>
              <w:left w:val="nil"/>
              <w:bottom w:val="single" w:sz="12" w:space="0" w:color="auto"/>
              <w:right w:val="nil"/>
            </w:tcBorders>
            <w:noWrap/>
            <w:hideMark/>
          </w:tcPr>
          <w:p w14:paraId="21E10A60" w14:textId="77777777" w:rsidR="00E67CBD" w:rsidRPr="0088125C" w:rsidRDefault="00E67CBD" w:rsidP="00E67CBD">
            <w:pPr>
              <w:spacing w:line="360" w:lineRule="auto"/>
              <w:jc w:val="center"/>
              <w:rPr>
                <w:rFonts w:ascii="Arial" w:hAnsi="Arial" w:cs="Arial"/>
                <w:b/>
                <w:sz w:val="20"/>
                <w:szCs w:val="20"/>
                <w:lang w:val="en-US"/>
              </w:rPr>
            </w:pPr>
            <w:r w:rsidRPr="0088125C">
              <w:rPr>
                <w:rFonts w:ascii="Arial" w:hAnsi="Arial" w:cs="Arial"/>
                <w:b/>
                <w:sz w:val="20"/>
                <w:szCs w:val="20"/>
                <w:lang w:val="en-US"/>
              </w:rPr>
              <w:t>Distribution by market garden site</w:t>
            </w:r>
          </w:p>
          <w:p w14:paraId="5157CA7C" w14:textId="77777777" w:rsidR="00E67CBD" w:rsidRPr="0088125C" w:rsidRDefault="00E67CBD" w:rsidP="00E67CBD">
            <w:pPr>
              <w:spacing w:line="360" w:lineRule="auto"/>
              <w:jc w:val="center"/>
              <w:rPr>
                <w:rFonts w:ascii="Arial" w:hAnsi="Arial" w:cs="Arial"/>
                <w:b/>
                <w:sz w:val="20"/>
                <w:szCs w:val="20"/>
                <w:lang w:val="en-US"/>
              </w:rPr>
            </w:pP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1390" w:type="dxa"/>
            <w:vMerge w:val="restart"/>
            <w:tcBorders>
              <w:top w:val="single" w:sz="12" w:space="0" w:color="auto"/>
              <w:left w:val="nil"/>
              <w:bottom w:val="single" w:sz="12" w:space="0" w:color="auto"/>
              <w:right w:val="nil"/>
            </w:tcBorders>
            <w:noWrap/>
            <w:hideMark/>
          </w:tcPr>
          <w:p w14:paraId="2FFFC712"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Total</w:t>
            </w:r>
          </w:p>
        </w:tc>
      </w:tr>
      <w:tr w:rsidR="00E67CBD" w:rsidRPr="0088125C" w14:paraId="13610E5A" w14:textId="77777777" w:rsidTr="00E67CBD">
        <w:trPr>
          <w:trHeight w:val="323"/>
        </w:trPr>
        <w:tc>
          <w:tcPr>
            <w:tcW w:w="0" w:type="auto"/>
            <w:vMerge/>
            <w:tcBorders>
              <w:top w:val="single" w:sz="12" w:space="0" w:color="auto"/>
              <w:left w:val="nil"/>
              <w:bottom w:val="single" w:sz="12" w:space="0" w:color="auto"/>
              <w:right w:val="nil"/>
            </w:tcBorders>
            <w:vAlign w:val="center"/>
            <w:hideMark/>
          </w:tcPr>
          <w:p w14:paraId="3D3BF66E" w14:textId="77777777" w:rsidR="00E67CBD" w:rsidRPr="0088125C" w:rsidRDefault="00E67CBD" w:rsidP="00E67CBD">
            <w:pPr>
              <w:rPr>
                <w:rFonts w:ascii="Arial" w:hAnsi="Arial" w:cs="Arial"/>
                <w:b/>
                <w:sz w:val="20"/>
                <w:szCs w:val="20"/>
              </w:rPr>
            </w:pPr>
          </w:p>
        </w:tc>
        <w:tc>
          <w:tcPr>
            <w:tcW w:w="1900" w:type="dxa"/>
            <w:tcBorders>
              <w:top w:val="single" w:sz="12" w:space="0" w:color="auto"/>
              <w:left w:val="nil"/>
              <w:bottom w:val="single" w:sz="12" w:space="0" w:color="auto"/>
              <w:right w:val="nil"/>
            </w:tcBorders>
            <w:noWrap/>
            <w:hideMark/>
          </w:tcPr>
          <w:p w14:paraId="40699D79"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Field1</w:t>
            </w:r>
          </w:p>
        </w:tc>
        <w:tc>
          <w:tcPr>
            <w:tcW w:w="1390" w:type="dxa"/>
            <w:tcBorders>
              <w:top w:val="single" w:sz="12" w:space="0" w:color="auto"/>
              <w:left w:val="nil"/>
              <w:bottom w:val="single" w:sz="12" w:space="0" w:color="auto"/>
              <w:right w:val="nil"/>
            </w:tcBorders>
            <w:noWrap/>
            <w:hideMark/>
          </w:tcPr>
          <w:p w14:paraId="2ECB0EB0"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field2</w:t>
            </w:r>
          </w:p>
        </w:tc>
        <w:tc>
          <w:tcPr>
            <w:tcW w:w="1390" w:type="dxa"/>
            <w:tcBorders>
              <w:top w:val="single" w:sz="12" w:space="0" w:color="auto"/>
              <w:left w:val="nil"/>
              <w:bottom w:val="single" w:sz="12" w:space="0" w:color="auto"/>
              <w:right w:val="nil"/>
            </w:tcBorders>
            <w:noWrap/>
            <w:hideMark/>
          </w:tcPr>
          <w:p w14:paraId="3EFF46B6"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Champ3</w:t>
            </w:r>
          </w:p>
        </w:tc>
        <w:tc>
          <w:tcPr>
            <w:tcW w:w="0" w:type="auto"/>
            <w:vMerge/>
            <w:tcBorders>
              <w:top w:val="single" w:sz="12" w:space="0" w:color="auto"/>
              <w:left w:val="nil"/>
              <w:bottom w:val="single" w:sz="12" w:space="0" w:color="auto"/>
              <w:right w:val="nil"/>
            </w:tcBorders>
            <w:vAlign w:val="center"/>
            <w:hideMark/>
          </w:tcPr>
          <w:p w14:paraId="6248869D" w14:textId="77777777" w:rsidR="00E67CBD" w:rsidRPr="0088125C" w:rsidRDefault="00E67CBD" w:rsidP="00E67CBD">
            <w:pPr>
              <w:rPr>
                <w:rFonts w:ascii="Arial" w:hAnsi="Arial" w:cs="Arial"/>
                <w:b/>
                <w:sz w:val="20"/>
                <w:szCs w:val="20"/>
              </w:rPr>
            </w:pPr>
          </w:p>
        </w:tc>
      </w:tr>
      <w:tr w:rsidR="00E67CBD" w:rsidRPr="0088125C" w14:paraId="49323B0A" w14:textId="77777777" w:rsidTr="00E67CBD">
        <w:trPr>
          <w:trHeight w:val="323"/>
        </w:trPr>
        <w:tc>
          <w:tcPr>
            <w:tcW w:w="3035" w:type="dxa"/>
            <w:tcBorders>
              <w:top w:val="single" w:sz="12" w:space="0" w:color="auto"/>
              <w:left w:val="nil"/>
              <w:bottom w:val="nil"/>
              <w:right w:val="nil"/>
            </w:tcBorders>
            <w:noWrap/>
            <w:hideMark/>
          </w:tcPr>
          <w:p w14:paraId="0D7059F5"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freundii</w:t>
            </w:r>
            <w:proofErr w:type="spellEnd"/>
          </w:p>
        </w:tc>
        <w:tc>
          <w:tcPr>
            <w:tcW w:w="1900" w:type="dxa"/>
            <w:tcBorders>
              <w:top w:val="single" w:sz="12" w:space="0" w:color="auto"/>
              <w:left w:val="nil"/>
              <w:bottom w:val="nil"/>
              <w:right w:val="nil"/>
            </w:tcBorders>
            <w:noWrap/>
            <w:hideMark/>
          </w:tcPr>
          <w:p w14:paraId="2A37B58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2(14,30)a</w:t>
            </w:r>
          </w:p>
        </w:tc>
        <w:tc>
          <w:tcPr>
            <w:tcW w:w="1390" w:type="dxa"/>
            <w:tcBorders>
              <w:top w:val="single" w:sz="12" w:space="0" w:color="auto"/>
              <w:left w:val="nil"/>
              <w:bottom w:val="nil"/>
              <w:right w:val="nil"/>
            </w:tcBorders>
            <w:noWrap/>
            <w:hideMark/>
          </w:tcPr>
          <w:p w14:paraId="363B548F"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single" w:sz="12" w:space="0" w:color="auto"/>
              <w:left w:val="nil"/>
              <w:bottom w:val="nil"/>
              <w:right w:val="nil"/>
            </w:tcBorders>
            <w:noWrap/>
            <w:hideMark/>
          </w:tcPr>
          <w:p w14:paraId="1D27AFFE"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single" w:sz="12" w:space="0" w:color="auto"/>
              <w:left w:val="nil"/>
              <w:bottom w:val="nil"/>
              <w:right w:val="nil"/>
            </w:tcBorders>
            <w:noWrap/>
            <w:hideMark/>
          </w:tcPr>
          <w:p w14:paraId="1697660A"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2(14,30)</w:t>
            </w:r>
          </w:p>
        </w:tc>
      </w:tr>
      <w:tr w:rsidR="00E67CBD" w:rsidRPr="0088125C" w14:paraId="58A31736" w14:textId="77777777" w:rsidTr="00E67CBD">
        <w:trPr>
          <w:trHeight w:val="323"/>
        </w:trPr>
        <w:tc>
          <w:tcPr>
            <w:tcW w:w="3035" w:type="dxa"/>
            <w:tcBorders>
              <w:top w:val="nil"/>
              <w:left w:val="nil"/>
              <w:bottom w:val="nil"/>
              <w:right w:val="nil"/>
            </w:tcBorders>
            <w:noWrap/>
            <w:hideMark/>
          </w:tcPr>
          <w:p w14:paraId="270FCB52"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Enterobacter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cloacae</w:t>
            </w:r>
            <w:proofErr w:type="spellEnd"/>
          </w:p>
        </w:tc>
        <w:tc>
          <w:tcPr>
            <w:tcW w:w="1900" w:type="dxa"/>
            <w:tcBorders>
              <w:top w:val="nil"/>
              <w:left w:val="nil"/>
              <w:bottom w:val="nil"/>
              <w:right w:val="nil"/>
            </w:tcBorders>
            <w:noWrap/>
            <w:hideMark/>
          </w:tcPr>
          <w:p w14:paraId="23F7D6B7"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75F500B8"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532995AB"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7D5FA0A7"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5E0DA9A1" w14:textId="77777777" w:rsidTr="00E67CBD">
        <w:trPr>
          <w:trHeight w:val="323"/>
        </w:trPr>
        <w:tc>
          <w:tcPr>
            <w:tcW w:w="3035" w:type="dxa"/>
            <w:tcBorders>
              <w:top w:val="nil"/>
              <w:left w:val="nil"/>
              <w:bottom w:val="nil"/>
              <w:right w:val="nil"/>
            </w:tcBorders>
            <w:noWrap/>
            <w:hideMark/>
          </w:tcPr>
          <w:p w14:paraId="03BE45D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Enterobacter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sakazakii</w:t>
            </w:r>
            <w:proofErr w:type="spellEnd"/>
          </w:p>
        </w:tc>
        <w:tc>
          <w:tcPr>
            <w:tcW w:w="1900" w:type="dxa"/>
            <w:tcBorders>
              <w:top w:val="nil"/>
              <w:left w:val="nil"/>
              <w:bottom w:val="nil"/>
              <w:right w:val="nil"/>
            </w:tcBorders>
            <w:noWrap/>
            <w:hideMark/>
          </w:tcPr>
          <w:p w14:paraId="358B018F"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30C78F5C"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72D3900A"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3949C4BF"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1B260B80" w14:textId="77777777" w:rsidTr="00E67CBD">
        <w:trPr>
          <w:trHeight w:val="323"/>
        </w:trPr>
        <w:tc>
          <w:tcPr>
            <w:tcW w:w="3035" w:type="dxa"/>
            <w:tcBorders>
              <w:top w:val="nil"/>
              <w:left w:val="nil"/>
              <w:bottom w:val="nil"/>
              <w:right w:val="nil"/>
            </w:tcBorders>
            <w:noWrap/>
            <w:hideMark/>
          </w:tcPr>
          <w:p w14:paraId="4D3161F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1900" w:type="dxa"/>
            <w:tcBorders>
              <w:top w:val="nil"/>
              <w:left w:val="nil"/>
              <w:bottom w:val="nil"/>
              <w:right w:val="nil"/>
            </w:tcBorders>
            <w:noWrap/>
            <w:hideMark/>
          </w:tcPr>
          <w:p w14:paraId="7A8786A8"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3C45E400"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048AF5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(3) 21,40</w:t>
            </w:r>
          </w:p>
        </w:tc>
        <w:tc>
          <w:tcPr>
            <w:tcW w:w="1390" w:type="dxa"/>
            <w:tcBorders>
              <w:top w:val="nil"/>
              <w:left w:val="nil"/>
              <w:bottom w:val="nil"/>
              <w:right w:val="nil"/>
            </w:tcBorders>
            <w:noWrap/>
            <w:hideMark/>
          </w:tcPr>
          <w:p w14:paraId="5F7B6030"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4(28,50)</w:t>
            </w:r>
          </w:p>
        </w:tc>
      </w:tr>
      <w:tr w:rsidR="00E67CBD" w:rsidRPr="0088125C" w14:paraId="2E6E7499" w14:textId="77777777" w:rsidTr="00E67CBD">
        <w:trPr>
          <w:trHeight w:val="323"/>
        </w:trPr>
        <w:tc>
          <w:tcPr>
            <w:tcW w:w="3035" w:type="dxa"/>
            <w:tcBorders>
              <w:top w:val="nil"/>
              <w:left w:val="nil"/>
              <w:bottom w:val="nil"/>
              <w:right w:val="nil"/>
            </w:tcBorders>
            <w:noWrap/>
            <w:hideMark/>
          </w:tcPr>
          <w:p w14:paraId="1D93DCDB"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1900" w:type="dxa"/>
            <w:tcBorders>
              <w:top w:val="nil"/>
              <w:left w:val="nil"/>
              <w:bottom w:val="nil"/>
              <w:right w:val="nil"/>
            </w:tcBorders>
            <w:noWrap/>
            <w:hideMark/>
          </w:tcPr>
          <w:p w14:paraId="4C8C8F9B"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476E032D"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27CB55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5454B81"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17B70D09" w14:textId="77777777" w:rsidTr="00E67CBD">
        <w:trPr>
          <w:trHeight w:val="323"/>
        </w:trPr>
        <w:tc>
          <w:tcPr>
            <w:tcW w:w="3035" w:type="dxa"/>
            <w:tcBorders>
              <w:top w:val="nil"/>
              <w:left w:val="nil"/>
              <w:bottom w:val="nil"/>
              <w:right w:val="nil"/>
            </w:tcBorders>
            <w:noWrap/>
            <w:hideMark/>
          </w:tcPr>
          <w:p w14:paraId="5E7BD82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1900" w:type="dxa"/>
            <w:tcBorders>
              <w:top w:val="nil"/>
              <w:left w:val="nil"/>
              <w:bottom w:val="nil"/>
              <w:right w:val="nil"/>
            </w:tcBorders>
            <w:noWrap/>
            <w:hideMark/>
          </w:tcPr>
          <w:p w14:paraId="5020A12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0ED2D2C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48ECB099"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3B3FC00A"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3(21,40)</w:t>
            </w:r>
          </w:p>
        </w:tc>
      </w:tr>
      <w:tr w:rsidR="00E67CBD" w:rsidRPr="0088125C" w14:paraId="765C0F33" w14:textId="77777777" w:rsidTr="00E67CBD">
        <w:trPr>
          <w:trHeight w:val="323"/>
        </w:trPr>
        <w:tc>
          <w:tcPr>
            <w:tcW w:w="3035" w:type="dxa"/>
            <w:tcBorders>
              <w:top w:val="nil"/>
              <w:left w:val="nil"/>
              <w:bottom w:val="nil"/>
              <w:right w:val="nil"/>
            </w:tcBorders>
            <w:noWrap/>
            <w:hideMark/>
          </w:tcPr>
          <w:p w14:paraId="647BDE18"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Serratia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liquefaciens</w:t>
            </w:r>
            <w:proofErr w:type="spellEnd"/>
          </w:p>
        </w:tc>
        <w:tc>
          <w:tcPr>
            <w:tcW w:w="1900" w:type="dxa"/>
            <w:tcBorders>
              <w:top w:val="nil"/>
              <w:left w:val="nil"/>
              <w:bottom w:val="nil"/>
              <w:right w:val="nil"/>
            </w:tcBorders>
            <w:noWrap/>
            <w:hideMark/>
          </w:tcPr>
          <w:p w14:paraId="7F04380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2(14,30)a</w:t>
            </w:r>
          </w:p>
        </w:tc>
        <w:tc>
          <w:tcPr>
            <w:tcW w:w="1390" w:type="dxa"/>
            <w:tcBorders>
              <w:top w:val="nil"/>
              <w:left w:val="nil"/>
              <w:bottom w:val="nil"/>
              <w:right w:val="nil"/>
            </w:tcBorders>
            <w:noWrap/>
            <w:hideMark/>
          </w:tcPr>
          <w:p w14:paraId="5FE6414D"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1F642262"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1(7,10)a</w:t>
            </w:r>
          </w:p>
        </w:tc>
        <w:tc>
          <w:tcPr>
            <w:tcW w:w="1390" w:type="dxa"/>
            <w:tcBorders>
              <w:top w:val="nil"/>
              <w:left w:val="nil"/>
              <w:bottom w:val="nil"/>
              <w:right w:val="nil"/>
            </w:tcBorders>
            <w:noWrap/>
            <w:hideMark/>
          </w:tcPr>
          <w:p w14:paraId="5F87C34B"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3(21,40)</w:t>
            </w:r>
          </w:p>
        </w:tc>
      </w:tr>
      <w:tr w:rsidR="00E67CBD" w:rsidRPr="0088125C" w14:paraId="2783CC89" w14:textId="77777777" w:rsidTr="00E67CBD">
        <w:trPr>
          <w:trHeight w:val="323"/>
        </w:trPr>
        <w:tc>
          <w:tcPr>
            <w:tcW w:w="3035" w:type="dxa"/>
            <w:tcBorders>
              <w:top w:val="nil"/>
              <w:left w:val="nil"/>
              <w:bottom w:val="single" w:sz="12" w:space="0" w:color="auto"/>
              <w:right w:val="nil"/>
            </w:tcBorders>
            <w:noWrap/>
            <w:hideMark/>
          </w:tcPr>
          <w:p w14:paraId="44C01A8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1900" w:type="dxa"/>
            <w:tcBorders>
              <w:top w:val="nil"/>
              <w:left w:val="nil"/>
              <w:bottom w:val="single" w:sz="12" w:space="0" w:color="auto"/>
              <w:right w:val="nil"/>
            </w:tcBorders>
            <w:noWrap/>
            <w:hideMark/>
          </w:tcPr>
          <w:p w14:paraId="18C58DD3"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6(42,90)</w:t>
            </w:r>
          </w:p>
        </w:tc>
        <w:tc>
          <w:tcPr>
            <w:tcW w:w="1390" w:type="dxa"/>
            <w:tcBorders>
              <w:top w:val="nil"/>
              <w:left w:val="nil"/>
              <w:bottom w:val="single" w:sz="12" w:space="0" w:color="auto"/>
              <w:right w:val="nil"/>
            </w:tcBorders>
            <w:noWrap/>
            <w:hideMark/>
          </w:tcPr>
          <w:p w14:paraId="6DDE8BA6"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c>
          <w:tcPr>
            <w:tcW w:w="1390" w:type="dxa"/>
            <w:tcBorders>
              <w:top w:val="nil"/>
              <w:left w:val="nil"/>
              <w:bottom w:val="single" w:sz="12" w:space="0" w:color="auto"/>
              <w:right w:val="nil"/>
            </w:tcBorders>
            <w:noWrap/>
            <w:hideMark/>
          </w:tcPr>
          <w:p w14:paraId="0DA061C2"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7(50,00)</w:t>
            </w:r>
          </w:p>
        </w:tc>
        <w:tc>
          <w:tcPr>
            <w:tcW w:w="1390" w:type="dxa"/>
            <w:tcBorders>
              <w:top w:val="nil"/>
              <w:left w:val="nil"/>
              <w:bottom w:val="single" w:sz="12" w:space="0" w:color="auto"/>
              <w:right w:val="nil"/>
            </w:tcBorders>
            <w:noWrap/>
            <w:hideMark/>
          </w:tcPr>
          <w:p w14:paraId="5CD30C18" w14:textId="77777777" w:rsidR="00E67CBD" w:rsidRPr="0088125C" w:rsidRDefault="00E67CBD" w:rsidP="00E67CBD">
            <w:pPr>
              <w:keepNext/>
              <w:spacing w:line="360" w:lineRule="auto"/>
              <w:jc w:val="center"/>
              <w:rPr>
                <w:rFonts w:ascii="Arial" w:hAnsi="Arial" w:cs="Arial"/>
                <w:b/>
                <w:sz w:val="20"/>
                <w:szCs w:val="20"/>
              </w:rPr>
            </w:pPr>
            <w:r w:rsidRPr="0088125C">
              <w:rPr>
                <w:rFonts w:ascii="Arial" w:hAnsi="Arial" w:cs="Arial"/>
                <w:b/>
                <w:sz w:val="20"/>
                <w:szCs w:val="20"/>
              </w:rPr>
              <w:t>14(100,00)</w:t>
            </w:r>
          </w:p>
        </w:tc>
      </w:tr>
    </w:tbl>
    <w:p w14:paraId="064A791E" w14:textId="77777777" w:rsidR="00E67CBD" w:rsidRPr="0088125C" w:rsidRDefault="00E67CBD" w:rsidP="00E67CBD">
      <w:pPr>
        <w:spacing w:line="256" w:lineRule="auto"/>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7215231A" w14:textId="77777777" w:rsidR="00E67CBD" w:rsidRPr="0088125C" w:rsidRDefault="00E67CBD" w:rsidP="00E67CBD">
      <w:pPr>
        <w:spacing w:line="256" w:lineRule="auto"/>
        <w:rPr>
          <w:rFonts w:ascii="Arial" w:eastAsia="Calibri" w:hAnsi="Arial" w:cs="Arial"/>
          <w:b/>
          <w:sz w:val="20"/>
          <w:szCs w:val="20"/>
          <w:lang w:val="en-US"/>
        </w:rPr>
      </w:pPr>
    </w:p>
    <w:p w14:paraId="2FF086EB"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 xml:space="preserve">Biochemical similarity of identified Enterobacteriaceae species </w:t>
      </w:r>
    </w:p>
    <w:p w14:paraId="3974C38F" w14:textId="77777777" w:rsidR="00E67CBD" w:rsidRPr="0088125C" w:rsidRDefault="00E67CBD" w:rsidP="00E67CBD">
      <w:pPr>
        <w:spacing w:line="256" w:lineRule="auto"/>
        <w:rPr>
          <w:rFonts w:ascii="Arial" w:eastAsia="Calibri" w:hAnsi="Arial" w:cs="Arial"/>
          <w:b/>
          <w:sz w:val="20"/>
          <w:szCs w:val="20"/>
          <w:lang w:val="en-US"/>
        </w:rPr>
      </w:pPr>
    </w:p>
    <w:p w14:paraId="4F7F04CA" w14:textId="77777777" w:rsidR="00E67CBD" w:rsidRPr="0088125C" w:rsidRDefault="00E67CBD" w:rsidP="00E67CBD">
      <w:pPr>
        <w:spacing w:after="0" w:line="360" w:lineRule="auto"/>
        <w:ind w:firstLine="708"/>
        <w:jc w:val="both"/>
        <w:rPr>
          <w:rFonts w:ascii="Arial" w:eastAsia="Times New Roman" w:hAnsi="Arial" w:cs="Arial"/>
          <w:sz w:val="20"/>
          <w:szCs w:val="20"/>
          <w:lang w:val="en-US" w:eastAsia="fr-FR"/>
        </w:rPr>
      </w:pPr>
      <w:r w:rsidRPr="0088125C">
        <w:rPr>
          <w:rFonts w:ascii="Arial" w:eastAsia="Calibri" w:hAnsi="Arial" w:cs="Arial"/>
          <w:sz w:val="20"/>
          <w:szCs w:val="20"/>
          <w:lang w:val="en-US"/>
        </w:rPr>
        <w:t xml:space="preserve">Hierarchical Ascending Classification (HAC) of the biochemical characteristics of the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strains identified, based on Euclidean distance using Ward's method, identified four (4) groups (</w:t>
      </w:r>
      <w:r w:rsidR="0003335F" w:rsidRPr="0088125C">
        <w:rPr>
          <w:rFonts w:ascii="Arial" w:eastAsia="Calibri" w:hAnsi="Arial" w:cs="Arial"/>
          <w:b/>
          <w:sz w:val="20"/>
          <w:szCs w:val="20"/>
          <w:lang w:val="en-US"/>
        </w:rPr>
        <w:t>figure 5</w:t>
      </w:r>
      <w:r w:rsidRPr="0088125C">
        <w:rPr>
          <w:rFonts w:ascii="Arial" w:eastAsia="Calibri" w:hAnsi="Arial" w:cs="Arial"/>
          <w:sz w:val="20"/>
          <w:szCs w:val="20"/>
          <w:lang w:val="en-US"/>
        </w:rPr>
        <w:t xml:space="preserve">). Group 1 represents 28.33% of all strains identified (17/60). Group 2 is the largest, representing 48.33% (29/60) of strains, and group 3, 16.66% (10/60). Finally, group 4 is the smallest, comprising four (4) (6.67%). </w:t>
      </w:r>
    </w:p>
    <w:p w14:paraId="56E789EE" w14:textId="77777777" w:rsidR="00E67CBD" w:rsidRPr="0088125C" w:rsidRDefault="00E67CBD" w:rsidP="00E67CBD">
      <w:pPr>
        <w:spacing w:after="0" w:line="360" w:lineRule="auto"/>
        <w:jc w:val="both"/>
        <w:rPr>
          <w:rFonts w:ascii="Arial" w:eastAsia="Times New Roman" w:hAnsi="Arial" w:cs="Arial"/>
          <w:sz w:val="20"/>
          <w:szCs w:val="20"/>
          <w:lang w:val="en-US" w:eastAsia="fr-FR"/>
        </w:rPr>
      </w:pPr>
      <w:r w:rsidRPr="0088125C">
        <w:rPr>
          <w:rFonts w:ascii="Arial" w:eastAsia="Calibri" w:hAnsi="Arial" w:cs="Arial"/>
          <w:noProof/>
          <w:sz w:val="20"/>
          <w:szCs w:val="20"/>
          <w:lang w:val="en-US"/>
        </w:rPr>
        <w:lastRenderedPageBreak/>
        <w:drawing>
          <wp:anchor distT="0" distB="0" distL="114300" distR="114300" simplePos="0" relativeHeight="251669504" behindDoc="1" locked="0" layoutInCell="1" allowOverlap="1" wp14:anchorId="0AB6AA96" wp14:editId="1CBAEF85">
            <wp:simplePos x="0" y="0"/>
            <wp:positionH relativeFrom="margin">
              <wp:align>right</wp:align>
            </wp:positionH>
            <wp:positionV relativeFrom="paragraph">
              <wp:posOffset>193040</wp:posOffset>
            </wp:positionV>
            <wp:extent cx="4639945" cy="6593205"/>
            <wp:effectExtent l="0" t="0" r="8255" b="0"/>
            <wp:wrapTopAndBottom/>
            <wp:docPr id="13" name="Image 5" descr="jpgDE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jpgDENDO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9945" cy="6593205"/>
                    </a:xfrm>
                    <a:prstGeom prst="rect">
                      <a:avLst/>
                    </a:prstGeom>
                    <a:noFill/>
                  </pic:spPr>
                </pic:pic>
              </a:graphicData>
            </a:graphic>
            <wp14:sizeRelH relativeFrom="margin">
              <wp14:pctWidth>0</wp14:pctWidth>
            </wp14:sizeRelH>
            <wp14:sizeRelV relativeFrom="margin">
              <wp14:pctHeight>0</wp14:pctHeight>
            </wp14:sizeRelV>
          </wp:anchor>
        </w:drawing>
      </w:r>
      <w:r w:rsidRPr="0088125C">
        <w:rPr>
          <w:rFonts w:ascii="Arial" w:eastAsia="Calibri" w:hAnsi="Arial" w:cs="Arial"/>
          <w:noProof/>
          <w:sz w:val="20"/>
          <w:szCs w:val="20"/>
          <w:lang w:val="en-US"/>
        </w:rPr>
        <mc:AlternateContent>
          <mc:Choice Requires="wps">
            <w:drawing>
              <wp:anchor distT="0" distB="0" distL="114300" distR="114300" simplePos="0" relativeHeight="251670528" behindDoc="0" locked="0" layoutInCell="1" allowOverlap="1" wp14:anchorId="4A838F8B" wp14:editId="34269340">
                <wp:simplePos x="0" y="0"/>
                <wp:positionH relativeFrom="margin">
                  <wp:align>right</wp:align>
                </wp:positionH>
                <wp:positionV relativeFrom="paragraph">
                  <wp:posOffset>6849110</wp:posOffset>
                </wp:positionV>
                <wp:extent cx="4671695" cy="1388110"/>
                <wp:effectExtent l="0" t="0" r="0" b="1905"/>
                <wp:wrapTopAndBottom/>
                <wp:docPr id="69" name="Zone de texte 11"/>
                <wp:cNvGraphicFramePr/>
                <a:graphic xmlns:a="http://schemas.openxmlformats.org/drawingml/2006/main">
                  <a:graphicData uri="http://schemas.microsoft.com/office/word/2010/wordprocessingShape">
                    <wps:wsp>
                      <wps:cNvSpPr txBox="1"/>
                      <wps:spPr>
                        <a:xfrm>
                          <a:off x="0" y="0"/>
                          <a:ext cx="4671695" cy="1388110"/>
                        </a:xfrm>
                        <a:prstGeom prst="rect">
                          <a:avLst/>
                        </a:prstGeom>
                        <a:solidFill>
                          <a:prstClr val="white"/>
                        </a:solidFill>
                        <a:ln>
                          <a:noFill/>
                        </a:ln>
                      </wps:spPr>
                      <wps:txbx>
                        <w:txbxContent>
                          <w:p w14:paraId="18A7F19B" w14:textId="77777777" w:rsidR="00D34FD5" w:rsidRPr="00E67CBD" w:rsidRDefault="00D34FD5"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Salch</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enterica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Citrobacter</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Enterobacter</w:t>
                            </w:r>
                            <w:proofErr w:type="spellEnd"/>
                            <w:r w:rsidRPr="00E67CBD">
                              <w:rPr>
                                <w:rFonts w:ascii="Times New Roman" w:hAnsi="Times New Roman"/>
                                <w:color w:val="000000" w:themeColor="text1"/>
                                <w:sz w:val="20"/>
                                <w:szCs w:val="22"/>
                                <w:lang w:val="en-US"/>
                              </w:rPr>
                              <w:t xml:space="preserve">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Enterobacter</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Serli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Serratia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Klebsiella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pneumoniae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w:t>
                            </w:r>
                            <w:proofErr w:type="spellStart"/>
                            <w:r w:rsidRPr="00E67CBD">
                              <w:rPr>
                                <w:rFonts w:ascii="Times New Roman" w:hAnsi="Times New Roman"/>
                                <w:color w:val="000000" w:themeColor="text1"/>
                                <w:sz w:val="20"/>
                                <w:szCs w:val="22"/>
                                <w:lang w:val="en-US"/>
                              </w:rPr>
                              <w:t>pullorum</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Serma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Serratia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marcescens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Serod</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Serratia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Serratia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w:t>
                            </w:r>
                            <w:proofErr w:type="spellStart"/>
                            <w:r w:rsidRPr="00E67CBD">
                              <w:rPr>
                                <w:rFonts w:ascii="Times New Roman" w:hAnsi="Times New Roman"/>
                                <w:color w:val="000000" w:themeColor="text1"/>
                                <w:sz w:val="20"/>
                                <w:szCs w:val="22"/>
                                <w:lang w:val="en-US"/>
                              </w:rPr>
                              <w:t>Providencia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Providencia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stuartii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838F8B" id="Zone de texte 11" o:spid="_x0000_s1029" type="#_x0000_t202" style="position:absolute;left:0;text-align:left;margin-left:316.65pt;margin-top:539.3pt;width:367.85pt;height:109.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" stroked="f">
                <v:textbox style="mso-fit-shape-to-text:t" inset="0,0,0,0">
                  <w:txbxContent>
                    <w:p w14:paraId="18A7F19B" w14:textId="77777777" w:rsidR="00D34FD5" w:rsidRPr="00E67CBD" w:rsidRDefault="00D34FD5"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Salch</w:t>
                      </w:r>
                      <w:proofErr w:type="spellEnd"/>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Serli</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Serma: Serratia marcescens, </w:t>
                      </w:r>
                      <w:proofErr w:type="spellStart"/>
                      <w:r w:rsidRPr="00E67CBD">
                        <w:rPr>
                          <w:rFonts w:ascii="Times New Roman" w:hAnsi="Times New Roman"/>
                          <w:color w:val="000000" w:themeColor="text1"/>
                          <w:sz w:val="20"/>
                          <w:szCs w:val="22"/>
                          <w:lang w:val="en-US"/>
                        </w:rPr>
                        <w:t>Serod</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p>
                  </w:txbxContent>
                </v:textbox>
                <w10:wrap type="topAndBottom" anchorx="margin"/>
              </v:shape>
            </w:pict>
          </mc:Fallback>
        </mc:AlternateContent>
      </w:r>
    </w:p>
    <w:p w14:paraId="0BA3536B" w14:textId="77777777" w:rsidR="00E67CBD" w:rsidRPr="0088125C" w:rsidRDefault="00E67CBD" w:rsidP="00E67CBD">
      <w:pPr>
        <w:spacing w:after="0" w:line="360" w:lineRule="auto"/>
        <w:rPr>
          <w:rFonts w:ascii="Arial" w:eastAsia="Times New Roman" w:hAnsi="Arial" w:cs="Arial"/>
          <w:sz w:val="20"/>
          <w:szCs w:val="20"/>
          <w:lang w:val="en-US" w:eastAsia="fr-FR"/>
        </w:rPr>
        <w:sectPr w:rsidR="00E67CBD" w:rsidRPr="0088125C">
          <w:pgSz w:w="11906" w:h="16838"/>
          <w:pgMar w:top="1417" w:right="1417" w:bottom="1417" w:left="1417" w:header="708" w:footer="708" w:gutter="0"/>
          <w:cols w:space="720"/>
        </w:sectPr>
      </w:pPr>
    </w:p>
    <w:p w14:paraId="13C3EF3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lastRenderedPageBreak/>
        <w:t>Figure 6</w:t>
      </w:r>
      <w:r w:rsidR="00E67CBD" w:rsidRPr="0088125C">
        <w:rPr>
          <w:rFonts w:ascii="Arial" w:eastAsia="Times New Roman" w:hAnsi="Arial" w:cs="Arial"/>
          <w:sz w:val="20"/>
          <w:szCs w:val="20"/>
          <w:lang w:val="en-US"/>
        </w:rPr>
        <w:t xml:space="preserve"> shows the distribution of species within each </w:t>
      </w:r>
      <w:r w:rsidR="008C689A"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 Group 2 (G2) is the largest, comprising </w:t>
      </w:r>
      <w:proofErr w:type="spellStart"/>
      <w:r w:rsidR="00E67CBD" w:rsidRPr="0088125C">
        <w:rPr>
          <w:rFonts w:ascii="Arial" w:eastAsia="Times New Roman" w:hAnsi="Arial" w:cs="Arial"/>
          <w:i/>
          <w:sz w:val="20"/>
          <w:szCs w:val="20"/>
          <w:lang w:val="en-US"/>
        </w:rPr>
        <w:t>Enterobacter</w:t>
      </w:r>
      <w:proofErr w:type="spellEnd"/>
      <w:r w:rsidR="00E67CBD" w:rsidRPr="0088125C">
        <w:rPr>
          <w:rFonts w:ascii="Arial" w:eastAsia="Times New Roman" w:hAnsi="Arial" w:cs="Arial"/>
          <w:i/>
          <w:sz w:val="20"/>
          <w:szCs w:val="20"/>
          <w:lang w:val="en-US"/>
        </w:rPr>
        <w:t xml:space="preserve"> cloacae, </w:t>
      </w:r>
      <w:proofErr w:type="spellStart"/>
      <w:r w:rsidR="00E67CBD" w:rsidRPr="0088125C">
        <w:rPr>
          <w:rFonts w:ascii="Arial" w:eastAsia="Times New Roman" w:hAnsi="Arial" w:cs="Arial"/>
          <w:i/>
          <w:sz w:val="20"/>
          <w:szCs w:val="20"/>
          <w:lang w:val="en-US"/>
        </w:rPr>
        <w:t>Enterobacter</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sakazakii</w:t>
      </w:r>
      <w:proofErr w:type="spellEnd"/>
      <w:r w:rsidR="00E67CBD" w:rsidRPr="0088125C">
        <w:rPr>
          <w:rFonts w:ascii="Arial" w:eastAsia="Times New Roman" w:hAnsi="Arial" w:cs="Arial"/>
          <w:i/>
          <w:sz w:val="20"/>
          <w:szCs w:val="20"/>
          <w:lang w:val="en-US"/>
        </w:rPr>
        <w:t xml:space="preserve">, Escherichia coli 1, Escherichia coli 2, Escherichia </w:t>
      </w:r>
      <w:proofErr w:type="spellStart"/>
      <w:r w:rsidR="00E67CBD" w:rsidRPr="0088125C">
        <w:rPr>
          <w:rFonts w:ascii="Arial" w:eastAsia="Times New Roman" w:hAnsi="Arial" w:cs="Arial"/>
          <w:i/>
          <w:sz w:val="20"/>
          <w:szCs w:val="20"/>
          <w:lang w:val="en-US"/>
        </w:rPr>
        <w:t>vulneris</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Klebsiella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pneumoniae</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ssp</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Pantoe</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1, </w:t>
      </w:r>
      <w:proofErr w:type="spellStart"/>
      <w:r w:rsidR="00E67CBD" w:rsidRPr="0088125C">
        <w:rPr>
          <w:rFonts w:ascii="Arial" w:eastAsia="Times New Roman" w:hAnsi="Arial" w:cs="Arial"/>
          <w:i/>
          <w:sz w:val="20"/>
          <w:szCs w:val="20"/>
          <w:lang w:val="en-US"/>
        </w:rPr>
        <w:t>Raoultella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terrigena</w:t>
      </w:r>
      <w:proofErr w:type="spellEnd"/>
      <w:r w:rsidR="00E67CBD" w:rsidRPr="0088125C">
        <w:rPr>
          <w:rFonts w:ascii="Arial" w:eastAsia="Times New Roman" w:hAnsi="Arial" w:cs="Arial"/>
          <w:i/>
          <w:sz w:val="20"/>
          <w:szCs w:val="20"/>
          <w:lang w:val="en-US"/>
        </w:rPr>
        <w:t xml:space="preserve">, Salmonella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Serratia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liquefaciens</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Serratia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marcescens</w:t>
      </w:r>
      <w:proofErr w:type="spellEnd"/>
      <w:r w:rsidR="00E67CBD" w:rsidRPr="0088125C">
        <w:rPr>
          <w:rFonts w:ascii="Arial" w:eastAsia="Times New Roman" w:hAnsi="Arial" w:cs="Arial"/>
          <w:i/>
          <w:sz w:val="20"/>
          <w:szCs w:val="20"/>
          <w:lang w:val="en-US"/>
        </w:rPr>
        <w:t xml:space="preserve">, </w:t>
      </w:r>
      <w:r w:rsidR="00E67CBD" w:rsidRPr="0088125C">
        <w:rPr>
          <w:rFonts w:ascii="Arial" w:eastAsia="Times New Roman" w:hAnsi="Arial" w:cs="Arial"/>
          <w:sz w:val="20"/>
          <w:szCs w:val="20"/>
          <w:lang w:val="en-US"/>
        </w:rPr>
        <w:t xml:space="preserve">and </w:t>
      </w:r>
      <w:proofErr w:type="spellStart"/>
      <w:r w:rsidR="00E67CBD" w:rsidRPr="0088125C">
        <w:rPr>
          <w:rFonts w:ascii="Arial" w:eastAsia="Times New Roman" w:hAnsi="Arial" w:cs="Arial"/>
          <w:i/>
          <w:sz w:val="20"/>
          <w:szCs w:val="20"/>
          <w:lang w:val="en-US"/>
        </w:rPr>
        <w:t>Serratia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odorifera</w:t>
      </w:r>
      <w:proofErr w:type="spellEnd"/>
      <w:r w:rsidR="00E67CBD" w:rsidRPr="0088125C">
        <w:rPr>
          <w:rFonts w:ascii="Arial" w:eastAsia="Times New Roman" w:hAnsi="Arial" w:cs="Arial"/>
          <w:i/>
          <w:sz w:val="20"/>
          <w:szCs w:val="20"/>
          <w:lang w:val="en-US"/>
        </w:rPr>
        <w:t xml:space="preserve"> </w:t>
      </w:r>
      <w:r w:rsidR="00E67CBD" w:rsidRPr="0088125C">
        <w:rPr>
          <w:rFonts w:ascii="Arial" w:eastAsia="Times New Roman" w:hAnsi="Arial" w:cs="Arial"/>
          <w:sz w:val="20"/>
          <w:szCs w:val="20"/>
          <w:lang w:val="en-US"/>
        </w:rPr>
        <w:t xml:space="preserve">1 in varying proportions (Figure 7). Group 4 (G4), on the other hand, is the smallest, comprising four (4) species. Some species can be found in more than one group. The difference is statistically insignificant between and within groups according to the non-parametric Kruskal-Walis test </w:t>
      </w:r>
      <w:r w:rsidR="00E67CBD" w:rsidRPr="0088125C">
        <w:rPr>
          <w:rFonts w:ascii="Arial" w:eastAsia="Times New Roman" w:hAnsi="Arial" w:cs="Arial"/>
          <w:i/>
          <w:sz w:val="20"/>
          <w:szCs w:val="20"/>
          <w:lang w:val="en-US"/>
        </w:rPr>
        <w:t xml:space="preserve">(P-value = </w:t>
      </w:r>
      <w:r w:rsidR="00E67CBD" w:rsidRPr="0088125C">
        <w:rPr>
          <w:rFonts w:ascii="Arial" w:eastAsia="Times New Roman" w:hAnsi="Arial" w:cs="Arial"/>
          <w:sz w:val="20"/>
          <w:szCs w:val="20"/>
          <w:lang w:val="en-US"/>
        </w:rPr>
        <w:t>0.427</w:t>
      </w:r>
      <w:r w:rsidR="00E67CBD" w:rsidRPr="0088125C">
        <w:rPr>
          <w:rFonts w:ascii="Arial" w:eastAsia="Times New Roman" w:hAnsi="Arial" w:cs="Arial"/>
          <w:i/>
          <w:sz w:val="20"/>
          <w:szCs w:val="20"/>
          <w:lang w:val="en-US"/>
        </w:rPr>
        <w:t>).</w:t>
      </w:r>
    </w:p>
    <w:p w14:paraId="5EBBCA92"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val="en-US"/>
        </w:rPr>
        <mc:AlternateContent>
          <mc:Choice Requires="wps">
            <w:drawing>
              <wp:anchor distT="0" distB="0" distL="114300" distR="114300" simplePos="0" relativeHeight="251667456" behindDoc="0" locked="0" layoutInCell="1" allowOverlap="1" wp14:anchorId="46EBCA3A" wp14:editId="5EB9F3F3">
                <wp:simplePos x="0" y="0"/>
                <wp:positionH relativeFrom="column">
                  <wp:posOffset>2553335</wp:posOffset>
                </wp:positionH>
                <wp:positionV relativeFrom="paragraph">
                  <wp:posOffset>223520</wp:posOffset>
                </wp:positionV>
                <wp:extent cx="48895" cy="2094230"/>
                <wp:effectExtent l="6033" t="0" r="14287" b="14288"/>
                <wp:wrapNone/>
                <wp:docPr id="66" name="Parenthèse ouvrante 1"/>
                <wp:cNvGraphicFramePr/>
                <a:graphic xmlns:a="http://schemas.openxmlformats.org/drawingml/2006/main">
                  <a:graphicData uri="http://schemas.microsoft.com/office/word/2010/wordprocessingShape">
                    <wps:wsp>
                      <wps:cNvSpPr/>
                      <wps:spPr>
                        <a:xfrm rot="16200000" flipH="1">
                          <a:off x="0" y="0"/>
                          <a:ext cx="48895" cy="209423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A1BC99" id="Parenthèse ouvrante 1" o:spid="_x0000_s1026" type="#_x0000_t85" style="position:absolute;margin-left:201.05pt;margin-top:17.6pt;width:3.85pt;height:164.9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" adj="42" strokecolor="windowText" strokeweight=".5pt">
                <v:stroke joinstyle="miter"/>
              </v:shape>
            </w:pict>
          </mc:Fallback>
        </mc:AlternateContent>
      </w:r>
      <w:r w:rsidRPr="0088125C">
        <w:rPr>
          <w:rFonts w:ascii="Arial" w:eastAsia="Times New Roman" w:hAnsi="Arial" w:cs="Arial"/>
          <w:sz w:val="20"/>
          <w:szCs w:val="20"/>
          <w:lang w:val="en-US"/>
        </w:rPr>
        <w:t xml:space="preserve"> </w:t>
      </w:r>
    </w:p>
    <w:p w14:paraId="65571D7A" w14:textId="77777777" w:rsidR="00E67CBD" w:rsidRPr="0088125C" w:rsidRDefault="00E67CBD" w:rsidP="00E67CBD">
      <w:pPr>
        <w:spacing w:after="200" w:line="360" w:lineRule="auto"/>
        <w:jc w:val="both"/>
        <w:rPr>
          <w:rFonts w:ascii="Arial" w:eastAsia="Times New Roman" w:hAnsi="Arial" w:cs="Arial"/>
          <w:sz w:val="20"/>
          <w:szCs w:val="20"/>
        </w:rPr>
      </w:pPr>
      <w:r w:rsidRPr="0088125C">
        <w:rPr>
          <w:rFonts w:ascii="Arial" w:eastAsia="Calibri" w:hAnsi="Arial" w:cs="Arial"/>
          <w:noProof/>
          <w:sz w:val="20"/>
          <w:szCs w:val="20"/>
          <w:lang w:val="en-US"/>
        </w:rPr>
        <mc:AlternateContent>
          <mc:Choice Requires="wps">
            <w:drawing>
              <wp:anchor distT="0" distB="0" distL="114300" distR="114300" simplePos="0" relativeHeight="251668480" behindDoc="0" locked="0" layoutInCell="1" allowOverlap="1" wp14:anchorId="1ED0AC29" wp14:editId="4669768A">
                <wp:simplePos x="0" y="0"/>
                <wp:positionH relativeFrom="column">
                  <wp:posOffset>2233930</wp:posOffset>
                </wp:positionH>
                <wp:positionV relativeFrom="paragraph">
                  <wp:posOffset>321310</wp:posOffset>
                </wp:positionV>
                <wp:extent cx="590550" cy="279400"/>
                <wp:effectExtent l="0" t="0" r="0" b="6350"/>
                <wp:wrapNone/>
                <wp:docPr id="65" name="Zone de texte 110"/>
                <wp:cNvGraphicFramePr/>
                <a:graphic xmlns:a="http://schemas.openxmlformats.org/drawingml/2006/main">
                  <a:graphicData uri="http://schemas.microsoft.com/office/word/2010/wordprocessingShape">
                    <wps:wsp>
                      <wps:cNvSpPr txBox="1"/>
                      <wps:spPr>
                        <a:xfrm>
                          <a:off x="0" y="0"/>
                          <a:ext cx="590550" cy="279400"/>
                        </a:xfrm>
                        <a:prstGeom prst="rect">
                          <a:avLst/>
                        </a:prstGeom>
                        <a:noFill/>
                        <a:ln w="6350">
                          <a:noFill/>
                        </a:ln>
                      </wps:spPr>
                      <wps:txbx>
                        <w:txbxContent>
                          <w:p w14:paraId="77AD3A78" w14:textId="77777777" w:rsidR="00D34FD5" w:rsidRDefault="00D34FD5" w:rsidP="00E67CBD">
                            <w:pPr>
                              <w:rPr>
                                <w:rFonts w:ascii="Times New Roman" w:hAnsi="Times New Roman"/>
                                <w:sz w:val="18"/>
                                <w:lang w:val="en-US"/>
                              </w:rPr>
                            </w:pPr>
                            <w:r>
                              <w:rPr>
                                <w:rFonts w:ascii="Times New Roman" w:hAnsi="Times New Roman"/>
                                <w:sz w:val="18"/>
                                <w:lang w:val="en-US"/>
                              </w:rPr>
                              <w:t>0,427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D0AC29" id="Zone de texte 110" o:spid="_x0000_s1030" type="#_x0000_t202" style="position:absolute;left:0;text-align:left;margin-left:175.9pt;margin-top:25.3pt;width:46.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" filled="f" stroked="f" strokeweight=".5pt">
                <v:textbox>
                  <w:txbxContent>
                    <w:p w14:paraId="77AD3A78" w14:textId="77777777" w:rsidR="00D34FD5" w:rsidRDefault="00D34FD5" w:rsidP="00E67CBD">
                      <w:pPr>
                        <w:rPr>
                          <w:rFonts w:ascii="Times New Roman" w:hAnsi="Times New Roman"/>
                          <w:sz w:val="18"/>
                          <w:lang w:val="en-US"/>
                        </w:rPr>
                      </w:pPr>
                      <w:r>
                        <w:rPr>
                          <w:rFonts w:ascii="Times New Roman" w:hAnsi="Times New Roman"/>
                          <w:sz w:val="18"/>
                          <w:lang w:val="en-US"/>
                        </w:rPr>
                        <w:t>0,427</w:t>
                      </w:r>
                    </w:p>
                  </w:txbxContent>
                </v:textbox>
              </v:shape>
            </w:pict>
          </mc:Fallback>
        </mc:AlternateContent>
      </w:r>
      <w:r w:rsidRPr="0088125C">
        <w:rPr>
          <w:rFonts w:ascii="Arial" w:eastAsia="Calibri" w:hAnsi="Arial" w:cs="Arial"/>
          <w:noProof/>
          <w:sz w:val="20"/>
          <w:szCs w:val="20"/>
          <w:lang w:val="en-US"/>
        </w:rPr>
        <mc:AlternateContent>
          <mc:Choice Requires="wps">
            <w:drawing>
              <wp:anchor distT="0" distB="0" distL="114300" distR="114300" simplePos="0" relativeHeight="251666432" behindDoc="0" locked="0" layoutInCell="1" allowOverlap="1" wp14:anchorId="56F55736" wp14:editId="1D1F8C9C">
                <wp:simplePos x="0" y="0"/>
                <wp:positionH relativeFrom="column">
                  <wp:posOffset>4239260</wp:posOffset>
                </wp:positionH>
                <wp:positionV relativeFrom="paragraph">
                  <wp:posOffset>92075</wp:posOffset>
                </wp:positionV>
                <wp:extent cx="61595" cy="1080770"/>
                <wp:effectExtent l="4763" t="0" r="19367" b="19368"/>
                <wp:wrapNone/>
                <wp:docPr id="64" name="Parenthèse ouvrante 1"/>
                <wp:cNvGraphicFramePr/>
                <a:graphic xmlns:a="http://schemas.openxmlformats.org/drawingml/2006/main">
                  <a:graphicData uri="http://schemas.microsoft.com/office/word/2010/wordprocessingShape">
                    <wps:wsp>
                      <wps:cNvSpPr/>
                      <wps:spPr>
                        <a:xfrm rot="16200000" flipH="1">
                          <a:off x="0" y="0"/>
                          <a:ext cx="61595" cy="108077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29D869" id="Parenthèse ouvrante 1" o:spid="_x0000_s1026" type="#_x0000_t85" style="position:absolute;margin-left:333.8pt;margin-top:7.25pt;width:4.85pt;height:85.1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" adj="103" strokecolor="windowText" strokeweight=".5pt">
                <v:stroke joinstyle="miter"/>
              </v:shape>
            </w:pict>
          </mc:Fallback>
        </mc:AlternateContent>
      </w:r>
      <w:r w:rsidRPr="0088125C">
        <w:rPr>
          <w:rFonts w:ascii="Arial" w:eastAsia="Calibri" w:hAnsi="Arial" w:cs="Arial"/>
          <w:noProof/>
          <w:sz w:val="20"/>
          <w:szCs w:val="20"/>
          <w:lang w:val="en-US"/>
        </w:rPr>
        <mc:AlternateContent>
          <mc:Choice Requires="wps">
            <w:drawing>
              <wp:anchor distT="0" distB="0" distL="114300" distR="114300" simplePos="0" relativeHeight="251665408" behindDoc="0" locked="0" layoutInCell="1" allowOverlap="1" wp14:anchorId="5E61F5EA" wp14:editId="6F240984">
                <wp:simplePos x="0" y="0"/>
                <wp:positionH relativeFrom="column">
                  <wp:posOffset>5213985</wp:posOffset>
                </wp:positionH>
                <wp:positionV relativeFrom="paragraph">
                  <wp:posOffset>16510</wp:posOffset>
                </wp:positionV>
                <wp:extent cx="61595" cy="760095"/>
                <wp:effectExtent l="0" t="6350" r="27305" b="27305"/>
                <wp:wrapNone/>
                <wp:docPr id="63" name="Parenthèse ouvrante 1"/>
                <wp:cNvGraphicFramePr/>
                <a:graphic xmlns:a="http://schemas.openxmlformats.org/drawingml/2006/main">
                  <a:graphicData uri="http://schemas.microsoft.com/office/word/2010/wordprocessingShape">
                    <wps:wsp>
                      <wps:cNvSpPr/>
                      <wps:spPr>
                        <a:xfrm rot="16200000" flipH="1">
                          <a:off x="0" y="0"/>
                          <a:ext cx="61595" cy="75946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F827AB" id="Parenthèse ouvrante 1" o:spid="_x0000_s1026" type="#_x0000_t85" style="position:absolute;margin-left:410.55pt;margin-top:1.3pt;width:4.85pt;height:59.8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" adj="146" strokecolor="windowText" strokeweight=".5pt">
                <v:stroke joinstyle="miter"/>
              </v:shape>
            </w:pict>
          </mc:Fallback>
        </mc:AlternateContent>
      </w:r>
      <w:r w:rsidRPr="0088125C">
        <w:rPr>
          <w:rFonts w:ascii="Arial" w:eastAsia="Calibri" w:hAnsi="Arial" w:cs="Arial"/>
          <w:noProof/>
          <w:sz w:val="20"/>
          <w:szCs w:val="20"/>
          <w:lang w:val="en-US"/>
        </w:rPr>
        <w:drawing>
          <wp:inline distT="0" distB="0" distL="0" distR="0" wp14:anchorId="548E024A" wp14:editId="66FABC1A">
            <wp:extent cx="5772150" cy="3352800"/>
            <wp:effectExtent l="0" t="0" r="0" b="0"/>
            <wp:docPr id="14" name="Graphique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12B46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6</w:t>
      </w:r>
      <w:r w:rsidR="00E67CBD" w:rsidRPr="0088125C">
        <w:rPr>
          <w:rFonts w:ascii="Arial" w:eastAsia="Times New Roman" w:hAnsi="Arial" w:cs="Arial"/>
          <w:sz w:val="20"/>
          <w:szCs w:val="20"/>
          <w:lang w:val="en-US"/>
        </w:rPr>
        <w:t xml:space="preserve">. Distribution of identified species within the different groups </w:t>
      </w:r>
    </w:p>
    <w:p w14:paraId="1A9EA5A9"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sz w:val="20"/>
          <w:szCs w:val="20"/>
          <w:lang w:val="en-US"/>
        </w:rPr>
        <w:t xml:space="preserve">Discriminative Factorial Analysis (DFA) of the biochemical characteristics of these species shows that group 1 differs from the other groups, on the one hand, in </w:t>
      </w:r>
      <w:r w:rsidRPr="0088125C">
        <w:rPr>
          <w:rFonts w:ascii="Arial" w:eastAsia="Times New Roman" w:hAnsi="Arial" w:cs="Arial"/>
          <w:sz w:val="20"/>
          <w:szCs w:val="20"/>
          <w:lang w:val="en-US" w:eastAsia="fr-FR"/>
        </w:rPr>
        <w:t>their ability to use Citrate (CIT) as the sole carbon source and the production of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S and, on the other, in their strong ability to metabolize Sorbitol (SOR), Rhamnose (RHA), Arabinose (ARA), Mannose (</w:t>
      </w:r>
      <w:r w:rsidR="0003335F" w:rsidRPr="0088125C">
        <w:rPr>
          <w:rFonts w:ascii="Arial" w:eastAsia="Times New Roman" w:hAnsi="Arial" w:cs="Arial"/>
          <w:sz w:val="20"/>
          <w:szCs w:val="20"/>
          <w:lang w:val="en-US" w:eastAsia="fr-FR"/>
        </w:rPr>
        <w:t>MAN) and Glucose (GLU) (</w:t>
      </w:r>
      <w:r w:rsidR="0003335F" w:rsidRPr="0088125C">
        <w:rPr>
          <w:rFonts w:ascii="Arial" w:eastAsia="Times New Roman" w:hAnsi="Arial" w:cs="Arial"/>
          <w:b/>
          <w:sz w:val="20"/>
          <w:szCs w:val="20"/>
          <w:lang w:val="en-US" w:eastAsia="fr-FR"/>
        </w:rPr>
        <w:t>figure 7</w:t>
      </w:r>
      <w:r w:rsidRPr="0088125C">
        <w:rPr>
          <w:rFonts w:ascii="Arial" w:eastAsia="Times New Roman" w:hAnsi="Arial" w:cs="Arial"/>
          <w:sz w:val="20"/>
          <w:szCs w:val="20"/>
          <w:lang w:val="en-US" w:eastAsia="fr-FR"/>
        </w:rPr>
        <w:t xml:space="preserve">). The genus </w:t>
      </w:r>
      <w:r w:rsidRPr="0088125C">
        <w:rPr>
          <w:rFonts w:ascii="Arial" w:eastAsia="Times New Roman" w:hAnsi="Arial" w:cs="Arial"/>
          <w:i/>
          <w:sz w:val="20"/>
          <w:szCs w:val="20"/>
          <w:lang w:val="en-US" w:eastAsia="fr-FR"/>
        </w:rPr>
        <w:t xml:space="preserve">Salmonella </w:t>
      </w:r>
      <w:r w:rsidRPr="0088125C">
        <w:rPr>
          <w:rFonts w:ascii="Arial" w:eastAsia="Times New Roman" w:hAnsi="Arial" w:cs="Arial"/>
          <w:sz w:val="20"/>
          <w:szCs w:val="20"/>
          <w:lang w:val="en-US" w:eastAsia="fr-FR"/>
        </w:rPr>
        <w:t xml:space="preserve">represents 88.24% of group 1 (figure 7), hence the finding of certain </w:t>
      </w:r>
      <w:r w:rsidRPr="0088125C">
        <w:rPr>
          <w:rFonts w:ascii="Arial" w:eastAsia="Times New Roman" w:hAnsi="Arial" w:cs="Arial"/>
          <w:i/>
          <w:sz w:val="20"/>
          <w:szCs w:val="20"/>
          <w:lang w:val="en-US" w:eastAsia="fr-FR"/>
        </w:rPr>
        <w:t xml:space="preserve">Salmonella spp. </w:t>
      </w:r>
      <w:r w:rsidRPr="0088125C">
        <w:rPr>
          <w:rFonts w:ascii="Arial" w:eastAsia="Times New Roman" w:hAnsi="Arial" w:cs="Arial"/>
          <w:sz w:val="20"/>
          <w:szCs w:val="20"/>
          <w:lang w:val="en-US" w:eastAsia="fr-FR"/>
        </w:rPr>
        <w:t>specific characteristics (such as CIT and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 xml:space="preserve"> S positive). The 2</w:t>
      </w:r>
      <w:r w:rsidRPr="0088125C">
        <w:rPr>
          <w:rFonts w:ascii="Arial" w:eastAsia="Times New Roman" w:hAnsi="Arial" w:cs="Arial"/>
          <w:sz w:val="20"/>
          <w:szCs w:val="20"/>
          <w:vertAlign w:val="superscript"/>
          <w:lang w:val="en-US" w:eastAsia="fr-FR"/>
        </w:rPr>
        <w:t>ème</w:t>
      </w:r>
      <w:r w:rsidRPr="0088125C">
        <w:rPr>
          <w:rFonts w:ascii="Arial" w:eastAsia="Times New Roman" w:hAnsi="Arial" w:cs="Arial"/>
          <w:sz w:val="20"/>
          <w:szCs w:val="20"/>
          <w:lang w:val="en-US" w:eastAsia="fr-FR"/>
        </w:rPr>
        <w:t xml:space="preserve"> group is characterized by the presence of a </w:t>
      </w:r>
      <w:r w:rsidRPr="0088125C">
        <w:rPr>
          <w:rFonts w:ascii="Arial" w:eastAsia="Times New Roman" w:hAnsi="Arial" w:cs="Arial"/>
          <w:sz w:val="20"/>
          <w:szCs w:val="20"/>
          <w:lang w:eastAsia="fr-FR"/>
        </w:rPr>
        <w:t>β</w:t>
      </w:r>
      <w:r w:rsidRPr="0088125C">
        <w:rPr>
          <w:rFonts w:ascii="Arial" w:eastAsia="Times New Roman" w:hAnsi="Arial" w:cs="Arial"/>
          <w:sz w:val="20"/>
          <w:szCs w:val="20"/>
          <w:lang w:val="en-US" w:eastAsia="fr-FR"/>
        </w:rPr>
        <w:t>-galactosidase (ONPG</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the presence of an Ornithine Decarboxylase (ODH</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the strong fermentation of glucose, mannose, sucrose and arabinose. However, group 3 is distinguished from the others by the presence of Gelatinase (GEL</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Finally, the fourth group is distinguished from the others by the presence of a Urease (</w:t>
      </w:r>
      <w:r w:rsidR="00066C7F" w:rsidRPr="0088125C">
        <w:rPr>
          <w:rFonts w:ascii="Arial" w:eastAsia="Times New Roman" w:hAnsi="Arial" w:cs="Arial"/>
          <w:sz w:val="20"/>
          <w:szCs w:val="20"/>
          <w:lang w:val="en-US" w:eastAsia="fr-FR"/>
        </w:rPr>
        <w:t>URE</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a Tryptophan Deaminase (TDA</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xml:space="preserve">), the ability to ferment glucose and sucrose, and the use of citrate as the carbon source. </w:t>
      </w:r>
      <w:r w:rsidRPr="0088125C">
        <w:rPr>
          <w:rFonts w:ascii="Arial" w:eastAsia="Times New Roman" w:hAnsi="Arial" w:cs="Arial"/>
          <w:i/>
          <w:sz w:val="20"/>
          <w:szCs w:val="20"/>
          <w:lang w:val="en-US" w:eastAsia="fr-FR"/>
        </w:rPr>
        <w:t xml:space="preserve">Proteus </w:t>
      </w:r>
      <w:r w:rsidRPr="0088125C">
        <w:rPr>
          <w:rFonts w:ascii="Arial" w:eastAsia="Times New Roman" w:hAnsi="Arial" w:cs="Arial"/>
          <w:sz w:val="20"/>
          <w:szCs w:val="20"/>
          <w:lang w:val="en-US" w:eastAsia="fr-FR"/>
        </w:rPr>
        <w:t xml:space="preserve">and </w:t>
      </w:r>
      <w:r w:rsidRPr="0088125C">
        <w:rPr>
          <w:rFonts w:ascii="Arial" w:eastAsia="Times New Roman" w:hAnsi="Arial" w:cs="Arial"/>
          <w:i/>
          <w:sz w:val="20"/>
          <w:szCs w:val="20"/>
          <w:lang w:val="en-US" w:eastAsia="fr-FR"/>
        </w:rPr>
        <w:t xml:space="preserve">Providencia, </w:t>
      </w:r>
      <w:r w:rsidRPr="0088125C">
        <w:rPr>
          <w:rFonts w:ascii="Arial" w:eastAsia="Times New Roman" w:hAnsi="Arial" w:cs="Arial"/>
          <w:sz w:val="20"/>
          <w:szCs w:val="20"/>
          <w:lang w:val="en-US" w:eastAsia="fr-FR"/>
        </w:rPr>
        <w:t>which are obviously characterized by the presence of urease and TDA, have also been identified in these groups.</w:t>
      </w:r>
    </w:p>
    <w:p w14:paraId="5346159E"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42B82457"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val="en-US"/>
        </w:rPr>
        <w:lastRenderedPageBreak/>
        <w:drawing>
          <wp:inline distT="0" distB="0" distL="0" distR="0" wp14:anchorId="3C0F2EE0" wp14:editId="2D8623C3">
            <wp:extent cx="2752725" cy="2619375"/>
            <wp:effectExtent l="0" t="0" r="9525" b="9525"/>
            <wp:docPr id="15" name="Graphique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88125C">
        <w:rPr>
          <w:rFonts w:ascii="Arial" w:eastAsia="Times New Roman" w:hAnsi="Arial" w:cs="Arial"/>
          <w:sz w:val="20"/>
          <w:szCs w:val="20"/>
          <w:lang w:val="en-US"/>
        </w:rPr>
        <w:t xml:space="preserve">  </w:t>
      </w:r>
      <w:r w:rsidRPr="0088125C">
        <w:rPr>
          <w:rFonts w:ascii="Arial" w:eastAsia="Calibri" w:hAnsi="Arial" w:cs="Arial"/>
          <w:noProof/>
          <w:sz w:val="20"/>
          <w:szCs w:val="20"/>
          <w:lang w:val="en-US"/>
        </w:rPr>
        <w:drawing>
          <wp:inline distT="0" distB="0" distL="0" distR="0" wp14:anchorId="0E16C842" wp14:editId="1B0D4C58">
            <wp:extent cx="2857500" cy="2638425"/>
            <wp:effectExtent l="0" t="0" r="0" b="9525"/>
            <wp:docPr id="16" name="Graphique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57048F"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7</w:t>
      </w:r>
      <w:r w:rsidR="00E67CBD" w:rsidRPr="0088125C">
        <w:rPr>
          <w:rFonts w:ascii="Arial" w:eastAsia="Times New Roman" w:hAnsi="Arial" w:cs="Arial"/>
          <w:sz w:val="20"/>
          <w:szCs w:val="20"/>
          <w:lang w:val="en-US"/>
        </w:rPr>
        <w:t xml:space="preserve">. Biochemical characteristics of different </w:t>
      </w:r>
      <w:r w:rsidR="00153B3C" w:rsidRPr="0088125C">
        <w:rPr>
          <w:rFonts w:ascii="Arial" w:eastAsia="Times New Roman" w:hAnsi="Arial" w:cs="Arial"/>
          <w:sz w:val="20"/>
          <w:szCs w:val="20"/>
          <w:lang w:val="en-US"/>
        </w:rPr>
        <w:t>enterobacteria</w:t>
      </w:r>
      <w:r w:rsidR="00E67CBD" w:rsidRPr="0088125C">
        <w:rPr>
          <w:rFonts w:ascii="Arial" w:eastAsia="Times New Roman" w:hAnsi="Arial" w:cs="Arial"/>
          <w:sz w:val="20"/>
          <w:szCs w:val="20"/>
          <w:lang w:val="en-US"/>
        </w:rPr>
        <w:t xml:space="preserve"> species according to </w:t>
      </w:r>
      <w:r w:rsidR="00153B3C"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groups</w:t>
      </w:r>
    </w:p>
    <w:p w14:paraId="7E56AB73"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3651F450" w14:textId="06DC16D8" w:rsidR="00C32827" w:rsidRPr="0088125C" w:rsidRDefault="0003335F"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8</w:t>
      </w:r>
      <w:r w:rsidR="00E67CBD" w:rsidRPr="0088125C">
        <w:rPr>
          <w:rFonts w:ascii="Arial" w:eastAsia="Times New Roman" w:hAnsi="Arial" w:cs="Arial"/>
          <w:b/>
          <w:sz w:val="20"/>
          <w:szCs w:val="20"/>
          <w:lang w:val="en-US"/>
        </w:rPr>
        <w:t xml:space="preserve"> </w:t>
      </w:r>
      <w:r w:rsidR="00E67CBD" w:rsidRPr="0088125C">
        <w:rPr>
          <w:rFonts w:ascii="Arial" w:eastAsia="Times New Roman" w:hAnsi="Arial" w:cs="Arial"/>
          <w:sz w:val="20"/>
          <w:szCs w:val="20"/>
          <w:lang w:val="en-US"/>
        </w:rPr>
        <w:t xml:space="preserve">shows the projection of the four (4) enterobacteria groups in the factorial axis system. </w:t>
      </w:r>
    </w:p>
    <w:p w14:paraId="01166A59" w14:textId="77777777" w:rsidR="00C32827" w:rsidRPr="0088125C" w:rsidRDefault="00E67CBD"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The figure shows that axis 1 (function 1) discriminates the four (4) groups better than axis 2. Groups 2 and 4 are well distinguished, one on the positive side of axis 1 (group 3 (G3)) and the other on the negative side (group 4 (G4)). However, some bacteria in groups 1 and 3 have an intermediate metabolism between the two (2) groups (G1 and G3).</w:t>
      </w:r>
    </w:p>
    <w:p w14:paraId="53FA7E2C"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 xml:space="preserve">The Correspondence Factor Analysis (CFA) carried out between the four (4) groups of bacteria and the different species shows that it is possible to group the different bacterial species </w:t>
      </w:r>
      <w:r w:rsidR="0003335F" w:rsidRPr="0088125C">
        <w:rPr>
          <w:rFonts w:ascii="Arial" w:eastAsia="Times New Roman" w:hAnsi="Arial" w:cs="Arial"/>
          <w:sz w:val="20"/>
          <w:szCs w:val="20"/>
          <w:lang w:val="en-US"/>
        </w:rPr>
        <w:t>into three (3) groups (</w:t>
      </w:r>
      <w:r w:rsidR="0003335F" w:rsidRPr="0088125C">
        <w:rPr>
          <w:rFonts w:ascii="Arial" w:eastAsia="Times New Roman" w:hAnsi="Arial" w:cs="Arial"/>
          <w:b/>
          <w:sz w:val="20"/>
          <w:szCs w:val="20"/>
          <w:lang w:val="en-US"/>
        </w:rPr>
        <w:t>figure 9</w:t>
      </w:r>
      <w:r w:rsidRPr="0088125C">
        <w:rPr>
          <w:rFonts w:ascii="Arial" w:eastAsia="Times New Roman" w:hAnsi="Arial" w:cs="Arial"/>
          <w:sz w:val="20"/>
          <w:szCs w:val="20"/>
          <w:lang w:val="en-US"/>
        </w:rPr>
        <w:t xml:space="preserve">). The bacterial populations in groups 2 and 4 have very distinct metabolisms, as shown in figure 9. Group 2 comprises bacterial species such as </w:t>
      </w:r>
      <w:proofErr w:type="spellStart"/>
      <w:r w:rsidRPr="0088125C">
        <w:rPr>
          <w:rFonts w:ascii="Arial" w:eastAsia="Times New Roman" w:hAnsi="Arial" w:cs="Arial"/>
          <w:i/>
          <w:sz w:val="20"/>
          <w:szCs w:val="20"/>
          <w:lang w:val="en-US"/>
        </w:rPr>
        <w:t>Enterobacter</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sakazakii</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Enterobacter</w:t>
      </w:r>
      <w:proofErr w:type="spellEnd"/>
      <w:r w:rsidRPr="0088125C">
        <w:rPr>
          <w:rFonts w:ascii="Arial" w:eastAsia="Times New Roman" w:hAnsi="Arial" w:cs="Arial"/>
          <w:i/>
          <w:sz w:val="20"/>
          <w:szCs w:val="20"/>
          <w:lang w:val="en-US"/>
        </w:rPr>
        <w:t xml:space="preserve"> cloaca and Escherichia coli 1</w:t>
      </w:r>
      <w:r w:rsidRPr="0088125C">
        <w:rPr>
          <w:rFonts w:ascii="Arial" w:eastAsia="Times New Roman" w:hAnsi="Arial" w:cs="Arial"/>
          <w:sz w:val="20"/>
          <w:szCs w:val="20"/>
          <w:lang w:val="en-US"/>
        </w:rPr>
        <w:t xml:space="preserve">, while group 4 comprises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spp1, </w:t>
      </w:r>
      <w:proofErr w:type="spellStart"/>
      <w:r w:rsidRPr="0088125C">
        <w:rPr>
          <w:rFonts w:ascii="Arial" w:eastAsia="Times New Roman" w:hAnsi="Arial" w:cs="Arial"/>
          <w:i/>
          <w:sz w:val="20"/>
          <w:szCs w:val="20"/>
          <w:lang w:val="en-US"/>
        </w:rPr>
        <w:t>Providencia</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rettgeri</w:t>
      </w:r>
      <w:proofErr w:type="spellEnd"/>
      <w:r w:rsidRPr="0088125C">
        <w:rPr>
          <w:rFonts w:ascii="Arial" w:eastAsia="Times New Roman" w:hAnsi="Arial" w:cs="Arial"/>
          <w:i/>
          <w:sz w:val="20"/>
          <w:szCs w:val="20"/>
          <w:lang w:val="en-US"/>
        </w:rPr>
        <w:t xml:space="preserve">, Proteus </w:t>
      </w:r>
      <w:proofErr w:type="spellStart"/>
      <w:r w:rsidRPr="0088125C">
        <w:rPr>
          <w:rFonts w:ascii="Arial" w:eastAsia="Times New Roman" w:hAnsi="Arial" w:cs="Arial"/>
          <w:i/>
          <w:sz w:val="20"/>
          <w:szCs w:val="20"/>
          <w:lang w:val="en-US"/>
        </w:rPr>
        <w:t>vulgaricus</w:t>
      </w:r>
      <w:proofErr w:type="spellEnd"/>
      <w:r w:rsidRPr="0088125C">
        <w:rPr>
          <w:rFonts w:ascii="Arial" w:eastAsia="Times New Roman" w:hAnsi="Arial" w:cs="Arial"/>
          <w:i/>
          <w:sz w:val="20"/>
          <w:szCs w:val="20"/>
          <w:lang w:val="en-US"/>
        </w:rPr>
        <w:t xml:space="preserve"> group </w:t>
      </w:r>
      <w:r w:rsidRPr="0088125C">
        <w:rPr>
          <w:rFonts w:ascii="Arial" w:eastAsia="Times New Roman" w:hAnsi="Arial" w:cs="Arial"/>
          <w:sz w:val="20"/>
          <w:szCs w:val="20"/>
          <w:lang w:val="en-US"/>
        </w:rPr>
        <w:t xml:space="preserve">and </w:t>
      </w:r>
      <w:r w:rsidRPr="0088125C">
        <w:rPr>
          <w:rFonts w:ascii="Arial" w:eastAsia="Times New Roman" w:hAnsi="Arial" w:cs="Arial"/>
          <w:i/>
          <w:sz w:val="20"/>
          <w:szCs w:val="20"/>
          <w:lang w:val="en-US"/>
        </w:rPr>
        <w:t>Proteus mirabilis</w:t>
      </w:r>
      <w:r w:rsidRPr="0088125C">
        <w:rPr>
          <w:rFonts w:ascii="Arial" w:eastAsia="Times New Roman" w:hAnsi="Arial" w:cs="Arial"/>
          <w:sz w:val="20"/>
          <w:szCs w:val="20"/>
          <w:lang w:val="en-US"/>
        </w:rPr>
        <w:t xml:space="preserve">. Groups 1 and 3 are made up of bacteria with similar metabolisms. AFC has grouped these two (2) groups on the negative side of axis 2 (dimension 2). They are made up of bacteria from the </w:t>
      </w:r>
      <w:r w:rsidRPr="0088125C">
        <w:rPr>
          <w:rFonts w:ascii="Arial" w:eastAsia="Times New Roman" w:hAnsi="Arial" w:cs="Arial"/>
          <w:i/>
          <w:sz w:val="20"/>
          <w:szCs w:val="20"/>
          <w:lang w:val="en-US"/>
        </w:rPr>
        <w:t xml:space="preserve">Salmonella,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Citrobacter</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Klebsiella</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and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genera. However, </w:t>
      </w:r>
      <w:r w:rsidRPr="0088125C">
        <w:rPr>
          <w:rFonts w:ascii="Arial" w:eastAsia="Times New Roman" w:hAnsi="Arial" w:cs="Arial"/>
          <w:i/>
          <w:sz w:val="20"/>
          <w:szCs w:val="20"/>
          <w:lang w:val="en-US"/>
        </w:rPr>
        <w:t xml:space="preserve">Escherichia </w:t>
      </w:r>
      <w:proofErr w:type="spellStart"/>
      <w:r w:rsidRPr="0088125C">
        <w:rPr>
          <w:rFonts w:ascii="Arial" w:eastAsia="Times New Roman" w:hAnsi="Arial" w:cs="Arial"/>
          <w:i/>
          <w:sz w:val="20"/>
          <w:szCs w:val="20"/>
          <w:lang w:val="en-US"/>
        </w:rPr>
        <w:t>Vulneris</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has an intermediate metabolism between G2 and G3, and </w:t>
      </w:r>
      <w:r w:rsidRPr="0088125C">
        <w:rPr>
          <w:rFonts w:ascii="Arial" w:eastAsia="Times New Roman" w:hAnsi="Arial" w:cs="Arial"/>
          <w:i/>
          <w:sz w:val="20"/>
          <w:szCs w:val="20"/>
          <w:lang w:val="en-US"/>
        </w:rPr>
        <w:t xml:space="preserve">Escherichia coli2 </w:t>
      </w:r>
      <w:r w:rsidRPr="0088125C">
        <w:rPr>
          <w:rFonts w:ascii="Arial" w:eastAsia="Times New Roman" w:hAnsi="Arial" w:cs="Arial"/>
          <w:sz w:val="20"/>
          <w:szCs w:val="20"/>
          <w:lang w:val="en-US"/>
        </w:rPr>
        <w:t xml:space="preserve">between G2 and G4.  </w:t>
      </w:r>
    </w:p>
    <w:p w14:paraId="4BC72D69" w14:textId="77777777" w:rsidR="00C32827" w:rsidRPr="0088125C" w:rsidRDefault="00C32827" w:rsidP="00E67CBD">
      <w:pPr>
        <w:spacing w:after="200" w:line="360" w:lineRule="auto"/>
        <w:jc w:val="both"/>
        <w:rPr>
          <w:rFonts w:ascii="Arial" w:eastAsia="Times New Roman" w:hAnsi="Arial" w:cs="Arial"/>
          <w:sz w:val="20"/>
          <w:szCs w:val="20"/>
          <w:lang w:val="en-US"/>
        </w:rPr>
      </w:pPr>
    </w:p>
    <w:p w14:paraId="3325E8C4" w14:textId="77777777" w:rsidR="00E67CBD" w:rsidRPr="0088125C" w:rsidRDefault="00C32827" w:rsidP="00E67CBD">
      <w:pPr>
        <w:keepNext/>
        <w:spacing w:after="200" w:line="276" w:lineRule="auto"/>
        <w:jc w:val="both"/>
        <w:rPr>
          <w:rFonts w:ascii="Arial" w:eastAsia="Times New Roman" w:hAnsi="Arial" w:cs="Arial"/>
          <w:sz w:val="20"/>
          <w:szCs w:val="20"/>
        </w:rPr>
      </w:pPr>
      <w:r w:rsidRPr="0088125C">
        <w:rPr>
          <w:rFonts w:ascii="Arial" w:eastAsia="Times New Roman" w:hAnsi="Arial" w:cs="Arial"/>
          <w:noProof/>
          <w:sz w:val="20"/>
          <w:szCs w:val="20"/>
          <w:lang w:val="en-US"/>
        </w:rPr>
        <w:lastRenderedPageBreak/>
        <mc:AlternateContent>
          <mc:Choice Requires="wps">
            <w:drawing>
              <wp:anchor distT="0" distB="0" distL="114300" distR="114300" simplePos="0" relativeHeight="251663360" behindDoc="0" locked="0" layoutInCell="1" allowOverlap="1" wp14:anchorId="68368091" wp14:editId="0DEF2826">
                <wp:simplePos x="0" y="0"/>
                <wp:positionH relativeFrom="margin">
                  <wp:align>right</wp:align>
                </wp:positionH>
                <wp:positionV relativeFrom="paragraph">
                  <wp:posOffset>817880</wp:posOffset>
                </wp:positionV>
                <wp:extent cx="1438372" cy="2274534"/>
                <wp:effectExtent l="247650" t="0" r="238125" b="0"/>
                <wp:wrapNone/>
                <wp:docPr id="71" name="Ellipse 71"/>
                <wp:cNvGraphicFramePr/>
                <a:graphic xmlns:a="http://schemas.openxmlformats.org/drawingml/2006/main">
                  <a:graphicData uri="http://schemas.microsoft.com/office/word/2010/wordprocessingShape">
                    <wps:wsp>
                      <wps:cNvSpPr/>
                      <wps:spPr>
                        <a:xfrm rot="2623794">
                          <a:off x="0" y="0"/>
                          <a:ext cx="1438372" cy="2274534"/>
                        </a:xfrm>
                        <a:prstGeom prst="ellipse">
                          <a:avLst/>
                        </a:prstGeom>
                        <a:noFill/>
                        <a:ln w="9525" cap="flat" cmpd="sng" algn="ctr">
                          <a:solidFill>
                            <a:srgbClr val="7030A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932A59B" id="Ellipse 71" o:spid="_x0000_s1026" style="position:absolute;margin-left:62.05pt;margin-top:64.4pt;width:113.25pt;height:179.1pt;rotation:2865883fd;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" filled="f" strokecolor="#7030a0">
                <w10:wrap anchorx="margin"/>
              </v:oval>
            </w:pict>
          </mc:Fallback>
        </mc:AlternateContent>
      </w:r>
      <w:r w:rsidRPr="0088125C">
        <w:rPr>
          <w:rFonts w:ascii="Arial" w:eastAsia="Times New Roman" w:hAnsi="Arial" w:cs="Arial"/>
          <w:noProof/>
          <w:sz w:val="20"/>
          <w:szCs w:val="20"/>
          <w:lang w:val="en-US"/>
        </w:rPr>
        <w:drawing>
          <wp:inline distT="0" distB="0" distL="0" distR="0" wp14:anchorId="2AE3FBBE" wp14:editId="073D7BDF">
            <wp:extent cx="5760720" cy="3258999"/>
            <wp:effectExtent l="0" t="0" r="0" b="0"/>
            <wp:docPr id="1" name="Image 1" descr="C:\Users\w3t\Desktop\RANALYSE\PAC\R-ANALYSE\Rplot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t\Desktop\RANALYSE\PAC\R-ANALYSE\Rplot3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258999"/>
                    </a:xfrm>
                    <a:prstGeom prst="rect">
                      <a:avLst/>
                    </a:prstGeom>
                    <a:noFill/>
                    <a:ln>
                      <a:noFill/>
                    </a:ln>
                  </pic:spPr>
                </pic:pic>
              </a:graphicData>
            </a:graphic>
          </wp:inline>
        </w:drawing>
      </w:r>
    </w:p>
    <w:p w14:paraId="505F75F4" w14:textId="77777777" w:rsidR="00E67CBD" w:rsidRPr="0088125C" w:rsidRDefault="0003335F" w:rsidP="00E67CBD">
      <w:pPr>
        <w:spacing w:after="200" w:line="240" w:lineRule="auto"/>
        <w:rPr>
          <w:rFonts w:ascii="Arial" w:eastAsia="Times New Roman" w:hAnsi="Arial" w:cs="Arial"/>
          <w:b/>
          <w:bCs/>
          <w:sz w:val="20"/>
          <w:szCs w:val="20"/>
          <w:lang w:val="en-US"/>
        </w:rPr>
      </w:pPr>
      <w:bookmarkStart w:id="29" w:name="_Toc171809033"/>
      <w:r w:rsidRPr="0088125C">
        <w:rPr>
          <w:rFonts w:ascii="Arial" w:eastAsia="Times New Roman" w:hAnsi="Arial" w:cs="Arial"/>
          <w:b/>
          <w:bCs/>
          <w:sz w:val="20"/>
          <w:szCs w:val="20"/>
          <w:lang w:val="en-US"/>
        </w:rPr>
        <w:t>Figure 9</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Factor plane projection of species distribution according to </w:t>
      </w:r>
      <w:r w:rsidR="00153B3C" w:rsidRPr="0088125C">
        <w:rPr>
          <w:rFonts w:ascii="Arial" w:eastAsia="Times New Roman" w:hAnsi="Arial" w:cs="Arial"/>
          <w:bCs/>
          <w:sz w:val="20"/>
          <w:szCs w:val="20"/>
          <w:lang w:val="en-US"/>
        </w:rPr>
        <w:t>HAC</w:t>
      </w:r>
      <w:r w:rsidR="00E67CBD" w:rsidRPr="0088125C">
        <w:rPr>
          <w:rFonts w:ascii="Arial" w:eastAsia="Times New Roman" w:hAnsi="Arial" w:cs="Arial"/>
          <w:bCs/>
          <w:sz w:val="20"/>
          <w:szCs w:val="20"/>
          <w:lang w:val="en-US"/>
        </w:rPr>
        <w:t xml:space="preserve"> groups</w:t>
      </w:r>
      <w:bookmarkEnd w:id="29"/>
    </w:p>
    <w:p w14:paraId="793CE7CE" w14:textId="77777777" w:rsidR="00E67CBD" w:rsidRPr="0088125C" w:rsidRDefault="00E67CBD" w:rsidP="00E67CBD">
      <w:pPr>
        <w:spacing w:after="200" w:line="240" w:lineRule="auto"/>
        <w:rPr>
          <w:rFonts w:ascii="Arial" w:eastAsia="Times New Roman" w:hAnsi="Arial" w:cs="Arial"/>
          <w:b/>
          <w:bCs/>
          <w:sz w:val="20"/>
          <w:szCs w:val="20"/>
          <w:lang w:val="en-US"/>
        </w:rPr>
      </w:pPr>
    </w:p>
    <w:p w14:paraId="3095C5B2" w14:textId="77777777" w:rsidR="00E67CBD" w:rsidRPr="0088125C" w:rsidRDefault="00E67CBD" w:rsidP="003B795A">
      <w:pPr>
        <w:pStyle w:val="ListParagraph"/>
        <w:numPr>
          <w:ilvl w:val="0"/>
          <w:numId w:val="9"/>
        </w:numPr>
        <w:rPr>
          <w:rFonts w:ascii="Arial" w:hAnsi="Arial" w:cs="Arial"/>
          <w:bCs/>
          <w:i/>
          <w:sz w:val="20"/>
          <w:szCs w:val="20"/>
          <w:lang w:val="en-US"/>
        </w:rPr>
      </w:pPr>
      <w:commentRangeStart w:id="30"/>
      <w:r w:rsidRPr="0088125C">
        <w:rPr>
          <w:rFonts w:ascii="Arial" w:hAnsi="Arial" w:cs="Arial"/>
          <w:b/>
          <w:sz w:val="20"/>
          <w:szCs w:val="20"/>
          <w:lang w:val="en-US"/>
        </w:rPr>
        <w:t>Discussion</w:t>
      </w:r>
      <w:commentRangeEnd w:id="30"/>
      <w:r w:rsidR="00F85C60">
        <w:rPr>
          <w:rStyle w:val="CommentReference"/>
          <w:rFonts w:asciiTheme="minorHAnsi" w:eastAsiaTheme="minorHAnsi" w:hAnsiTheme="minorHAnsi" w:cstheme="minorBidi"/>
        </w:rPr>
        <w:commentReference w:id="30"/>
      </w:r>
    </w:p>
    <w:p w14:paraId="7CCDFAE1" w14:textId="77777777" w:rsidR="00E67CBD" w:rsidRPr="0088125C" w:rsidRDefault="00E67CBD" w:rsidP="00E67CBD">
      <w:pPr>
        <w:spacing w:after="0" w:line="256" w:lineRule="auto"/>
        <w:jc w:val="both"/>
        <w:rPr>
          <w:rFonts w:ascii="Arial" w:eastAsia="Calibri" w:hAnsi="Arial" w:cs="Arial"/>
          <w:sz w:val="20"/>
          <w:szCs w:val="20"/>
          <w:lang w:val="en-US"/>
        </w:rPr>
      </w:pPr>
    </w:p>
    <w:p w14:paraId="051E72F1" w14:textId="77777777" w:rsidR="00E67CBD" w:rsidRPr="0088125C" w:rsidRDefault="00E67CB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are a large group of Gram-negative bacilli widely distributed in nature and in the digestive tracts of humans and animals. These bacteria are characterized by their rapid multiplication, and can contaminate crops, soil, surface water and groundwater. They also contain pathogenic strains, dangerous to consumers. They are indicators of </w:t>
      </w:r>
      <w:proofErr w:type="spellStart"/>
      <w:r w:rsidRPr="0088125C">
        <w:rPr>
          <w:rFonts w:ascii="Arial" w:eastAsia="Calibri" w:hAnsi="Arial" w:cs="Arial"/>
          <w:sz w:val="20"/>
          <w:szCs w:val="20"/>
          <w:lang w:val="en-US"/>
        </w:rPr>
        <w:t>faecal</w:t>
      </w:r>
      <w:proofErr w:type="spellEnd"/>
      <w:r w:rsidRPr="0088125C">
        <w:rPr>
          <w:rFonts w:ascii="Arial" w:eastAsia="Calibri" w:hAnsi="Arial" w:cs="Arial"/>
          <w:sz w:val="20"/>
          <w:szCs w:val="20"/>
          <w:lang w:val="en-US"/>
        </w:rPr>
        <w:t xml:space="preserve"> contamination, providing a more complete picture of potentially pathogenic germs [13, 20] and, as such, are indicators of food safety (absence of danger) [21]. The results of the enumeration showed high loads of </w:t>
      </w:r>
      <w:r w:rsidRPr="0088125C">
        <w:rPr>
          <w:rFonts w:ascii="Arial" w:eastAsia="Calibri" w:hAnsi="Arial" w:cs="Arial"/>
          <w:i/>
          <w:sz w:val="20"/>
          <w:szCs w:val="20"/>
          <w:lang w:val="en-US"/>
        </w:rPr>
        <w:t>Enterobacteriaceae</w:t>
      </w:r>
      <w:r w:rsidR="00153B3C" w:rsidRPr="0088125C">
        <w:rPr>
          <w:rFonts w:ascii="Arial" w:eastAsia="Calibri" w:hAnsi="Arial" w:cs="Arial"/>
          <w:i/>
          <w:sz w:val="20"/>
          <w:szCs w:val="20"/>
          <w:lang w:val="en-US"/>
        </w:rPr>
        <w:t xml:space="preserve"> </w:t>
      </w:r>
      <w:r w:rsidR="00153B3C" w:rsidRPr="0088125C">
        <w:rPr>
          <w:rFonts w:ascii="Arial" w:eastAsia="Calibri" w:hAnsi="Arial" w:cs="Arial"/>
          <w:sz w:val="20"/>
          <w:szCs w:val="20"/>
          <w:lang w:val="en-US"/>
        </w:rPr>
        <w:t>in the vegetables and irrigation water samples</w:t>
      </w:r>
      <w:r w:rsidRPr="0088125C">
        <w:rPr>
          <w:rFonts w:ascii="Arial" w:eastAsia="Calibri" w:hAnsi="Arial" w:cs="Arial"/>
          <w:sz w:val="20"/>
          <w:szCs w:val="20"/>
          <w:lang w:val="en-US"/>
        </w:rPr>
        <w:t xml:space="preserve">. Whatever the sampling site and the type of vegetable considered, the loads were well above the microbiological criteria that raw vegetables must meet. A similar observation was reported from Abidjan in Côte d'Ivoire [13]. The presence of bacteria of enteric origin in lettuces suggests a lack of good hygiene practices and </w:t>
      </w:r>
      <w:proofErr w:type="spellStart"/>
      <w:r w:rsidRPr="0088125C">
        <w:rPr>
          <w:rFonts w:ascii="Arial" w:eastAsia="Calibri" w:hAnsi="Arial" w:cs="Arial"/>
          <w:sz w:val="20"/>
          <w:szCs w:val="20"/>
          <w:lang w:val="en-US"/>
        </w:rPr>
        <w:t>faecal</w:t>
      </w:r>
      <w:proofErr w:type="spellEnd"/>
      <w:r w:rsidRPr="0088125C">
        <w:rPr>
          <w:rFonts w:ascii="Arial" w:eastAsia="Calibri" w:hAnsi="Arial" w:cs="Arial"/>
          <w:sz w:val="20"/>
          <w:szCs w:val="20"/>
          <w:lang w:val="en-US"/>
        </w:rPr>
        <w:t xml:space="preserve"> contamination, which could be harmful when these vegetables are eaten raw [22, 23, 24]. The study revealed the presence of sixty (60) strains of enterobacteria divided into eighteen (18) species and belonging to ten (10) genera. The species isolated were</w:t>
      </w:r>
      <w:bookmarkStart w:id="31" w:name="_Hlk163224065"/>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pneumoniae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spp. </w:t>
      </w:r>
      <w:r w:rsidRPr="0088125C">
        <w:rPr>
          <w:rFonts w:ascii="Arial" w:eastAsia="Calibri" w:hAnsi="Arial" w:cs="Arial"/>
          <w:sz w:val="20"/>
          <w:szCs w:val="20"/>
          <w:lang w:val="en-US"/>
        </w:rPr>
        <w:t xml:space="preserve">and two </w:t>
      </w:r>
      <w:proofErr w:type="spellStart"/>
      <w:r w:rsidRPr="0088125C">
        <w:rPr>
          <w:rFonts w:ascii="Arial" w:eastAsia="Calibri" w:hAnsi="Arial" w:cs="Arial"/>
          <w:sz w:val="20"/>
          <w:szCs w:val="20"/>
          <w:lang w:val="en-US"/>
        </w:rPr>
        <w:t>serovars</w:t>
      </w:r>
      <w:proofErr w:type="spellEnd"/>
      <w:r w:rsidRPr="0088125C">
        <w:rPr>
          <w:rFonts w:ascii="Arial" w:eastAsia="Calibri" w:hAnsi="Arial" w:cs="Arial"/>
          <w:sz w:val="20"/>
          <w:szCs w:val="20"/>
          <w:lang w:val="en-US"/>
        </w:rPr>
        <w:t xml:space="preserve"> of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enterica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marcescens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rubidaea</w:t>
      </w:r>
      <w:bookmarkEnd w:id="31"/>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Our results corroborate those of </w:t>
      </w:r>
      <w:proofErr w:type="spellStart"/>
      <w:r w:rsidRPr="0088125C">
        <w:rPr>
          <w:rFonts w:ascii="Arial" w:eastAsia="Calibri" w:hAnsi="Arial" w:cs="Arial"/>
          <w:sz w:val="20"/>
          <w:szCs w:val="20"/>
          <w:lang w:val="en-US"/>
        </w:rPr>
        <w:t>Koffi-Nervry</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et al </w:t>
      </w:r>
      <w:r w:rsidRPr="0088125C">
        <w:rPr>
          <w:rFonts w:ascii="Arial" w:eastAsia="Calibri" w:hAnsi="Arial" w:cs="Arial"/>
          <w:sz w:val="20"/>
          <w:szCs w:val="20"/>
          <w:lang w:val="en-US"/>
        </w:rPr>
        <w:t xml:space="preserve">[25], who highlighted the presence of several species of enterobacteria in lettuces, with </w:t>
      </w:r>
      <w:r w:rsidRPr="0088125C">
        <w:rPr>
          <w:rFonts w:ascii="Arial" w:eastAsia="Calibri" w:hAnsi="Arial" w:cs="Arial"/>
          <w:i/>
          <w:sz w:val="20"/>
          <w:szCs w:val="20"/>
          <w:lang w:val="en-US"/>
        </w:rPr>
        <w:t xml:space="preserve">Salmonella, Serratia marcescens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 coli </w:t>
      </w:r>
      <w:r w:rsidRPr="0088125C">
        <w:rPr>
          <w:rFonts w:ascii="Arial" w:eastAsia="Calibri" w:hAnsi="Arial" w:cs="Arial"/>
          <w:sz w:val="20"/>
          <w:szCs w:val="20"/>
          <w:lang w:val="en-US"/>
        </w:rPr>
        <w:t xml:space="preserve">the most common. Various species of Enterobacteriaceae were also isolated from irrigation water. This diversity is represented by fourteen (14) species, belonging to six (6) genera of enterobacteria. It generally </w:t>
      </w:r>
      <w:r w:rsidRPr="0088125C">
        <w:rPr>
          <w:rFonts w:ascii="Arial" w:eastAsia="Calibri" w:hAnsi="Arial" w:cs="Arial"/>
          <w:sz w:val="20"/>
          <w:szCs w:val="20"/>
          <w:lang w:val="en-US"/>
        </w:rPr>
        <w:lastRenderedPageBreak/>
        <w:t xml:space="preserve">consists of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Escherichia coli1,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sz w:val="20"/>
          <w:szCs w:val="20"/>
          <w:lang w:val="en-US"/>
        </w:rPr>
        <w:t xml:space="preserve">. The presence of enterobacteria has also been reported in irrigation water samples in Maroua, Cameroon [26]. Many of these enteric bacteria are implicated in a growing number of food poisoning outbreaks [26, 27, 28]. They are indicators of food safety (absence of danger) [21]. Enterobacteriaceae contain pathogenic strains that are dangerous for consumers. The species of Enterobacteriaceae identified were almost identical on both market and market sites. These results confirm earlier observations that most of the Enterobacteriaceae found on lettuce sold in the market come from the field [13, 29]. Around 75% of lettuce samples from Abidjan markets do not meet the microbiological criteria for vegetables [13]. This high presence of Enterobacteriaceae in vegetables and irrigation water in Niamey may be linked to practices at risk of causing microbiological contamination observed on markets and market garden sites at the time of the survey. The risky practices identified at the markets included the failure to wash hands with soap after using the toilet, the unhygienic state of the sales stands (unhealthy), the position of the sales sites (on the edge of the public highway, sometimes close to open gutters, or even close to toilets) and the unhealthy, open-air sales environment [30].  On market gardening sites, the risky practices listed were the use of wastewater for watering, washing vegetables with contaminated water, the use of untreated manure, open defecation near fields, lack of personal hygiene, depositing vegetables on the ground and post-harvest packaging conditions [31]. These results corroborate those of Toe </w:t>
      </w:r>
      <w:r w:rsidRPr="0088125C">
        <w:rPr>
          <w:rFonts w:ascii="Arial" w:eastAsia="Calibri" w:hAnsi="Arial" w:cs="Arial"/>
          <w:i/>
          <w:sz w:val="20"/>
          <w:szCs w:val="20"/>
          <w:lang w:val="en-US"/>
        </w:rPr>
        <w:t xml:space="preserve">et al </w:t>
      </w:r>
      <w:r w:rsidRPr="0088125C">
        <w:rPr>
          <w:rFonts w:ascii="Arial" w:eastAsia="Calibri" w:hAnsi="Arial" w:cs="Arial"/>
          <w:sz w:val="20"/>
          <w:szCs w:val="20"/>
          <w:lang w:val="en-US"/>
        </w:rPr>
        <w:t>[32], who reported that the presence of enterobacteria in vegetables could be explained by the bio-contamination risk practices they observed in the markets and fields of Abidjan, notably the use of animal manure. These include the use of animal manure, the droppings and excrement of wild, domestic and farm animals in the vicinity of fields, and the conditions under which vegetables are sold in markets [32]. Recently, authors have also reported that the presence of Enterobacteriaceae in lettuce samples can be induced by watering with untreated wastewater and the use of manure for soil enrichment [22]. Finally, our results corroborate a number of previous observations which suggest that the unhygienic conditions under which lettuce is grown may explain the presence of enterobacteria [13, 25, 33, 34, 35, 36, 37, 38].</w:t>
      </w:r>
    </w:p>
    <w:p w14:paraId="7C2C3BEC"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r w:rsidRPr="0088125C">
        <w:rPr>
          <w:rFonts w:ascii="Arial" w:eastAsia="Times New Roman" w:hAnsi="Arial" w:cs="Arial"/>
          <w:sz w:val="20"/>
          <w:szCs w:val="20"/>
          <w:lang w:val="en-US"/>
        </w:rPr>
        <w:t>Identification of bacterial genus and species is based primarily on the study of biochemical characteristics (</w:t>
      </w:r>
      <w:proofErr w:type="spellStart"/>
      <w:r w:rsidRPr="0088125C">
        <w:rPr>
          <w:rFonts w:ascii="Arial" w:eastAsia="Times New Roman" w:hAnsi="Arial" w:cs="Arial"/>
          <w:sz w:val="20"/>
          <w:szCs w:val="20"/>
          <w:lang w:val="en-US"/>
        </w:rPr>
        <w:t>Titradine</w:t>
      </w:r>
      <w:proofErr w:type="spellEnd"/>
      <w:r w:rsidRPr="0088125C">
        <w:rPr>
          <w:rFonts w:ascii="Arial" w:eastAsia="Times New Roman" w:hAnsi="Arial" w:cs="Arial"/>
          <w:sz w:val="20"/>
          <w:szCs w:val="20"/>
          <w:lang w:val="en-US"/>
        </w:rPr>
        <w:t xml:space="preserve">, 2019). The great enzymatic diversity of Enterobacteriaceae gives them numerous biochemical characteristics. Some biochemical characteristics may be common to all enterobacteria, while others may only be present in certain </w:t>
      </w:r>
      <w:r w:rsidR="00153B3C" w:rsidRPr="0088125C">
        <w:rPr>
          <w:rFonts w:ascii="Arial" w:eastAsia="Times New Roman" w:hAnsi="Arial" w:cs="Arial"/>
          <w:sz w:val="20"/>
          <w:szCs w:val="20"/>
          <w:lang w:val="en-US"/>
        </w:rPr>
        <w:t>enterobacteria</w:t>
      </w:r>
      <w:r w:rsidRPr="0088125C">
        <w:rPr>
          <w:rFonts w:ascii="Arial" w:eastAsia="Times New Roman" w:hAnsi="Arial" w:cs="Arial"/>
          <w:sz w:val="20"/>
          <w:szCs w:val="20"/>
          <w:lang w:val="en-US"/>
        </w:rPr>
        <w:t xml:space="preserve"> species. A study of the biochemical characteristics of Enterobacteriaceae species isolated from vegetable samples showed a certain biochemical similarity between species. This similarity is partly linked to the presence of certain specific enzymes and partly to their ability to metabolize certain sugars. Hierarchical ascending analysis (HAA) divided the enterobacteria species identified into four (4) groups. Discriminant factor analysis (DFA) characterized the four groups on the basis of thirteen (13) biochemical characters (ONPG, ODH, CIT, H</w:t>
      </w:r>
      <w:r w:rsidRPr="0088125C">
        <w:rPr>
          <w:rFonts w:ascii="Arial" w:eastAsia="Times New Roman" w:hAnsi="Arial" w:cs="Arial"/>
          <w:sz w:val="20"/>
          <w:szCs w:val="20"/>
          <w:vertAlign w:val="subscript"/>
          <w:lang w:val="en-US"/>
        </w:rPr>
        <w:t>2</w:t>
      </w:r>
      <w:r w:rsidRPr="0088125C">
        <w:rPr>
          <w:rFonts w:ascii="Arial" w:eastAsia="Times New Roman" w:hAnsi="Arial" w:cs="Arial"/>
          <w:sz w:val="20"/>
          <w:szCs w:val="20"/>
          <w:lang w:val="en-US"/>
        </w:rPr>
        <w:t xml:space="preserve"> S, URE, TDA, GEL, GLU, SAC, RHA, MAN, SOR, ARA). </w:t>
      </w:r>
    </w:p>
    <w:p w14:paraId="4803CBAA"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p>
    <w:p w14:paraId="54A90735" w14:textId="77777777" w:rsidR="00E67CBD" w:rsidRPr="0088125C" w:rsidRDefault="00E67CBD" w:rsidP="00E67CBD">
      <w:pPr>
        <w:spacing w:after="0" w:line="360" w:lineRule="auto"/>
        <w:ind w:right="57"/>
        <w:jc w:val="both"/>
        <w:rPr>
          <w:rFonts w:ascii="Arial" w:eastAsia="Calibri" w:hAnsi="Arial" w:cs="Arial"/>
          <w:b/>
          <w:sz w:val="20"/>
          <w:szCs w:val="20"/>
          <w:lang w:val="en-US"/>
        </w:rPr>
      </w:pPr>
      <w:commentRangeStart w:id="32"/>
      <w:r w:rsidRPr="0088125C">
        <w:rPr>
          <w:rFonts w:ascii="Arial" w:eastAsia="Calibri" w:hAnsi="Arial" w:cs="Arial"/>
          <w:b/>
          <w:sz w:val="20"/>
          <w:szCs w:val="20"/>
          <w:lang w:val="en-US"/>
        </w:rPr>
        <w:t>Conclusion</w:t>
      </w:r>
      <w:commentRangeEnd w:id="32"/>
      <w:r w:rsidR="00F85C60">
        <w:rPr>
          <w:rStyle w:val="CommentReference"/>
        </w:rPr>
        <w:commentReference w:id="32"/>
      </w:r>
      <w:r w:rsidRPr="0088125C">
        <w:rPr>
          <w:rFonts w:ascii="Arial" w:eastAsia="Calibri" w:hAnsi="Arial" w:cs="Arial"/>
          <w:b/>
          <w:sz w:val="20"/>
          <w:szCs w:val="20"/>
          <w:lang w:val="en-US"/>
        </w:rPr>
        <w:t xml:space="preserve"> </w:t>
      </w:r>
    </w:p>
    <w:p w14:paraId="73865CE9" w14:textId="77777777" w:rsidR="00E67CBD" w:rsidRPr="0088125C" w:rsidRDefault="00E67CB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The microbiological quality of vegetables produced and sold in Niamey is not suitable for human consumption. Enterobacteriaceae loads obtained at all sampling sites exceed the microbiological </w:t>
      </w:r>
      <w:r w:rsidRPr="0088125C">
        <w:rPr>
          <w:rFonts w:ascii="Arial" w:eastAsia="Calibri" w:hAnsi="Arial" w:cs="Arial"/>
          <w:sz w:val="20"/>
          <w:szCs w:val="20"/>
          <w:lang w:val="en-US"/>
        </w:rPr>
        <w:lastRenderedPageBreak/>
        <w:t xml:space="preserve">criteria that vegetables must meet.  In fact, eighteen (18) bacterial species belonging to ten (10) genera of the Enterobacteriaceae family were isolated and identified. These were </w:t>
      </w:r>
      <w:proofErr w:type="spellStart"/>
      <w:r w:rsidRPr="0088125C">
        <w:rPr>
          <w:rFonts w:ascii="Arial" w:eastAsia="Calibri" w:hAnsi="Arial" w:cs="Arial"/>
          <w:i/>
          <w:sz w:val="20"/>
          <w:szCs w:val="20"/>
          <w:lang w:val="en-US"/>
        </w:rPr>
        <w:t>Citrobacter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cloacae, </w:t>
      </w:r>
      <w:proofErr w:type="spellStart"/>
      <w:r w:rsidRPr="0088125C">
        <w:rPr>
          <w:rFonts w:ascii="Arial" w:eastAsia="Calibri" w:hAnsi="Arial" w:cs="Arial"/>
          <w:i/>
          <w:sz w:val="20"/>
          <w:szCs w:val="20"/>
          <w:lang w:val="en-US"/>
        </w:rPr>
        <w:t>Enterobacter</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Klebsiella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Providencia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spp. </w:t>
      </w:r>
      <w:r w:rsidRPr="0088125C">
        <w:rPr>
          <w:rFonts w:ascii="Arial" w:eastAsia="Calibri" w:hAnsi="Arial" w:cs="Arial"/>
          <w:sz w:val="20"/>
          <w:szCs w:val="20"/>
          <w:lang w:val="en-US"/>
        </w:rPr>
        <w:t xml:space="preserve">and two (2) </w:t>
      </w:r>
      <w:proofErr w:type="spellStart"/>
      <w:r w:rsidRPr="0088125C">
        <w:rPr>
          <w:rFonts w:ascii="Arial" w:eastAsia="Calibri" w:hAnsi="Arial" w:cs="Arial"/>
          <w:sz w:val="20"/>
          <w:szCs w:val="20"/>
          <w:lang w:val="en-US"/>
        </w:rPr>
        <w:t>serovars</w:t>
      </w:r>
      <w:proofErr w:type="spellEnd"/>
      <w:r w:rsidRPr="0088125C">
        <w:rPr>
          <w:rFonts w:ascii="Arial" w:eastAsia="Calibri" w:hAnsi="Arial" w:cs="Arial"/>
          <w:sz w:val="20"/>
          <w:szCs w:val="20"/>
          <w:lang w:val="en-US"/>
        </w:rPr>
        <w:t xml:space="preserve"> of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enterica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pullorum</w:t>
      </w:r>
      <w:proofErr w:type="spellEnd"/>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marcescens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proofErr w:type="spellStart"/>
      <w:r w:rsidRPr="0088125C">
        <w:rPr>
          <w:rFonts w:ascii="Arial" w:eastAsia="Calibri" w:hAnsi="Arial" w:cs="Arial"/>
          <w:i/>
          <w:sz w:val="20"/>
          <w:szCs w:val="20"/>
          <w:lang w:val="en-US"/>
        </w:rPr>
        <w:t>Serratia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are </w:t>
      </w:r>
      <w:r w:rsidRPr="0088125C">
        <w:rPr>
          <w:rFonts w:ascii="Arial" w:eastAsia="Calibri" w:hAnsi="Arial" w:cs="Arial"/>
          <w:sz w:val="20"/>
          <w:szCs w:val="20"/>
          <w:lang w:val="en-US"/>
        </w:rPr>
        <w:t>the most common species found. The presence of pathogenic species in vegetables and irrigation water indicates the potential risk of consuming these vegetables untreated.</w:t>
      </w:r>
    </w:p>
    <w:p w14:paraId="04A73CA0" w14:textId="77777777" w:rsidR="00323080"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Declarations </w:t>
      </w:r>
    </w:p>
    <w:p w14:paraId="1ECD81D8" w14:textId="77777777" w:rsidR="00DB0009"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Ethics approval and consent to participate </w:t>
      </w:r>
    </w:p>
    <w:p w14:paraId="4CFB0C64" w14:textId="77777777" w:rsidR="00323080" w:rsidRPr="0088125C" w:rsidRDefault="00F15B0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The vegetables samples were collected during t</w:t>
      </w:r>
      <w:r w:rsidR="00792C00" w:rsidRPr="0088125C">
        <w:rPr>
          <w:rFonts w:ascii="Arial" w:eastAsia="Calibri" w:hAnsi="Arial" w:cs="Arial"/>
          <w:sz w:val="20"/>
          <w:szCs w:val="20"/>
          <w:lang w:val="en-US"/>
        </w:rPr>
        <w:t xml:space="preserve">he survey on the market garden sites </w:t>
      </w:r>
      <w:r w:rsidRPr="0088125C">
        <w:rPr>
          <w:rFonts w:ascii="Arial" w:eastAsia="Calibri" w:hAnsi="Arial" w:cs="Arial"/>
          <w:sz w:val="20"/>
          <w:szCs w:val="20"/>
          <w:lang w:val="en-US"/>
        </w:rPr>
        <w:t xml:space="preserve">and vegetables </w:t>
      </w:r>
      <w:r w:rsidR="00792C00" w:rsidRPr="0088125C">
        <w:rPr>
          <w:rFonts w:ascii="Arial" w:eastAsia="Calibri" w:hAnsi="Arial" w:cs="Arial"/>
          <w:sz w:val="20"/>
          <w:szCs w:val="20"/>
          <w:lang w:val="en-US"/>
        </w:rPr>
        <w:t xml:space="preserve">sales </w:t>
      </w:r>
      <w:r w:rsidRPr="0088125C">
        <w:rPr>
          <w:rFonts w:ascii="Arial" w:eastAsia="Calibri" w:hAnsi="Arial" w:cs="Arial"/>
          <w:sz w:val="20"/>
          <w:szCs w:val="20"/>
          <w:lang w:val="en-US"/>
        </w:rPr>
        <w:t xml:space="preserve">markets. All markets gardeners and vegetables sellers </w:t>
      </w:r>
      <w:r w:rsidR="00792C00" w:rsidRPr="0088125C">
        <w:rPr>
          <w:rFonts w:ascii="Arial" w:eastAsia="Calibri" w:hAnsi="Arial" w:cs="Arial"/>
          <w:sz w:val="20"/>
          <w:szCs w:val="20"/>
          <w:lang w:val="en-US"/>
        </w:rPr>
        <w:t>freely accepted, collaborated and ga</w:t>
      </w:r>
      <w:r w:rsidRPr="0088125C">
        <w:rPr>
          <w:rFonts w:ascii="Arial" w:eastAsia="Calibri" w:hAnsi="Arial" w:cs="Arial"/>
          <w:sz w:val="20"/>
          <w:szCs w:val="20"/>
          <w:lang w:val="en-US"/>
        </w:rPr>
        <w:t xml:space="preserve">ve their consent </w:t>
      </w:r>
      <w:r w:rsidR="00792C00" w:rsidRPr="0088125C">
        <w:rPr>
          <w:rFonts w:ascii="Arial" w:eastAsia="Calibri" w:hAnsi="Arial" w:cs="Arial"/>
          <w:sz w:val="20"/>
          <w:szCs w:val="20"/>
          <w:lang w:val="en-US"/>
        </w:rPr>
        <w:t>for collection of</w:t>
      </w:r>
      <w:r w:rsidRPr="0088125C">
        <w:rPr>
          <w:rFonts w:ascii="Arial" w:eastAsia="Calibri" w:hAnsi="Arial" w:cs="Arial"/>
          <w:sz w:val="20"/>
          <w:szCs w:val="20"/>
          <w:lang w:val="en-US"/>
        </w:rPr>
        <w:t xml:space="preserve"> the vegetables samples. </w:t>
      </w:r>
      <w:r w:rsidR="00773074" w:rsidRPr="0088125C">
        <w:rPr>
          <w:rFonts w:ascii="Arial" w:eastAsia="Calibri" w:hAnsi="Arial" w:cs="Arial"/>
          <w:sz w:val="20"/>
          <w:szCs w:val="20"/>
          <w:lang w:val="en-US"/>
        </w:rPr>
        <w:t xml:space="preserve">The </w:t>
      </w:r>
      <w:r w:rsidR="00792C00" w:rsidRPr="0088125C">
        <w:rPr>
          <w:rFonts w:ascii="Arial" w:eastAsia="Calibri" w:hAnsi="Arial" w:cs="Arial"/>
          <w:sz w:val="20"/>
          <w:szCs w:val="20"/>
          <w:lang w:val="en-US"/>
        </w:rPr>
        <w:t xml:space="preserve">international </w:t>
      </w:r>
      <w:r w:rsidR="00773074" w:rsidRPr="0088125C">
        <w:rPr>
          <w:rFonts w:ascii="Arial" w:eastAsia="Calibri" w:hAnsi="Arial" w:cs="Arial"/>
          <w:sz w:val="20"/>
          <w:szCs w:val="20"/>
          <w:lang w:val="en-US"/>
        </w:rPr>
        <w:t xml:space="preserve">standards were used </w:t>
      </w:r>
      <w:r w:rsidR="00792C00" w:rsidRPr="0088125C">
        <w:rPr>
          <w:rFonts w:ascii="Arial" w:eastAsia="Calibri" w:hAnsi="Arial" w:cs="Arial"/>
          <w:sz w:val="20"/>
          <w:szCs w:val="20"/>
          <w:lang w:val="en-US"/>
        </w:rPr>
        <w:t>for sample analysis</w:t>
      </w:r>
      <w:r w:rsidR="00773074" w:rsidRPr="0088125C">
        <w:rPr>
          <w:rFonts w:ascii="Arial" w:eastAsia="Calibri" w:hAnsi="Arial" w:cs="Arial"/>
          <w:sz w:val="20"/>
          <w:szCs w:val="20"/>
          <w:lang w:val="en-US"/>
        </w:rPr>
        <w:t xml:space="preserve">.   </w:t>
      </w:r>
    </w:p>
    <w:p w14:paraId="561738C3" w14:textId="77777777" w:rsidR="00DB0009"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Consent for publication </w:t>
      </w:r>
    </w:p>
    <w:p w14:paraId="53E961E9" w14:textId="77777777" w:rsidR="00F15B0D" w:rsidRPr="0088125C" w:rsidRDefault="00B904A0"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Not Applicable </w:t>
      </w:r>
      <w:r w:rsidR="00F15B0D" w:rsidRPr="0088125C">
        <w:rPr>
          <w:rFonts w:ascii="Arial" w:eastAsia="Calibri" w:hAnsi="Arial" w:cs="Arial"/>
          <w:sz w:val="20"/>
          <w:szCs w:val="20"/>
          <w:lang w:val="en-US"/>
        </w:rPr>
        <w:t xml:space="preserve">  </w:t>
      </w:r>
    </w:p>
    <w:p w14:paraId="3B5E1604" w14:textId="77777777" w:rsidR="00323080" w:rsidRPr="0088125C" w:rsidRDefault="00F15B0D"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Avai</w:t>
      </w:r>
      <w:r w:rsidR="00DB0009" w:rsidRPr="0088125C">
        <w:rPr>
          <w:rFonts w:ascii="Arial" w:eastAsia="Calibri" w:hAnsi="Arial" w:cs="Arial"/>
          <w:b/>
          <w:sz w:val="20"/>
          <w:szCs w:val="20"/>
          <w:lang w:val="en-US"/>
        </w:rPr>
        <w:t xml:space="preserve">lability of data and materials </w:t>
      </w:r>
    </w:p>
    <w:p w14:paraId="237F6049" w14:textId="77777777" w:rsidR="00DB0009" w:rsidRPr="0088125C" w:rsidRDefault="00323080"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sz w:val="20"/>
          <w:szCs w:val="20"/>
          <w:lang w:val="en-US"/>
        </w:rPr>
        <w:t>The data that support the findings of this study are available from the correspo</w:t>
      </w:r>
      <w:r w:rsidR="00DD7F4F" w:rsidRPr="0088125C">
        <w:rPr>
          <w:rFonts w:ascii="Arial" w:eastAsia="Calibri" w:hAnsi="Arial" w:cs="Arial"/>
          <w:sz w:val="20"/>
          <w:szCs w:val="20"/>
          <w:lang w:val="en-US"/>
        </w:rPr>
        <w:t>nding author.</w:t>
      </w:r>
      <w:r w:rsidR="00DB0009" w:rsidRPr="0088125C">
        <w:rPr>
          <w:rFonts w:ascii="Arial" w:eastAsia="Calibri" w:hAnsi="Arial" w:cs="Arial"/>
          <w:b/>
          <w:sz w:val="20"/>
          <w:szCs w:val="20"/>
          <w:lang w:val="en-US"/>
        </w:rPr>
        <w:t xml:space="preserve"> </w:t>
      </w:r>
    </w:p>
    <w:p w14:paraId="11E53701" w14:textId="77777777" w:rsidR="00E63309" w:rsidRDefault="00E63309" w:rsidP="00E67CBD">
      <w:pPr>
        <w:spacing w:after="0" w:line="360" w:lineRule="auto"/>
        <w:ind w:right="57"/>
        <w:jc w:val="both"/>
        <w:rPr>
          <w:rFonts w:ascii="Arial" w:eastAsia="Calibri" w:hAnsi="Arial" w:cs="Arial"/>
          <w:b/>
          <w:sz w:val="20"/>
          <w:szCs w:val="20"/>
        </w:rPr>
      </w:pPr>
    </w:p>
    <w:p w14:paraId="2747299F" w14:textId="01B4D893" w:rsidR="00E67CBD" w:rsidRPr="0088125C" w:rsidRDefault="00E67CBD" w:rsidP="00E67CBD">
      <w:pPr>
        <w:spacing w:after="0" w:line="360" w:lineRule="auto"/>
        <w:ind w:right="57"/>
        <w:jc w:val="both"/>
        <w:rPr>
          <w:rFonts w:ascii="Arial" w:eastAsia="Calibri" w:hAnsi="Arial" w:cs="Arial"/>
          <w:b/>
          <w:sz w:val="20"/>
          <w:szCs w:val="20"/>
        </w:rPr>
      </w:pPr>
      <w:commentRangeStart w:id="33"/>
      <w:proofErr w:type="spellStart"/>
      <w:r w:rsidRPr="0088125C">
        <w:rPr>
          <w:rFonts w:ascii="Arial" w:eastAsia="Calibri" w:hAnsi="Arial" w:cs="Arial"/>
          <w:b/>
          <w:sz w:val="20"/>
          <w:szCs w:val="20"/>
        </w:rPr>
        <w:t>References</w:t>
      </w:r>
      <w:commentRangeEnd w:id="33"/>
      <w:proofErr w:type="spellEnd"/>
      <w:r w:rsidR="00567D54">
        <w:rPr>
          <w:rStyle w:val="CommentReference"/>
        </w:rPr>
        <w:commentReference w:id="33"/>
      </w:r>
      <w:r w:rsidRPr="0088125C">
        <w:rPr>
          <w:rFonts w:ascii="Arial" w:eastAsia="Calibri" w:hAnsi="Arial" w:cs="Arial"/>
          <w:b/>
          <w:sz w:val="20"/>
          <w:szCs w:val="20"/>
        </w:rPr>
        <w:t xml:space="preserve"> </w:t>
      </w:r>
    </w:p>
    <w:p w14:paraId="70149106"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r w:rsidRPr="0088125C">
        <w:rPr>
          <w:rFonts w:ascii="Arial" w:eastAsia="Calibri" w:hAnsi="Arial" w:cs="Arial"/>
          <w:sz w:val="20"/>
          <w:szCs w:val="20"/>
          <w:lang w:val="en-US"/>
        </w:rPr>
        <w:t xml:space="preserve">Barka MS (2012). Investigation and characterization of enterohaemorrhagic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O157:H7 in meat imported into Algeria. </w:t>
      </w:r>
      <w:r w:rsidRPr="0088125C">
        <w:rPr>
          <w:rFonts w:ascii="Arial" w:eastAsia="Calibri" w:hAnsi="Arial" w:cs="Arial"/>
          <w:sz w:val="20"/>
          <w:szCs w:val="20"/>
        </w:rPr>
        <w:t xml:space="preserve">PhD </w:t>
      </w:r>
      <w:proofErr w:type="spellStart"/>
      <w:r w:rsidRPr="0088125C">
        <w:rPr>
          <w:rFonts w:ascii="Arial" w:eastAsia="Calibri" w:hAnsi="Arial" w:cs="Arial"/>
          <w:sz w:val="20"/>
          <w:szCs w:val="20"/>
        </w:rPr>
        <w:t>thesis</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microbiology</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Algeria</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University</w:t>
      </w:r>
      <w:proofErr w:type="spellEnd"/>
      <w:r w:rsidRPr="0088125C">
        <w:rPr>
          <w:rFonts w:ascii="Arial" w:eastAsia="Calibri" w:hAnsi="Arial" w:cs="Arial"/>
          <w:sz w:val="20"/>
          <w:szCs w:val="20"/>
        </w:rPr>
        <w:t xml:space="preserve"> of Oran, 65p.</w:t>
      </w:r>
    </w:p>
    <w:p w14:paraId="600C9255"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Dahas</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Touil</w:t>
      </w:r>
      <w:proofErr w:type="spellEnd"/>
      <w:r w:rsidRPr="0088125C">
        <w:rPr>
          <w:rFonts w:ascii="Arial" w:eastAsia="Calibri" w:hAnsi="Arial" w:cs="Arial"/>
          <w:sz w:val="20"/>
          <w:szCs w:val="20"/>
        </w:rPr>
        <w:t xml:space="preserve"> A. (2018). Recherche de souches d'</w:t>
      </w:r>
      <w:r w:rsidRPr="0088125C">
        <w:rPr>
          <w:rFonts w:ascii="Arial" w:eastAsia="Calibri" w:hAnsi="Arial" w:cs="Arial"/>
          <w:i/>
          <w:sz w:val="20"/>
          <w:szCs w:val="20"/>
        </w:rPr>
        <w:t xml:space="preserve">Escherichia coli </w:t>
      </w:r>
      <w:r w:rsidRPr="0088125C">
        <w:rPr>
          <w:rFonts w:ascii="Arial" w:eastAsia="Calibri" w:hAnsi="Arial" w:cs="Arial"/>
          <w:sz w:val="20"/>
          <w:szCs w:val="20"/>
        </w:rPr>
        <w:t xml:space="preserve">résistantes aux antibiotiques au niveau d'abattoirs avicoles de wilaya de Djelfa. </w:t>
      </w:r>
      <w:r w:rsidRPr="0088125C">
        <w:rPr>
          <w:rFonts w:ascii="Arial" w:eastAsia="Calibri" w:hAnsi="Arial" w:cs="Arial"/>
          <w:sz w:val="20"/>
          <w:szCs w:val="20"/>
          <w:lang w:val="en-US"/>
        </w:rPr>
        <w:t xml:space="preserve">Master's degree: applied microbiology. Algeria: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Ziane</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Achour</w:t>
      </w:r>
      <w:proofErr w:type="spellEnd"/>
      <w:r w:rsidRPr="0088125C">
        <w:rPr>
          <w:rFonts w:ascii="Arial" w:eastAsia="Calibri" w:hAnsi="Arial" w:cs="Arial"/>
          <w:sz w:val="20"/>
          <w:szCs w:val="20"/>
          <w:lang w:val="en-US"/>
        </w:rPr>
        <w:t xml:space="preserve"> - </w:t>
      </w:r>
      <w:proofErr w:type="spellStart"/>
      <w:r w:rsidRPr="0088125C">
        <w:rPr>
          <w:rFonts w:ascii="Arial" w:eastAsia="Calibri" w:hAnsi="Arial" w:cs="Arial"/>
          <w:sz w:val="20"/>
          <w:szCs w:val="20"/>
          <w:lang w:val="en-US"/>
        </w:rPr>
        <w:t>Djelfa</w:t>
      </w:r>
      <w:proofErr w:type="spellEnd"/>
      <w:r w:rsidRPr="0088125C">
        <w:rPr>
          <w:rFonts w:ascii="Arial" w:eastAsia="Calibri" w:hAnsi="Arial" w:cs="Arial"/>
          <w:sz w:val="20"/>
          <w:szCs w:val="20"/>
          <w:lang w:val="en-US"/>
        </w:rPr>
        <w:t>, 43p.</w:t>
      </w:r>
    </w:p>
    <w:p w14:paraId="5D56AA28"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Ghafir</w:t>
      </w:r>
      <w:proofErr w:type="spellEnd"/>
      <w:r w:rsidRPr="0088125C">
        <w:rPr>
          <w:rFonts w:ascii="Arial" w:eastAsia="Calibri" w:hAnsi="Arial" w:cs="Arial"/>
          <w:sz w:val="20"/>
          <w:szCs w:val="20"/>
          <w:lang w:val="en-US"/>
        </w:rPr>
        <w:t xml:space="preserve"> Y, Daube G. 2007. Update on methods for monitoring microbial contamination of foodstuffs of animal origin. </w:t>
      </w:r>
      <w:r w:rsidRPr="0088125C">
        <w:rPr>
          <w:rFonts w:ascii="Arial" w:eastAsia="Calibri" w:hAnsi="Arial" w:cs="Arial"/>
          <w:sz w:val="20"/>
          <w:szCs w:val="20"/>
        </w:rPr>
        <w:t xml:space="preserve">Ann. </w:t>
      </w:r>
      <w:proofErr w:type="spellStart"/>
      <w:r w:rsidRPr="0088125C">
        <w:rPr>
          <w:rFonts w:ascii="Arial" w:eastAsia="Calibri" w:hAnsi="Arial" w:cs="Arial"/>
          <w:sz w:val="20"/>
          <w:szCs w:val="20"/>
        </w:rPr>
        <w:t>Vet</w:t>
      </w:r>
      <w:proofErr w:type="spellEnd"/>
      <w:r w:rsidRPr="0088125C">
        <w:rPr>
          <w:rFonts w:ascii="Arial" w:eastAsia="Calibri" w:hAnsi="Arial" w:cs="Arial"/>
          <w:sz w:val="20"/>
          <w:szCs w:val="20"/>
        </w:rPr>
        <w:t>. 151: 79-100.</w:t>
      </w:r>
    </w:p>
    <w:p w14:paraId="60CAB438"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Savadogo M., </w:t>
      </w:r>
      <w:proofErr w:type="spellStart"/>
      <w:r w:rsidRPr="0088125C">
        <w:rPr>
          <w:rFonts w:ascii="Arial" w:eastAsia="Calibri" w:hAnsi="Arial" w:cs="Arial"/>
          <w:sz w:val="20"/>
          <w:szCs w:val="20"/>
          <w:lang w:val="en-US"/>
        </w:rPr>
        <w:t>Boukheir</w:t>
      </w:r>
      <w:proofErr w:type="spellEnd"/>
      <w:r w:rsidRPr="0088125C">
        <w:rPr>
          <w:rFonts w:ascii="Arial" w:eastAsia="Calibri" w:hAnsi="Arial" w:cs="Arial"/>
          <w:sz w:val="20"/>
          <w:szCs w:val="20"/>
          <w:lang w:val="en-US"/>
        </w:rPr>
        <w:t xml:space="preserve"> Y. (2016). Isolation and Study of some pathogenic Enterobacteriaceae in wastewater from </w:t>
      </w:r>
      <w:proofErr w:type="spellStart"/>
      <w:r w:rsidRPr="0088125C">
        <w:rPr>
          <w:rFonts w:ascii="Arial" w:eastAsia="Calibri" w:hAnsi="Arial" w:cs="Arial"/>
          <w:sz w:val="20"/>
          <w:szCs w:val="20"/>
          <w:lang w:val="en-US"/>
        </w:rPr>
        <w:t>Oued</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Boumerzoug</w:t>
      </w:r>
      <w:proofErr w:type="spellEnd"/>
      <w:r w:rsidRPr="0088125C">
        <w:rPr>
          <w:rFonts w:ascii="Arial" w:eastAsia="Calibri" w:hAnsi="Arial" w:cs="Arial"/>
          <w:sz w:val="20"/>
          <w:szCs w:val="20"/>
          <w:lang w:val="en-US"/>
        </w:rPr>
        <w:t xml:space="preserve"> in Constantine. Master in General Microbiology and Molecular Biology of Microorganisms, Algeria: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des Frères </w:t>
      </w:r>
      <w:proofErr w:type="spellStart"/>
      <w:r w:rsidRPr="0088125C">
        <w:rPr>
          <w:rFonts w:ascii="Arial" w:eastAsia="Calibri" w:hAnsi="Arial" w:cs="Arial"/>
          <w:sz w:val="20"/>
          <w:szCs w:val="20"/>
          <w:lang w:val="en-US"/>
        </w:rPr>
        <w:t>Mentouri</w:t>
      </w:r>
      <w:proofErr w:type="spellEnd"/>
      <w:r w:rsidRPr="0088125C">
        <w:rPr>
          <w:rFonts w:ascii="Arial" w:eastAsia="Calibri" w:hAnsi="Arial" w:cs="Arial"/>
          <w:sz w:val="20"/>
          <w:szCs w:val="20"/>
          <w:lang w:val="en-US"/>
        </w:rPr>
        <w:t xml:space="preserve"> Constantine. </w:t>
      </w:r>
      <w:r w:rsidRPr="0088125C">
        <w:rPr>
          <w:rFonts w:ascii="Arial" w:eastAsia="Calibri" w:hAnsi="Arial" w:cs="Arial"/>
          <w:sz w:val="20"/>
          <w:szCs w:val="20"/>
        </w:rPr>
        <w:t>51p.</w:t>
      </w:r>
    </w:p>
    <w:p w14:paraId="5B70B39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EL </w:t>
      </w:r>
      <w:proofErr w:type="spellStart"/>
      <w:r w:rsidRPr="0088125C">
        <w:rPr>
          <w:rFonts w:ascii="Arial" w:eastAsia="Calibri" w:hAnsi="Arial" w:cs="Arial"/>
          <w:sz w:val="20"/>
          <w:szCs w:val="20"/>
          <w:lang w:val="en-US"/>
        </w:rPr>
        <w:t>Bouamari</w:t>
      </w:r>
      <w:proofErr w:type="spellEnd"/>
      <w:r w:rsidRPr="0088125C">
        <w:rPr>
          <w:rFonts w:ascii="Arial" w:eastAsia="Calibri" w:hAnsi="Arial" w:cs="Arial"/>
          <w:sz w:val="20"/>
          <w:szCs w:val="20"/>
          <w:lang w:val="en-US"/>
        </w:rPr>
        <w:t xml:space="preserve"> M.C. (2017). </w:t>
      </w:r>
      <w:proofErr w:type="spellStart"/>
      <w:r w:rsidRPr="0088125C">
        <w:rPr>
          <w:rFonts w:ascii="Arial" w:eastAsia="Calibri" w:hAnsi="Arial" w:cs="Arial"/>
          <w:sz w:val="20"/>
          <w:szCs w:val="20"/>
          <w:lang w:val="en-US"/>
        </w:rPr>
        <w:t>Epidemio</w:t>
      </w:r>
      <w:proofErr w:type="spellEnd"/>
      <w:r w:rsidRPr="0088125C">
        <w:rPr>
          <w:rFonts w:ascii="Arial" w:eastAsia="Calibri" w:hAnsi="Arial" w:cs="Arial"/>
          <w:sz w:val="20"/>
          <w:szCs w:val="20"/>
          <w:lang w:val="en-US"/>
        </w:rPr>
        <w:t xml:space="preserve">-molecular study of </w:t>
      </w:r>
      <w:r w:rsidRPr="0088125C">
        <w:rPr>
          <w:rFonts w:ascii="Arial" w:eastAsia="Calibri" w:hAnsi="Arial" w:cs="Arial"/>
          <w:sz w:val="20"/>
          <w:szCs w:val="20"/>
        </w:rPr>
        <w:t>β</w:t>
      </w:r>
      <w:r w:rsidRPr="0088125C">
        <w:rPr>
          <w:rFonts w:ascii="Arial" w:eastAsia="Calibri" w:hAnsi="Arial" w:cs="Arial"/>
          <w:sz w:val="20"/>
          <w:szCs w:val="20"/>
          <w:lang w:val="en-US"/>
        </w:rPr>
        <w:t xml:space="preserve">-lactamase-producing </w:t>
      </w:r>
      <w:proofErr w:type="spellStart"/>
      <w:r w:rsidRPr="0088125C">
        <w:rPr>
          <w:rFonts w:ascii="Arial" w:eastAsia="Calibri" w:hAnsi="Arial" w:cs="Arial"/>
          <w:sz w:val="20"/>
          <w:szCs w:val="20"/>
          <w:lang w:val="en-US"/>
        </w:rPr>
        <w:t>Enterobacteriaceae</w:t>
      </w:r>
      <w:proofErr w:type="spellEnd"/>
      <w:r w:rsidRPr="0088125C">
        <w:rPr>
          <w:rFonts w:ascii="Arial" w:eastAsia="Calibri" w:hAnsi="Arial" w:cs="Arial"/>
          <w:sz w:val="20"/>
          <w:szCs w:val="20"/>
          <w:lang w:val="en-US"/>
        </w:rPr>
        <w:t xml:space="preserve"> a </w:t>
      </w:r>
      <w:proofErr w:type="spellStart"/>
      <w:r w:rsidRPr="0088125C">
        <w:rPr>
          <w:rFonts w:ascii="Arial" w:eastAsia="Calibri" w:hAnsi="Arial" w:cs="Arial"/>
          <w:sz w:val="20"/>
          <w:szCs w:val="20"/>
          <w:lang w:val="en-US"/>
        </w:rPr>
        <w:t>élargi</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spectre</w:t>
      </w:r>
      <w:proofErr w:type="spellEnd"/>
      <w:r w:rsidRPr="0088125C">
        <w:rPr>
          <w:rFonts w:ascii="Arial" w:eastAsia="Calibri" w:hAnsi="Arial" w:cs="Arial"/>
          <w:sz w:val="20"/>
          <w:szCs w:val="20"/>
          <w:lang w:val="en-US"/>
        </w:rPr>
        <w:t xml:space="preserve"> at the chu de Marrakech. </w:t>
      </w:r>
      <w:r w:rsidRPr="0088125C">
        <w:rPr>
          <w:rFonts w:ascii="Arial" w:eastAsia="Calibri" w:hAnsi="Arial" w:cs="Arial"/>
          <w:sz w:val="20"/>
          <w:szCs w:val="20"/>
        </w:rPr>
        <w:t xml:space="preserve">Doctoral </w:t>
      </w:r>
      <w:proofErr w:type="spellStart"/>
      <w:r w:rsidRPr="0088125C">
        <w:rPr>
          <w:rFonts w:ascii="Arial" w:eastAsia="Calibri" w:hAnsi="Arial" w:cs="Arial"/>
          <w:sz w:val="20"/>
          <w:szCs w:val="20"/>
        </w:rPr>
        <w:t>thesis</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medical</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biology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Rabat :</w:t>
      </w:r>
      <w:r w:rsidRPr="0088125C">
        <w:rPr>
          <w:rFonts w:ascii="Arial" w:eastAsia="Calibri" w:hAnsi="Arial" w:cs="Arial"/>
          <w:sz w:val="20"/>
          <w:szCs w:val="20"/>
        </w:rPr>
        <w:t xml:space="preserve"> université Mohammed V, 131p.</w:t>
      </w:r>
    </w:p>
    <w:p w14:paraId="0DA598BF"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Boulahlib</w:t>
      </w:r>
      <w:proofErr w:type="spellEnd"/>
      <w:r w:rsidRPr="0088125C">
        <w:rPr>
          <w:rFonts w:ascii="Arial" w:eastAsia="Calibri" w:hAnsi="Arial" w:cs="Arial"/>
          <w:sz w:val="20"/>
          <w:szCs w:val="20"/>
          <w:lang w:val="en-US"/>
        </w:rPr>
        <w:t xml:space="preserve">, N., </w:t>
      </w:r>
      <w:proofErr w:type="spellStart"/>
      <w:r w:rsidRPr="0088125C">
        <w:rPr>
          <w:rFonts w:ascii="Arial" w:eastAsia="Calibri" w:hAnsi="Arial" w:cs="Arial"/>
          <w:sz w:val="20"/>
          <w:szCs w:val="20"/>
          <w:lang w:val="en-US"/>
        </w:rPr>
        <w:t>Gherraz</w:t>
      </w:r>
      <w:proofErr w:type="spellEnd"/>
      <w:r w:rsidRPr="0088125C">
        <w:rPr>
          <w:rFonts w:ascii="Arial" w:eastAsia="Calibri" w:hAnsi="Arial" w:cs="Arial"/>
          <w:sz w:val="20"/>
          <w:szCs w:val="20"/>
          <w:lang w:val="en-US"/>
        </w:rPr>
        <w:t xml:space="preserve">, CH. (2020). Search for foodborne ESBL-producing Escherichia coli strains. Master's thesis: Applied Microbiology. </w:t>
      </w:r>
      <w:proofErr w:type="spellStart"/>
      <w:r w:rsidRPr="0088125C">
        <w:rPr>
          <w:rFonts w:ascii="Arial" w:eastAsia="Calibri" w:hAnsi="Arial" w:cs="Arial"/>
          <w:sz w:val="20"/>
          <w:szCs w:val="20"/>
          <w:lang w:val="en-US"/>
        </w:rPr>
        <w:t>Oum</w:t>
      </w:r>
      <w:proofErr w:type="spellEnd"/>
      <w:r w:rsidRPr="0088125C">
        <w:rPr>
          <w:rFonts w:ascii="Arial" w:eastAsia="Calibri" w:hAnsi="Arial" w:cs="Arial"/>
          <w:sz w:val="20"/>
          <w:szCs w:val="20"/>
          <w:lang w:val="en-US"/>
        </w:rPr>
        <w:t xml:space="preserve"> </w:t>
      </w:r>
      <w:proofErr w:type="spellStart"/>
      <w:proofErr w:type="gramStart"/>
      <w:r w:rsidRPr="0088125C">
        <w:rPr>
          <w:rFonts w:ascii="Arial" w:eastAsia="Calibri" w:hAnsi="Arial" w:cs="Arial"/>
          <w:sz w:val="20"/>
          <w:szCs w:val="20"/>
          <w:lang w:val="en-US"/>
        </w:rPr>
        <w:t>Bouaghi</w:t>
      </w:r>
      <w:proofErr w:type="spellEnd"/>
      <w:r w:rsidRPr="0088125C">
        <w:rPr>
          <w:rFonts w:ascii="Arial" w:eastAsia="Calibri" w:hAnsi="Arial" w:cs="Arial"/>
          <w:sz w:val="20"/>
          <w:szCs w:val="20"/>
          <w:lang w:val="en-US"/>
        </w:rPr>
        <w:t xml:space="preserve"> :</w:t>
      </w:r>
      <w:proofErr w:type="gram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Larbi Ben M'Hidi ,40p.</w:t>
      </w:r>
    </w:p>
    <w:p w14:paraId="24E18D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Oirdi</w:t>
      </w:r>
      <w:proofErr w:type="spellEnd"/>
      <w:r w:rsidRPr="0088125C">
        <w:rPr>
          <w:rFonts w:ascii="Arial" w:eastAsia="Calibri" w:hAnsi="Arial" w:cs="Arial"/>
          <w:sz w:val="20"/>
          <w:szCs w:val="20"/>
          <w:lang w:val="en-US"/>
        </w:rPr>
        <w:t xml:space="preserve">, A. (2015). Evaluation of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seroprevalence in street foods in the </w:t>
      </w:r>
      <w:proofErr w:type="spellStart"/>
      <w:r w:rsidRPr="0088125C">
        <w:rPr>
          <w:rFonts w:ascii="Arial" w:eastAsia="Calibri" w:hAnsi="Arial" w:cs="Arial"/>
          <w:sz w:val="20"/>
          <w:szCs w:val="20"/>
          <w:lang w:val="en-US"/>
        </w:rPr>
        <w:t>Vakinankaratra</w:t>
      </w:r>
      <w:proofErr w:type="spellEnd"/>
      <w:r w:rsidRPr="0088125C">
        <w:rPr>
          <w:rFonts w:ascii="Arial" w:eastAsia="Calibri" w:hAnsi="Arial" w:cs="Arial"/>
          <w:sz w:val="20"/>
          <w:szCs w:val="20"/>
          <w:lang w:val="en-US"/>
        </w:rPr>
        <w:t xml:space="preserve"> region. </w:t>
      </w:r>
      <w:proofErr w:type="spellStart"/>
      <w:r w:rsidRPr="0088125C">
        <w:rPr>
          <w:rFonts w:ascii="Arial" w:eastAsia="Calibri" w:hAnsi="Arial" w:cs="Arial"/>
          <w:sz w:val="20"/>
          <w:szCs w:val="20"/>
        </w:rPr>
        <w:t>Diplome</w:t>
      </w:r>
      <w:proofErr w:type="spellEnd"/>
      <w:r w:rsidRPr="0088125C">
        <w:rPr>
          <w:rFonts w:ascii="Arial" w:eastAsia="Calibri" w:hAnsi="Arial" w:cs="Arial"/>
          <w:sz w:val="20"/>
          <w:szCs w:val="20"/>
        </w:rPr>
        <w:t xml:space="preserve"> d'</w:t>
      </w:r>
      <w:proofErr w:type="spellStart"/>
      <w:r w:rsidRPr="0088125C">
        <w:rPr>
          <w:rFonts w:ascii="Arial" w:eastAsia="Calibri" w:hAnsi="Arial" w:cs="Arial"/>
          <w:sz w:val="20"/>
          <w:szCs w:val="20"/>
        </w:rPr>
        <w:t>etudes</w:t>
      </w:r>
      <w:proofErr w:type="spellEnd"/>
      <w:r w:rsidRPr="0088125C">
        <w:rPr>
          <w:rFonts w:ascii="Arial" w:eastAsia="Calibri" w:hAnsi="Arial" w:cs="Arial"/>
          <w:sz w:val="20"/>
          <w:szCs w:val="20"/>
        </w:rPr>
        <w:t xml:space="preserve"> approfondies en Sciences de la vie, Madagascar : Université d'Antananarivo. 35p.</w:t>
      </w:r>
    </w:p>
    <w:p w14:paraId="7BFACD8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lastRenderedPageBreak/>
        <w:t>Tidrarine</w:t>
      </w:r>
      <w:proofErr w:type="spellEnd"/>
      <w:r w:rsidRPr="0088125C">
        <w:rPr>
          <w:rFonts w:ascii="Arial" w:eastAsia="Calibri" w:hAnsi="Arial" w:cs="Arial"/>
          <w:sz w:val="20"/>
          <w:szCs w:val="20"/>
          <w:lang w:val="en-US"/>
        </w:rPr>
        <w:t xml:space="preserve"> S. (2019). Epidemiology of </w:t>
      </w:r>
      <w:proofErr w:type="spellStart"/>
      <w:r w:rsidRPr="0088125C">
        <w:rPr>
          <w:rFonts w:ascii="Arial" w:eastAsia="Calibri" w:hAnsi="Arial" w:cs="Arial"/>
          <w:sz w:val="20"/>
          <w:szCs w:val="20"/>
          <w:lang w:val="en-US"/>
        </w:rPr>
        <w:t>carbapenemase</w:t>
      </w:r>
      <w:proofErr w:type="spellEnd"/>
      <w:r w:rsidRPr="0088125C">
        <w:rPr>
          <w:rFonts w:ascii="Arial" w:eastAsia="Calibri" w:hAnsi="Arial" w:cs="Arial"/>
          <w:sz w:val="20"/>
          <w:szCs w:val="20"/>
          <w:lang w:val="en-US"/>
        </w:rPr>
        <w:t xml:space="preserve">-producing multidrug-resistant </w:t>
      </w:r>
      <w:proofErr w:type="spellStart"/>
      <w:r w:rsidRPr="0088125C">
        <w:rPr>
          <w:rFonts w:ascii="Arial" w:eastAsia="Calibri" w:hAnsi="Arial" w:cs="Arial"/>
          <w:sz w:val="20"/>
          <w:szCs w:val="20"/>
          <w:lang w:val="en-US"/>
        </w:rPr>
        <w:t>enterobacteria</w:t>
      </w:r>
      <w:proofErr w:type="spellEnd"/>
      <w:r w:rsidRPr="0088125C">
        <w:rPr>
          <w:rFonts w:ascii="Arial" w:eastAsia="Calibri" w:hAnsi="Arial" w:cs="Arial"/>
          <w:sz w:val="20"/>
          <w:szCs w:val="20"/>
          <w:lang w:val="en-US"/>
        </w:rPr>
        <w:t xml:space="preserve"> at HIT. Thesis of the doctorate in medicine. Marrakech: Cadi Ayyad University. </w:t>
      </w:r>
      <w:r w:rsidRPr="0088125C">
        <w:rPr>
          <w:rFonts w:ascii="Arial" w:eastAsia="Calibri" w:hAnsi="Arial" w:cs="Arial"/>
          <w:sz w:val="20"/>
          <w:szCs w:val="20"/>
        </w:rPr>
        <w:t>90p.</w:t>
      </w:r>
    </w:p>
    <w:p w14:paraId="5FACCDA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 xml:space="preserve">Thiaw C. (2006). La qualité sanitaire des produits maraîchers de la ville de </w:t>
      </w:r>
      <w:r w:rsidR="002B0200" w:rsidRPr="0088125C">
        <w:rPr>
          <w:rFonts w:ascii="Arial" w:eastAsia="Calibri" w:hAnsi="Arial" w:cs="Arial"/>
          <w:sz w:val="20"/>
          <w:szCs w:val="20"/>
        </w:rPr>
        <w:t>Ouagadougou :</w:t>
      </w:r>
      <w:r w:rsidRPr="0088125C">
        <w:rPr>
          <w:rFonts w:ascii="Arial" w:eastAsia="Calibri" w:hAnsi="Arial" w:cs="Arial"/>
          <w:sz w:val="20"/>
          <w:szCs w:val="20"/>
        </w:rPr>
        <w:t xml:space="preserve"> Incidence de la source d'eau d'irrigation sur la santé humaine. Mémoire de fin d'étude d'ingénieur, </w:t>
      </w:r>
      <w:proofErr w:type="spellStart"/>
      <w:r w:rsidRPr="0088125C">
        <w:rPr>
          <w:rFonts w:ascii="Arial" w:eastAsia="Calibri" w:hAnsi="Arial" w:cs="Arial"/>
          <w:sz w:val="20"/>
          <w:szCs w:val="20"/>
        </w:rPr>
        <w:t>University</w:t>
      </w:r>
      <w:proofErr w:type="spellEnd"/>
      <w:r w:rsidRPr="0088125C">
        <w:rPr>
          <w:rFonts w:ascii="Arial" w:eastAsia="Calibri" w:hAnsi="Arial" w:cs="Arial"/>
          <w:sz w:val="20"/>
          <w:szCs w:val="20"/>
        </w:rPr>
        <w:t xml:space="preserve"> of Burkina Faso, 68p.</w:t>
      </w:r>
    </w:p>
    <w:p w14:paraId="035B40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Khan K., Lu Y., Khan H., Ishtiaq M., Khan S., Waqas M., Wei L., Wang T. (2013). Heavy metals in agricultural soils and crops and their health risks in Swat District, northern Pakistan. </w:t>
      </w:r>
      <w:r w:rsidRPr="0088125C">
        <w:rPr>
          <w:rFonts w:ascii="Arial" w:eastAsia="Calibri" w:hAnsi="Arial" w:cs="Arial"/>
          <w:sz w:val="20"/>
          <w:szCs w:val="20"/>
        </w:rPr>
        <w:t xml:space="preserve">Food and Chemical </w:t>
      </w:r>
      <w:proofErr w:type="spellStart"/>
      <w:r w:rsidRPr="0088125C">
        <w:rPr>
          <w:rFonts w:ascii="Arial" w:eastAsia="Calibri" w:hAnsi="Arial" w:cs="Arial"/>
          <w:sz w:val="20"/>
          <w:szCs w:val="20"/>
        </w:rPr>
        <w:t>Toxicology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58 :</w:t>
      </w:r>
      <w:r w:rsidRPr="0088125C">
        <w:rPr>
          <w:rFonts w:ascii="Arial" w:eastAsia="Calibri" w:hAnsi="Arial" w:cs="Arial"/>
          <w:sz w:val="20"/>
          <w:szCs w:val="20"/>
        </w:rPr>
        <w:t xml:space="preserve"> 449-458.</w:t>
      </w:r>
    </w:p>
    <w:p w14:paraId="5ED5128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Gatto</w:t>
      </w:r>
      <w:proofErr w:type="spellEnd"/>
      <w:r w:rsidRPr="0088125C">
        <w:rPr>
          <w:rFonts w:ascii="Arial" w:eastAsia="Calibri" w:hAnsi="Arial" w:cs="Arial"/>
          <w:sz w:val="20"/>
          <w:szCs w:val="20"/>
        </w:rPr>
        <w:t xml:space="preserve"> D'Andrea ML, Salas </w:t>
      </w:r>
      <w:proofErr w:type="spellStart"/>
      <w:r w:rsidRPr="0088125C">
        <w:rPr>
          <w:rFonts w:ascii="Arial" w:eastAsia="Calibri" w:hAnsi="Arial" w:cs="Arial"/>
          <w:sz w:val="20"/>
          <w:szCs w:val="20"/>
        </w:rPr>
        <w:t>Barboza</w:t>
      </w:r>
      <w:proofErr w:type="spellEnd"/>
      <w:r w:rsidRPr="0088125C">
        <w:rPr>
          <w:rFonts w:ascii="Arial" w:eastAsia="Calibri" w:hAnsi="Arial" w:cs="Arial"/>
          <w:sz w:val="20"/>
          <w:szCs w:val="20"/>
        </w:rPr>
        <w:t xml:space="preserve"> AGJ, </w:t>
      </w:r>
      <w:proofErr w:type="spellStart"/>
      <w:r w:rsidRPr="0088125C">
        <w:rPr>
          <w:rFonts w:ascii="Arial" w:eastAsia="Calibri" w:hAnsi="Arial" w:cs="Arial"/>
          <w:sz w:val="20"/>
          <w:szCs w:val="20"/>
        </w:rPr>
        <w:t>Garcés</w:t>
      </w:r>
      <w:proofErr w:type="spellEnd"/>
      <w:r w:rsidRPr="0088125C">
        <w:rPr>
          <w:rFonts w:ascii="Arial" w:eastAsia="Calibri" w:hAnsi="Arial" w:cs="Arial"/>
          <w:sz w:val="20"/>
          <w:szCs w:val="20"/>
        </w:rPr>
        <w:t xml:space="preserve"> V, Rodriguez Alvarez MS, </w:t>
      </w:r>
      <w:proofErr w:type="spellStart"/>
      <w:r w:rsidRPr="0088125C">
        <w:rPr>
          <w:rFonts w:ascii="Arial" w:eastAsia="Calibri" w:hAnsi="Arial" w:cs="Arial"/>
          <w:sz w:val="20"/>
          <w:szCs w:val="20"/>
        </w:rPr>
        <w:t>Iribarnegaray</w:t>
      </w:r>
      <w:proofErr w:type="spellEnd"/>
      <w:r w:rsidRPr="0088125C">
        <w:rPr>
          <w:rFonts w:ascii="Arial" w:eastAsia="Calibri" w:hAnsi="Arial" w:cs="Arial"/>
          <w:sz w:val="20"/>
          <w:szCs w:val="20"/>
        </w:rPr>
        <w:t xml:space="preserve"> MA, Liberal VI, </w:t>
      </w:r>
      <w:proofErr w:type="spellStart"/>
      <w:r w:rsidRPr="0088125C">
        <w:rPr>
          <w:rFonts w:ascii="Arial" w:eastAsia="Calibri" w:hAnsi="Arial" w:cs="Arial"/>
          <w:sz w:val="20"/>
          <w:szCs w:val="20"/>
        </w:rPr>
        <w:t>Fasciolo</w:t>
      </w:r>
      <w:proofErr w:type="spellEnd"/>
      <w:r w:rsidRPr="0088125C">
        <w:rPr>
          <w:rFonts w:ascii="Arial" w:eastAsia="Calibri" w:hAnsi="Arial" w:cs="Arial"/>
          <w:sz w:val="20"/>
          <w:szCs w:val="20"/>
        </w:rPr>
        <w:t xml:space="preserve"> GE, Van Lier JB, </w:t>
      </w:r>
      <w:proofErr w:type="spellStart"/>
      <w:r w:rsidRPr="0088125C">
        <w:rPr>
          <w:rFonts w:ascii="Arial" w:eastAsia="Calibri" w:hAnsi="Arial" w:cs="Arial"/>
          <w:sz w:val="20"/>
          <w:szCs w:val="20"/>
        </w:rPr>
        <w:t>Seghezzo</w:t>
      </w:r>
      <w:proofErr w:type="spellEnd"/>
      <w:r w:rsidRPr="0088125C">
        <w:rPr>
          <w:rFonts w:ascii="Arial" w:eastAsia="Calibri" w:hAnsi="Arial" w:cs="Arial"/>
          <w:sz w:val="20"/>
          <w:szCs w:val="20"/>
        </w:rPr>
        <w:t xml:space="preserve"> L. (2015). </w:t>
      </w:r>
      <w:r w:rsidRPr="0088125C">
        <w:rPr>
          <w:rFonts w:ascii="Arial" w:eastAsia="Calibri" w:hAnsi="Arial" w:cs="Arial"/>
          <w:sz w:val="20"/>
          <w:szCs w:val="20"/>
          <w:lang w:val="en-US"/>
        </w:rPr>
        <w:t xml:space="preserve">The Use of (Treated) Domestic Wastewater for Irrigation: Current Situation and Future Challenges. International Journal </w:t>
      </w:r>
      <w:r w:rsidRPr="0088125C">
        <w:rPr>
          <w:rFonts w:ascii="Arial" w:eastAsia="Calibri" w:hAnsi="Arial" w:cs="Arial"/>
          <w:b/>
          <w:sz w:val="20"/>
          <w:szCs w:val="20"/>
          <w:lang w:val="en-US"/>
        </w:rPr>
        <w:t xml:space="preserve">of </w:t>
      </w:r>
      <w:r w:rsidRPr="0088125C">
        <w:rPr>
          <w:rFonts w:ascii="Arial" w:eastAsia="Calibri" w:hAnsi="Arial" w:cs="Arial"/>
          <w:sz w:val="20"/>
          <w:szCs w:val="20"/>
          <w:lang w:val="en-US"/>
        </w:rPr>
        <w:t>Water and Wastewater Treatment 1(2): 1-10</w:t>
      </w:r>
    </w:p>
    <w:p w14:paraId="2F351C5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Djegbe</w:t>
      </w:r>
      <w:proofErr w:type="spellEnd"/>
      <w:r w:rsidRPr="0088125C">
        <w:rPr>
          <w:rFonts w:ascii="Arial" w:eastAsia="Calibri" w:hAnsi="Arial" w:cs="Arial"/>
          <w:sz w:val="20"/>
          <w:szCs w:val="20"/>
          <w:lang w:val="en-US"/>
        </w:rPr>
        <w:t xml:space="preserve"> I., </w:t>
      </w:r>
      <w:proofErr w:type="spellStart"/>
      <w:r w:rsidRPr="0088125C">
        <w:rPr>
          <w:rFonts w:ascii="Arial" w:eastAsia="Calibri" w:hAnsi="Arial" w:cs="Arial"/>
          <w:sz w:val="20"/>
          <w:szCs w:val="20"/>
          <w:lang w:val="en-US"/>
        </w:rPr>
        <w:t>Tamou-Tabe</w:t>
      </w:r>
      <w:proofErr w:type="spellEnd"/>
      <w:r w:rsidRPr="0088125C">
        <w:rPr>
          <w:rFonts w:ascii="Arial" w:eastAsia="Calibri" w:hAnsi="Arial" w:cs="Arial"/>
          <w:sz w:val="20"/>
          <w:szCs w:val="20"/>
          <w:lang w:val="en-US"/>
        </w:rPr>
        <w:t xml:space="preserve"> TS., </w:t>
      </w:r>
      <w:proofErr w:type="spellStart"/>
      <w:r w:rsidRPr="0088125C">
        <w:rPr>
          <w:rFonts w:ascii="Arial" w:eastAsia="Calibri" w:hAnsi="Arial" w:cs="Arial"/>
          <w:sz w:val="20"/>
          <w:szCs w:val="20"/>
          <w:lang w:val="en-US"/>
        </w:rPr>
        <w:t>Topanou</w:t>
      </w:r>
      <w:proofErr w:type="spellEnd"/>
      <w:r w:rsidRPr="0088125C">
        <w:rPr>
          <w:rFonts w:ascii="Arial" w:eastAsia="Calibri" w:hAnsi="Arial" w:cs="Arial"/>
          <w:sz w:val="20"/>
          <w:szCs w:val="20"/>
          <w:lang w:val="en-US"/>
        </w:rPr>
        <w:t xml:space="preserve"> N., Soglo FM., Paraiso A., </w:t>
      </w:r>
      <w:proofErr w:type="spellStart"/>
      <w:r w:rsidRPr="0088125C">
        <w:rPr>
          <w:rFonts w:ascii="Arial" w:eastAsia="Calibri" w:hAnsi="Arial" w:cs="Arial"/>
          <w:sz w:val="20"/>
          <w:szCs w:val="20"/>
          <w:lang w:val="en-US"/>
        </w:rPr>
        <w:t>Djouaka</w:t>
      </w:r>
      <w:proofErr w:type="spellEnd"/>
      <w:r w:rsidRPr="0088125C">
        <w:rPr>
          <w:rFonts w:ascii="Arial" w:eastAsia="Calibri" w:hAnsi="Arial" w:cs="Arial"/>
          <w:sz w:val="20"/>
          <w:szCs w:val="20"/>
          <w:lang w:val="en-US"/>
        </w:rPr>
        <w:t xml:space="preserve"> R., </w:t>
      </w:r>
      <w:proofErr w:type="spellStart"/>
      <w:r w:rsidRPr="0088125C">
        <w:rPr>
          <w:rFonts w:ascii="Arial" w:eastAsia="Calibri" w:hAnsi="Arial" w:cs="Arial"/>
          <w:sz w:val="20"/>
          <w:szCs w:val="20"/>
          <w:lang w:val="en-US"/>
        </w:rPr>
        <w:t>Kelome</w:t>
      </w:r>
      <w:proofErr w:type="spellEnd"/>
      <w:r w:rsidRPr="0088125C">
        <w:rPr>
          <w:rFonts w:ascii="Arial" w:eastAsia="Calibri" w:hAnsi="Arial" w:cs="Arial"/>
          <w:sz w:val="20"/>
          <w:szCs w:val="20"/>
          <w:lang w:val="en-US"/>
        </w:rPr>
        <w:t xml:space="preserve"> CN. (2018). Seasonal variation in the physicochemical and microbiological quality of irrigation water and vegetables at the </w:t>
      </w:r>
      <w:proofErr w:type="spellStart"/>
      <w:r w:rsidRPr="0088125C">
        <w:rPr>
          <w:rFonts w:ascii="Arial" w:eastAsia="Calibri" w:hAnsi="Arial" w:cs="Arial"/>
          <w:sz w:val="20"/>
          <w:szCs w:val="20"/>
          <w:lang w:val="en-US"/>
        </w:rPr>
        <w:t>Bawéra</w:t>
      </w:r>
      <w:proofErr w:type="spellEnd"/>
      <w:r w:rsidRPr="0088125C">
        <w:rPr>
          <w:rFonts w:ascii="Arial" w:eastAsia="Calibri" w:hAnsi="Arial" w:cs="Arial"/>
          <w:sz w:val="20"/>
          <w:szCs w:val="20"/>
          <w:lang w:val="en-US"/>
        </w:rPr>
        <w:t xml:space="preserve"> market gardening site and associated health risks. </w:t>
      </w:r>
      <w:r w:rsidRPr="0088125C">
        <w:rPr>
          <w:rFonts w:ascii="Arial" w:eastAsia="Calibri" w:hAnsi="Arial" w:cs="Arial"/>
          <w:i/>
          <w:sz w:val="20"/>
          <w:szCs w:val="20"/>
          <w:lang w:val="en-US"/>
        </w:rPr>
        <w:t xml:space="preserve">International </w:t>
      </w:r>
      <w:r w:rsidRPr="0088125C">
        <w:rPr>
          <w:rFonts w:ascii="Arial" w:eastAsia="Calibri" w:hAnsi="Arial" w:cs="Arial"/>
          <w:iCs/>
          <w:sz w:val="20"/>
          <w:szCs w:val="20"/>
          <w:lang w:val="en-US"/>
        </w:rPr>
        <w:t>Journal of Biological and Chemical Sciences.</w:t>
      </w:r>
      <w:r w:rsidRPr="0088125C">
        <w:rPr>
          <w:rFonts w:ascii="Arial" w:eastAsia="Calibri" w:hAnsi="Arial" w:cs="Arial"/>
          <w:sz w:val="20"/>
          <w:szCs w:val="20"/>
          <w:lang w:val="en-US"/>
        </w:rPr>
        <w:t xml:space="preserve"> 12(2): 781-795.</w:t>
      </w:r>
    </w:p>
    <w:p w14:paraId="238BFD4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Times New Roman" w:hAnsi="Arial" w:cs="Arial"/>
          <w:sz w:val="20"/>
          <w:szCs w:val="20"/>
          <w:lang w:val="en-US"/>
        </w:rPr>
        <w:t xml:space="preserve">Wognin A.S. (2014).  Risk factors for contamination and virulence genes associated with </w:t>
      </w:r>
      <w:r w:rsidRPr="0088125C">
        <w:rPr>
          <w:rFonts w:ascii="Arial" w:eastAsia="Times New Roman" w:hAnsi="Arial" w:cs="Arial"/>
          <w:i/>
          <w:sz w:val="20"/>
          <w:szCs w:val="20"/>
          <w:lang w:val="en-US"/>
        </w:rPr>
        <w:t xml:space="preserve">Escherichia coli </w:t>
      </w:r>
      <w:r w:rsidRPr="0088125C">
        <w:rPr>
          <w:rFonts w:ascii="Arial" w:eastAsia="Times New Roman" w:hAnsi="Arial" w:cs="Arial"/>
          <w:sz w:val="20"/>
          <w:szCs w:val="20"/>
          <w:lang w:val="en-US"/>
        </w:rPr>
        <w:t>in the market garden environment: the case of lettuce (</w:t>
      </w:r>
      <w:r w:rsidRPr="0088125C">
        <w:rPr>
          <w:rFonts w:ascii="Arial" w:eastAsia="Times New Roman" w:hAnsi="Arial" w:cs="Arial"/>
          <w:i/>
          <w:sz w:val="20"/>
          <w:szCs w:val="20"/>
          <w:lang w:val="en-US"/>
        </w:rPr>
        <w:t>Lactuca sativa</w:t>
      </w:r>
      <w:r w:rsidRPr="0088125C">
        <w:rPr>
          <w:rFonts w:ascii="Arial" w:eastAsia="Times New Roman" w:hAnsi="Arial" w:cs="Arial"/>
          <w:sz w:val="20"/>
          <w:szCs w:val="20"/>
          <w:lang w:val="en-US"/>
        </w:rPr>
        <w:t xml:space="preserve">) in the peri-urban area of Abidjan. Doctoral thesis from </w:t>
      </w:r>
      <w:proofErr w:type="spellStart"/>
      <w:r w:rsidRPr="0088125C">
        <w:rPr>
          <w:rFonts w:ascii="Arial" w:eastAsia="Times New Roman" w:hAnsi="Arial" w:cs="Arial"/>
          <w:sz w:val="20"/>
          <w:szCs w:val="20"/>
          <w:lang w:val="en-US"/>
        </w:rPr>
        <w:t>Nangui</w:t>
      </w:r>
      <w:proofErr w:type="spellEnd"/>
      <w:r w:rsidRPr="0088125C">
        <w:rPr>
          <w:rFonts w:ascii="Arial" w:eastAsia="Times New Roman" w:hAnsi="Arial" w:cs="Arial"/>
          <w:sz w:val="20"/>
          <w:szCs w:val="20"/>
          <w:lang w:val="en-US"/>
        </w:rPr>
        <w:t xml:space="preserve"> </w:t>
      </w:r>
      <w:proofErr w:type="spellStart"/>
      <w:r w:rsidRPr="0088125C">
        <w:rPr>
          <w:rFonts w:ascii="Arial" w:eastAsia="Times New Roman" w:hAnsi="Arial" w:cs="Arial"/>
          <w:sz w:val="20"/>
          <w:szCs w:val="20"/>
          <w:lang w:val="en-US"/>
        </w:rPr>
        <w:t>Abrogoua</w:t>
      </w:r>
      <w:proofErr w:type="spellEnd"/>
      <w:r w:rsidRPr="0088125C">
        <w:rPr>
          <w:rFonts w:ascii="Arial" w:eastAsia="Times New Roman" w:hAnsi="Arial" w:cs="Arial"/>
          <w:sz w:val="20"/>
          <w:szCs w:val="20"/>
          <w:lang w:val="en-US"/>
        </w:rPr>
        <w:t xml:space="preserve"> University: microbiology and molecular biology. 122p.</w:t>
      </w:r>
    </w:p>
    <w:p w14:paraId="4C80934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Toe E. (2018). Assessment of risk factors for virulent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bio-contamination of the vegetable food chain in Abidjan (Ivory Coast). Thesis in food microbiology and biotechnology, Cote </w:t>
      </w:r>
      <w:proofErr w:type="spellStart"/>
      <w:proofErr w:type="gramStart"/>
      <w:r w:rsidR="002B0200" w:rsidRPr="0088125C">
        <w:rPr>
          <w:rFonts w:ascii="Arial" w:eastAsia="Calibri" w:hAnsi="Arial" w:cs="Arial"/>
          <w:sz w:val="20"/>
          <w:szCs w:val="20"/>
          <w:lang w:val="en-US"/>
        </w:rPr>
        <w:t>d’ivoire</w:t>
      </w:r>
      <w:proofErr w:type="spellEnd"/>
      <w:r w:rsidR="002B0200" w:rsidRPr="0088125C">
        <w:rPr>
          <w:rFonts w:ascii="Arial" w:eastAsia="Calibri" w:hAnsi="Arial" w:cs="Arial"/>
          <w:sz w:val="20"/>
          <w:szCs w:val="20"/>
          <w:lang w:val="en-US"/>
        </w:rPr>
        <w:t xml:space="preserve"> :</w:t>
      </w:r>
      <w:proofErr w:type="gram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de </w:t>
      </w:r>
      <w:proofErr w:type="spellStart"/>
      <w:r w:rsidRPr="0088125C">
        <w:rPr>
          <w:rFonts w:ascii="Arial" w:eastAsia="Calibri" w:hAnsi="Arial" w:cs="Arial"/>
          <w:sz w:val="20"/>
          <w:szCs w:val="20"/>
          <w:lang w:val="en-US"/>
        </w:rPr>
        <w:t>Nangui</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Abrogoua</w:t>
      </w:r>
      <w:proofErr w:type="spellEnd"/>
      <w:r w:rsidRPr="0088125C">
        <w:rPr>
          <w:rFonts w:ascii="Arial" w:eastAsia="Calibri" w:hAnsi="Arial" w:cs="Arial"/>
          <w:sz w:val="20"/>
          <w:szCs w:val="20"/>
          <w:lang w:val="en-US"/>
        </w:rPr>
        <w:t>. 186p.</w:t>
      </w:r>
    </w:p>
    <w:p w14:paraId="7B9F597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eastAsia="x-none"/>
        </w:rPr>
        <w:t>INS (2018). Statistique régionale de Niamey, cahier de l'année 2013-</w:t>
      </w:r>
      <w:r w:rsidR="002B0200" w:rsidRPr="0088125C">
        <w:rPr>
          <w:rFonts w:ascii="Arial" w:eastAsia="Calibri" w:hAnsi="Arial" w:cs="Arial"/>
          <w:sz w:val="20"/>
          <w:szCs w:val="20"/>
          <w:lang w:eastAsia="x-none"/>
        </w:rPr>
        <w:t>2017 ;</w:t>
      </w:r>
      <w:r w:rsidRPr="0088125C">
        <w:rPr>
          <w:rFonts w:ascii="Arial" w:eastAsia="Calibri" w:hAnsi="Arial" w:cs="Arial"/>
          <w:sz w:val="20"/>
          <w:szCs w:val="20"/>
          <w:lang w:eastAsia="x-none"/>
        </w:rPr>
        <w:t xml:space="preserve"> 93p.</w:t>
      </w:r>
    </w:p>
    <w:p w14:paraId="2B3742E8"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eastAsia="x-none"/>
        </w:rPr>
      </w:pPr>
      <w:r w:rsidRPr="0088125C">
        <w:rPr>
          <w:rFonts w:ascii="Arial" w:eastAsia="Calibri" w:hAnsi="Arial" w:cs="Arial"/>
          <w:sz w:val="20"/>
          <w:szCs w:val="20"/>
          <w:lang w:val="en-US" w:eastAsia="x-none"/>
        </w:rPr>
        <w:t>INS (2022). General information on regions: administrative division of the Niamey region projection based on RGP/H_2012 data</w:t>
      </w:r>
    </w:p>
    <w:p w14:paraId="020E85B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21528-2: 2017. Microbiology of the food chain - Horizontal method for the detection and enumeration of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Part 2: Technical colony count.</w:t>
      </w:r>
    </w:p>
    <w:p w14:paraId="022B8EC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21528-1: 2017. Microbiology of the food chain - Horizontal method for the detection and enumeration of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w:t>
      </w:r>
      <w:r w:rsidRPr="0088125C">
        <w:rPr>
          <w:rFonts w:ascii="Arial" w:eastAsia="Calibri" w:hAnsi="Arial" w:cs="Arial"/>
          <w:sz w:val="20"/>
          <w:szCs w:val="20"/>
        </w:rPr>
        <w:t xml:space="preserve">Part 1: </w:t>
      </w:r>
      <w:proofErr w:type="spellStart"/>
      <w:r w:rsidRPr="0088125C">
        <w:rPr>
          <w:rFonts w:ascii="Arial" w:eastAsia="Calibri" w:hAnsi="Arial" w:cs="Arial"/>
          <w:sz w:val="20"/>
          <w:szCs w:val="20"/>
        </w:rPr>
        <w:t>Detection</w:t>
      </w:r>
      <w:proofErr w:type="spellEnd"/>
      <w:r w:rsidRPr="0088125C">
        <w:rPr>
          <w:rFonts w:ascii="Arial" w:eastAsia="Calibri" w:hAnsi="Arial" w:cs="Arial"/>
          <w:sz w:val="20"/>
          <w:szCs w:val="20"/>
        </w:rPr>
        <w:t xml:space="preserve"> of </w:t>
      </w:r>
      <w:proofErr w:type="spellStart"/>
      <w:r w:rsidRPr="0088125C">
        <w:rPr>
          <w:rFonts w:ascii="Arial" w:eastAsia="Calibri" w:hAnsi="Arial" w:cs="Arial"/>
          <w:i/>
          <w:sz w:val="20"/>
          <w:szCs w:val="20"/>
        </w:rPr>
        <w:t>Enterobacteriaceae</w:t>
      </w:r>
      <w:proofErr w:type="spellEnd"/>
      <w:r w:rsidRPr="0088125C">
        <w:rPr>
          <w:rFonts w:ascii="Arial" w:eastAsia="Calibri" w:hAnsi="Arial" w:cs="Arial"/>
          <w:sz w:val="20"/>
          <w:szCs w:val="20"/>
        </w:rPr>
        <w:t>.</w:t>
      </w:r>
    </w:p>
    <w:p w14:paraId="5C101F1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Le Minor L. &amp; Richard C., 1993. Méthodes de Laboratoire pour L'identification des Entérobactéries. Institut Pasteur, Paris France, 217p.</w:t>
      </w:r>
    </w:p>
    <w:p w14:paraId="71867152"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Anonymous (2007). Enumeration of Enterobacteriaceae in food and environmental samples using </w:t>
      </w:r>
      <w:proofErr w:type="spellStart"/>
      <w:r w:rsidRPr="0088125C">
        <w:rPr>
          <w:rFonts w:ascii="Arial" w:eastAsia="Calibri" w:hAnsi="Arial" w:cs="Arial"/>
          <w:sz w:val="20"/>
          <w:szCs w:val="20"/>
          <w:lang w:val="en-US"/>
        </w:rPr>
        <w:t>petrifilmmc</w:t>
      </w:r>
      <w:proofErr w:type="spellEnd"/>
      <w:r w:rsidRPr="0088125C">
        <w:rPr>
          <w:rFonts w:ascii="Arial" w:eastAsia="Calibri" w:hAnsi="Arial" w:cs="Arial"/>
          <w:sz w:val="20"/>
          <w:szCs w:val="20"/>
          <w:lang w:val="en-US"/>
        </w:rPr>
        <w:t xml:space="preserve"> 3mc </w:t>
      </w:r>
      <w:proofErr w:type="spellStart"/>
      <w:r w:rsidRPr="0088125C">
        <w:rPr>
          <w:rFonts w:ascii="Arial" w:eastAsia="Calibri" w:hAnsi="Arial" w:cs="Arial"/>
          <w:sz w:val="20"/>
          <w:szCs w:val="20"/>
          <w:lang w:val="en-US"/>
        </w:rPr>
        <w:t>Enterobacteriaceae</w:t>
      </w:r>
      <w:proofErr w:type="spellEnd"/>
      <w:r w:rsidRPr="0088125C">
        <w:rPr>
          <w:rFonts w:ascii="Arial" w:eastAsia="Calibri" w:hAnsi="Arial" w:cs="Arial"/>
          <w:sz w:val="20"/>
          <w:szCs w:val="20"/>
          <w:lang w:val="en-US"/>
        </w:rPr>
        <w:t xml:space="preserve"> Count Plates. </w:t>
      </w:r>
      <w:proofErr w:type="spellStart"/>
      <w:r w:rsidRPr="0088125C">
        <w:rPr>
          <w:rFonts w:ascii="Arial" w:eastAsia="Calibri" w:hAnsi="Arial" w:cs="Arial"/>
          <w:sz w:val="20"/>
          <w:szCs w:val="20"/>
        </w:rPr>
        <w:t>Health</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Products</w:t>
      </w:r>
      <w:proofErr w:type="spellEnd"/>
      <w:r w:rsidRPr="0088125C">
        <w:rPr>
          <w:rFonts w:ascii="Arial" w:eastAsia="Calibri" w:hAnsi="Arial" w:cs="Arial"/>
          <w:sz w:val="20"/>
          <w:szCs w:val="20"/>
        </w:rPr>
        <w:t xml:space="preserve"> and Food Branch Ottawa (Canada) MFLP-09, 5p.</w:t>
      </w:r>
    </w:p>
    <w:p w14:paraId="4DB64E8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Kasse</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Cisse</w:t>
      </w:r>
      <w:proofErr w:type="spellEnd"/>
      <w:r w:rsidRPr="0088125C">
        <w:rPr>
          <w:rFonts w:ascii="Arial" w:eastAsia="Calibri" w:hAnsi="Arial" w:cs="Arial"/>
          <w:sz w:val="20"/>
          <w:szCs w:val="20"/>
        </w:rPr>
        <w:t xml:space="preserve"> M., Toure A., </w:t>
      </w:r>
      <w:proofErr w:type="spellStart"/>
      <w:r w:rsidRPr="0088125C">
        <w:rPr>
          <w:rFonts w:ascii="Arial" w:eastAsia="Calibri" w:hAnsi="Arial" w:cs="Arial"/>
          <w:sz w:val="20"/>
          <w:szCs w:val="20"/>
        </w:rPr>
        <w:t>Ducamp-Collin</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Guisse</w:t>
      </w:r>
      <w:proofErr w:type="spellEnd"/>
      <w:r w:rsidRPr="0088125C">
        <w:rPr>
          <w:rFonts w:ascii="Arial" w:eastAsia="Calibri" w:hAnsi="Arial" w:cs="Arial"/>
          <w:sz w:val="20"/>
          <w:szCs w:val="20"/>
        </w:rPr>
        <w:t xml:space="preserve"> A., (2014). </w:t>
      </w:r>
      <w:r w:rsidRPr="0088125C">
        <w:rPr>
          <w:rFonts w:ascii="Arial" w:eastAsia="Calibri" w:hAnsi="Arial" w:cs="Arial"/>
          <w:sz w:val="20"/>
          <w:szCs w:val="20"/>
          <w:lang w:val="en-US"/>
        </w:rPr>
        <w:t>Microbiological quality of mango (Mangifera indica L.) slices sold in Dakar (Senegal). International Journal of Biological and Chemical Sciences 8(4): 1611-1619.</w:t>
      </w:r>
    </w:p>
    <w:p w14:paraId="65EF4EB5"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Wognin</w:t>
      </w:r>
      <w:proofErr w:type="spellEnd"/>
      <w:r w:rsidRPr="0088125C">
        <w:rPr>
          <w:rFonts w:ascii="Arial" w:eastAsia="Calibri" w:hAnsi="Arial" w:cs="Arial"/>
          <w:sz w:val="20"/>
          <w:szCs w:val="20"/>
          <w:lang w:val="en-US"/>
        </w:rPr>
        <w:t xml:space="preserve"> AS, </w:t>
      </w:r>
      <w:proofErr w:type="spellStart"/>
      <w:r w:rsidRPr="0088125C">
        <w:rPr>
          <w:rFonts w:ascii="Arial" w:eastAsia="Calibri" w:hAnsi="Arial" w:cs="Arial"/>
          <w:sz w:val="20"/>
          <w:szCs w:val="20"/>
          <w:lang w:val="en-US"/>
        </w:rPr>
        <w:t>Ouattara</w:t>
      </w:r>
      <w:proofErr w:type="spellEnd"/>
      <w:r w:rsidRPr="0088125C">
        <w:rPr>
          <w:rFonts w:ascii="Arial" w:eastAsia="Calibri" w:hAnsi="Arial" w:cs="Arial"/>
          <w:sz w:val="20"/>
          <w:szCs w:val="20"/>
          <w:lang w:val="en-US"/>
        </w:rPr>
        <w:t xml:space="preserve"> MB, </w:t>
      </w:r>
      <w:proofErr w:type="spellStart"/>
      <w:r w:rsidRPr="0088125C">
        <w:rPr>
          <w:rFonts w:ascii="Arial" w:eastAsia="Calibri" w:hAnsi="Arial" w:cs="Arial"/>
          <w:sz w:val="20"/>
          <w:szCs w:val="20"/>
          <w:lang w:val="en-US"/>
        </w:rPr>
        <w:t>Assi</w:t>
      </w:r>
      <w:proofErr w:type="spellEnd"/>
      <w:r w:rsidRPr="0088125C">
        <w:rPr>
          <w:rFonts w:ascii="Arial" w:eastAsia="Calibri" w:hAnsi="Arial" w:cs="Arial"/>
          <w:sz w:val="20"/>
          <w:szCs w:val="20"/>
          <w:lang w:val="en-US"/>
        </w:rPr>
        <w:t xml:space="preserve">-Clair BJ, </w:t>
      </w: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(2022). Evaluation of the levels of bacteriological contamination of lettuce according to the production and sales sites in the market </w:t>
      </w:r>
      <w:r w:rsidRPr="0088125C">
        <w:rPr>
          <w:rFonts w:ascii="Arial" w:eastAsia="Calibri" w:hAnsi="Arial" w:cs="Arial"/>
          <w:sz w:val="20"/>
          <w:szCs w:val="20"/>
          <w:lang w:val="en-US"/>
        </w:rPr>
        <w:lastRenderedPageBreak/>
        <w:t xml:space="preserve">gardening sites of Abidjan and peri-urban area.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16(4): 1580-1592.</w:t>
      </w:r>
    </w:p>
    <w:p w14:paraId="28AB626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Mamadou L., Sabo SH., and Sadou H. (2024). </w:t>
      </w:r>
      <w:r w:rsidRPr="0088125C">
        <w:rPr>
          <w:rFonts w:ascii="Arial" w:eastAsia="Calibri" w:hAnsi="Arial" w:cs="Arial"/>
          <w:sz w:val="20"/>
          <w:szCs w:val="20"/>
          <w:lang w:val="en-US"/>
        </w:rPr>
        <w:t>Bacteriological Analysis of Contamination Level of Selected Vegetables Sold in Some Markets in Niamey, Niger. European Journal of Nutrition and Food Safety 16(4):70 - 84.</w:t>
      </w:r>
    </w:p>
    <w:p w14:paraId="51EACB6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Mahamane IIA., Mamadou L., Sabo SH., and Sadou H. (2024). </w:t>
      </w:r>
      <w:r w:rsidRPr="0088125C">
        <w:rPr>
          <w:rFonts w:ascii="Arial" w:eastAsia="Calibri" w:hAnsi="Arial" w:cs="Arial"/>
          <w:sz w:val="20"/>
          <w:szCs w:val="20"/>
          <w:lang w:val="en-US"/>
        </w:rPr>
        <w:t>Impact of Irrigation Water on the Bacteriological Quality of Lettuce (Lactuca sativa) in the Market Garden Zone of Niamey, Identification of Enterobacteria. Asian Journal of Biology 20(5) :46-59.</w:t>
      </w:r>
    </w:p>
    <w:p w14:paraId="378B15C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Wognin AS., Coulibaly N. (2011). Potential Enterobacteria risk factors associated with contamination of lettuce (Lactuca sativa) grown in the peri-urban area of Abidjan (Côte d'Ivoire).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5(1): 279-290.</w:t>
      </w:r>
    </w:p>
    <w:p w14:paraId="6DCF2C7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Maiwore</w:t>
      </w:r>
      <w:proofErr w:type="spellEnd"/>
      <w:r w:rsidRPr="0088125C">
        <w:rPr>
          <w:rFonts w:ascii="Arial" w:eastAsia="Calibri" w:hAnsi="Arial" w:cs="Arial"/>
          <w:sz w:val="20"/>
          <w:szCs w:val="20"/>
        </w:rPr>
        <w:t xml:space="preserve"> J., Adamou M., </w:t>
      </w:r>
      <w:proofErr w:type="spellStart"/>
      <w:r w:rsidRPr="0088125C">
        <w:rPr>
          <w:rFonts w:ascii="Arial" w:eastAsia="Calibri" w:hAnsi="Arial" w:cs="Arial"/>
          <w:sz w:val="20"/>
          <w:szCs w:val="20"/>
        </w:rPr>
        <w:t>Djaouda</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Baane</w:t>
      </w:r>
      <w:proofErr w:type="spellEnd"/>
      <w:r w:rsidRPr="0088125C">
        <w:rPr>
          <w:rFonts w:ascii="Arial" w:eastAsia="Calibri" w:hAnsi="Arial" w:cs="Arial"/>
          <w:sz w:val="20"/>
          <w:szCs w:val="20"/>
        </w:rPr>
        <w:t xml:space="preserve"> MP., </w:t>
      </w:r>
      <w:proofErr w:type="spellStart"/>
      <w:r w:rsidRPr="0088125C">
        <w:rPr>
          <w:rFonts w:ascii="Arial" w:eastAsia="Calibri" w:hAnsi="Arial" w:cs="Arial"/>
          <w:sz w:val="20"/>
          <w:szCs w:val="20"/>
        </w:rPr>
        <w:t>Amale</w:t>
      </w:r>
      <w:proofErr w:type="spellEnd"/>
      <w:r w:rsidRPr="0088125C">
        <w:rPr>
          <w:rFonts w:ascii="Arial" w:eastAsia="Calibri" w:hAnsi="Arial" w:cs="Arial"/>
          <w:sz w:val="20"/>
          <w:szCs w:val="20"/>
        </w:rPr>
        <w:t xml:space="preserve"> Y., Youssouf D., </w:t>
      </w:r>
      <w:proofErr w:type="spellStart"/>
      <w:r w:rsidRPr="0088125C">
        <w:rPr>
          <w:rFonts w:ascii="Arial" w:eastAsia="Calibri" w:hAnsi="Arial" w:cs="Arial"/>
          <w:sz w:val="20"/>
          <w:szCs w:val="20"/>
        </w:rPr>
        <w:t>Ngoune</w:t>
      </w:r>
      <w:proofErr w:type="spellEnd"/>
      <w:r w:rsidRPr="0088125C">
        <w:rPr>
          <w:rFonts w:ascii="Arial" w:eastAsia="Calibri" w:hAnsi="Arial" w:cs="Arial"/>
          <w:sz w:val="20"/>
          <w:szCs w:val="20"/>
        </w:rPr>
        <w:t xml:space="preserve"> LT. </w:t>
      </w:r>
      <w:r w:rsidRPr="0088125C">
        <w:rPr>
          <w:rFonts w:ascii="Arial" w:eastAsia="Calibri" w:hAnsi="Arial" w:cs="Arial"/>
          <w:sz w:val="20"/>
          <w:szCs w:val="20"/>
          <w:lang w:val="en-US"/>
        </w:rPr>
        <w:t xml:space="preserve">(2020). Influence of some bacteriological sources of contamination on the quality of lettuce consumed in Maroua (Cameroon), identification of enterobacteria. </w:t>
      </w:r>
      <w:r w:rsidRPr="0088125C">
        <w:rPr>
          <w:rFonts w:ascii="Arial" w:eastAsia="Calibri" w:hAnsi="Arial" w:cs="Arial"/>
          <w:iCs/>
          <w:sz w:val="20"/>
          <w:szCs w:val="20"/>
          <w:lang w:val="en-US"/>
        </w:rPr>
        <w:t>Journal of Applied Biosciences</w:t>
      </w:r>
      <w:r w:rsidRPr="0088125C">
        <w:rPr>
          <w:rFonts w:ascii="Arial" w:eastAsia="Calibri" w:hAnsi="Arial" w:cs="Arial"/>
          <w:sz w:val="20"/>
          <w:szCs w:val="20"/>
          <w:lang w:val="en-US"/>
        </w:rPr>
        <w:t>, 154: 15926-15939.</w:t>
      </w:r>
    </w:p>
    <w:p w14:paraId="3FE99B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Martínez-Vaz BM., Fink RC., Diez-Gonzalez F., Sadowsky MJ. (2014). Enteric Pathogen-Plan</w:t>
      </w:r>
      <w:r w:rsidR="002B0200"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Interactions: Molecular Connections Leading to Colonization and Growth and Implications for Food Safety. </w:t>
      </w:r>
      <w:r w:rsidRPr="0088125C">
        <w:rPr>
          <w:rFonts w:ascii="Arial" w:eastAsia="Calibri" w:hAnsi="Arial" w:cs="Arial"/>
          <w:iCs/>
          <w:sz w:val="20"/>
          <w:szCs w:val="20"/>
          <w:lang w:val="en-US"/>
        </w:rPr>
        <w:t xml:space="preserve">Microbes and Environments </w:t>
      </w:r>
      <w:r w:rsidRPr="0088125C">
        <w:rPr>
          <w:rFonts w:ascii="Arial" w:eastAsia="Calibri" w:hAnsi="Arial" w:cs="Arial"/>
          <w:sz w:val="20"/>
          <w:szCs w:val="20"/>
          <w:lang w:val="en-US"/>
        </w:rPr>
        <w:t>29(2): 123-135.</w:t>
      </w:r>
    </w:p>
    <w:p w14:paraId="7FFBDE63"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Jang H., Matthews KR. (2018). Survival and interaction of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O104:H4 on Arabidopsis thaliana and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xml:space="preserve">) in comparison to </w:t>
      </w:r>
      <w:r w:rsidRPr="0088125C">
        <w:rPr>
          <w:rFonts w:ascii="Arial" w:eastAsia="Calibri" w:hAnsi="Arial" w:cs="Arial"/>
          <w:i/>
          <w:sz w:val="20"/>
          <w:szCs w:val="20"/>
          <w:lang w:val="en-US"/>
        </w:rPr>
        <w:t xml:space="preserve">E. coli </w:t>
      </w:r>
      <w:r w:rsidRPr="0088125C">
        <w:rPr>
          <w:rFonts w:ascii="Arial" w:eastAsia="Calibri" w:hAnsi="Arial" w:cs="Arial"/>
          <w:sz w:val="20"/>
          <w:szCs w:val="20"/>
          <w:lang w:val="en-US"/>
        </w:rPr>
        <w:t xml:space="preserve">O157:H7: Influence of plant defense response and bacterial capsular polysaccharide. </w:t>
      </w:r>
      <w:r w:rsidRPr="0088125C">
        <w:rPr>
          <w:rFonts w:ascii="Arial" w:eastAsia="Calibri" w:hAnsi="Arial" w:cs="Arial"/>
          <w:iCs/>
          <w:sz w:val="20"/>
          <w:szCs w:val="20"/>
          <w:lang w:val="en-US"/>
        </w:rPr>
        <w:t xml:space="preserve">Food Research International </w:t>
      </w:r>
      <w:r w:rsidRPr="0088125C">
        <w:rPr>
          <w:rFonts w:ascii="Arial" w:eastAsia="Calibri" w:hAnsi="Arial" w:cs="Arial"/>
          <w:sz w:val="20"/>
          <w:szCs w:val="20"/>
          <w:lang w:val="en-US"/>
        </w:rPr>
        <w:t>108: 35-41.</w:t>
      </w:r>
    </w:p>
    <w:p w14:paraId="7C8F749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Sackou</w:t>
      </w:r>
      <w:proofErr w:type="spellEnd"/>
      <w:r w:rsidRPr="0088125C">
        <w:rPr>
          <w:rFonts w:ascii="Arial" w:eastAsia="Calibri" w:hAnsi="Arial" w:cs="Arial"/>
          <w:sz w:val="20"/>
          <w:szCs w:val="20"/>
          <w:lang w:val="en-US"/>
        </w:rPr>
        <w:t xml:space="preserve"> KJ., </w:t>
      </w:r>
      <w:proofErr w:type="spellStart"/>
      <w:r w:rsidRPr="0088125C">
        <w:rPr>
          <w:rFonts w:ascii="Arial" w:eastAsia="Calibri" w:hAnsi="Arial" w:cs="Arial"/>
          <w:sz w:val="20"/>
          <w:szCs w:val="20"/>
          <w:lang w:val="en-US"/>
        </w:rPr>
        <w:t>Claon</w:t>
      </w:r>
      <w:proofErr w:type="spellEnd"/>
      <w:r w:rsidRPr="0088125C">
        <w:rPr>
          <w:rFonts w:ascii="Arial" w:eastAsia="Calibri" w:hAnsi="Arial" w:cs="Arial"/>
          <w:sz w:val="20"/>
          <w:szCs w:val="20"/>
          <w:lang w:val="en-US"/>
        </w:rPr>
        <w:t xml:space="preserve"> JS., Oga AS., </w:t>
      </w:r>
      <w:proofErr w:type="spellStart"/>
      <w:r w:rsidRPr="0088125C">
        <w:rPr>
          <w:rFonts w:ascii="Arial" w:eastAsia="Calibri" w:hAnsi="Arial" w:cs="Arial"/>
          <w:sz w:val="20"/>
          <w:szCs w:val="20"/>
          <w:lang w:val="en-US"/>
        </w:rPr>
        <w:t>Aguessi</w:t>
      </w:r>
      <w:proofErr w:type="spellEnd"/>
      <w:r w:rsidRPr="0088125C">
        <w:rPr>
          <w:rFonts w:ascii="Arial" w:eastAsia="Calibri" w:hAnsi="Arial" w:cs="Arial"/>
          <w:sz w:val="20"/>
          <w:szCs w:val="20"/>
          <w:lang w:val="en-US"/>
        </w:rPr>
        <w:t xml:space="preserve"> KT., Lorougnon D., Diby Y., Kouadio K. (2006). Health quality of lettuce grown in Abidjan. </w:t>
      </w:r>
      <w:r w:rsidRPr="0088125C">
        <w:rPr>
          <w:rFonts w:ascii="Arial" w:eastAsia="Calibri" w:hAnsi="Arial" w:cs="Arial"/>
          <w:iCs/>
          <w:sz w:val="20"/>
          <w:szCs w:val="20"/>
          <w:lang w:val="en-US"/>
        </w:rPr>
        <w:t xml:space="preserve">Microbiology hygiene Power supply </w:t>
      </w:r>
      <w:r w:rsidRPr="0088125C">
        <w:rPr>
          <w:rFonts w:ascii="Arial" w:eastAsia="Calibri" w:hAnsi="Arial" w:cs="Arial"/>
          <w:sz w:val="20"/>
          <w:szCs w:val="20"/>
          <w:lang w:val="en-US"/>
        </w:rPr>
        <w:t>18(52): 48-50.</w:t>
      </w:r>
    </w:p>
    <w:p w14:paraId="2678FC82"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Almou</w:t>
      </w:r>
      <w:proofErr w:type="spellEnd"/>
      <w:r w:rsidRPr="0088125C">
        <w:rPr>
          <w:rFonts w:ascii="Arial" w:eastAsia="Calibri" w:hAnsi="Arial" w:cs="Arial"/>
          <w:sz w:val="20"/>
          <w:szCs w:val="20"/>
          <w:lang w:val="en-US"/>
        </w:rPr>
        <w:t xml:space="preserve"> AA., Alio Sanda A., Yaou C., </w:t>
      </w:r>
      <w:proofErr w:type="spellStart"/>
      <w:r w:rsidRPr="0088125C">
        <w:rPr>
          <w:rFonts w:ascii="Arial" w:eastAsia="Calibri" w:hAnsi="Arial" w:cs="Arial"/>
          <w:sz w:val="20"/>
          <w:szCs w:val="20"/>
          <w:lang w:val="en-US"/>
        </w:rPr>
        <w:t>Rabiou</w:t>
      </w:r>
      <w:proofErr w:type="spellEnd"/>
      <w:r w:rsidRPr="0088125C">
        <w:rPr>
          <w:rFonts w:ascii="Arial" w:eastAsia="Calibri" w:hAnsi="Arial" w:cs="Arial"/>
          <w:sz w:val="20"/>
          <w:szCs w:val="20"/>
          <w:lang w:val="en-US"/>
        </w:rPr>
        <w:t xml:space="preserve"> MM., </w:t>
      </w:r>
      <w:proofErr w:type="spellStart"/>
      <w:r w:rsidRPr="0088125C">
        <w:rPr>
          <w:rFonts w:ascii="Arial" w:eastAsia="Calibri" w:hAnsi="Arial" w:cs="Arial"/>
          <w:sz w:val="20"/>
          <w:szCs w:val="20"/>
          <w:lang w:val="en-US"/>
        </w:rPr>
        <w:t>Mahamane</w:t>
      </w:r>
      <w:proofErr w:type="spellEnd"/>
      <w:r w:rsidRPr="0088125C">
        <w:rPr>
          <w:rFonts w:ascii="Arial" w:eastAsia="Calibri" w:hAnsi="Arial" w:cs="Arial"/>
          <w:sz w:val="20"/>
          <w:szCs w:val="20"/>
          <w:lang w:val="en-US"/>
        </w:rPr>
        <w:t xml:space="preserve"> IIA., Sabo HS., Sadou H. (2023). Assessment of Risk Factors of Bacteriological Contamination of Vegetables Sold on the Markets of Niamey, Niger. </w:t>
      </w:r>
      <w:r w:rsidRPr="0088125C">
        <w:rPr>
          <w:rFonts w:ascii="Arial" w:eastAsia="Calibri" w:hAnsi="Arial" w:cs="Arial"/>
          <w:iCs/>
          <w:sz w:val="20"/>
          <w:szCs w:val="20"/>
          <w:lang w:val="en-US"/>
        </w:rPr>
        <w:t xml:space="preserve">South Asian Journal of Research in Microbiology </w:t>
      </w:r>
      <w:r w:rsidRPr="0088125C">
        <w:rPr>
          <w:rFonts w:ascii="Arial" w:eastAsia="Calibri" w:hAnsi="Arial" w:cs="Arial"/>
          <w:sz w:val="20"/>
          <w:szCs w:val="20"/>
          <w:lang w:val="en-US"/>
        </w:rPr>
        <w:t>17(2): 38-49.</w:t>
      </w:r>
    </w:p>
    <w:p w14:paraId="0A7BC28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Yaou</w:t>
      </w:r>
      <w:proofErr w:type="spellEnd"/>
      <w:r w:rsidRPr="0088125C">
        <w:rPr>
          <w:rFonts w:ascii="Arial" w:eastAsia="Calibri" w:hAnsi="Arial" w:cs="Arial"/>
          <w:sz w:val="20"/>
          <w:szCs w:val="20"/>
        </w:rPr>
        <w:t xml:space="preserve"> C.,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SA., Sabo HS., Sadou H. (2024). </w:t>
      </w:r>
      <w:r w:rsidRPr="0088125C">
        <w:rPr>
          <w:rFonts w:ascii="Arial" w:eastAsia="Calibri" w:hAnsi="Arial" w:cs="Arial"/>
          <w:sz w:val="20"/>
          <w:szCs w:val="20"/>
          <w:lang w:val="en-US"/>
        </w:rPr>
        <w:t xml:space="preserve">Analysis of Risk Factors for Microbial Contamination of Vegetables in Market Gardening Environments in Niamey, Niger. </w:t>
      </w:r>
      <w:r w:rsidRPr="0088125C">
        <w:rPr>
          <w:rFonts w:ascii="Arial" w:eastAsia="Calibri" w:hAnsi="Arial" w:cs="Arial"/>
          <w:iCs/>
          <w:sz w:val="20"/>
          <w:szCs w:val="20"/>
          <w:lang w:val="en-US"/>
        </w:rPr>
        <w:t xml:space="preserve">Journal of Advances in Microbiology </w:t>
      </w:r>
      <w:r w:rsidRPr="0088125C">
        <w:rPr>
          <w:rFonts w:ascii="Arial" w:eastAsia="Calibri" w:hAnsi="Arial" w:cs="Arial"/>
          <w:sz w:val="20"/>
          <w:szCs w:val="20"/>
          <w:lang w:val="en-US"/>
        </w:rPr>
        <w:t>24(1): 39-51.</w:t>
      </w:r>
    </w:p>
    <w:p w14:paraId="48E14F9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Toe</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Dadié</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Dako</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Loukou</w:t>
      </w:r>
      <w:proofErr w:type="spellEnd"/>
      <w:r w:rsidRPr="0088125C">
        <w:rPr>
          <w:rFonts w:ascii="Arial" w:eastAsia="Calibri" w:hAnsi="Arial" w:cs="Arial"/>
          <w:sz w:val="20"/>
          <w:szCs w:val="20"/>
        </w:rPr>
        <w:t xml:space="preserve"> G. </w:t>
      </w:r>
      <w:proofErr w:type="spellStart"/>
      <w:r w:rsidRPr="0088125C">
        <w:rPr>
          <w:rFonts w:ascii="Arial" w:eastAsia="Calibri" w:hAnsi="Arial" w:cs="Arial"/>
          <w:sz w:val="20"/>
          <w:szCs w:val="20"/>
        </w:rPr>
        <w:t>Djé</w:t>
      </w:r>
      <w:proofErr w:type="spellEnd"/>
      <w:r w:rsidRPr="0088125C">
        <w:rPr>
          <w:rFonts w:ascii="Arial" w:eastAsia="Calibri" w:hAnsi="Arial" w:cs="Arial"/>
          <w:sz w:val="20"/>
          <w:szCs w:val="20"/>
        </w:rPr>
        <w:t xml:space="preserve">, K., (2017). </w:t>
      </w:r>
      <w:r w:rsidRPr="0088125C">
        <w:rPr>
          <w:rFonts w:ascii="Arial" w:eastAsia="Calibri" w:hAnsi="Arial" w:cs="Arial"/>
          <w:sz w:val="20"/>
          <w:szCs w:val="20"/>
          <w:lang w:val="en-US"/>
        </w:rPr>
        <w:t xml:space="preserve">Bacteriological quality and risk factors for contamination of raw mixed vegetables salads served in collective catering in Abidjan (Ivory Coast). </w:t>
      </w:r>
      <w:proofErr w:type="spellStart"/>
      <w:r w:rsidRPr="0088125C">
        <w:rPr>
          <w:rFonts w:ascii="Arial" w:eastAsia="Calibri" w:hAnsi="Arial" w:cs="Arial"/>
          <w:iCs/>
          <w:sz w:val="20"/>
          <w:szCs w:val="20"/>
        </w:rPr>
        <w:t>Advances</w:t>
      </w:r>
      <w:proofErr w:type="spellEnd"/>
      <w:r w:rsidRPr="0088125C">
        <w:rPr>
          <w:rFonts w:ascii="Arial" w:eastAsia="Calibri" w:hAnsi="Arial" w:cs="Arial"/>
          <w:iCs/>
          <w:sz w:val="20"/>
          <w:szCs w:val="20"/>
        </w:rPr>
        <w:t xml:space="preserve"> in </w:t>
      </w:r>
      <w:proofErr w:type="spellStart"/>
      <w:r w:rsidRPr="0088125C">
        <w:rPr>
          <w:rFonts w:ascii="Arial" w:eastAsia="Calibri" w:hAnsi="Arial" w:cs="Arial"/>
          <w:iCs/>
          <w:sz w:val="20"/>
          <w:szCs w:val="20"/>
        </w:rPr>
        <w:t>Microbiology</w:t>
      </w:r>
      <w:proofErr w:type="spellEnd"/>
      <w:r w:rsidRPr="0088125C">
        <w:rPr>
          <w:rFonts w:ascii="Arial" w:eastAsia="Calibri" w:hAnsi="Arial" w:cs="Arial"/>
          <w:iCs/>
          <w:sz w:val="20"/>
          <w:szCs w:val="20"/>
        </w:rPr>
        <w:t xml:space="preserve"> </w:t>
      </w:r>
      <w:r w:rsidRPr="0088125C">
        <w:rPr>
          <w:rFonts w:ascii="Arial" w:eastAsia="Calibri" w:hAnsi="Arial" w:cs="Arial"/>
          <w:sz w:val="20"/>
          <w:szCs w:val="20"/>
        </w:rPr>
        <w:t>7: 405-419.</w:t>
      </w:r>
    </w:p>
    <w:p w14:paraId="06B80CD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Assemand</w:t>
      </w:r>
      <w:proofErr w:type="spellEnd"/>
      <w:r w:rsidRPr="0088125C">
        <w:rPr>
          <w:rFonts w:ascii="Arial" w:eastAsia="Calibri" w:hAnsi="Arial" w:cs="Arial"/>
          <w:sz w:val="20"/>
          <w:szCs w:val="20"/>
          <w:lang w:val="en-US"/>
        </w:rPr>
        <w:t xml:space="preserve"> EF., Wognin AS.,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(2012). Origin of witnesses of fecal contamination of water used for watering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grown in the peri-urban area of Abidjan. Journal of Applied Biosciences 52 :3669-3675.</w:t>
      </w:r>
    </w:p>
    <w:p w14:paraId="5DD1163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Arnponsah-Doku</w:t>
      </w:r>
      <w:proofErr w:type="spellEnd"/>
      <w:r w:rsidRPr="0088125C">
        <w:rPr>
          <w:rFonts w:ascii="Arial" w:eastAsia="Calibri" w:hAnsi="Arial" w:cs="Arial"/>
          <w:sz w:val="20"/>
          <w:szCs w:val="20"/>
          <w:lang w:val="en-US"/>
        </w:rPr>
        <w:t xml:space="preserve"> F., Obiri-Danso K.,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Andoh LA., Drechsel P., </w:t>
      </w:r>
      <w:proofErr w:type="spellStart"/>
      <w:r w:rsidRPr="0088125C">
        <w:rPr>
          <w:rFonts w:ascii="Arial" w:eastAsia="Calibri" w:hAnsi="Arial" w:cs="Arial"/>
          <w:sz w:val="20"/>
          <w:szCs w:val="20"/>
          <w:lang w:val="en-US"/>
        </w:rPr>
        <w:t>Kondrasen</w:t>
      </w:r>
      <w:proofErr w:type="spellEnd"/>
      <w:r w:rsidRPr="0088125C">
        <w:rPr>
          <w:rFonts w:ascii="Arial" w:eastAsia="Calibri" w:hAnsi="Arial" w:cs="Arial"/>
          <w:sz w:val="20"/>
          <w:szCs w:val="20"/>
          <w:lang w:val="en-US"/>
        </w:rPr>
        <w:t xml:space="preserve"> F. (2010). Bacterial contamination of lettuce and associated risk factors at production sites, markets and street </w:t>
      </w:r>
      <w:r w:rsidRPr="0088125C">
        <w:rPr>
          <w:rFonts w:ascii="Arial" w:eastAsia="Calibri" w:hAnsi="Arial" w:cs="Arial"/>
          <w:sz w:val="20"/>
          <w:szCs w:val="20"/>
          <w:lang w:val="en-US"/>
        </w:rPr>
        <w:lastRenderedPageBreak/>
        <w:t xml:space="preserve">food restaurants in urban and peri-urban Kumasi, Ghana. </w:t>
      </w:r>
      <w:r w:rsidRPr="0088125C">
        <w:rPr>
          <w:rFonts w:ascii="Arial" w:eastAsia="Calibri" w:hAnsi="Arial" w:cs="Arial"/>
          <w:iCs/>
          <w:sz w:val="20"/>
          <w:szCs w:val="20"/>
          <w:lang w:val="en-US"/>
        </w:rPr>
        <w:t xml:space="preserve">Sciences Research and Essay </w:t>
      </w:r>
      <w:r w:rsidRPr="0088125C">
        <w:rPr>
          <w:rFonts w:ascii="Arial" w:eastAsia="Calibri" w:hAnsi="Arial" w:cs="Arial"/>
          <w:sz w:val="20"/>
          <w:szCs w:val="20"/>
          <w:lang w:val="en-US"/>
        </w:rPr>
        <w:t>5 (2): 217-223.</w:t>
      </w:r>
    </w:p>
    <w:p w14:paraId="394DA60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Amoah P., Drechsel P., Henseler M.,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(2007). Irrigated urban vegetable production in Ghana: microbiological contamination in farms and markets and associated consumer risk groups. </w:t>
      </w:r>
      <w:r w:rsidRPr="0088125C">
        <w:rPr>
          <w:rFonts w:ascii="Arial" w:eastAsia="Calibri" w:hAnsi="Arial" w:cs="Arial"/>
          <w:iCs/>
          <w:sz w:val="20"/>
          <w:szCs w:val="20"/>
          <w:lang w:val="en-US"/>
        </w:rPr>
        <w:t xml:space="preserve">Journal of Water Health </w:t>
      </w:r>
      <w:r w:rsidRPr="0088125C">
        <w:rPr>
          <w:rFonts w:ascii="Arial" w:eastAsia="Calibri" w:hAnsi="Arial" w:cs="Arial"/>
          <w:sz w:val="20"/>
          <w:szCs w:val="20"/>
          <w:lang w:val="en-US"/>
        </w:rPr>
        <w:t>5(3): 455-466.</w:t>
      </w:r>
    </w:p>
    <w:p w14:paraId="72E72BE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Woldetsadik D., </w:t>
      </w:r>
      <w:proofErr w:type="spellStart"/>
      <w:r w:rsidRPr="0088125C">
        <w:rPr>
          <w:rFonts w:ascii="Arial" w:eastAsia="Calibri" w:hAnsi="Arial" w:cs="Arial"/>
          <w:sz w:val="20"/>
          <w:szCs w:val="20"/>
          <w:lang w:val="en-US"/>
        </w:rPr>
        <w:t>Dreschsel</w:t>
      </w:r>
      <w:proofErr w:type="spellEnd"/>
      <w:r w:rsidRPr="0088125C">
        <w:rPr>
          <w:rFonts w:ascii="Arial" w:eastAsia="Calibri" w:hAnsi="Arial" w:cs="Arial"/>
          <w:sz w:val="20"/>
          <w:szCs w:val="20"/>
          <w:lang w:val="en-US"/>
        </w:rPr>
        <w:t xml:space="preserve"> P., </w:t>
      </w:r>
      <w:proofErr w:type="spellStart"/>
      <w:r w:rsidRPr="0088125C">
        <w:rPr>
          <w:rFonts w:ascii="Arial" w:eastAsia="Calibri" w:hAnsi="Arial" w:cs="Arial"/>
          <w:sz w:val="20"/>
          <w:szCs w:val="20"/>
          <w:lang w:val="en-US"/>
        </w:rPr>
        <w:t>Keraita</w:t>
      </w:r>
      <w:proofErr w:type="spellEnd"/>
      <w:r w:rsidRPr="0088125C">
        <w:rPr>
          <w:rFonts w:ascii="Arial" w:eastAsia="Calibri" w:hAnsi="Arial" w:cs="Arial"/>
          <w:sz w:val="20"/>
          <w:szCs w:val="20"/>
          <w:lang w:val="en-US"/>
        </w:rPr>
        <w:t xml:space="preserve"> B., </w:t>
      </w:r>
      <w:proofErr w:type="spellStart"/>
      <w:r w:rsidRPr="0088125C">
        <w:rPr>
          <w:rFonts w:ascii="Arial" w:eastAsia="Calibri" w:hAnsi="Arial" w:cs="Arial"/>
          <w:sz w:val="20"/>
          <w:szCs w:val="20"/>
          <w:lang w:val="en-US"/>
        </w:rPr>
        <w:t>Itanna</w:t>
      </w:r>
      <w:proofErr w:type="spellEnd"/>
      <w:r w:rsidRPr="0088125C">
        <w:rPr>
          <w:rFonts w:ascii="Arial" w:eastAsia="Calibri" w:hAnsi="Arial" w:cs="Arial"/>
          <w:sz w:val="20"/>
          <w:szCs w:val="20"/>
          <w:lang w:val="en-US"/>
        </w:rPr>
        <w:t xml:space="preserve"> F., Gebrekidan H. (2018). Heavy metal </w:t>
      </w:r>
      <w:proofErr w:type="spellStart"/>
      <w:r w:rsidRPr="0088125C">
        <w:rPr>
          <w:rFonts w:ascii="Arial" w:eastAsia="Calibri" w:hAnsi="Arial" w:cs="Arial"/>
          <w:sz w:val="20"/>
          <w:szCs w:val="20"/>
          <w:lang w:val="en-US"/>
        </w:rPr>
        <w:t>accuùulation</w:t>
      </w:r>
      <w:proofErr w:type="spellEnd"/>
      <w:r w:rsidRPr="0088125C">
        <w:rPr>
          <w:rFonts w:ascii="Arial" w:eastAsia="Calibri" w:hAnsi="Arial" w:cs="Arial"/>
          <w:sz w:val="20"/>
          <w:szCs w:val="20"/>
          <w:lang w:val="en-US"/>
        </w:rPr>
        <w:t xml:space="preserve"> and health risk assessment in </w:t>
      </w:r>
      <w:proofErr w:type="spellStart"/>
      <w:r w:rsidRPr="0088125C">
        <w:rPr>
          <w:rFonts w:ascii="Arial" w:eastAsia="Calibri" w:hAnsi="Arial" w:cs="Arial"/>
          <w:sz w:val="20"/>
          <w:szCs w:val="20"/>
          <w:lang w:val="en-US"/>
        </w:rPr>
        <w:t>wastexater-irrigte</w:t>
      </w:r>
      <w:proofErr w:type="spellEnd"/>
      <w:r w:rsidRPr="0088125C">
        <w:rPr>
          <w:rFonts w:ascii="Arial" w:eastAsia="Calibri" w:hAnsi="Arial" w:cs="Arial"/>
          <w:sz w:val="20"/>
          <w:szCs w:val="20"/>
          <w:lang w:val="en-US"/>
        </w:rPr>
        <w:t xml:space="preserve"> urban vegetable farming sites of </w:t>
      </w:r>
      <w:proofErr w:type="spellStart"/>
      <w:r w:rsidRPr="0088125C">
        <w:rPr>
          <w:rFonts w:ascii="Arial" w:eastAsia="Calibri" w:hAnsi="Arial" w:cs="Arial"/>
          <w:sz w:val="20"/>
          <w:szCs w:val="20"/>
          <w:lang w:val="en-US"/>
        </w:rPr>
        <w:t>addis</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ababa</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Athiopia</w:t>
      </w:r>
      <w:proofErr w:type="spellEnd"/>
      <w:r w:rsidRPr="0088125C">
        <w:rPr>
          <w:rFonts w:ascii="Arial" w:eastAsia="Calibri" w:hAnsi="Arial" w:cs="Arial"/>
          <w:sz w:val="20"/>
          <w:szCs w:val="20"/>
          <w:lang w:val="en-US"/>
        </w:rPr>
        <w:t>. International journal of food contamination 4(9): 1-13.</w:t>
      </w:r>
    </w:p>
    <w:p w14:paraId="298C93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Inoussa</w:t>
      </w:r>
      <w:proofErr w:type="spellEnd"/>
      <w:r w:rsidRPr="0088125C">
        <w:rPr>
          <w:rFonts w:ascii="Arial" w:eastAsia="Calibri" w:hAnsi="Arial" w:cs="Arial"/>
          <w:sz w:val="20"/>
          <w:szCs w:val="20"/>
        </w:rPr>
        <w:t xml:space="preserve"> MM., </w:t>
      </w:r>
      <w:proofErr w:type="spellStart"/>
      <w:r w:rsidRPr="0088125C">
        <w:rPr>
          <w:rFonts w:ascii="Arial" w:eastAsia="Calibri" w:hAnsi="Arial" w:cs="Arial"/>
          <w:sz w:val="20"/>
          <w:szCs w:val="20"/>
        </w:rPr>
        <w:t>Samna</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O., </w:t>
      </w:r>
      <w:proofErr w:type="spellStart"/>
      <w:r w:rsidRPr="0088125C">
        <w:rPr>
          <w:rFonts w:ascii="Arial" w:eastAsia="Calibri" w:hAnsi="Arial" w:cs="Arial"/>
          <w:sz w:val="20"/>
          <w:szCs w:val="20"/>
        </w:rPr>
        <w:t>Bakasso</w:t>
      </w:r>
      <w:proofErr w:type="spellEnd"/>
      <w:r w:rsidRPr="0088125C">
        <w:rPr>
          <w:rFonts w:ascii="Arial" w:eastAsia="Calibri" w:hAnsi="Arial" w:cs="Arial"/>
          <w:sz w:val="20"/>
          <w:szCs w:val="20"/>
        </w:rPr>
        <w:t xml:space="preserve"> Y. (2017).  </w:t>
      </w:r>
      <w:r w:rsidRPr="0088125C">
        <w:rPr>
          <w:rFonts w:ascii="Arial" w:eastAsia="Calibri" w:hAnsi="Arial" w:cs="Arial"/>
          <w:sz w:val="20"/>
          <w:szCs w:val="20"/>
          <w:lang w:val="en-US"/>
        </w:rPr>
        <w:t xml:space="preserve">Diversity and dynamics of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isolated from lettuce (</w:t>
      </w:r>
      <w:r w:rsidRPr="0088125C">
        <w:rPr>
          <w:rFonts w:ascii="Arial" w:eastAsia="Calibri" w:hAnsi="Arial" w:cs="Arial"/>
          <w:i/>
          <w:sz w:val="20"/>
          <w:szCs w:val="20"/>
          <w:lang w:val="en-US"/>
        </w:rPr>
        <w:t xml:space="preserve">Lactuca sativa </w:t>
      </w:r>
      <w:r w:rsidRPr="0088125C">
        <w:rPr>
          <w:rFonts w:ascii="Arial" w:eastAsia="Calibri" w:hAnsi="Arial" w:cs="Arial"/>
          <w:sz w:val="20"/>
          <w:szCs w:val="20"/>
          <w:lang w:val="en-US"/>
        </w:rPr>
        <w:t xml:space="preserve">L.) in vegetable crops in Niger (West Africa). </w:t>
      </w:r>
      <w:r w:rsidRPr="0088125C">
        <w:rPr>
          <w:rFonts w:ascii="Arial" w:eastAsia="Calibri" w:hAnsi="Arial" w:cs="Arial"/>
          <w:iCs/>
          <w:sz w:val="20"/>
          <w:szCs w:val="20"/>
          <w:lang w:val="en-US"/>
        </w:rPr>
        <w:t xml:space="preserve">Journal of Applied Biosciences </w:t>
      </w:r>
      <w:r w:rsidRPr="0088125C">
        <w:rPr>
          <w:rFonts w:ascii="Arial" w:eastAsia="Calibri" w:hAnsi="Arial" w:cs="Arial"/>
          <w:sz w:val="20"/>
          <w:szCs w:val="20"/>
          <w:lang w:val="en-US"/>
        </w:rPr>
        <w:t>119: 11917-11928.</w:t>
      </w:r>
    </w:p>
    <w:p w14:paraId="11124A41" w14:textId="77777777" w:rsidR="00E67CBD" w:rsidRPr="0088125C" w:rsidRDefault="00E67CBD" w:rsidP="00107486">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Kudah</w:t>
      </w:r>
      <w:proofErr w:type="spellEnd"/>
      <w:r w:rsidRPr="0088125C">
        <w:rPr>
          <w:rFonts w:ascii="Arial" w:eastAsia="Calibri" w:hAnsi="Arial" w:cs="Arial"/>
          <w:sz w:val="20"/>
          <w:szCs w:val="20"/>
          <w:lang w:val="en-US"/>
        </w:rPr>
        <w:t xml:space="preserve"> C., </w:t>
      </w:r>
      <w:proofErr w:type="spellStart"/>
      <w:r w:rsidRPr="0088125C">
        <w:rPr>
          <w:rFonts w:ascii="Arial" w:eastAsia="Calibri" w:hAnsi="Arial" w:cs="Arial"/>
          <w:sz w:val="20"/>
          <w:szCs w:val="20"/>
          <w:lang w:val="en-US"/>
        </w:rPr>
        <w:t>Sovoe</w:t>
      </w:r>
      <w:proofErr w:type="spellEnd"/>
      <w:r w:rsidRPr="0088125C">
        <w:rPr>
          <w:rFonts w:ascii="Arial" w:eastAsia="Calibri" w:hAnsi="Arial" w:cs="Arial"/>
          <w:sz w:val="20"/>
          <w:szCs w:val="20"/>
          <w:lang w:val="en-US"/>
        </w:rPr>
        <w:t xml:space="preserve"> S., Baiden F. (2018). Parasitic contamination of commonly consumed vegetables in two markets in Ghana. </w:t>
      </w:r>
      <w:r w:rsidRPr="0088125C">
        <w:rPr>
          <w:rFonts w:ascii="Arial" w:eastAsia="Calibri" w:hAnsi="Arial" w:cs="Arial"/>
          <w:sz w:val="20"/>
          <w:szCs w:val="20"/>
        </w:rPr>
        <w:t xml:space="preserve">Ghana </w:t>
      </w:r>
      <w:proofErr w:type="spellStart"/>
      <w:r w:rsidRPr="0088125C">
        <w:rPr>
          <w:rFonts w:ascii="Arial" w:eastAsia="Calibri" w:hAnsi="Arial" w:cs="Arial"/>
          <w:sz w:val="20"/>
          <w:szCs w:val="20"/>
        </w:rPr>
        <w:t>medicale</w:t>
      </w:r>
      <w:proofErr w:type="spellEnd"/>
      <w:r w:rsidRPr="0088125C">
        <w:rPr>
          <w:rFonts w:ascii="Arial" w:eastAsia="Calibri" w:hAnsi="Arial" w:cs="Arial"/>
          <w:sz w:val="20"/>
          <w:szCs w:val="20"/>
        </w:rPr>
        <w:t xml:space="preserve"> journal 52(2): 88-93.</w:t>
      </w:r>
    </w:p>
    <w:p w14:paraId="05B74A7A" w14:textId="77777777" w:rsidR="0034292F" w:rsidRPr="0088125C" w:rsidRDefault="0034292F">
      <w:pPr>
        <w:rPr>
          <w:rFonts w:ascii="Arial" w:hAnsi="Arial" w:cs="Arial"/>
          <w:sz w:val="20"/>
          <w:szCs w:val="20"/>
        </w:rPr>
      </w:pPr>
    </w:p>
    <w:sectPr w:rsidR="0034292F" w:rsidRPr="0088125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 w:date="2025-03-21T21:00:00Z" w:initials="w">
    <w:p w14:paraId="3E781853" w14:textId="53FBAAC5" w:rsidR="00F85C60" w:rsidRDefault="00F85C60">
      <w:pPr>
        <w:pStyle w:val="CommentText"/>
      </w:pPr>
      <w:r>
        <w:rPr>
          <w:rStyle w:val="CommentReference"/>
        </w:rPr>
        <w:annotationRef/>
      </w:r>
      <w:r w:rsidRPr="00934C2B">
        <w:rPr>
          <w:lang w:val="en-GB"/>
        </w:rPr>
        <w:t xml:space="preserve">The abstract provides a general overview but lacks key methodological details, such as statistical tests used or confidence intervals for key </w:t>
      </w:r>
      <w:proofErr w:type="spellStart"/>
      <w:r w:rsidRPr="00934C2B">
        <w:rPr>
          <w:lang w:val="en-GB"/>
        </w:rPr>
        <w:t>findings.It</w:t>
      </w:r>
      <w:proofErr w:type="spellEnd"/>
      <w:r w:rsidRPr="00934C2B">
        <w:rPr>
          <w:lang w:val="en-GB"/>
        </w:rPr>
        <w:t xml:space="preserve"> does not clearly state the existing knowledge gap that this study addresses. While contamination levels are discussed, the abstract does not provide a clear risk assessment for consumers. It should briefly highlight any potential limitations of the study.</w:t>
      </w:r>
    </w:p>
  </w:comment>
  <w:comment w:id="1" w:author="win" w:date="2025-03-21T20:40:00Z" w:initials="w">
    <w:p w14:paraId="1B5ED47B" w14:textId="5D921373" w:rsidR="00C11A55" w:rsidRDefault="00C11A55">
      <w:pPr>
        <w:pStyle w:val="CommentText"/>
      </w:pPr>
      <w:r>
        <w:rPr>
          <w:rStyle w:val="CommentReference"/>
        </w:rPr>
        <w:annotationRef/>
      </w:r>
      <w:r w:rsidRPr="00C11A55">
        <w:t xml:space="preserve">The introduction </w:t>
      </w:r>
      <w:proofErr w:type="spellStart"/>
      <w:r w:rsidRPr="00C11A55">
        <w:t>contains</w:t>
      </w:r>
      <w:proofErr w:type="spellEnd"/>
      <w:r w:rsidRPr="00C11A55">
        <w:t xml:space="preserve"> a lot of </w:t>
      </w:r>
      <w:proofErr w:type="spellStart"/>
      <w:r w:rsidRPr="00C11A55">
        <w:t>general</w:t>
      </w:r>
      <w:proofErr w:type="spellEnd"/>
      <w:r w:rsidRPr="00C11A55">
        <w:t xml:space="preserve"> information about </w:t>
      </w:r>
      <w:proofErr w:type="spellStart"/>
      <w:r w:rsidRPr="00C11A55">
        <w:t>Enterobacteriaceae</w:t>
      </w:r>
      <w:proofErr w:type="spellEnd"/>
      <w:r w:rsidRPr="00C11A55">
        <w:t xml:space="preserve"> but </w:t>
      </w:r>
      <w:proofErr w:type="spellStart"/>
      <w:r w:rsidRPr="00C11A55">
        <w:t>does</w:t>
      </w:r>
      <w:proofErr w:type="spellEnd"/>
      <w:r w:rsidRPr="00C11A55">
        <w:t xml:space="preserve"> not focus </w:t>
      </w:r>
      <w:proofErr w:type="spellStart"/>
      <w:r w:rsidRPr="00C11A55">
        <w:t>enough</w:t>
      </w:r>
      <w:proofErr w:type="spellEnd"/>
      <w:r w:rsidRPr="00C11A55">
        <w:t xml:space="preserve"> on the </w:t>
      </w:r>
      <w:proofErr w:type="spellStart"/>
      <w:r w:rsidRPr="00C11A55">
        <w:t>specific</w:t>
      </w:r>
      <w:proofErr w:type="spellEnd"/>
      <w:r w:rsidRPr="00C11A55">
        <w:t xml:space="preserve"> issue of contamination in Niamey. The introduction states the </w:t>
      </w:r>
      <w:proofErr w:type="spellStart"/>
      <w:r w:rsidRPr="00C11A55">
        <w:t>aim</w:t>
      </w:r>
      <w:proofErr w:type="spellEnd"/>
      <w:r w:rsidRPr="00C11A55">
        <w:t xml:space="preserve"> but </w:t>
      </w:r>
      <w:proofErr w:type="spellStart"/>
      <w:r w:rsidRPr="00C11A55">
        <w:t>does</w:t>
      </w:r>
      <w:proofErr w:type="spellEnd"/>
      <w:r w:rsidRPr="00C11A55">
        <w:t xml:space="preserve"> not </w:t>
      </w:r>
      <w:proofErr w:type="spellStart"/>
      <w:r w:rsidRPr="00C11A55">
        <w:t>clearly</w:t>
      </w:r>
      <w:proofErr w:type="spellEnd"/>
      <w:r w:rsidRPr="00C11A55">
        <w:t xml:space="preserve"> frame the </w:t>
      </w:r>
      <w:proofErr w:type="spellStart"/>
      <w:r w:rsidRPr="00C11A55">
        <w:t>research</w:t>
      </w:r>
      <w:proofErr w:type="spellEnd"/>
      <w:r w:rsidRPr="00C11A55">
        <w:t xml:space="preserve"> question or </w:t>
      </w:r>
      <w:proofErr w:type="spellStart"/>
      <w:proofErr w:type="gramStart"/>
      <w:r w:rsidRPr="00C11A55">
        <w:t>hypothesis.Some</w:t>
      </w:r>
      <w:proofErr w:type="spellEnd"/>
      <w:proofErr w:type="gramEnd"/>
      <w:r w:rsidRPr="00C11A55">
        <w:t xml:space="preserve"> </w:t>
      </w:r>
      <w:proofErr w:type="spellStart"/>
      <w:r w:rsidRPr="00C11A55">
        <w:t>statements</w:t>
      </w:r>
      <w:proofErr w:type="spellEnd"/>
      <w:r w:rsidRPr="00C11A55">
        <w:t xml:space="preserve"> about </w:t>
      </w:r>
      <w:proofErr w:type="spellStart"/>
      <w:r w:rsidRPr="00C11A55">
        <w:t>Enterobacteriaceae</w:t>
      </w:r>
      <w:proofErr w:type="spellEnd"/>
      <w:r w:rsidRPr="00C11A55">
        <w:t xml:space="preserve"> </w:t>
      </w:r>
      <w:proofErr w:type="spellStart"/>
      <w:r w:rsidRPr="00C11A55">
        <w:t>characteristics</w:t>
      </w:r>
      <w:proofErr w:type="spellEnd"/>
      <w:r w:rsidRPr="00C11A55">
        <w:t xml:space="preserve"> </w:t>
      </w:r>
      <w:proofErr w:type="spellStart"/>
      <w:r w:rsidRPr="00C11A55">
        <w:t>lack</w:t>
      </w:r>
      <w:proofErr w:type="spellEnd"/>
      <w:r w:rsidRPr="00C11A55">
        <w:t xml:space="preserve"> </w:t>
      </w:r>
      <w:proofErr w:type="spellStart"/>
      <w:r w:rsidRPr="00C11A55">
        <w:t>proper</w:t>
      </w:r>
      <w:proofErr w:type="spellEnd"/>
      <w:r w:rsidRPr="00C11A55">
        <w:t xml:space="preserve"> citations.</w:t>
      </w:r>
    </w:p>
  </w:comment>
  <w:comment w:id="2" w:author="win" w:date="2025-03-21T20:43:00Z" w:initials="w">
    <w:p w14:paraId="71CA3B82" w14:textId="5EE11E76" w:rsidR="00C11A55" w:rsidRDefault="00C11A55">
      <w:pPr>
        <w:pStyle w:val="CommentText"/>
      </w:pPr>
      <w:r>
        <w:rPr>
          <w:rStyle w:val="CommentReference"/>
        </w:rPr>
        <w:annotationRef/>
      </w:r>
      <w:r w:rsidRPr="00C11A55">
        <w:t xml:space="preserve">There </w:t>
      </w:r>
      <w:proofErr w:type="spellStart"/>
      <w:r w:rsidRPr="00C11A55">
        <w:t>is</w:t>
      </w:r>
      <w:proofErr w:type="spellEnd"/>
      <w:r w:rsidRPr="00C11A55">
        <w:t xml:space="preserve"> no mention of </w:t>
      </w:r>
      <w:proofErr w:type="spellStart"/>
      <w:r w:rsidRPr="00C11A55">
        <w:t>quality</w:t>
      </w:r>
      <w:proofErr w:type="spellEnd"/>
      <w:r w:rsidRPr="00C11A55">
        <w:t xml:space="preserve"> control </w:t>
      </w:r>
      <w:proofErr w:type="spellStart"/>
      <w:r w:rsidRPr="00C11A55">
        <w:t>measures</w:t>
      </w:r>
      <w:proofErr w:type="spellEnd"/>
      <w:r w:rsidRPr="00C11A55">
        <w:t xml:space="preserve"> for </w:t>
      </w:r>
      <w:proofErr w:type="spellStart"/>
      <w:r w:rsidRPr="00C11A55">
        <w:t>bacterial</w:t>
      </w:r>
      <w:proofErr w:type="spellEnd"/>
      <w:r w:rsidRPr="00C11A55">
        <w:t xml:space="preserve"> identification (</w:t>
      </w:r>
      <w:proofErr w:type="spellStart"/>
      <w:r w:rsidRPr="00C11A55">
        <w:t>e.g</w:t>
      </w:r>
      <w:proofErr w:type="spellEnd"/>
      <w:r w:rsidRPr="00C11A55">
        <w:t xml:space="preserve">., </w:t>
      </w:r>
      <w:proofErr w:type="spellStart"/>
      <w:r w:rsidRPr="00C11A55">
        <w:t>using</w:t>
      </w:r>
      <w:proofErr w:type="spellEnd"/>
      <w:r w:rsidRPr="00C11A55">
        <w:t xml:space="preserve"> </w:t>
      </w:r>
      <w:proofErr w:type="spellStart"/>
      <w:r w:rsidRPr="00C11A55">
        <w:t>reference</w:t>
      </w:r>
      <w:proofErr w:type="spellEnd"/>
      <w:r w:rsidRPr="00C11A55">
        <w:t xml:space="preserve"> </w:t>
      </w:r>
      <w:proofErr w:type="spellStart"/>
      <w:r w:rsidRPr="00C11A55">
        <w:t>strains</w:t>
      </w:r>
      <w:proofErr w:type="spellEnd"/>
      <w:r w:rsidRPr="00C11A55">
        <w:t xml:space="preserve">). The </w:t>
      </w:r>
      <w:proofErr w:type="spellStart"/>
      <w:r w:rsidRPr="00C11A55">
        <w:t>study</w:t>
      </w:r>
      <w:proofErr w:type="spellEnd"/>
      <w:r w:rsidRPr="00C11A55">
        <w:t xml:space="preserve"> relies </w:t>
      </w:r>
      <w:proofErr w:type="spellStart"/>
      <w:r w:rsidRPr="00C11A55">
        <w:t>heavily</w:t>
      </w:r>
      <w:proofErr w:type="spellEnd"/>
      <w:r w:rsidRPr="00C11A55">
        <w:t xml:space="preserve"> on </w:t>
      </w:r>
      <w:proofErr w:type="spellStart"/>
      <w:r w:rsidRPr="00C11A55">
        <w:t>biochemical</w:t>
      </w:r>
      <w:proofErr w:type="spellEnd"/>
      <w:r w:rsidRPr="00C11A55">
        <w:t xml:space="preserve"> tests for identification. </w:t>
      </w:r>
      <w:proofErr w:type="spellStart"/>
      <w:r w:rsidRPr="00C11A55">
        <w:t>Molecular</w:t>
      </w:r>
      <w:proofErr w:type="spellEnd"/>
      <w:r w:rsidRPr="00C11A55">
        <w:t xml:space="preserve"> confirmation (</w:t>
      </w:r>
      <w:proofErr w:type="spellStart"/>
      <w:r w:rsidRPr="00C11A55">
        <w:t>e.g</w:t>
      </w:r>
      <w:proofErr w:type="spellEnd"/>
      <w:r w:rsidRPr="00C11A55">
        <w:t xml:space="preserve">., PCR or </w:t>
      </w:r>
      <w:proofErr w:type="spellStart"/>
      <w:r w:rsidRPr="00C11A55">
        <w:t>sequencing</w:t>
      </w:r>
      <w:proofErr w:type="spellEnd"/>
      <w:r w:rsidRPr="00C11A55">
        <w:t xml:space="preserve">) </w:t>
      </w:r>
      <w:proofErr w:type="spellStart"/>
      <w:r w:rsidRPr="00C11A55">
        <w:t>would</w:t>
      </w:r>
      <w:proofErr w:type="spellEnd"/>
      <w:r w:rsidRPr="00C11A55">
        <w:t xml:space="preserve"> </w:t>
      </w:r>
      <w:proofErr w:type="spellStart"/>
      <w:r w:rsidRPr="00C11A55">
        <w:t>strengthen</w:t>
      </w:r>
      <w:proofErr w:type="spellEnd"/>
      <w:r w:rsidRPr="00C11A55">
        <w:t xml:space="preserve"> the </w:t>
      </w:r>
      <w:proofErr w:type="spellStart"/>
      <w:r w:rsidRPr="00C11A55">
        <w:t>findings</w:t>
      </w:r>
      <w:proofErr w:type="spellEnd"/>
      <w:r w:rsidRPr="00C11A55">
        <w:t>.</w:t>
      </w:r>
    </w:p>
  </w:comment>
  <w:comment w:id="3" w:author="win" w:date="2025-03-21T20:45:00Z" w:initials="w">
    <w:p w14:paraId="668E3DCD" w14:textId="74F7BCD3" w:rsidR="00597B7E" w:rsidRDefault="00597B7E">
      <w:pPr>
        <w:pStyle w:val="CommentText"/>
      </w:pPr>
      <w:r>
        <w:rPr>
          <w:rStyle w:val="CommentReference"/>
        </w:rPr>
        <w:annotationRef/>
      </w:r>
      <w:r w:rsidRPr="00597B7E">
        <w:t xml:space="preserve">The </w:t>
      </w:r>
      <w:proofErr w:type="spellStart"/>
      <w:r w:rsidRPr="00597B7E">
        <w:t>manuscript</w:t>
      </w:r>
      <w:proofErr w:type="spellEnd"/>
      <w:r w:rsidRPr="00597B7E">
        <w:t xml:space="preserve"> mentions the </w:t>
      </w:r>
      <w:proofErr w:type="spellStart"/>
      <w:r w:rsidRPr="00597B7E">
        <w:t>number</w:t>
      </w:r>
      <w:proofErr w:type="spellEnd"/>
      <w:r w:rsidRPr="00597B7E">
        <w:t xml:space="preserve"> of </w:t>
      </w:r>
      <w:proofErr w:type="spellStart"/>
      <w:r w:rsidRPr="00597B7E">
        <w:t>samples</w:t>
      </w:r>
      <w:proofErr w:type="spellEnd"/>
      <w:r w:rsidRPr="00597B7E">
        <w:t xml:space="preserve"> </w:t>
      </w:r>
      <w:proofErr w:type="spellStart"/>
      <w:r w:rsidRPr="00597B7E">
        <w:t>taken</w:t>
      </w:r>
      <w:proofErr w:type="spellEnd"/>
      <w:r w:rsidRPr="00597B7E">
        <w:t xml:space="preserve">, but the </w:t>
      </w:r>
      <w:proofErr w:type="spellStart"/>
      <w:r w:rsidRPr="00597B7E">
        <w:t>rationale</w:t>
      </w:r>
      <w:proofErr w:type="spellEnd"/>
      <w:r w:rsidRPr="00597B7E">
        <w:t xml:space="preserve"> for </w:t>
      </w:r>
      <w:proofErr w:type="spellStart"/>
      <w:r w:rsidRPr="00597B7E">
        <w:t>selecting</w:t>
      </w:r>
      <w:proofErr w:type="spellEnd"/>
      <w:r w:rsidRPr="00597B7E">
        <w:t xml:space="preserve"> </w:t>
      </w:r>
      <w:proofErr w:type="spellStart"/>
      <w:r w:rsidRPr="00597B7E">
        <w:t>these</w:t>
      </w:r>
      <w:proofErr w:type="spellEnd"/>
      <w:r w:rsidRPr="00597B7E">
        <w:t xml:space="preserve"> </w:t>
      </w:r>
      <w:proofErr w:type="spellStart"/>
      <w:r w:rsidRPr="00597B7E">
        <w:t>particular</w:t>
      </w:r>
      <w:proofErr w:type="spellEnd"/>
      <w:r w:rsidRPr="00597B7E">
        <w:t xml:space="preserve"> </w:t>
      </w:r>
      <w:proofErr w:type="spellStart"/>
      <w:r w:rsidRPr="00597B7E">
        <w:t>vegetables</w:t>
      </w:r>
      <w:proofErr w:type="spellEnd"/>
      <w:r w:rsidRPr="00597B7E">
        <w:t xml:space="preserve"> or water sources </w:t>
      </w:r>
      <w:proofErr w:type="spellStart"/>
      <w:r w:rsidRPr="00597B7E">
        <w:t>is</w:t>
      </w:r>
      <w:proofErr w:type="spellEnd"/>
      <w:r w:rsidRPr="00597B7E">
        <w:t xml:space="preserve"> not </w:t>
      </w:r>
      <w:proofErr w:type="spellStart"/>
      <w:r w:rsidRPr="00597B7E">
        <w:t>explained</w:t>
      </w:r>
      <w:proofErr w:type="spellEnd"/>
      <w:r w:rsidRPr="00597B7E">
        <w:t>.</w:t>
      </w:r>
    </w:p>
  </w:comment>
  <w:comment w:id="10" w:author="win" w:date="2025-03-21T20:46:00Z" w:initials="w">
    <w:p w14:paraId="5F13E5DF" w14:textId="7A801786" w:rsidR="00597B7E" w:rsidRDefault="00597B7E">
      <w:pPr>
        <w:pStyle w:val="CommentText"/>
      </w:pPr>
      <w:r>
        <w:rPr>
          <w:rStyle w:val="CommentReference"/>
        </w:rPr>
        <w:annotationRef/>
      </w:r>
      <w:r w:rsidRPr="00597B7E">
        <w:t xml:space="preserve">The </w:t>
      </w:r>
      <w:proofErr w:type="spellStart"/>
      <w:r w:rsidRPr="00597B7E">
        <w:t>statistical</w:t>
      </w:r>
      <w:proofErr w:type="spellEnd"/>
      <w:r w:rsidRPr="00597B7E">
        <w:t xml:space="preserve"> </w:t>
      </w:r>
      <w:proofErr w:type="spellStart"/>
      <w:r w:rsidRPr="00597B7E">
        <w:t>analysis</w:t>
      </w:r>
      <w:proofErr w:type="spellEnd"/>
      <w:r w:rsidRPr="00597B7E">
        <w:t xml:space="preserve"> </w:t>
      </w:r>
      <w:proofErr w:type="spellStart"/>
      <w:r w:rsidRPr="00597B7E">
        <w:t>methods</w:t>
      </w:r>
      <w:proofErr w:type="spellEnd"/>
      <w:r w:rsidRPr="00597B7E">
        <w:t xml:space="preserve"> are </w:t>
      </w:r>
      <w:proofErr w:type="spellStart"/>
      <w:r w:rsidRPr="00597B7E">
        <w:t>listed</w:t>
      </w:r>
      <w:proofErr w:type="spellEnd"/>
      <w:r w:rsidRPr="00597B7E">
        <w:t xml:space="preserve">, but </w:t>
      </w:r>
      <w:proofErr w:type="spellStart"/>
      <w:r w:rsidRPr="00597B7E">
        <w:t>their</w:t>
      </w:r>
      <w:proofErr w:type="spellEnd"/>
      <w:r w:rsidRPr="00597B7E">
        <w:t xml:space="preserve"> </w:t>
      </w:r>
      <w:proofErr w:type="spellStart"/>
      <w:r w:rsidRPr="00597B7E">
        <w:t>appropriateness</w:t>
      </w:r>
      <w:proofErr w:type="spellEnd"/>
      <w:r w:rsidRPr="00597B7E">
        <w:t xml:space="preserve"> for the data structure </w:t>
      </w:r>
      <w:proofErr w:type="spellStart"/>
      <w:r w:rsidRPr="00597B7E">
        <w:t>is</w:t>
      </w:r>
      <w:proofErr w:type="spellEnd"/>
      <w:r w:rsidRPr="00597B7E">
        <w:t xml:space="preserve"> not </w:t>
      </w:r>
      <w:proofErr w:type="spellStart"/>
      <w:r w:rsidRPr="00597B7E">
        <w:t>justified</w:t>
      </w:r>
      <w:proofErr w:type="spellEnd"/>
      <w:r w:rsidRPr="00597B7E">
        <w:t>.</w:t>
      </w:r>
    </w:p>
  </w:comment>
  <w:comment w:id="11" w:author="win" w:date="2025-03-21T20:48:00Z" w:initials="w">
    <w:p w14:paraId="3B44FA56" w14:textId="77777777" w:rsidR="00597B7E" w:rsidRDefault="00597B7E" w:rsidP="00597B7E">
      <w:pPr>
        <w:pStyle w:val="CommentText"/>
      </w:pPr>
      <w:r>
        <w:rPr>
          <w:rStyle w:val="CommentReference"/>
        </w:rPr>
        <w:annotationRef/>
      </w:r>
      <w:proofErr w:type="spellStart"/>
      <w:r>
        <w:t>Some</w:t>
      </w:r>
      <w:proofErr w:type="spellEnd"/>
      <w:r>
        <w:t xml:space="preserve"> figures (</w:t>
      </w:r>
      <w:proofErr w:type="spellStart"/>
      <w:r>
        <w:t>like</w:t>
      </w:r>
      <w:proofErr w:type="spellEnd"/>
      <w:r>
        <w:t xml:space="preserve"> Figure 2) mention </w:t>
      </w:r>
      <w:proofErr w:type="spellStart"/>
      <w:r>
        <w:t>statistical</w:t>
      </w:r>
      <w:proofErr w:type="spellEnd"/>
      <w:r>
        <w:t xml:space="preserve"> tests, but the </w:t>
      </w:r>
      <w:proofErr w:type="spellStart"/>
      <w:r>
        <w:t>significance</w:t>
      </w:r>
      <w:proofErr w:type="spellEnd"/>
      <w:r>
        <w:t xml:space="preserve"> of the </w:t>
      </w:r>
      <w:proofErr w:type="spellStart"/>
      <w:r>
        <w:t>findings</w:t>
      </w:r>
      <w:proofErr w:type="spellEnd"/>
      <w:r>
        <w:t xml:space="preserve"> </w:t>
      </w:r>
      <w:proofErr w:type="spellStart"/>
      <w:r>
        <w:t>is</w:t>
      </w:r>
      <w:proofErr w:type="spellEnd"/>
      <w:r>
        <w:t xml:space="preserve"> not </w:t>
      </w:r>
      <w:proofErr w:type="spellStart"/>
      <w:r>
        <w:t>always</w:t>
      </w:r>
      <w:proofErr w:type="spellEnd"/>
      <w:r>
        <w:t xml:space="preserve"> </w:t>
      </w:r>
      <w:proofErr w:type="spellStart"/>
      <w:r>
        <w:t>discussed</w:t>
      </w:r>
      <w:proofErr w:type="spellEnd"/>
      <w:r>
        <w:t xml:space="preserve"> in </w:t>
      </w:r>
      <w:proofErr w:type="spellStart"/>
      <w:r>
        <w:t>depth</w:t>
      </w:r>
      <w:proofErr w:type="spellEnd"/>
      <w:r>
        <w:t>.</w:t>
      </w:r>
    </w:p>
    <w:p w14:paraId="14A5EEF1" w14:textId="6044845D" w:rsidR="00597B7E" w:rsidRDefault="00597B7E" w:rsidP="00597B7E">
      <w:pPr>
        <w:pStyle w:val="CommentText"/>
      </w:pPr>
      <w:proofErr w:type="spellStart"/>
      <w:r>
        <w:t>While</w:t>
      </w:r>
      <w:proofErr w:type="spellEnd"/>
      <w:r>
        <w:t xml:space="preserve"> </w:t>
      </w:r>
      <w:proofErr w:type="spellStart"/>
      <w:r>
        <w:t>prevalence</w:t>
      </w:r>
      <w:proofErr w:type="spellEnd"/>
      <w:r>
        <w:t xml:space="preserve"> </w:t>
      </w:r>
      <w:proofErr w:type="spellStart"/>
      <w:r>
        <w:t>is</w:t>
      </w:r>
      <w:proofErr w:type="spellEnd"/>
      <w:r>
        <w:t xml:space="preserve"> </w:t>
      </w:r>
      <w:proofErr w:type="spellStart"/>
      <w:r>
        <w:t>discussed</w:t>
      </w:r>
      <w:proofErr w:type="spellEnd"/>
      <w:r>
        <w:t xml:space="preserve">, </w:t>
      </w:r>
      <w:proofErr w:type="spellStart"/>
      <w:r>
        <w:t>there</w:t>
      </w:r>
      <w:proofErr w:type="spellEnd"/>
      <w:r>
        <w:t xml:space="preserve"> </w:t>
      </w:r>
      <w:proofErr w:type="spellStart"/>
      <w:r>
        <w:t>is</w:t>
      </w:r>
      <w:proofErr w:type="spellEnd"/>
      <w:r>
        <w:t xml:space="preserve"> </w:t>
      </w:r>
      <w:proofErr w:type="spellStart"/>
      <w:r>
        <w:t>little</w:t>
      </w:r>
      <w:proofErr w:type="spellEnd"/>
      <w:r>
        <w:t xml:space="preserve"> discussion on how </w:t>
      </w:r>
      <w:proofErr w:type="spellStart"/>
      <w:r>
        <w:t>these</w:t>
      </w:r>
      <w:proofErr w:type="spellEnd"/>
      <w:r>
        <w:t xml:space="preserve"> </w:t>
      </w:r>
      <w:proofErr w:type="spellStart"/>
      <w:r>
        <w:t>findings</w:t>
      </w:r>
      <w:proofErr w:type="spellEnd"/>
      <w:r>
        <w:t xml:space="preserve"> translate </w:t>
      </w:r>
      <w:proofErr w:type="spellStart"/>
      <w:r>
        <w:t>into</w:t>
      </w:r>
      <w:proofErr w:type="spellEnd"/>
      <w:r>
        <w:t xml:space="preserve"> </w:t>
      </w:r>
      <w:proofErr w:type="spellStart"/>
      <w:r>
        <w:t>health</w:t>
      </w:r>
      <w:proofErr w:type="spellEnd"/>
      <w:r>
        <w:t xml:space="preserve"> </w:t>
      </w:r>
      <w:proofErr w:type="spellStart"/>
      <w:r>
        <w:t>risks</w:t>
      </w:r>
      <w:proofErr w:type="spellEnd"/>
      <w:r>
        <w:t xml:space="preserve"> for the local population.</w:t>
      </w:r>
    </w:p>
  </w:comment>
  <w:comment w:id="30" w:author="win" w:date="2025-03-21T20:53:00Z" w:initials="w">
    <w:p w14:paraId="700DD8A6" w14:textId="215974C9" w:rsidR="00F85C60" w:rsidRDefault="00F85C60">
      <w:pPr>
        <w:pStyle w:val="CommentText"/>
      </w:pPr>
      <w:r>
        <w:rPr>
          <w:rStyle w:val="CommentReference"/>
        </w:rPr>
        <w:annotationRef/>
      </w:r>
      <w:r w:rsidRPr="00F85C60">
        <w:t xml:space="preserve">The discussion </w:t>
      </w:r>
      <w:proofErr w:type="spellStart"/>
      <w:r w:rsidRPr="00F85C60">
        <w:t>sometimes</w:t>
      </w:r>
      <w:proofErr w:type="spellEnd"/>
      <w:r w:rsidRPr="00F85C60">
        <w:t xml:space="preserve"> </w:t>
      </w:r>
      <w:proofErr w:type="spellStart"/>
      <w:r w:rsidRPr="00F85C60">
        <w:t>repeats</w:t>
      </w:r>
      <w:proofErr w:type="spellEnd"/>
      <w:r w:rsidRPr="00F85C60">
        <w:t xml:space="preserve"> </w:t>
      </w:r>
      <w:proofErr w:type="spellStart"/>
      <w:r w:rsidRPr="00F85C60">
        <w:t>results</w:t>
      </w:r>
      <w:proofErr w:type="spellEnd"/>
      <w:r w:rsidRPr="00F85C60">
        <w:t xml:space="preserve"> </w:t>
      </w:r>
      <w:proofErr w:type="spellStart"/>
      <w:r w:rsidRPr="00F85C60">
        <w:t>rather</w:t>
      </w:r>
      <w:proofErr w:type="spellEnd"/>
      <w:r w:rsidRPr="00F85C60">
        <w:t xml:space="preserve"> </w:t>
      </w:r>
      <w:proofErr w:type="spellStart"/>
      <w:r w:rsidRPr="00F85C60">
        <w:t>than</w:t>
      </w:r>
      <w:proofErr w:type="spellEnd"/>
      <w:r w:rsidRPr="00F85C60">
        <w:t xml:space="preserve"> </w:t>
      </w:r>
      <w:proofErr w:type="spellStart"/>
      <w:r w:rsidRPr="00F85C60">
        <w:t>critically</w:t>
      </w:r>
      <w:proofErr w:type="spellEnd"/>
      <w:r w:rsidRPr="00F85C60">
        <w:t xml:space="preserve"> </w:t>
      </w:r>
      <w:proofErr w:type="spellStart"/>
      <w:r w:rsidRPr="00F85C60">
        <w:t>analyzing</w:t>
      </w:r>
      <w:proofErr w:type="spellEnd"/>
      <w:r w:rsidRPr="00F85C60">
        <w:t xml:space="preserve"> </w:t>
      </w:r>
      <w:proofErr w:type="spellStart"/>
      <w:r w:rsidRPr="00F85C60">
        <w:t>them</w:t>
      </w:r>
      <w:proofErr w:type="spellEnd"/>
      <w:r w:rsidRPr="00F85C60">
        <w:t xml:space="preserve">. </w:t>
      </w:r>
      <w:proofErr w:type="spellStart"/>
      <w:r w:rsidRPr="00F85C60">
        <w:t>Although</w:t>
      </w:r>
      <w:proofErr w:type="spellEnd"/>
      <w:r w:rsidRPr="00F85C60">
        <w:t xml:space="preserve"> </w:t>
      </w:r>
      <w:proofErr w:type="spellStart"/>
      <w:r w:rsidRPr="00F85C60">
        <w:t>some</w:t>
      </w:r>
      <w:proofErr w:type="spellEnd"/>
      <w:r w:rsidRPr="00F85C60">
        <w:t xml:space="preserve"> </w:t>
      </w:r>
      <w:proofErr w:type="spellStart"/>
      <w:r w:rsidRPr="00F85C60">
        <w:t>references</w:t>
      </w:r>
      <w:proofErr w:type="spellEnd"/>
      <w:r w:rsidRPr="00F85C60">
        <w:t xml:space="preserve"> are </w:t>
      </w:r>
      <w:proofErr w:type="spellStart"/>
      <w:r w:rsidRPr="00F85C60">
        <w:t>cited</w:t>
      </w:r>
      <w:proofErr w:type="spellEnd"/>
      <w:r w:rsidRPr="00F85C60">
        <w:t xml:space="preserve">, </w:t>
      </w:r>
      <w:proofErr w:type="spellStart"/>
      <w:r w:rsidRPr="00F85C60">
        <w:t>there</w:t>
      </w:r>
      <w:proofErr w:type="spellEnd"/>
      <w:r w:rsidRPr="00F85C60">
        <w:t xml:space="preserve"> </w:t>
      </w:r>
      <w:proofErr w:type="spellStart"/>
      <w:r w:rsidRPr="00F85C60">
        <w:t>is</w:t>
      </w:r>
      <w:proofErr w:type="spellEnd"/>
      <w:r w:rsidRPr="00F85C60">
        <w:t xml:space="preserve"> a </w:t>
      </w:r>
      <w:proofErr w:type="spellStart"/>
      <w:r w:rsidRPr="00F85C60">
        <w:t>lack</w:t>
      </w:r>
      <w:proofErr w:type="spellEnd"/>
      <w:r w:rsidRPr="00F85C60">
        <w:t xml:space="preserve"> of direct </w:t>
      </w:r>
      <w:proofErr w:type="spellStart"/>
      <w:r w:rsidRPr="00F85C60">
        <w:t>comparison</w:t>
      </w:r>
      <w:proofErr w:type="spellEnd"/>
      <w:r w:rsidRPr="00F85C60">
        <w:t xml:space="preserve"> </w:t>
      </w:r>
      <w:proofErr w:type="spellStart"/>
      <w:r w:rsidRPr="00F85C60">
        <w:t>with</w:t>
      </w:r>
      <w:proofErr w:type="spellEnd"/>
      <w:r w:rsidRPr="00F85C60">
        <w:t xml:space="preserve"> </w:t>
      </w:r>
      <w:proofErr w:type="spellStart"/>
      <w:r w:rsidRPr="00F85C60">
        <w:t>findings</w:t>
      </w:r>
      <w:proofErr w:type="spellEnd"/>
      <w:r w:rsidRPr="00F85C60">
        <w:t xml:space="preserve"> </w:t>
      </w:r>
      <w:proofErr w:type="spellStart"/>
      <w:r w:rsidRPr="00F85C60">
        <w:t>from</w:t>
      </w:r>
      <w:proofErr w:type="spellEnd"/>
      <w:r w:rsidRPr="00F85C60">
        <w:t xml:space="preserve"> </w:t>
      </w:r>
      <w:proofErr w:type="spellStart"/>
      <w:r w:rsidRPr="00F85C60">
        <w:t>similar</w:t>
      </w:r>
      <w:proofErr w:type="spellEnd"/>
      <w:r w:rsidRPr="00F85C60">
        <w:t xml:space="preserve"> </w:t>
      </w:r>
      <w:proofErr w:type="spellStart"/>
      <w:r w:rsidRPr="00F85C60">
        <w:t>studies</w:t>
      </w:r>
      <w:proofErr w:type="spellEnd"/>
      <w:r w:rsidRPr="00F85C60">
        <w:t xml:space="preserve"> in </w:t>
      </w:r>
      <w:proofErr w:type="spellStart"/>
      <w:r w:rsidRPr="00F85C60">
        <w:t>other</w:t>
      </w:r>
      <w:proofErr w:type="spellEnd"/>
      <w:r w:rsidRPr="00F85C60">
        <w:t xml:space="preserve"> </w:t>
      </w:r>
      <w:proofErr w:type="spellStart"/>
      <w:r w:rsidRPr="00F85C60">
        <w:t>regions</w:t>
      </w:r>
      <w:proofErr w:type="spellEnd"/>
      <w:r w:rsidRPr="00F85C60">
        <w:t xml:space="preserve">. The discussion </w:t>
      </w:r>
      <w:proofErr w:type="spellStart"/>
      <w:r w:rsidRPr="00F85C60">
        <w:t>does</w:t>
      </w:r>
      <w:proofErr w:type="spellEnd"/>
      <w:r w:rsidRPr="00F85C60">
        <w:t xml:space="preserve"> not </w:t>
      </w:r>
      <w:proofErr w:type="spellStart"/>
      <w:r w:rsidRPr="00F85C60">
        <w:t>address</w:t>
      </w:r>
      <w:proofErr w:type="spellEnd"/>
      <w:r w:rsidRPr="00F85C60">
        <w:t xml:space="preserve"> </w:t>
      </w:r>
      <w:proofErr w:type="spellStart"/>
      <w:r w:rsidRPr="00F85C60">
        <w:t>potential</w:t>
      </w:r>
      <w:proofErr w:type="spellEnd"/>
      <w:r w:rsidRPr="00F85C60">
        <w:t xml:space="preserve"> </w:t>
      </w:r>
      <w:proofErr w:type="spellStart"/>
      <w:r w:rsidRPr="00F85C60">
        <w:t>biases</w:t>
      </w:r>
      <w:proofErr w:type="spellEnd"/>
      <w:r w:rsidRPr="00F85C60">
        <w:t xml:space="preserve"> or </w:t>
      </w:r>
      <w:proofErr w:type="spellStart"/>
      <w:r w:rsidRPr="00F85C60">
        <w:t>errors</w:t>
      </w:r>
      <w:proofErr w:type="spellEnd"/>
      <w:r w:rsidRPr="00F85C60">
        <w:t xml:space="preserve"> in </w:t>
      </w:r>
      <w:proofErr w:type="spellStart"/>
      <w:r w:rsidRPr="00F85C60">
        <w:t>sampling</w:t>
      </w:r>
      <w:proofErr w:type="spellEnd"/>
      <w:r w:rsidRPr="00F85C60">
        <w:t xml:space="preserve"> and data collection.</w:t>
      </w:r>
    </w:p>
  </w:comment>
  <w:comment w:id="32" w:author="win" w:date="2025-03-21T20:56:00Z" w:initials="w">
    <w:p w14:paraId="0CC80F25" w14:textId="49225DDC" w:rsidR="00F85C60" w:rsidRDefault="00F85C60">
      <w:pPr>
        <w:pStyle w:val="CommentText"/>
      </w:pPr>
      <w:r>
        <w:rPr>
          <w:rStyle w:val="CommentReference"/>
        </w:rPr>
        <w:annotationRef/>
      </w:r>
      <w:r w:rsidRPr="00F85C60">
        <w:t xml:space="preserve">The conclusion </w:t>
      </w:r>
      <w:proofErr w:type="spellStart"/>
      <w:r w:rsidRPr="00F85C60">
        <w:t>does</w:t>
      </w:r>
      <w:proofErr w:type="spellEnd"/>
      <w:r w:rsidRPr="00F85C60">
        <w:t xml:space="preserve"> not </w:t>
      </w:r>
      <w:proofErr w:type="spellStart"/>
      <w:r w:rsidRPr="00F85C60">
        <w:t>suggest</w:t>
      </w:r>
      <w:proofErr w:type="spellEnd"/>
      <w:r w:rsidRPr="00F85C60">
        <w:t xml:space="preserve"> </w:t>
      </w:r>
      <w:proofErr w:type="spellStart"/>
      <w:r w:rsidRPr="00F85C60">
        <w:t>specific</w:t>
      </w:r>
      <w:proofErr w:type="spellEnd"/>
      <w:r w:rsidRPr="00F85C60">
        <w:t xml:space="preserve"> </w:t>
      </w:r>
      <w:proofErr w:type="spellStart"/>
      <w:r w:rsidRPr="00F85C60">
        <w:t>follow</w:t>
      </w:r>
      <w:proofErr w:type="spellEnd"/>
      <w:r w:rsidRPr="00F85C60">
        <w:t xml:space="preserve">-up </w:t>
      </w:r>
      <w:proofErr w:type="spellStart"/>
      <w:r w:rsidRPr="00F85C60">
        <w:t>studies</w:t>
      </w:r>
      <w:proofErr w:type="spellEnd"/>
      <w:r w:rsidRPr="00F85C60">
        <w:t xml:space="preserve"> or interventions </w:t>
      </w:r>
      <w:proofErr w:type="spellStart"/>
      <w:r w:rsidRPr="00F85C60">
        <w:t>beyond</w:t>
      </w:r>
      <w:proofErr w:type="spellEnd"/>
      <w:r w:rsidRPr="00F85C60">
        <w:t xml:space="preserve"> </w:t>
      </w:r>
      <w:proofErr w:type="spellStart"/>
      <w:r w:rsidRPr="00F85C60">
        <w:t>general</w:t>
      </w:r>
      <w:proofErr w:type="spellEnd"/>
      <w:r w:rsidRPr="00F85C60">
        <w:t xml:space="preserve"> </w:t>
      </w:r>
      <w:proofErr w:type="spellStart"/>
      <w:r w:rsidRPr="00F85C60">
        <w:t>hygiene</w:t>
      </w:r>
      <w:proofErr w:type="spellEnd"/>
      <w:r w:rsidRPr="00F85C60">
        <w:t xml:space="preserve"> </w:t>
      </w:r>
      <w:proofErr w:type="spellStart"/>
      <w:proofErr w:type="gramStart"/>
      <w:r w:rsidRPr="00F85C60">
        <w:t>recommendations.The</w:t>
      </w:r>
      <w:proofErr w:type="spellEnd"/>
      <w:proofErr w:type="gramEnd"/>
      <w:r w:rsidRPr="00F85C60">
        <w:t xml:space="preserve"> conclusion states </w:t>
      </w:r>
      <w:proofErr w:type="spellStart"/>
      <w:r w:rsidRPr="00F85C60">
        <w:t>that</w:t>
      </w:r>
      <w:proofErr w:type="spellEnd"/>
      <w:r w:rsidRPr="00F85C60">
        <w:t xml:space="preserve"> the </w:t>
      </w:r>
      <w:proofErr w:type="spellStart"/>
      <w:r w:rsidRPr="00F85C60">
        <w:t>microbiological</w:t>
      </w:r>
      <w:proofErr w:type="spellEnd"/>
      <w:r w:rsidRPr="00F85C60">
        <w:t xml:space="preserve"> </w:t>
      </w:r>
      <w:proofErr w:type="spellStart"/>
      <w:r w:rsidRPr="00F85C60">
        <w:t>quality</w:t>
      </w:r>
      <w:proofErr w:type="spellEnd"/>
      <w:r w:rsidRPr="00F85C60">
        <w:t xml:space="preserve"> of </w:t>
      </w:r>
      <w:proofErr w:type="spellStart"/>
      <w:r w:rsidRPr="00F85C60">
        <w:t>vegetables</w:t>
      </w:r>
      <w:proofErr w:type="spellEnd"/>
      <w:r w:rsidRPr="00F85C60">
        <w:t xml:space="preserve"> </w:t>
      </w:r>
      <w:proofErr w:type="spellStart"/>
      <w:r w:rsidRPr="00F85C60">
        <w:t>is</w:t>
      </w:r>
      <w:proofErr w:type="spellEnd"/>
      <w:r w:rsidRPr="00F85C60">
        <w:t xml:space="preserve"> "not </w:t>
      </w:r>
      <w:proofErr w:type="spellStart"/>
      <w:r w:rsidRPr="00F85C60">
        <w:t>suitable</w:t>
      </w:r>
      <w:proofErr w:type="spellEnd"/>
      <w:r w:rsidRPr="00F85C60">
        <w:t xml:space="preserve"> for </w:t>
      </w:r>
      <w:proofErr w:type="spellStart"/>
      <w:r w:rsidRPr="00F85C60">
        <w:t>human</w:t>
      </w:r>
      <w:proofErr w:type="spellEnd"/>
      <w:r w:rsidRPr="00F85C60">
        <w:t xml:space="preserve"> </w:t>
      </w:r>
      <w:proofErr w:type="spellStart"/>
      <w:r w:rsidRPr="00F85C60">
        <w:t>consumption</w:t>
      </w:r>
      <w:proofErr w:type="spellEnd"/>
      <w:r w:rsidRPr="00F85C60">
        <w:t xml:space="preserve">," but </w:t>
      </w:r>
      <w:proofErr w:type="spellStart"/>
      <w:r w:rsidRPr="00F85C60">
        <w:t>does</w:t>
      </w:r>
      <w:proofErr w:type="spellEnd"/>
      <w:r w:rsidRPr="00F85C60">
        <w:t xml:space="preserve"> not </w:t>
      </w:r>
      <w:proofErr w:type="spellStart"/>
      <w:r w:rsidRPr="00F85C60">
        <w:t>provide</w:t>
      </w:r>
      <w:proofErr w:type="spellEnd"/>
      <w:r w:rsidRPr="00F85C60">
        <w:t xml:space="preserve"> a </w:t>
      </w:r>
      <w:proofErr w:type="spellStart"/>
      <w:r w:rsidRPr="00F85C60">
        <w:t>threshold</w:t>
      </w:r>
      <w:proofErr w:type="spellEnd"/>
      <w:r w:rsidRPr="00F85C60">
        <w:t xml:space="preserve"> or </w:t>
      </w:r>
      <w:proofErr w:type="spellStart"/>
      <w:r w:rsidRPr="00F85C60">
        <w:t>clear</w:t>
      </w:r>
      <w:proofErr w:type="spellEnd"/>
      <w:r w:rsidRPr="00F85C60">
        <w:t xml:space="preserve"> </w:t>
      </w:r>
      <w:proofErr w:type="spellStart"/>
      <w:r w:rsidRPr="00F85C60">
        <w:t>evidence</w:t>
      </w:r>
      <w:proofErr w:type="spellEnd"/>
      <w:r w:rsidRPr="00F85C60">
        <w:t xml:space="preserve"> to support </w:t>
      </w:r>
      <w:proofErr w:type="spellStart"/>
      <w:r w:rsidRPr="00F85C60">
        <w:t>this</w:t>
      </w:r>
      <w:proofErr w:type="spellEnd"/>
      <w:r w:rsidRPr="00F85C60">
        <w:t xml:space="preserve"> </w:t>
      </w:r>
      <w:proofErr w:type="spellStart"/>
      <w:r w:rsidRPr="00F85C60">
        <w:t>broad</w:t>
      </w:r>
      <w:proofErr w:type="spellEnd"/>
      <w:r w:rsidRPr="00F85C60">
        <w:t xml:space="preserve"> claim.</w:t>
      </w:r>
    </w:p>
  </w:comment>
  <w:comment w:id="33" w:author="win" w:date="2025-03-21T21:08:00Z" w:initials="w">
    <w:p w14:paraId="1A331C99" w14:textId="3D8E12E2" w:rsidR="00567D54" w:rsidRDefault="00567D54">
      <w:pPr>
        <w:pStyle w:val="CommentText"/>
      </w:pPr>
      <w:r>
        <w:rPr>
          <w:rStyle w:val="CommentReference"/>
        </w:rPr>
        <w:annotationRef/>
      </w:r>
      <w:proofErr w:type="spellStart"/>
      <w:r w:rsidRPr="00567D54">
        <w:t>Some</w:t>
      </w:r>
      <w:proofErr w:type="spellEnd"/>
      <w:r w:rsidRPr="00567D54">
        <w:t xml:space="preserve"> </w:t>
      </w:r>
      <w:proofErr w:type="spellStart"/>
      <w:r w:rsidRPr="00567D54">
        <w:t>references</w:t>
      </w:r>
      <w:proofErr w:type="spellEnd"/>
      <w:r w:rsidRPr="00567D54">
        <w:t xml:space="preserve"> are </w:t>
      </w:r>
      <w:proofErr w:type="spellStart"/>
      <w:r w:rsidRPr="00567D54">
        <w:t>incomplete</w:t>
      </w:r>
      <w:proofErr w:type="spellEnd"/>
      <w:r w:rsidRPr="00567D54">
        <w:t xml:space="preserve">. </w:t>
      </w:r>
      <w:proofErr w:type="spellStart"/>
      <w:r w:rsidRPr="00567D54">
        <w:t>Make</w:t>
      </w:r>
      <w:proofErr w:type="spellEnd"/>
      <w:r w:rsidRPr="00567D54">
        <w:t xml:space="preserve"> sure all citations are in the correct format and </w:t>
      </w:r>
      <w:proofErr w:type="spellStart"/>
      <w:r w:rsidRPr="00567D54">
        <w:t>include</w:t>
      </w:r>
      <w:proofErr w:type="spellEnd"/>
      <w:r w:rsidRPr="00567D54">
        <w:t xml:space="preserve"> </w:t>
      </w:r>
      <w:proofErr w:type="spellStart"/>
      <w:r w:rsidRPr="00567D54">
        <w:t>recent</w:t>
      </w:r>
      <w:proofErr w:type="spellEnd"/>
      <w:r w:rsidRPr="00567D54">
        <w:t xml:space="preserve"> </w:t>
      </w:r>
      <w:proofErr w:type="spellStart"/>
      <w:r w:rsidRPr="00567D54">
        <w:t>studies</w:t>
      </w:r>
      <w:proofErr w:type="spellEnd"/>
      <w:r w:rsidRPr="00567D54">
        <w:t xml:space="preserve"> on </w:t>
      </w:r>
      <w:proofErr w:type="spellStart"/>
      <w:r w:rsidRPr="00567D54">
        <w:t>antimicrobial</w:t>
      </w:r>
      <w:proofErr w:type="spellEnd"/>
      <w:r w:rsidRPr="00567D54">
        <w:t xml:space="preserve"> </w:t>
      </w:r>
      <w:proofErr w:type="spellStart"/>
      <w:r w:rsidRPr="00567D54">
        <w:t>resistance</w:t>
      </w:r>
      <w:proofErr w:type="spellEnd"/>
      <w:r w:rsidRPr="00567D54">
        <w:t xml:space="preserve"> and air </w:t>
      </w:r>
      <w:proofErr w:type="spellStart"/>
      <w:r w:rsidRPr="00567D54">
        <w:t>quality</w:t>
      </w:r>
      <w:proofErr w:type="spellEnd"/>
      <w:r w:rsidRPr="00567D54">
        <w:t xml:space="preserve"> monitoring.</w:t>
      </w:r>
      <w:bookmarkStart w:id="34" w:name="_GoBack"/>
      <w:bookmarkEnd w:id="3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81853" w15:done="0"/>
  <w15:commentEx w15:paraId="1B5ED47B" w15:done="0"/>
  <w15:commentEx w15:paraId="71CA3B82" w15:done="0"/>
  <w15:commentEx w15:paraId="668E3DCD" w15:done="0"/>
  <w15:commentEx w15:paraId="5F13E5DF" w15:done="0"/>
  <w15:commentEx w15:paraId="14A5EEF1" w15:done="0"/>
  <w15:commentEx w15:paraId="700DD8A6" w15:done="0"/>
  <w15:commentEx w15:paraId="0CC80F25" w15:done="0"/>
  <w15:commentEx w15:paraId="1A331C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6BFD2" w14:textId="77777777" w:rsidR="00AB11C8" w:rsidRDefault="00AB11C8" w:rsidP="00E63309">
      <w:pPr>
        <w:spacing w:after="0" w:line="240" w:lineRule="auto"/>
      </w:pPr>
      <w:r>
        <w:separator/>
      </w:r>
    </w:p>
  </w:endnote>
  <w:endnote w:type="continuationSeparator" w:id="0">
    <w:p w14:paraId="0EC835DD" w14:textId="77777777" w:rsidR="00AB11C8" w:rsidRDefault="00AB11C8" w:rsidP="00E6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046C" w14:textId="77777777" w:rsidR="00E63309" w:rsidRDefault="00E6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0E4A" w14:textId="77777777" w:rsidR="00E63309" w:rsidRDefault="00E6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0C26" w14:textId="77777777" w:rsidR="00E63309" w:rsidRDefault="00E6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CC2D" w14:textId="77777777" w:rsidR="00AB11C8" w:rsidRDefault="00AB11C8" w:rsidP="00E63309">
      <w:pPr>
        <w:spacing w:after="0" w:line="240" w:lineRule="auto"/>
      </w:pPr>
      <w:r>
        <w:separator/>
      </w:r>
    </w:p>
  </w:footnote>
  <w:footnote w:type="continuationSeparator" w:id="0">
    <w:p w14:paraId="5A73548B" w14:textId="77777777" w:rsidR="00AB11C8" w:rsidRDefault="00AB11C8" w:rsidP="00E6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1341" w14:textId="5B071B5B" w:rsidR="00E63309" w:rsidRDefault="00AB11C8">
    <w:pPr>
      <w:pStyle w:val="Header"/>
    </w:pPr>
    <w:r>
      <w:rPr>
        <w:noProof/>
      </w:rPr>
      <w:pict w14:anchorId="02BB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5813" w14:textId="6537FF81" w:rsidR="00E63309" w:rsidRDefault="00AB11C8">
    <w:pPr>
      <w:pStyle w:val="Header"/>
    </w:pPr>
    <w:r>
      <w:rPr>
        <w:noProof/>
      </w:rPr>
      <w:pict w14:anchorId="0A0B0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48EA" w14:textId="4E3F79B2" w:rsidR="00E63309" w:rsidRDefault="00AB11C8">
    <w:pPr>
      <w:pStyle w:val="Header"/>
    </w:pPr>
    <w:r>
      <w:rPr>
        <w:noProof/>
      </w:rPr>
      <w:pict w14:anchorId="22EF3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4AE"/>
    <w:multiLevelType w:val="multilevel"/>
    <w:tmpl w:val="0B2267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257C3276"/>
    <w:multiLevelType w:val="hybridMultilevel"/>
    <w:tmpl w:val="538EE18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2BBA2C93"/>
    <w:multiLevelType w:val="multilevel"/>
    <w:tmpl w:val="040C0029"/>
    <w:lvl w:ilvl="0">
      <w:start w:val="1"/>
      <w:numFmt w:val="decimal"/>
      <w:pStyle w:val="Heading1"/>
      <w:suff w:val="space"/>
      <w:lvlText w:val="Chapitre %1"/>
      <w:lvlJc w:val="left"/>
      <w:pPr>
        <w:ind w:left="0" w:firstLine="0"/>
      </w:pPr>
    </w:lvl>
    <w:lvl w:ilvl="1">
      <w:start w:val="1"/>
      <w:numFmt w:val="none"/>
      <w:pStyle w:val="Heading2"/>
      <w:suff w:val="nothing"/>
      <w:lvlText w:val=""/>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Heading3"/>
      <w:suff w:val="nothing"/>
      <w:lvlText w:val=""/>
      <w:lvlJc w:val="left"/>
      <w:pPr>
        <w:ind w:left="0" w:firstLine="0"/>
      </w:pPr>
      <w:rPr>
        <w:strike w:val="0"/>
        <w:dstrike w:val="0"/>
        <w:color w:val="auto"/>
        <w:u w:val="none"/>
        <w:effect w:val="none"/>
      </w:rPr>
    </w:lvl>
    <w:lvl w:ilvl="3">
      <w:start w:val="1"/>
      <w:numFmt w:val="none"/>
      <w:pStyle w:val="Heading4"/>
      <w:suff w:val="nothing"/>
      <w:lvlText w:val=""/>
      <w:lvlJc w:val="left"/>
      <w:pPr>
        <w:ind w:left="0" w:firstLine="0"/>
      </w:pPr>
      <w:rPr>
        <w:color w:val="auto"/>
      </w:rPr>
    </w:lvl>
    <w:lvl w:ilvl="4">
      <w:start w:val="1"/>
      <w:numFmt w:val="none"/>
      <w:pStyle w:val="Heading5"/>
      <w:suff w:val="nothing"/>
      <w:lvlText w:val=""/>
      <w:lvlJc w:val="left"/>
      <w:pPr>
        <w:ind w:left="0" w:firstLine="0"/>
      </w:pPr>
      <w:rPr>
        <w:color w:val="auto"/>
      </w:rPr>
    </w:lvl>
    <w:lvl w:ilvl="5">
      <w:start w:val="1"/>
      <w:numFmt w:val="none"/>
      <w:pStyle w:val="Heading6"/>
      <w:suff w:val="nothing"/>
      <w:lvlText w:val=""/>
      <w:lvlJc w:val="left"/>
      <w:pPr>
        <w:ind w:left="0" w:firstLine="0"/>
      </w:pPr>
      <w:rPr>
        <w:color w:val="auto"/>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2D6F47B0"/>
    <w:multiLevelType w:val="hybridMultilevel"/>
    <w:tmpl w:val="DC5675BE"/>
    <w:lvl w:ilvl="0" w:tplc="6738300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0070A8"/>
    <w:multiLevelType w:val="multilevel"/>
    <w:tmpl w:val="D244068E"/>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
    <w15:presenceInfo w15:providerId="Windows Live" w15:userId="0a046678059f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wNTIxNDIzMzAyNDRW0lEKTi0uzszPAykwrAUAGxUFSiwAAAA="/>
  </w:docVars>
  <w:rsids>
    <w:rsidRoot w:val="00E67CBD"/>
    <w:rsid w:val="0003335F"/>
    <w:rsid w:val="00066C7F"/>
    <w:rsid w:val="00100175"/>
    <w:rsid w:val="00104F93"/>
    <w:rsid w:val="00107486"/>
    <w:rsid w:val="00153B3C"/>
    <w:rsid w:val="001C2FF9"/>
    <w:rsid w:val="001D6D2F"/>
    <w:rsid w:val="002B0200"/>
    <w:rsid w:val="00315F7B"/>
    <w:rsid w:val="00323080"/>
    <w:rsid w:val="0034292F"/>
    <w:rsid w:val="00370075"/>
    <w:rsid w:val="003B795A"/>
    <w:rsid w:val="00453075"/>
    <w:rsid w:val="004955AE"/>
    <w:rsid w:val="004B387F"/>
    <w:rsid w:val="00567D54"/>
    <w:rsid w:val="00586BB6"/>
    <w:rsid w:val="00597B7E"/>
    <w:rsid w:val="00674ABD"/>
    <w:rsid w:val="007074A4"/>
    <w:rsid w:val="00726ADB"/>
    <w:rsid w:val="00773074"/>
    <w:rsid w:val="00785AED"/>
    <w:rsid w:val="00792C00"/>
    <w:rsid w:val="007C1BD4"/>
    <w:rsid w:val="0088125C"/>
    <w:rsid w:val="008C689A"/>
    <w:rsid w:val="00913077"/>
    <w:rsid w:val="00AA10FD"/>
    <w:rsid w:val="00AB11C8"/>
    <w:rsid w:val="00AD0A13"/>
    <w:rsid w:val="00B1770C"/>
    <w:rsid w:val="00B904A0"/>
    <w:rsid w:val="00BE747B"/>
    <w:rsid w:val="00C11A55"/>
    <w:rsid w:val="00C32827"/>
    <w:rsid w:val="00C74A31"/>
    <w:rsid w:val="00D34FD5"/>
    <w:rsid w:val="00D84726"/>
    <w:rsid w:val="00DB0009"/>
    <w:rsid w:val="00DD7F4F"/>
    <w:rsid w:val="00E63309"/>
    <w:rsid w:val="00E67CBD"/>
    <w:rsid w:val="00E71965"/>
    <w:rsid w:val="00EB57A5"/>
    <w:rsid w:val="00F15B0D"/>
    <w:rsid w:val="00F36352"/>
    <w:rsid w:val="00F85C60"/>
    <w:rsid w:val="00FD04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0437D"/>
  <w15:chartTrackingRefBased/>
  <w15:docId w15:val="{9077C6ED-185D-46CE-AA0B-B9AA0B4E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7CBD"/>
    <w:pPr>
      <w:keepNext/>
      <w:keepLines/>
      <w:numPr>
        <w:numId w:val="1"/>
      </w:numPr>
      <w:spacing w:before="480" w:after="0" w:line="276" w:lineRule="auto"/>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semiHidden/>
    <w:unhideWhenUsed/>
    <w:qFormat/>
    <w:rsid w:val="00E67CBD"/>
    <w:pPr>
      <w:keepNext/>
      <w:keepLines/>
      <w:numPr>
        <w:ilvl w:val="1"/>
        <w:numId w:val="1"/>
      </w:numPr>
      <w:spacing w:before="200" w:after="0" w:line="276" w:lineRule="auto"/>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E67CBD"/>
    <w:pPr>
      <w:keepNext/>
      <w:keepLines/>
      <w:numPr>
        <w:ilvl w:val="2"/>
        <w:numId w:val="1"/>
      </w:numPr>
      <w:spacing w:before="120" w:after="120" w:line="276" w:lineRule="auto"/>
      <w:outlineLvl w:val="2"/>
    </w:pPr>
    <w:rPr>
      <w:rFonts w:ascii="Times New Roman" w:eastAsia="Times New Roman" w:hAnsi="Times New Roman" w:cs="Times New Roman"/>
      <w:b/>
      <w:bCs/>
      <w:sz w:val="24"/>
    </w:rPr>
  </w:style>
  <w:style w:type="paragraph" w:styleId="Heading4">
    <w:name w:val="heading 4"/>
    <w:basedOn w:val="Normal"/>
    <w:next w:val="Normal"/>
    <w:link w:val="Heading4Char"/>
    <w:uiPriority w:val="9"/>
    <w:semiHidden/>
    <w:unhideWhenUsed/>
    <w:qFormat/>
    <w:rsid w:val="00E67CBD"/>
    <w:pPr>
      <w:keepNext/>
      <w:keepLines/>
      <w:numPr>
        <w:ilvl w:val="3"/>
        <w:numId w:val="1"/>
      </w:numPr>
      <w:spacing w:before="200" w:after="120" w:line="276" w:lineRule="auto"/>
      <w:outlineLvl w:val="3"/>
    </w:pPr>
    <w:rPr>
      <w:rFonts w:ascii="Times New Roman" w:eastAsia="Times New Roman" w:hAnsi="Times New Roman" w:cs="Times New Roman"/>
      <w:b/>
      <w:bCs/>
      <w:iCs/>
      <w:sz w:val="24"/>
    </w:rPr>
  </w:style>
  <w:style w:type="paragraph" w:styleId="Heading5">
    <w:name w:val="heading 5"/>
    <w:basedOn w:val="Normal"/>
    <w:next w:val="Normal"/>
    <w:link w:val="Heading5Char"/>
    <w:uiPriority w:val="9"/>
    <w:semiHidden/>
    <w:unhideWhenUsed/>
    <w:qFormat/>
    <w:rsid w:val="00E67CBD"/>
    <w:pPr>
      <w:keepNext/>
      <w:keepLines/>
      <w:numPr>
        <w:ilvl w:val="4"/>
        <w:numId w:val="1"/>
      </w:numPr>
      <w:spacing w:before="200" w:after="120" w:line="276"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9"/>
    <w:semiHidden/>
    <w:unhideWhenUsed/>
    <w:qFormat/>
    <w:rsid w:val="00E67CBD"/>
    <w:pPr>
      <w:keepNext/>
      <w:keepLines/>
      <w:numPr>
        <w:ilvl w:val="5"/>
        <w:numId w:val="1"/>
      </w:numPr>
      <w:spacing w:before="200" w:after="120" w:line="276" w:lineRule="auto"/>
      <w:outlineLvl w:val="5"/>
    </w:pPr>
    <w:rPr>
      <w:rFonts w:ascii="Times New Roman" w:eastAsia="Times New Roman" w:hAnsi="Times New Roman" w:cs="Times New Roman"/>
      <w:b/>
      <w:iCs/>
      <w:sz w:val="24"/>
    </w:rPr>
  </w:style>
  <w:style w:type="paragraph" w:styleId="Heading7">
    <w:name w:val="heading 7"/>
    <w:basedOn w:val="Normal"/>
    <w:next w:val="Normal"/>
    <w:link w:val="Heading7Char"/>
    <w:uiPriority w:val="9"/>
    <w:semiHidden/>
    <w:unhideWhenUsed/>
    <w:qFormat/>
    <w:rsid w:val="00E67CBD"/>
    <w:pPr>
      <w:keepNext/>
      <w:keepLines/>
      <w:numPr>
        <w:ilvl w:val="6"/>
        <w:numId w:val="1"/>
      </w:numPr>
      <w:spacing w:before="200" w:after="0" w:line="276" w:lineRule="auto"/>
      <w:outlineLvl w:val="6"/>
    </w:pPr>
    <w:rPr>
      <w:rFonts w:ascii="Calibri Light" w:eastAsia="Times New Roman" w:hAnsi="Calibri Light" w:cs="Times New Roman"/>
      <w:i/>
      <w:iCs/>
      <w:color w:val="404040" w:themeColor="text1" w:themeTint="BF"/>
    </w:rPr>
  </w:style>
  <w:style w:type="paragraph" w:styleId="Heading8">
    <w:name w:val="heading 8"/>
    <w:basedOn w:val="Normal"/>
    <w:next w:val="Normal"/>
    <w:link w:val="Heading8Char"/>
    <w:uiPriority w:val="9"/>
    <w:semiHidden/>
    <w:unhideWhenUsed/>
    <w:qFormat/>
    <w:rsid w:val="00E67CBD"/>
    <w:pPr>
      <w:keepNext/>
      <w:keepLines/>
      <w:numPr>
        <w:ilvl w:val="7"/>
        <w:numId w:val="1"/>
      </w:numPr>
      <w:spacing w:before="200" w:after="0" w:line="276" w:lineRule="auto"/>
      <w:outlineLvl w:val="7"/>
    </w:pPr>
    <w:rPr>
      <w:rFonts w:ascii="Calibri Light" w:eastAsia="Times New Roman" w:hAnsi="Calibri Light" w:cs="Times New Roman"/>
      <w:color w:val="5B9BD5" w:themeColor="accent1"/>
      <w:sz w:val="20"/>
      <w:szCs w:val="20"/>
    </w:rPr>
  </w:style>
  <w:style w:type="paragraph" w:styleId="Heading9">
    <w:name w:val="heading 9"/>
    <w:basedOn w:val="Normal"/>
    <w:next w:val="Normal"/>
    <w:link w:val="Heading9Char"/>
    <w:uiPriority w:val="9"/>
    <w:semiHidden/>
    <w:unhideWhenUsed/>
    <w:qFormat/>
    <w:rsid w:val="00E67CBD"/>
    <w:pPr>
      <w:keepNext/>
      <w:keepLines/>
      <w:numPr>
        <w:ilvl w:val="8"/>
        <w:numId w:val="1"/>
      </w:numPr>
      <w:spacing w:before="200" w:after="0" w:line="276" w:lineRule="auto"/>
      <w:outlineLvl w:val="8"/>
    </w:pPr>
    <w:rPr>
      <w:rFonts w:ascii="Calibri Light" w:eastAsia="Times New Roman" w:hAnsi="Calibri Light"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CBD"/>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semiHidden/>
    <w:rsid w:val="00E67CBD"/>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sid w:val="00E67CBD"/>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semiHidden/>
    <w:rsid w:val="00E67CBD"/>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semiHidden/>
    <w:rsid w:val="00E67CBD"/>
    <w:rPr>
      <w:rFonts w:ascii="Times New Roman" w:eastAsia="Times New Roman" w:hAnsi="Times New Roman" w:cs="Times New Roman"/>
      <w:b/>
      <w:sz w:val="24"/>
    </w:rPr>
  </w:style>
  <w:style w:type="character" w:customStyle="1" w:styleId="Heading6Char">
    <w:name w:val="Heading 6 Char"/>
    <w:basedOn w:val="DefaultParagraphFont"/>
    <w:link w:val="Heading6"/>
    <w:uiPriority w:val="9"/>
    <w:semiHidden/>
    <w:rsid w:val="00E67CBD"/>
    <w:rPr>
      <w:rFonts w:ascii="Times New Roman" w:eastAsia="Times New Roman" w:hAnsi="Times New Roman" w:cs="Times New Roman"/>
      <w:b/>
      <w:iCs/>
      <w:sz w:val="24"/>
    </w:rPr>
  </w:style>
  <w:style w:type="character" w:customStyle="1" w:styleId="Heading7Char">
    <w:name w:val="Heading 7 Char"/>
    <w:basedOn w:val="DefaultParagraphFont"/>
    <w:link w:val="Heading7"/>
    <w:uiPriority w:val="9"/>
    <w:semiHidden/>
    <w:rsid w:val="00E67CBD"/>
    <w:rPr>
      <w:rFonts w:ascii="Calibri Light" w:eastAsia="Times New Roman" w:hAnsi="Calibri Light" w:cs="Times New Roman"/>
      <w:i/>
      <w:iCs/>
      <w:color w:val="404040" w:themeColor="text1" w:themeTint="BF"/>
    </w:rPr>
  </w:style>
  <w:style w:type="character" w:customStyle="1" w:styleId="Heading8Char">
    <w:name w:val="Heading 8 Char"/>
    <w:basedOn w:val="DefaultParagraphFont"/>
    <w:link w:val="Heading8"/>
    <w:uiPriority w:val="9"/>
    <w:semiHidden/>
    <w:rsid w:val="00E67CBD"/>
    <w:rPr>
      <w:rFonts w:ascii="Calibri Light" w:eastAsia="Times New Roman" w:hAnsi="Calibri Light" w:cs="Times New Roman"/>
      <w:color w:val="5B9BD5" w:themeColor="accent1"/>
      <w:sz w:val="20"/>
      <w:szCs w:val="20"/>
    </w:rPr>
  </w:style>
  <w:style w:type="character" w:customStyle="1" w:styleId="Heading9Char">
    <w:name w:val="Heading 9 Char"/>
    <w:basedOn w:val="DefaultParagraphFont"/>
    <w:link w:val="Heading9"/>
    <w:uiPriority w:val="9"/>
    <w:semiHidden/>
    <w:rsid w:val="00E67CBD"/>
    <w:rPr>
      <w:rFonts w:ascii="Calibri Light" w:eastAsia="Times New Roman" w:hAnsi="Calibri Light" w:cs="Times New Roman"/>
      <w:i/>
      <w:iCs/>
      <w:color w:val="404040" w:themeColor="text1" w:themeTint="BF"/>
      <w:sz w:val="20"/>
      <w:szCs w:val="20"/>
    </w:rPr>
  </w:style>
  <w:style w:type="numbering" w:customStyle="1" w:styleId="Aucuneliste1">
    <w:name w:val="Aucune liste1"/>
    <w:next w:val="NoList"/>
    <w:uiPriority w:val="99"/>
    <w:semiHidden/>
    <w:unhideWhenUsed/>
    <w:rsid w:val="00E67CBD"/>
  </w:style>
  <w:style w:type="character" w:styleId="Hyperlink">
    <w:name w:val="Hyperlink"/>
    <w:basedOn w:val="DefaultParagraphFont"/>
    <w:uiPriority w:val="99"/>
    <w:unhideWhenUsed/>
    <w:rsid w:val="00E67CBD"/>
    <w:rPr>
      <w:color w:val="0563C1" w:themeColor="hyperlink"/>
      <w:u w:val="single"/>
    </w:rPr>
  </w:style>
  <w:style w:type="character" w:styleId="FollowedHyperlink">
    <w:name w:val="FollowedHyperlink"/>
    <w:basedOn w:val="DefaultParagraphFont"/>
    <w:uiPriority w:val="99"/>
    <w:semiHidden/>
    <w:unhideWhenUsed/>
    <w:rsid w:val="00E67CBD"/>
    <w:rPr>
      <w:color w:val="954F72" w:themeColor="followedHyperlink"/>
      <w:u w:val="single"/>
    </w:rPr>
  </w:style>
  <w:style w:type="paragraph" w:customStyle="1" w:styleId="msonormal0">
    <w:name w:val="msonormal"/>
    <w:basedOn w:val="Normal"/>
    <w:rsid w:val="00E67C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semiHidden/>
    <w:unhideWhenUsed/>
    <w:qFormat/>
    <w:rsid w:val="00E67CBD"/>
    <w:pPr>
      <w:spacing w:after="200" w:line="240" w:lineRule="auto"/>
    </w:pPr>
    <w:rPr>
      <w:rFonts w:ascii="Calibri" w:eastAsia="Calibri" w:hAnsi="Calibri" w:cs="Times New Roman"/>
      <w:i/>
      <w:iCs/>
      <w:color w:val="44546A" w:themeColor="text2"/>
      <w:sz w:val="18"/>
      <w:szCs w:val="18"/>
    </w:rPr>
  </w:style>
  <w:style w:type="paragraph" w:styleId="ListParagraph">
    <w:name w:val="List Paragraph"/>
    <w:basedOn w:val="Normal"/>
    <w:uiPriority w:val="34"/>
    <w:qFormat/>
    <w:rsid w:val="00E67CBD"/>
    <w:pPr>
      <w:spacing w:line="256" w:lineRule="auto"/>
      <w:ind w:left="720"/>
      <w:contextualSpacing/>
    </w:pPr>
    <w:rPr>
      <w:rFonts w:ascii="Calibri" w:eastAsia="Calibri" w:hAnsi="Calibri" w:cs="Times New Roman"/>
    </w:rPr>
  </w:style>
  <w:style w:type="table" w:styleId="TableGrid">
    <w:name w:val="Table Grid"/>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7CBD"/>
    <w:rPr>
      <w:i/>
      <w:iCs/>
    </w:rPr>
  </w:style>
  <w:style w:type="paragraph" w:styleId="BalloonText">
    <w:name w:val="Balloon Text"/>
    <w:basedOn w:val="Normal"/>
    <w:link w:val="BalloonTextChar"/>
    <w:uiPriority w:val="99"/>
    <w:semiHidden/>
    <w:unhideWhenUsed/>
    <w:rsid w:val="00674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ABD"/>
    <w:rPr>
      <w:rFonts w:ascii="Segoe UI" w:hAnsi="Segoe UI" w:cs="Segoe UI"/>
      <w:sz w:val="18"/>
      <w:szCs w:val="18"/>
    </w:rPr>
  </w:style>
  <w:style w:type="paragraph" w:styleId="Header">
    <w:name w:val="header"/>
    <w:basedOn w:val="Normal"/>
    <w:link w:val="HeaderChar"/>
    <w:uiPriority w:val="99"/>
    <w:unhideWhenUsed/>
    <w:rsid w:val="00E6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09"/>
  </w:style>
  <w:style w:type="paragraph" w:styleId="Footer">
    <w:name w:val="footer"/>
    <w:basedOn w:val="Normal"/>
    <w:link w:val="FooterChar"/>
    <w:uiPriority w:val="99"/>
    <w:unhideWhenUsed/>
    <w:rsid w:val="00E6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09"/>
  </w:style>
  <w:style w:type="character" w:styleId="CommentReference">
    <w:name w:val="annotation reference"/>
    <w:basedOn w:val="DefaultParagraphFont"/>
    <w:uiPriority w:val="99"/>
    <w:semiHidden/>
    <w:unhideWhenUsed/>
    <w:rsid w:val="00C11A55"/>
    <w:rPr>
      <w:sz w:val="16"/>
      <w:szCs w:val="16"/>
    </w:rPr>
  </w:style>
  <w:style w:type="paragraph" w:styleId="CommentText">
    <w:name w:val="annotation text"/>
    <w:basedOn w:val="Normal"/>
    <w:link w:val="CommentTextChar"/>
    <w:uiPriority w:val="99"/>
    <w:semiHidden/>
    <w:unhideWhenUsed/>
    <w:rsid w:val="00C11A55"/>
    <w:pPr>
      <w:spacing w:line="240" w:lineRule="auto"/>
    </w:pPr>
    <w:rPr>
      <w:sz w:val="20"/>
      <w:szCs w:val="20"/>
    </w:rPr>
  </w:style>
  <w:style w:type="character" w:customStyle="1" w:styleId="CommentTextChar">
    <w:name w:val="Comment Text Char"/>
    <w:basedOn w:val="DefaultParagraphFont"/>
    <w:link w:val="CommentText"/>
    <w:uiPriority w:val="99"/>
    <w:semiHidden/>
    <w:rsid w:val="00C11A55"/>
    <w:rPr>
      <w:sz w:val="20"/>
      <w:szCs w:val="20"/>
    </w:rPr>
  </w:style>
  <w:style w:type="paragraph" w:styleId="CommentSubject">
    <w:name w:val="annotation subject"/>
    <w:basedOn w:val="CommentText"/>
    <w:next w:val="CommentText"/>
    <w:link w:val="CommentSubjectChar"/>
    <w:uiPriority w:val="99"/>
    <w:semiHidden/>
    <w:unhideWhenUsed/>
    <w:rsid w:val="00C11A55"/>
    <w:rPr>
      <w:b/>
      <w:bCs/>
    </w:rPr>
  </w:style>
  <w:style w:type="character" w:customStyle="1" w:styleId="CommentSubjectChar">
    <w:name w:val="Comment Subject Char"/>
    <w:basedOn w:val="CommentTextChar"/>
    <w:link w:val="CommentSubject"/>
    <w:uiPriority w:val="99"/>
    <w:semiHidden/>
    <w:rsid w:val="00C11A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chart" Target="charts/chart11.xml"/><Relationship Id="rId10" Type="http://schemas.openxmlformats.org/officeDocument/2006/relationships/chart" Target="charts/chart2.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 Id="rId27" Type="http://schemas.openxmlformats.org/officeDocument/2006/relationships/chart" Target="charts/chart10.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w3t\Desktop\ALIO%20M\MICROBIOLOGIE%203E\MANUSCRIT%20ORIGINAL\EXCEL\API_BMC.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MP</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921B-424B-BB3A-719B6DEBF200}"/>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921B-424B-BB3A-719B6DEBF200}"/>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921B-424B-BB3A-719B6DEBF200}"/>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921B-424B-BB3A-719B6DEBF200}"/>
              </c:ext>
            </c:extLst>
          </c:dPt>
          <c:errBars>
            <c:errBarType val="plus"/>
            <c:errValType val="stdErr"/>
            <c:noEndCap val="0"/>
            <c:spPr>
              <a:noFill/>
              <a:ln w="19050">
                <a:solidFill>
                  <a:schemeClr val="tx1">
                    <a:lumMod val="65000"/>
                    <a:lumOff val="35000"/>
                  </a:schemeClr>
                </a:solidFill>
                <a:round/>
              </a:ln>
              <a:effectLst/>
            </c:spPr>
          </c:errBars>
          <c:cat>
            <c:strRef>
              <c:f>Feuil3!$B$24:$B$27</c:f>
              <c:strCache>
                <c:ptCount val="4"/>
                <c:pt idx="0">
                  <c:v>Lettuce</c:v>
                </c:pt>
                <c:pt idx="1">
                  <c:v>Tomato</c:v>
                </c:pt>
                <c:pt idx="2">
                  <c:v>Carrot</c:v>
                </c:pt>
                <c:pt idx="3">
                  <c:v>Onion</c:v>
                </c:pt>
              </c:strCache>
            </c:strRef>
          </c:cat>
          <c:val>
            <c:numRef>
              <c:f>Feuil3!$C$24:$C$27</c:f>
              <c:numCache>
                <c:formatCode>0.00</c:formatCode>
                <c:ptCount val="4"/>
                <c:pt idx="0">
                  <c:v>4.0822000000000003</c:v>
                </c:pt>
                <c:pt idx="1">
                  <c:v>5.0747</c:v>
                </c:pt>
                <c:pt idx="2">
                  <c:v>4.2291999999999996</c:v>
                </c:pt>
                <c:pt idx="3">
                  <c:v>5.0002000000000004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921B-424B-BB3A-719B6DEBF200}"/>
            </c:ext>
          </c:extLst>
        </c:ser>
        <c:dLbls>
          <c:showLegendKey val="0"/>
          <c:showVal val="0"/>
          <c:showCatName val="0"/>
          <c:showSerName val="0"/>
          <c:showPercent val="0"/>
          <c:showBubbleSize val="0"/>
        </c:dLbls>
        <c:gapWidth val="80"/>
        <c:overlap val="25"/>
        <c:axId val="562092880"/>
        <c:axId val="562088288"/>
      </c:barChart>
      <c:catAx>
        <c:axId val="5620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 </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2088288"/>
        <c:crosses val="autoZero"/>
        <c:auto val="1"/>
        <c:lblAlgn val="ctr"/>
        <c:lblOffset val="100"/>
        <c:noMultiLvlLbl val="0"/>
      </c:catAx>
      <c:valAx>
        <c:axId val="562088288"/>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2092880"/>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56690997566912"/>
          <c:y val="0.22759988334791484"/>
          <c:w val="0.62791649821278461"/>
          <c:h val="0.86489209682123069"/>
        </c:manualLayout>
      </c:layout>
      <c:radarChart>
        <c:radarStyle val="marker"/>
        <c:varyColors val="0"/>
        <c:ser>
          <c:idx val="0"/>
          <c:order val="0"/>
          <c:tx>
            <c:strRef>
              <c:f>Feuil9!$B$1</c:f>
              <c:strCache>
                <c:ptCount val="1"/>
                <c:pt idx="0">
                  <c:v>G1</c:v>
                </c:pt>
              </c:strCache>
            </c:strRef>
          </c:tx>
          <c:spPr>
            <a:ln w="28575" cap="rnd">
              <a:solidFill>
                <a:schemeClr val="accent1"/>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Feuil9!$B$2:$B$12</c:f>
              <c:numCache>
                <c:formatCode>0.00%</c:formatCode>
                <c:ptCount val="11"/>
                <c:pt idx="0">
                  <c:v>0.76470588235294112</c:v>
                </c:pt>
                <c:pt idx="1">
                  <c:v>5.8823529411764705E-2</c:v>
                </c:pt>
                <c:pt idx="2">
                  <c:v>0.70588235294117652</c:v>
                </c:pt>
                <c:pt idx="3">
                  <c:v>0.41176470588235292</c:v>
                </c:pt>
                <c:pt idx="4">
                  <c:v>0.47058823529411764</c:v>
                </c:pt>
                <c:pt idx="5">
                  <c:v>0.94117647058823528</c:v>
                </c:pt>
                <c:pt idx="6">
                  <c:v>0.70588235294117652</c:v>
                </c:pt>
                <c:pt idx="7">
                  <c:v>5.8823529411764705E-2</c:v>
                </c:pt>
                <c:pt idx="8">
                  <c:v>0</c:v>
                </c:pt>
                <c:pt idx="9">
                  <c:v>5.8823529411764705E-2</c:v>
                </c:pt>
                <c:pt idx="10">
                  <c:v>0.35294117647058826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CA0-452F-92AB-9B4DAB83423B}"/>
            </c:ext>
          </c:extLst>
        </c:ser>
        <c:ser>
          <c:idx val="1"/>
          <c:order val="1"/>
          <c:tx>
            <c:strRef>
              <c:f>Feuil9!$C$1</c:f>
              <c:strCache>
                <c:ptCount val="1"/>
                <c:pt idx="0">
                  <c:v>G2</c:v>
                </c:pt>
              </c:strCache>
            </c:strRef>
          </c:tx>
          <c:spPr>
            <a:ln w="28575" cap="rnd">
              <a:solidFill>
                <a:schemeClr val="accent2"/>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Feuil9!$C$2:$C$12</c:f>
              <c:numCache>
                <c:formatCode>0.00%</c:formatCode>
                <c:ptCount val="11"/>
                <c:pt idx="0">
                  <c:v>0.89655172413793105</c:v>
                </c:pt>
                <c:pt idx="1">
                  <c:v>0</c:v>
                </c:pt>
                <c:pt idx="2">
                  <c:v>0.41379310344827586</c:v>
                </c:pt>
                <c:pt idx="3">
                  <c:v>0.37931034482758619</c:v>
                </c:pt>
                <c:pt idx="4">
                  <c:v>0.58620689655172409</c:v>
                </c:pt>
                <c:pt idx="5">
                  <c:v>0.37931034482758619</c:v>
                </c:pt>
                <c:pt idx="6">
                  <c:v>0.10344827586206896</c:v>
                </c:pt>
                <c:pt idx="7">
                  <c:v>0.17241379310344829</c:v>
                </c:pt>
                <c:pt idx="8">
                  <c:v>0.2413793103448276</c:v>
                </c:pt>
                <c:pt idx="9">
                  <c:v>0.31034482758620691</c:v>
                </c:pt>
                <c:pt idx="10">
                  <c:v>0.2413793103448276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ACA0-452F-92AB-9B4DAB83423B}"/>
            </c:ext>
          </c:extLst>
        </c:ser>
        <c:ser>
          <c:idx val="2"/>
          <c:order val="2"/>
          <c:tx>
            <c:strRef>
              <c:f>Feuil9!$D$1</c:f>
              <c:strCache>
                <c:ptCount val="1"/>
                <c:pt idx="0">
                  <c:v>G3</c:v>
                </c:pt>
              </c:strCache>
            </c:strRef>
          </c:tx>
          <c:spPr>
            <a:ln w="28575" cap="rnd">
              <a:solidFill>
                <a:srgbClr val="00B050"/>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Feuil9!$D$2:$D$12</c:f>
              <c:numCache>
                <c:formatCode>0.00%</c:formatCode>
                <c:ptCount val="11"/>
                <c:pt idx="0">
                  <c:v>0.4</c:v>
                </c:pt>
                <c:pt idx="1">
                  <c:v>0.2</c:v>
                </c:pt>
                <c:pt idx="2">
                  <c:v>0.6</c:v>
                </c:pt>
                <c:pt idx="3">
                  <c:v>0.1</c:v>
                </c:pt>
                <c:pt idx="4">
                  <c:v>0.1</c:v>
                </c:pt>
                <c:pt idx="5">
                  <c:v>0.5</c:v>
                </c:pt>
                <c:pt idx="6">
                  <c:v>0.2</c:v>
                </c:pt>
                <c:pt idx="7">
                  <c:v>0.1</c:v>
                </c:pt>
                <c:pt idx="8">
                  <c:v>0.3</c:v>
                </c:pt>
                <c:pt idx="9">
                  <c:v>0</c:v>
                </c:pt>
                <c:pt idx="10">
                  <c:v>0.5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ACA0-452F-92AB-9B4DAB83423B}"/>
            </c:ext>
          </c:extLst>
        </c:ser>
        <c:ser>
          <c:idx val="3"/>
          <c:order val="3"/>
          <c:tx>
            <c:strRef>
              <c:f>Feuil9!$E$1</c:f>
              <c:strCache>
                <c:ptCount val="1"/>
                <c:pt idx="0">
                  <c:v>G4</c:v>
                </c:pt>
              </c:strCache>
            </c:strRef>
          </c:tx>
          <c:spPr>
            <a:ln w="28575" cap="rnd">
              <a:solidFill>
                <a:schemeClr val="accent4"/>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Feuil9!$E$2:$E$12</c:f>
              <c:numCache>
                <c:formatCode>0.00%</c:formatCode>
                <c:ptCount val="11"/>
                <c:pt idx="0">
                  <c:v>0.25</c:v>
                </c:pt>
                <c:pt idx="1">
                  <c:v>0.75</c:v>
                </c:pt>
                <c:pt idx="2">
                  <c:v>0</c:v>
                </c:pt>
                <c:pt idx="3">
                  <c:v>0</c:v>
                </c:pt>
                <c:pt idx="4">
                  <c:v>0.5</c:v>
                </c:pt>
                <c:pt idx="5">
                  <c:v>0.75</c:v>
                </c:pt>
                <c:pt idx="6">
                  <c:v>0.5</c:v>
                </c:pt>
                <c:pt idx="7">
                  <c:v>0.75</c:v>
                </c:pt>
                <c:pt idx="8">
                  <c:v>0.25</c:v>
                </c:pt>
                <c:pt idx="9">
                  <c:v>0</c:v>
                </c:pt>
                <c:pt idx="10">
                  <c:v>0.75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ACA0-452F-92AB-9B4DAB83423B}"/>
            </c:ext>
          </c:extLst>
        </c:ser>
        <c:dLbls>
          <c:showLegendKey val="0"/>
          <c:showVal val="0"/>
          <c:showCatName val="0"/>
          <c:showSerName val="0"/>
          <c:showPercent val="0"/>
          <c:showBubbleSize val="0"/>
        </c:dLbls>
        <c:axId val="533922832"/>
        <c:axId val="533929720"/>
      </c:radarChart>
      <c:catAx>
        <c:axId val="53392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9720"/>
        <c:crosses val="autoZero"/>
        <c:auto val="1"/>
        <c:lblAlgn val="ctr"/>
        <c:lblOffset val="100"/>
        <c:noMultiLvlLbl val="0"/>
      </c:catAx>
      <c:valAx>
        <c:axId val="533929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2832"/>
        <c:crosses val="autoZero"/>
        <c:crossBetween val="between"/>
      </c:valAx>
      <c:spPr>
        <a:noFill/>
        <a:ln>
          <a:noFill/>
        </a:ln>
        <a:effectLst/>
      </c:spPr>
    </c:plotArea>
    <c:legend>
      <c:legendPos val="r"/>
      <c:legendEntry>
        <c:idx val="2"/>
        <c:txPr>
          <a:bodyPr rot="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legendEntry>
      <c:layout>
        <c:manualLayout>
          <c:xMode val="edge"/>
          <c:yMode val="edge"/>
          <c:x val="0.77985401459854009"/>
          <c:y val="0.65393409157188676"/>
          <c:w val="0.18629629629629629"/>
          <c:h val="0.32967263707421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98859034373281"/>
          <c:y val="0.15951990376202974"/>
          <c:w val="0.59604801977072452"/>
          <c:h val="0.60225685331000289"/>
        </c:manualLayout>
      </c:layout>
      <c:radarChart>
        <c:radarStyle val="marker"/>
        <c:varyColors val="0"/>
        <c:ser>
          <c:idx val="0"/>
          <c:order val="0"/>
          <c:tx>
            <c:strRef>
              <c:f>Feuil9!$B$1</c:f>
              <c:strCache>
                <c:ptCount val="1"/>
                <c:pt idx="0">
                  <c:v>G1</c:v>
                </c:pt>
              </c:strCache>
            </c:strRef>
          </c:tx>
          <c:spPr>
            <a:ln w="15875" cap="rnd">
              <a:solidFill>
                <a:schemeClr val="accent1"/>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Feuil9!$B$13:$B$21</c:f>
              <c:numCache>
                <c:formatCode>0.00%</c:formatCode>
                <c:ptCount val="9"/>
                <c:pt idx="0">
                  <c:v>0.88235294117647056</c:v>
                </c:pt>
                <c:pt idx="1">
                  <c:v>0.94117647058823528</c:v>
                </c:pt>
                <c:pt idx="2">
                  <c:v>0.47058823529411764</c:v>
                </c:pt>
                <c:pt idx="3">
                  <c:v>1</c:v>
                </c:pt>
                <c:pt idx="4">
                  <c:v>1</c:v>
                </c:pt>
                <c:pt idx="5">
                  <c:v>0.41176470588235292</c:v>
                </c:pt>
                <c:pt idx="6">
                  <c:v>0.70588235294117652</c:v>
                </c:pt>
                <c:pt idx="7">
                  <c:v>0.41176470588235292</c:v>
                </c:pt>
                <c:pt idx="8">
                  <c:v>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FDA-43AB-97F0-9E667373A8CD}"/>
            </c:ext>
          </c:extLst>
        </c:ser>
        <c:ser>
          <c:idx val="1"/>
          <c:order val="1"/>
          <c:tx>
            <c:strRef>
              <c:f>Feuil9!$C$1</c:f>
              <c:strCache>
                <c:ptCount val="1"/>
                <c:pt idx="0">
                  <c:v>G2</c:v>
                </c:pt>
              </c:strCache>
            </c:strRef>
          </c:tx>
          <c:spPr>
            <a:ln w="15875" cap="rnd">
              <a:solidFill>
                <a:schemeClr val="accent2"/>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Feuil9!$C$13:$C$21</c:f>
              <c:numCache>
                <c:formatCode>0.00%</c:formatCode>
                <c:ptCount val="9"/>
                <c:pt idx="0">
                  <c:v>1</c:v>
                </c:pt>
                <c:pt idx="1">
                  <c:v>1</c:v>
                </c:pt>
                <c:pt idx="2">
                  <c:v>0.55172413793103448</c:v>
                </c:pt>
                <c:pt idx="3">
                  <c:v>0.93103448275862066</c:v>
                </c:pt>
                <c:pt idx="4">
                  <c:v>0.89655172413793105</c:v>
                </c:pt>
                <c:pt idx="5">
                  <c:v>0.93103448275862066</c:v>
                </c:pt>
                <c:pt idx="6">
                  <c:v>0.86206896551724133</c:v>
                </c:pt>
                <c:pt idx="7">
                  <c:v>0.86206896551724133</c:v>
                </c:pt>
                <c:pt idx="8">
                  <c:v>0.96551724137931039</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BFDA-43AB-97F0-9E667373A8CD}"/>
            </c:ext>
          </c:extLst>
        </c:ser>
        <c:ser>
          <c:idx val="2"/>
          <c:order val="2"/>
          <c:tx>
            <c:strRef>
              <c:f>Feuil9!$D$1</c:f>
              <c:strCache>
                <c:ptCount val="1"/>
                <c:pt idx="0">
                  <c:v>G3</c:v>
                </c:pt>
              </c:strCache>
            </c:strRef>
          </c:tx>
          <c:spPr>
            <a:ln w="15875" cap="rnd">
              <a:solidFill>
                <a:schemeClr val="accent3"/>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Feuil9!$D$13:$D$21</c:f>
              <c:numCache>
                <c:formatCode>0.00%</c:formatCode>
                <c:ptCount val="9"/>
                <c:pt idx="0">
                  <c:v>0.9</c:v>
                </c:pt>
                <c:pt idx="1">
                  <c:v>0.8</c:v>
                </c:pt>
                <c:pt idx="2">
                  <c:v>0.4</c:v>
                </c:pt>
                <c:pt idx="3">
                  <c:v>0.7</c:v>
                </c:pt>
                <c:pt idx="4">
                  <c:v>0.8</c:v>
                </c:pt>
                <c:pt idx="5">
                  <c:v>0.4</c:v>
                </c:pt>
                <c:pt idx="6">
                  <c:v>0.2</c:v>
                </c:pt>
                <c:pt idx="7">
                  <c:v>0.2</c:v>
                </c:pt>
                <c:pt idx="8">
                  <c:v>0.6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BFDA-43AB-97F0-9E667373A8CD}"/>
            </c:ext>
          </c:extLst>
        </c:ser>
        <c:ser>
          <c:idx val="3"/>
          <c:order val="3"/>
          <c:tx>
            <c:strRef>
              <c:f>Feuil9!$E$1</c:f>
              <c:strCache>
                <c:ptCount val="1"/>
                <c:pt idx="0">
                  <c:v>G4</c:v>
                </c:pt>
              </c:strCache>
            </c:strRef>
          </c:tx>
          <c:spPr>
            <a:ln w="15875" cap="rnd">
              <a:solidFill>
                <a:schemeClr val="accent4"/>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Feuil9!$E$13:$E$21</c:f>
              <c:numCache>
                <c:formatCode>0.00%</c:formatCode>
                <c:ptCount val="9"/>
                <c:pt idx="0">
                  <c:v>0.75</c:v>
                </c:pt>
                <c:pt idx="1">
                  <c:v>0.25</c:v>
                </c:pt>
                <c:pt idx="2">
                  <c:v>0.25</c:v>
                </c:pt>
                <c:pt idx="3">
                  <c:v>0</c:v>
                </c:pt>
                <c:pt idx="4">
                  <c:v>0</c:v>
                </c:pt>
                <c:pt idx="5">
                  <c:v>0.75</c:v>
                </c:pt>
                <c:pt idx="6">
                  <c:v>0</c:v>
                </c:pt>
                <c:pt idx="7">
                  <c:v>0.25</c:v>
                </c:pt>
                <c:pt idx="8">
                  <c:v>0</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BFDA-43AB-97F0-9E667373A8CD}"/>
            </c:ext>
          </c:extLst>
        </c:ser>
        <c:dLbls>
          <c:showLegendKey val="0"/>
          <c:showVal val="0"/>
          <c:showCatName val="0"/>
          <c:showSerName val="0"/>
          <c:showPercent val="0"/>
          <c:showBubbleSize val="0"/>
        </c:dLbls>
        <c:axId val="532274088"/>
        <c:axId val="532275072"/>
      </c:radarChart>
      <c:catAx>
        <c:axId val="532274088"/>
        <c:scaling>
          <c:orientation val="minMax"/>
        </c:scaling>
        <c:delete val="0"/>
        <c:axPos val="b"/>
        <c:title>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5072"/>
        <c:crosses val="autoZero"/>
        <c:auto val="1"/>
        <c:lblAlgn val="ctr"/>
        <c:lblOffset val="100"/>
        <c:noMultiLvlLbl val="0"/>
      </c:catAx>
      <c:valAx>
        <c:axId val="53227507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4088"/>
        <c:crosses val="autoZero"/>
        <c:crossBetween val="between"/>
      </c:valAx>
      <c:spPr>
        <a:noFill/>
        <a:ln>
          <a:noFill/>
        </a:ln>
        <a:effectLst/>
      </c:spPr>
    </c:plotArea>
    <c:legend>
      <c:legendPos val="r"/>
      <c:layout>
        <c:manualLayout>
          <c:xMode val="edge"/>
          <c:yMode val="edge"/>
          <c:x val="0.78061865903125738"/>
          <c:y val="0.65286071075025665"/>
          <c:w val="0.21128398950131233"/>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6123-4BC8-8FA2-91F643585C5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6123-4BC8-8FA2-91F643585C5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6123-4BC8-8FA2-91F643585C5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6123-4BC8-8FA2-91F643585C58}"/>
              </c:ext>
            </c:extLst>
          </c:dPt>
          <c:errBars>
            <c:errBarType val="plus"/>
            <c:errValType val="stdErr"/>
            <c:noEndCap val="0"/>
            <c:spPr>
              <a:noFill/>
              <a:ln w="19050">
                <a:solidFill>
                  <a:schemeClr val="tx1">
                    <a:lumMod val="65000"/>
                    <a:lumOff val="35000"/>
                  </a:schemeClr>
                </a:solidFill>
                <a:round/>
              </a:ln>
              <a:effectLst/>
            </c:spPr>
          </c:errBars>
          <c:cat>
            <c:strRef>
              <c:f>Feuil3!$B$34:$B$37</c:f>
              <c:strCache>
                <c:ptCount val="4"/>
                <c:pt idx="0">
                  <c:v>Lettuce</c:v>
                </c:pt>
                <c:pt idx="1">
                  <c:v>Tomato</c:v>
                </c:pt>
                <c:pt idx="2">
                  <c:v>Carrot</c:v>
                </c:pt>
                <c:pt idx="3">
                  <c:v>Onion</c:v>
                </c:pt>
              </c:strCache>
            </c:strRef>
          </c:cat>
          <c:val>
            <c:numRef>
              <c:f>Feuil3!$C$34:$C$37</c:f>
              <c:numCache>
                <c:formatCode>0.00</c:formatCode>
                <c:ptCount val="4"/>
                <c:pt idx="0">
                  <c:v>5.2222</c:v>
                </c:pt>
                <c:pt idx="1">
                  <c:v>5.1002999999999998</c:v>
                </c:pt>
                <c:pt idx="2">
                  <c:v>5.3570000000000002</c:v>
                </c:pt>
                <c:pt idx="3">
                  <c:v>5.6702000000000004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6123-4BC8-8FA2-91F643585C58}"/>
            </c:ext>
          </c:extLst>
        </c:ser>
        <c:dLbls>
          <c:showLegendKey val="0"/>
          <c:showVal val="0"/>
          <c:showCatName val="0"/>
          <c:showSerName val="0"/>
          <c:showPercent val="0"/>
          <c:showBubbleSize val="0"/>
        </c:dLbls>
        <c:gapWidth val="80"/>
        <c:overlap val="25"/>
        <c:axId val="547918488"/>
        <c:axId val="547909632"/>
      </c:barChart>
      <c:catAx>
        <c:axId val="54791848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09632"/>
        <c:crossesAt val="0"/>
        <c:auto val="1"/>
        <c:lblAlgn val="ctr"/>
        <c:lblOffset val="100"/>
        <c:noMultiLvlLbl val="0"/>
      </c:catAx>
      <c:valAx>
        <c:axId val="547909632"/>
        <c:scaling>
          <c:orientation val="minMax"/>
          <c:max val="6"/>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Log</a:t>
                </a:r>
                <a:r>
                  <a:rPr lang="fr-FR" cap="none" baseline="-25000"/>
                  <a:t>10</a:t>
                </a:r>
                <a:r>
                  <a:rPr lang="fr-FR" cap="none" baseline="0"/>
                  <a:t> FCU/g</a:t>
                </a:r>
                <a:endParaRPr lang="fr-FR" cap="none"/>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18488"/>
        <c:crosses val="autoZero"/>
        <c:crossBetween val="between"/>
        <c:majorUnit val="2"/>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MDR</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964E-4119-9DC7-E1E48A01FC1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964E-4119-9DC7-E1E48A01FC1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964E-4119-9DC7-E1E48A01FC1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964E-4119-9DC7-E1E48A01FC18}"/>
              </c:ext>
            </c:extLst>
          </c:dPt>
          <c:errBars>
            <c:errBarType val="plus"/>
            <c:errValType val="stdErr"/>
            <c:noEndCap val="0"/>
            <c:spPr>
              <a:noFill/>
              <a:ln w="19050">
                <a:solidFill>
                  <a:schemeClr val="tx1">
                    <a:lumMod val="65000"/>
                    <a:lumOff val="35000"/>
                  </a:schemeClr>
                </a:solidFill>
                <a:round/>
              </a:ln>
              <a:effectLst/>
            </c:spPr>
          </c:errBars>
          <c:cat>
            <c:strRef>
              <c:f>Feuil3!$B$39:$B$42</c:f>
              <c:strCache>
                <c:ptCount val="4"/>
                <c:pt idx="0">
                  <c:v>Lettuce</c:v>
                </c:pt>
                <c:pt idx="1">
                  <c:v>Tomato</c:v>
                </c:pt>
                <c:pt idx="2">
                  <c:v>Carrot</c:v>
                </c:pt>
                <c:pt idx="3">
                  <c:v>Onion</c:v>
                </c:pt>
              </c:strCache>
            </c:strRef>
          </c:cat>
          <c:val>
            <c:numRef>
              <c:f>Feuil3!$C$39:$C$42</c:f>
              <c:numCache>
                <c:formatCode>0.00</c:formatCode>
                <c:ptCount val="4"/>
                <c:pt idx="0">
                  <c:v>4.9103000000000003</c:v>
                </c:pt>
                <c:pt idx="1">
                  <c:v>4.5382999999999996</c:v>
                </c:pt>
                <c:pt idx="2">
                  <c:v>5.4023000000000003</c:v>
                </c:pt>
                <c:pt idx="3">
                  <c:v>4.7279</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964E-4119-9DC7-E1E48A01FC18}"/>
            </c:ext>
          </c:extLst>
        </c:ser>
        <c:dLbls>
          <c:showLegendKey val="0"/>
          <c:showVal val="0"/>
          <c:showCatName val="0"/>
          <c:showSerName val="0"/>
          <c:showPercent val="0"/>
          <c:showBubbleSize val="0"/>
        </c:dLbls>
        <c:gapWidth val="80"/>
        <c:overlap val="25"/>
        <c:axId val="547921768"/>
        <c:axId val="547925376"/>
      </c:barChart>
      <c:catAx>
        <c:axId val="54792176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25376"/>
        <c:crosses val="autoZero"/>
        <c:auto val="1"/>
        <c:lblAlgn val="ctr"/>
        <c:lblOffset val="100"/>
        <c:noMultiLvlLbl val="0"/>
      </c:catAx>
      <c:valAx>
        <c:axId val="547925376"/>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a:latin typeface="Times New Roman" panose="02020603050405020304" pitchFamily="18" charset="0"/>
                    <a:cs typeface="Times New Roman" panose="02020603050405020304" pitchFamily="18" charset="0"/>
                  </a:rPr>
                  <a:t> FCU/G</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21768"/>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MW</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2F0-4269-905D-45CB26D4538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2F0-4269-905D-45CB26D4538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2F0-4269-905D-45CB26D4538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C2F0-4269-905D-45CB26D45388}"/>
              </c:ext>
            </c:extLst>
          </c:dPt>
          <c:errBars>
            <c:errBarType val="plus"/>
            <c:errValType val="stdErr"/>
            <c:noEndCap val="0"/>
            <c:spPr>
              <a:noFill/>
              <a:ln w="19050">
                <a:solidFill>
                  <a:schemeClr val="tx1">
                    <a:lumMod val="65000"/>
                    <a:lumOff val="35000"/>
                  </a:schemeClr>
                </a:solidFill>
                <a:round/>
              </a:ln>
              <a:effectLst/>
            </c:spPr>
          </c:errBars>
          <c:cat>
            <c:strRef>
              <c:f>Feuil3!$B$29:$B$32</c:f>
              <c:strCache>
                <c:ptCount val="4"/>
                <c:pt idx="0">
                  <c:v>Lettuce</c:v>
                </c:pt>
                <c:pt idx="1">
                  <c:v>Tomato</c:v>
                </c:pt>
                <c:pt idx="2">
                  <c:v>Carrot</c:v>
                </c:pt>
                <c:pt idx="3">
                  <c:v>Onion</c:v>
                </c:pt>
              </c:strCache>
            </c:strRef>
          </c:cat>
          <c:val>
            <c:numRef>
              <c:f>Feuil3!$C$29:$C$32</c:f>
              <c:numCache>
                <c:formatCode>0.00</c:formatCode>
                <c:ptCount val="4"/>
                <c:pt idx="0">
                  <c:v>5.0883000000000003</c:v>
                </c:pt>
                <c:pt idx="1">
                  <c:v>5.3097000000000003</c:v>
                </c:pt>
                <c:pt idx="2">
                  <c:v>4.7032999999999996</c:v>
                </c:pt>
                <c:pt idx="3">
                  <c:v>5.4547999999999996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C2F0-4269-905D-45CB26D45388}"/>
            </c:ext>
          </c:extLst>
        </c:ser>
        <c:dLbls>
          <c:showLegendKey val="0"/>
          <c:showVal val="0"/>
          <c:showCatName val="0"/>
          <c:showSerName val="0"/>
          <c:showPercent val="0"/>
          <c:showBubbleSize val="0"/>
        </c:dLbls>
        <c:gapWidth val="80"/>
        <c:overlap val="25"/>
        <c:axId val="565209192"/>
        <c:axId val="565205912"/>
      </c:barChart>
      <c:catAx>
        <c:axId val="56520919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5205912"/>
        <c:crosses val="autoZero"/>
        <c:auto val="1"/>
        <c:lblAlgn val="ctr"/>
        <c:lblOffset val="100"/>
        <c:noMultiLvlLbl val="0"/>
      </c:catAx>
      <c:valAx>
        <c:axId val="565205912"/>
        <c:scaling>
          <c:orientation val="minMax"/>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520919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MH</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chemeClr val="bg2">
                  <a:lumMod val="1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815-4DBD-A356-97E611E3273B}"/>
              </c:ext>
            </c:extLst>
          </c:dPt>
          <c:dPt>
            <c:idx val="1"/>
            <c:invertIfNegative val="0"/>
            <c:bubble3D val="0"/>
            <c:spPr>
              <a:solidFill>
                <a:schemeClr val="bg2">
                  <a:lumMod val="5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815-4DBD-A356-97E611E3273B}"/>
              </c:ext>
            </c:extLst>
          </c:dPt>
          <c:dPt>
            <c:idx val="2"/>
            <c:invertIfNegative val="0"/>
            <c:bubble3D val="0"/>
            <c:spPr>
              <a:solidFill>
                <a:schemeClr val="tx2">
                  <a:lumMod val="60000"/>
                  <a:lumOff val="4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815-4DBD-A356-97E611E3273B}"/>
              </c:ext>
            </c:extLst>
          </c:dPt>
          <c:dPt>
            <c:idx val="3"/>
            <c:invertIfNegative val="0"/>
            <c:bubble3D val="0"/>
            <c:spPr>
              <a:solidFill>
                <a:schemeClr val="bg2">
                  <a:lumMod val="9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C815-4DBD-A356-97E611E3273B}"/>
              </c:ext>
            </c:extLst>
          </c:dPt>
          <c:errBars>
            <c:errBarType val="plus"/>
            <c:errValType val="stdErr"/>
            <c:noEndCap val="0"/>
            <c:spPr>
              <a:noFill/>
              <a:ln w="19050">
                <a:solidFill>
                  <a:schemeClr val="tx1">
                    <a:lumMod val="65000"/>
                    <a:lumOff val="35000"/>
                  </a:schemeClr>
                </a:solidFill>
                <a:round/>
              </a:ln>
              <a:effectLst/>
            </c:spPr>
          </c:errBars>
          <c:cat>
            <c:strRef>
              <c:f>Feuil3!$B$19:$B$22</c:f>
              <c:strCache>
                <c:ptCount val="4"/>
                <c:pt idx="0">
                  <c:v>Lettuce</c:v>
                </c:pt>
                <c:pt idx="1">
                  <c:v>Tomato</c:v>
                </c:pt>
                <c:pt idx="2">
                  <c:v>Carrot</c:v>
                </c:pt>
                <c:pt idx="3">
                  <c:v>Onion</c:v>
                </c:pt>
              </c:strCache>
            </c:strRef>
          </c:cat>
          <c:val>
            <c:numRef>
              <c:f>Feuil3!$C$19:$C$22</c:f>
              <c:numCache>
                <c:formatCode>0.00</c:formatCode>
                <c:ptCount val="4"/>
                <c:pt idx="0">
                  <c:v>4.9885999999999999</c:v>
                </c:pt>
                <c:pt idx="1">
                  <c:v>4.7089999999999996</c:v>
                </c:pt>
                <c:pt idx="2">
                  <c:v>5.6348000000000003</c:v>
                </c:pt>
                <c:pt idx="3">
                  <c:v>4.9231999999999996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C815-4DBD-A356-97E611E3273B}"/>
            </c:ext>
          </c:extLst>
        </c:ser>
        <c:dLbls>
          <c:showLegendKey val="0"/>
          <c:showVal val="0"/>
          <c:showCatName val="0"/>
          <c:showSerName val="0"/>
          <c:showPercent val="0"/>
          <c:showBubbleSize val="0"/>
        </c:dLbls>
        <c:gapWidth val="80"/>
        <c:overlap val="25"/>
        <c:axId val="536393864"/>
        <c:axId val="536389272"/>
      </c:barChart>
      <c:catAx>
        <c:axId val="536393864"/>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36389272"/>
        <c:crosses val="autoZero"/>
        <c:auto val="1"/>
        <c:lblAlgn val="ctr"/>
        <c:lblOffset val="100"/>
        <c:tickMarkSkip val="2"/>
        <c:noMultiLvlLbl val="0"/>
      </c:catAx>
      <c:valAx>
        <c:axId val="536389272"/>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  </a:t>
                </a:r>
                <a:r>
                  <a:rPr lang="fr-FR" cap="none" baseline="0">
                    <a:latin typeface="Times New Roman" panose="02020603050405020304" pitchFamily="18" charset="0"/>
                    <a:cs typeface="Times New Roman" panose="02020603050405020304" pitchFamily="18" charset="0"/>
                  </a:rPr>
                  <a:t> FCU/g</a:t>
                </a:r>
                <a:endParaRPr lang="fr-FR" cap="none" baseline="-25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lumMod val="65000"/>
                <a:lumOff val="35000"/>
              </a:schemeClr>
            </a:solidFill>
          </a:ln>
          <a:effectLst/>
        </c:spPr>
        <c:txPr>
          <a:bodyPr rot="-5400000" spcFirstLastPara="1" vertOverflow="ellipsis" wrap="square" anchor="ctr" anchorCtr="1"/>
          <a:lstStyle/>
          <a:p>
            <a:pPr>
              <a:defRPr sz="900" b="0" i="0" u="none" strike="noStrike" kern="1200" spc="20" baseline="0">
                <a:ln>
                  <a:noFill/>
                </a:ln>
                <a:solidFill>
                  <a:schemeClr val="tx1">
                    <a:lumMod val="65000"/>
                    <a:lumOff val="35000"/>
                  </a:schemeClr>
                </a:solidFill>
                <a:latin typeface="+mn-lt"/>
                <a:ea typeface="+mn-ea"/>
                <a:cs typeface="+mn-cs"/>
              </a:defRPr>
            </a:pPr>
            <a:endParaRPr lang="en-US"/>
          </a:p>
        </c:txPr>
        <c:crossAx val="536393864"/>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fr-FR"/>
              <a:t>Field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2576-4774-8C23-3F8BF0ADE30C}"/>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2576-4774-8C23-3F8BF0ADE30C}"/>
              </c:ext>
            </c:extLst>
          </c:dPt>
          <c:dPt>
            <c:idx val="2"/>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2576-4774-8C23-3F8BF0ADE30C}"/>
              </c:ext>
            </c:extLst>
          </c:dPt>
          <c:dPt>
            <c:idx val="3"/>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2576-4774-8C23-3F8BF0ADE30C}"/>
              </c:ext>
            </c:extLst>
          </c:dPt>
          <c:errBars>
            <c:errBarType val="plus"/>
            <c:errValType val="stdErr"/>
            <c:noEndCap val="0"/>
            <c:spPr>
              <a:noFill/>
              <a:ln w="19050">
                <a:solidFill>
                  <a:schemeClr val="tx1">
                    <a:lumMod val="65000"/>
                    <a:lumOff val="35000"/>
                  </a:schemeClr>
                </a:solidFill>
                <a:round/>
              </a:ln>
              <a:effectLst/>
            </c:spPr>
          </c:errBars>
          <c:cat>
            <c:multiLvlStrRef>
              <c:f>Feuil3!$A$4:$B$7</c:f>
              <c:multiLvlStrCache>
                <c:ptCount val="4"/>
                <c:lvl>
                  <c:pt idx="0">
                    <c:v>Lettuce</c:v>
                  </c:pt>
                  <c:pt idx="1">
                    <c:v>Tomato</c:v>
                  </c:pt>
                  <c:pt idx="2">
                    <c:v>Lettuce</c:v>
                  </c:pt>
                  <c:pt idx="3">
                    <c:v>Lettuce</c:v>
                  </c:pt>
                </c:lvl>
                <c:lvl>
                  <c:pt idx="0">
                    <c:v>Field1</c:v>
                  </c:pt>
                  <c:pt idx="2">
                    <c:v>Field2</c:v>
                  </c:pt>
                  <c:pt idx="3">
                    <c:v>Field3</c:v>
                  </c:pt>
                </c:lvl>
              </c:multiLvlStrCache>
            </c:multiLvlStrRef>
          </c:cat>
          <c:val>
            <c:numRef>
              <c:f>Feuil3!$C$4:$C$7</c:f>
              <c:numCache>
                <c:formatCode>General</c:formatCode>
                <c:ptCount val="4"/>
                <c:pt idx="0">
                  <c:v>5.4726999999999997</c:v>
                </c:pt>
                <c:pt idx="1">
                  <c:v>2.4771000000000001</c:v>
                </c:pt>
                <c:pt idx="2">
                  <c:v>5.2260999999999997</c:v>
                </c:pt>
                <c:pt idx="3">
                  <c:v>5.0502000000000002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2576-4774-8C23-3F8BF0ADE30C}"/>
            </c:ext>
          </c:extLst>
        </c:ser>
        <c:dLbls>
          <c:showLegendKey val="0"/>
          <c:showVal val="0"/>
          <c:showCatName val="0"/>
          <c:showSerName val="0"/>
          <c:showPercent val="0"/>
          <c:showBubbleSize val="0"/>
        </c:dLbls>
        <c:gapWidth val="80"/>
        <c:overlap val="25"/>
        <c:axId val="654603152"/>
        <c:axId val="654607416"/>
      </c:barChart>
      <c:catAx>
        <c:axId val="65460315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Vegatbles/Field</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607416"/>
        <c:crosses val="autoZero"/>
        <c:auto val="1"/>
        <c:lblAlgn val="ctr"/>
        <c:lblOffset val="100"/>
        <c:noMultiLvlLbl val="0"/>
      </c:catAx>
      <c:valAx>
        <c:axId val="654607416"/>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Log</a:t>
                </a:r>
                <a:r>
                  <a:rPr lang="en-US" cap="none" baseline="-25000">
                    <a:latin typeface="Times New Roman" panose="02020603050405020304" pitchFamily="18" charset="0"/>
                    <a:cs typeface="Times New Roman" panose="02020603050405020304" pitchFamily="18" charset="0"/>
                  </a:rPr>
                  <a:t>10</a:t>
                </a:r>
                <a:r>
                  <a:rPr lang="en-US" cap="none">
                    <a:latin typeface="Times New Roman" panose="02020603050405020304" pitchFamily="18" charset="0"/>
                    <a:cs typeface="Times New Roman" panose="02020603050405020304" pitchFamily="18" charset="0"/>
                  </a:rPr>
                  <a:t> CFU/g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5B9BD5"/>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5460315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Feuil4!$C$18</c:f>
              <c:strCache>
                <c:ptCount val="1"/>
                <c:pt idx="0">
                  <c:v>Percentage</c:v>
                </c:pt>
              </c:strCache>
            </c:strRef>
          </c:tx>
          <c:spPr>
            <a:pattFill prst="dkDnDiag">
              <a:fgClr>
                <a:srgbClr val="E7E6E6">
                  <a:lumMod val="90000"/>
                </a:srgbClr>
              </a:fgClr>
              <a:bgClr>
                <a:sysClr val="window" lastClr="FFFFFF"/>
              </a:bgClr>
            </a:pattFill>
            <a:ln w="9525" cap="flat" cmpd="sng" algn="ctr">
              <a:solidFill>
                <a:sysClr val="windowText" lastClr="000000"/>
              </a:solidFill>
              <a:round/>
            </a:ln>
            <a:effectLst/>
          </c:spPr>
          <c:invertIfNegative val="0"/>
          <c:errBars>
            <c:errBarType val="plus"/>
            <c:errValType val="stdErr"/>
            <c:noEndCap val="0"/>
            <c:spPr>
              <a:noFill/>
              <a:ln w="19050">
                <a:solidFill>
                  <a:schemeClr val="tx1">
                    <a:lumMod val="50000"/>
                    <a:lumOff val="50000"/>
                  </a:schemeClr>
                </a:solidFill>
              </a:ln>
              <a:effectLst/>
            </c:spPr>
          </c:errBars>
          <c:cat>
            <c:strRef>
              <c:f>Feuil4!$A$19:$A$28</c:f>
              <c:strCache>
                <c:ptCount val="10"/>
                <c:pt idx="0">
                  <c:v>Citrobacter </c:v>
                </c:pt>
                <c:pt idx="1">
                  <c:v>Enterobacter </c:v>
                </c:pt>
                <c:pt idx="2">
                  <c:v>Escherichia</c:v>
                </c:pt>
                <c:pt idx="3">
                  <c:v>Klebsiella </c:v>
                </c:pt>
                <c:pt idx="4">
                  <c:v>Pantoae</c:v>
                </c:pt>
                <c:pt idx="5">
                  <c:v>Proteus </c:v>
                </c:pt>
                <c:pt idx="6">
                  <c:v>Providencia</c:v>
                </c:pt>
                <c:pt idx="7">
                  <c:v>Raoultella </c:v>
                </c:pt>
                <c:pt idx="8">
                  <c:v>Salmonella </c:v>
                </c:pt>
                <c:pt idx="9">
                  <c:v>Serratia </c:v>
                </c:pt>
              </c:strCache>
            </c:strRef>
          </c:cat>
          <c:val>
            <c:numRef>
              <c:f>Feuil4!$C$19:$C$28</c:f>
              <c:numCache>
                <c:formatCode>0.00%</c:formatCode>
                <c:ptCount val="10"/>
                <c:pt idx="0">
                  <c:v>3.3333333333333333E-2</c:v>
                </c:pt>
                <c:pt idx="1">
                  <c:v>8.3333333333333329E-2</c:v>
                </c:pt>
                <c:pt idx="2">
                  <c:v>0.18333333333333332</c:v>
                </c:pt>
                <c:pt idx="3">
                  <c:v>3.3333333333333333E-2</c:v>
                </c:pt>
                <c:pt idx="4">
                  <c:v>8.3333333333333329E-2</c:v>
                </c:pt>
                <c:pt idx="5">
                  <c:v>0.05</c:v>
                </c:pt>
                <c:pt idx="6">
                  <c:v>3.3333333333333333E-2</c:v>
                </c:pt>
                <c:pt idx="7">
                  <c:v>0.05</c:v>
                </c:pt>
                <c:pt idx="8">
                  <c:v>0.33333333333333331</c:v>
                </c:pt>
                <c:pt idx="9">
                  <c:v>0.11666666666666667</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62A-4A8A-9E3D-28EE1B44BBFF}"/>
            </c:ext>
          </c:extLst>
        </c:ser>
        <c:dLbls>
          <c:showLegendKey val="0"/>
          <c:showVal val="0"/>
          <c:showCatName val="0"/>
          <c:showSerName val="0"/>
          <c:showPercent val="0"/>
          <c:showBubbleSize val="0"/>
        </c:dLbls>
        <c:gapWidth val="100"/>
        <c:overlap val="-24"/>
        <c:axId val="536392880"/>
        <c:axId val="536392552"/>
      </c:barChart>
      <c:catAx>
        <c:axId val="5363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Entebacteria Genus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536392552"/>
        <c:crosses val="autoZero"/>
        <c:auto val="1"/>
        <c:lblAlgn val="ctr"/>
        <c:lblOffset val="100"/>
        <c:noMultiLvlLbl val="0"/>
      </c:catAx>
      <c:valAx>
        <c:axId val="536392552"/>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6392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Feuil14!$H$29</c:f>
              <c:strCache>
                <c:ptCount val="1"/>
                <c:pt idx="0">
                  <c:v>Percentage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errBars>
            <c:errBarType val="plus"/>
            <c:errValType val="stdErr"/>
            <c:noEndCap val="0"/>
            <c:spPr>
              <a:noFill/>
              <a:ln w="19050">
                <a:solidFill>
                  <a:srgbClr val="5B9BD5"/>
                </a:solidFill>
              </a:ln>
              <a:effectLst/>
            </c:spPr>
          </c:errBars>
          <c:cat>
            <c:strRef>
              <c:f>Feuil14!$A$30:$A$50</c:f>
              <c:strCache>
                <c:ptCount val="21"/>
                <c:pt idx="0">
                  <c:v>Citrobacter freundii</c:v>
                </c:pt>
                <c:pt idx="1">
                  <c:v>Enterobacter cloacae</c:v>
                </c:pt>
                <c:pt idx="2">
                  <c:v>Enterobacter sakazakii</c:v>
                </c:pt>
                <c:pt idx="3">
                  <c:v>Escherichia coli 1</c:v>
                </c:pt>
                <c:pt idx="4">
                  <c:v>Escherichia coli 2</c:v>
                </c:pt>
                <c:pt idx="5">
                  <c:v>Escherichia vulneris</c:v>
                </c:pt>
                <c:pt idx="6">
                  <c:v>Klebsiella pneumoniae ssp </c:v>
                </c:pt>
                <c:pt idx="7">
                  <c:v>Pantoae spp 2</c:v>
                </c:pt>
                <c:pt idx="8">
                  <c:v>Pantoe spp 1</c:v>
                </c:pt>
                <c:pt idx="9">
                  <c:v>Proteus mirabilis </c:v>
                </c:pt>
                <c:pt idx="10">
                  <c:v>Proteus vulagaris group</c:v>
                </c:pt>
                <c:pt idx="11">
                  <c:v>Providencia rettgeri</c:v>
                </c:pt>
                <c:pt idx="12">
                  <c:v>Providencia stuartii</c:v>
                </c:pt>
                <c:pt idx="13">
                  <c:v>Raoultella terrigena </c:v>
                </c:pt>
                <c:pt idx="14">
                  <c:v>Salmonella enterica ssp</c:v>
                </c:pt>
                <c:pt idx="15">
                  <c:v>Salmonella pullorum</c:v>
                </c:pt>
                <c:pt idx="16">
                  <c:v>Salmonella spp</c:v>
                </c:pt>
                <c:pt idx="17">
                  <c:v>Serratia liquefaciens</c:v>
                </c:pt>
                <c:pt idx="18">
                  <c:v>Serratia marcescens </c:v>
                </c:pt>
                <c:pt idx="19">
                  <c:v>Serratia odorifera 1</c:v>
                </c:pt>
                <c:pt idx="20">
                  <c:v>Serratia rubidae</c:v>
                </c:pt>
              </c:strCache>
            </c:strRef>
          </c:cat>
          <c:val>
            <c:numRef>
              <c:f>Feuil14!$H$30:$H$50</c:f>
              <c:numCache>
                <c:formatCode>0.00%</c:formatCode>
                <c:ptCount val="21"/>
                <c:pt idx="0">
                  <c:v>3.3333333333333333E-2</c:v>
                </c:pt>
                <c:pt idx="1">
                  <c:v>6.6666666666666666E-2</c:v>
                </c:pt>
                <c:pt idx="2">
                  <c:v>1.6666666666666666E-2</c:v>
                </c:pt>
                <c:pt idx="3">
                  <c:v>0.13333333333333333</c:v>
                </c:pt>
                <c:pt idx="4">
                  <c:v>3.3333333333333333E-2</c:v>
                </c:pt>
                <c:pt idx="5">
                  <c:v>1.6666666666666666E-2</c:v>
                </c:pt>
                <c:pt idx="6">
                  <c:v>3.3333333333333333E-2</c:v>
                </c:pt>
                <c:pt idx="7">
                  <c:v>1.6666666666666666E-2</c:v>
                </c:pt>
                <c:pt idx="8">
                  <c:v>6.6666666666666666E-2</c:v>
                </c:pt>
                <c:pt idx="9">
                  <c:v>3.3333333333333333E-2</c:v>
                </c:pt>
                <c:pt idx="10">
                  <c:v>1.6666666666666666E-2</c:v>
                </c:pt>
                <c:pt idx="11">
                  <c:v>1.6666666666666666E-2</c:v>
                </c:pt>
                <c:pt idx="12">
                  <c:v>1.6666666666666666E-2</c:v>
                </c:pt>
                <c:pt idx="13">
                  <c:v>0.05</c:v>
                </c:pt>
                <c:pt idx="14">
                  <c:v>6.6666666666666666E-2</c:v>
                </c:pt>
                <c:pt idx="15">
                  <c:v>1.6666666666666666E-2</c:v>
                </c:pt>
                <c:pt idx="16">
                  <c:v>0.25</c:v>
                </c:pt>
                <c:pt idx="17">
                  <c:v>0.05</c:v>
                </c:pt>
                <c:pt idx="18">
                  <c:v>3.3333333333333333E-2</c:v>
                </c:pt>
                <c:pt idx="19">
                  <c:v>1.6666666666666666E-2</c:v>
                </c:pt>
                <c:pt idx="20">
                  <c:v>1.6666666666666666E-2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9BA-455C-BC4B-CA0CC713D843}"/>
            </c:ext>
          </c:extLst>
        </c:ser>
        <c:dLbls>
          <c:showLegendKey val="0"/>
          <c:showVal val="0"/>
          <c:showCatName val="0"/>
          <c:showSerName val="0"/>
          <c:showPercent val="0"/>
          <c:showBubbleSize val="0"/>
        </c:dLbls>
        <c:gapWidth val="100"/>
        <c:overlap val="-24"/>
        <c:axId val="573836320"/>
        <c:axId val="573830744"/>
      </c:barChart>
      <c:catAx>
        <c:axId val="57383632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Enterobacteria species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50000"/>
                    <a:lumOff val="50000"/>
                  </a:schemeClr>
                </a:solidFill>
                <a:latin typeface="+mn-lt"/>
                <a:ea typeface="+mn-ea"/>
                <a:cs typeface="+mn-cs"/>
              </a:defRPr>
            </a:pPr>
            <a:endParaRPr lang="en-US"/>
          </a:p>
        </c:txPr>
        <c:crossAx val="573830744"/>
        <c:crosses val="autoZero"/>
        <c:auto val="1"/>
        <c:lblAlgn val="ctr"/>
        <c:lblOffset val="100"/>
        <c:noMultiLvlLbl val="0"/>
      </c:catAx>
      <c:valAx>
        <c:axId val="57383074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7383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43097372301284E-2"/>
          <c:y val="4.6414226311598687E-2"/>
          <c:w val="0.86826986484340707"/>
          <c:h val="0.40286003055588199"/>
        </c:manualLayout>
      </c:layout>
      <c:barChart>
        <c:barDir val="col"/>
        <c:grouping val="stacked"/>
        <c:varyColors val="0"/>
        <c:ser>
          <c:idx val="0"/>
          <c:order val="0"/>
          <c:tx>
            <c:strRef>
              <c:f>Feuil3!$T$32</c:f>
              <c:strCache>
                <c:ptCount val="1"/>
                <c:pt idx="0">
                  <c:v>G1</c:v>
                </c:pt>
              </c:strCache>
            </c:strRef>
          </c:tx>
          <c:spPr>
            <a:solidFill>
              <a:sysClr val="window" lastClr="FFFFFF">
                <a:alpha val="70000"/>
              </a:sysClr>
            </a:solid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Feuil3!$T$33:$T$58</c:f>
              <c:numCache>
                <c:formatCode>0.00%</c:formatCode>
                <c:ptCount val="26"/>
                <c:pt idx="0">
                  <c:v>0.11764705882352941</c:v>
                </c:pt>
                <c:pt idx="1">
                  <c:v>0.23529411764705882</c:v>
                </c:pt>
                <c:pt idx="2">
                  <c:v>5.8823529411764705E-2</c:v>
                </c:pt>
                <c:pt idx="3">
                  <c:v>0.58823529411764708</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EF3-452A-BC4C-21FC532C5723}"/>
            </c:ext>
          </c:extLst>
        </c:ser>
        <c:ser>
          <c:idx val="1"/>
          <c:order val="1"/>
          <c:tx>
            <c:strRef>
              <c:f>Feuil3!$U$32</c:f>
              <c:strCache>
                <c:ptCount val="1"/>
                <c:pt idx="0">
                  <c:v>G2</c:v>
                </c:pt>
              </c:strCache>
            </c:strRef>
          </c:tx>
          <c:spPr>
            <a:pattFill prst="ltUpDiag">
              <a:fgClr>
                <a:sysClr val="windowText" lastClr="000000"/>
              </a:fgClr>
              <a:bgClr>
                <a:sysClr val="window" lastClr="FFFFFF"/>
              </a:bgClr>
            </a:patt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Feuil3!$U$33:$U$58</c:f>
              <c:numCache>
                <c:formatCode>General</c:formatCode>
                <c:ptCount val="26"/>
                <c:pt idx="4" formatCode="0.00%">
                  <c:v>0.13793103448275862</c:v>
                </c:pt>
                <c:pt idx="5" formatCode="0.00%">
                  <c:v>3.4482758620689655E-2</c:v>
                </c:pt>
                <c:pt idx="6" formatCode="0.00%">
                  <c:v>0.20689655172413793</c:v>
                </c:pt>
                <c:pt idx="7" formatCode="0.00%">
                  <c:v>3.4482758620689655E-2</c:v>
                </c:pt>
                <c:pt idx="8" formatCode="0.00%">
                  <c:v>6.8965517241379309E-2</c:v>
                </c:pt>
                <c:pt idx="9" formatCode="0.00%">
                  <c:v>6.8965517241379309E-2</c:v>
                </c:pt>
                <c:pt idx="10" formatCode="0.00%">
                  <c:v>6.8965517241379309E-2</c:v>
                </c:pt>
                <c:pt idx="11" formatCode="0.00%">
                  <c:v>0.10344827586206896</c:v>
                </c:pt>
                <c:pt idx="12" formatCode="0.00%">
                  <c:v>6.8965517241379309E-2</c:v>
                </c:pt>
                <c:pt idx="13" formatCode="0.00%">
                  <c:v>0.10344827586206896</c:v>
                </c:pt>
                <c:pt idx="14" formatCode="0.00%">
                  <c:v>6.8965517241379309E-2</c:v>
                </c:pt>
                <c:pt idx="15" formatCode="0.00%">
                  <c:v>3.4482758620689655E-2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EF3-452A-BC4C-21FC532C5723}"/>
            </c:ext>
          </c:extLst>
        </c:ser>
        <c:ser>
          <c:idx val="2"/>
          <c:order val="2"/>
          <c:tx>
            <c:strRef>
              <c:f>Feuil3!$V$32</c:f>
              <c:strCache>
                <c:ptCount val="1"/>
                <c:pt idx="0">
                  <c:v>G3</c:v>
                </c:pt>
              </c:strCache>
            </c:strRef>
          </c:tx>
          <c:spPr>
            <a:solidFill>
              <a:schemeClr val="accent3">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Feuil3!$V$33:$V$58</c:f>
              <c:numCache>
                <c:formatCode>General</c:formatCode>
                <c:ptCount val="26"/>
                <c:pt idx="16" formatCode="0.00%">
                  <c:v>0.1</c:v>
                </c:pt>
                <c:pt idx="17" formatCode="0.00%">
                  <c:v>0.1</c:v>
                </c:pt>
                <c:pt idx="18" formatCode="0.00%">
                  <c:v>0.1</c:v>
                </c:pt>
                <c:pt idx="19" formatCode="0.00%">
                  <c:v>0.2</c:v>
                </c:pt>
                <c:pt idx="20" formatCode="0.00%">
                  <c:v>0.1</c:v>
                </c:pt>
                <c:pt idx="21" formatCode="0.00%">
                  <c:v>0.3</c:v>
                </c:pt>
                <c:pt idx="22" formatCode="0.00%">
                  <c:v>0.1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CEF3-452A-BC4C-21FC532C5723}"/>
            </c:ext>
          </c:extLst>
        </c:ser>
        <c:ser>
          <c:idx val="3"/>
          <c:order val="3"/>
          <c:tx>
            <c:strRef>
              <c:f>Feuil3!$W$32</c:f>
              <c:strCache>
                <c:ptCount val="1"/>
                <c:pt idx="0">
                  <c:v>G4</c:v>
                </c:pt>
              </c:strCache>
            </c:strRef>
          </c:tx>
          <c:spPr>
            <a:solidFill>
              <a:schemeClr val="accent4">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Feuil3!$W$33:$W$58</c:f>
              <c:numCache>
                <c:formatCode>General</c:formatCode>
                <c:ptCount val="26"/>
                <c:pt idx="23" formatCode="0.00%">
                  <c:v>0.5</c:v>
                </c:pt>
                <c:pt idx="24" formatCode="0.00%">
                  <c:v>0.25</c:v>
                </c:pt>
                <c:pt idx="25" formatCode="0.00%">
                  <c:v>0.25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EF3-452A-BC4C-21FC532C5723}"/>
            </c:ext>
          </c:extLst>
        </c:ser>
        <c:dLbls>
          <c:showLegendKey val="0"/>
          <c:showVal val="0"/>
          <c:showCatName val="0"/>
          <c:showSerName val="0"/>
          <c:showPercent val="0"/>
          <c:showBubbleSize val="0"/>
        </c:dLbls>
        <c:gapWidth val="50"/>
        <c:overlap val="100"/>
        <c:axId val="511428496"/>
        <c:axId val="511429480"/>
      </c:barChart>
      <c:catAx>
        <c:axId val="511428496"/>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Enterobacteria species</a:t>
                </a:r>
              </a:p>
            </c:rich>
          </c:tx>
          <c:layout>
            <c:manualLayout>
              <c:xMode val="edge"/>
              <c:yMode val="edge"/>
              <c:x val="0.4080389264843039"/>
              <c:y val="0.84931670235450973"/>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9480"/>
        <c:crosses val="autoZero"/>
        <c:auto val="1"/>
        <c:lblAlgn val="l"/>
        <c:lblOffset val="100"/>
        <c:noMultiLvlLbl val="0"/>
      </c:catAx>
      <c:valAx>
        <c:axId val="511429480"/>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Percentage </a:t>
                </a:r>
              </a:p>
            </c:rich>
          </c:tx>
          <c:layout>
            <c:manualLayout>
              <c:xMode val="edge"/>
              <c:yMode val="edge"/>
              <c:x val="2.1793614470960007E-3"/>
              <c:y val="0.463969089937804"/>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0.08681</cdr:x>
      <cdr:y>0.06987</cdr:y>
    </cdr:from>
    <cdr:to>
      <cdr:x>0.23727</cdr:x>
      <cdr:y>0.09696</cdr:y>
    </cdr:to>
    <cdr:sp macro="" textlink="">
      <cdr:nvSpPr>
        <cdr:cNvPr id="2" name="Parenthèse ouvrante 1"/>
        <cdr:cNvSpPr/>
      </cdr:nvSpPr>
      <cdr:spPr>
        <a:xfrm xmlns:a="http://schemas.openxmlformats.org/drawingml/2006/main" rot="16200000" flipH="1">
          <a:off x="888206" y="-154778"/>
          <a:ext cx="90489" cy="866776"/>
        </a:xfrm>
        <a:prstGeom xmlns:a="http://schemas.openxmlformats.org/drawingml/2006/main" prst="leftBracket">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0.68342</cdr:x>
      <cdr:y>0.10684</cdr:y>
    </cdr:from>
    <cdr:to>
      <cdr:x>0.78593</cdr:x>
      <cdr:y>0.19049</cdr:y>
    </cdr:to>
    <cdr:sp macro="" textlink="">
      <cdr:nvSpPr>
        <cdr:cNvPr id="3" name="Zone de texte 110"/>
        <cdr:cNvSpPr txBox="1"/>
      </cdr:nvSpPr>
      <cdr:spPr>
        <a:xfrm xmlns:a="http://schemas.openxmlformats.org/drawingml/2006/main">
          <a:off x="3937000" y="3568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0.86034</cdr:x>
      <cdr:y>0.0384</cdr:y>
    </cdr:from>
    <cdr:to>
      <cdr:x>0.96285</cdr:x>
      <cdr:y>0.12205</cdr:y>
    </cdr:to>
    <cdr:sp macro="" textlink="">
      <cdr:nvSpPr>
        <cdr:cNvPr id="4" name="Zone de texte 110"/>
        <cdr:cNvSpPr txBox="1"/>
      </cdr:nvSpPr>
      <cdr:spPr>
        <a:xfrm xmlns:a="http://schemas.openxmlformats.org/drawingml/2006/main">
          <a:off x="4956175" y="1282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effectLst/>
              <a:latin typeface="Times New Roman" panose="02020603050405020304" pitchFamily="18" charset="0"/>
              <a:ea typeface="+mn-ea"/>
              <a:cs typeface="Times New Roman" panose="02020603050405020304" pitchFamily="18" charset="0"/>
            </a:rPr>
            <a:t>0,427</a:t>
          </a:r>
          <a:endParaRPr lang="fr-FR" sz="9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0.11464</cdr:x>
      <cdr:y>0.0057</cdr:y>
    </cdr:from>
    <cdr:to>
      <cdr:x>0.21715</cdr:x>
      <cdr:y>0.08935</cdr:y>
    </cdr:to>
    <cdr:sp macro="" textlink="">
      <cdr:nvSpPr>
        <cdr:cNvPr id="5" name="Zone de texte 110"/>
        <cdr:cNvSpPr txBox="1"/>
      </cdr:nvSpPr>
      <cdr:spPr>
        <a:xfrm xmlns:a="http://schemas.openxmlformats.org/drawingml/2006/main">
          <a:off x="660400" y="1905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1614</TotalTime>
  <Pages>1</Pages>
  <Words>6340</Words>
  <Characters>36138</Characters>
  <Application>Microsoft Office Word</Application>
  <DocSecurity>0</DocSecurity>
  <Lines>301</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w3t</dc:creator>
  <cp:keywords/>
  <dc:description/>
  <cp:lastModifiedBy>win</cp:lastModifiedBy>
  <cp:revision>21</cp:revision>
  <dcterms:created xsi:type="dcterms:W3CDTF">2024-08-01T19:49:00Z</dcterms:created>
  <dcterms:modified xsi:type="dcterms:W3CDTF">2025-03-21T18:09:00Z</dcterms:modified>
</cp:coreProperties>
</file>