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939D" w14:textId="4753AE80" w:rsidR="006D034F" w:rsidRPr="006D034F" w:rsidRDefault="006D034F" w:rsidP="006D034F">
      <w:pPr>
        <w:jc w:val="center"/>
        <w:rPr>
          <w:rFonts w:ascii="Times New Roman" w:hAnsi="Times New Roman" w:cs="Times New Roman"/>
          <w:b/>
          <w:bCs/>
          <w:sz w:val="24"/>
          <w:szCs w:val="24"/>
        </w:rPr>
      </w:pPr>
      <w:commentRangeStart w:id="0"/>
      <w:r w:rsidRPr="006D034F">
        <w:rPr>
          <w:rFonts w:ascii="Times New Roman" w:hAnsi="Times New Roman" w:cs="Times New Roman"/>
          <w:b/>
          <w:bCs/>
          <w:sz w:val="24"/>
          <w:szCs w:val="24"/>
        </w:rPr>
        <w:t>Evaluation of Bioactive Compounds and Anti-Hyperlipidemic Potential of Hog Plum (</w:t>
      </w:r>
      <w:proofErr w:type="spellStart"/>
      <w:r w:rsidRPr="006D034F">
        <w:rPr>
          <w:rFonts w:ascii="Times New Roman" w:hAnsi="Times New Roman" w:cs="Times New Roman"/>
          <w:b/>
          <w:bCs/>
          <w:i/>
          <w:iCs/>
          <w:sz w:val="24"/>
          <w:szCs w:val="24"/>
        </w:rPr>
        <w:t>Spondias</w:t>
      </w:r>
      <w:proofErr w:type="spellEnd"/>
      <w:r w:rsidRPr="006D034F">
        <w:rPr>
          <w:rFonts w:ascii="Times New Roman" w:hAnsi="Times New Roman" w:cs="Times New Roman"/>
          <w:b/>
          <w:bCs/>
          <w:sz w:val="24"/>
          <w:szCs w:val="24"/>
        </w:rPr>
        <w:t xml:space="preserve"> </w:t>
      </w:r>
      <w:r w:rsidRPr="006D034F">
        <w:rPr>
          <w:rFonts w:ascii="Times New Roman" w:hAnsi="Times New Roman" w:cs="Times New Roman"/>
          <w:b/>
          <w:bCs/>
          <w:i/>
          <w:iCs/>
          <w:sz w:val="24"/>
          <w:szCs w:val="24"/>
        </w:rPr>
        <w:t>mombin</w:t>
      </w:r>
      <w:r w:rsidRPr="006D034F">
        <w:rPr>
          <w:rFonts w:ascii="Times New Roman" w:hAnsi="Times New Roman" w:cs="Times New Roman"/>
          <w:b/>
          <w:bCs/>
          <w:sz w:val="24"/>
          <w:szCs w:val="24"/>
        </w:rPr>
        <w:t>) with Implications for Functional Food Development</w:t>
      </w:r>
      <w:commentRangeEnd w:id="0"/>
      <w:r w:rsidR="00AD53EA">
        <w:rPr>
          <w:rStyle w:val="CommentReference"/>
        </w:rPr>
        <w:commentReference w:id="0"/>
      </w:r>
    </w:p>
    <w:p w14:paraId="3401D463" w14:textId="77777777" w:rsidR="006D034F" w:rsidRPr="006D034F" w:rsidRDefault="006D034F" w:rsidP="006D034F">
      <w:pPr>
        <w:jc w:val="both"/>
        <w:rPr>
          <w:rFonts w:ascii="Times New Roman" w:hAnsi="Times New Roman" w:cs="Times New Roman"/>
          <w:sz w:val="24"/>
          <w:szCs w:val="24"/>
        </w:rPr>
      </w:pPr>
    </w:p>
    <w:p w14:paraId="35A61F3E" w14:textId="77777777" w:rsidR="00A051A4" w:rsidRDefault="00A051A4" w:rsidP="006D034F">
      <w:pPr>
        <w:jc w:val="both"/>
        <w:rPr>
          <w:rFonts w:ascii="Times New Roman" w:hAnsi="Times New Roman" w:cs="Times New Roman"/>
          <w:b/>
          <w:bCs/>
          <w:sz w:val="24"/>
          <w:szCs w:val="24"/>
        </w:rPr>
      </w:pPr>
    </w:p>
    <w:p w14:paraId="646D3650" w14:textId="099509D0" w:rsidR="006D034F" w:rsidRPr="006D034F" w:rsidRDefault="006D034F" w:rsidP="006D034F">
      <w:pPr>
        <w:jc w:val="both"/>
        <w:rPr>
          <w:rFonts w:ascii="Times New Roman" w:hAnsi="Times New Roman" w:cs="Times New Roman"/>
          <w:b/>
          <w:bCs/>
          <w:sz w:val="24"/>
          <w:szCs w:val="24"/>
        </w:rPr>
      </w:pPr>
      <w:r w:rsidRPr="006D034F">
        <w:rPr>
          <w:rFonts w:ascii="Times New Roman" w:hAnsi="Times New Roman" w:cs="Times New Roman"/>
          <w:b/>
          <w:bCs/>
          <w:sz w:val="24"/>
          <w:szCs w:val="24"/>
        </w:rPr>
        <w:t>Abstract</w:t>
      </w:r>
    </w:p>
    <w:p w14:paraId="6BE941CC" w14:textId="570D9D75" w:rsidR="006D034F" w:rsidRPr="006D034F" w:rsidRDefault="006D034F" w:rsidP="006D034F">
      <w:pPr>
        <w:jc w:val="both"/>
        <w:rPr>
          <w:rFonts w:ascii="Times New Roman" w:hAnsi="Times New Roman" w:cs="Times New Roman"/>
          <w:sz w:val="24"/>
          <w:szCs w:val="24"/>
        </w:rPr>
      </w:pPr>
      <w:proofErr w:type="spellStart"/>
      <w:r w:rsidRPr="006D034F">
        <w:rPr>
          <w:rFonts w:ascii="Times New Roman" w:hAnsi="Times New Roman" w:cs="Times New Roman"/>
          <w:i/>
          <w:iCs/>
          <w:sz w:val="24"/>
          <w:szCs w:val="24"/>
        </w:rPr>
        <w:t>Spondias</w:t>
      </w:r>
      <w:proofErr w:type="spellEnd"/>
      <w:r w:rsidRPr="006D034F">
        <w:rPr>
          <w:rFonts w:ascii="Times New Roman" w:hAnsi="Times New Roman" w:cs="Times New Roman"/>
          <w:sz w:val="24"/>
          <w:szCs w:val="24"/>
        </w:rPr>
        <w:t xml:space="preserve"> </w:t>
      </w:r>
      <w:r w:rsidRPr="006D034F">
        <w:rPr>
          <w:rFonts w:ascii="Times New Roman" w:hAnsi="Times New Roman" w:cs="Times New Roman"/>
          <w:i/>
          <w:iCs/>
          <w:sz w:val="24"/>
          <w:szCs w:val="24"/>
        </w:rPr>
        <w:t>mombin</w:t>
      </w:r>
      <w:r w:rsidRPr="006D034F">
        <w:rPr>
          <w:rFonts w:ascii="Times New Roman" w:hAnsi="Times New Roman" w:cs="Times New Roman"/>
          <w:sz w:val="24"/>
          <w:szCs w:val="24"/>
        </w:rPr>
        <w:t xml:space="preserve">, commonly known as hog plum, has been traditionally used in folk medicine for the treatment of various ailments. </w:t>
      </w:r>
      <w:commentRangeStart w:id="1"/>
      <w:r w:rsidRPr="006D034F">
        <w:rPr>
          <w:rFonts w:ascii="Times New Roman" w:hAnsi="Times New Roman" w:cs="Times New Roman"/>
          <w:sz w:val="24"/>
          <w:szCs w:val="24"/>
        </w:rPr>
        <w:t xml:space="preserve">This study evaluates the phytochemical composition, antioxidant activity, and anti-hyperlipidemic potential of </w:t>
      </w:r>
      <w:r w:rsidRPr="006D034F">
        <w:rPr>
          <w:rFonts w:ascii="Times New Roman" w:hAnsi="Times New Roman" w:cs="Times New Roman"/>
          <w:i/>
          <w:iCs/>
          <w:sz w:val="24"/>
          <w:szCs w:val="24"/>
        </w:rPr>
        <w:t>S. mombin</w:t>
      </w:r>
      <w:r w:rsidRPr="006D034F">
        <w:rPr>
          <w:rFonts w:ascii="Times New Roman" w:hAnsi="Times New Roman" w:cs="Times New Roman"/>
          <w:sz w:val="24"/>
          <w:szCs w:val="24"/>
        </w:rPr>
        <w:t xml:space="preserve"> extract using both in</w:t>
      </w:r>
      <w:r w:rsidR="00A1727A">
        <w:rPr>
          <w:rFonts w:ascii="Times New Roman" w:hAnsi="Times New Roman" w:cs="Times New Roman"/>
          <w:sz w:val="24"/>
          <w:szCs w:val="24"/>
        </w:rPr>
        <w:t>-</w:t>
      </w:r>
      <w:r w:rsidRPr="006D034F">
        <w:rPr>
          <w:rFonts w:ascii="Times New Roman" w:hAnsi="Times New Roman" w:cs="Times New Roman"/>
          <w:sz w:val="24"/>
          <w:szCs w:val="24"/>
        </w:rPr>
        <w:t>vitro and in</w:t>
      </w:r>
      <w:r w:rsidR="00A1727A">
        <w:rPr>
          <w:rFonts w:ascii="Times New Roman" w:hAnsi="Times New Roman" w:cs="Times New Roman"/>
          <w:sz w:val="24"/>
          <w:szCs w:val="24"/>
        </w:rPr>
        <w:t>-</w:t>
      </w:r>
      <w:r w:rsidRPr="006D034F">
        <w:rPr>
          <w:rFonts w:ascii="Times New Roman" w:hAnsi="Times New Roman" w:cs="Times New Roman"/>
          <w:sz w:val="24"/>
          <w:szCs w:val="24"/>
        </w:rPr>
        <w:t>vivo models.</w:t>
      </w:r>
      <w:commentRangeEnd w:id="1"/>
      <w:r w:rsidR="00AD53EA">
        <w:rPr>
          <w:rStyle w:val="CommentReference"/>
        </w:rPr>
        <w:commentReference w:id="1"/>
      </w:r>
      <w:r w:rsidRPr="006D034F">
        <w:rPr>
          <w:rFonts w:ascii="Times New Roman" w:hAnsi="Times New Roman" w:cs="Times New Roman"/>
          <w:sz w:val="24"/>
          <w:szCs w:val="24"/>
        </w:rPr>
        <w:t xml:space="preserve"> Quantitative phytochemical analysis revealed high concentrations of tannins (57.50 ± 0.01 mg AAE/g), saponins (40.02 ± 0.00 mg/100g), and flavonoids (40.34 ± 0.02 mg RE/g). GC-MS profiling identified key bioactive constituents including 9-Octadecenoic acid (Z)-, 2,3-dihydroxypropyl ester (15.32%), Octadecane, 1-chloro- (3.21%), and 9,12-Octadecadienoic acid (</w:t>
      </w:r>
      <w:proofErr w:type="gramStart"/>
      <w:r w:rsidRPr="006D034F">
        <w:rPr>
          <w:rFonts w:ascii="Times New Roman" w:hAnsi="Times New Roman" w:cs="Times New Roman"/>
          <w:sz w:val="24"/>
          <w:szCs w:val="24"/>
        </w:rPr>
        <w:t>Z,Z</w:t>
      </w:r>
      <w:proofErr w:type="gramEnd"/>
      <w:r w:rsidRPr="006D034F">
        <w:rPr>
          <w:rFonts w:ascii="Times New Roman" w:hAnsi="Times New Roman" w:cs="Times New Roman"/>
          <w:sz w:val="24"/>
          <w:szCs w:val="24"/>
        </w:rPr>
        <w:t>) (3.92%). In</w:t>
      </w:r>
      <w:r w:rsidR="00A1727A">
        <w:rPr>
          <w:rFonts w:ascii="Times New Roman" w:hAnsi="Times New Roman" w:cs="Times New Roman"/>
          <w:sz w:val="24"/>
          <w:szCs w:val="24"/>
        </w:rPr>
        <w:t>-</w:t>
      </w:r>
      <w:r w:rsidRPr="006D034F">
        <w:rPr>
          <w:rFonts w:ascii="Times New Roman" w:hAnsi="Times New Roman" w:cs="Times New Roman"/>
          <w:sz w:val="24"/>
          <w:szCs w:val="24"/>
        </w:rPr>
        <w:t xml:space="preserve">vivo administration of </w:t>
      </w:r>
      <w:r w:rsidRPr="001352E2">
        <w:rPr>
          <w:rFonts w:ascii="Times New Roman" w:hAnsi="Times New Roman" w:cs="Times New Roman"/>
          <w:i/>
          <w:iCs/>
          <w:sz w:val="24"/>
          <w:szCs w:val="24"/>
        </w:rPr>
        <w:t>S. mombin</w:t>
      </w:r>
      <w:r w:rsidRPr="006D034F">
        <w:rPr>
          <w:rFonts w:ascii="Times New Roman" w:hAnsi="Times New Roman" w:cs="Times New Roman"/>
          <w:sz w:val="24"/>
          <w:szCs w:val="24"/>
        </w:rPr>
        <w:t xml:space="preserve"> extract at a dose of 200 mg/kg significantly reduced total cholesterol (8.6%), triglycerides (8.2%), and LDL (40.4%) levels, while increasing HDL (49.4%) and improving atherogenic indices (AC by 59.8%) in poloxamer 407-induced hyperlipidemic rats. Antioxidant assays showed a 73.1% decrease in lipid peroxidation and a 151.6% increase in superoxide dismutase (SOD) activity. These findings suggest that </w:t>
      </w:r>
      <w:r w:rsidRPr="006D034F">
        <w:rPr>
          <w:rFonts w:ascii="Times New Roman" w:hAnsi="Times New Roman" w:cs="Times New Roman"/>
          <w:i/>
          <w:iCs/>
          <w:sz w:val="24"/>
          <w:szCs w:val="24"/>
        </w:rPr>
        <w:t>S. mombin</w:t>
      </w:r>
      <w:r w:rsidRPr="006D034F">
        <w:rPr>
          <w:rFonts w:ascii="Times New Roman" w:hAnsi="Times New Roman" w:cs="Times New Roman"/>
          <w:sz w:val="24"/>
          <w:szCs w:val="24"/>
        </w:rPr>
        <w:t xml:space="preserve"> possesses significant lipid-lowering and antioxidant properties, making it a promising candidate for incorporation into functional foods targeting cardiovascular health. This study supports the traditional use of </w:t>
      </w:r>
      <w:r w:rsidRPr="006D034F">
        <w:rPr>
          <w:rFonts w:ascii="Times New Roman" w:hAnsi="Times New Roman" w:cs="Times New Roman"/>
          <w:i/>
          <w:iCs/>
          <w:sz w:val="24"/>
          <w:szCs w:val="24"/>
        </w:rPr>
        <w:t>S. mombin</w:t>
      </w:r>
      <w:r w:rsidRPr="006D034F">
        <w:rPr>
          <w:rFonts w:ascii="Times New Roman" w:hAnsi="Times New Roman" w:cs="Times New Roman"/>
          <w:sz w:val="24"/>
          <w:szCs w:val="24"/>
        </w:rPr>
        <w:t xml:space="preserve"> and highlights its potential as a natural therapeutic agent for managing hyperlipidemia through dietary interventions.</w:t>
      </w:r>
    </w:p>
    <w:p w14:paraId="5D9A9A53" w14:textId="51739041" w:rsidR="006D034F" w:rsidRPr="006D034F" w:rsidRDefault="006D034F" w:rsidP="006D034F">
      <w:pPr>
        <w:jc w:val="both"/>
        <w:rPr>
          <w:rFonts w:ascii="Times New Roman" w:hAnsi="Times New Roman" w:cs="Times New Roman"/>
          <w:sz w:val="24"/>
          <w:szCs w:val="24"/>
        </w:rPr>
      </w:pPr>
      <w:r w:rsidRPr="006D034F">
        <w:rPr>
          <w:rFonts w:ascii="Times New Roman" w:hAnsi="Times New Roman" w:cs="Times New Roman"/>
          <w:b/>
          <w:bCs/>
          <w:sz w:val="24"/>
          <w:szCs w:val="24"/>
        </w:rPr>
        <w:t xml:space="preserve">Keywords: </w:t>
      </w:r>
      <w:proofErr w:type="spellStart"/>
      <w:r w:rsidRPr="006D034F">
        <w:rPr>
          <w:rFonts w:ascii="Times New Roman" w:hAnsi="Times New Roman" w:cs="Times New Roman"/>
          <w:i/>
          <w:iCs/>
          <w:sz w:val="24"/>
          <w:szCs w:val="24"/>
        </w:rPr>
        <w:t>Spondias</w:t>
      </w:r>
      <w:proofErr w:type="spellEnd"/>
      <w:r w:rsidRPr="006D034F">
        <w:rPr>
          <w:rFonts w:ascii="Times New Roman" w:hAnsi="Times New Roman" w:cs="Times New Roman"/>
          <w:sz w:val="24"/>
          <w:szCs w:val="24"/>
        </w:rPr>
        <w:t xml:space="preserve"> </w:t>
      </w:r>
      <w:r w:rsidRPr="006D034F">
        <w:rPr>
          <w:rFonts w:ascii="Times New Roman" w:hAnsi="Times New Roman" w:cs="Times New Roman"/>
          <w:i/>
          <w:iCs/>
          <w:sz w:val="24"/>
          <w:szCs w:val="24"/>
        </w:rPr>
        <w:t>mombin</w:t>
      </w:r>
      <w:r w:rsidRPr="006D034F">
        <w:rPr>
          <w:rFonts w:ascii="Times New Roman" w:hAnsi="Times New Roman" w:cs="Times New Roman"/>
          <w:sz w:val="24"/>
          <w:szCs w:val="24"/>
        </w:rPr>
        <w:t>, Hyperlipidemia, Functional Foods, Phytochemicals, Lipid Metabolism, Antioxidants</w:t>
      </w:r>
    </w:p>
    <w:p w14:paraId="0F1F552C" w14:textId="77777777" w:rsidR="006D034F" w:rsidRPr="006D034F" w:rsidRDefault="006D034F" w:rsidP="006D034F">
      <w:pPr>
        <w:jc w:val="both"/>
        <w:rPr>
          <w:rFonts w:ascii="Times New Roman" w:hAnsi="Times New Roman" w:cs="Times New Roman"/>
          <w:sz w:val="24"/>
          <w:szCs w:val="24"/>
        </w:rPr>
      </w:pPr>
    </w:p>
    <w:p w14:paraId="04036E71" w14:textId="77777777" w:rsidR="006D034F" w:rsidRDefault="006D034F">
      <w:pPr>
        <w:rPr>
          <w:rFonts w:ascii="Times New Roman" w:hAnsi="Times New Roman" w:cs="Times New Roman"/>
          <w:sz w:val="24"/>
          <w:szCs w:val="24"/>
        </w:rPr>
      </w:pPr>
      <w:r>
        <w:rPr>
          <w:rFonts w:ascii="Times New Roman" w:hAnsi="Times New Roman" w:cs="Times New Roman"/>
          <w:sz w:val="24"/>
          <w:szCs w:val="24"/>
        </w:rPr>
        <w:br w:type="page"/>
      </w:r>
    </w:p>
    <w:p w14:paraId="1500F09E" w14:textId="77777777" w:rsidR="006D034F" w:rsidRDefault="006D034F" w:rsidP="006D034F">
      <w:pPr>
        <w:jc w:val="both"/>
        <w:rPr>
          <w:rFonts w:ascii="Times New Roman" w:hAnsi="Times New Roman" w:cs="Times New Roman"/>
          <w:b/>
          <w:bCs/>
          <w:sz w:val="24"/>
          <w:szCs w:val="24"/>
        </w:rPr>
      </w:pPr>
      <w:r w:rsidRPr="006D034F">
        <w:rPr>
          <w:rFonts w:ascii="Times New Roman" w:hAnsi="Times New Roman" w:cs="Times New Roman"/>
          <w:b/>
          <w:bCs/>
          <w:sz w:val="24"/>
          <w:szCs w:val="24"/>
        </w:rPr>
        <w:lastRenderedPageBreak/>
        <w:t>Introduction</w:t>
      </w:r>
    </w:p>
    <w:p w14:paraId="2BB6B78E" w14:textId="77777777" w:rsidR="001352E2" w:rsidRPr="001352E2" w:rsidRDefault="001352E2" w:rsidP="001352E2">
      <w:pPr>
        <w:jc w:val="both"/>
        <w:rPr>
          <w:rFonts w:ascii="Times New Roman" w:hAnsi="Times New Roman" w:cs="Times New Roman"/>
          <w:sz w:val="24"/>
          <w:szCs w:val="24"/>
          <w:lang w:val="en-GB"/>
        </w:rPr>
      </w:pPr>
      <w:commentRangeStart w:id="2"/>
      <w:r w:rsidRPr="001352E2">
        <w:rPr>
          <w:rFonts w:ascii="Times New Roman" w:hAnsi="Times New Roman" w:cs="Times New Roman"/>
          <w:sz w:val="24"/>
          <w:szCs w:val="24"/>
          <w:lang w:val="en-GB"/>
        </w:rPr>
        <w:t xml:space="preserve">Cardiovascular diseases driven by </w:t>
      </w:r>
      <w:proofErr w:type="spellStart"/>
      <w:r w:rsidRPr="001352E2">
        <w:rPr>
          <w:rFonts w:ascii="Times New Roman" w:hAnsi="Times New Roman" w:cs="Times New Roman"/>
          <w:sz w:val="24"/>
          <w:szCs w:val="24"/>
          <w:lang w:val="en-GB"/>
        </w:rPr>
        <w:t>hyperlipidemia</w:t>
      </w:r>
      <w:proofErr w:type="spellEnd"/>
      <w:r w:rsidRPr="001352E2">
        <w:rPr>
          <w:rFonts w:ascii="Times New Roman" w:hAnsi="Times New Roman" w:cs="Times New Roman"/>
          <w:sz w:val="24"/>
          <w:szCs w:val="24"/>
          <w:lang w:val="en-GB"/>
        </w:rPr>
        <w:t xml:space="preserve"> remain a leading cause of global morbidity and mortality (Achila et al., 2021).</w:t>
      </w:r>
      <w:commentRangeEnd w:id="2"/>
      <w:r w:rsidR="006E7C62">
        <w:rPr>
          <w:rStyle w:val="CommentReference"/>
        </w:rPr>
        <w:commentReference w:id="2"/>
      </w:r>
      <w:r w:rsidRPr="001352E2">
        <w:rPr>
          <w:rFonts w:ascii="Times New Roman" w:hAnsi="Times New Roman" w:cs="Times New Roman"/>
          <w:sz w:val="24"/>
          <w:szCs w:val="24"/>
          <w:lang w:val="en-GB"/>
        </w:rPr>
        <w:t xml:space="preserve"> Despite advances in pharmacotherapy, challenges such as drug resistance, adverse effects, and patient non-compliance necessitate the exploration of alternative or complementary strategies (Valentino et al., 2020). Natural products, particularly those derived from plants, have gained considerable attention due to their diverse bioactive profiles and relatively low toxicity (Lonardo et al., 2020). Among these, </w:t>
      </w:r>
      <w:proofErr w:type="spellStart"/>
      <w:r w:rsidRPr="001352E2">
        <w:rPr>
          <w:rFonts w:ascii="Times New Roman" w:hAnsi="Times New Roman" w:cs="Times New Roman"/>
          <w:i/>
          <w:iCs/>
          <w:sz w:val="24"/>
          <w:szCs w:val="24"/>
          <w:lang w:val="en-GB"/>
        </w:rPr>
        <w:t>Spondias</w:t>
      </w:r>
      <w:proofErr w:type="spellEnd"/>
      <w:r w:rsidRPr="001352E2">
        <w:rPr>
          <w:rFonts w:ascii="Times New Roman" w:hAnsi="Times New Roman" w:cs="Times New Roman"/>
          <w:i/>
          <w:iCs/>
          <w:sz w:val="24"/>
          <w:szCs w:val="24"/>
          <w:lang w:val="en-GB"/>
        </w:rPr>
        <w:t xml:space="preserve"> mombin </w:t>
      </w:r>
      <w:r w:rsidRPr="001352E2">
        <w:rPr>
          <w:rFonts w:ascii="Times New Roman" w:hAnsi="Times New Roman" w:cs="Times New Roman"/>
          <w:sz w:val="24"/>
          <w:szCs w:val="24"/>
          <w:lang w:val="en-GB"/>
        </w:rPr>
        <w:t>(</w:t>
      </w:r>
      <w:proofErr w:type="spellStart"/>
      <w:r w:rsidRPr="001352E2">
        <w:rPr>
          <w:rFonts w:ascii="Times New Roman" w:hAnsi="Times New Roman" w:cs="Times New Roman"/>
          <w:sz w:val="24"/>
          <w:szCs w:val="24"/>
          <w:lang w:val="en-GB"/>
        </w:rPr>
        <w:t>Anacardiaceae</w:t>
      </w:r>
      <w:proofErr w:type="spellEnd"/>
      <w:r w:rsidRPr="001352E2">
        <w:rPr>
          <w:rFonts w:ascii="Times New Roman" w:hAnsi="Times New Roman" w:cs="Times New Roman"/>
          <w:sz w:val="24"/>
          <w:szCs w:val="24"/>
          <w:lang w:val="en-GB"/>
        </w:rPr>
        <w:t xml:space="preserve">), a tropical fruit tree widely distributed across Africa and South America, has long been utilized in traditional medicine for treating conditions ranging from inflammation to metabolic disorders (Almeida et al., 2024). Its ethnobotanical relevance, coupled with emerging scientific evidence, positions </w:t>
      </w:r>
      <w:r w:rsidRPr="001352E2">
        <w:rPr>
          <w:rFonts w:ascii="Times New Roman" w:hAnsi="Times New Roman" w:cs="Times New Roman"/>
          <w:i/>
          <w:iCs/>
          <w:sz w:val="24"/>
          <w:szCs w:val="24"/>
          <w:lang w:val="en-GB"/>
        </w:rPr>
        <w:t xml:space="preserve">S. mombin </w:t>
      </w:r>
      <w:r w:rsidRPr="001352E2">
        <w:rPr>
          <w:rFonts w:ascii="Times New Roman" w:hAnsi="Times New Roman" w:cs="Times New Roman"/>
          <w:sz w:val="24"/>
          <w:szCs w:val="24"/>
          <w:lang w:val="en-GB"/>
        </w:rPr>
        <w:t xml:space="preserve">as a promising candidate for the development of functional foods aimed at managing </w:t>
      </w:r>
      <w:proofErr w:type="spellStart"/>
      <w:r w:rsidRPr="001352E2">
        <w:rPr>
          <w:rFonts w:ascii="Times New Roman" w:hAnsi="Times New Roman" w:cs="Times New Roman"/>
          <w:sz w:val="24"/>
          <w:szCs w:val="24"/>
          <w:lang w:val="en-GB"/>
        </w:rPr>
        <w:t>dyslipidemia</w:t>
      </w:r>
      <w:proofErr w:type="spellEnd"/>
      <w:r w:rsidRPr="001352E2">
        <w:rPr>
          <w:rFonts w:ascii="Times New Roman" w:hAnsi="Times New Roman" w:cs="Times New Roman"/>
          <w:sz w:val="24"/>
          <w:szCs w:val="24"/>
          <w:lang w:val="en-GB"/>
        </w:rPr>
        <w:t xml:space="preserve"> (Swathi &amp; Lakshman, 2022).</w:t>
      </w:r>
    </w:p>
    <w:p w14:paraId="1BAC97EF" w14:textId="77777777" w:rsidR="001352E2" w:rsidRPr="001352E2" w:rsidRDefault="001352E2" w:rsidP="001352E2">
      <w:pPr>
        <w:jc w:val="both"/>
        <w:rPr>
          <w:rFonts w:ascii="Times New Roman" w:hAnsi="Times New Roman" w:cs="Times New Roman"/>
          <w:sz w:val="24"/>
          <w:szCs w:val="24"/>
          <w:lang w:val="en-GB"/>
        </w:rPr>
      </w:pPr>
      <w:proofErr w:type="spellStart"/>
      <w:r w:rsidRPr="001352E2">
        <w:rPr>
          <w:rFonts w:ascii="Times New Roman" w:hAnsi="Times New Roman" w:cs="Times New Roman"/>
          <w:sz w:val="24"/>
          <w:szCs w:val="24"/>
          <w:lang w:val="en-GB"/>
        </w:rPr>
        <w:t>Hyperlipidemia</w:t>
      </w:r>
      <w:proofErr w:type="spellEnd"/>
      <w:r w:rsidRPr="001352E2">
        <w:rPr>
          <w:rFonts w:ascii="Times New Roman" w:hAnsi="Times New Roman" w:cs="Times New Roman"/>
          <w:sz w:val="24"/>
          <w:szCs w:val="24"/>
          <w:lang w:val="en-GB"/>
        </w:rPr>
        <w:t xml:space="preserve">, characterized by elevated levels of serum lipids such as cholesterol and triglycerides, contributes significantly to the progression of atherosclerosis and coronary heart disease (El-Tantawy &amp; </w:t>
      </w:r>
      <w:proofErr w:type="spellStart"/>
      <w:r w:rsidRPr="001352E2">
        <w:rPr>
          <w:rFonts w:ascii="Times New Roman" w:hAnsi="Times New Roman" w:cs="Times New Roman"/>
          <w:sz w:val="24"/>
          <w:szCs w:val="24"/>
          <w:lang w:val="en-GB"/>
        </w:rPr>
        <w:t>Temraz</w:t>
      </w:r>
      <w:proofErr w:type="spellEnd"/>
      <w:r w:rsidRPr="001352E2">
        <w:rPr>
          <w:rFonts w:ascii="Times New Roman" w:hAnsi="Times New Roman" w:cs="Times New Roman"/>
          <w:sz w:val="24"/>
          <w:szCs w:val="24"/>
          <w:lang w:val="en-GB"/>
        </w:rPr>
        <w:t xml:space="preserve">, 2019). The condition is often associated with lifestyle factors including poor diet, physical inactivity, and genetic predisposition (Alam et al., 2022). Conventional therapies, primarily statins and fibrates, are effective but may be accompanied by side effects such as myopathy, liver dysfunction, and gastrointestinal disturbances (Lucena et al., 2022). As such, there is growing interest in identifying plant-based alternatives that can modulate lipid metabolism safely and effectively (Konstantinidi &amp; </w:t>
      </w:r>
      <w:proofErr w:type="spellStart"/>
      <w:r w:rsidRPr="001352E2">
        <w:rPr>
          <w:rFonts w:ascii="Times New Roman" w:hAnsi="Times New Roman" w:cs="Times New Roman"/>
          <w:sz w:val="24"/>
          <w:szCs w:val="24"/>
          <w:lang w:val="en-GB"/>
        </w:rPr>
        <w:t>Koutelidakis</w:t>
      </w:r>
      <w:proofErr w:type="spellEnd"/>
      <w:r w:rsidRPr="001352E2">
        <w:rPr>
          <w:rFonts w:ascii="Times New Roman" w:hAnsi="Times New Roman" w:cs="Times New Roman"/>
          <w:sz w:val="24"/>
          <w:szCs w:val="24"/>
          <w:lang w:val="en-GB"/>
        </w:rPr>
        <w:t xml:space="preserve">, 2019). Several studies have demonstrated the hypolipidemic effects of natural compounds through mechanisms such as enzyme inhibition, increased </w:t>
      </w:r>
      <w:proofErr w:type="spellStart"/>
      <w:r w:rsidRPr="001352E2">
        <w:rPr>
          <w:rFonts w:ascii="Times New Roman" w:hAnsi="Times New Roman" w:cs="Times New Roman"/>
          <w:sz w:val="24"/>
          <w:szCs w:val="24"/>
          <w:lang w:val="en-GB"/>
        </w:rPr>
        <w:t>fecal</w:t>
      </w:r>
      <w:proofErr w:type="spellEnd"/>
      <w:r w:rsidRPr="001352E2">
        <w:rPr>
          <w:rFonts w:ascii="Times New Roman" w:hAnsi="Times New Roman" w:cs="Times New Roman"/>
          <w:sz w:val="24"/>
          <w:szCs w:val="24"/>
          <w:lang w:val="en-GB"/>
        </w:rPr>
        <w:t xml:space="preserve"> excretion of bile acids, and enhanced antioxidant </w:t>
      </w:r>
      <w:proofErr w:type="spellStart"/>
      <w:r w:rsidRPr="001352E2">
        <w:rPr>
          <w:rFonts w:ascii="Times New Roman" w:hAnsi="Times New Roman" w:cs="Times New Roman"/>
          <w:sz w:val="24"/>
          <w:szCs w:val="24"/>
          <w:lang w:val="en-GB"/>
        </w:rPr>
        <w:t>defense</w:t>
      </w:r>
      <w:proofErr w:type="spellEnd"/>
      <w:r w:rsidRPr="001352E2">
        <w:rPr>
          <w:rFonts w:ascii="Times New Roman" w:hAnsi="Times New Roman" w:cs="Times New Roman"/>
          <w:sz w:val="24"/>
          <w:szCs w:val="24"/>
          <w:lang w:val="en-GB"/>
        </w:rPr>
        <w:t xml:space="preserve"> systems (</w:t>
      </w:r>
      <w:proofErr w:type="spellStart"/>
      <w:r w:rsidRPr="001352E2">
        <w:rPr>
          <w:rFonts w:ascii="Times New Roman" w:hAnsi="Times New Roman" w:cs="Times New Roman"/>
          <w:sz w:val="24"/>
          <w:szCs w:val="24"/>
          <w:lang w:val="en-GB"/>
        </w:rPr>
        <w:t>Jędrusek</w:t>
      </w:r>
      <w:proofErr w:type="spellEnd"/>
      <w:r w:rsidRPr="001352E2">
        <w:rPr>
          <w:rFonts w:ascii="Times New Roman" w:hAnsi="Times New Roman" w:cs="Times New Roman"/>
          <w:sz w:val="24"/>
          <w:szCs w:val="24"/>
          <w:lang w:val="en-GB"/>
        </w:rPr>
        <w:t>-Golińska et al., 2020).</w:t>
      </w:r>
    </w:p>
    <w:p w14:paraId="474D5B07" w14:textId="77777777" w:rsidR="001352E2" w:rsidRPr="001352E2" w:rsidRDefault="001352E2" w:rsidP="001352E2">
      <w:p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Phytochemical investigations of </w:t>
      </w:r>
      <w:r w:rsidRPr="001352E2">
        <w:rPr>
          <w:rFonts w:ascii="Times New Roman" w:hAnsi="Times New Roman" w:cs="Times New Roman"/>
          <w:i/>
          <w:iCs/>
          <w:sz w:val="24"/>
          <w:szCs w:val="24"/>
          <w:lang w:val="en-GB"/>
        </w:rPr>
        <w:t xml:space="preserve">S. mombin </w:t>
      </w:r>
      <w:r w:rsidRPr="001352E2">
        <w:rPr>
          <w:rFonts w:ascii="Times New Roman" w:hAnsi="Times New Roman" w:cs="Times New Roman"/>
          <w:sz w:val="24"/>
          <w:szCs w:val="24"/>
          <w:lang w:val="en-GB"/>
        </w:rPr>
        <w:t>have revealed a rich array of secondary metabolites, including polyphenols, flavonoids, saponins, and phytosterols—compounds well-documented for their cardioprotective effects (</w:t>
      </w:r>
      <w:proofErr w:type="spellStart"/>
      <w:r w:rsidRPr="001352E2">
        <w:rPr>
          <w:rFonts w:ascii="Times New Roman" w:hAnsi="Times New Roman" w:cs="Times New Roman"/>
          <w:sz w:val="24"/>
          <w:szCs w:val="24"/>
          <w:lang w:val="en-GB"/>
        </w:rPr>
        <w:t>Akwu</w:t>
      </w:r>
      <w:proofErr w:type="spellEnd"/>
      <w:r w:rsidRPr="001352E2">
        <w:rPr>
          <w:rFonts w:ascii="Times New Roman" w:hAnsi="Times New Roman" w:cs="Times New Roman"/>
          <w:sz w:val="24"/>
          <w:szCs w:val="24"/>
          <w:lang w:val="en-GB"/>
        </w:rPr>
        <w:t xml:space="preserve"> et al., 2024). For instance, flavonoids exert antioxidant activity by scavenging free radicals and inhibiting lipid peroxidation, while saponins reduce intestinal cholesterol absorption by forming insoluble complexes with bile salts (Akinlolu-Ojo et al., 2022). Phytosterols, structurally similar to cholesterol, compete with its absorption in the gut, thereby lowering circulating lipid levels (Sinan et al., 2021). Additionally, fatty acid derivatives like 9-Octadecenoic acid and 9,12-Octadecadienoic acid, identified in this study via GC-MS, have shown promise in regulating lipid homeostasis (Venkatakrishnan et al., 2019). However, despite the documented biological activities of these compounds in other contexts, the specific impact of </w:t>
      </w:r>
      <w:r w:rsidRPr="001352E2">
        <w:rPr>
          <w:rFonts w:ascii="Times New Roman" w:hAnsi="Times New Roman" w:cs="Times New Roman"/>
          <w:i/>
          <w:iCs/>
          <w:sz w:val="24"/>
          <w:szCs w:val="24"/>
          <w:lang w:val="en-GB"/>
        </w:rPr>
        <w:t xml:space="preserve">S. mombin </w:t>
      </w:r>
      <w:r w:rsidRPr="001352E2">
        <w:rPr>
          <w:rFonts w:ascii="Times New Roman" w:hAnsi="Times New Roman" w:cs="Times New Roman"/>
          <w:sz w:val="24"/>
          <w:szCs w:val="24"/>
          <w:lang w:val="en-GB"/>
        </w:rPr>
        <w:t>extracts on lipid metabolism remains underexplored (</w:t>
      </w:r>
      <w:proofErr w:type="spellStart"/>
      <w:r w:rsidRPr="001352E2">
        <w:rPr>
          <w:rFonts w:ascii="Times New Roman" w:hAnsi="Times New Roman" w:cs="Times New Roman"/>
          <w:sz w:val="24"/>
          <w:szCs w:val="24"/>
          <w:lang w:val="en-GB"/>
        </w:rPr>
        <w:t>Asgary</w:t>
      </w:r>
      <w:proofErr w:type="spellEnd"/>
      <w:r w:rsidRPr="001352E2">
        <w:rPr>
          <w:rFonts w:ascii="Times New Roman" w:hAnsi="Times New Roman" w:cs="Times New Roman"/>
          <w:sz w:val="24"/>
          <w:szCs w:val="24"/>
          <w:lang w:val="en-GB"/>
        </w:rPr>
        <w:t xml:space="preserve"> et al., 2018).</w:t>
      </w:r>
    </w:p>
    <w:p w14:paraId="7DAA0603" w14:textId="77777777" w:rsidR="001352E2" w:rsidRPr="001352E2" w:rsidRDefault="001352E2" w:rsidP="001352E2">
      <w:p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Several in vitro and in vivo studies have highlighted the anti-inflammatory, antimicrobial, and antidiabetic potentials of </w:t>
      </w:r>
      <w:r w:rsidRPr="001352E2">
        <w:rPr>
          <w:rFonts w:ascii="Times New Roman" w:hAnsi="Times New Roman" w:cs="Times New Roman"/>
          <w:i/>
          <w:iCs/>
          <w:sz w:val="24"/>
          <w:szCs w:val="24"/>
          <w:lang w:val="en-GB"/>
        </w:rPr>
        <w:t xml:space="preserve">S. mombin </w:t>
      </w:r>
      <w:r w:rsidRPr="001352E2">
        <w:rPr>
          <w:rFonts w:ascii="Times New Roman" w:hAnsi="Times New Roman" w:cs="Times New Roman"/>
          <w:sz w:val="24"/>
          <w:szCs w:val="24"/>
          <w:lang w:val="en-GB"/>
        </w:rPr>
        <w:t>(Almeida et al., 2024). However, systematic investigations into its role in lipid regulation are limited (</w:t>
      </w:r>
      <w:proofErr w:type="spellStart"/>
      <w:r w:rsidRPr="001352E2">
        <w:rPr>
          <w:rFonts w:ascii="Times New Roman" w:hAnsi="Times New Roman" w:cs="Times New Roman"/>
          <w:sz w:val="24"/>
          <w:szCs w:val="24"/>
          <w:lang w:val="en-GB"/>
        </w:rPr>
        <w:t>Plabon</w:t>
      </w:r>
      <w:proofErr w:type="spellEnd"/>
      <w:r w:rsidRPr="001352E2">
        <w:rPr>
          <w:rFonts w:ascii="Times New Roman" w:hAnsi="Times New Roman" w:cs="Times New Roman"/>
          <w:sz w:val="24"/>
          <w:szCs w:val="24"/>
          <w:lang w:val="en-GB"/>
        </w:rPr>
        <w:t xml:space="preserve"> et al., 2021). One notable gap lies in the lack of standardized protocols for evaluating the efficacy of </w:t>
      </w:r>
      <w:r w:rsidRPr="001352E2">
        <w:rPr>
          <w:rFonts w:ascii="Times New Roman" w:hAnsi="Times New Roman" w:cs="Times New Roman"/>
          <w:i/>
          <w:iCs/>
          <w:sz w:val="24"/>
          <w:szCs w:val="24"/>
          <w:lang w:val="en-GB"/>
        </w:rPr>
        <w:t xml:space="preserve">S. mombin </w:t>
      </w:r>
      <w:r w:rsidRPr="001352E2">
        <w:rPr>
          <w:rFonts w:ascii="Times New Roman" w:hAnsi="Times New Roman" w:cs="Times New Roman"/>
          <w:sz w:val="24"/>
          <w:szCs w:val="24"/>
          <w:lang w:val="en-GB"/>
        </w:rPr>
        <w:t xml:space="preserve">extracts in experimental models of </w:t>
      </w:r>
      <w:proofErr w:type="spellStart"/>
      <w:r w:rsidRPr="001352E2">
        <w:rPr>
          <w:rFonts w:ascii="Times New Roman" w:hAnsi="Times New Roman" w:cs="Times New Roman"/>
          <w:sz w:val="24"/>
          <w:szCs w:val="24"/>
          <w:lang w:val="en-GB"/>
        </w:rPr>
        <w:t>hyperlipidemia</w:t>
      </w:r>
      <w:proofErr w:type="spellEnd"/>
      <w:r w:rsidRPr="001352E2">
        <w:rPr>
          <w:rFonts w:ascii="Times New Roman" w:hAnsi="Times New Roman" w:cs="Times New Roman"/>
          <w:sz w:val="24"/>
          <w:szCs w:val="24"/>
          <w:lang w:val="en-GB"/>
        </w:rPr>
        <w:t xml:space="preserve"> (Nie &amp; Luo, 2021). While preliminary studies have suggested beneficial effects on lipid profiles, comprehensive assessments </w:t>
      </w:r>
      <w:r w:rsidRPr="001352E2">
        <w:rPr>
          <w:rFonts w:ascii="Times New Roman" w:hAnsi="Times New Roman" w:cs="Times New Roman"/>
          <w:sz w:val="24"/>
          <w:szCs w:val="24"/>
          <w:lang w:val="en-GB"/>
        </w:rPr>
        <w:lastRenderedPageBreak/>
        <w:t>involving biochemical parameters, enzymatic activity, and antioxidant status are lacking (Malik et al., 2023). Furthermore, the integration of traditional knowledge with modern pharmacological approaches offers a unique opportunity to validate and harness the therapeutic potential of this plant for preventive healthcare (</w:t>
      </w:r>
      <w:proofErr w:type="spellStart"/>
      <w:r w:rsidRPr="001352E2">
        <w:rPr>
          <w:rFonts w:ascii="Times New Roman" w:hAnsi="Times New Roman" w:cs="Times New Roman"/>
          <w:sz w:val="24"/>
          <w:szCs w:val="24"/>
          <w:lang w:val="en-GB"/>
        </w:rPr>
        <w:t>Samarghandian</w:t>
      </w:r>
      <w:proofErr w:type="spellEnd"/>
      <w:r w:rsidRPr="001352E2">
        <w:rPr>
          <w:rFonts w:ascii="Times New Roman" w:hAnsi="Times New Roman" w:cs="Times New Roman"/>
          <w:sz w:val="24"/>
          <w:szCs w:val="24"/>
          <w:lang w:val="en-GB"/>
        </w:rPr>
        <w:t xml:space="preserve"> et al., 2013).</w:t>
      </w:r>
    </w:p>
    <w:p w14:paraId="7EB5A58F" w14:textId="004A9C20" w:rsidR="001352E2" w:rsidRPr="001352E2" w:rsidRDefault="001352E2" w:rsidP="001352E2">
      <w:p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The present study aims to bridge these gaps by evaluating the anti-</w:t>
      </w:r>
      <w:proofErr w:type="spellStart"/>
      <w:r w:rsidRPr="001352E2">
        <w:rPr>
          <w:rFonts w:ascii="Times New Roman" w:hAnsi="Times New Roman" w:cs="Times New Roman"/>
          <w:sz w:val="24"/>
          <w:szCs w:val="24"/>
          <w:lang w:val="en-GB"/>
        </w:rPr>
        <w:t>hyperlipidemic</w:t>
      </w:r>
      <w:proofErr w:type="spellEnd"/>
      <w:r w:rsidRPr="001352E2">
        <w:rPr>
          <w:rFonts w:ascii="Times New Roman" w:hAnsi="Times New Roman" w:cs="Times New Roman"/>
          <w:sz w:val="24"/>
          <w:szCs w:val="24"/>
          <w:lang w:val="en-GB"/>
        </w:rPr>
        <w:t xml:space="preserve"> and antioxidant properties of </w:t>
      </w:r>
      <w:r w:rsidRPr="001352E2">
        <w:rPr>
          <w:rFonts w:ascii="Times New Roman" w:hAnsi="Times New Roman" w:cs="Times New Roman"/>
          <w:i/>
          <w:iCs/>
          <w:sz w:val="24"/>
          <w:szCs w:val="24"/>
          <w:lang w:val="en-GB"/>
        </w:rPr>
        <w:t xml:space="preserve">S. mombin </w:t>
      </w:r>
      <w:r w:rsidRPr="001352E2">
        <w:rPr>
          <w:rFonts w:ascii="Times New Roman" w:hAnsi="Times New Roman" w:cs="Times New Roman"/>
          <w:sz w:val="24"/>
          <w:szCs w:val="24"/>
          <w:lang w:val="en-GB"/>
        </w:rPr>
        <w:t>extract using a combination of phytochemical analysis, in</w:t>
      </w:r>
      <w:r w:rsidR="00077787">
        <w:rPr>
          <w:rFonts w:ascii="Times New Roman" w:hAnsi="Times New Roman" w:cs="Times New Roman"/>
          <w:sz w:val="24"/>
          <w:szCs w:val="24"/>
          <w:lang w:val="en-GB"/>
        </w:rPr>
        <w:t>-</w:t>
      </w:r>
      <w:r w:rsidRPr="001352E2">
        <w:rPr>
          <w:rFonts w:ascii="Times New Roman" w:hAnsi="Times New Roman" w:cs="Times New Roman"/>
          <w:sz w:val="24"/>
          <w:szCs w:val="24"/>
          <w:lang w:val="en-GB"/>
        </w:rPr>
        <w:t>vitro assays, and an in</w:t>
      </w:r>
      <w:r w:rsidR="00077787">
        <w:rPr>
          <w:rFonts w:ascii="Times New Roman" w:hAnsi="Times New Roman" w:cs="Times New Roman"/>
          <w:sz w:val="24"/>
          <w:szCs w:val="24"/>
          <w:lang w:val="en-GB"/>
        </w:rPr>
        <w:t>-</w:t>
      </w:r>
      <w:r w:rsidRPr="001352E2">
        <w:rPr>
          <w:rFonts w:ascii="Times New Roman" w:hAnsi="Times New Roman" w:cs="Times New Roman"/>
          <w:sz w:val="24"/>
          <w:szCs w:val="24"/>
          <w:lang w:val="en-GB"/>
        </w:rPr>
        <w:t xml:space="preserve">vivo model of </w:t>
      </w:r>
      <w:proofErr w:type="spellStart"/>
      <w:r w:rsidRPr="001352E2">
        <w:rPr>
          <w:rFonts w:ascii="Times New Roman" w:hAnsi="Times New Roman" w:cs="Times New Roman"/>
          <w:sz w:val="24"/>
          <w:szCs w:val="24"/>
          <w:lang w:val="en-GB"/>
        </w:rPr>
        <w:t>hyperlipidemia</w:t>
      </w:r>
      <w:proofErr w:type="spellEnd"/>
      <w:r w:rsidRPr="001352E2">
        <w:rPr>
          <w:rFonts w:ascii="Times New Roman" w:hAnsi="Times New Roman" w:cs="Times New Roman"/>
          <w:sz w:val="24"/>
          <w:szCs w:val="24"/>
          <w:lang w:val="en-GB"/>
        </w:rPr>
        <w:t xml:space="preserve"> induced by poloxamer 407. We also assess the feasibility of incorporating the extract into functional food formulations, considering its bioactive profile and observed physiological effects. By focusing on the lipid-lowering capacity of </w:t>
      </w:r>
      <w:r w:rsidRPr="001352E2">
        <w:rPr>
          <w:rFonts w:ascii="Times New Roman" w:hAnsi="Times New Roman" w:cs="Times New Roman"/>
          <w:i/>
          <w:iCs/>
          <w:sz w:val="24"/>
          <w:szCs w:val="24"/>
          <w:lang w:val="en-GB"/>
        </w:rPr>
        <w:t xml:space="preserve">S. mombin </w:t>
      </w:r>
      <w:r w:rsidRPr="001352E2">
        <w:rPr>
          <w:rFonts w:ascii="Times New Roman" w:hAnsi="Times New Roman" w:cs="Times New Roman"/>
          <w:sz w:val="24"/>
          <w:szCs w:val="24"/>
          <w:lang w:val="en-GB"/>
        </w:rPr>
        <w:t>and its underlying mechanisms, this research contributes to the growing body of evidence supporting the use of plant-based interventions in the management of cardiovascular risk factors (Cristofoli et al., 2019).</w:t>
      </w:r>
    </w:p>
    <w:p w14:paraId="6990DF20" w14:textId="0EA79E3C" w:rsidR="00240333" w:rsidRPr="00240333" w:rsidRDefault="00240333" w:rsidP="00240333">
      <w:pPr>
        <w:jc w:val="both"/>
        <w:rPr>
          <w:rFonts w:ascii="Times New Roman" w:hAnsi="Times New Roman" w:cs="Times New Roman"/>
          <w:b/>
          <w:bCs/>
          <w:sz w:val="24"/>
          <w:szCs w:val="24"/>
        </w:rPr>
      </w:pPr>
      <w:r w:rsidRPr="00240333">
        <w:rPr>
          <w:rFonts w:ascii="Times New Roman" w:hAnsi="Times New Roman" w:cs="Times New Roman"/>
          <w:b/>
          <w:bCs/>
          <w:sz w:val="24"/>
          <w:szCs w:val="24"/>
        </w:rPr>
        <w:t>Materials and Method</w:t>
      </w:r>
      <w:r>
        <w:rPr>
          <w:rFonts w:ascii="Times New Roman" w:hAnsi="Times New Roman" w:cs="Times New Roman"/>
          <w:b/>
          <w:bCs/>
          <w:sz w:val="24"/>
          <w:szCs w:val="24"/>
        </w:rPr>
        <w:t>s</w:t>
      </w:r>
    </w:p>
    <w:p w14:paraId="0F2927D6" w14:textId="65B680C0" w:rsidR="00240333" w:rsidRPr="00DD4CBE" w:rsidRDefault="00240333" w:rsidP="00240333">
      <w:pPr>
        <w:jc w:val="both"/>
        <w:rPr>
          <w:rFonts w:ascii="Times New Roman" w:hAnsi="Times New Roman" w:cs="Times New Roman"/>
          <w:b/>
          <w:bCs/>
          <w:i/>
          <w:iCs/>
          <w:sz w:val="24"/>
          <w:szCs w:val="24"/>
        </w:rPr>
      </w:pPr>
      <w:r w:rsidRPr="00DD4CBE">
        <w:rPr>
          <w:rFonts w:ascii="Times New Roman" w:hAnsi="Times New Roman" w:cs="Times New Roman"/>
          <w:b/>
          <w:bCs/>
          <w:i/>
          <w:iCs/>
          <w:sz w:val="24"/>
          <w:szCs w:val="24"/>
        </w:rPr>
        <w:t>Plant Sample Collection and Identification</w:t>
      </w:r>
    </w:p>
    <w:p w14:paraId="0848251C" w14:textId="4D9BFF55"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 xml:space="preserve">Fresh </w:t>
      </w:r>
      <w:r>
        <w:rPr>
          <w:rFonts w:ascii="Times New Roman" w:hAnsi="Times New Roman" w:cs="Times New Roman"/>
          <w:sz w:val="24"/>
          <w:szCs w:val="24"/>
        </w:rPr>
        <w:t>leaves</w:t>
      </w:r>
      <w:r w:rsidRPr="00240333">
        <w:rPr>
          <w:rFonts w:ascii="Times New Roman" w:hAnsi="Times New Roman" w:cs="Times New Roman"/>
          <w:sz w:val="24"/>
          <w:szCs w:val="24"/>
        </w:rPr>
        <w:t xml:space="preserve"> of </w:t>
      </w:r>
      <w:commentRangeStart w:id="3"/>
      <w:proofErr w:type="spellStart"/>
      <w:r w:rsidRPr="00A1727A">
        <w:rPr>
          <w:rFonts w:ascii="Times New Roman" w:hAnsi="Times New Roman" w:cs="Times New Roman"/>
          <w:i/>
          <w:iCs/>
          <w:sz w:val="24"/>
          <w:szCs w:val="24"/>
        </w:rPr>
        <w:t>Spondias</w:t>
      </w:r>
      <w:proofErr w:type="spellEnd"/>
      <w:r w:rsidRPr="00240333">
        <w:rPr>
          <w:rFonts w:ascii="Times New Roman" w:hAnsi="Times New Roman" w:cs="Times New Roman"/>
          <w:sz w:val="24"/>
          <w:szCs w:val="24"/>
        </w:rPr>
        <w:t xml:space="preserve"> </w:t>
      </w:r>
      <w:r w:rsidRPr="00A1727A">
        <w:rPr>
          <w:rFonts w:ascii="Times New Roman" w:hAnsi="Times New Roman" w:cs="Times New Roman"/>
          <w:i/>
          <w:iCs/>
          <w:sz w:val="24"/>
          <w:szCs w:val="24"/>
        </w:rPr>
        <w:t>mombin</w:t>
      </w:r>
      <w:r w:rsidRPr="00240333">
        <w:rPr>
          <w:rFonts w:ascii="Times New Roman" w:hAnsi="Times New Roman" w:cs="Times New Roman"/>
          <w:sz w:val="24"/>
          <w:szCs w:val="24"/>
        </w:rPr>
        <w:t xml:space="preserve"> </w:t>
      </w:r>
      <w:commentRangeEnd w:id="3"/>
      <w:r w:rsidR="00F75AD9">
        <w:rPr>
          <w:rStyle w:val="CommentReference"/>
        </w:rPr>
        <w:commentReference w:id="3"/>
      </w:r>
      <w:r w:rsidRPr="00240333">
        <w:rPr>
          <w:rFonts w:ascii="Times New Roman" w:hAnsi="Times New Roman" w:cs="Times New Roman"/>
          <w:sz w:val="24"/>
          <w:szCs w:val="24"/>
        </w:rPr>
        <w:t xml:space="preserve">were collected from </w:t>
      </w:r>
      <w:proofErr w:type="spellStart"/>
      <w:r w:rsidR="00077787" w:rsidRPr="007C290D">
        <w:rPr>
          <w:rFonts w:ascii="Times New Roman" w:hAnsi="Times New Roman" w:cs="Times New Roman"/>
          <w:sz w:val="24"/>
          <w:szCs w:val="24"/>
        </w:rPr>
        <w:t>Fiidi</w:t>
      </w:r>
      <w:proofErr w:type="spellEnd"/>
      <w:r w:rsidR="00077787" w:rsidRPr="007C290D">
        <w:rPr>
          <w:rFonts w:ascii="Times New Roman" w:hAnsi="Times New Roman" w:cs="Times New Roman"/>
          <w:sz w:val="24"/>
          <w:szCs w:val="24"/>
        </w:rPr>
        <w:t xml:space="preserve"> Council Ward, Makurdi, Benue State, Nigeria</w:t>
      </w:r>
      <w:r w:rsidRPr="00240333">
        <w:rPr>
          <w:rFonts w:ascii="Times New Roman" w:hAnsi="Times New Roman" w:cs="Times New Roman"/>
          <w:sz w:val="24"/>
          <w:szCs w:val="24"/>
        </w:rPr>
        <w:t>. The plant was authenticated by a taxonomist,</w:t>
      </w:r>
      <w:r w:rsidR="00077787">
        <w:rPr>
          <w:rFonts w:ascii="Times New Roman" w:hAnsi="Times New Roman" w:cs="Times New Roman"/>
          <w:sz w:val="24"/>
          <w:szCs w:val="24"/>
        </w:rPr>
        <w:t xml:space="preserve"> at Federal University of Lafia, Nasarawa State, Nigeria,</w:t>
      </w:r>
      <w:r w:rsidRPr="00240333">
        <w:rPr>
          <w:rFonts w:ascii="Times New Roman" w:hAnsi="Times New Roman" w:cs="Times New Roman"/>
          <w:sz w:val="24"/>
          <w:szCs w:val="24"/>
        </w:rPr>
        <w:t xml:space="preserve"> and a voucher specimen was deposited in the university’s herbarium for future reference (</w:t>
      </w:r>
      <w:proofErr w:type="spellStart"/>
      <w:r w:rsidRPr="00240333">
        <w:rPr>
          <w:rFonts w:ascii="Times New Roman" w:hAnsi="Times New Roman" w:cs="Times New Roman"/>
          <w:sz w:val="24"/>
          <w:szCs w:val="24"/>
        </w:rPr>
        <w:t>Akwu</w:t>
      </w:r>
      <w:proofErr w:type="spellEnd"/>
      <w:r w:rsidRPr="00240333">
        <w:rPr>
          <w:rFonts w:ascii="Times New Roman" w:hAnsi="Times New Roman" w:cs="Times New Roman"/>
          <w:sz w:val="24"/>
          <w:szCs w:val="24"/>
        </w:rPr>
        <w:t xml:space="preserve"> et al., 2024).</w:t>
      </w:r>
    </w:p>
    <w:p w14:paraId="51B88A6A" w14:textId="598DA84D" w:rsidR="00240333" w:rsidRPr="00DD4CBE" w:rsidRDefault="00240333" w:rsidP="00240333">
      <w:pPr>
        <w:jc w:val="both"/>
        <w:rPr>
          <w:rFonts w:ascii="Times New Roman" w:hAnsi="Times New Roman" w:cs="Times New Roman"/>
          <w:i/>
          <w:iCs/>
          <w:sz w:val="24"/>
          <w:szCs w:val="24"/>
        </w:rPr>
      </w:pPr>
      <w:r w:rsidRPr="00DD4CBE">
        <w:rPr>
          <w:rFonts w:ascii="Times New Roman" w:hAnsi="Times New Roman" w:cs="Times New Roman"/>
          <w:b/>
          <w:bCs/>
          <w:i/>
          <w:iCs/>
          <w:sz w:val="24"/>
          <w:szCs w:val="24"/>
        </w:rPr>
        <w:t>Crude Extract Preparation</w:t>
      </w:r>
    </w:p>
    <w:p w14:paraId="18581590" w14:textId="0B092FDD"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 xml:space="preserve">The </w:t>
      </w:r>
      <w:r w:rsidR="00077787">
        <w:rPr>
          <w:rFonts w:ascii="Times New Roman" w:hAnsi="Times New Roman" w:cs="Times New Roman"/>
          <w:sz w:val="24"/>
          <w:szCs w:val="24"/>
        </w:rPr>
        <w:t>leaves</w:t>
      </w:r>
      <w:r w:rsidRPr="00240333">
        <w:rPr>
          <w:rFonts w:ascii="Times New Roman" w:hAnsi="Times New Roman" w:cs="Times New Roman"/>
          <w:sz w:val="24"/>
          <w:szCs w:val="24"/>
        </w:rPr>
        <w:t xml:space="preserve"> </w:t>
      </w:r>
      <w:commentRangeStart w:id="4"/>
      <w:proofErr w:type="gramStart"/>
      <w:r w:rsidRPr="00240333">
        <w:rPr>
          <w:rFonts w:ascii="Times New Roman" w:hAnsi="Times New Roman" w:cs="Times New Roman"/>
          <w:sz w:val="24"/>
          <w:szCs w:val="24"/>
        </w:rPr>
        <w:t>was</w:t>
      </w:r>
      <w:proofErr w:type="gramEnd"/>
      <w:r w:rsidRPr="00240333">
        <w:rPr>
          <w:rFonts w:ascii="Times New Roman" w:hAnsi="Times New Roman" w:cs="Times New Roman"/>
          <w:sz w:val="24"/>
          <w:szCs w:val="24"/>
        </w:rPr>
        <w:t xml:space="preserve"> </w:t>
      </w:r>
      <w:commentRangeEnd w:id="4"/>
      <w:r w:rsidR="0033279D">
        <w:rPr>
          <w:rStyle w:val="CommentReference"/>
        </w:rPr>
        <w:commentReference w:id="4"/>
      </w:r>
      <w:r w:rsidRPr="00240333">
        <w:rPr>
          <w:rFonts w:ascii="Times New Roman" w:hAnsi="Times New Roman" w:cs="Times New Roman"/>
          <w:sz w:val="24"/>
          <w:szCs w:val="24"/>
        </w:rPr>
        <w:t>separated, shade-dried, and ground into a fine powder. A total of 200 g of the powdered sample was macerated in 70% ethanol (1 L) for 48 hours with intermittent shaking. The resulting filtrate was filtered using Whatman No. 1 filter paper and concentrated under reduced pressure using a rotary evaporator. The semi-solid extract was further lyophilized to obtain a dry residue and stored at 4°C for subsequent analyses (Karam et al., 2016).</w:t>
      </w:r>
    </w:p>
    <w:p w14:paraId="60C351A9" w14:textId="4AC360D5" w:rsidR="00240333" w:rsidRPr="00DD4CBE" w:rsidRDefault="00240333" w:rsidP="00240333">
      <w:pPr>
        <w:jc w:val="both"/>
        <w:rPr>
          <w:rFonts w:ascii="Times New Roman" w:hAnsi="Times New Roman" w:cs="Times New Roman"/>
          <w:b/>
          <w:bCs/>
          <w:sz w:val="24"/>
          <w:szCs w:val="24"/>
        </w:rPr>
      </w:pPr>
      <w:r w:rsidRPr="00DD4CBE">
        <w:rPr>
          <w:rFonts w:ascii="Times New Roman" w:hAnsi="Times New Roman" w:cs="Times New Roman"/>
          <w:b/>
          <w:bCs/>
          <w:sz w:val="24"/>
          <w:szCs w:val="24"/>
        </w:rPr>
        <w:t>Phytochemical Analysis</w:t>
      </w:r>
    </w:p>
    <w:p w14:paraId="3F6A8EB8" w14:textId="5C8195B3" w:rsidR="00240333" w:rsidRPr="00DD4CBE" w:rsidRDefault="00240333" w:rsidP="00240333">
      <w:pPr>
        <w:jc w:val="both"/>
        <w:rPr>
          <w:rFonts w:ascii="Times New Roman" w:hAnsi="Times New Roman" w:cs="Times New Roman"/>
          <w:b/>
          <w:bCs/>
          <w:i/>
          <w:iCs/>
          <w:sz w:val="24"/>
          <w:szCs w:val="24"/>
        </w:rPr>
      </w:pPr>
      <w:r w:rsidRPr="00DD4CBE">
        <w:rPr>
          <w:rFonts w:ascii="Times New Roman" w:hAnsi="Times New Roman" w:cs="Times New Roman"/>
          <w:b/>
          <w:bCs/>
          <w:i/>
          <w:iCs/>
          <w:sz w:val="24"/>
          <w:szCs w:val="24"/>
        </w:rPr>
        <w:t>Qualitative Phytochemical Screening</w:t>
      </w:r>
    </w:p>
    <w:p w14:paraId="5CFC8C2C" w14:textId="2DEA7F7B"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 xml:space="preserve">Preliminary qualitative phytochemical screening was carried out to detect the presence of alkaloids, flavonoids, saponins, tannins, terpenoids, and phenolic compounds using </w:t>
      </w:r>
      <w:commentRangeStart w:id="5"/>
      <w:r w:rsidRPr="00240333">
        <w:rPr>
          <w:rFonts w:ascii="Times New Roman" w:hAnsi="Times New Roman" w:cs="Times New Roman"/>
          <w:sz w:val="24"/>
          <w:szCs w:val="24"/>
        </w:rPr>
        <w:t xml:space="preserve">standard protocols. </w:t>
      </w:r>
      <w:commentRangeEnd w:id="5"/>
      <w:r w:rsidR="0033279D">
        <w:rPr>
          <w:rStyle w:val="CommentReference"/>
        </w:rPr>
        <w:commentReference w:id="5"/>
      </w:r>
      <w:r w:rsidRPr="00240333">
        <w:rPr>
          <w:rFonts w:ascii="Times New Roman" w:hAnsi="Times New Roman" w:cs="Times New Roman"/>
          <w:sz w:val="24"/>
          <w:szCs w:val="24"/>
        </w:rPr>
        <w:t>Mayer’s test was used for alkaloid detection, while the ferric chloride test was employed for phenolic compounds based on color change to dark green, blue, or purple (Darshan, 2019).</w:t>
      </w:r>
    </w:p>
    <w:p w14:paraId="3F8593DB" w14:textId="7134D383" w:rsidR="00240333" w:rsidRPr="00240333" w:rsidRDefault="00240333" w:rsidP="00240333">
      <w:pPr>
        <w:jc w:val="both"/>
        <w:rPr>
          <w:rFonts w:ascii="Times New Roman" w:hAnsi="Times New Roman" w:cs="Times New Roman"/>
          <w:b/>
          <w:bCs/>
          <w:sz w:val="24"/>
          <w:szCs w:val="24"/>
        </w:rPr>
      </w:pPr>
      <w:r w:rsidRPr="00DD4CBE">
        <w:rPr>
          <w:rFonts w:ascii="Times New Roman" w:hAnsi="Times New Roman" w:cs="Times New Roman"/>
          <w:b/>
          <w:bCs/>
          <w:i/>
          <w:iCs/>
          <w:sz w:val="24"/>
          <w:szCs w:val="24"/>
        </w:rPr>
        <w:t>Quantitative Phytochemical Analysis</w:t>
      </w:r>
    </w:p>
    <w:p w14:paraId="6D629A61" w14:textId="59B8A27F"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Quantitative estimation of bioactive constituents was performed as follows:</w:t>
      </w:r>
    </w:p>
    <w:p w14:paraId="7AC96436" w14:textId="68EBC8A0" w:rsidR="00240333" w:rsidRPr="00240333" w:rsidRDefault="00240333" w:rsidP="00240333">
      <w:pPr>
        <w:jc w:val="both"/>
        <w:rPr>
          <w:rFonts w:ascii="Times New Roman" w:hAnsi="Times New Roman" w:cs="Times New Roman"/>
          <w:sz w:val="24"/>
          <w:szCs w:val="24"/>
        </w:rPr>
      </w:pPr>
      <w:r w:rsidRPr="00A1727A">
        <w:rPr>
          <w:rFonts w:ascii="Times New Roman" w:hAnsi="Times New Roman" w:cs="Times New Roman"/>
          <w:b/>
          <w:bCs/>
          <w:sz w:val="24"/>
          <w:szCs w:val="24"/>
        </w:rPr>
        <w:t>Total Phenolic Content (TPC):</w:t>
      </w:r>
      <w:r w:rsidRPr="00240333">
        <w:rPr>
          <w:rFonts w:ascii="Times New Roman" w:hAnsi="Times New Roman" w:cs="Times New Roman"/>
          <w:sz w:val="24"/>
          <w:szCs w:val="24"/>
        </w:rPr>
        <w:t xml:space="preserve"> Determined using the Folin-</w:t>
      </w:r>
      <w:proofErr w:type="spellStart"/>
      <w:r w:rsidRPr="00240333">
        <w:rPr>
          <w:rFonts w:ascii="Times New Roman" w:hAnsi="Times New Roman" w:cs="Times New Roman"/>
          <w:sz w:val="24"/>
          <w:szCs w:val="24"/>
        </w:rPr>
        <w:t>Ciocalteau</w:t>
      </w:r>
      <w:proofErr w:type="spellEnd"/>
      <w:r w:rsidRPr="00240333">
        <w:rPr>
          <w:rFonts w:ascii="Times New Roman" w:hAnsi="Times New Roman" w:cs="Times New Roman"/>
          <w:sz w:val="24"/>
          <w:szCs w:val="24"/>
        </w:rPr>
        <w:t xml:space="preserve"> method and expressed as mg Gallic Acid Equivalent (GAE)/g.</w:t>
      </w:r>
    </w:p>
    <w:p w14:paraId="1B166ED2" w14:textId="53803D67" w:rsidR="00240333" w:rsidRPr="00240333" w:rsidRDefault="00240333" w:rsidP="00240333">
      <w:pPr>
        <w:jc w:val="both"/>
        <w:rPr>
          <w:rFonts w:ascii="Times New Roman" w:hAnsi="Times New Roman" w:cs="Times New Roman"/>
          <w:sz w:val="24"/>
          <w:szCs w:val="24"/>
        </w:rPr>
      </w:pPr>
      <w:r w:rsidRPr="00A1727A">
        <w:rPr>
          <w:rFonts w:ascii="Times New Roman" w:hAnsi="Times New Roman" w:cs="Times New Roman"/>
          <w:b/>
          <w:bCs/>
          <w:sz w:val="24"/>
          <w:szCs w:val="24"/>
        </w:rPr>
        <w:t>Total Flavonoid Content (TFC):</w:t>
      </w:r>
      <w:r w:rsidRPr="00240333">
        <w:rPr>
          <w:rFonts w:ascii="Times New Roman" w:hAnsi="Times New Roman" w:cs="Times New Roman"/>
          <w:sz w:val="24"/>
          <w:szCs w:val="24"/>
        </w:rPr>
        <w:t xml:space="preserve"> Estimated via aluminum chloride colorimetry and expressed as mg Rutin Equivalent (RE)/g.</w:t>
      </w:r>
    </w:p>
    <w:p w14:paraId="46A623DD" w14:textId="712F77E8" w:rsidR="00240333" w:rsidRPr="00240333" w:rsidRDefault="00240333" w:rsidP="00240333">
      <w:pPr>
        <w:jc w:val="both"/>
        <w:rPr>
          <w:rFonts w:ascii="Times New Roman" w:hAnsi="Times New Roman" w:cs="Times New Roman"/>
          <w:sz w:val="24"/>
          <w:szCs w:val="24"/>
        </w:rPr>
      </w:pPr>
      <w:r w:rsidRPr="00A1727A">
        <w:rPr>
          <w:rFonts w:ascii="Times New Roman" w:hAnsi="Times New Roman" w:cs="Times New Roman"/>
          <w:b/>
          <w:bCs/>
          <w:sz w:val="24"/>
          <w:szCs w:val="24"/>
        </w:rPr>
        <w:lastRenderedPageBreak/>
        <w:t>Total Tannin Content:</w:t>
      </w:r>
      <w:r w:rsidRPr="00240333">
        <w:rPr>
          <w:rFonts w:ascii="Times New Roman" w:hAnsi="Times New Roman" w:cs="Times New Roman"/>
          <w:sz w:val="24"/>
          <w:szCs w:val="24"/>
        </w:rPr>
        <w:t xml:space="preserve"> Quantified using the method described by Makkar et al., expressed as mg Ascorbic Acid Equivalent (AAE)/g.</w:t>
      </w:r>
    </w:p>
    <w:p w14:paraId="6EBAAA40" w14:textId="351347E9" w:rsidR="00240333" w:rsidRPr="00240333" w:rsidRDefault="00240333" w:rsidP="00240333">
      <w:pPr>
        <w:jc w:val="both"/>
        <w:rPr>
          <w:rFonts w:ascii="Times New Roman" w:hAnsi="Times New Roman" w:cs="Times New Roman"/>
          <w:sz w:val="24"/>
          <w:szCs w:val="24"/>
        </w:rPr>
      </w:pPr>
      <w:r w:rsidRPr="00A1727A">
        <w:rPr>
          <w:rFonts w:ascii="Times New Roman" w:hAnsi="Times New Roman" w:cs="Times New Roman"/>
          <w:b/>
          <w:bCs/>
          <w:sz w:val="24"/>
          <w:szCs w:val="24"/>
        </w:rPr>
        <w:t>Total Saponin Content:</w:t>
      </w:r>
      <w:r w:rsidRPr="00240333">
        <w:rPr>
          <w:rFonts w:ascii="Times New Roman" w:hAnsi="Times New Roman" w:cs="Times New Roman"/>
          <w:sz w:val="24"/>
          <w:szCs w:val="24"/>
        </w:rPr>
        <w:t xml:space="preserve"> Gravimetrically determined after extraction with diethyl ether and expressed as mg/100g.</w:t>
      </w:r>
    </w:p>
    <w:p w14:paraId="0A2258B5" w14:textId="13E618C8" w:rsidR="00240333" w:rsidRPr="00240333" w:rsidRDefault="00240333" w:rsidP="00240333">
      <w:pPr>
        <w:jc w:val="both"/>
        <w:rPr>
          <w:rFonts w:ascii="Times New Roman" w:hAnsi="Times New Roman" w:cs="Times New Roman"/>
          <w:sz w:val="24"/>
          <w:szCs w:val="24"/>
        </w:rPr>
      </w:pPr>
      <w:r w:rsidRPr="00A1727A">
        <w:rPr>
          <w:rFonts w:ascii="Times New Roman" w:hAnsi="Times New Roman" w:cs="Times New Roman"/>
          <w:b/>
          <w:bCs/>
          <w:sz w:val="24"/>
          <w:szCs w:val="24"/>
        </w:rPr>
        <w:t>Total Alkaloid Content:</w:t>
      </w:r>
      <w:r w:rsidRPr="00240333">
        <w:rPr>
          <w:rFonts w:ascii="Times New Roman" w:hAnsi="Times New Roman" w:cs="Times New Roman"/>
          <w:sz w:val="24"/>
          <w:szCs w:val="24"/>
        </w:rPr>
        <w:t xml:space="preserve"> Measured using the method of Harborne, expressed as mg/100g.</w:t>
      </w:r>
    </w:p>
    <w:p w14:paraId="09763641" w14:textId="77777777" w:rsid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All determinations were carried out in triplicate to ensure reproducibility and accuracy (</w:t>
      </w:r>
      <w:proofErr w:type="spellStart"/>
      <w:r w:rsidRPr="00240333">
        <w:rPr>
          <w:rFonts w:ascii="Times New Roman" w:hAnsi="Times New Roman" w:cs="Times New Roman"/>
          <w:sz w:val="24"/>
          <w:szCs w:val="24"/>
        </w:rPr>
        <w:t>Ohiri</w:t>
      </w:r>
      <w:proofErr w:type="spellEnd"/>
      <w:r w:rsidRPr="00240333">
        <w:rPr>
          <w:rFonts w:ascii="Times New Roman" w:hAnsi="Times New Roman" w:cs="Times New Roman"/>
          <w:sz w:val="24"/>
          <w:szCs w:val="24"/>
        </w:rPr>
        <w:t xml:space="preserve"> et al., 2023).</w:t>
      </w:r>
    </w:p>
    <w:p w14:paraId="41E0E8EA" w14:textId="77656222" w:rsidR="00240333" w:rsidRPr="00240333" w:rsidRDefault="00240333" w:rsidP="00240333">
      <w:pPr>
        <w:jc w:val="both"/>
        <w:rPr>
          <w:rFonts w:ascii="Times New Roman" w:hAnsi="Times New Roman" w:cs="Times New Roman"/>
          <w:b/>
          <w:bCs/>
          <w:sz w:val="24"/>
          <w:szCs w:val="24"/>
        </w:rPr>
      </w:pPr>
      <w:r w:rsidRPr="00240333">
        <w:rPr>
          <w:rFonts w:ascii="Times New Roman" w:hAnsi="Times New Roman" w:cs="Times New Roman"/>
          <w:b/>
          <w:bCs/>
          <w:sz w:val="24"/>
          <w:szCs w:val="24"/>
        </w:rPr>
        <w:t>Gas Chromatography-Mass Spectrometry (GC-MS) Profiling</w:t>
      </w:r>
    </w:p>
    <w:p w14:paraId="32A3D3B8" w14:textId="5394B207"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 xml:space="preserve">The </w:t>
      </w:r>
      <w:commentRangeStart w:id="6"/>
      <w:proofErr w:type="spellStart"/>
      <w:r w:rsidRPr="00DD4CBE">
        <w:rPr>
          <w:rFonts w:ascii="Times New Roman" w:hAnsi="Times New Roman" w:cs="Times New Roman"/>
          <w:i/>
          <w:iCs/>
          <w:sz w:val="24"/>
          <w:szCs w:val="24"/>
        </w:rPr>
        <w:t>Spondias</w:t>
      </w:r>
      <w:proofErr w:type="spellEnd"/>
      <w:r w:rsidRPr="00DD4CBE">
        <w:rPr>
          <w:rFonts w:ascii="Times New Roman" w:hAnsi="Times New Roman" w:cs="Times New Roman"/>
          <w:i/>
          <w:iCs/>
          <w:sz w:val="24"/>
          <w:szCs w:val="24"/>
        </w:rPr>
        <w:t xml:space="preserve"> mombin</w:t>
      </w:r>
      <w:r w:rsidRPr="00240333">
        <w:rPr>
          <w:rFonts w:ascii="Times New Roman" w:hAnsi="Times New Roman" w:cs="Times New Roman"/>
          <w:sz w:val="24"/>
          <w:szCs w:val="24"/>
        </w:rPr>
        <w:t xml:space="preserve"> </w:t>
      </w:r>
      <w:commentRangeEnd w:id="6"/>
      <w:r w:rsidR="00613398">
        <w:rPr>
          <w:rStyle w:val="CommentReference"/>
        </w:rPr>
        <w:commentReference w:id="6"/>
      </w:r>
      <w:r w:rsidRPr="00240333">
        <w:rPr>
          <w:rFonts w:ascii="Times New Roman" w:hAnsi="Times New Roman" w:cs="Times New Roman"/>
          <w:sz w:val="24"/>
          <w:szCs w:val="24"/>
        </w:rPr>
        <w:t>extract was subjected to GC-MS analysis to identify volatile and semi-volatile bioactive compounds. Sample preparation involved dissolving the dried extract in ethyl acetate followed by filtration through a 0.45 µm syringe filter. The filtrate was then concentrated and used for injection.</w:t>
      </w:r>
      <w:r>
        <w:rPr>
          <w:rFonts w:ascii="Times New Roman" w:hAnsi="Times New Roman" w:cs="Times New Roman"/>
          <w:sz w:val="24"/>
          <w:szCs w:val="24"/>
        </w:rPr>
        <w:t xml:space="preserve"> </w:t>
      </w:r>
      <w:r w:rsidRPr="00240333">
        <w:rPr>
          <w:rFonts w:ascii="Times New Roman" w:hAnsi="Times New Roman" w:cs="Times New Roman"/>
          <w:sz w:val="24"/>
          <w:szCs w:val="24"/>
        </w:rPr>
        <w:t xml:space="preserve">GC-MS analysis was conducted using an Agilent Technologies system (Model No. 19091S-933), equipped with an HP-1 capillary column (0.25 mm × 30 m × 0.25 </w:t>
      </w:r>
      <w:proofErr w:type="spellStart"/>
      <w:r w:rsidRPr="00240333">
        <w:rPr>
          <w:rFonts w:ascii="Times New Roman" w:hAnsi="Times New Roman" w:cs="Times New Roman"/>
          <w:sz w:val="24"/>
          <w:szCs w:val="24"/>
        </w:rPr>
        <w:t>μm</w:t>
      </w:r>
      <w:proofErr w:type="spellEnd"/>
      <w:r w:rsidRPr="00240333">
        <w:rPr>
          <w:rFonts w:ascii="Times New Roman" w:hAnsi="Times New Roman" w:cs="Times New Roman"/>
          <w:sz w:val="24"/>
          <w:szCs w:val="24"/>
        </w:rPr>
        <w:t xml:space="preserve"> film thickness). The oven temperature was programmed from 50°C to 300°C at a rate of 5°C/min. Helium was used as the carrier gas at a constant flow rate of 1 mL/min. Mass spectra were recorded in electron ionization mode, and compounds were identified by comparing retention indices and mass spectral data against the NIST library (version 2020).</w:t>
      </w:r>
      <w:r>
        <w:rPr>
          <w:rFonts w:ascii="Times New Roman" w:hAnsi="Times New Roman" w:cs="Times New Roman"/>
          <w:sz w:val="24"/>
          <w:szCs w:val="24"/>
        </w:rPr>
        <w:t xml:space="preserve"> </w:t>
      </w:r>
      <w:r w:rsidRPr="00240333">
        <w:rPr>
          <w:rFonts w:ascii="Times New Roman" w:hAnsi="Times New Roman" w:cs="Times New Roman"/>
          <w:sz w:val="24"/>
          <w:szCs w:val="24"/>
        </w:rPr>
        <w:t>The major bioactive compounds identified included 9-Octadecenoic acid (Z)-, 2,3-dihydroxypropyl ester (15.32%), Octadecane, 1-chloro- (3.21%), and 9,12-Octadecadienoic acid (</w:t>
      </w:r>
      <w:proofErr w:type="gramStart"/>
      <w:r w:rsidRPr="00240333">
        <w:rPr>
          <w:rFonts w:ascii="Times New Roman" w:hAnsi="Times New Roman" w:cs="Times New Roman"/>
          <w:sz w:val="24"/>
          <w:szCs w:val="24"/>
        </w:rPr>
        <w:t>Z,Z</w:t>
      </w:r>
      <w:proofErr w:type="gramEnd"/>
      <w:r w:rsidRPr="00240333">
        <w:rPr>
          <w:rFonts w:ascii="Times New Roman" w:hAnsi="Times New Roman" w:cs="Times New Roman"/>
          <w:sz w:val="24"/>
          <w:szCs w:val="24"/>
        </w:rPr>
        <w:t>) (3.92%) (</w:t>
      </w:r>
      <w:proofErr w:type="spellStart"/>
      <w:r w:rsidRPr="00240333">
        <w:rPr>
          <w:rFonts w:ascii="Times New Roman" w:hAnsi="Times New Roman" w:cs="Times New Roman"/>
          <w:sz w:val="24"/>
          <w:szCs w:val="24"/>
        </w:rPr>
        <w:t>Naibaho</w:t>
      </w:r>
      <w:proofErr w:type="spellEnd"/>
      <w:r w:rsidRPr="00240333">
        <w:rPr>
          <w:rFonts w:ascii="Times New Roman" w:hAnsi="Times New Roman" w:cs="Times New Roman"/>
          <w:sz w:val="24"/>
          <w:szCs w:val="24"/>
        </w:rPr>
        <w:t xml:space="preserve"> et al., 2021).</w:t>
      </w:r>
    </w:p>
    <w:p w14:paraId="1C1AA8AE" w14:textId="146A8216" w:rsidR="00240333" w:rsidRPr="00240333" w:rsidRDefault="00240333" w:rsidP="00240333">
      <w:pPr>
        <w:jc w:val="both"/>
        <w:rPr>
          <w:rFonts w:ascii="Times New Roman" w:hAnsi="Times New Roman" w:cs="Times New Roman"/>
          <w:b/>
          <w:bCs/>
          <w:sz w:val="24"/>
          <w:szCs w:val="24"/>
        </w:rPr>
      </w:pPr>
      <w:r w:rsidRPr="00240333">
        <w:rPr>
          <w:rFonts w:ascii="Times New Roman" w:hAnsi="Times New Roman" w:cs="Times New Roman"/>
          <w:b/>
          <w:bCs/>
          <w:sz w:val="24"/>
          <w:szCs w:val="24"/>
        </w:rPr>
        <w:t>Biochemical Studies</w:t>
      </w:r>
    </w:p>
    <w:p w14:paraId="50D08506" w14:textId="4B3C58D2" w:rsidR="00240333" w:rsidRPr="00A051A4" w:rsidRDefault="00240333" w:rsidP="00240333">
      <w:pPr>
        <w:jc w:val="both"/>
        <w:rPr>
          <w:rFonts w:ascii="Times New Roman" w:hAnsi="Times New Roman" w:cs="Times New Roman"/>
          <w:b/>
          <w:bCs/>
          <w:i/>
          <w:iCs/>
          <w:sz w:val="24"/>
          <w:szCs w:val="24"/>
        </w:rPr>
      </w:pPr>
      <w:r w:rsidRPr="00A051A4">
        <w:rPr>
          <w:rFonts w:ascii="Times New Roman" w:hAnsi="Times New Roman" w:cs="Times New Roman"/>
          <w:b/>
          <w:bCs/>
          <w:i/>
          <w:iCs/>
          <w:sz w:val="24"/>
          <w:szCs w:val="24"/>
        </w:rPr>
        <w:t>In</w:t>
      </w:r>
      <w:r w:rsidR="00077787">
        <w:rPr>
          <w:rFonts w:ascii="Times New Roman" w:hAnsi="Times New Roman" w:cs="Times New Roman"/>
          <w:b/>
          <w:bCs/>
          <w:i/>
          <w:iCs/>
          <w:sz w:val="24"/>
          <w:szCs w:val="24"/>
        </w:rPr>
        <w:t>-</w:t>
      </w:r>
      <w:r w:rsidRPr="00A051A4">
        <w:rPr>
          <w:rFonts w:ascii="Times New Roman" w:hAnsi="Times New Roman" w:cs="Times New Roman"/>
          <w:b/>
          <w:bCs/>
          <w:i/>
          <w:iCs/>
          <w:sz w:val="24"/>
          <w:szCs w:val="24"/>
        </w:rPr>
        <w:t>Vivo Anti-Hyperlipidemic Assessment</w:t>
      </w:r>
    </w:p>
    <w:p w14:paraId="198A0918" w14:textId="6CDC1B51"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 xml:space="preserve">A poloxamer 407-induced hyperlipidemic rat model was used to evaluate the lipid-lowering effects of </w:t>
      </w:r>
      <w:proofErr w:type="spellStart"/>
      <w:r w:rsidRPr="00A1727A">
        <w:rPr>
          <w:rFonts w:ascii="Times New Roman" w:hAnsi="Times New Roman" w:cs="Times New Roman"/>
          <w:i/>
          <w:iCs/>
          <w:sz w:val="24"/>
          <w:szCs w:val="24"/>
        </w:rPr>
        <w:t>Spondias</w:t>
      </w:r>
      <w:proofErr w:type="spellEnd"/>
      <w:r w:rsidRPr="00240333">
        <w:rPr>
          <w:rFonts w:ascii="Times New Roman" w:hAnsi="Times New Roman" w:cs="Times New Roman"/>
          <w:sz w:val="24"/>
          <w:szCs w:val="24"/>
        </w:rPr>
        <w:t xml:space="preserve"> </w:t>
      </w:r>
      <w:r w:rsidRPr="00A1727A">
        <w:rPr>
          <w:rFonts w:ascii="Times New Roman" w:hAnsi="Times New Roman" w:cs="Times New Roman"/>
          <w:i/>
          <w:iCs/>
          <w:sz w:val="24"/>
          <w:szCs w:val="24"/>
        </w:rPr>
        <w:t>mombin</w:t>
      </w:r>
      <w:r w:rsidRPr="00240333">
        <w:rPr>
          <w:rFonts w:ascii="Times New Roman" w:hAnsi="Times New Roman" w:cs="Times New Roman"/>
          <w:sz w:val="24"/>
          <w:szCs w:val="24"/>
        </w:rPr>
        <w:t xml:space="preserve"> extract. Thirty male Wistar rats were divided into five groups:</w:t>
      </w:r>
    </w:p>
    <w:p w14:paraId="5F8BAFC3" w14:textId="77777777"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1. Normal control group</w:t>
      </w:r>
    </w:p>
    <w:p w14:paraId="0CE2C813" w14:textId="77777777"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2. Hyperlipidemic control group (induced with 1 g/kg body weight of poloxamer 407)</w:t>
      </w:r>
    </w:p>
    <w:p w14:paraId="73223A85" w14:textId="77777777"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3. Standard drug group (atorvastatin, 10 mg/kg)</w:t>
      </w:r>
    </w:p>
    <w:p w14:paraId="032BF44F" w14:textId="77777777"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4. Test group I (extract, 100 mg/kg)</w:t>
      </w:r>
    </w:p>
    <w:p w14:paraId="48483511" w14:textId="77777777"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5. Test group II (extract, 200 mg/kg)</w:t>
      </w:r>
    </w:p>
    <w:p w14:paraId="56792C26" w14:textId="77777777"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Following a 7-day treatment period, blood samples were collected for biochemical analysis (</w:t>
      </w:r>
      <w:proofErr w:type="spellStart"/>
      <w:r w:rsidRPr="00240333">
        <w:rPr>
          <w:rFonts w:ascii="Times New Roman" w:hAnsi="Times New Roman" w:cs="Times New Roman"/>
          <w:sz w:val="24"/>
          <w:szCs w:val="24"/>
        </w:rPr>
        <w:t>Adefegha</w:t>
      </w:r>
      <w:proofErr w:type="spellEnd"/>
      <w:r w:rsidRPr="00240333">
        <w:rPr>
          <w:rFonts w:ascii="Times New Roman" w:hAnsi="Times New Roman" w:cs="Times New Roman"/>
          <w:sz w:val="24"/>
          <w:szCs w:val="24"/>
        </w:rPr>
        <w:t>, 2018).</w:t>
      </w:r>
    </w:p>
    <w:p w14:paraId="4711E08E" w14:textId="25F78E1A" w:rsidR="00A1727A" w:rsidRPr="00A051A4" w:rsidRDefault="00240333" w:rsidP="00240333">
      <w:pPr>
        <w:jc w:val="both"/>
        <w:rPr>
          <w:rFonts w:ascii="Times New Roman" w:hAnsi="Times New Roman" w:cs="Times New Roman"/>
          <w:b/>
          <w:bCs/>
          <w:i/>
          <w:iCs/>
          <w:sz w:val="24"/>
          <w:szCs w:val="24"/>
        </w:rPr>
      </w:pPr>
      <w:r w:rsidRPr="00A051A4">
        <w:rPr>
          <w:rFonts w:ascii="Times New Roman" w:hAnsi="Times New Roman" w:cs="Times New Roman"/>
          <w:b/>
          <w:bCs/>
          <w:i/>
          <w:iCs/>
          <w:sz w:val="24"/>
          <w:szCs w:val="24"/>
        </w:rPr>
        <w:t>Serum Lipid Profile Determination</w:t>
      </w:r>
    </w:p>
    <w:p w14:paraId="681C7A98" w14:textId="75869513" w:rsidR="00240333" w:rsidRPr="00077787" w:rsidRDefault="00240333" w:rsidP="00077787">
      <w:pPr>
        <w:pStyle w:val="ListParagraph"/>
        <w:numPr>
          <w:ilvl w:val="0"/>
          <w:numId w:val="3"/>
        </w:numPr>
        <w:jc w:val="both"/>
        <w:rPr>
          <w:rFonts w:ascii="Times New Roman" w:hAnsi="Times New Roman" w:cs="Times New Roman"/>
          <w:b/>
          <w:bCs/>
          <w:sz w:val="24"/>
          <w:szCs w:val="24"/>
        </w:rPr>
      </w:pPr>
      <w:r w:rsidRPr="00077787">
        <w:rPr>
          <w:rFonts w:ascii="Times New Roman" w:hAnsi="Times New Roman" w:cs="Times New Roman"/>
          <w:b/>
          <w:bCs/>
          <w:i/>
          <w:iCs/>
          <w:sz w:val="24"/>
          <w:szCs w:val="24"/>
        </w:rPr>
        <w:t>Total Cholesterol (TC):</w:t>
      </w:r>
      <w:r w:rsidRPr="00077787">
        <w:rPr>
          <w:rFonts w:ascii="Times New Roman" w:hAnsi="Times New Roman" w:cs="Times New Roman"/>
          <w:sz w:val="24"/>
          <w:szCs w:val="24"/>
        </w:rPr>
        <w:t xml:space="preserve"> Measured using the cholesterol oxidase-peroxidase (CHOD-PAP) method.</w:t>
      </w:r>
    </w:p>
    <w:p w14:paraId="27980784" w14:textId="3A2C6831" w:rsidR="00240333" w:rsidRPr="00077787" w:rsidRDefault="00240333" w:rsidP="00077787">
      <w:pPr>
        <w:pStyle w:val="ListParagraph"/>
        <w:numPr>
          <w:ilvl w:val="0"/>
          <w:numId w:val="3"/>
        </w:numPr>
        <w:jc w:val="both"/>
        <w:rPr>
          <w:rFonts w:ascii="Times New Roman" w:hAnsi="Times New Roman" w:cs="Times New Roman"/>
          <w:sz w:val="24"/>
          <w:szCs w:val="24"/>
        </w:rPr>
      </w:pPr>
      <w:r w:rsidRPr="00077787">
        <w:rPr>
          <w:rFonts w:ascii="Times New Roman" w:hAnsi="Times New Roman" w:cs="Times New Roman"/>
          <w:b/>
          <w:bCs/>
          <w:i/>
          <w:iCs/>
          <w:sz w:val="24"/>
          <w:szCs w:val="24"/>
        </w:rPr>
        <w:t>Triglycerides (TG):</w:t>
      </w:r>
      <w:r w:rsidRPr="00077787">
        <w:rPr>
          <w:rFonts w:ascii="Times New Roman" w:hAnsi="Times New Roman" w:cs="Times New Roman"/>
          <w:sz w:val="24"/>
          <w:szCs w:val="24"/>
        </w:rPr>
        <w:t xml:space="preserve"> Determined via the glycerol phosphate oxidase-peroxidase (GPO-PAP) method.</w:t>
      </w:r>
    </w:p>
    <w:p w14:paraId="0E6514D2" w14:textId="003027A5" w:rsidR="00240333" w:rsidRPr="00077787" w:rsidRDefault="00240333" w:rsidP="00077787">
      <w:pPr>
        <w:pStyle w:val="ListParagraph"/>
        <w:numPr>
          <w:ilvl w:val="0"/>
          <w:numId w:val="3"/>
        </w:numPr>
        <w:jc w:val="both"/>
        <w:rPr>
          <w:rFonts w:ascii="Times New Roman" w:hAnsi="Times New Roman" w:cs="Times New Roman"/>
          <w:sz w:val="24"/>
          <w:szCs w:val="24"/>
        </w:rPr>
      </w:pPr>
      <w:r w:rsidRPr="00077787">
        <w:rPr>
          <w:rFonts w:ascii="Times New Roman" w:hAnsi="Times New Roman" w:cs="Times New Roman"/>
          <w:b/>
          <w:bCs/>
          <w:i/>
          <w:iCs/>
          <w:sz w:val="24"/>
          <w:szCs w:val="24"/>
        </w:rPr>
        <w:lastRenderedPageBreak/>
        <w:t>High-Density Lipoprotein Cholesterol (HDL-C):</w:t>
      </w:r>
      <w:r w:rsidR="00A1727A" w:rsidRPr="00077787">
        <w:rPr>
          <w:rFonts w:ascii="Times New Roman" w:hAnsi="Times New Roman" w:cs="Times New Roman"/>
          <w:b/>
          <w:bCs/>
          <w:sz w:val="24"/>
          <w:szCs w:val="24"/>
        </w:rPr>
        <w:t xml:space="preserve"> </w:t>
      </w:r>
      <w:r w:rsidRPr="00077787">
        <w:rPr>
          <w:rFonts w:ascii="Times New Roman" w:hAnsi="Times New Roman" w:cs="Times New Roman"/>
          <w:sz w:val="24"/>
          <w:szCs w:val="24"/>
        </w:rPr>
        <w:t xml:space="preserve">Precipitated using </w:t>
      </w:r>
      <w:proofErr w:type="spellStart"/>
      <w:r w:rsidRPr="00077787">
        <w:rPr>
          <w:rFonts w:ascii="Times New Roman" w:hAnsi="Times New Roman" w:cs="Times New Roman"/>
          <w:sz w:val="24"/>
          <w:szCs w:val="24"/>
        </w:rPr>
        <w:t>phosphotungstic</w:t>
      </w:r>
      <w:proofErr w:type="spellEnd"/>
      <w:r w:rsidRPr="00077787">
        <w:rPr>
          <w:rFonts w:ascii="Times New Roman" w:hAnsi="Times New Roman" w:cs="Times New Roman"/>
          <w:sz w:val="24"/>
          <w:szCs w:val="24"/>
        </w:rPr>
        <w:t xml:space="preserve"> acid and magnesium chloride before measurement.</w:t>
      </w:r>
    </w:p>
    <w:p w14:paraId="56DC62CD" w14:textId="6D9E6B97" w:rsidR="00240333" w:rsidRPr="00077787" w:rsidRDefault="00240333" w:rsidP="00077787">
      <w:pPr>
        <w:pStyle w:val="ListParagraph"/>
        <w:numPr>
          <w:ilvl w:val="0"/>
          <w:numId w:val="3"/>
        </w:numPr>
        <w:jc w:val="both"/>
        <w:rPr>
          <w:rFonts w:ascii="Times New Roman" w:hAnsi="Times New Roman" w:cs="Times New Roman"/>
          <w:sz w:val="24"/>
          <w:szCs w:val="24"/>
        </w:rPr>
      </w:pPr>
      <w:r w:rsidRPr="00077787">
        <w:rPr>
          <w:rFonts w:ascii="Times New Roman" w:hAnsi="Times New Roman" w:cs="Times New Roman"/>
          <w:b/>
          <w:bCs/>
          <w:i/>
          <w:iCs/>
          <w:sz w:val="24"/>
          <w:szCs w:val="24"/>
        </w:rPr>
        <w:t>Low-Density Lipoprotein Cholesterol (LDL-C):</w:t>
      </w:r>
      <w:r w:rsidRPr="00077787">
        <w:rPr>
          <w:rFonts w:ascii="Times New Roman" w:hAnsi="Times New Roman" w:cs="Times New Roman"/>
          <w:sz w:val="24"/>
          <w:szCs w:val="24"/>
        </w:rPr>
        <w:t xml:space="preserve"> Calculated using </w:t>
      </w:r>
      <w:proofErr w:type="spellStart"/>
      <w:r w:rsidRPr="00077787">
        <w:rPr>
          <w:rFonts w:ascii="Times New Roman" w:hAnsi="Times New Roman" w:cs="Times New Roman"/>
          <w:sz w:val="24"/>
          <w:szCs w:val="24"/>
        </w:rPr>
        <w:t>Friedewald’s</w:t>
      </w:r>
      <w:proofErr w:type="spellEnd"/>
      <w:r w:rsidRPr="00077787">
        <w:rPr>
          <w:rFonts w:ascii="Times New Roman" w:hAnsi="Times New Roman" w:cs="Times New Roman"/>
          <w:sz w:val="24"/>
          <w:szCs w:val="24"/>
        </w:rPr>
        <w:t xml:space="preserve"> formula: LDL-C = TC – HDL-C – (TG/5).</w:t>
      </w:r>
    </w:p>
    <w:p w14:paraId="5FC73A3F" w14:textId="203123D2" w:rsidR="00240333" w:rsidRPr="00077787" w:rsidRDefault="00240333" w:rsidP="00077787">
      <w:pPr>
        <w:pStyle w:val="ListParagraph"/>
        <w:numPr>
          <w:ilvl w:val="0"/>
          <w:numId w:val="3"/>
        </w:numPr>
        <w:jc w:val="both"/>
        <w:rPr>
          <w:rFonts w:ascii="Times New Roman" w:hAnsi="Times New Roman" w:cs="Times New Roman"/>
          <w:sz w:val="24"/>
          <w:szCs w:val="24"/>
        </w:rPr>
      </w:pPr>
      <w:r w:rsidRPr="00077787">
        <w:rPr>
          <w:rFonts w:ascii="Times New Roman" w:hAnsi="Times New Roman" w:cs="Times New Roman"/>
          <w:b/>
          <w:bCs/>
          <w:i/>
          <w:iCs/>
          <w:sz w:val="24"/>
          <w:szCs w:val="24"/>
        </w:rPr>
        <w:t>Very Low-Density Lipoprotein Cholesterol (VLDL-C):</w:t>
      </w:r>
      <w:r w:rsidRPr="00077787">
        <w:rPr>
          <w:rFonts w:ascii="Times New Roman" w:hAnsi="Times New Roman" w:cs="Times New Roman"/>
          <w:sz w:val="24"/>
          <w:szCs w:val="24"/>
        </w:rPr>
        <w:t xml:space="preserve"> Derived from TG levels using the relation VLDL-C = TG/5.</w:t>
      </w:r>
    </w:p>
    <w:p w14:paraId="7B11DEF3" w14:textId="045D3BF3"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 xml:space="preserve">Cardiovascular risk indices including Atherogenic Index (AI), Cardiac Risk Ratio (CRR), and Atherogenic Coefficient (AC) were calculated from the lipid parameters (El-Tantawy &amp; </w:t>
      </w:r>
      <w:proofErr w:type="spellStart"/>
      <w:r w:rsidRPr="00240333">
        <w:rPr>
          <w:rFonts w:ascii="Times New Roman" w:hAnsi="Times New Roman" w:cs="Times New Roman"/>
          <w:sz w:val="24"/>
          <w:szCs w:val="24"/>
        </w:rPr>
        <w:t>Temraz</w:t>
      </w:r>
      <w:proofErr w:type="spellEnd"/>
      <w:r w:rsidRPr="00240333">
        <w:rPr>
          <w:rFonts w:ascii="Times New Roman" w:hAnsi="Times New Roman" w:cs="Times New Roman"/>
          <w:sz w:val="24"/>
          <w:szCs w:val="24"/>
        </w:rPr>
        <w:t>, 2019).</w:t>
      </w:r>
    </w:p>
    <w:p w14:paraId="77A30683" w14:textId="21BDC1BA" w:rsidR="00240333" w:rsidRPr="00A051A4" w:rsidRDefault="00240333" w:rsidP="00240333">
      <w:pPr>
        <w:jc w:val="both"/>
        <w:rPr>
          <w:rFonts w:ascii="Times New Roman" w:hAnsi="Times New Roman" w:cs="Times New Roman"/>
          <w:b/>
          <w:bCs/>
          <w:i/>
          <w:iCs/>
          <w:sz w:val="24"/>
          <w:szCs w:val="24"/>
        </w:rPr>
      </w:pPr>
      <w:r w:rsidRPr="00A051A4">
        <w:rPr>
          <w:rFonts w:ascii="Times New Roman" w:hAnsi="Times New Roman" w:cs="Times New Roman"/>
          <w:b/>
          <w:bCs/>
          <w:i/>
          <w:iCs/>
          <w:sz w:val="24"/>
          <w:szCs w:val="24"/>
        </w:rPr>
        <w:t>Oxidative Stress Marker Evaluation</w:t>
      </w:r>
    </w:p>
    <w:p w14:paraId="103D08CF" w14:textId="0C20E44C" w:rsidR="00240333" w:rsidRPr="00077787" w:rsidRDefault="00240333" w:rsidP="00077787">
      <w:pPr>
        <w:pStyle w:val="ListParagraph"/>
        <w:numPr>
          <w:ilvl w:val="0"/>
          <w:numId w:val="4"/>
        </w:numPr>
        <w:jc w:val="both"/>
        <w:rPr>
          <w:rFonts w:ascii="Times New Roman" w:hAnsi="Times New Roman" w:cs="Times New Roman"/>
          <w:sz w:val="24"/>
          <w:szCs w:val="24"/>
        </w:rPr>
      </w:pPr>
      <w:proofErr w:type="spellStart"/>
      <w:r w:rsidRPr="00077787">
        <w:rPr>
          <w:rFonts w:ascii="Times New Roman" w:hAnsi="Times New Roman" w:cs="Times New Roman"/>
          <w:b/>
          <w:bCs/>
          <w:i/>
          <w:iCs/>
          <w:sz w:val="24"/>
          <w:szCs w:val="24"/>
        </w:rPr>
        <w:t>Thiobarbituric</w:t>
      </w:r>
      <w:proofErr w:type="spellEnd"/>
      <w:r w:rsidRPr="00077787">
        <w:rPr>
          <w:rFonts w:ascii="Times New Roman" w:hAnsi="Times New Roman" w:cs="Times New Roman"/>
          <w:b/>
          <w:bCs/>
          <w:i/>
          <w:iCs/>
          <w:sz w:val="24"/>
          <w:szCs w:val="24"/>
        </w:rPr>
        <w:t xml:space="preserve"> Acid Reactive Substances (TBARS):</w:t>
      </w:r>
      <w:r w:rsidRPr="00077787">
        <w:rPr>
          <w:rFonts w:ascii="Times New Roman" w:hAnsi="Times New Roman" w:cs="Times New Roman"/>
          <w:sz w:val="24"/>
          <w:szCs w:val="24"/>
        </w:rPr>
        <w:t xml:space="preserve"> Used to quantify lipid peroxidation as malondialdehyde (MDA) equivalents.</w:t>
      </w:r>
    </w:p>
    <w:p w14:paraId="1087AEB1" w14:textId="2B58EA0E" w:rsidR="00240333" w:rsidRPr="00077787" w:rsidRDefault="00240333" w:rsidP="00077787">
      <w:pPr>
        <w:pStyle w:val="ListParagraph"/>
        <w:numPr>
          <w:ilvl w:val="0"/>
          <w:numId w:val="4"/>
        </w:numPr>
        <w:jc w:val="both"/>
        <w:rPr>
          <w:rFonts w:ascii="Times New Roman" w:hAnsi="Times New Roman" w:cs="Times New Roman"/>
          <w:sz w:val="24"/>
          <w:szCs w:val="24"/>
        </w:rPr>
      </w:pPr>
      <w:r w:rsidRPr="00077787">
        <w:rPr>
          <w:rFonts w:ascii="Times New Roman" w:hAnsi="Times New Roman" w:cs="Times New Roman"/>
          <w:b/>
          <w:bCs/>
          <w:i/>
          <w:iCs/>
          <w:sz w:val="24"/>
          <w:szCs w:val="24"/>
        </w:rPr>
        <w:t>Superoxide Dismutase (SOD):</w:t>
      </w:r>
      <w:r w:rsidRPr="00077787">
        <w:rPr>
          <w:rFonts w:ascii="Times New Roman" w:hAnsi="Times New Roman" w:cs="Times New Roman"/>
          <w:sz w:val="24"/>
          <w:szCs w:val="24"/>
        </w:rPr>
        <w:t xml:space="preserve"> Assayed spectrophotometrically using the </w:t>
      </w:r>
      <w:proofErr w:type="spellStart"/>
      <w:r w:rsidRPr="00077787">
        <w:rPr>
          <w:rFonts w:ascii="Times New Roman" w:hAnsi="Times New Roman" w:cs="Times New Roman"/>
          <w:sz w:val="24"/>
          <w:szCs w:val="24"/>
        </w:rPr>
        <w:t>nitroblue</w:t>
      </w:r>
      <w:proofErr w:type="spellEnd"/>
      <w:r w:rsidRPr="00077787">
        <w:rPr>
          <w:rFonts w:ascii="Times New Roman" w:hAnsi="Times New Roman" w:cs="Times New Roman"/>
          <w:sz w:val="24"/>
          <w:szCs w:val="24"/>
        </w:rPr>
        <w:t xml:space="preserve"> tetrazolium (NBT) reduction method.</w:t>
      </w:r>
    </w:p>
    <w:p w14:paraId="40456656" w14:textId="79B1D3B9" w:rsidR="00240333" w:rsidRPr="00077787" w:rsidRDefault="00240333" w:rsidP="00077787">
      <w:pPr>
        <w:pStyle w:val="ListParagraph"/>
        <w:numPr>
          <w:ilvl w:val="0"/>
          <w:numId w:val="4"/>
        </w:numPr>
        <w:jc w:val="both"/>
        <w:rPr>
          <w:rFonts w:ascii="Times New Roman" w:hAnsi="Times New Roman" w:cs="Times New Roman"/>
          <w:sz w:val="24"/>
          <w:szCs w:val="24"/>
        </w:rPr>
      </w:pPr>
      <w:r w:rsidRPr="00077787">
        <w:rPr>
          <w:rFonts w:ascii="Times New Roman" w:hAnsi="Times New Roman" w:cs="Times New Roman"/>
          <w:b/>
          <w:bCs/>
          <w:i/>
          <w:iCs/>
          <w:sz w:val="24"/>
          <w:szCs w:val="24"/>
        </w:rPr>
        <w:t>Reduced Glutathione (GSH):</w:t>
      </w:r>
      <w:r w:rsidRPr="00077787">
        <w:rPr>
          <w:rFonts w:ascii="Times New Roman" w:hAnsi="Times New Roman" w:cs="Times New Roman"/>
          <w:sz w:val="24"/>
          <w:szCs w:val="24"/>
        </w:rPr>
        <w:t xml:space="preserve"> Estimated using Ellman’s reagent.</w:t>
      </w:r>
    </w:p>
    <w:p w14:paraId="4173C743" w14:textId="6A589D85" w:rsidR="00240333" w:rsidRPr="00077787" w:rsidRDefault="00240333" w:rsidP="00077787">
      <w:pPr>
        <w:pStyle w:val="ListParagraph"/>
        <w:numPr>
          <w:ilvl w:val="0"/>
          <w:numId w:val="4"/>
        </w:numPr>
        <w:jc w:val="both"/>
        <w:rPr>
          <w:rFonts w:ascii="Times New Roman" w:hAnsi="Times New Roman" w:cs="Times New Roman"/>
          <w:sz w:val="24"/>
          <w:szCs w:val="24"/>
        </w:rPr>
      </w:pPr>
      <w:r w:rsidRPr="00077787">
        <w:rPr>
          <w:rFonts w:ascii="Times New Roman" w:hAnsi="Times New Roman" w:cs="Times New Roman"/>
          <w:b/>
          <w:bCs/>
          <w:i/>
          <w:iCs/>
          <w:sz w:val="24"/>
          <w:szCs w:val="24"/>
        </w:rPr>
        <w:t>Glutathione Peroxidase (</w:t>
      </w:r>
      <w:proofErr w:type="spellStart"/>
      <w:r w:rsidRPr="00077787">
        <w:rPr>
          <w:rFonts w:ascii="Times New Roman" w:hAnsi="Times New Roman" w:cs="Times New Roman"/>
          <w:b/>
          <w:bCs/>
          <w:i/>
          <w:iCs/>
          <w:sz w:val="24"/>
          <w:szCs w:val="24"/>
        </w:rPr>
        <w:t>GPx</w:t>
      </w:r>
      <w:proofErr w:type="spellEnd"/>
      <w:r w:rsidRPr="00077787">
        <w:rPr>
          <w:rFonts w:ascii="Times New Roman" w:hAnsi="Times New Roman" w:cs="Times New Roman"/>
          <w:b/>
          <w:bCs/>
          <w:i/>
          <w:iCs/>
          <w:sz w:val="24"/>
          <w:szCs w:val="24"/>
        </w:rPr>
        <w:t>):</w:t>
      </w:r>
      <w:r w:rsidRPr="00077787">
        <w:rPr>
          <w:rFonts w:ascii="Times New Roman" w:hAnsi="Times New Roman" w:cs="Times New Roman"/>
          <w:sz w:val="24"/>
          <w:szCs w:val="24"/>
        </w:rPr>
        <w:t xml:space="preserve"> Measured based on the oxidation of GSH coupled with the activity of glutathione reductase.</w:t>
      </w:r>
    </w:p>
    <w:p w14:paraId="4A33A0AB" w14:textId="0D81B4BF"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All assays were performed using commercially available diagnostic kits following manufacturer instructions (</w:t>
      </w:r>
      <w:proofErr w:type="spellStart"/>
      <w:r w:rsidRPr="00240333">
        <w:rPr>
          <w:rFonts w:ascii="Times New Roman" w:hAnsi="Times New Roman" w:cs="Times New Roman"/>
          <w:sz w:val="24"/>
          <w:szCs w:val="24"/>
        </w:rPr>
        <w:t>Buchtova</w:t>
      </w:r>
      <w:proofErr w:type="spellEnd"/>
      <w:r w:rsidRPr="00240333">
        <w:rPr>
          <w:rFonts w:ascii="Times New Roman" w:hAnsi="Times New Roman" w:cs="Times New Roman"/>
          <w:sz w:val="24"/>
          <w:szCs w:val="24"/>
        </w:rPr>
        <w:t xml:space="preserve"> et al., 2018; Darshan, 2019).</w:t>
      </w:r>
    </w:p>
    <w:p w14:paraId="6F990F37" w14:textId="73278955" w:rsidR="00240333" w:rsidRPr="00A051A4" w:rsidRDefault="00240333" w:rsidP="00240333">
      <w:pPr>
        <w:jc w:val="both"/>
        <w:rPr>
          <w:rFonts w:ascii="Times New Roman" w:hAnsi="Times New Roman" w:cs="Times New Roman"/>
          <w:b/>
          <w:bCs/>
          <w:sz w:val="24"/>
          <w:szCs w:val="24"/>
        </w:rPr>
      </w:pPr>
      <w:r w:rsidRPr="00A051A4">
        <w:rPr>
          <w:rFonts w:ascii="Times New Roman" w:hAnsi="Times New Roman" w:cs="Times New Roman"/>
          <w:b/>
          <w:bCs/>
          <w:sz w:val="24"/>
          <w:szCs w:val="24"/>
        </w:rPr>
        <w:t>Statistical Analysis</w:t>
      </w:r>
    </w:p>
    <w:p w14:paraId="5DE9A56B" w14:textId="77777777" w:rsidR="00240333" w:rsidRPr="00240333" w:rsidRDefault="00240333" w:rsidP="00240333">
      <w:pPr>
        <w:jc w:val="both"/>
        <w:rPr>
          <w:rFonts w:ascii="Times New Roman" w:hAnsi="Times New Roman" w:cs="Times New Roman"/>
          <w:sz w:val="24"/>
          <w:szCs w:val="24"/>
        </w:rPr>
      </w:pPr>
      <w:r w:rsidRPr="00240333">
        <w:rPr>
          <w:rFonts w:ascii="Times New Roman" w:hAnsi="Times New Roman" w:cs="Times New Roman"/>
          <w:sz w:val="24"/>
          <w:szCs w:val="24"/>
        </w:rPr>
        <w:t>All experimental data were expressed as mean ± standard deviation (SD). Statistical comparisons between groups were performed using one-way ANOVA followed by Tukey’s post hoc test for multiple comparisons. Pearson’s correlation coefficient was used to assess relationships between variables where applicable. Statistical significance was set at p &lt; 0.05. Analyses were conducted using SPSS version 26 (IBM Corp.) and GraphPad Prism v9 (</w:t>
      </w:r>
      <w:proofErr w:type="spellStart"/>
      <w:r w:rsidRPr="00240333">
        <w:rPr>
          <w:rFonts w:ascii="Times New Roman" w:hAnsi="Times New Roman" w:cs="Times New Roman"/>
          <w:sz w:val="24"/>
          <w:szCs w:val="24"/>
        </w:rPr>
        <w:t>Munekata</w:t>
      </w:r>
      <w:proofErr w:type="spellEnd"/>
      <w:r w:rsidRPr="00240333">
        <w:rPr>
          <w:rFonts w:ascii="Times New Roman" w:hAnsi="Times New Roman" w:cs="Times New Roman"/>
          <w:sz w:val="24"/>
          <w:szCs w:val="24"/>
        </w:rPr>
        <w:t xml:space="preserve"> et al., 2021).</w:t>
      </w:r>
    </w:p>
    <w:p w14:paraId="0BA83713" w14:textId="77777777" w:rsidR="00DD4CBE" w:rsidRPr="00A1727A" w:rsidRDefault="00DD4CBE" w:rsidP="00DD4CBE">
      <w:pPr>
        <w:spacing w:line="480" w:lineRule="auto"/>
        <w:rPr>
          <w:rFonts w:ascii="Times New Roman" w:hAnsi="Times New Roman" w:cs="Times New Roman"/>
          <w:b/>
          <w:bCs/>
          <w:sz w:val="24"/>
          <w:szCs w:val="24"/>
        </w:rPr>
      </w:pPr>
      <w:r w:rsidRPr="00A1727A">
        <w:rPr>
          <w:rFonts w:ascii="Times New Roman" w:hAnsi="Times New Roman" w:cs="Times New Roman"/>
          <w:b/>
          <w:bCs/>
          <w:sz w:val="24"/>
          <w:szCs w:val="24"/>
        </w:rPr>
        <w:t>4.1 Results</w:t>
      </w:r>
    </w:p>
    <w:p w14:paraId="4F557AA4" w14:textId="77777777" w:rsidR="00DD4CBE" w:rsidRPr="00A051A4" w:rsidRDefault="00DD4CBE" w:rsidP="00DD4CBE">
      <w:pPr>
        <w:jc w:val="both"/>
        <w:rPr>
          <w:rFonts w:ascii="Times New Roman" w:hAnsi="Times New Roman" w:cs="Times New Roman"/>
          <w:sz w:val="24"/>
          <w:szCs w:val="24"/>
        </w:rPr>
      </w:pPr>
      <w:r w:rsidRPr="00A051A4">
        <w:rPr>
          <w:rFonts w:ascii="Times New Roman" w:hAnsi="Times New Roman" w:cs="Times New Roman"/>
          <w:b/>
          <w:bCs/>
          <w:sz w:val="24"/>
          <w:szCs w:val="24"/>
        </w:rPr>
        <w:t>Table 1:</w:t>
      </w:r>
      <w:r w:rsidRPr="00A051A4">
        <w:rPr>
          <w:rFonts w:ascii="Times New Roman" w:hAnsi="Times New Roman" w:cs="Times New Roman"/>
          <w:sz w:val="24"/>
          <w:szCs w:val="24"/>
        </w:rPr>
        <w:t xml:space="preserve"> </w:t>
      </w:r>
      <w:r w:rsidRPr="00A051A4">
        <w:rPr>
          <w:rFonts w:ascii="Times New Roman" w:hAnsi="Times New Roman" w:cs="Times New Roman"/>
          <w:b/>
          <w:bCs/>
          <w:sz w:val="24"/>
          <w:szCs w:val="24"/>
        </w:rPr>
        <w:t>Quantitative Phytochemical Analysis</w:t>
      </w:r>
    </w:p>
    <w:tbl>
      <w:tblPr>
        <w:tblW w:w="8063" w:type="dxa"/>
        <w:tblBorders>
          <w:top w:val="single" w:sz="4" w:space="0" w:color="auto"/>
          <w:bottom w:val="single" w:sz="4" w:space="0" w:color="auto"/>
        </w:tblBorders>
        <w:tblLook w:val="04A0" w:firstRow="1" w:lastRow="0" w:firstColumn="1" w:lastColumn="0" w:noHBand="0" w:noVBand="1"/>
      </w:tblPr>
      <w:tblGrid>
        <w:gridCol w:w="3519"/>
        <w:gridCol w:w="4544"/>
      </w:tblGrid>
      <w:tr w:rsidR="00DD4CBE" w:rsidRPr="00A051A4" w14:paraId="24E26607" w14:textId="77777777" w:rsidTr="0002647E">
        <w:trPr>
          <w:trHeight w:val="476"/>
        </w:trPr>
        <w:tc>
          <w:tcPr>
            <w:tcW w:w="3519" w:type="dxa"/>
            <w:tcBorders>
              <w:top w:val="single" w:sz="4" w:space="0" w:color="auto"/>
              <w:bottom w:val="single" w:sz="4" w:space="0" w:color="auto"/>
            </w:tcBorders>
            <w:shd w:val="clear" w:color="auto" w:fill="auto"/>
            <w:noWrap/>
            <w:vAlign w:val="bottom"/>
            <w:hideMark/>
          </w:tcPr>
          <w:p w14:paraId="1D4EBBE6" w14:textId="77777777" w:rsidR="00DD4CBE" w:rsidRPr="00A051A4" w:rsidRDefault="00DD4CBE" w:rsidP="0002647E">
            <w:pPr>
              <w:spacing w:after="0" w:line="240" w:lineRule="auto"/>
              <w:rPr>
                <w:rFonts w:ascii="Times New Roman" w:eastAsia="Times New Roman" w:hAnsi="Times New Roman" w:cs="Times New Roman"/>
                <w:b/>
                <w:bCs/>
                <w:color w:val="000000"/>
                <w:kern w:val="0"/>
                <w:sz w:val="24"/>
                <w:szCs w:val="24"/>
                <w:lang w:eastAsia="en-GB"/>
                <w14:ligatures w14:val="none"/>
              </w:rPr>
            </w:pPr>
            <w:r w:rsidRPr="00A051A4">
              <w:rPr>
                <w:rFonts w:ascii="Times New Roman" w:eastAsia="Times New Roman" w:hAnsi="Times New Roman" w:cs="Times New Roman"/>
                <w:b/>
                <w:bCs/>
                <w:color w:val="000000"/>
                <w:kern w:val="0"/>
                <w:sz w:val="24"/>
                <w:szCs w:val="24"/>
                <w:lang w:eastAsia="en-GB"/>
                <w14:ligatures w14:val="none"/>
              </w:rPr>
              <w:t>Phytochemical</w:t>
            </w:r>
          </w:p>
        </w:tc>
        <w:tc>
          <w:tcPr>
            <w:tcW w:w="4544" w:type="dxa"/>
            <w:tcBorders>
              <w:top w:val="single" w:sz="4" w:space="0" w:color="auto"/>
              <w:bottom w:val="single" w:sz="4" w:space="0" w:color="auto"/>
            </w:tcBorders>
            <w:shd w:val="clear" w:color="auto" w:fill="auto"/>
            <w:noWrap/>
            <w:vAlign w:val="bottom"/>
            <w:hideMark/>
          </w:tcPr>
          <w:p w14:paraId="708B239E" w14:textId="77777777" w:rsidR="00DD4CBE" w:rsidRPr="00A051A4" w:rsidRDefault="00DD4CBE" w:rsidP="0002647E">
            <w:pPr>
              <w:spacing w:after="0" w:line="240" w:lineRule="auto"/>
              <w:rPr>
                <w:rFonts w:ascii="Times New Roman" w:eastAsia="Times New Roman" w:hAnsi="Times New Roman" w:cs="Times New Roman"/>
                <w:b/>
                <w:bCs/>
                <w:color w:val="000000"/>
                <w:kern w:val="0"/>
                <w:sz w:val="24"/>
                <w:szCs w:val="24"/>
                <w:lang w:eastAsia="en-GB"/>
                <w14:ligatures w14:val="none"/>
              </w:rPr>
            </w:pPr>
            <w:r w:rsidRPr="00A051A4">
              <w:rPr>
                <w:rFonts w:ascii="Times New Roman" w:eastAsia="Times New Roman" w:hAnsi="Times New Roman" w:cs="Times New Roman"/>
                <w:b/>
                <w:bCs/>
                <w:color w:val="000000"/>
                <w:kern w:val="0"/>
                <w:sz w:val="24"/>
                <w:szCs w:val="24"/>
                <w:lang w:eastAsia="en-GB"/>
                <w14:ligatures w14:val="none"/>
              </w:rPr>
              <w:t>Mean ± Standard Deviation (SD)</w:t>
            </w:r>
          </w:p>
        </w:tc>
      </w:tr>
      <w:tr w:rsidR="00DD4CBE" w:rsidRPr="00A051A4" w14:paraId="2B564A3E" w14:textId="77777777" w:rsidTr="0002647E">
        <w:trPr>
          <w:trHeight w:val="476"/>
        </w:trPr>
        <w:tc>
          <w:tcPr>
            <w:tcW w:w="3519" w:type="dxa"/>
            <w:tcBorders>
              <w:top w:val="single" w:sz="4" w:space="0" w:color="auto"/>
            </w:tcBorders>
            <w:shd w:val="clear" w:color="auto" w:fill="auto"/>
            <w:noWrap/>
            <w:vAlign w:val="bottom"/>
            <w:hideMark/>
          </w:tcPr>
          <w:p w14:paraId="1C70D750" w14:textId="77777777" w:rsidR="00DD4CBE" w:rsidRPr="00A051A4" w:rsidRDefault="00DD4CBE" w:rsidP="0002647E">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Total Phenol (mg GAE/g)</w:t>
            </w:r>
          </w:p>
        </w:tc>
        <w:tc>
          <w:tcPr>
            <w:tcW w:w="4544" w:type="dxa"/>
            <w:tcBorders>
              <w:top w:val="single" w:sz="4" w:space="0" w:color="auto"/>
            </w:tcBorders>
            <w:shd w:val="clear" w:color="auto" w:fill="auto"/>
            <w:noWrap/>
            <w:vAlign w:val="bottom"/>
            <w:hideMark/>
          </w:tcPr>
          <w:p w14:paraId="3000D774" w14:textId="77777777" w:rsidR="00DD4CBE" w:rsidRPr="00A051A4" w:rsidRDefault="00DD4CBE" w:rsidP="0002647E">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8.33 ± 0.55</w:t>
            </w:r>
          </w:p>
        </w:tc>
      </w:tr>
      <w:tr w:rsidR="00DD4CBE" w:rsidRPr="00A051A4" w14:paraId="6704C408" w14:textId="77777777" w:rsidTr="0002647E">
        <w:trPr>
          <w:trHeight w:val="476"/>
        </w:trPr>
        <w:tc>
          <w:tcPr>
            <w:tcW w:w="3519" w:type="dxa"/>
            <w:shd w:val="clear" w:color="auto" w:fill="auto"/>
            <w:noWrap/>
            <w:vAlign w:val="bottom"/>
            <w:hideMark/>
          </w:tcPr>
          <w:p w14:paraId="286B02D8" w14:textId="77777777" w:rsidR="00DD4CBE" w:rsidRPr="00A051A4" w:rsidRDefault="00DD4CBE" w:rsidP="0002647E">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Total Saponin (mg/100g)</w:t>
            </w:r>
          </w:p>
        </w:tc>
        <w:tc>
          <w:tcPr>
            <w:tcW w:w="4544" w:type="dxa"/>
            <w:shd w:val="clear" w:color="auto" w:fill="auto"/>
            <w:noWrap/>
            <w:vAlign w:val="bottom"/>
            <w:hideMark/>
          </w:tcPr>
          <w:p w14:paraId="2C58D589" w14:textId="77777777" w:rsidR="00DD4CBE" w:rsidRPr="00A051A4" w:rsidRDefault="00DD4CBE" w:rsidP="0002647E">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40.02 ± 0.00</w:t>
            </w:r>
          </w:p>
        </w:tc>
      </w:tr>
      <w:tr w:rsidR="00DD4CBE" w:rsidRPr="00A051A4" w14:paraId="068CDC81" w14:textId="77777777" w:rsidTr="0002647E">
        <w:trPr>
          <w:trHeight w:val="476"/>
        </w:trPr>
        <w:tc>
          <w:tcPr>
            <w:tcW w:w="3519" w:type="dxa"/>
            <w:shd w:val="clear" w:color="auto" w:fill="auto"/>
            <w:noWrap/>
            <w:vAlign w:val="bottom"/>
            <w:hideMark/>
          </w:tcPr>
          <w:p w14:paraId="3CE149E3" w14:textId="77777777" w:rsidR="00DD4CBE" w:rsidRPr="00A051A4" w:rsidRDefault="00DD4CBE" w:rsidP="0002647E">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Total Tannin (mg AAE/g)</w:t>
            </w:r>
          </w:p>
        </w:tc>
        <w:tc>
          <w:tcPr>
            <w:tcW w:w="4544" w:type="dxa"/>
            <w:shd w:val="clear" w:color="auto" w:fill="auto"/>
            <w:noWrap/>
            <w:vAlign w:val="bottom"/>
            <w:hideMark/>
          </w:tcPr>
          <w:p w14:paraId="29DC6148" w14:textId="77777777" w:rsidR="00DD4CBE" w:rsidRPr="00A051A4" w:rsidRDefault="00DD4CBE" w:rsidP="0002647E">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57.50 ± 0.01</w:t>
            </w:r>
          </w:p>
        </w:tc>
      </w:tr>
      <w:tr w:rsidR="00DD4CBE" w:rsidRPr="00A051A4" w14:paraId="26FF0C6B" w14:textId="77777777" w:rsidTr="0002647E">
        <w:trPr>
          <w:trHeight w:val="476"/>
        </w:trPr>
        <w:tc>
          <w:tcPr>
            <w:tcW w:w="3519" w:type="dxa"/>
            <w:shd w:val="clear" w:color="auto" w:fill="auto"/>
            <w:noWrap/>
            <w:vAlign w:val="bottom"/>
            <w:hideMark/>
          </w:tcPr>
          <w:p w14:paraId="64F3F011" w14:textId="77777777" w:rsidR="00DD4CBE" w:rsidRPr="00A051A4" w:rsidRDefault="00DD4CBE" w:rsidP="0002647E">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Total Flavonoid (mg RE/g)</w:t>
            </w:r>
          </w:p>
        </w:tc>
        <w:tc>
          <w:tcPr>
            <w:tcW w:w="4544" w:type="dxa"/>
            <w:shd w:val="clear" w:color="auto" w:fill="auto"/>
            <w:noWrap/>
            <w:vAlign w:val="bottom"/>
            <w:hideMark/>
          </w:tcPr>
          <w:p w14:paraId="7D4DA6A5" w14:textId="77777777" w:rsidR="00DD4CBE" w:rsidRPr="00A051A4" w:rsidRDefault="00DD4CBE" w:rsidP="0002647E">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40.34 ± 0.02</w:t>
            </w:r>
          </w:p>
        </w:tc>
      </w:tr>
      <w:tr w:rsidR="00DD4CBE" w:rsidRPr="00A051A4" w14:paraId="060227E2" w14:textId="77777777" w:rsidTr="0002647E">
        <w:trPr>
          <w:trHeight w:val="476"/>
        </w:trPr>
        <w:tc>
          <w:tcPr>
            <w:tcW w:w="3519" w:type="dxa"/>
            <w:shd w:val="clear" w:color="auto" w:fill="auto"/>
            <w:noWrap/>
            <w:vAlign w:val="bottom"/>
            <w:hideMark/>
          </w:tcPr>
          <w:p w14:paraId="218C1DBE" w14:textId="77777777" w:rsidR="00DD4CBE" w:rsidRPr="00A051A4" w:rsidRDefault="00DD4CBE" w:rsidP="0002647E">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Total Alkaloids (mg/100g)</w:t>
            </w:r>
          </w:p>
        </w:tc>
        <w:tc>
          <w:tcPr>
            <w:tcW w:w="4544" w:type="dxa"/>
            <w:shd w:val="clear" w:color="auto" w:fill="auto"/>
            <w:noWrap/>
            <w:vAlign w:val="bottom"/>
            <w:hideMark/>
          </w:tcPr>
          <w:p w14:paraId="175DD6B2" w14:textId="77777777" w:rsidR="00DD4CBE" w:rsidRPr="00A051A4" w:rsidRDefault="00DD4CBE" w:rsidP="0002647E">
            <w:pPr>
              <w:spacing w:after="0" w:line="240" w:lineRule="auto"/>
              <w:rPr>
                <w:rFonts w:ascii="Times New Roman" w:eastAsia="Times New Roman" w:hAnsi="Times New Roman" w:cs="Times New Roman"/>
                <w:color w:val="000000"/>
                <w:kern w:val="0"/>
                <w:sz w:val="24"/>
                <w:szCs w:val="24"/>
                <w:lang w:eastAsia="en-GB"/>
                <w14:ligatures w14:val="none"/>
              </w:rPr>
            </w:pPr>
            <w:r w:rsidRPr="00A051A4">
              <w:rPr>
                <w:rFonts w:ascii="Times New Roman" w:eastAsia="Times New Roman" w:hAnsi="Times New Roman" w:cs="Times New Roman"/>
                <w:color w:val="000000"/>
                <w:kern w:val="0"/>
                <w:sz w:val="24"/>
                <w:szCs w:val="24"/>
                <w:lang w:eastAsia="en-GB"/>
                <w14:ligatures w14:val="none"/>
              </w:rPr>
              <w:t>44.97 ± 0.03</w:t>
            </w:r>
          </w:p>
        </w:tc>
      </w:tr>
    </w:tbl>
    <w:p w14:paraId="1BC0CBF1" w14:textId="77777777" w:rsidR="00DD4CBE" w:rsidRDefault="00DD4CBE" w:rsidP="00DD4CBE">
      <w:pPr>
        <w:spacing w:line="480" w:lineRule="auto"/>
        <w:rPr>
          <w:rFonts w:ascii="Times New Roman" w:hAnsi="Times New Roman" w:cs="Times New Roman"/>
          <w:b/>
          <w:bCs/>
        </w:rPr>
      </w:pPr>
    </w:p>
    <w:p w14:paraId="5030ACAA" w14:textId="77777777" w:rsidR="00DD4CBE" w:rsidRDefault="00DD4CBE" w:rsidP="00DD4CBE">
      <w:pPr>
        <w:spacing w:line="480" w:lineRule="auto"/>
        <w:rPr>
          <w:rFonts w:ascii="Times New Roman" w:hAnsi="Times New Roman" w:cs="Times New Roman"/>
          <w:b/>
          <w:bCs/>
        </w:rPr>
      </w:pPr>
    </w:p>
    <w:p w14:paraId="765CC40E" w14:textId="77777777" w:rsidR="00DD4CBE" w:rsidRPr="00A66B8E" w:rsidRDefault="00DD4CBE" w:rsidP="00DD4CBE">
      <w:pPr>
        <w:jc w:val="both"/>
        <w:rPr>
          <w:rFonts w:ascii="Times New Roman" w:hAnsi="Times New Roman" w:cs="Times New Roman"/>
        </w:rPr>
      </w:pPr>
      <w:r w:rsidRPr="00A66B8E">
        <w:rPr>
          <w:rFonts w:ascii="Times New Roman" w:hAnsi="Times New Roman" w:cs="Times New Roman"/>
          <w:noProof/>
        </w:rPr>
        <w:lastRenderedPageBreak/>
        <w:drawing>
          <wp:inline distT="0" distB="0" distL="0" distR="0" wp14:anchorId="2CFC4797" wp14:editId="655343F8">
            <wp:extent cx="5361940" cy="3510915"/>
            <wp:effectExtent l="0" t="0" r="0" b="0"/>
            <wp:docPr id="1088130782" name="Picture 1" descr="A graph of a number of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130782" name="Picture 1" descr="A graph of a number of numbers&#10;&#10;AI-generated content may be incorrect."/>
                    <pic:cNvPicPr/>
                  </pic:nvPicPr>
                  <pic:blipFill rotWithShape="1">
                    <a:blip r:embed="rId11"/>
                    <a:srcRect l="471" r="1"/>
                    <a:stretch/>
                  </pic:blipFill>
                  <pic:spPr bwMode="auto">
                    <a:xfrm>
                      <a:off x="0" y="0"/>
                      <a:ext cx="5361940" cy="3510915"/>
                    </a:xfrm>
                    <a:prstGeom prst="rect">
                      <a:avLst/>
                    </a:prstGeom>
                    <a:ln>
                      <a:noFill/>
                    </a:ln>
                    <a:extLst>
                      <a:ext uri="{53640926-AAD7-44D8-BBD7-CCE9431645EC}">
                        <a14:shadowObscured xmlns:a14="http://schemas.microsoft.com/office/drawing/2010/main"/>
                      </a:ext>
                    </a:extLst>
                  </pic:spPr>
                </pic:pic>
              </a:graphicData>
            </a:graphic>
          </wp:inline>
        </w:drawing>
      </w:r>
    </w:p>
    <w:p w14:paraId="5FDA462B" w14:textId="77777777" w:rsidR="00DD4CBE" w:rsidRDefault="00DD4CBE" w:rsidP="00DD4CBE">
      <w:pPr>
        <w:spacing w:line="480" w:lineRule="auto"/>
        <w:rPr>
          <w:rFonts w:ascii="Times New Roman" w:hAnsi="Times New Roman" w:cs="Times New Roman"/>
          <w:b/>
          <w:bCs/>
        </w:rPr>
      </w:pPr>
      <w:r w:rsidRPr="00A66B8E">
        <w:rPr>
          <w:rFonts w:ascii="Times New Roman" w:hAnsi="Times New Roman" w:cs="Times New Roman"/>
          <w:b/>
          <w:bCs/>
        </w:rPr>
        <w:t>Figure</w:t>
      </w:r>
      <w:r>
        <w:rPr>
          <w:rFonts w:ascii="Times New Roman" w:hAnsi="Times New Roman" w:cs="Times New Roman"/>
          <w:b/>
          <w:bCs/>
        </w:rPr>
        <w:t xml:space="preserve"> 1</w:t>
      </w:r>
      <w:r w:rsidRPr="00A66B8E">
        <w:rPr>
          <w:rFonts w:ascii="Times New Roman" w:hAnsi="Times New Roman" w:cs="Times New Roman"/>
          <w:b/>
          <w:bCs/>
        </w:rPr>
        <w:t xml:space="preserve">: </w:t>
      </w:r>
      <w:proofErr w:type="spellStart"/>
      <w:r w:rsidRPr="00A66B8E">
        <w:rPr>
          <w:rFonts w:ascii="Times New Roman" w:hAnsi="Times New Roman" w:cs="Times New Roman"/>
          <w:b/>
          <w:bCs/>
          <w:i/>
          <w:iCs/>
        </w:rPr>
        <w:t>Spondias</w:t>
      </w:r>
      <w:proofErr w:type="spellEnd"/>
      <w:r w:rsidRPr="00A66B8E">
        <w:rPr>
          <w:rFonts w:ascii="Times New Roman" w:hAnsi="Times New Roman" w:cs="Times New Roman"/>
          <w:b/>
          <w:bCs/>
          <w:i/>
          <w:iCs/>
        </w:rPr>
        <w:t xml:space="preserve"> mombin </w:t>
      </w:r>
      <w:r w:rsidRPr="00A66B8E">
        <w:rPr>
          <w:rFonts w:ascii="Times New Roman" w:hAnsi="Times New Roman" w:cs="Times New Roman"/>
          <w:b/>
          <w:bCs/>
        </w:rPr>
        <w:t>GC-MS Chromatogram</w:t>
      </w:r>
    </w:p>
    <w:p w14:paraId="53C2CDD7" w14:textId="77777777" w:rsidR="00DD4CBE" w:rsidRDefault="00DD4CBE" w:rsidP="00DD4CBE">
      <w:pPr>
        <w:rPr>
          <w:rFonts w:ascii="Times New Roman" w:eastAsia="Times New Roman" w:hAnsi="Times New Roman" w:cs="Times New Roman"/>
          <w:b/>
          <w:bCs/>
        </w:rPr>
      </w:pPr>
    </w:p>
    <w:p w14:paraId="735F925C" w14:textId="77777777" w:rsidR="00DD4CBE" w:rsidRDefault="00DD4CBE" w:rsidP="00DD4CBE">
      <w:pPr>
        <w:rPr>
          <w:rFonts w:ascii="Times New Roman" w:eastAsia="Times New Roman" w:hAnsi="Times New Roman" w:cs="Times New Roman"/>
          <w:b/>
          <w:bCs/>
        </w:rPr>
      </w:pPr>
    </w:p>
    <w:p w14:paraId="7F364221" w14:textId="77777777" w:rsidR="00DD4CBE" w:rsidRDefault="00DD4CBE" w:rsidP="00DD4CBE">
      <w:pPr>
        <w:rPr>
          <w:rFonts w:ascii="Times New Roman" w:eastAsia="Times New Roman" w:hAnsi="Times New Roman" w:cs="Times New Roman"/>
          <w:b/>
          <w:bCs/>
        </w:rPr>
        <w:sectPr w:rsidR="00DD4CBE" w:rsidSect="00DD4CBE">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20" w:footer="720" w:gutter="0"/>
          <w:cols w:space="720"/>
          <w:docGrid w:linePitch="360"/>
        </w:sectPr>
      </w:pPr>
    </w:p>
    <w:p w14:paraId="3C2D7EFC" w14:textId="77777777" w:rsidR="00DD4CBE" w:rsidRPr="00A051A4" w:rsidRDefault="00DD4CBE" w:rsidP="00DD4CBE">
      <w:pPr>
        <w:rPr>
          <w:rFonts w:ascii="Times New Roman" w:hAnsi="Times New Roman" w:cs="Times New Roman"/>
          <w:b/>
          <w:bCs/>
          <w:sz w:val="24"/>
          <w:szCs w:val="24"/>
        </w:rPr>
      </w:pPr>
      <w:r w:rsidRPr="00A051A4">
        <w:rPr>
          <w:rFonts w:ascii="Times New Roman" w:eastAsia="Times New Roman" w:hAnsi="Times New Roman" w:cs="Times New Roman"/>
          <w:b/>
          <w:bCs/>
          <w:sz w:val="24"/>
          <w:szCs w:val="24"/>
        </w:rPr>
        <w:lastRenderedPageBreak/>
        <w:t xml:space="preserve">Table 2: GC-MS of </w:t>
      </w:r>
      <w:proofErr w:type="spellStart"/>
      <w:r w:rsidRPr="00A051A4">
        <w:rPr>
          <w:rFonts w:ascii="Times New Roman" w:eastAsia="Times New Roman" w:hAnsi="Times New Roman" w:cs="Times New Roman"/>
          <w:b/>
          <w:bCs/>
          <w:i/>
          <w:iCs/>
          <w:sz w:val="24"/>
          <w:szCs w:val="24"/>
        </w:rPr>
        <w:t>Spondias</w:t>
      </w:r>
      <w:proofErr w:type="spellEnd"/>
      <w:r w:rsidRPr="00A051A4">
        <w:rPr>
          <w:rFonts w:ascii="Times New Roman" w:eastAsia="Times New Roman" w:hAnsi="Times New Roman" w:cs="Times New Roman"/>
          <w:b/>
          <w:bCs/>
          <w:i/>
          <w:iCs/>
          <w:sz w:val="24"/>
          <w:szCs w:val="24"/>
        </w:rPr>
        <w:t xml:space="preserve"> mombin </w:t>
      </w:r>
      <w:r w:rsidRPr="00A051A4">
        <w:rPr>
          <w:rFonts w:ascii="Times New Roman" w:eastAsia="Times New Roman" w:hAnsi="Times New Roman" w:cs="Times New Roman"/>
          <w:b/>
          <w:bCs/>
          <w:sz w:val="24"/>
          <w:szCs w:val="24"/>
        </w:rPr>
        <w:t>Bioactive Compounds</w:t>
      </w:r>
    </w:p>
    <w:tbl>
      <w:tblPr>
        <w:tblStyle w:val="TableGrid1"/>
        <w:tblW w:w="12757" w:type="dxa"/>
        <w:tblInd w:w="-905" w:type="dxa"/>
        <w:tblLayout w:type="fixed"/>
        <w:tblLook w:val="04A0" w:firstRow="1" w:lastRow="0" w:firstColumn="1" w:lastColumn="0" w:noHBand="0" w:noVBand="1"/>
      </w:tblPr>
      <w:tblGrid>
        <w:gridCol w:w="900"/>
        <w:gridCol w:w="900"/>
        <w:gridCol w:w="2093"/>
        <w:gridCol w:w="1350"/>
        <w:gridCol w:w="810"/>
        <w:gridCol w:w="990"/>
        <w:gridCol w:w="1080"/>
        <w:gridCol w:w="900"/>
        <w:gridCol w:w="3734"/>
      </w:tblGrid>
      <w:tr w:rsidR="00A051A4" w:rsidRPr="00A66B8E" w14:paraId="10BDBB75" w14:textId="77777777" w:rsidTr="00A051A4">
        <w:trPr>
          <w:trHeight w:val="1142"/>
        </w:trPr>
        <w:tc>
          <w:tcPr>
            <w:tcW w:w="900" w:type="dxa"/>
          </w:tcPr>
          <w:p w14:paraId="386D608A" w14:textId="07BDB2D2" w:rsidR="00A051A4" w:rsidRPr="00A66B8E" w:rsidRDefault="00A051A4" w:rsidP="0002647E">
            <w:pPr>
              <w:spacing w:line="360" w:lineRule="auto"/>
              <w:jc w:val="both"/>
              <w:rPr>
                <w:rFonts w:ascii="Times New Roman" w:hAnsi="Times New Roman" w:cs="Times New Roman"/>
                <w:b/>
                <w:bCs/>
                <w:sz w:val="24"/>
                <w:szCs w:val="24"/>
              </w:rPr>
            </w:pPr>
            <w:r w:rsidRPr="00A66B8E">
              <w:rPr>
                <w:rFonts w:ascii="Times New Roman" w:hAnsi="Times New Roman" w:cs="Times New Roman"/>
                <w:b/>
                <w:bCs/>
                <w:sz w:val="24"/>
                <w:szCs w:val="24"/>
              </w:rPr>
              <w:t xml:space="preserve">Peak </w:t>
            </w:r>
          </w:p>
        </w:tc>
        <w:tc>
          <w:tcPr>
            <w:tcW w:w="900" w:type="dxa"/>
          </w:tcPr>
          <w:p w14:paraId="571D638D" w14:textId="77777777" w:rsidR="00A051A4" w:rsidRPr="00A66B8E" w:rsidRDefault="00A051A4" w:rsidP="0002647E">
            <w:pPr>
              <w:spacing w:line="360" w:lineRule="auto"/>
              <w:ind w:right="10"/>
              <w:jc w:val="both"/>
              <w:rPr>
                <w:rFonts w:ascii="Times New Roman" w:hAnsi="Times New Roman" w:cs="Times New Roman"/>
                <w:b/>
                <w:bCs/>
                <w:sz w:val="24"/>
                <w:szCs w:val="24"/>
              </w:rPr>
            </w:pPr>
            <w:r w:rsidRPr="00A66B8E">
              <w:rPr>
                <w:rFonts w:ascii="Times New Roman" w:hAnsi="Times New Roman" w:cs="Times New Roman"/>
                <w:b/>
                <w:bCs/>
                <w:sz w:val="24"/>
                <w:szCs w:val="24"/>
              </w:rPr>
              <w:t>RT</w:t>
            </w:r>
          </w:p>
          <w:p w14:paraId="1D80F4C3" w14:textId="77777777" w:rsidR="00A051A4" w:rsidRPr="00A66B8E" w:rsidRDefault="00A051A4" w:rsidP="0002647E">
            <w:pPr>
              <w:spacing w:line="360" w:lineRule="auto"/>
              <w:ind w:right="10"/>
              <w:jc w:val="both"/>
              <w:rPr>
                <w:rFonts w:ascii="Times New Roman" w:hAnsi="Times New Roman" w:cs="Times New Roman"/>
                <w:b/>
                <w:bCs/>
                <w:sz w:val="24"/>
                <w:szCs w:val="24"/>
              </w:rPr>
            </w:pPr>
          </w:p>
          <w:p w14:paraId="773A9CD3" w14:textId="77777777" w:rsidR="00A051A4" w:rsidRPr="00A66B8E" w:rsidRDefault="00A051A4" w:rsidP="0002647E">
            <w:pPr>
              <w:spacing w:line="360" w:lineRule="auto"/>
              <w:ind w:right="10"/>
              <w:jc w:val="both"/>
              <w:rPr>
                <w:rFonts w:ascii="Times New Roman" w:hAnsi="Times New Roman" w:cs="Times New Roman"/>
                <w:b/>
                <w:bCs/>
                <w:sz w:val="24"/>
                <w:szCs w:val="24"/>
              </w:rPr>
            </w:pPr>
          </w:p>
          <w:p w14:paraId="1E9F4F81" w14:textId="77777777" w:rsidR="00A051A4" w:rsidRPr="00A66B8E" w:rsidRDefault="00A051A4" w:rsidP="0002647E">
            <w:pPr>
              <w:spacing w:line="360" w:lineRule="auto"/>
              <w:ind w:right="10"/>
              <w:jc w:val="both"/>
              <w:rPr>
                <w:rFonts w:ascii="Times New Roman" w:hAnsi="Times New Roman" w:cs="Times New Roman"/>
                <w:b/>
                <w:bCs/>
                <w:sz w:val="24"/>
                <w:szCs w:val="24"/>
              </w:rPr>
            </w:pPr>
          </w:p>
        </w:tc>
        <w:tc>
          <w:tcPr>
            <w:tcW w:w="2093" w:type="dxa"/>
          </w:tcPr>
          <w:p w14:paraId="60B9BD49" w14:textId="77777777" w:rsidR="00A051A4" w:rsidRPr="00A66B8E" w:rsidRDefault="00A051A4" w:rsidP="0002647E">
            <w:pPr>
              <w:spacing w:line="360" w:lineRule="auto"/>
              <w:jc w:val="both"/>
              <w:rPr>
                <w:rFonts w:ascii="Times New Roman" w:hAnsi="Times New Roman" w:cs="Times New Roman"/>
                <w:b/>
                <w:bCs/>
                <w:sz w:val="24"/>
                <w:szCs w:val="24"/>
              </w:rPr>
            </w:pPr>
            <w:r w:rsidRPr="00A66B8E">
              <w:rPr>
                <w:rFonts w:ascii="Times New Roman" w:hAnsi="Times New Roman" w:cs="Times New Roman"/>
                <w:b/>
                <w:bCs/>
                <w:sz w:val="24"/>
                <w:szCs w:val="24"/>
              </w:rPr>
              <w:t>Compound Detected</w:t>
            </w:r>
          </w:p>
          <w:p w14:paraId="509F86EA" w14:textId="77777777" w:rsidR="00A051A4" w:rsidRPr="00A66B8E" w:rsidRDefault="00A051A4" w:rsidP="0002647E">
            <w:pPr>
              <w:spacing w:line="360" w:lineRule="auto"/>
              <w:jc w:val="both"/>
              <w:rPr>
                <w:rFonts w:ascii="Times New Roman" w:hAnsi="Times New Roman" w:cs="Times New Roman"/>
                <w:b/>
                <w:bCs/>
                <w:sz w:val="24"/>
                <w:szCs w:val="24"/>
              </w:rPr>
            </w:pPr>
          </w:p>
          <w:p w14:paraId="1307A058" w14:textId="77777777" w:rsidR="00A051A4" w:rsidRPr="00A66B8E" w:rsidRDefault="00A051A4" w:rsidP="0002647E">
            <w:pPr>
              <w:spacing w:line="360" w:lineRule="auto"/>
              <w:jc w:val="both"/>
              <w:rPr>
                <w:rFonts w:ascii="Times New Roman" w:hAnsi="Times New Roman" w:cs="Times New Roman"/>
                <w:b/>
                <w:bCs/>
                <w:sz w:val="24"/>
                <w:szCs w:val="24"/>
              </w:rPr>
            </w:pPr>
          </w:p>
        </w:tc>
        <w:tc>
          <w:tcPr>
            <w:tcW w:w="1350" w:type="dxa"/>
          </w:tcPr>
          <w:p w14:paraId="269F0193" w14:textId="77777777" w:rsidR="00A051A4" w:rsidRPr="00A66B8E" w:rsidRDefault="00A051A4" w:rsidP="0002647E">
            <w:pPr>
              <w:spacing w:line="360" w:lineRule="auto"/>
              <w:jc w:val="both"/>
              <w:rPr>
                <w:rFonts w:ascii="Times New Roman" w:hAnsi="Times New Roman" w:cs="Times New Roman"/>
                <w:b/>
                <w:bCs/>
                <w:w w:val="99"/>
                <w:sz w:val="24"/>
                <w:szCs w:val="24"/>
              </w:rPr>
            </w:pPr>
            <w:r w:rsidRPr="00A66B8E">
              <w:rPr>
                <w:rFonts w:ascii="Times New Roman" w:hAnsi="Times New Roman" w:cs="Times New Roman"/>
                <w:b/>
                <w:bCs/>
                <w:w w:val="99"/>
                <w:sz w:val="24"/>
                <w:szCs w:val="24"/>
              </w:rPr>
              <w:t>Mol. Formula</w:t>
            </w:r>
          </w:p>
        </w:tc>
        <w:tc>
          <w:tcPr>
            <w:tcW w:w="810" w:type="dxa"/>
          </w:tcPr>
          <w:p w14:paraId="3D0C2152" w14:textId="77777777" w:rsidR="00A051A4" w:rsidRPr="00A66B8E" w:rsidRDefault="00A051A4" w:rsidP="0002647E">
            <w:pPr>
              <w:spacing w:line="360" w:lineRule="auto"/>
              <w:jc w:val="both"/>
              <w:rPr>
                <w:rFonts w:ascii="Times New Roman" w:hAnsi="Times New Roman" w:cs="Times New Roman"/>
                <w:b/>
                <w:bCs/>
                <w:w w:val="99"/>
                <w:sz w:val="24"/>
                <w:szCs w:val="24"/>
              </w:rPr>
            </w:pPr>
            <w:r w:rsidRPr="00A66B8E">
              <w:rPr>
                <w:rFonts w:ascii="Times New Roman" w:hAnsi="Times New Roman" w:cs="Times New Roman"/>
                <w:b/>
                <w:bCs/>
                <w:w w:val="99"/>
                <w:sz w:val="24"/>
                <w:szCs w:val="24"/>
              </w:rPr>
              <w:t>MW</w:t>
            </w:r>
          </w:p>
        </w:tc>
        <w:tc>
          <w:tcPr>
            <w:tcW w:w="990" w:type="dxa"/>
          </w:tcPr>
          <w:p w14:paraId="1567141E" w14:textId="77777777" w:rsidR="00A051A4" w:rsidRPr="00A66B8E" w:rsidRDefault="00A051A4" w:rsidP="0002647E">
            <w:pPr>
              <w:spacing w:line="360" w:lineRule="auto"/>
              <w:ind w:right="70"/>
              <w:jc w:val="both"/>
              <w:rPr>
                <w:rFonts w:ascii="Times New Roman" w:hAnsi="Times New Roman" w:cs="Times New Roman"/>
                <w:b/>
                <w:bCs/>
                <w:w w:val="96"/>
                <w:sz w:val="24"/>
                <w:szCs w:val="24"/>
              </w:rPr>
            </w:pPr>
            <w:r w:rsidRPr="00A66B8E">
              <w:rPr>
                <w:rFonts w:ascii="Times New Roman" w:hAnsi="Times New Roman" w:cs="Times New Roman"/>
                <w:b/>
                <w:bCs/>
                <w:w w:val="96"/>
                <w:sz w:val="24"/>
                <w:szCs w:val="24"/>
              </w:rPr>
              <w:t>Peak Area %</w:t>
            </w:r>
          </w:p>
          <w:p w14:paraId="2E7B87C2" w14:textId="77777777" w:rsidR="00A051A4" w:rsidRPr="00A66B8E" w:rsidRDefault="00A051A4" w:rsidP="0002647E">
            <w:pPr>
              <w:spacing w:line="360" w:lineRule="auto"/>
              <w:ind w:right="70"/>
              <w:jc w:val="both"/>
              <w:rPr>
                <w:rFonts w:ascii="Times New Roman" w:hAnsi="Times New Roman" w:cs="Times New Roman"/>
                <w:b/>
                <w:bCs/>
                <w:w w:val="96"/>
                <w:sz w:val="24"/>
                <w:szCs w:val="24"/>
              </w:rPr>
            </w:pPr>
          </w:p>
        </w:tc>
        <w:tc>
          <w:tcPr>
            <w:tcW w:w="1080" w:type="dxa"/>
          </w:tcPr>
          <w:p w14:paraId="5413F48B" w14:textId="77777777" w:rsidR="00A051A4" w:rsidRPr="00A66B8E" w:rsidRDefault="00A051A4" w:rsidP="0002647E">
            <w:pPr>
              <w:spacing w:line="360" w:lineRule="auto"/>
              <w:ind w:right="70"/>
              <w:jc w:val="both"/>
              <w:rPr>
                <w:rFonts w:ascii="Times New Roman" w:hAnsi="Times New Roman" w:cs="Times New Roman"/>
                <w:b/>
                <w:bCs/>
                <w:w w:val="96"/>
                <w:sz w:val="24"/>
                <w:szCs w:val="24"/>
              </w:rPr>
            </w:pPr>
            <w:r w:rsidRPr="00A66B8E">
              <w:rPr>
                <w:rFonts w:ascii="Times New Roman" w:hAnsi="Times New Roman" w:cs="Times New Roman"/>
                <w:b/>
                <w:bCs/>
                <w:w w:val="96"/>
                <w:sz w:val="24"/>
                <w:szCs w:val="24"/>
              </w:rPr>
              <w:t>Comp</w:t>
            </w:r>
          </w:p>
          <w:p w14:paraId="1C9954E3" w14:textId="77777777" w:rsidR="00A051A4" w:rsidRPr="00A66B8E" w:rsidRDefault="00A051A4" w:rsidP="0002647E">
            <w:pPr>
              <w:spacing w:line="360" w:lineRule="auto"/>
              <w:ind w:right="70"/>
              <w:jc w:val="both"/>
              <w:rPr>
                <w:rFonts w:ascii="Times New Roman" w:hAnsi="Times New Roman" w:cs="Times New Roman"/>
                <w:b/>
                <w:bCs/>
                <w:w w:val="96"/>
                <w:sz w:val="24"/>
                <w:szCs w:val="24"/>
              </w:rPr>
            </w:pPr>
            <w:r w:rsidRPr="00A66B8E">
              <w:rPr>
                <w:rFonts w:ascii="Times New Roman" w:hAnsi="Times New Roman" w:cs="Times New Roman"/>
                <w:b/>
                <w:bCs/>
                <w:w w:val="96"/>
                <w:sz w:val="24"/>
                <w:szCs w:val="24"/>
              </w:rPr>
              <w:t xml:space="preserve"> %</w:t>
            </w:r>
            <w:proofErr w:type="spellStart"/>
            <w:r w:rsidRPr="00A66B8E">
              <w:rPr>
                <w:rFonts w:ascii="Times New Roman" w:hAnsi="Times New Roman" w:cs="Times New Roman"/>
                <w:b/>
                <w:bCs/>
                <w:w w:val="96"/>
                <w:sz w:val="24"/>
                <w:szCs w:val="24"/>
              </w:rPr>
              <w:t>wt</w:t>
            </w:r>
            <w:proofErr w:type="spellEnd"/>
          </w:p>
        </w:tc>
        <w:tc>
          <w:tcPr>
            <w:tcW w:w="900" w:type="dxa"/>
          </w:tcPr>
          <w:p w14:paraId="415A3A84" w14:textId="77777777" w:rsidR="00A051A4" w:rsidRPr="00A66B8E" w:rsidRDefault="00A051A4" w:rsidP="0002647E">
            <w:pPr>
              <w:tabs>
                <w:tab w:val="left" w:pos="780"/>
              </w:tabs>
              <w:spacing w:line="360" w:lineRule="auto"/>
              <w:jc w:val="both"/>
              <w:rPr>
                <w:rFonts w:ascii="Times New Roman" w:hAnsi="Times New Roman" w:cs="Times New Roman"/>
                <w:b/>
                <w:bCs/>
                <w:sz w:val="24"/>
                <w:szCs w:val="24"/>
              </w:rPr>
            </w:pPr>
            <w:r w:rsidRPr="00A66B8E">
              <w:rPr>
                <w:rFonts w:ascii="Times New Roman" w:hAnsi="Times New Roman" w:cs="Times New Roman"/>
                <w:b/>
                <w:bCs/>
                <w:sz w:val="24"/>
                <w:szCs w:val="24"/>
              </w:rPr>
              <w:t>m/z</w:t>
            </w:r>
          </w:p>
        </w:tc>
        <w:tc>
          <w:tcPr>
            <w:tcW w:w="3734" w:type="dxa"/>
          </w:tcPr>
          <w:p w14:paraId="0283AE2E" w14:textId="77777777" w:rsidR="00A051A4" w:rsidRPr="00A66B8E" w:rsidRDefault="00A051A4" w:rsidP="0002647E">
            <w:pPr>
              <w:spacing w:line="360" w:lineRule="auto"/>
              <w:ind w:right="70"/>
              <w:jc w:val="both"/>
              <w:rPr>
                <w:rFonts w:ascii="Times New Roman" w:hAnsi="Times New Roman" w:cs="Times New Roman"/>
                <w:b/>
                <w:bCs/>
                <w:noProof/>
                <w:sz w:val="24"/>
                <w:szCs w:val="24"/>
              </w:rPr>
            </w:pPr>
            <w:r w:rsidRPr="00A66B8E">
              <w:rPr>
                <w:rFonts w:ascii="Times New Roman" w:hAnsi="Times New Roman" w:cs="Times New Roman"/>
                <w:b/>
                <w:bCs/>
                <w:noProof/>
                <w:sz w:val="24"/>
                <w:szCs w:val="24"/>
              </w:rPr>
              <w:t>Structures</w:t>
            </w:r>
          </w:p>
        </w:tc>
      </w:tr>
      <w:tr w:rsidR="00A051A4" w:rsidRPr="00A66B8E" w14:paraId="71EA7CEB" w14:textId="77777777" w:rsidTr="00A051A4">
        <w:trPr>
          <w:trHeight w:val="260"/>
        </w:trPr>
        <w:tc>
          <w:tcPr>
            <w:tcW w:w="900" w:type="dxa"/>
          </w:tcPr>
          <w:p w14:paraId="59CD3971"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w:t>
            </w:r>
          </w:p>
        </w:tc>
        <w:tc>
          <w:tcPr>
            <w:tcW w:w="900" w:type="dxa"/>
          </w:tcPr>
          <w:p w14:paraId="31218EE6"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3.21</w:t>
            </w:r>
          </w:p>
        </w:tc>
        <w:tc>
          <w:tcPr>
            <w:tcW w:w="2093" w:type="dxa"/>
          </w:tcPr>
          <w:p w14:paraId="6F73E824"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bCs/>
                <w:sz w:val="24"/>
                <w:szCs w:val="24"/>
              </w:rPr>
              <w:t>1-Butanol, 3-methyl-</w:t>
            </w:r>
          </w:p>
        </w:tc>
        <w:tc>
          <w:tcPr>
            <w:tcW w:w="1350" w:type="dxa"/>
          </w:tcPr>
          <w:p w14:paraId="4C9D9E12"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5</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12</w:t>
            </w:r>
            <w:r w:rsidRPr="00A66B8E">
              <w:rPr>
                <w:rFonts w:ascii="Times New Roman" w:hAnsi="Times New Roman" w:cs="Times New Roman"/>
                <w:sz w:val="24"/>
                <w:szCs w:val="24"/>
              </w:rPr>
              <w:t>O</w:t>
            </w:r>
          </w:p>
        </w:tc>
        <w:tc>
          <w:tcPr>
            <w:tcW w:w="810" w:type="dxa"/>
          </w:tcPr>
          <w:p w14:paraId="55C5EF15"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bCs/>
                <w:sz w:val="24"/>
                <w:szCs w:val="24"/>
              </w:rPr>
              <w:t>88</w:t>
            </w:r>
          </w:p>
        </w:tc>
        <w:tc>
          <w:tcPr>
            <w:tcW w:w="990" w:type="dxa"/>
          </w:tcPr>
          <w:p w14:paraId="2571CA9A"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0.32</w:t>
            </w:r>
          </w:p>
        </w:tc>
        <w:tc>
          <w:tcPr>
            <w:tcW w:w="1080" w:type="dxa"/>
          </w:tcPr>
          <w:p w14:paraId="197644D9"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1.02</w:t>
            </w:r>
          </w:p>
        </w:tc>
        <w:tc>
          <w:tcPr>
            <w:tcW w:w="900" w:type="dxa"/>
          </w:tcPr>
          <w:p w14:paraId="693BF692"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bCs/>
                <w:sz w:val="24"/>
                <w:szCs w:val="24"/>
              </w:rPr>
              <w:t>42, 55, 88</w:t>
            </w:r>
          </w:p>
        </w:tc>
        <w:tc>
          <w:tcPr>
            <w:tcW w:w="3734" w:type="dxa"/>
          </w:tcPr>
          <w:p w14:paraId="10F714ED"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noProof/>
              </w:rPr>
              <w:drawing>
                <wp:inline distT="0" distB="0" distL="0" distR="0" wp14:anchorId="4663724F" wp14:editId="70252C25">
                  <wp:extent cx="1438275" cy="781050"/>
                  <wp:effectExtent l="0" t="0" r="0" b="0"/>
                  <wp:docPr id="388768409" name="Picture 388768409" descr="C5H12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5H12O"/>
                          <pic:cNvPicPr>
                            <a:picLocks noChangeAspect="1" noChangeArrowheads="1"/>
                          </pic:cNvPicPr>
                        </pic:nvPicPr>
                        <pic:blipFill>
                          <a:blip r:embed="rId18">
                            <a:biLevel thresh="75000"/>
                            <a:extLst>
                              <a:ext uri="{28A0092B-C50C-407E-A947-70E740481C1C}">
                                <a14:useLocalDpi xmlns:a14="http://schemas.microsoft.com/office/drawing/2010/main" val="0"/>
                              </a:ext>
                            </a:extLst>
                          </a:blip>
                          <a:srcRect/>
                          <a:stretch>
                            <a:fillRect/>
                          </a:stretch>
                        </pic:blipFill>
                        <pic:spPr bwMode="auto">
                          <a:xfrm>
                            <a:off x="0" y="0"/>
                            <a:ext cx="1438275" cy="781050"/>
                          </a:xfrm>
                          <a:prstGeom prst="rect">
                            <a:avLst/>
                          </a:prstGeom>
                          <a:noFill/>
                          <a:ln>
                            <a:noFill/>
                          </a:ln>
                        </pic:spPr>
                      </pic:pic>
                    </a:graphicData>
                  </a:graphic>
                </wp:inline>
              </w:drawing>
            </w:r>
          </w:p>
        </w:tc>
      </w:tr>
      <w:tr w:rsidR="00A051A4" w:rsidRPr="00A66B8E" w14:paraId="423C77AD" w14:textId="77777777" w:rsidTr="00A051A4">
        <w:trPr>
          <w:trHeight w:val="260"/>
        </w:trPr>
        <w:tc>
          <w:tcPr>
            <w:tcW w:w="900" w:type="dxa"/>
          </w:tcPr>
          <w:p w14:paraId="4BC745BF"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2</w:t>
            </w:r>
          </w:p>
        </w:tc>
        <w:tc>
          <w:tcPr>
            <w:tcW w:w="900" w:type="dxa"/>
          </w:tcPr>
          <w:p w14:paraId="36CB8C53"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6.00</w:t>
            </w:r>
          </w:p>
        </w:tc>
        <w:tc>
          <w:tcPr>
            <w:tcW w:w="2093" w:type="dxa"/>
          </w:tcPr>
          <w:p w14:paraId="39D3211F"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bCs/>
                <w:sz w:val="24"/>
                <w:szCs w:val="24"/>
              </w:rPr>
              <w:t>1-Hexanol, 2-ethyl-</w:t>
            </w:r>
          </w:p>
        </w:tc>
        <w:tc>
          <w:tcPr>
            <w:tcW w:w="1350" w:type="dxa"/>
          </w:tcPr>
          <w:p w14:paraId="73AA7B59"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8</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18</w:t>
            </w:r>
            <w:r w:rsidRPr="00A66B8E">
              <w:rPr>
                <w:rFonts w:ascii="Times New Roman" w:hAnsi="Times New Roman" w:cs="Times New Roman"/>
                <w:sz w:val="24"/>
                <w:szCs w:val="24"/>
              </w:rPr>
              <w:t>O</w:t>
            </w:r>
          </w:p>
        </w:tc>
        <w:tc>
          <w:tcPr>
            <w:tcW w:w="810" w:type="dxa"/>
          </w:tcPr>
          <w:p w14:paraId="6E4B0468"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bCs/>
                <w:sz w:val="24"/>
                <w:szCs w:val="24"/>
              </w:rPr>
              <w:t>130</w:t>
            </w:r>
          </w:p>
        </w:tc>
        <w:tc>
          <w:tcPr>
            <w:tcW w:w="990" w:type="dxa"/>
          </w:tcPr>
          <w:p w14:paraId="4EF50C61"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1.27</w:t>
            </w:r>
          </w:p>
        </w:tc>
        <w:tc>
          <w:tcPr>
            <w:tcW w:w="1080" w:type="dxa"/>
          </w:tcPr>
          <w:p w14:paraId="29E8D628"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1.73</w:t>
            </w:r>
          </w:p>
        </w:tc>
        <w:tc>
          <w:tcPr>
            <w:tcW w:w="900" w:type="dxa"/>
          </w:tcPr>
          <w:p w14:paraId="646C8C1A"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bCs/>
                <w:sz w:val="24"/>
                <w:szCs w:val="24"/>
              </w:rPr>
              <w:t>41, 57, 130</w:t>
            </w:r>
          </w:p>
        </w:tc>
        <w:tc>
          <w:tcPr>
            <w:tcW w:w="3734" w:type="dxa"/>
          </w:tcPr>
          <w:p w14:paraId="624D1571"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noProof/>
              </w:rPr>
              <w:drawing>
                <wp:inline distT="0" distB="0" distL="0" distR="0" wp14:anchorId="5D1B7369" wp14:editId="0127799C">
                  <wp:extent cx="1171575" cy="914400"/>
                  <wp:effectExtent l="0" t="0" r="0" b="0"/>
                  <wp:docPr id="388768415" name="Picture 388768415" descr="C8H1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8H18O"/>
                          <pic:cNvPicPr>
                            <a:picLocks noChangeAspect="1" noChangeArrowheads="1"/>
                          </pic:cNvPicPr>
                        </pic:nvPicPr>
                        <pic:blipFill>
                          <a:blip r:embed="rId19">
                            <a:biLevel thresh="75000"/>
                            <a:extLst>
                              <a:ext uri="{28A0092B-C50C-407E-A947-70E740481C1C}">
                                <a14:useLocalDpi xmlns:a14="http://schemas.microsoft.com/office/drawing/2010/main" val="0"/>
                              </a:ext>
                            </a:extLst>
                          </a:blip>
                          <a:srcRect/>
                          <a:stretch>
                            <a:fillRect/>
                          </a:stretch>
                        </pic:blipFill>
                        <pic:spPr bwMode="auto">
                          <a:xfrm>
                            <a:off x="0" y="0"/>
                            <a:ext cx="1171575" cy="914400"/>
                          </a:xfrm>
                          <a:prstGeom prst="rect">
                            <a:avLst/>
                          </a:prstGeom>
                          <a:noFill/>
                          <a:ln>
                            <a:noFill/>
                          </a:ln>
                        </pic:spPr>
                      </pic:pic>
                    </a:graphicData>
                  </a:graphic>
                </wp:inline>
              </w:drawing>
            </w:r>
          </w:p>
        </w:tc>
      </w:tr>
      <w:tr w:rsidR="00A051A4" w:rsidRPr="00A66B8E" w14:paraId="05DFF6ED" w14:textId="77777777" w:rsidTr="00A051A4">
        <w:trPr>
          <w:trHeight w:val="260"/>
        </w:trPr>
        <w:tc>
          <w:tcPr>
            <w:tcW w:w="900" w:type="dxa"/>
          </w:tcPr>
          <w:p w14:paraId="24C809B5"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3</w:t>
            </w:r>
          </w:p>
        </w:tc>
        <w:tc>
          <w:tcPr>
            <w:tcW w:w="900" w:type="dxa"/>
          </w:tcPr>
          <w:p w14:paraId="292920C6"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6.50</w:t>
            </w:r>
          </w:p>
        </w:tc>
        <w:tc>
          <w:tcPr>
            <w:tcW w:w="2093" w:type="dxa"/>
          </w:tcPr>
          <w:p w14:paraId="29DB125D"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sz w:val="24"/>
                <w:szCs w:val="24"/>
              </w:rPr>
              <w:t>Carbamic acid, phenyl ester</w:t>
            </w:r>
          </w:p>
        </w:tc>
        <w:tc>
          <w:tcPr>
            <w:tcW w:w="1350" w:type="dxa"/>
          </w:tcPr>
          <w:p w14:paraId="545C49BC"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7</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7</w:t>
            </w:r>
            <w:r w:rsidRPr="00A66B8E">
              <w:rPr>
                <w:rFonts w:ascii="Times New Roman" w:hAnsi="Times New Roman" w:cs="Times New Roman"/>
                <w:sz w:val="24"/>
                <w:szCs w:val="24"/>
              </w:rPr>
              <w:t>NO</w:t>
            </w:r>
            <w:r w:rsidRPr="00A66B8E">
              <w:rPr>
                <w:rFonts w:ascii="Times New Roman" w:hAnsi="Times New Roman" w:cs="Times New Roman"/>
                <w:sz w:val="24"/>
                <w:szCs w:val="24"/>
                <w:vertAlign w:val="subscript"/>
              </w:rPr>
              <w:t>2</w:t>
            </w:r>
          </w:p>
        </w:tc>
        <w:tc>
          <w:tcPr>
            <w:tcW w:w="810" w:type="dxa"/>
          </w:tcPr>
          <w:p w14:paraId="738583DD"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sz w:val="24"/>
                <w:szCs w:val="24"/>
              </w:rPr>
              <w:t>137</w:t>
            </w:r>
          </w:p>
        </w:tc>
        <w:tc>
          <w:tcPr>
            <w:tcW w:w="990" w:type="dxa"/>
          </w:tcPr>
          <w:p w14:paraId="6420BBEE"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1.91</w:t>
            </w:r>
          </w:p>
        </w:tc>
        <w:tc>
          <w:tcPr>
            <w:tcW w:w="1080" w:type="dxa"/>
          </w:tcPr>
          <w:p w14:paraId="56D68309"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2.52</w:t>
            </w:r>
          </w:p>
        </w:tc>
        <w:tc>
          <w:tcPr>
            <w:tcW w:w="900" w:type="dxa"/>
          </w:tcPr>
          <w:p w14:paraId="7E6DC77C"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sz w:val="24"/>
                <w:szCs w:val="24"/>
              </w:rPr>
              <w:t>43, 94, 137</w:t>
            </w:r>
          </w:p>
        </w:tc>
        <w:tc>
          <w:tcPr>
            <w:tcW w:w="3734" w:type="dxa"/>
          </w:tcPr>
          <w:p w14:paraId="6B826EC2" w14:textId="77777777" w:rsidR="00A051A4" w:rsidRPr="00A66B8E" w:rsidRDefault="00A051A4" w:rsidP="0002647E">
            <w:pPr>
              <w:ind w:right="376"/>
              <w:rPr>
                <w:rFonts w:ascii="Times New Roman" w:hAnsi="Times New Roman" w:cs="Times New Roman"/>
                <w:b/>
                <w:bCs/>
                <w:sz w:val="24"/>
                <w:szCs w:val="24"/>
              </w:rPr>
            </w:pPr>
            <w:r w:rsidRPr="00A66B8E">
              <w:rPr>
                <w:rFonts w:ascii="Times New Roman" w:hAnsi="Times New Roman" w:cs="Times New Roman"/>
                <w:noProof/>
              </w:rPr>
              <w:drawing>
                <wp:inline distT="0" distB="0" distL="0" distR="0" wp14:anchorId="62710FD1" wp14:editId="26789CF8">
                  <wp:extent cx="1104900" cy="1085850"/>
                  <wp:effectExtent l="0" t="0" r="0" b="0"/>
                  <wp:docPr id="964886984" name="Picture 964886984" descr="C7H7N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7H7NO2"/>
                          <pic:cNvPicPr>
                            <a:picLocks noChangeAspect="1" noChangeArrowheads="1"/>
                          </pic:cNvPicPr>
                        </pic:nvPicPr>
                        <pic:blipFill>
                          <a:blip r:embed="rId20">
                            <a:biLevel thresh="75000"/>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tc>
      </w:tr>
      <w:tr w:rsidR="00A051A4" w:rsidRPr="00A66B8E" w14:paraId="5BF313EA" w14:textId="77777777" w:rsidTr="00A051A4">
        <w:trPr>
          <w:trHeight w:val="260"/>
        </w:trPr>
        <w:tc>
          <w:tcPr>
            <w:tcW w:w="900" w:type="dxa"/>
          </w:tcPr>
          <w:p w14:paraId="7C108BAE"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w:t>
            </w:r>
          </w:p>
        </w:tc>
        <w:tc>
          <w:tcPr>
            <w:tcW w:w="900" w:type="dxa"/>
          </w:tcPr>
          <w:p w14:paraId="21CB8B26"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7.21</w:t>
            </w:r>
          </w:p>
        </w:tc>
        <w:tc>
          <w:tcPr>
            <w:tcW w:w="2093" w:type="dxa"/>
          </w:tcPr>
          <w:p w14:paraId="18A5EAE0"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Xylitol</w:t>
            </w:r>
          </w:p>
        </w:tc>
        <w:tc>
          <w:tcPr>
            <w:tcW w:w="1350" w:type="dxa"/>
          </w:tcPr>
          <w:p w14:paraId="30306473"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5</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12</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5</w:t>
            </w:r>
          </w:p>
        </w:tc>
        <w:tc>
          <w:tcPr>
            <w:tcW w:w="810" w:type="dxa"/>
          </w:tcPr>
          <w:p w14:paraId="4B8A57C8"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w w:val="99"/>
                <w:sz w:val="24"/>
                <w:szCs w:val="24"/>
              </w:rPr>
              <w:t>152</w:t>
            </w:r>
          </w:p>
        </w:tc>
        <w:tc>
          <w:tcPr>
            <w:tcW w:w="990" w:type="dxa"/>
          </w:tcPr>
          <w:p w14:paraId="155682DA"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0.96</w:t>
            </w:r>
          </w:p>
        </w:tc>
        <w:tc>
          <w:tcPr>
            <w:tcW w:w="1080" w:type="dxa"/>
          </w:tcPr>
          <w:p w14:paraId="32E6ADF4"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1.21</w:t>
            </w:r>
          </w:p>
        </w:tc>
        <w:tc>
          <w:tcPr>
            <w:tcW w:w="900" w:type="dxa"/>
          </w:tcPr>
          <w:p w14:paraId="56AC2B6D"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43, 61, 152</w:t>
            </w:r>
          </w:p>
        </w:tc>
        <w:tc>
          <w:tcPr>
            <w:tcW w:w="3734" w:type="dxa"/>
          </w:tcPr>
          <w:p w14:paraId="0A61908C"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noProof/>
              </w:rPr>
              <w:drawing>
                <wp:inline distT="0" distB="0" distL="0" distR="0" wp14:anchorId="7C2AA571" wp14:editId="0B19C79B">
                  <wp:extent cx="1181100" cy="1076325"/>
                  <wp:effectExtent l="0" t="0" r="0" b="0"/>
                  <wp:docPr id="964886994" name="Picture 964886994" descr="C5H12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5H12O5"/>
                          <pic:cNvPicPr>
                            <a:picLocks noChangeAspect="1" noChangeArrowheads="1"/>
                          </pic:cNvPicPr>
                        </pic:nvPicPr>
                        <pic:blipFill>
                          <a:blip r:embed="rId21">
                            <a:biLevel thresh="75000"/>
                            <a:extLst>
                              <a:ext uri="{28A0092B-C50C-407E-A947-70E740481C1C}">
                                <a14:useLocalDpi xmlns:a14="http://schemas.microsoft.com/office/drawing/2010/main" val="0"/>
                              </a:ext>
                            </a:extLst>
                          </a:blip>
                          <a:srcRect/>
                          <a:stretch>
                            <a:fillRect/>
                          </a:stretch>
                        </pic:blipFill>
                        <pic:spPr bwMode="auto">
                          <a:xfrm>
                            <a:off x="0" y="0"/>
                            <a:ext cx="1181100" cy="1076325"/>
                          </a:xfrm>
                          <a:prstGeom prst="rect">
                            <a:avLst/>
                          </a:prstGeom>
                          <a:noFill/>
                          <a:ln>
                            <a:noFill/>
                          </a:ln>
                        </pic:spPr>
                      </pic:pic>
                    </a:graphicData>
                  </a:graphic>
                </wp:inline>
              </w:drawing>
            </w:r>
          </w:p>
        </w:tc>
      </w:tr>
      <w:tr w:rsidR="00A051A4" w:rsidRPr="00A66B8E" w14:paraId="487098F7" w14:textId="77777777" w:rsidTr="00A051A4">
        <w:trPr>
          <w:trHeight w:val="260"/>
        </w:trPr>
        <w:tc>
          <w:tcPr>
            <w:tcW w:w="900" w:type="dxa"/>
          </w:tcPr>
          <w:p w14:paraId="174FD5AC"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lastRenderedPageBreak/>
              <w:t>5</w:t>
            </w:r>
          </w:p>
        </w:tc>
        <w:tc>
          <w:tcPr>
            <w:tcW w:w="900" w:type="dxa"/>
          </w:tcPr>
          <w:p w14:paraId="6CC4DCE8"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8.50</w:t>
            </w:r>
          </w:p>
        </w:tc>
        <w:tc>
          <w:tcPr>
            <w:tcW w:w="2093" w:type="dxa"/>
          </w:tcPr>
          <w:p w14:paraId="575B9DAD"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2-Methoxy-4-vinylphenol</w:t>
            </w:r>
          </w:p>
        </w:tc>
        <w:tc>
          <w:tcPr>
            <w:tcW w:w="1350" w:type="dxa"/>
          </w:tcPr>
          <w:p w14:paraId="70BCD72D"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9</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10</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2</w:t>
            </w:r>
          </w:p>
        </w:tc>
        <w:tc>
          <w:tcPr>
            <w:tcW w:w="810" w:type="dxa"/>
          </w:tcPr>
          <w:p w14:paraId="1797D7AE"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w w:val="99"/>
                <w:sz w:val="24"/>
                <w:szCs w:val="24"/>
              </w:rPr>
              <w:t>150</w:t>
            </w:r>
          </w:p>
        </w:tc>
        <w:tc>
          <w:tcPr>
            <w:tcW w:w="990" w:type="dxa"/>
          </w:tcPr>
          <w:p w14:paraId="3739EB47"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0.80</w:t>
            </w:r>
          </w:p>
        </w:tc>
        <w:tc>
          <w:tcPr>
            <w:tcW w:w="1080" w:type="dxa"/>
          </w:tcPr>
          <w:p w14:paraId="4403DE0E"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1.04</w:t>
            </w:r>
          </w:p>
        </w:tc>
        <w:tc>
          <w:tcPr>
            <w:tcW w:w="900" w:type="dxa"/>
          </w:tcPr>
          <w:p w14:paraId="636AA210"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77, 135, 150</w:t>
            </w:r>
          </w:p>
        </w:tc>
        <w:tc>
          <w:tcPr>
            <w:tcW w:w="3734" w:type="dxa"/>
          </w:tcPr>
          <w:p w14:paraId="5ECF0E9D"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noProof/>
              </w:rPr>
              <w:drawing>
                <wp:inline distT="0" distB="0" distL="0" distR="0" wp14:anchorId="770B39FB" wp14:editId="04BC46A0">
                  <wp:extent cx="1162050" cy="1019175"/>
                  <wp:effectExtent l="0" t="0" r="0" b="0"/>
                  <wp:docPr id="964886995" name="Picture 964886995" descr="C9H10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9H10O2"/>
                          <pic:cNvPicPr>
                            <a:picLocks noChangeAspect="1" noChangeArrowheads="1"/>
                          </pic:cNvPicPr>
                        </pic:nvPicPr>
                        <pic:blipFill>
                          <a:blip r:embed="rId22">
                            <a:biLevel thresh="75000"/>
                            <a:extLst>
                              <a:ext uri="{28A0092B-C50C-407E-A947-70E740481C1C}">
                                <a14:useLocalDpi xmlns:a14="http://schemas.microsoft.com/office/drawing/2010/main" val="0"/>
                              </a:ext>
                            </a:extLst>
                          </a:blip>
                          <a:srcRect/>
                          <a:stretch>
                            <a:fillRect/>
                          </a:stretch>
                        </pic:blipFill>
                        <pic:spPr bwMode="auto">
                          <a:xfrm>
                            <a:off x="0" y="0"/>
                            <a:ext cx="1162050" cy="1019175"/>
                          </a:xfrm>
                          <a:prstGeom prst="rect">
                            <a:avLst/>
                          </a:prstGeom>
                          <a:noFill/>
                          <a:ln>
                            <a:noFill/>
                          </a:ln>
                        </pic:spPr>
                      </pic:pic>
                    </a:graphicData>
                  </a:graphic>
                </wp:inline>
              </w:drawing>
            </w:r>
          </w:p>
        </w:tc>
      </w:tr>
      <w:tr w:rsidR="00A051A4" w:rsidRPr="00A66B8E" w14:paraId="34D76965" w14:textId="77777777" w:rsidTr="00A051A4">
        <w:trPr>
          <w:trHeight w:val="1790"/>
        </w:trPr>
        <w:tc>
          <w:tcPr>
            <w:tcW w:w="900" w:type="dxa"/>
          </w:tcPr>
          <w:p w14:paraId="22A92635"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6</w:t>
            </w:r>
          </w:p>
        </w:tc>
        <w:tc>
          <w:tcPr>
            <w:tcW w:w="900" w:type="dxa"/>
          </w:tcPr>
          <w:p w14:paraId="4E2B7700"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9.28</w:t>
            </w:r>
          </w:p>
        </w:tc>
        <w:tc>
          <w:tcPr>
            <w:tcW w:w="2093" w:type="dxa"/>
          </w:tcPr>
          <w:p w14:paraId="74811A3B"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1-Cyclohexene-1-carboxaldehyde, 2,6,6-trimethyl-</w:t>
            </w:r>
          </w:p>
        </w:tc>
        <w:tc>
          <w:tcPr>
            <w:tcW w:w="1350" w:type="dxa"/>
          </w:tcPr>
          <w:p w14:paraId="17D84478"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10</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16</w:t>
            </w:r>
            <w:r w:rsidRPr="00A66B8E">
              <w:rPr>
                <w:rFonts w:ascii="Times New Roman" w:hAnsi="Times New Roman" w:cs="Times New Roman"/>
                <w:sz w:val="24"/>
                <w:szCs w:val="24"/>
              </w:rPr>
              <w:t>O</w:t>
            </w:r>
          </w:p>
        </w:tc>
        <w:tc>
          <w:tcPr>
            <w:tcW w:w="810" w:type="dxa"/>
          </w:tcPr>
          <w:p w14:paraId="5EC76CF5"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152</w:t>
            </w:r>
          </w:p>
        </w:tc>
        <w:tc>
          <w:tcPr>
            <w:tcW w:w="990" w:type="dxa"/>
          </w:tcPr>
          <w:p w14:paraId="23ABEA24"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0.38</w:t>
            </w:r>
          </w:p>
        </w:tc>
        <w:tc>
          <w:tcPr>
            <w:tcW w:w="1080" w:type="dxa"/>
          </w:tcPr>
          <w:p w14:paraId="15423994"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0.92</w:t>
            </w:r>
          </w:p>
        </w:tc>
        <w:tc>
          <w:tcPr>
            <w:tcW w:w="900" w:type="dxa"/>
          </w:tcPr>
          <w:p w14:paraId="28A795B8"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41, 87, 152</w:t>
            </w:r>
          </w:p>
        </w:tc>
        <w:tc>
          <w:tcPr>
            <w:tcW w:w="3734" w:type="dxa"/>
          </w:tcPr>
          <w:p w14:paraId="45AA6452"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noProof/>
              </w:rPr>
              <w:drawing>
                <wp:inline distT="0" distB="0" distL="0" distR="0" wp14:anchorId="45EE2617" wp14:editId="5C382283">
                  <wp:extent cx="1447800" cy="1162050"/>
                  <wp:effectExtent l="0" t="0" r="0" b="0"/>
                  <wp:docPr id="1636560869" name="Picture 1636560869" descr="C10H16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10H16O"/>
                          <pic:cNvPicPr>
                            <a:picLocks noChangeAspect="1" noChangeArrowheads="1"/>
                          </pic:cNvPicPr>
                        </pic:nvPicPr>
                        <pic:blipFill>
                          <a:blip r:embed="rId23">
                            <a:biLevel thresh="75000"/>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inline>
              </w:drawing>
            </w:r>
          </w:p>
        </w:tc>
      </w:tr>
      <w:tr w:rsidR="00A051A4" w:rsidRPr="00A66B8E" w14:paraId="2D46578F" w14:textId="77777777" w:rsidTr="00A051A4">
        <w:trPr>
          <w:trHeight w:val="3023"/>
        </w:trPr>
        <w:tc>
          <w:tcPr>
            <w:tcW w:w="900" w:type="dxa"/>
          </w:tcPr>
          <w:p w14:paraId="46F305BB"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7</w:t>
            </w:r>
          </w:p>
        </w:tc>
        <w:tc>
          <w:tcPr>
            <w:tcW w:w="900" w:type="dxa"/>
          </w:tcPr>
          <w:p w14:paraId="742FC00E"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14.25</w:t>
            </w:r>
          </w:p>
        </w:tc>
        <w:tc>
          <w:tcPr>
            <w:tcW w:w="2093" w:type="dxa"/>
          </w:tcPr>
          <w:p w14:paraId="66E7D338"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Tridecane</w:t>
            </w:r>
          </w:p>
        </w:tc>
        <w:tc>
          <w:tcPr>
            <w:tcW w:w="1350" w:type="dxa"/>
          </w:tcPr>
          <w:p w14:paraId="669EE82E"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13</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28</w:t>
            </w:r>
          </w:p>
        </w:tc>
        <w:tc>
          <w:tcPr>
            <w:tcW w:w="810" w:type="dxa"/>
          </w:tcPr>
          <w:p w14:paraId="793E0892"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w w:val="99"/>
                <w:sz w:val="24"/>
                <w:szCs w:val="24"/>
              </w:rPr>
              <w:t>184</w:t>
            </w:r>
          </w:p>
        </w:tc>
        <w:tc>
          <w:tcPr>
            <w:tcW w:w="990" w:type="dxa"/>
          </w:tcPr>
          <w:p w14:paraId="5BDBBD67"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1.34</w:t>
            </w:r>
          </w:p>
        </w:tc>
        <w:tc>
          <w:tcPr>
            <w:tcW w:w="1080" w:type="dxa"/>
          </w:tcPr>
          <w:p w14:paraId="17FDF5B5"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1.60</w:t>
            </w:r>
          </w:p>
        </w:tc>
        <w:tc>
          <w:tcPr>
            <w:tcW w:w="900" w:type="dxa"/>
          </w:tcPr>
          <w:p w14:paraId="04C7D9B4"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43, 57, 184</w:t>
            </w:r>
          </w:p>
        </w:tc>
        <w:tc>
          <w:tcPr>
            <w:tcW w:w="3734" w:type="dxa"/>
          </w:tcPr>
          <w:p w14:paraId="0F82F038"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noProof/>
              </w:rPr>
              <w:drawing>
                <wp:inline distT="0" distB="0" distL="0" distR="0" wp14:anchorId="7090D37A" wp14:editId="7F0DF1FE">
                  <wp:extent cx="1504950" cy="485775"/>
                  <wp:effectExtent l="0" t="0" r="0" b="0"/>
                  <wp:docPr id="1636560868" name="Picture 1636560868" descr="C13H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13H28"/>
                          <pic:cNvPicPr>
                            <a:picLocks noChangeAspect="1" noChangeArrowheads="1"/>
                          </pic:cNvPicPr>
                        </pic:nvPicPr>
                        <pic:blipFill>
                          <a:blip r:embed="rId24">
                            <a:biLevel thresh="75000"/>
                            <a:extLst>
                              <a:ext uri="{28A0092B-C50C-407E-A947-70E740481C1C}">
                                <a14:useLocalDpi xmlns:a14="http://schemas.microsoft.com/office/drawing/2010/main" val="0"/>
                              </a:ext>
                            </a:extLst>
                          </a:blip>
                          <a:srcRect/>
                          <a:stretch>
                            <a:fillRect/>
                          </a:stretch>
                        </pic:blipFill>
                        <pic:spPr bwMode="auto">
                          <a:xfrm>
                            <a:off x="0" y="0"/>
                            <a:ext cx="1504950" cy="485775"/>
                          </a:xfrm>
                          <a:prstGeom prst="rect">
                            <a:avLst/>
                          </a:prstGeom>
                          <a:noFill/>
                          <a:ln>
                            <a:noFill/>
                          </a:ln>
                        </pic:spPr>
                      </pic:pic>
                    </a:graphicData>
                  </a:graphic>
                </wp:inline>
              </w:drawing>
            </w:r>
          </w:p>
        </w:tc>
      </w:tr>
      <w:tr w:rsidR="00A051A4" w:rsidRPr="00A66B8E" w14:paraId="259D14BC" w14:textId="77777777" w:rsidTr="00A051A4">
        <w:trPr>
          <w:trHeight w:val="2060"/>
        </w:trPr>
        <w:tc>
          <w:tcPr>
            <w:tcW w:w="900" w:type="dxa"/>
          </w:tcPr>
          <w:p w14:paraId="7E99D0CD"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lastRenderedPageBreak/>
              <w:t>8</w:t>
            </w:r>
          </w:p>
        </w:tc>
        <w:tc>
          <w:tcPr>
            <w:tcW w:w="900" w:type="dxa"/>
          </w:tcPr>
          <w:p w14:paraId="6DEC5017"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15.50</w:t>
            </w:r>
          </w:p>
        </w:tc>
        <w:tc>
          <w:tcPr>
            <w:tcW w:w="2093" w:type="dxa"/>
          </w:tcPr>
          <w:p w14:paraId="1DC979DE"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Piperazine, 1-(2-methoxyphenyl)-4-acetyl</w:t>
            </w:r>
          </w:p>
        </w:tc>
        <w:tc>
          <w:tcPr>
            <w:tcW w:w="1350" w:type="dxa"/>
          </w:tcPr>
          <w:p w14:paraId="555508B2"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13</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18</w:t>
            </w:r>
            <w:r w:rsidRPr="00A66B8E">
              <w:rPr>
                <w:rFonts w:ascii="Times New Roman" w:hAnsi="Times New Roman" w:cs="Times New Roman"/>
                <w:sz w:val="24"/>
                <w:szCs w:val="24"/>
              </w:rPr>
              <w:t>N</w:t>
            </w:r>
            <w:r w:rsidRPr="00A66B8E">
              <w:rPr>
                <w:rFonts w:ascii="Times New Roman" w:hAnsi="Times New Roman" w:cs="Times New Roman"/>
                <w:sz w:val="24"/>
                <w:szCs w:val="24"/>
                <w:vertAlign w:val="subscript"/>
              </w:rPr>
              <w:t>2</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2</w:t>
            </w:r>
          </w:p>
        </w:tc>
        <w:tc>
          <w:tcPr>
            <w:tcW w:w="810" w:type="dxa"/>
          </w:tcPr>
          <w:p w14:paraId="3A3B86B5"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w w:val="99"/>
                <w:sz w:val="24"/>
                <w:szCs w:val="24"/>
              </w:rPr>
              <w:t>234</w:t>
            </w:r>
          </w:p>
        </w:tc>
        <w:tc>
          <w:tcPr>
            <w:tcW w:w="990" w:type="dxa"/>
          </w:tcPr>
          <w:p w14:paraId="18AB92C4"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1.46</w:t>
            </w:r>
          </w:p>
        </w:tc>
        <w:tc>
          <w:tcPr>
            <w:tcW w:w="1080" w:type="dxa"/>
          </w:tcPr>
          <w:p w14:paraId="092A27D9"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1.54</w:t>
            </w:r>
          </w:p>
        </w:tc>
        <w:tc>
          <w:tcPr>
            <w:tcW w:w="900" w:type="dxa"/>
          </w:tcPr>
          <w:p w14:paraId="31475D9D"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43, 57, 234</w:t>
            </w:r>
          </w:p>
        </w:tc>
        <w:tc>
          <w:tcPr>
            <w:tcW w:w="3734" w:type="dxa"/>
          </w:tcPr>
          <w:p w14:paraId="213C6937"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noProof/>
              </w:rPr>
              <w:drawing>
                <wp:inline distT="0" distB="0" distL="0" distR="0" wp14:anchorId="55099515" wp14:editId="6BA9318D">
                  <wp:extent cx="1381125" cy="1333500"/>
                  <wp:effectExtent l="0" t="0" r="0" b="0"/>
                  <wp:docPr id="964886997" name="Picture 964886997" descr="C13H18N2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13H18N2O2"/>
                          <pic:cNvPicPr>
                            <a:picLocks noChangeAspect="1" noChangeArrowheads="1"/>
                          </pic:cNvPicPr>
                        </pic:nvPicPr>
                        <pic:blipFill>
                          <a:blip r:embed="rId25">
                            <a:biLevel thresh="75000"/>
                            <a:extLst>
                              <a:ext uri="{28A0092B-C50C-407E-A947-70E740481C1C}">
                                <a14:useLocalDpi xmlns:a14="http://schemas.microsoft.com/office/drawing/2010/main" val="0"/>
                              </a:ext>
                            </a:extLst>
                          </a:blip>
                          <a:srcRect/>
                          <a:stretch>
                            <a:fillRect/>
                          </a:stretch>
                        </pic:blipFill>
                        <pic:spPr bwMode="auto">
                          <a:xfrm>
                            <a:off x="0" y="0"/>
                            <a:ext cx="1381125" cy="1333500"/>
                          </a:xfrm>
                          <a:prstGeom prst="rect">
                            <a:avLst/>
                          </a:prstGeom>
                          <a:noFill/>
                          <a:ln>
                            <a:noFill/>
                          </a:ln>
                        </pic:spPr>
                      </pic:pic>
                    </a:graphicData>
                  </a:graphic>
                </wp:inline>
              </w:drawing>
            </w:r>
          </w:p>
        </w:tc>
      </w:tr>
      <w:tr w:rsidR="00A051A4" w:rsidRPr="00A66B8E" w14:paraId="386F12F3" w14:textId="77777777" w:rsidTr="00A051A4">
        <w:trPr>
          <w:trHeight w:val="260"/>
        </w:trPr>
        <w:tc>
          <w:tcPr>
            <w:tcW w:w="900" w:type="dxa"/>
          </w:tcPr>
          <w:p w14:paraId="16313B27"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9</w:t>
            </w:r>
          </w:p>
        </w:tc>
        <w:tc>
          <w:tcPr>
            <w:tcW w:w="900" w:type="dxa"/>
          </w:tcPr>
          <w:p w14:paraId="79B70C40"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17.50</w:t>
            </w:r>
          </w:p>
        </w:tc>
        <w:tc>
          <w:tcPr>
            <w:tcW w:w="2093" w:type="dxa"/>
          </w:tcPr>
          <w:p w14:paraId="7E5DDF38"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Methyl 4-(3-</w:t>
            </w:r>
            <w:proofErr w:type="gramStart"/>
            <w:r w:rsidRPr="00A66B8E">
              <w:rPr>
                <w:rFonts w:ascii="Times New Roman" w:hAnsi="Times New Roman" w:cs="Times New Roman"/>
                <w:bCs/>
                <w:sz w:val="24"/>
                <w:szCs w:val="24"/>
              </w:rPr>
              <w:t>oxocyclohexyl)butanoate</w:t>
            </w:r>
            <w:proofErr w:type="gramEnd"/>
          </w:p>
        </w:tc>
        <w:tc>
          <w:tcPr>
            <w:tcW w:w="1350" w:type="dxa"/>
          </w:tcPr>
          <w:p w14:paraId="72495DCD" w14:textId="77777777" w:rsidR="00A051A4" w:rsidRPr="00A66B8E" w:rsidRDefault="00A051A4" w:rsidP="0002647E">
            <w:pPr>
              <w:rPr>
                <w:rFonts w:ascii="Times New Roman" w:hAnsi="Times New Roman" w:cs="Times New Roman"/>
                <w:bCs/>
                <w:sz w:val="24"/>
                <w:szCs w:val="24"/>
              </w:rPr>
            </w:pPr>
            <w:hyperlink r:id="rId26" w:anchor="query=C11H18O3" w:tgtFrame="_parent" w:tooltip="Find all compounds that have this formula" w:history="1">
              <w:r w:rsidRPr="00A66B8E">
                <w:rPr>
                  <w:rStyle w:val="Hyperlink"/>
                  <w:rFonts w:ascii="Times New Roman" w:eastAsiaTheme="majorEastAsia" w:hAnsi="Times New Roman" w:cs="Times New Roman"/>
                  <w:color w:val="auto"/>
                  <w:sz w:val="24"/>
                  <w:szCs w:val="24"/>
                </w:rPr>
                <w:t>C</w:t>
              </w:r>
              <w:r w:rsidRPr="00A66B8E">
                <w:rPr>
                  <w:rStyle w:val="Hyperlink"/>
                  <w:rFonts w:ascii="Times New Roman" w:eastAsiaTheme="majorEastAsia" w:hAnsi="Times New Roman" w:cs="Times New Roman"/>
                  <w:color w:val="auto"/>
                  <w:sz w:val="24"/>
                  <w:szCs w:val="24"/>
                  <w:vertAlign w:val="subscript"/>
                </w:rPr>
                <w:t>11</w:t>
              </w:r>
              <w:r w:rsidRPr="00A66B8E">
                <w:rPr>
                  <w:rStyle w:val="Hyperlink"/>
                  <w:rFonts w:ascii="Times New Roman" w:eastAsiaTheme="majorEastAsia" w:hAnsi="Times New Roman" w:cs="Times New Roman"/>
                  <w:color w:val="auto"/>
                  <w:sz w:val="24"/>
                  <w:szCs w:val="24"/>
                </w:rPr>
                <w:t>H</w:t>
              </w:r>
              <w:r w:rsidRPr="00A66B8E">
                <w:rPr>
                  <w:rStyle w:val="Hyperlink"/>
                  <w:rFonts w:ascii="Times New Roman" w:eastAsiaTheme="majorEastAsia" w:hAnsi="Times New Roman" w:cs="Times New Roman"/>
                  <w:color w:val="auto"/>
                  <w:sz w:val="24"/>
                  <w:szCs w:val="24"/>
                  <w:vertAlign w:val="subscript"/>
                </w:rPr>
                <w:t>18</w:t>
              </w:r>
              <w:r w:rsidRPr="00A66B8E">
                <w:rPr>
                  <w:rStyle w:val="Hyperlink"/>
                  <w:rFonts w:ascii="Times New Roman" w:eastAsiaTheme="majorEastAsia" w:hAnsi="Times New Roman" w:cs="Times New Roman"/>
                  <w:color w:val="auto"/>
                  <w:sz w:val="24"/>
                  <w:szCs w:val="24"/>
                </w:rPr>
                <w:t>O</w:t>
              </w:r>
              <w:r w:rsidRPr="00A66B8E">
                <w:rPr>
                  <w:rStyle w:val="Hyperlink"/>
                  <w:rFonts w:ascii="Times New Roman" w:eastAsiaTheme="majorEastAsia" w:hAnsi="Times New Roman" w:cs="Times New Roman"/>
                  <w:color w:val="auto"/>
                  <w:sz w:val="24"/>
                  <w:szCs w:val="24"/>
                  <w:vertAlign w:val="subscript"/>
                </w:rPr>
                <w:t>3</w:t>
              </w:r>
            </w:hyperlink>
          </w:p>
        </w:tc>
        <w:tc>
          <w:tcPr>
            <w:tcW w:w="810" w:type="dxa"/>
          </w:tcPr>
          <w:p w14:paraId="03A0886C"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w w:val="99"/>
                <w:sz w:val="24"/>
                <w:szCs w:val="24"/>
              </w:rPr>
              <w:t>198</w:t>
            </w:r>
          </w:p>
        </w:tc>
        <w:tc>
          <w:tcPr>
            <w:tcW w:w="990" w:type="dxa"/>
          </w:tcPr>
          <w:p w14:paraId="409E4FF5"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0.48</w:t>
            </w:r>
          </w:p>
        </w:tc>
        <w:tc>
          <w:tcPr>
            <w:tcW w:w="1080" w:type="dxa"/>
          </w:tcPr>
          <w:p w14:paraId="146E30BD"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1.07</w:t>
            </w:r>
          </w:p>
        </w:tc>
        <w:tc>
          <w:tcPr>
            <w:tcW w:w="900" w:type="dxa"/>
          </w:tcPr>
          <w:p w14:paraId="6250881E"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41, 97, 198</w:t>
            </w:r>
          </w:p>
        </w:tc>
        <w:tc>
          <w:tcPr>
            <w:tcW w:w="3734" w:type="dxa"/>
          </w:tcPr>
          <w:p w14:paraId="23596B1E"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noProof/>
              </w:rPr>
              <w:drawing>
                <wp:inline distT="0" distB="0" distL="0" distR="0" wp14:anchorId="54DECFC7" wp14:editId="02D5F251">
                  <wp:extent cx="1266825" cy="1038225"/>
                  <wp:effectExtent l="0" t="0" r="9525" b="9525"/>
                  <wp:docPr id="1636560870" name="Picture 1636560870" descr="Methyl 4-(3-oxocyclohexyl)butano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ethyl 4-(3-oxocyclohexyl)butanoate.png"/>
                          <pic:cNvPicPr>
                            <a:picLocks noChangeAspect="1" noChangeArrowheads="1"/>
                          </pic:cNvPicPr>
                        </pic:nvPicPr>
                        <pic:blipFill>
                          <a:blip r:embed="rId27">
                            <a:biLevel thresh="75000"/>
                            <a:extLst>
                              <a:ext uri="{28A0092B-C50C-407E-A947-70E740481C1C}">
                                <a14:useLocalDpi xmlns:a14="http://schemas.microsoft.com/office/drawing/2010/main" val="0"/>
                              </a:ext>
                            </a:extLst>
                          </a:blip>
                          <a:srcRect/>
                          <a:stretch>
                            <a:fillRect/>
                          </a:stretch>
                        </pic:blipFill>
                        <pic:spPr bwMode="auto">
                          <a:xfrm>
                            <a:off x="0" y="0"/>
                            <a:ext cx="1266825" cy="1038225"/>
                          </a:xfrm>
                          <a:prstGeom prst="rect">
                            <a:avLst/>
                          </a:prstGeom>
                          <a:noFill/>
                          <a:ln>
                            <a:noFill/>
                          </a:ln>
                        </pic:spPr>
                      </pic:pic>
                    </a:graphicData>
                  </a:graphic>
                </wp:inline>
              </w:drawing>
            </w:r>
          </w:p>
        </w:tc>
      </w:tr>
      <w:tr w:rsidR="00A051A4" w:rsidRPr="00A66B8E" w14:paraId="67A961E3" w14:textId="77777777" w:rsidTr="00A051A4">
        <w:trPr>
          <w:trHeight w:val="260"/>
        </w:trPr>
        <w:tc>
          <w:tcPr>
            <w:tcW w:w="900" w:type="dxa"/>
          </w:tcPr>
          <w:p w14:paraId="1836BED5"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10</w:t>
            </w:r>
          </w:p>
        </w:tc>
        <w:tc>
          <w:tcPr>
            <w:tcW w:w="900" w:type="dxa"/>
          </w:tcPr>
          <w:p w14:paraId="0743C0F5"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18.75</w:t>
            </w:r>
          </w:p>
        </w:tc>
        <w:tc>
          <w:tcPr>
            <w:tcW w:w="2093" w:type="dxa"/>
          </w:tcPr>
          <w:p w14:paraId="4D4E26BC"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n-</w:t>
            </w:r>
            <w:proofErr w:type="spellStart"/>
            <w:r w:rsidRPr="00A66B8E">
              <w:rPr>
                <w:rFonts w:ascii="Times New Roman" w:hAnsi="Times New Roman" w:cs="Times New Roman"/>
                <w:bCs/>
                <w:sz w:val="24"/>
                <w:szCs w:val="24"/>
              </w:rPr>
              <w:t>Hexadecanoic</w:t>
            </w:r>
            <w:proofErr w:type="spellEnd"/>
            <w:r w:rsidRPr="00A66B8E">
              <w:rPr>
                <w:rFonts w:ascii="Times New Roman" w:hAnsi="Times New Roman" w:cs="Times New Roman"/>
                <w:bCs/>
                <w:sz w:val="24"/>
                <w:szCs w:val="24"/>
              </w:rPr>
              <w:t xml:space="preserve"> acid</w:t>
            </w:r>
          </w:p>
        </w:tc>
        <w:tc>
          <w:tcPr>
            <w:tcW w:w="1350" w:type="dxa"/>
          </w:tcPr>
          <w:p w14:paraId="4A30C8D2"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16</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32</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2</w:t>
            </w:r>
          </w:p>
        </w:tc>
        <w:tc>
          <w:tcPr>
            <w:tcW w:w="810" w:type="dxa"/>
          </w:tcPr>
          <w:p w14:paraId="4C9507EA"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w w:val="99"/>
                <w:sz w:val="24"/>
                <w:szCs w:val="24"/>
              </w:rPr>
              <w:t>256</w:t>
            </w:r>
          </w:p>
        </w:tc>
        <w:tc>
          <w:tcPr>
            <w:tcW w:w="990" w:type="dxa"/>
          </w:tcPr>
          <w:p w14:paraId="0C5D7DDE"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14.33</w:t>
            </w:r>
          </w:p>
        </w:tc>
        <w:tc>
          <w:tcPr>
            <w:tcW w:w="1080" w:type="dxa"/>
          </w:tcPr>
          <w:p w14:paraId="79B269AA"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15.42</w:t>
            </w:r>
          </w:p>
        </w:tc>
        <w:tc>
          <w:tcPr>
            <w:tcW w:w="900" w:type="dxa"/>
          </w:tcPr>
          <w:p w14:paraId="4C8C8B8E"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43, 73, 256</w:t>
            </w:r>
          </w:p>
        </w:tc>
        <w:tc>
          <w:tcPr>
            <w:tcW w:w="3734" w:type="dxa"/>
          </w:tcPr>
          <w:p w14:paraId="17E5D858"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noProof/>
              </w:rPr>
              <w:drawing>
                <wp:inline distT="0" distB="0" distL="0" distR="0" wp14:anchorId="64BDCBEA" wp14:editId="6044BC94">
                  <wp:extent cx="1504950" cy="771525"/>
                  <wp:effectExtent l="0" t="0" r="0" b="0"/>
                  <wp:docPr id="26" name="Picture 26" descr="C16H32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16H32O2"/>
                          <pic:cNvPicPr>
                            <a:picLocks noChangeAspect="1" noChangeArrowheads="1"/>
                          </pic:cNvPicPr>
                        </pic:nvPicPr>
                        <pic:blipFill>
                          <a:blip r:embed="rId28">
                            <a:biLevel thresh="75000"/>
                            <a:extLst>
                              <a:ext uri="{28A0092B-C50C-407E-A947-70E740481C1C}">
                                <a14:useLocalDpi xmlns:a14="http://schemas.microsoft.com/office/drawing/2010/main" val="0"/>
                              </a:ext>
                            </a:extLst>
                          </a:blip>
                          <a:srcRect/>
                          <a:stretch>
                            <a:fillRect/>
                          </a:stretch>
                        </pic:blipFill>
                        <pic:spPr bwMode="auto">
                          <a:xfrm>
                            <a:off x="0" y="0"/>
                            <a:ext cx="1504950" cy="771525"/>
                          </a:xfrm>
                          <a:prstGeom prst="rect">
                            <a:avLst/>
                          </a:prstGeom>
                          <a:noFill/>
                          <a:ln>
                            <a:noFill/>
                          </a:ln>
                        </pic:spPr>
                      </pic:pic>
                    </a:graphicData>
                  </a:graphic>
                </wp:inline>
              </w:drawing>
            </w:r>
          </w:p>
        </w:tc>
      </w:tr>
      <w:tr w:rsidR="00A051A4" w:rsidRPr="00A66B8E" w14:paraId="6E35352C" w14:textId="77777777" w:rsidTr="00A051A4">
        <w:trPr>
          <w:trHeight w:val="260"/>
        </w:trPr>
        <w:tc>
          <w:tcPr>
            <w:tcW w:w="900" w:type="dxa"/>
          </w:tcPr>
          <w:p w14:paraId="681D2AF6"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11</w:t>
            </w:r>
          </w:p>
        </w:tc>
        <w:tc>
          <w:tcPr>
            <w:tcW w:w="900" w:type="dxa"/>
          </w:tcPr>
          <w:p w14:paraId="420615FB"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20.75</w:t>
            </w:r>
          </w:p>
        </w:tc>
        <w:tc>
          <w:tcPr>
            <w:tcW w:w="2093" w:type="dxa"/>
          </w:tcPr>
          <w:p w14:paraId="7E860643"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1,4-Bis(trimethylsilyl)benzene</w:t>
            </w:r>
          </w:p>
        </w:tc>
        <w:tc>
          <w:tcPr>
            <w:tcW w:w="1350" w:type="dxa"/>
          </w:tcPr>
          <w:p w14:paraId="76AB2E80" w14:textId="77777777" w:rsidR="00A051A4" w:rsidRPr="00A66B8E" w:rsidRDefault="00A051A4" w:rsidP="0002647E">
            <w:pPr>
              <w:spacing w:line="360" w:lineRule="auto"/>
              <w:jc w:val="both"/>
              <w:rPr>
                <w:rFonts w:ascii="Times New Roman" w:hAnsi="Times New Roman" w:cs="Times New Roman"/>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12</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22</w:t>
            </w:r>
            <w:r w:rsidRPr="00A66B8E">
              <w:rPr>
                <w:rFonts w:ascii="Times New Roman" w:hAnsi="Times New Roman" w:cs="Times New Roman"/>
                <w:sz w:val="24"/>
                <w:szCs w:val="24"/>
              </w:rPr>
              <w:t>Si</w:t>
            </w:r>
            <w:r w:rsidRPr="00A66B8E">
              <w:rPr>
                <w:rFonts w:ascii="Times New Roman" w:hAnsi="Times New Roman" w:cs="Times New Roman"/>
                <w:sz w:val="24"/>
                <w:szCs w:val="24"/>
                <w:vertAlign w:val="subscript"/>
              </w:rPr>
              <w:t>2</w:t>
            </w:r>
          </w:p>
        </w:tc>
        <w:tc>
          <w:tcPr>
            <w:tcW w:w="810" w:type="dxa"/>
          </w:tcPr>
          <w:p w14:paraId="2023CF93" w14:textId="77777777" w:rsidR="00A051A4" w:rsidRPr="00A66B8E" w:rsidRDefault="00A051A4" w:rsidP="0002647E">
            <w:pPr>
              <w:spacing w:line="360" w:lineRule="auto"/>
              <w:jc w:val="both"/>
              <w:rPr>
                <w:rFonts w:ascii="Times New Roman" w:hAnsi="Times New Roman" w:cs="Times New Roman"/>
                <w:w w:val="96"/>
                <w:sz w:val="24"/>
                <w:szCs w:val="24"/>
              </w:rPr>
            </w:pPr>
            <w:r w:rsidRPr="00A66B8E">
              <w:rPr>
                <w:rFonts w:ascii="Times New Roman" w:hAnsi="Times New Roman" w:cs="Times New Roman"/>
                <w:w w:val="96"/>
                <w:sz w:val="24"/>
                <w:szCs w:val="24"/>
              </w:rPr>
              <w:t>222</w:t>
            </w:r>
          </w:p>
        </w:tc>
        <w:tc>
          <w:tcPr>
            <w:tcW w:w="990" w:type="dxa"/>
          </w:tcPr>
          <w:p w14:paraId="18DF039C"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w w:val="96"/>
                <w:sz w:val="24"/>
                <w:szCs w:val="24"/>
              </w:rPr>
              <w:t>3.18</w:t>
            </w:r>
          </w:p>
        </w:tc>
        <w:tc>
          <w:tcPr>
            <w:tcW w:w="1080" w:type="dxa"/>
          </w:tcPr>
          <w:p w14:paraId="3E9A3CE8" w14:textId="77777777" w:rsidR="00A051A4" w:rsidRPr="00A66B8E" w:rsidRDefault="00A051A4" w:rsidP="0002647E">
            <w:pPr>
              <w:spacing w:line="360" w:lineRule="auto"/>
              <w:ind w:right="70"/>
              <w:jc w:val="both"/>
              <w:rPr>
                <w:rFonts w:ascii="Times New Roman" w:hAnsi="Times New Roman" w:cs="Times New Roman"/>
                <w:w w:val="96"/>
                <w:sz w:val="24"/>
                <w:szCs w:val="24"/>
              </w:rPr>
            </w:pPr>
            <w:r w:rsidRPr="00A66B8E">
              <w:rPr>
                <w:rFonts w:ascii="Times New Roman" w:hAnsi="Times New Roman" w:cs="Times New Roman"/>
                <w:sz w:val="24"/>
                <w:szCs w:val="24"/>
              </w:rPr>
              <w:t>2.42</w:t>
            </w:r>
          </w:p>
        </w:tc>
        <w:tc>
          <w:tcPr>
            <w:tcW w:w="900" w:type="dxa"/>
          </w:tcPr>
          <w:p w14:paraId="3E1F63D4"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73, 207, 222</w:t>
            </w:r>
          </w:p>
        </w:tc>
        <w:tc>
          <w:tcPr>
            <w:tcW w:w="3734" w:type="dxa"/>
          </w:tcPr>
          <w:p w14:paraId="66DE0365" w14:textId="77777777" w:rsidR="00A051A4" w:rsidRPr="00A66B8E" w:rsidRDefault="00A051A4" w:rsidP="0002647E">
            <w:pPr>
              <w:spacing w:line="360" w:lineRule="auto"/>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4803722D" wp14:editId="473FFE37">
                  <wp:extent cx="1438275" cy="904875"/>
                  <wp:effectExtent l="0" t="0" r="0" b="0"/>
                  <wp:docPr id="388768410" name="Picture 388768410" descr="C12H22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12H22Si2"/>
                          <pic:cNvPicPr>
                            <a:picLocks noChangeAspect="1" noChangeArrowheads="1"/>
                          </pic:cNvPicPr>
                        </pic:nvPicPr>
                        <pic:blipFill>
                          <a:blip r:embed="rId29">
                            <a:biLevel thresh="75000"/>
                            <a:extLst>
                              <a:ext uri="{28A0092B-C50C-407E-A947-70E740481C1C}">
                                <a14:useLocalDpi xmlns:a14="http://schemas.microsoft.com/office/drawing/2010/main" val="0"/>
                              </a:ext>
                            </a:extLst>
                          </a:blip>
                          <a:srcRect/>
                          <a:stretch>
                            <a:fillRect/>
                          </a:stretch>
                        </pic:blipFill>
                        <pic:spPr bwMode="auto">
                          <a:xfrm>
                            <a:off x="0" y="0"/>
                            <a:ext cx="1438275" cy="904875"/>
                          </a:xfrm>
                          <a:prstGeom prst="rect">
                            <a:avLst/>
                          </a:prstGeom>
                          <a:noFill/>
                          <a:ln>
                            <a:noFill/>
                          </a:ln>
                        </pic:spPr>
                      </pic:pic>
                    </a:graphicData>
                  </a:graphic>
                </wp:inline>
              </w:drawing>
            </w:r>
          </w:p>
        </w:tc>
      </w:tr>
      <w:tr w:rsidR="00A051A4" w:rsidRPr="00A66B8E" w14:paraId="1EB4C829" w14:textId="77777777" w:rsidTr="00A051A4">
        <w:trPr>
          <w:trHeight w:val="260"/>
        </w:trPr>
        <w:tc>
          <w:tcPr>
            <w:tcW w:w="900" w:type="dxa"/>
          </w:tcPr>
          <w:p w14:paraId="0A45C004"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12</w:t>
            </w:r>
          </w:p>
        </w:tc>
        <w:tc>
          <w:tcPr>
            <w:tcW w:w="900" w:type="dxa"/>
          </w:tcPr>
          <w:p w14:paraId="30E403A4"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22.00</w:t>
            </w:r>
          </w:p>
        </w:tc>
        <w:tc>
          <w:tcPr>
            <w:tcW w:w="2093" w:type="dxa"/>
          </w:tcPr>
          <w:p w14:paraId="366C682C"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sz w:val="24"/>
                <w:szCs w:val="24"/>
              </w:rPr>
              <w:t>10-Methyl-E-11-tridecen-1-ol propionate</w:t>
            </w:r>
          </w:p>
        </w:tc>
        <w:tc>
          <w:tcPr>
            <w:tcW w:w="1350" w:type="dxa"/>
          </w:tcPr>
          <w:p w14:paraId="77E51F4C" w14:textId="77777777" w:rsidR="00A051A4" w:rsidRPr="00A66B8E" w:rsidRDefault="00A051A4" w:rsidP="0002647E">
            <w:pPr>
              <w:spacing w:before="100" w:beforeAutospacing="1" w:after="100" w:afterAutospacing="1"/>
              <w:rPr>
                <w:rFonts w:ascii="Times New Roman" w:hAnsi="Times New Roman" w:cs="Times New Roman"/>
                <w:sz w:val="24"/>
                <w:szCs w:val="24"/>
              </w:rPr>
            </w:pPr>
            <w:hyperlink r:id="rId30" w:anchor="query=C17H32O2" w:tgtFrame="_parent" w:tooltip="Find all compounds that have this formula" w:history="1">
              <w:r w:rsidRPr="00A66B8E">
                <w:rPr>
                  <w:rStyle w:val="Hyperlink"/>
                  <w:rFonts w:ascii="Times New Roman" w:eastAsiaTheme="majorEastAsia" w:hAnsi="Times New Roman" w:cs="Times New Roman"/>
                  <w:color w:val="auto"/>
                  <w:sz w:val="24"/>
                  <w:szCs w:val="24"/>
                </w:rPr>
                <w:t>C</w:t>
              </w:r>
              <w:r w:rsidRPr="00A66B8E">
                <w:rPr>
                  <w:rStyle w:val="Hyperlink"/>
                  <w:rFonts w:ascii="Times New Roman" w:eastAsiaTheme="majorEastAsia" w:hAnsi="Times New Roman" w:cs="Times New Roman"/>
                  <w:color w:val="auto"/>
                  <w:sz w:val="24"/>
                  <w:szCs w:val="24"/>
                  <w:vertAlign w:val="subscript"/>
                </w:rPr>
                <w:t>17</w:t>
              </w:r>
              <w:r w:rsidRPr="00A66B8E">
                <w:rPr>
                  <w:rStyle w:val="Hyperlink"/>
                  <w:rFonts w:ascii="Times New Roman" w:eastAsiaTheme="majorEastAsia" w:hAnsi="Times New Roman" w:cs="Times New Roman"/>
                  <w:color w:val="auto"/>
                  <w:sz w:val="24"/>
                  <w:szCs w:val="24"/>
                </w:rPr>
                <w:t>H</w:t>
              </w:r>
              <w:r w:rsidRPr="00A66B8E">
                <w:rPr>
                  <w:rStyle w:val="Hyperlink"/>
                  <w:rFonts w:ascii="Times New Roman" w:eastAsiaTheme="majorEastAsia" w:hAnsi="Times New Roman" w:cs="Times New Roman"/>
                  <w:color w:val="auto"/>
                  <w:sz w:val="24"/>
                  <w:szCs w:val="24"/>
                  <w:vertAlign w:val="subscript"/>
                </w:rPr>
                <w:t>32</w:t>
              </w:r>
              <w:r w:rsidRPr="00A66B8E">
                <w:rPr>
                  <w:rStyle w:val="Hyperlink"/>
                  <w:rFonts w:ascii="Times New Roman" w:eastAsiaTheme="majorEastAsia" w:hAnsi="Times New Roman" w:cs="Times New Roman"/>
                  <w:color w:val="auto"/>
                  <w:sz w:val="24"/>
                  <w:szCs w:val="24"/>
                </w:rPr>
                <w:t>O</w:t>
              </w:r>
              <w:r w:rsidRPr="00A66B8E">
                <w:rPr>
                  <w:rStyle w:val="Hyperlink"/>
                  <w:rFonts w:ascii="Times New Roman" w:eastAsiaTheme="majorEastAsia" w:hAnsi="Times New Roman" w:cs="Times New Roman"/>
                  <w:color w:val="auto"/>
                  <w:sz w:val="24"/>
                  <w:szCs w:val="24"/>
                  <w:vertAlign w:val="subscript"/>
                </w:rPr>
                <w:t>2</w:t>
              </w:r>
            </w:hyperlink>
          </w:p>
          <w:p w14:paraId="2BEE931B" w14:textId="77777777" w:rsidR="00A051A4" w:rsidRPr="00A66B8E" w:rsidRDefault="00A051A4" w:rsidP="0002647E">
            <w:pPr>
              <w:rPr>
                <w:rFonts w:ascii="Times New Roman" w:hAnsi="Times New Roman" w:cs="Times New Roman"/>
                <w:bCs/>
                <w:color w:val="000000"/>
                <w:sz w:val="24"/>
                <w:szCs w:val="24"/>
                <w:shd w:val="clear" w:color="auto" w:fill="FFFFFF"/>
              </w:rPr>
            </w:pPr>
          </w:p>
        </w:tc>
        <w:tc>
          <w:tcPr>
            <w:tcW w:w="810" w:type="dxa"/>
          </w:tcPr>
          <w:p w14:paraId="7A8E4D3E" w14:textId="77777777" w:rsidR="00A051A4" w:rsidRPr="00A66B8E" w:rsidRDefault="00A051A4" w:rsidP="0002647E">
            <w:pPr>
              <w:spacing w:line="360" w:lineRule="auto"/>
              <w:jc w:val="both"/>
              <w:rPr>
                <w:rFonts w:ascii="Times New Roman" w:hAnsi="Times New Roman" w:cs="Times New Roman"/>
                <w:bCs/>
                <w:w w:val="99"/>
                <w:sz w:val="24"/>
                <w:szCs w:val="24"/>
              </w:rPr>
            </w:pPr>
            <w:r w:rsidRPr="00A66B8E">
              <w:rPr>
                <w:rFonts w:ascii="Times New Roman" w:hAnsi="Times New Roman" w:cs="Times New Roman"/>
                <w:w w:val="99"/>
                <w:sz w:val="24"/>
                <w:szCs w:val="24"/>
              </w:rPr>
              <w:t>268</w:t>
            </w:r>
          </w:p>
        </w:tc>
        <w:tc>
          <w:tcPr>
            <w:tcW w:w="990" w:type="dxa"/>
          </w:tcPr>
          <w:p w14:paraId="40364CF1"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2.23</w:t>
            </w:r>
          </w:p>
        </w:tc>
        <w:tc>
          <w:tcPr>
            <w:tcW w:w="1080" w:type="dxa"/>
          </w:tcPr>
          <w:p w14:paraId="7E32987B"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sz w:val="24"/>
                <w:szCs w:val="24"/>
              </w:rPr>
              <w:t>1.75</w:t>
            </w:r>
          </w:p>
        </w:tc>
        <w:tc>
          <w:tcPr>
            <w:tcW w:w="900" w:type="dxa"/>
          </w:tcPr>
          <w:p w14:paraId="7610AC34"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sz w:val="24"/>
                <w:szCs w:val="24"/>
              </w:rPr>
              <w:t>41, 57, 268</w:t>
            </w:r>
          </w:p>
        </w:tc>
        <w:tc>
          <w:tcPr>
            <w:tcW w:w="3734" w:type="dxa"/>
          </w:tcPr>
          <w:p w14:paraId="5C074A28" w14:textId="77777777" w:rsidR="00A051A4" w:rsidRPr="00A66B8E" w:rsidRDefault="00A051A4" w:rsidP="0002647E">
            <w:pPr>
              <w:rPr>
                <w:rFonts w:ascii="Times New Roman" w:hAnsi="Times New Roman" w:cs="Times New Roman"/>
                <w:bCs/>
                <w:noProof/>
                <w:sz w:val="24"/>
                <w:szCs w:val="24"/>
              </w:rPr>
            </w:pPr>
            <w:r w:rsidRPr="00A66B8E">
              <w:rPr>
                <w:rFonts w:ascii="Times New Roman" w:hAnsi="Times New Roman" w:cs="Times New Roman"/>
                <w:noProof/>
              </w:rPr>
              <w:drawing>
                <wp:inline distT="0" distB="0" distL="0" distR="0" wp14:anchorId="7D0863F6" wp14:editId="45EFC85B">
                  <wp:extent cx="1314450" cy="1066800"/>
                  <wp:effectExtent l="0" t="0" r="0" b="0"/>
                  <wp:docPr id="388768414" name="Picture 388768414" descr="10-Methyl-E-11-tridecen-1-ol propion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10-Methyl-E-11-tridecen-1-ol propionate.png"/>
                          <pic:cNvPicPr>
                            <a:picLocks noChangeAspect="1" noChangeArrowheads="1"/>
                          </pic:cNvPicPr>
                        </pic:nvPicPr>
                        <pic:blipFill>
                          <a:blip r:embed="rId31">
                            <a:biLevel thresh="75000"/>
                            <a:extLst>
                              <a:ext uri="{28A0092B-C50C-407E-A947-70E740481C1C}">
                                <a14:useLocalDpi xmlns:a14="http://schemas.microsoft.com/office/drawing/2010/main" val="0"/>
                              </a:ext>
                            </a:extLst>
                          </a:blip>
                          <a:srcRect/>
                          <a:stretch>
                            <a:fillRect/>
                          </a:stretch>
                        </pic:blipFill>
                        <pic:spPr bwMode="auto">
                          <a:xfrm>
                            <a:off x="0" y="0"/>
                            <a:ext cx="1314450" cy="1066800"/>
                          </a:xfrm>
                          <a:prstGeom prst="rect">
                            <a:avLst/>
                          </a:prstGeom>
                          <a:noFill/>
                          <a:ln>
                            <a:noFill/>
                          </a:ln>
                        </pic:spPr>
                      </pic:pic>
                    </a:graphicData>
                  </a:graphic>
                </wp:inline>
              </w:drawing>
            </w:r>
          </w:p>
        </w:tc>
      </w:tr>
      <w:tr w:rsidR="00A051A4" w:rsidRPr="00A66B8E" w14:paraId="01B96F84" w14:textId="77777777" w:rsidTr="00A051A4">
        <w:trPr>
          <w:trHeight w:val="260"/>
        </w:trPr>
        <w:tc>
          <w:tcPr>
            <w:tcW w:w="900" w:type="dxa"/>
          </w:tcPr>
          <w:p w14:paraId="186F8864"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lastRenderedPageBreak/>
              <w:t>13</w:t>
            </w:r>
          </w:p>
        </w:tc>
        <w:tc>
          <w:tcPr>
            <w:tcW w:w="900" w:type="dxa"/>
          </w:tcPr>
          <w:p w14:paraId="09D02059"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24.00</w:t>
            </w:r>
          </w:p>
        </w:tc>
        <w:tc>
          <w:tcPr>
            <w:tcW w:w="2093" w:type="dxa"/>
          </w:tcPr>
          <w:p w14:paraId="1075BCC5"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9,12-Octadecadienoic acid (</w:t>
            </w:r>
            <w:proofErr w:type="gramStart"/>
            <w:r w:rsidRPr="00A66B8E">
              <w:rPr>
                <w:rFonts w:ascii="Times New Roman" w:hAnsi="Times New Roman" w:cs="Times New Roman"/>
                <w:sz w:val="24"/>
                <w:szCs w:val="24"/>
              </w:rPr>
              <w:t>Z,Z</w:t>
            </w:r>
            <w:proofErr w:type="gramEnd"/>
            <w:r w:rsidRPr="00A66B8E">
              <w:rPr>
                <w:rFonts w:ascii="Times New Roman" w:hAnsi="Times New Roman" w:cs="Times New Roman"/>
                <w:sz w:val="24"/>
                <w:szCs w:val="24"/>
              </w:rPr>
              <w:t>)-</w:t>
            </w:r>
          </w:p>
        </w:tc>
        <w:tc>
          <w:tcPr>
            <w:tcW w:w="1350" w:type="dxa"/>
          </w:tcPr>
          <w:p w14:paraId="0FD77B28" w14:textId="77777777" w:rsidR="00A051A4" w:rsidRPr="00A66B8E" w:rsidRDefault="00A051A4" w:rsidP="0002647E">
            <w:pPr>
              <w:spacing w:line="360" w:lineRule="auto"/>
              <w:jc w:val="both"/>
              <w:rPr>
                <w:rFonts w:ascii="Times New Roman" w:hAnsi="Times New Roman" w:cs="Times New Roman"/>
                <w:w w:val="99"/>
                <w:sz w:val="24"/>
                <w:szCs w:val="24"/>
              </w:rPr>
            </w:pPr>
            <w:r w:rsidRPr="00A66B8E">
              <w:rPr>
                <w:rFonts w:ascii="Times New Roman" w:hAnsi="Times New Roman" w:cs="Times New Roman"/>
                <w:color w:val="000000"/>
                <w:sz w:val="24"/>
                <w:szCs w:val="24"/>
                <w:shd w:val="clear" w:color="auto" w:fill="FFFFFF"/>
              </w:rPr>
              <w:t>C</w:t>
            </w:r>
            <w:r w:rsidRPr="00A66B8E">
              <w:rPr>
                <w:rFonts w:ascii="Times New Roman" w:hAnsi="Times New Roman" w:cs="Times New Roman"/>
                <w:color w:val="000000"/>
                <w:sz w:val="24"/>
                <w:szCs w:val="24"/>
                <w:shd w:val="clear" w:color="auto" w:fill="FFFFFF"/>
                <w:vertAlign w:val="subscript"/>
              </w:rPr>
              <w:t>18</w:t>
            </w:r>
            <w:r w:rsidRPr="00A66B8E">
              <w:rPr>
                <w:rFonts w:ascii="Times New Roman" w:hAnsi="Times New Roman" w:cs="Times New Roman"/>
                <w:color w:val="000000"/>
                <w:sz w:val="24"/>
                <w:szCs w:val="24"/>
                <w:shd w:val="clear" w:color="auto" w:fill="FFFFFF"/>
              </w:rPr>
              <w:t>H</w:t>
            </w:r>
            <w:r w:rsidRPr="00A66B8E">
              <w:rPr>
                <w:rFonts w:ascii="Times New Roman" w:hAnsi="Times New Roman" w:cs="Times New Roman"/>
                <w:color w:val="000000"/>
                <w:sz w:val="24"/>
                <w:szCs w:val="24"/>
                <w:shd w:val="clear" w:color="auto" w:fill="FFFFFF"/>
                <w:vertAlign w:val="subscript"/>
              </w:rPr>
              <w:t>32</w:t>
            </w:r>
            <w:r w:rsidRPr="00A66B8E">
              <w:rPr>
                <w:rFonts w:ascii="Times New Roman" w:hAnsi="Times New Roman" w:cs="Times New Roman"/>
                <w:color w:val="000000"/>
                <w:sz w:val="24"/>
                <w:szCs w:val="24"/>
                <w:shd w:val="clear" w:color="auto" w:fill="FFFFFF"/>
              </w:rPr>
              <w:t>O</w:t>
            </w:r>
            <w:r w:rsidRPr="00A66B8E">
              <w:rPr>
                <w:rFonts w:ascii="Times New Roman" w:hAnsi="Times New Roman" w:cs="Times New Roman"/>
                <w:color w:val="000000"/>
                <w:sz w:val="24"/>
                <w:szCs w:val="24"/>
                <w:shd w:val="clear" w:color="auto" w:fill="FFFFFF"/>
                <w:vertAlign w:val="subscript"/>
              </w:rPr>
              <w:t>2</w:t>
            </w:r>
          </w:p>
        </w:tc>
        <w:tc>
          <w:tcPr>
            <w:tcW w:w="810" w:type="dxa"/>
          </w:tcPr>
          <w:p w14:paraId="589C59BD" w14:textId="77777777" w:rsidR="00A051A4" w:rsidRPr="00A66B8E" w:rsidRDefault="00A051A4" w:rsidP="0002647E">
            <w:pPr>
              <w:spacing w:line="360" w:lineRule="auto"/>
              <w:jc w:val="both"/>
              <w:rPr>
                <w:rFonts w:ascii="Times New Roman" w:hAnsi="Times New Roman" w:cs="Times New Roman"/>
                <w:w w:val="99"/>
                <w:sz w:val="24"/>
                <w:szCs w:val="24"/>
              </w:rPr>
            </w:pPr>
            <w:r w:rsidRPr="00A66B8E">
              <w:rPr>
                <w:rFonts w:ascii="Times New Roman" w:hAnsi="Times New Roman" w:cs="Times New Roman"/>
                <w:w w:val="99"/>
                <w:sz w:val="24"/>
                <w:szCs w:val="24"/>
              </w:rPr>
              <w:t>280</w:t>
            </w:r>
          </w:p>
        </w:tc>
        <w:tc>
          <w:tcPr>
            <w:tcW w:w="990" w:type="dxa"/>
          </w:tcPr>
          <w:p w14:paraId="012B87F2"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1.40</w:t>
            </w:r>
          </w:p>
        </w:tc>
        <w:tc>
          <w:tcPr>
            <w:tcW w:w="1080" w:type="dxa"/>
          </w:tcPr>
          <w:p w14:paraId="7E0B120C"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sz w:val="24"/>
                <w:szCs w:val="24"/>
              </w:rPr>
              <w:t>3.92</w:t>
            </w:r>
          </w:p>
        </w:tc>
        <w:tc>
          <w:tcPr>
            <w:tcW w:w="900" w:type="dxa"/>
          </w:tcPr>
          <w:p w14:paraId="09C04CFA" w14:textId="77777777" w:rsidR="00A051A4" w:rsidRPr="00A66B8E" w:rsidRDefault="00A051A4" w:rsidP="0002647E">
            <w:pPr>
              <w:tabs>
                <w:tab w:val="left" w:pos="780"/>
              </w:tabs>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41, 67, 280</w:t>
            </w:r>
          </w:p>
        </w:tc>
        <w:tc>
          <w:tcPr>
            <w:tcW w:w="3734" w:type="dxa"/>
          </w:tcPr>
          <w:p w14:paraId="41B96DE3" w14:textId="77777777" w:rsidR="00A051A4" w:rsidRPr="00A66B8E" w:rsidRDefault="00A051A4" w:rsidP="0002647E">
            <w:pPr>
              <w:spacing w:line="360" w:lineRule="auto"/>
              <w:ind w:right="70"/>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1AE62BCB" wp14:editId="0B2AD155">
                  <wp:extent cx="1005840" cy="417195"/>
                  <wp:effectExtent l="0" t="0" r="3810" b="1905"/>
                  <wp:docPr id="30" name="Picture 14" descr="C18H32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18H32O2"/>
                          <pic:cNvPicPr>
                            <a:picLocks noChangeAspect="1" noChangeArrowheads="1"/>
                          </pic:cNvPicPr>
                        </pic:nvPicPr>
                        <pic:blipFill>
                          <a:blip r:embed="rId32" cstate="print">
                            <a:biLevel thresh="75000"/>
                            <a:extLst>
                              <a:ext uri="{28A0092B-C50C-407E-A947-70E740481C1C}">
                                <a14:useLocalDpi xmlns:a14="http://schemas.microsoft.com/office/drawing/2010/main" val="0"/>
                              </a:ext>
                            </a:extLst>
                          </a:blip>
                          <a:srcRect/>
                          <a:stretch>
                            <a:fillRect/>
                          </a:stretch>
                        </pic:blipFill>
                        <pic:spPr bwMode="auto">
                          <a:xfrm>
                            <a:off x="0" y="0"/>
                            <a:ext cx="1005840" cy="417195"/>
                          </a:xfrm>
                          <a:prstGeom prst="rect">
                            <a:avLst/>
                          </a:prstGeom>
                          <a:noFill/>
                          <a:ln>
                            <a:noFill/>
                          </a:ln>
                        </pic:spPr>
                      </pic:pic>
                    </a:graphicData>
                  </a:graphic>
                </wp:inline>
              </w:drawing>
            </w:r>
          </w:p>
        </w:tc>
      </w:tr>
      <w:tr w:rsidR="00A051A4" w:rsidRPr="00A66B8E" w14:paraId="714F868F" w14:textId="77777777" w:rsidTr="00A051A4">
        <w:trPr>
          <w:trHeight w:val="260"/>
        </w:trPr>
        <w:tc>
          <w:tcPr>
            <w:tcW w:w="900" w:type="dxa"/>
          </w:tcPr>
          <w:p w14:paraId="41F7CA75"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14</w:t>
            </w:r>
          </w:p>
        </w:tc>
        <w:tc>
          <w:tcPr>
            <w:tcW w:w="900" w:type="dxa"/>
          </w:tcPr>
          <w:p w14:paraId="5A1ECA7D"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25.00</w:t>
            </w:r>
          </w:p>
        </w:tc>
        <w:tc>
          <w:tcPr>
            <w:tcW w:w="2093" w:type="dxa"/>
          </w:tcPr>
          <w:p w14:paraId="6A4B0209" w14:textId="77777777" w:rsidR="00A051A4" w:rsidRPr="00A66B8E" w:rsidRDefault="00A051A4" w:rsidP="0002647E">
            <w:pPr>
              <w:rPr>
                <w:rFonts w:ascii="Times New Roman" w:hAnsi="Times New Roman" w:cs="Times New Roman"/>
                <w:bCs/>
                <w:sz w:val="24"/>
                <w:szCs w:val="24"/>
              </w:rPr>
            </w:pPr>
            <w:proofErr w:type="spellStart"/>
            <w:r w:rsidRPr="00A66B8E">
              <w:rPr>
                <w:rFonts w:ascii="Times New Roman" w:hAnsi="Times New Roman" w:cs="Times New Roman"/>
                <w:bCs/>
                <w:sz w:val="24"/>
                <w:szCs w:val="24"/>
              </w:rPr>
              <w:t>Hexadecanoic</w:t>
            </w:r>
            <w:proofErr w:type="spellEnd"/>
            <w:r w:rsidRPr="00A66B8E">
              <w:rPr>
                <w:rFonts w:ascii="Times New Roman" w:hAnsi="Times New Roman" w:cs="Times New Roman"/>
                <w:bCs/>
                <w:sz w:val="24"/>
                <w:szCs w:val="24"/>
              </w:rPr>
              <w:t xml:space="preserve"> acid, methyl ester</w:t>
            </w:r>
          </w:p>
        </w:tc>
        <w:tc>
          <w:tcPr>
            <w:tcW w:w="1350" w:type="dxa"/>
          </w:tcPr>
          <w:p w14:paraId="5A9A114C" w14:textId="77777777" w:rsidR="00A051A4" w:rsidRPr="00A66B8E" w:rsidRDefault="00A051A4" w:rsidP="0002647E">
            <w:pPr>
              <w:rPr>
                <w:rFonts w:ascii="Times New Roman" w:hAnsi="Times New Roman" w:cs="Times New Roman"/>
                <w:bCs/>
                <w:color w:val="000000"/>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17</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34</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2</w:t>
            </w:r>
          </w:p>
        </w:tc>
        <w:tc>
          <w:tcPr>
            <w:tcW w:w="810" w:type="dxa"/>
          </w:tcPr>
          <w:p w14:paraId="63967E61" w14:textId="77777777" w:rsidR="00A051A4" w:rsidRPr="00A66B8E" w:rsidRDefault="00A051A4" w:rsidP="0002647E">
            <w:pPr>
              <w:spacing w:line="360" w:lineRule="auto"/>
              <w:jc w:val="both"/>
              <w:rPr>
                <w:rFonts w:ascii="Times New Roman" w:hAnsi="Times New Roman" w:cs="Times New Roman"/>
                <w:bCs/>
                <w:w w:val="99"/>
                <w:sz w:val="24"/>
                <w:szCs w:val="24"/>
              </w:rPr>
            </w:pPr>
            <w:r w:rsidRPr="00A66B8E">
              <w:rPr>
                <w:rFonts w:ascii="Times New Roman" w:hAnsi="Times New Roman" w:cs="Times New Roman"/>
                <w:bCs/>
                <w:w w:val="99"/>
                <w:sz w:val="24"/>
                <w:szCs w:val="24"/>
              </w:rPr>
              <w:t>270</w:t>
            </w:r>
          </w:p>
        </w:tc>
        <w:tc>
          <w:tcPr>
            <w:tcW w:w="990" w:type="dxa"/>
          </w:tcPr>
          <w:p w14:paraId="1F7B2D0D"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1.59</w:t>
            </w:r>
          </w:p>
        </w:tc>
        <w:tc>
          <w:tcPr>
            <w:tcW w:w="1080" w:type="dxa"/>
          </w:tcPr>
          <w:p w14:paraId="537C0F15" w14:textId="77777777" w:rsidR="00A051A4" w:rsidRPr="00A66B8E" w:rsidRDefault="00A051A4" w:rsidP="0002647E">
            <w:pPr>
              <w:spacing w:line="360" w:lineRule="auto"/>
              <w:ind w:right="10"/>
              <w:jc w:val="both"/>
              <w:rPr>
                <w:rFonts w:ascii="Times New Roman" w:hAnsi="Times New Roman" w:cs="Times New Roman"/>
                <w:w w:val="96"/>
                <w:sz w:val="24"/>
                <w:szCs w:val="24"/>
              </w:rPr>
            </w:pPr>
            <w:r w:rsidRPr="00A66B8E">
              <w:rPr>
                <w:rFonts w:ascii="Times New Roman" w:hAnsi="Times New Roman" w:cs="Times New Roman"/>
                <w:sz w:val="24"/>
                <w:szCs w:val="24"/>
              </w:rPr>
              <w:t>2.87</w:t>
            </w:r>
          </w:p>
        </w:tc>
        <w:tc>
          <w:tcPr>
            <w:tcW w:w="900" w:type="dxa"/>
          </w:tcPr>
          <w:p w14:paraId="595B7DC8"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bCs/>
                <w:sz w:val="24"/>
                <w:szCs w:val="24"/>
              </w:rPr>
              <w:t>43, 74, 270</w:t>
            </w:r>
          </w:p>
        </w:tc>
        <w:tc>
          <w:tcPr>
            <w:tcW w:w="3734" w:type="dxa"/>
          </w:tcPr>
          <w:p w14:paraId="4D347A95" w14:textId="77777777" w:rsidR="00A051A4" w:rsidRPr="00A66B8E" w:rsidRDefault="00A051A4" w:rsidP="0002647E">
            <w:pPr>
              <w:rPr>
                <w:rFonts w:ascii="Times New Roman" w:hAnsi="Times New Roman" w:cs="Times New Roman"/>
                <w:bCs/>
                <w:noProof/>
                <w:sz w:val="24"/>
                <w:szCs w:val="24"/>
              </w:rPr>
            </w:pPr>
            <w:r w:rsidRPr="00A66B8E">
              <w:rPr>
                <w:rFonts w:ascii="Times New Roman" w:hAnsi="Times New Roman" w:cs="Times New Roman"/>
                <w:noProof/>
              </w:rPr>
              <w:drawing>
                <wp:inline distT="0" distB="0" distL="0" distR="0" wp14:anchorId="04AD6168" wp14:editId="0A7E76C0">
                  <wp:extent cx="1447800" cy="781050"/>
                  <wp:effectExtent l="0" t="0" r="0" b="0"/>
                  <wp:docPr id="1636560872" name="Picture 1636560872" descr="C17H34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17H34O2"/>
                          <pic:cNvPicPr>
                            <a:picLocks noChangeAspect="1" noChangeArrowheads="1"/>
                          </pic:cNvPicPr>
                        </pic:nvPicPr>
                        <pic:blipFill>
                          <a:blip r:embed="rId33">
                            <a:biLevel thresh="75000"/>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r>
      <w:tr w:rsidR="00A051A4" w:rsidRPr="00A66B8E" w14:paraId="414DF550" w14:textId="77777777" w:rsidTr="00A051A4">
        <w:trPr>
          <w:trHeight w:val="260"/>
        </w:trPr>
        <w:tc>
          <w:tcPr>
            <w:tcW w:w="900" w:type="dxa"/>
          </w:tcPr>
          <w:p w14:paraId="12EA1363"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15</w:t>
            </w:r>
          </w:p>
        </w:tc>
        <w:tc>
          <w:tcPr>
            <w:tcW w:w="900" w:type="dxa"/>
          </w:tcPr>
          <w:p w14:paraId="38F6851F"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30.50</w:t>
            </w:r>
          </w:p>
        </w:tc>
        <w:tc>
          <w:tcPr>
            <w:tcW w:w="2093" w:type="dxa"/>
          </w:tcPr>
          <w:p w14:paraId="645DCD07"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Octadecane, 1-chloro-</w:t>
            </w:r>
          </w:p>
        </w:tc>
        <w:tc>
          <w:tcPr>
            <w:tcW w:w="1350" w:type="dxa"/>
          </w:tcPr>
          <w:p w14:paraId="7D8F6C6B" w14:textId="77777777" w:rsidR="00A051A4" w:rsidRPr="00A66B8E" w:rsidRDefault="00A051A4" w:rsidP="0002647E">
            <w:pPr>
              <w:spacing w:line="360" w:lineRule="auto"/>
              <w:jc w:val="both"/>
              <w:rPr>
                <w:rFonts w:ascii="Times New Roman" w:hAnsi="Times New Roman" w:cs="Times New Roman"/>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18</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37</w:t>
            </w:r>
            <w:r w:rsidRPr="00A66B8E">
              <w:rPr>
                <w:rFonts w:ascii="Times New Roman" w:hAnsi="Times New Roman" w:cs="Times New Roman"/>
                <w:sz w:val="24"/>
                <w:szCs w:val="24"/>
              </w:rPr>
              <w:t>Cl</w:t>
            </w:r>
          </w:p>
        </w:tc>
        <w:tc>
          <w:tcPr>
            <w:tcW w:w="810" w:type="dxa"/>
          </w:tcPr>
          <w:p w14:paraId="023F2DC6" w14:textId="77777777" w:rsidR="00A051A4" w:rsidRPr="00A66B8E" w:rsidRDefault="00A051A4" w:rsidP="0002647E">
            <w:pPr>
              <w:spacing w:line="360" w:lineRule="auto"/>
              <w:jc w:val="both"/>
              <w:rPr>
                <w:rFonts w:ascii="Times New Roman" w:hAnsi="Times New Roman" w:cs="Times New Roman"/>
                <w:w w:val="99"/>
                <w:sz w:val="24"/>
                <w:szCs w:val="24"/>
              </w:rPr>
            </w:pPr>
            <w:r w:rsidRPr="00A66B8E">
              <w:rPr>
                <w:rFonts w:ascii="Times New Roman" w:hAnsi="Times New Roman" w:cs="Times New Roman"/>
                <w:w w:val="99"/>
                <w:sz w:val="24"/>
                <w:szCs w:val="24"/>
              </w:rPr>
              <w:t>288</w:t>
            </w:r>
          </w:p>
        </w:tc>
        <w:tc>
          <w:tcPr>
            <w:tcW w:w="990" w:type="dxa"/>
          </w:tcPr>
          <w:p w14:paraId="4CCBC3CB"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4.46</w:t>
            </w:r>
          </w:p>
        </w:tc>
        <w:tc>
          <w:tcPr>
            <w:tcW w:w="1080" w:type="dxa"/>
          </w:tcPr>
          <w:p w14:paraId="40232BCC" w14:textId="77777777" w:rsidR="00A051A4" w:rsidRPr="00A66B8E" w:rsidRDefault="00A051A4" w:rsidP="0002647E">
            <w:pPr>
              <w:spacing w:line="360" w:lineRule="auto"/>
              <w:ind w:right="10"/>
              <w:jc w:val="both"/>
              <w:rPr>
                <w:rFonts w:ascii="Times New Roman" w:hAnsi="Times New Roman" w:cs="Times New Roman"/>
                <w:w w:val="96"/>
                <w:sz w:val="24"/>
                <w:szCs w:val="24"/>
              </w:rPr>
            </w:pPr>
            <w:r w:rsidRPr="00A66B8E">
              <w:rPr>
                <w:rFonts w:ascii="Times New Roman" w:hAnsi="Times New Roman" w:cs="Times New Roman"/>
                <w:sz w:val="24"/>
                <w:szCs w:val="24"/>
              </w:rPr>
              <w:t>3.21</w:t>
            </w:r>
          </w:p>
        </w:tc>
        <w:tc>
          <w:tcPr>
            <w:tcW w:w="900" w:type="dxa"/>
          </w:tcPr>
          <w:p w14:paraId="205414EB" w14:textId="77777777" w:rsidR="00A051A4" w:rsidRPr="00A66B8E" w:rsidRDefault="00A051A4" w:rsidP="0002647E">
            <w:pPr>
              <w:tabs>
                <w:tab w:val="left" w:pos="780"/>
              </w:tabs>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43, 57, 288</w:t>
            </w:r>
          </w:p>
        </w:tc>
        <w:tc>
          <w:tcPr>
            <w:tcW w:w="3734" w:type="dxa"/>
          </w:tcPr>
          <w:p w14:paraId="78C8901F" w14:textId="77777777" w:rsidR="00A051A4" w:rsidRPr="00A66B8E" w:rsidRDefault="00A051A4" w:rsidP="0002647E">
            <w:pPr>
              <w:spacing w:line="360" w:lineRule="auto"/>
              <w:ind w:right="70"/>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309E5E6C" wp14:editId="46991154">
                  <wp:extent cx="1343025" cy="676275"/>
                  <wp:effectExtent l="0" t="0" r="9525" b="0"/>
                  <wp:docPr id="1636560873" name="Picture 1636560873" descr="C18H37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18H37Cl"/>
                          <pic:cNvPicPr>
                            <a:picLocks noChangeAspect="1" noChangeArrowheads="1"/>
                          </pic:cNvPicPr>
                        </pic:nvPicPr>
                        <pic:blipFill>
                          <a:blip r:embed="rId34">
                            <a:biLevel thresh="75000"/>
                            <a:extLst>
                              <a:ext uri="{28A0092B-C50C-407E-A947-70E740481C1C}">
                                <a14:useLocalDpi xmlns:a14="http://schemas.microsoft.com/office/drawing/2010/main" val="0"/>
                              </a:ext>
                            </a:extLst>
                          </a:blip>
                          <a:srcRect/>
                          <a:stretch>
                            <a:fillRect/>
                          </a:stretch>
                        </pic:blipFill>
                        <pic:spPr bwMode="auto">
                          <a:xfrm>
                            <a:off x="0" y="0"/>
                            <a:ext cx="1343025" cy="676275"/>
                          </a:xfrm>
                          <a:prstGeom prst="rect">
                            <a:avLst/>
                          </a:prstGeom>
                          <a:noFill/>
                          <a:ln>
                            <a:noFill/>
                          </a:ln>
                        </pic:spPr>
                      </pic:pic>
                    </a:graphicData>
                  </a:graphic>
                </wp:inline>
              </w:drawing>
            </w:r>
          </w:p>
        </w:tc>
      </w:tr>
      <w:tr w:rsidR="00A051A4" w:rsidRPr="00A66B8E" w14:paraId="3A62BCB4" w14:textId="77777777" w:rsidTr="00A051A4">
        <w:trPr>
          <w:trHeight w:val="260"/>
        </w:trPr>
        <w:tc>
          <w:tcPr>
            <w:tcW w:w="900" w:type="dxa"/>
          </w:tcPr>
          <w:p w14:paraId="66C8E83C"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16</w:t>
            </w:r>
          </w:p>
        </w:tc>
        <w:tc>
          <w:tcPr>
            <w:tcW w:w="900" w:type="dxa"/>
          </w:tcPr>
          <w:p w14:paraId="44822E66"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32.53</w:t>
            </w:r>
          </w:p>
        </w:tc>
        <w:tc>
          <w:tcPr>
            <w:tcW w:w="2093" w:type="dxa"/>
          </w:tcPr>
          <w:p w14:paraId="513AC869"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Octadecanoic acid</w:t>
            </w:r>
          </w:p>
        </w:tc>
        <w:tc>
          <w:tcPr>
            <w:tcW w:w="1350" w:type="dxa"/>
          </w:tcPr>
          <w:p w14:paraId="57273750" w14:textId="77777777" w:rsidR="00A051A4" w:rsidRPr="00A66B8E" w:rsidRDefault="00A051A4" w:rsidP="0002647E">
            <w:pPr>
              <w:spacing w:line="360" w:lineRule="auto"/>
              <w:jc w:val="both"/>
              <w:rPr>
                <w:rFonts w:ascii="Times New Roman" w:hAnsi="Times New Roman" w:cs="Times New Roman"/>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18</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36</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2</w:t>
            </w:r>
          </w:p>
        </w:tc>
        <w:tc>
          <w:tcPr>
            <w:tcW w:w="810" w:type="dxa"/>
          </w:tcPr>
          <w:p w14:paraId="1681E9BB" w14:textId="77777777" w:rsidR="00A051A4" w:rsidRPr="00A66B8E" w:rsidRDefault="00A051A4" w:rsidP="0002647E">
            <w:pPr>
              <w:spacing w:line="360" w:lineRule="auto"/>
              <w:jc w:val="both"/>
              <w:rPr>
                <w:rFonts w:ascii="Times New Roman" w:hAnsi="Times New Roman" w:cs="Times New Roman"/>
                <w:w w:val="99"/>
                <w:sz w:val="24"/>
                <w:szCs w:val="24"/>
              </w:rPr>
            </w:pPr>
            <w:r w:rsidRPr="00A66B8E">
              <w:rPr>
                <w:rFonts w:ascii="Times New Roman" w:hAnsi="Times New Roman" w:cs="Times New Roman"/>
                <w:w w:val="99"/>
                <w:sz w:val="24"/>
                <w:szCs w:val="24"/>
              </w:rPr>
              <w:t>284</w:t>
            </w:r>
          </w:p>
        </w:tc>
        <w:tc>
          <w:tcPr>
            <w:tcW w:w="990" w:type="dxa"/>
          </w:tcPr>
          <w:p w14:paraId="10F07378"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10.19</w:t>
            </w:r>
          </w:p>
        </w:tc>
        <w:tc>
          <w:tcPr>
            <w:tcW w:w="1080" w:type="dxa"/>
          </w:tcPr>
          <w:p w14:paraId="738A6F79"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sz w:val="24"/>
                <w:szCs w:val="24"/>
              </w:rPr>
              <w:t>11.00</w:t>
            </w:r>
          </w:p>
        </w:tc>
        <w:tc>
          <w:tcPr>
            <w:tcW w:w="900" w:type="dxa"/>
          </w:tcPr>
          <w:p w14:paraId="20E36D98" w14:textId="77777777" w:rsidR="00A051A4" w:rsidRPr="00A66B8E" w:rsidRDefault="00A051A4" w:rsidP="0002647E">
            <w:pPr>
              <w:tabs>
                <w:tab w:val="left" w:pos="780"/>
              </w:tabs>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43, 73, 284</w:t>
            </w:r>
          </w:p>
        </w:tc>
        <w:tc>
          <w:tcPr>
            <w:tcW w:w="3734" w:type="dxa"/>
          </w:tcPr>
          <w:p w14:paraId="4ABFC7D9" w14:textId="77777777" w:rsidR="00A051A4" w:rsidRPr="00A66B8E" w:rsidRDefault="00A051A4" w:rsidP="0002647E">
            <w:pPr>
              <w:spacing w:line="360" w:lineRule="auto"/>
              <w:ind w:right="70"/>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793A90EA" wp14:editId="56D65333">
                  <wp:extent cx="1381125" cy="904875"/>
                  <wp:effectExtent l="0" t="0" r="0" b="0"/>
                  <wp:docPr id="32" name="Picture 32" descr="C18H36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18H36O2"/>
                          <pic:cNvPicPr>
                            <a:picLocks noChangeAspect="1" noChangeArrowheads="1"/>
                          </pic:cNvPicPr>
                        </pic:nvPicPr>
                        <pic:blipFill>
                          <a:blip r:embed="rId35">
                            <a:biLevel thresh="75000"/>
                            <a:extLst>
                              <a:ext uri="{28A0092B-C50C-407E-A947-70E740481C1C}">
                                <a14:useLocalDpi xmlns:a14="http://schemas.microsoft.com/office/drawing/2010/main" val="0"/>
                              </a:ext>
                            </a:extLst>
                          </a:blip>
                          <a:srcRect/>
                          <a:stretch>
                            <a:fillRect/>
                          </a:stretch>
                        </pic:blipFill>
                        <pic:spPr bwMode="auto">
                          <a:xfrm>
                            <a:off x="0" y="0"/>
                            <a:ext cx="1381125" cy="904875"/>
                          </a:xfrm>
                          <a:prstGeom prst="rect">
                            <a:avLst/>
                          </a:prstGeom>
                          <a:noFill/>
                          <a:ln>
                            <a:noFill/>
                          </a:ln>
                        </pic:spPr>
                      </pic:pic>
                    </a:graphicData>
                  </a:graphic>
                </wp:inline>
              </w:drawing>
            </w:r>
          </w:p>
        </w:tc>
      </w:tr>
      <w:tr w:rsidR="00A051A4" w:rsidRPr="00A66B8E" w14:paraId="32124560" w14:textId="77777777" w:rsidTr="00A051A4">
        <w:trPr>
          <w:trHeight w:val="260"/>
        </w:trPr>
        <w:tc>
          <w:tcPr>
            <w:tcW w:w="900" w:type="dxa"/>
          </w:tcPr>
          <w:p w14:paraId="78EE1C4E"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17</w:t>
            </w:r>
          </w:p>
        </w:tc>
        <w:tc>
          <w:tcPr>
            <w:tcW w:w="900" w:type="dxa"/>
          </w:tcPr>
          <w:p w14:paraId="61C0D126"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33.98</w:t>
            </w:r>
          </w:p>
        </w:tc>
        <w:tc>
          <w:tcPr>
            <w:tcW w:w="2093" w:type="dxa"/>
          </w:tcPr>
          <w:p w14:paraId="3D247F8A"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Oleic acid</w:t>
            </w:r>
          </w:p>
        </w:tc>
        <w:tc>
          <w:tcPr>
            <w:tcW w:w="1350" w:type="dxa"/>
          </w:tcPr>
          <w:p w14:paraId="3C3D97B7" w14:textId="77777777" w:rsidR="00A051A4" w:rsidRPr="00A66B8E" w:rsidRDefault="00A051A4" w:rsidP="0002647E">
            <w:pPr>
              <w:spacing w:line="360" w:lineRule="auto"/>
              <w:jc w:val="both"/>
              <w:rPr>
                <w:rFonts w:ascii="Times New Roman" w:hAnsi="Times New Roman" w:cs="Times New Roman"/>
                <w:sz w:val="24"/>
                <w:szCs w:val="24"/>
                <w:shd w:val="clear" w:color="auto" w:fill="FFFFFF"/>
              </w:rPr>
            </w:pPr>
            <w:r w:rsidRPr="00A66B8E">
              <w:rPr>
                <w:rFonts w:ascii="Times New Roman" w:hAnsi="Times New Roman" w:cs="Times New Roman"/>
                <w:color w:val="000000"/>
                <w:sz w:val="24"/>
                <w:szCs w:val="24"/>
                <w:shd w:val="clear" w:color="auto" w:fill="FFFFFF"/>
              </w:rPr>
              <w:t>C</w:t>
            </w:r>
            <w:r w:rsidRPr="00A66B8E">
              <w:rPr>
                <w:rFonts w:ascii="Times New Roman" w:hAnsi="Times New Roman" w:cs="Times New Roman"/>
                <w:color w:val="000000"/>
                <w:sz w:val="24"/>
                <w:szCs w:val="24"/>
                <w:shd w:val="clear" w:color="auto" w:fill="FFFFFF"/>
                <w:vertAlign w:val="subscript"/>
              </w:rPr>
              <w:t>18</w:t>
            </w:r>
            <w:r w:rsidRPr="00A66B8E">
              <w:rPr>
                <w:rFonts w:ascii="Times New Roman" w:hAnsi="Times New Roman" w:cs="Times New Roman"/>
                <w:color w:val="000000"/>
                <w:sz w:val="24"/>
                <w:szCs w:val="24"/>
                <w:shd w:val="clear" w:color="auto" w:fill="FFFFFF"/>
              </w:rPr>
              <w:t>H</w:t>
            </w:r>
            <w:r w:rsidRPr="00A66B8E">
              <w:rPr>
                <w:rFonts w:ascii="Times New Roman" w:hAnsi="Times New Roman" w:cs="Times New Roman"/>
                <w:color w:val="000000"/>
                <w:sz w:val="24"/>
                <w:szCs w:val="24"/>
                <w:shd w:val="clear" w:color="auto" w:fill="FFFFFF"/>
                <w:vertAlign w:val="subscript"/>
              </w:rPr>
              <w:t>34</w:t>
            </w:r>
            <w:r w:rsidRPr="00A66B8E">
              <w:rPr>
                <w:rFonts w:ascii="Times New Roman" w:hAnsi="Times New Roman" w:cs="Times New Roman"/>
                <w:color w:val="000000"/>
                <w:sz w:val="24"/>
                <w:szCs w:val="24"/>
                <w:shd w:val="clear" w:color="auto" w:fill="FFFFFF"/>
              </w:rPr>
              <w:t>O</w:t>
            </w:r>
            <w:r w:rsidRPr="00A66B8E">
              <w:rPr>
                <w:rFonts w:ascii="Times New Roman" w:hAnsi="Times New Roman" w:cs="Times New Roman"/>
                <w:color w:val="000000"/>
                <w:sz w:val="24"/>
                <w:szCs w:val="24"/>
                <w:shd w:val="clear" w:color="auto" w:fill="FFFFFF"/>
                <w:vertAlign w:val="subscript"/>
              </w:rPr>
              <w:t>2</w:t>
            </w:r>
          </w:p>
        </w:tc>
        <w:tc>
          <w:tcPr>
            <w:tcW w:w="810" w:type="dxa"/>
          </w:tcPr>
          <w:p w14:paraId="21F2255E" w14:textId="77777777" w:rsidR="00A051A4" w:rsidRPr="00A66B8E" w:rsidRDefault="00A051A4" w:rsidP="0002647E">
            <w:pPr>
              <w:spacing w:line="360" w:lineRule="auto"/>
              <w:jc w:val="both"/>
              <w:rPr>
                <w:rFonts w:ascii="Times New Roman" w:hAnsi="Times New Roman" w:cs="Times New Roman"/>
                <w:w w:val="96"/>
                <w:sz w:val="24"/>
                <w:szCs w:val="24"/>
              </w:rPr>
            </w:pPr>
            <w:r w:rsidRPr="00A66B8E">
              <w:rPr>
                <w:rFonts w:ascii="Times New Roman" w:hAnsi="Times New Roman" w:cs="Times New Roman"/>
                <w:w w:val="96"/>
                <w:sz w:val="24"/>
                <w:szCs w:val="24"/>
              </w:rPr>
              <w:t>282</w:t>
            </w:r>
          </w:p>
        </w:tc>
        <w:tc>
          <w:tcPr>
            <w:tcW w:w="990" w:type="dxa"/>
          </w:tcPr>
          <w:p w14:paraId="6190517A"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12.74</w:t>
            </w:r>
          </w:p>
        </w:tc>
        <w:tc>
          <w:tcPr>
            <w:tcW w:w="1080" w:type="dxa"/>
          </w:tcPr>
          <w:p w14:paraId="78929659"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9.56</w:t>
            </w:r>
          </w:p>
        </w:tc>
        <w:tc>
          <w:tcPr>
            <w:tcW w:w="900" w:type="dxa"/>
          </w:tcPr>
          <w:p w14:paraId="2A9EDD27"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41, 55, 282</w:t>
            </w:r>
          </w:p>
        </w:tc>
        <w:tc>
          <w:tcPr>
            <w:tcW w:w="3734" w:type="dxa"/>
          </w:tcPr>
          <w:p w14:paraId="5850E29B" w14:textId="77777777" w:rsidR="00A051A4" w:rsidRPr="00A66B8E" w:rsidRDefault="00A051A4" w:rsidP="0002647E">
            <w:pPr>
              <w:spacing w:line="360" w:lineRule="auto"/>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77429E78" wp14:editId="51C664B8">
                  <wp:extent cx="1005840" cy="704850"/>
                  <wp:effectExtent l="0" t="0" r="3810" b="0"/>
                  <wp:docPr id="36" name="Picture 3" descr="C18H34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18H34O2"/>
                          <pic:cNvPicPr>
                            <a:picLocks noChangeAspect="1" noChangeArrowheads="1"/>
                          </pic:cNvPicPr>
                        </pic:nvPicPr>
                        <pic:blipFill>
                          <a:blip r:embed="rId36">
                            <a:biLevel thresh="75000"/>
                            <a:extLst>
                              <a:ext uri="{28A0092B-C50C-407E-A947-70E740481C1C}">
                                <a14:useLocalDpi xmlns:a14="http://schemas.microsoft.com/office/drawing/2010/main" val="0"/>
                              </a:ext>
                            </a:extLst>
                          </a:blip>
                          <a:srcRect/>
                          <a:stretch>
                            <a:fillRect/>
                          </a:stretch>
                        </pic:blipFill>
                        <pic:spPr bwMode="auto">
                          <a:xfrm>
                            <a:off x="0" y="0"/>
                            <a:ext cx="1005840" cy="704850"/>
                          </a:xfrm>
                          <a:prstGeom prst="rect">
                            <a:avLst/>
                          </a:prstGeom>
                          <a:noFill/>
                          <a:ln>
                            <a:noFill/>
                          </a:ln>
                        </pic:spPr>
                      </pic:pic>
                    </a:graphicData>
                  </a:graphic>
                </wp:inline>
              </w:drawing>
            </w:r>
          </w:p>
        </w:tc>
      </w:tr>
      <w:tr w:rsidR="00A051A4" w:rsidRPr="00A66B8E" w14:paraId="252C4897" w14:textId="77777777" w:rsidTr="00A051A4">
        <w:trPr>
          <w:trHeight w:val="260"/>
        </w:trPr>
        <w:tc>
          <w:tcPr>
            <w:tcW w:w="900" w:type="dxa"/>
          </w:tcPr>
          <w:p w14:paraId="01FC5164"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18</w:t>
            </w:r>
          </w:p>
        </w:tc>
        <w:tc>
          <w:tcPr>
            <w:tcW w:w="900" w:type="dxa"/>
          </w:tcPr>
          <w:p w14:paraId="47CB10D1"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34.50</w:t>
            </w:r>
          </w:p>
        </w:tc>
        <w:tc>
          <w:tcPr>
            <w:tcW w:w="2093" w:type="dxa"/>
          </w:tcPr>
          <w:p w14:paraId="5450F134"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Phytol</w:t>
            </w:r>
          </w:p>
        </w:tc>
        <w:tc>
          <w:tcPr>
            <w:tcW w:w="1350" w:type="dxa"/>
          </w:tcPr>
          <w:p w14:paraId="4042291D"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20</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40</w:t>
            </w:r>
            <w:r w:rsidRPr="00A66B8E">
              <w:rPr>
                <w:rFonts w:ascii="Times New Roman" w:hAnsi="Times New Roman" w:cs="Times New Roman"/>
                <w:sz w:val="24"/>
                <w:szCs w:val="24"/>
              </w:rPr>
              <w:t>O</w:t>
            </w:r>
          </w:p>
        </w:tc>
        <w:tc>
          <w:tcPr>
            <w:tcW w:w="810" w:type="dxa"/>
          </w:tcPr>
          <w:p w14:paraId="4530137A" w14:textId="77777777" w:rsidR="00A051A4" w:rsidRPr="00A66B8E" w:rsidRDefault="00A051A4" w:rsidP="0002647E">
            <w:pPr>
              <w:spacing w:line="360" w:lineRule="auto"/>
              <w:jc w:val="both"/>
              <w:rPr>
                <w:rFonts w:ascii="Times New Roman" w:hAnsi="Times New Roman" w:cs="Times New Roman"/>
                <w:w w:val="96"/>
                <w:sz w:val="24"/>
                <w:szCs w:val="24"/>
              </w:rPr>
            </w:pPr>
            <w:r w:rsidRPr="00A66B8E">
              <w:rPr>
                <w:rFonts w:ascii="Times New Roman" w:hAnsi="Times New Roman" w:cs="Times New Roman"/>
                <w:w w:val="96"/>
                <w:sz w:val="24"/>
                <w:szCs w:val="24"/>
              </w:rPr>
              <w:t>296</w:t>
            </w:r>
          </w:p>
        </w:tc>
        <w:tc>
          <w:tcPr>
            <w:tcW w:w="990" w:type="dxa"/>
          </w:tcPr>
          <w:p w14:paraId="60681645"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2.55</w:t>
            </w:r>
          </w:p>
        </w:tc>
        <w:tc>
          <w:tcPr>
            <w:tcW w:w="1080" w:type="dxa"/>
          </w:tcPr>
          <w:p w14:paraId="142B44F0"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3.21</w:t>
            </w:r>
          </w:p>
        </w:tc>
        <w:tc>
          <w:tcPr>
            <w:tcW w:w="900" w:type="dxa"/>
          </w:tcPr>
          <w:p w14:paraId="5B0065EE"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43, 71, 296</w:t>
            </w:r>
          </w:p>
        </w:tc>
        <w:tc>
          <w:tcPr>
            <w:tcW w:w="3734" w:type="dxa"/>
          </w:tcPr>
          <w:p w14:paraId="4A8681BF" w14:textId="77777777" w:rsidR="00A051A4" w:rsidRPr="00A66B8E" w:rsidRDefault="00A051A4" w:rsidP="0002647E">
            <w:pPr>
              <w:spacing w:line="360" w:lineRule="auto"/>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4312BBE3" wp14:editId="40BED386">
                  <wp:extent cx="1419225" cy="800100"/>
                  <wp:effectExtent l="0" t="0" r="9525" b="0"/>
                  <wp:docPr id="33" name="Picture 33" descr="C20H40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20H40O"/>
                          <pic:cNvPicPr>
                            <a:picLocks noChangeAspect="1" noChangeArrowheads="1"/>
                          </pic:cNvPicPr>
                        </pic:nvPicPr>
                        <pic:blipFill>
                          <a:blip r:embed="rId37">
                            <a:biLevel thresh="75000"/>
                            <a:extLst>
                              <a:ext uri="{28A0092B-C50C-407E-A947-70E740481C1C}">
                                <a14:useLocalDpi xmlns:a14="http://schemas.microsoft.com/office/drawing/2010/main" val="0"/>
                              </a:ext>
                            </a:extLst>
                          </a:blip>
                          <a:srcRect/>
                          <a:stretch>
                            <a:fillRect/>
                          </a:stretch>
                        </pic:blipFill>
                        <pic:spPr bwMode="auto">
                          <a:xfrm>
                            <a:off x="0" y="0"/>
                            <a:ext cx="1419225" cy="800100"/>
                          </a:xfrm>
                          <a:prstGeom prst="rect">
                            <a:avLst/>
                          </a:prstGeom>
                          <a:noFill/>
                          <a:ln>
                            <a:noFill/>
                          </a:ln>
                        </pic:spPr>
                      </pic:pic>
                    </a:graphicData>
                  </a:graphic>
                </wp:inline>
              </w:drawing>
            </w:r>
          </w:p>
        </w:tc>
      </w:tr>
      <w:tr w:rsidR="00A051A4" w:rsidRPr="00A66B8E" w14:paraId="6EB4A810" w14:textId="77777777" w:rsidTr="00A051A4">
        <w:trPr>
          <w:trHeight w:val="260"/>
        </w:trPr>
        <w:tc>
          <w:tcPr>
            <w:tcW w:w="900" w:type="dxa"/>
          </w:tcPr>
          <w:p w14:paraId="2EE99848"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lastRenderedPageBreak/>
              <w:t>19</w:t>
            </w:r>
          </w:p>
        </w:tc>
        <w:tc>
          <w:tcPr>
            <w:tcW w:w="900" w:type="dxa"/>
          </w:tcPr>
          <w:p w14:paraId="5283CA50"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35.00</w:t>
            </w:r>
          </w:p>
        </w:tc>
        <w:tc>
          <w:tcPr>
            <w:tcW w:w="2093" w:type="dxa"/>
          </w:tcPr>
          <w:p w14:paraId="24F535D5"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9-Octadecenoic acid (Z)-, 2,3-dihydroxypropyl ester</w:t>
            </w:r>
          </w:p>
        </w:tc>
        <w:tc>
          <w:tcPr>
            <w:tcW w:w="1350" w:type="dxa"/>
          </w:tcPr>
          <w:p w14:paraId="6E1EECE4" w14:textId="77777777" w:rsidR="00A051A4" w:rsidRPr="00A66B8E" w:rsidRDefault="00A051A4" w:rsidP="0002647E">
            <w:pPr>
              <w:spacing w:line="360" w:lineRule="auto"/>
              <w:jc w:val="both"/>
              <w:rPr>
                <w:rFonts w:ascii="Times New Roman" w:hAnsi="Times New Roman" w:cs="Times New Roman"/>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21</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40</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4</w:t>
            </w:r>
          </w:p>
        </w:tc>
        <w:tc>
          <w:tcPr>
            <w:tcW w:w="810" w:type="dxa"/>
          </w:tcPr>
          <w:p w14:paraId="3372CFBB" w14:textId="77777777" w:rsidR="00A051A4" w:rsidRPr="00A66B8E" w:rsidRDefault="00A051A4" w:rsidP="0002647E">
            <w:pPr>
              <w:spacing w:line="360" w:lineRule="auto"/>
              <w:jc w:val="both"/>
              <w:rPr>
                <w:rFonts w:ascii="Times New Roman" w:hAnsi="Times New Roman" w:cs="Times New Roman"/>
                <w:w w:val="96"/>
                <w:sz w:val="24"/>
                <w:szCs w:val="24"/>
              </w:rPr>
            </w:pPr>
            <w:r w:rsidRPr="00A66B8E">
              <w:rPr>
                <w:rFonts w:ascii="Times New Roman" w:hAnsi="Times New Roman" w:cs="Times New Roman"/>
                <w:w w:val="96"/>
                <w:sz w:val="24"/>
                <w:szCs w:val="24"/>
              </w:rPr>
              <w:t>356</w:t>
            </w:r>
          </w:p>
        </w:tc>
        <w:tc>
          <w:tcPr>
            <w:tcW w:w="990" w:type="dxa"/>
          </w:tcPr>
          <w:p w14:paraId="5697F7CC"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13.38</w:t>
            </w:r>
          </w:p>
        </w:tc>
        <w:tc>
          <w:tcPr>
            <w:tcW w:w="1080" w:type="dxa"/>
          </w:tcPr>
          <w:p w14:paraId="1F0A3629"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15.32</w:t>
            </w:r>
          </w:p>
        </w:tc>
        <w:tc>
          <w:tcPr>
            <w:tcW w:w="900" w:type="dxa"/>
          </w:tcPr>
          <w:p w14:paraId="65CC8FB2"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sz w:val="24"/>
                <w:szCs w:val="24"/>
              </w:rPr>
              <w:t>43, 55, 356</w:t>
            </w:r>
          </w:p>
        </w:tc>
        <w:tc>
          <w:tcPr>
            <w:tcW w:w="3734" w:type="dxa"/>
          </w:tcPr>
          <w:p w14:paraId="7B9A6F81" w14:textId="77777777" w:rsidR="00A051A4" w:rsidRPr="00A66B8E" w:rsidRDefault="00A051A4" w:rsidP="0002647E">
            <w:pPr>
              <w:spacing w:line="360" w:lineRule="auto"/>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73C59045" wp14:editId="7D3CAA0A">
                  <wp:extent cx="1476375" cy="1295400"/>
                  <wp:effectExtent l="0" t="0" r="9525" b="0"/>
                  <wp:docPr id="1636560875" name="Picture 1636560875" descr="C21H40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21H40O4"/>
                          <pic:cNvPicPr>
                            <a:picLocks noChangeAspect="1" noChangeArrowheads="1"/>
                          </pic:cNvPicPr>
                        </pic:nvPicPr>
                        <pic:blipFill>
                          <a:blip r:embed="rId38">
                            <a:biLevel thresh="75000"/>
                            <a:extLst>
                              <a:ext uri="{28A0092B-C50C-407E-A947-70E740481C1C}">
                                <a14:useLocalDpi xmlns:a14="http://schemas.microsoft.com/office/drawing/2010/main" val="0"/>
                              </a:ext>
                            </a:extLst>
                          </a:blip>
                          <a:srcRect/>
                          <a:stretch>
                            <a:fillRect/>
                          </a:stretch>
                        </pic:blipFill>
                        <pic:spPr bwMode="auto">
                          <a:xfrm>
                            <a:off x="0" y="0"/>
                            <a:ext cx="1476375" cy="1295400"/>
                          </a:xfrm>
                          <a:prstGeom prst="rect">
                            <a:avLst/>
                          </a:prstGeom>
                          <a:noFill/>
                          <a:ln>
                            <a:noFill/>
                          </a:ln>
                        </pic:spPr>
                      </pic:pic>
                    </a:graphicData>
                  </a:graphic>
                </wp:inline>
              </w:drawing>
            </w:r>
          </w:p>
        </w:tc>
      </w:tr>
      <w:tr w:rsidR="00A051A4" w:rsidRPr="00A66B8E" w14:paraId="110916C6" w14:textId="77777777" w:rsidTr="00A051A4">
        <w:trPr>
          <w:trHeight w:val="260"/>
        </w:trPr>
        <w:tc>
          <w:tcPr>
            <w:tcW w:w="900" w:type="dxa"/>
          </w:tcPr>
          <w:p w14:paraId="23A065ED"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20</w:t>
            </w:r>
          </w:p>
        </w:tc>
        <w:tc>
          <w:tcPr>
            <w:tcW w:w="900" w:type="dxa"/>
          </w:tcPr>
          <w:p w14:paraId="5B72EF2A"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35.97</w:t>
            </w:r>
          </w:p>
        </w:tc>
        <w:tc>
          <w:tcPr>
            <w:tcW w:w="2093" w:type="dxa"/>
          </w:tcPr>
          <w:p w14:paraId="634E15B1" w14:textId="77777777" w:rsidR="00A051A4" w:rsidRPr="00A66B8E" w:rsidRDefault="00A051A4" w:rsidP="0002647E">
            <w:pPr>
              <w:rPr>
                <w:rFonts w:ascii="Times New Roman" w:hAnsi="Times New Roman" w:cs="Times New Roman"/>
                <w:bCs/>
                <w:sz w:val="24"/>
                <w:szCs w:val="24"/>
              </w:rPr>
            </w:pPr>
            <w:proofErr w:type="spellStart"/>
            <w:r w:rsidRPr="00A66B8E">
              <w:rPr>
                <w:rFonts w:ascii="Times New Roman" w:hAnsi="Times New Roman" w:cs="Times New Roman"/>
                <w:sz w:val="24"/>
                <w:szCs w:val="24"/>
              </w:rPr>
              <w:t>Campesterol</w:t>
            </w:r>
            <w:proofErr w:type="spellEnd"/>
          </w:p>
        </w:tc>
        <w:tc>
          <w:tcPr>
            <w:tcW w:w="1350" w:type="dxa"/>
          </w:tcPr>
          <w:p w14:paraId="45A315AC" w14:textId="77777777" w:rsidR="00A051A4" w:rsidRPr="00A66B8E" w:rsidRDefault="00A051A4" w:rsidP="0002647E">
            <w:pPr>
              <w:rPr>
                <w:rFonts w:ascii="Times New Roman" w:hAnsi="Times New Roman" w:cs="Times New Roman"/>
                <w:bCs/>
                <w:color w:val="000000"/>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28</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48</w:t>
            </w:r>
            <w:r w:rsidRPr="00A66B8E">
              <w:rPr>
                <w:rFonts w:ascii="Times New Roman" w:hAnsi="Times New Roman" w:cs="Times New Roman"/>
                <w:sz w:val="24"/>
                <w:szCs w:val="24"/>
              </w:rPr>
              <w:t>O</w:t>
            </w:r>
          </w:p>
        </w:tc>
        <w:tc>
          <w:tcPr>
            <w:tcW w:w="810" w:type="dxa"/>
          </w:tcPr>
          <w:p w14:paraId="1C833051" w14:textId="77777777" w:rsidR="00A051A4" w:rsidRPr="00A66B8E" w:rsidRDefault="00A051A4" w:rsidP="0002647E">
            <w:pPr>
              <w:spacing w:line="360" w:lineRule="auto"/>
              <w:jc w:val="both"/>
              <w:rPr>
                <w:rFonts w:ascii="Times New Roman" w:hAnsi="Times New Roman" w:cs="Times New Roman"/>
                <w:bCs/>
                <w:w w:val="99"/>
                <w:sz w:val="24"/>
                <w:szCs w:val="24"/>
              </w:rPr>
            </w:pPr>
            <w:r w:rsidRPr="00A66B8E">
              <w:rPr>
                <w:rFonts w:ascii="Times New Roman" w:hAnsi="Times New Roman" w:cs="Times New Roman"/>
                <w:w w:val="96"/>
                <w:sz w:val="24"/>
                <w:szCs w:val="24"/>
              </w:rPr>
              <w:t>400</w:t>
            </w:r>
          </w:p>
        </w:tc>
        <w:tc>
          <w:tcPr>
            <w:tcW w:w="990" w:type="dxa"/>
          </w:tcPr>
          <w:p w14:paraId="6FE15C2E"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5.10</w:t>
            </w:r>
          </w:p>
        </w:tc>
        <w:tc>
          <w:tcPr>
            <w:tcW w:w="1080" w:type="dxa"/>
          </w:tcPr>
          <w:p w14:paraId="339A38DD"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6.41</w:t>
            </w:r>
          </w:p>
        </w:tc>
        <w:tc>
          <w:tcPr>
            <w:tcW w:w="900" w:type="dxa"/>
          </w:tcPr>
          <w:p w14:paraId="3E843C58" w14:textId="77777777" w:rsidR="00A051A4" w:rsidRPr="00A66B8E" w:rsidRDefault="00A051A4" w:rsidP="0002647E">
            <w:pPr>
              <w:rPr>
                <w:rFonts w:ascii="Times New Roman" w:hAnsi="Times New Roman" w:cs="Times New Roman"/>
                <w:bCs/>
                <w:sz w:val="24"/>
                <w:szCs w:val="24"/>
              </w:rPr>
            </w:pPr>
            <w:r w:rsidRPr="00A66B8E">
              <w:rPr>
                <w:rFonts w:ascii="Times New Roman" w:hAnsi="Times New Roman" w:cs="Times New Roman"/>
                <w:sz w:val="24"/>
                <w:szCs w:val="24"/>
              </w:rPr>
              <w:t>43, 55, 400</w:t>
            </w:r>
          </w:p>
        </w:tc>
        <w:tc>
          <w:tcPr>
            <w:tcW w:w="3734" w:type="dxa"/>
          </w:tcPr>
          <w:p w14:paraId="4A21E2DD" w14:textId="77777777" w:rsidR="00A051A4" w:rsidRPr="00A66B8E" w:rsidRDefault="00A051A4" w:rsidP="0002647E">
            <w:pPr>
              <w:rPr>
                <w:rFonts w:ascii="Times New Roman" w:hAnsi="Times New Roman" w:cs="Times New Roman"/>
                <w:bCs/>
                <w:noProof/>
                <w:sz w:val="24"/>
                <w:szCs w:val="24"/>
              </w:rPr>
            </w:pPr>
            <w:r w:rsidRPr="00A66B8E">
              <w:rPr>
                <w:rFonts w:ascii="Times New Roman" w:hAnsi="Times New Roman" w:cs="Times New Roman"/>
                <w:noProof/>
              </w:rPr>
              <w:drawing>
                <wp:inline distT="0" distB="0" distL="0" distR="0" wp14:anchorId="1B542EF5" wp14:editId="079A2115">
                  <wp:extent cx="1362075" cy="1238250"/>
                  <wp:effectExtent l="0" t="0" r="0" b="0"/>
                  <wp:docPr id="1636560874" name="Picture 1636560874" descr="C28H4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28H48O"/>
                          <pic:cNvPicPr>
                            <a:picLocks noChangeAspect="1" noChangeArrowheads="1"/>
                          </pic:cNvPicPr>
                        </pic:nvPicPr>
                        <pic:blipFill>
                          <a:blip r:embed="rId39">
                            <a:biLevel thresh="75000"/>
                            <a:extLst>
                              <a:ext uri="{28A0092B-C50C-407E-A947-70E740481C1C}">
                                <a14:useLocalDpi xmlns:a14="http://schemas.microsoft.com/office/drawing/2010/main" val="0"/>
                              </a:ext>
                            </a:extLst>
                          </a:blip>
                          <a:srcRect/>
                          <a:stretch>
                            <a:fillRect/>
                          </a:stretch>
                        </pic:blipFill>
                        <pic:spPr bwMode="auto">
                          <a:xfrm>
                            <a:off x="0" y="0"/>
                            <a:ext cx="1362075" cy="1238250"/>
                          </a:xfrm>
                          <a:prstGeom prst="rect">
                            <a:avLst/>
                          </a:prstGeom>
                          <a:noFill/>
                          <a:ln>
                            <a:noFill/>
                          </a:ln>
                        </pic:spPr>
                      </pic:pic>
                    </a:graphicData>
                  </a:graphic>
                </wp:inline>
              </w:drawing>
            </w:r>
          </w:p>
        </w:tc>
      </w:tr>
      <w:tr w:rsidR="00A051A4" w:rsidRPr="00A66B8E" w14:paraId="674B1400" w14:textId="77777777" w:rsidTr="00A051A4">
        <w:trPr>
          <w:trHeight w:val="260"/>
        </w:trPr>
        <w:tc>
          <w:tcPr>
            <w:tcW w:w="900" w:type="dxa"/>
          </w:tcPr>
          <w:p w14:paraId="24BB5F48"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21</w:t>
            </w:r>
          </w:p>
        </w:tc>
        <w:tc>
          <w:tcPr>
            <w:tcW w:w="900" w:type="dxa"/>
          </w:tcPr>
          <w:p w14:paraId="43430D38"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37.00</w:t>
            </w:r>
          </w:p>
        </w:tc>
        <w:tc>
          <w:tcPr>
            <w:tcW w:w="2093" w:type="dxa"/>
          </w:tcPr>
          <w:p w14:paraId="7E5F02CB"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Stigmasterol</w:t>
            </w:r>
          </w:p>
        </w:tc>
        <w:tc>
          <w:tcPr>
            <w:tcW w:w="1350" w:type="dxa"/>
          </w:tcPr>
          <w:p w14:paraId="1DFB23B4" w14:textId="77777777" w:rsidR="00A051A4" w:rsidRPr="00A66B8E" w:rsidRDefault="00A051A4" w:rsidP="0002647E">
            <w:pPr>
              <w:spacing w:line="360" w:lineRule="auto"/>
              <w:jc w:val="both"/>
              <w:rPr>
                <w:rFonts w:ascii="Times New Roman" w:hAnsi="Times New Roman" w:cs="Times New Roman"/>
                <w:color w:val="000000"/>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29</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48</w:t>
            </w:r>
            <w:r w:rsidRPr="00A66B8E">
              <w:rPr>
                <w:rFonts w:ascii="Times New Roman" w:hAnsi="Times New Roman" w:cs="Times New Roman"/>
                <w:sz w:val="24"/>
                <w:szCs w:val="24"/>
              </w:rPr>
              <w:t>O</w:t>
            </w:r>
          </w:p>
        </w:tc>
        <w:tc>
          <w:tcPr>
            <w:tcW w:w="810" w:type="dxa"/>
          </w:tcPr>
          <w:p w14:paraId="469570E7" w14:textId="77777777" w:rsidR="00A051A4" w:rsidRPr="00A66B8E" w:rsidRDefault="00A051A4" w:rsidP="0002647E">
            <w:pPr>
              <w:spacing w:line="360" w:lineRule="auto"/>
              <w:jc w:val="both"/>
              <w:rPr>
                <w:rFonts w:ascii="Times New Roman" w:hAnsi="Times New Roman" w:cs="Times New Roman"/>
                <w:w w:val="96"/>
                <w:sz w:val="24"/>
                <w:szCs w:val="24"/>
              </w:rPr>
            </w:pPr>
            <w:r w:rsidRPr="00A66B8E">
              <w:rPr>
                <w:rFonts w:ascii="Times New Roman" w:hAnsi="Times New Roman" w:cs="Times New Roman"/>
                <w:w w:val="96"/>
                <w:sz w:val="24"/>
                <w:szCs w:val="24"/>
              </w:rPr>
              <w:t>412</w:t>
            </w:r>
          </w:p>
        </w:tc>
        <w:tc>
          <w:tcPr>
            <w:tcW w:w="990" w:type="dxa"/>
          </w:tcPr>
          <w:p w14:paraId="6E1936D1"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1.15</w:t>
            </w:r>
          </w:p>
        </w:tc>
        <w:tc>
          <w:tcPr>
            <w:tcW w:w="1080" w:type="dxa"/>
          </w:tcPr>
          <w:p w14:paraId="5858D527"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2.37</w:t>
            </w:r>
          </w:p>
        </w:tc>
        <w:tc>
          <w:tcPr>
            <w:tcW w:w="900" w:type="dxa"/>
          </w:tcPr>
          <w:p w14:paraId="62F6224A"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43, 55, 412</w:t>
            </w:r>
          </w:p>
        </w:tc>
        <w:tc>
          <w:tcPr>
            <w:tcW w:w="3734" w:type="dxa"/>
          </w:tcPr>
          <w:p w14:paraId="4DAC5524" w14:textId="77777777" w:rsidR="00A051A4" w:rsidRPr="00A66B8E" w:rsidRDefault="00A051A4" w:rsidP="0002647E">
            <w:pPr>
              <w:spacing w:line="360" w:lineRule="auto"/>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3EF3DF52" wp14:editId="2CCB2B93">
                  <wp:extent cx="1323975" cy="1038225"/>
                  <wp:effectExtent l="0" t="0" r="0" b="9525"/>
                  <wp:docPr id="41" name="Picture 41" descr="C29H4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29H48O"/>
                          <pic:cNvPicPr>
                            <a:picLocks noChangeAspect="1" noChangeArrowheads="1"/>
                          </pic:cNvPicPr>
                        </pic:nvPicPr>
                        <pic:blipFill>
                          <a:blip r:embed="rId40">
                            <a:biLevel thresh="75000"/>
                            <a:extLst>
                              <a:ext uri="{28A0092B-C50C-407E-A947-70E740481C1C}">
                                <a14:useLocalDpi xmlns:a14="http://schemas.microsoft.com/office/drawing/2010/main" val="0"/>
                              </a:ext>
                            </a:extLst>
                          </a:blip>
                          <a:srcRect/>
                          <a:stretch>
                            <a:fillRect/>
                          </a:stretch>
                        </pic:blipFill>
                        <pic:spPr bwMode="auto">
                          <a:xfrm>
                            <a:off x="0" y="0"/>
                            <a:ext cx="1323975" cy="1038225"/>
                          </a:xfrm>
                          <a:prstGeom prst="rect">
                            <a:avLst/>
                          </a:prstGeom>
                          <a:noFill/>
                          <a:ln>
                            <a:noFill/>
                          </a:ln>
                        </pic:spPr>
                      </pic:pic>
                    </a:graphicData>
                  </a:graphic>
                </wp:inline>
              </w:drawing>
            </w:r>
          </w:p>
        </w:tc>
      </w:tr>
      <w:tr w:rsidR="00A051A4" w:rsidRPr="00A66B8E" w14:paraId="747EEFDE" w14:textId="77777777" w:rsidTr="00A051A4">
        <w:trPr>
          <w:trHeight w:val="260"/>
        </w:trPr>
        <w:tc>
          <w:tcPr>
            <w:tcW w:w="900" w:type="dxa"/>
          </w:tcPr>
          <w:p w14:paraId="464B409B"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22</w:t>
            </w:r>
          </w:p>
        </w:tc>
        <w:tc>
          <w:tcPr>
            <w:tcW w:w="900" w:type="dxa"/>
          </w:tcPr>
          <w:p w14:paraId="4FFA56C5"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38.75</w:t>
            </w:r>
          </w:p>
        </w:tc>
        <w:tc>
          <w:tcPr>
            <w:tcW w:w="2093" w:type="dxa"/>
          </w:tcPr>
          <w:p w14:paraId="51DFA2F3"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γ-Tocopherol</w:t>
            </w:r>
          </w:p>
        </w:tc>
        <w:tc>
          <w:tcPr>
            <w:tcW w:w="1350" w:type="dxa"/>
          </w:tcPr>
          <w:p w14:paraId="0B7B26E3" w14:textId="77777777" w:rsidR="00A051A4" w:rsidRPr="00A66B8E" w:rsidRDefault="00A051A4" w:rsidP="0002647E">
            <w:pPr>
              <w:spacing w:line="360" w:lineRule="auto"/>
              <w:jc w:val="both"/>
              <w:rPr>
                <w:rFonts w:ascii="Times New Roman" w:hAnsi="Times New Roman" w:cs="Times New Roman"/>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28</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48</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2</w:t>
            </w:r>
          </w:p>
        </w:tc>
        <w:tc>
          <w:tcPr>
            <w:tcW w:w="810" w:type="dxa"/>
          </w:tcPr>
          <w:p w14:paraId="0E8F8771"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w w:val="99"/>
                <w:sz w:val="24"/>
                <w:szCs w:val="24"/>
              </w:rPr>
              <w:t>416</w:t>
            </w:r>
          </w:p>
        </w:tc>
        <w:tc>
          <w:tcPr>
            <w:tcW w:w="990" w:type="dxa"/>
          </w:tcPr>
          <w:p w14:paraId="334BBDA3"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14.65</w:t>
            </w:r>
          </w:p>
        </w:tc>
        <w:tc>
          <w:tcPr>
            <w:tcW w:w="1080" w:type="dxa"/>
          </w:tcPr>
          <w:p w14:paraId="7BB6E9E8"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5.73</w:t>
            </w:r>
          </w:p>
        </w:tc>
        <w:tc>
          <w:tcPr>
            <w:tcW w:w="900" w:type="dxa"/>
          </w:tcPr>
          <w:p w14:paraId="3338655D"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43, 151, 416</w:t>
            </w:r>
          </w:p>
        </w:tc>
        <w:tc>
          <w:tcPr>
            <w:tcW w:w="3734" w:type="dxa"/>
          </w:tcPr>
          <w:p w14:paraId="21632B40" w14:textId="77777777" w:rsidR="00A051A4" w:rsidRPr="00A66B8E" w:rsidRDefault="00A051A4" w:rsidP="0002647E">
            <w:pPr>
              <w:spacing w:line="360" w:lineRule="auto"/>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095377A1" wp14:editId="62210B11">
                  <wp:extent cx="1352550" cy="1181100"/>
                  <wp:effectExtent l="0" t="0" r="0" b="0"/>
                  <wp:docPr id="388768413" name="Picture 388768413" descr="C28H48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28H48O2"/>
                          <pic:cNvPicPr>
                            <a:picLocks noChangeAspect="1" noChangeArrowheads="1"/>
                          </pic:cNvPicPr>
                        </pic:nvPicPr>
                        <pic:blipFill>
                          <a:blip r:embed="rId41">
                            <a:biLevel thresh="75000"/>
                            <a:extLst>
                              <a:ext uri="{28A0092B-C50C-407E-A947-70E740481C1C}">
                                <a14:useLocalDpi xmlns:a14="http://schemas.microsoft.com/office/drawing/2010/main" val="0"/>
                              </a:ext>
                            </a:extLst>
                          </a:blip>
                          <a:srcRect/>
                          <a:stretch>
                            <a:fillRect/>
                          </a:stretch>
                        </pic:blipFill>
                        <pic:spPr bwMode="auto">
                          <a:xfrm>
                            <a:off x="0" y="0"/>
                            <a:ext cx="1352550" cy="1181100"/>
                          </a:xfrm>
                          <a:prstGeom prst="rect">
                            <a:avLst/>
                          </a:prstGeom>
                          <a:noFill/>
                          <a:ln>
                            <a:noFill/>
                          </a:ln>
                        </pic:spPr>
                      </pic:pic>
                    </a:graphicData>
                  </a:graphic>
                </wp:inline>
              </w:drawing>
            </w:r>
          </w:p>
        </w:tc>
      </w:tr>
      <w:tr w:rsidR="00A051A4" w:rsidRPr="00A66B8E" w14:paraId="30DC5540" w14:textId="77777777" w:rsidTr="00A051A4">
        <w:trPr>
          <w:trHeight w:val="260"/>
        </w:trPr>
        <w:tc>
          <w:tcPr>
            <w:tcW w:w="900" w:type="dxa"/>
          </w:tcPr>
          <w:p w14:paraId="44C50BA3"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lastRenderedPageBreak/>
              <w:t>23</w:t>
            </w:r>
          </w:p>
        </w:tc>
        <w:tc>
          <w:tcPr>
            <w:tcW w:w="900" w:type="dxa"/>
          </w:tcPr>
          <w:p w14:paraId="565C4CF2"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42.75</w:t>
            </w:r>
          </w:p>
        </w:tc>
        <w:tc>
          <w:tcPr>
            <w:tcW w:w="2093" w:type="dxa"/>
          </w:tcPr>
          <w:p w14:paraId="2E00CCDC"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α-Tocopheryl acetate</w:t>
            </w:r>
          </w:p>
        </w:tc>
        <w:tc>
          <w:tcPr>
            <w:tcW w:w="1350" w:type="dxa"/>
          </w:tcPr>
          <w:p w14:paraId="6FBFF1CE" w14:textId="77777777" w:rsidR="00A051A4" w:rsidRPr="00A66B8E" w:rsidRDefault="00A051A4" w:rsidP="0002647E">
            <w:pPr>
              <w:spacing w:line="360" w:lineRule="auto"/>
              <w:jc w:val="both"/>
              <w:rPr>
                <w:rFonts w:ascii="Times New Roman" w:hAnsi="Times New Roman" w:cs="Times New Roman"/>
                <w:color w:val="000000"/>
                <w:sz w:val="24"/>
                <w:szCs w:val="24"/>
                <w:shd w:val="clear" w:color="auto" w:fill="FFFFFF"/>
              </w:rPr>
            </w:pPr>
            <w:r w:rsidRPr="00A66B8E">
              <w:rPr>
                <w:rFonts w:ascii="Times New Roman" w:hAnsi="Times New Roman" w:cs="Times New Roman"/>
                <w:sz w:val="24"/>
                <w:szCs w:val="24"/>
              </w:rPr>
              <w:t>C</w:t>
            </w:r>
            <w:r w:rsidRPr="00A66B8E">
              <w:rPr>
                <w:rFonts w:ascii="Times New Roman" w:hAnsi="Times New Roman" w:cs="Times New Roman"/>
                <w:sz w:val="24"/>
                <w:szCs w:val="24"/>
                <w:vertAlign w:val="subscript"/>
              </w:rPr>
              <w:t>31</w:t>
            </w:r>
            <w:r w:rsidRPr="00A66B8E">
              <w:rPr>
                <w:rFonts w:ascii="Times New Roman" w:hAnsi="Times New Roman" w:cs="Times New Roman"/>
                <w:sz w:val="24"/>
                <w:szCs w:val="24"/>
              </w:rPr>
              <w:t>H</w:t>
            </w:r>
            <w:r w:rsidRPr="00A66B8E">
              <w:rPr>
                <w:rFonts w:ascii="Times New Roman" w:hAnsi="Times New Roman" w:cs="Times New Roman"/>
                <w:sz w:val="24"/>
                <w:szCs w:val="24"/>
                <w:vertAlign w:val="subscript"/>
              </w:rPr>
              <w:t>52</w:t>
            </w:r>
            <w:r w:rsidRPr="00A66B8E">
              <w:rPr>
                <w:rFonts w:ascii="Times New Roman" w:hAnsi="Times New Roman" w:cs="Times New Roman"/>
                <w:sz w:val="24"/>
                <w:szCs w:val="24"/>
              </w:rPr>
              <w:t>O</w:t>
            </w:r>
            <w:r w:rsidRPr="00A66B8E">
              <w:rPr>
                <w:rFonts w:ascii="Times New Roman" w:hAnsi="Times New Roman" w:cs="Times New Roman"/>
                <w:sz w:val="24"/>
                <w:szCs w:val="24"/>
                <w:vertAlign w:val="subscript"/>
              </w:rPr>
              <w:t>3</w:t>
            </w:r>
          </w:p>
        </w:tc>
        <w:tc>
          <w:tcPr>
            <w:tcW w:w="810" w:type="dxa"/>
          </w:tcPr>
          <w:p w14:paraId="31AC5C87" w14:textId="77777777" w:rsidR="00A051A4" w:rsidRPr="00A66B8E" w:rsidRDefault="00A051A4" w:rsidP="0002647E">
            <w:pPr>
              <w:spacing w:line="360" w:lineRule="auto"/>
              <w:jc w:val="both"/>
              <w:rPr>
                <w:rFonts w:ascii="Times New Roman" w:hAnsi="Times New Roman" w:cs="Times New Roman"/>
                <w:w w:val="96"/>
                <w:sz w:val="24"/>
                <w:szCs w:val="24"/>
              </w:rPr>
            </w:pPr>
            <w:r w:rsidRPr="00A66B8E">
              <w:rPr>
                <w:rFonts w:ascii="Times New Roman" w:hAnsi="Times New Roman" w:cs="Times New Roman"/>
                <w:w w:val="96"/>
                <w:sz w:val="24"/>
                <w:szCs w:val="24"/>
              </w:rPr>
              <w:t>472</w:t>
            </w:r>
          </w:p>
        </w:tc>
        <w:tc>
          <w:tcPr>
            <w:tcW w:w="990" w:type="dxa"/>
          </w:tcPr>
          <w:p w14:paraId="3C668813"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1.37</w:t>
            </w:r>
          </w:p>
        </w:tc>
        <w:tc>
          <w:tcPr>
            <w:tcW w:w="1080" w:type="dxa"/>
          </w:tcPr>
          <w:p w14:paraId="447F235C"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2.06</w:t>
            </w:r>
          </w:p>
        </w:tc>
        <w:tc>
          <w:tcPr>
            <w:tcW w:w="900" w:type="dxa"/>
          </w:tcPr>
          <w:p w14:paraId="5C7C4DD2"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43, 185, 472</w:t>
            </w:r>
          </w:p>
        </w:tc>
        <w:tc>
          <w:tcPr>
            <w:tcW w:w="3734" w:type="dxa"/>
          </w:tcPr>
          <w:p w14:paraId="676F38A1" w14:textId="77777777" w:rsidR="00A051A4" w:rsidRPr="00A66B8E" w:rsidRDefault="00A051A4" w:rsidP="0002647E">
            <w:pPr>
              <w:spacing w:line="360" w:lineRule="auto"/>
              <w:jc w:val="both"/>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28B27221" wp14:editId="60D1257E">
                  <wp:extent cx="1485900" cy="971550"/>
                  <wp:effectExtent l="0" t="0" r="0" b="0"/>
                  <wp:docPr id="388768412" name="Picture 388768412" descr="C31H52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31H52O3"/>
                          <pic:cNvPicPr>
                            <a:picLocks noChangeAspect="1" noChangeArrowheads="1"/>
                          </pic:cNvPicPr>
                        </pic:nvPicPr>
                        <pic:blipFill>
                          <a:blip r:embed="rId42">
                            <a:biLevel thresh="75000"/>
                            <a:extLst>
                              <a:ext uri="{28A0092B-C50C-407E-A947-70E740481C1C}">
                                <a14:useLocalDpi xmlns:a14="http://schemas.microsoft.com/office/drawing/2010/main" val="0"/>
                              </a:ext>
                            </a:extLst>
                          </a:blip>
                          <a:srcRect/>
                          <a:stretch>
                            <a:fillRect/>
                          </a:stretch>
                        </pic:blipFill>
                        <pic:spPr bwMode="auto">
                          <a:xfrm>
                            <a:off x="0" y="0"/>
                            <a:ext cx="1485900" cy="971550"/>
                          </a:xfrm>
                          <a:prstGeom prst="rect">
                            <a:avLst/>
                          </a:prstGeom>
                          <a:noFill/>
                          <a:ln>
                            <a:noFill/>
                          </a:ln>
                        </pic:spPr>
                      </pic:pic>
                    </a:graphicData>
                  </a:graphic>
                </wp:inline>
              </w:drawing>
            </w:r>
          </w:p>
        </w:tc>
      </w:tr>
      <w:tr w:rsidR="00A051A4" w:rsidRPr="00A66B8E" w14:paraId="1DA8C3C7" w14:textId="77777777" w:rsidTr="00A051A4">
        <w:trPr>
          <w:trHeight w:val="260"/>
        </w:trPr>
        <w:tc>
          <w:tcPr>
            <w:tcW w:w="900" w:type="dxa"/>
          </w:tcPr>
          <w:p w14:paraId="0FBF4D26" w14:textId="77777777" w:rsidR="00A051A4" w:rsidRPr="00A66B8E" w:rsidRDefault="00A051A4" w:rsidP="0002647E">
            <w:pPr>
              <w:spacing w:line="360" w:lineRule="auto"/>
              <w:jc w:val="both"/>
              <w:rPr>
                <w:rFonts w:ascii="Times New Roman" w:hAnsi="Times New Roman" w:cs="Times New Roman"/>
                <w:sz w:val="24"/>
                <w:szCs w:val="24"/>
              </w:rPr>
            </w:pPr>
            <w:r w:rsidRPr="00A66B8E">
              <w:rPr>
                <w:rFonts w:ascii="Times New Roman" w:hAnsi="Times New Roman" w:cs="Times New Roman"/>
                <w:sz w:val="24"/>
                <w:szCs w:val="24"/>
              </w:rPr>
              <w:t>24</w:t>
            </w:r>
          </w:p>
        </w:tc>
        <w:tc>
          <w:tcPr>
            <w:tcW w:w="900" w:type="dxa"/>
          </w:tcPr>
          <w:p w14:paraId="38FF5690" w14:textId="77777777" w:rsidR="00A051A4" w:rsidRPr="00A66B8E" w:rsidRDefault="00A051A4" w:rsidP="0002647E">
            <w:pPr>
              <w:spacing w:line="360" w:lineRule="auto"/>
              <w:jc w:val="both"/>
              <w:rPr>
                <w:rFonts w:ascii="Times New Roman" w:eastAsia="Constantia" w:hAnsi="Times New Roman" w:cs="Times New Roman"/>
                <w:sz w:val="24"/>
                <w:szCs w:val="24"/>
              </w:rPr>
            </w:pPr>
            <w:r w:rsidRPr="00A66B8E">
              <w:rPr>
                <w:rFonts w:ascii="Times New Roman" w:eastAsia="Constantia" w:hAnsi="Times New Roman" w:cs="Times New Roman"/>
                <w:sz w:val="24"/>
                <w:szCs w:val="24"/>
              </w:rPr>
              <w:t>43.61</w:t>
            </w:r>
          </w:p>
        </w:tc>
        <w:tc>
          <w:tcPr>
            <w:tcW w:w="2093" w:type="dxa"/>
          </w:tcPr>
          <w:p w14:paraId="36A8AF26"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sz w:val="24"/>
                <w:szCs w:val="24"/>
              </w:rPr>
              <w:t xml:space="preserve">L-Ascorbic acid, </w:t>
            </w:r>
            <w:proofErr w:type="spellStart"/>
            <w:r w:rsidRPr="00A66B8E">
              <w:rPr>
                <w:rFonts w:ascii="Times New Roman" w:hAnsi="Times New Roman" w:cs="Times New Roman"/>
                <w:sz w:val="24"/>
                <w:szCs w:val="24"/>
              </w:rPr>
              <w:t>dihexadecanoate</w:t>
            </w:r>
            <w:proofErr w:type="spellEnd"/>
          </w:p>
        </w:tc>
        <w:tc>
          <w:tcPr>
            <w:tcW w:w="1350" w:type="dxa"/>
          </w:tcPr>
          <w:p w14:paraId="005420AC" w14:textId="77777777" w:rsidR="00A051A4" w:rsidRPr="00A66B8E" w:rsidRDefault="00A051A4" w:rsidP="0002647E">
            <w:pPr>
              <w:rPr>
                <w:rFonts w:ascii="Times New Roman" w:hAnsi="Times New Roman" w:cs="Times New Roman"/>
                <w:sz w:val="24"/>
                <w:szCs w:val="24"/>
                <w:shd w:val="clear" w:color="auto" w:fill="FFFFFF"/>
              </w:rPr>
            </w:pPr>
            <w:hyperlink r:id="rId43" w:anchor="query=C38H68O8" w:tgtFrame="_parent" w:tooltip="Find all compounds that have this formula" w:history="1">
              <w:r w:rsidRPr="00A66B8E">
                <w:rPr>
                  <w:rStyle w:val="Hyperlink"/>
                  <w:rFonts w:ascii="Times New Roman" w:eastAsiaTheme="majorEastAsia" w:hAnsi="Times New Roman" w:cs="Times New Roman"/>
                  <w:color w:val="auto"/>
                  <w:sz w:val="24"/>
                  <w:szCs w:val="24"/>
                </w:rPr>
                <w:t>C</w:t>
              </w:r>
              <w:r w:rsidRPr="00A66B8E">
                <w:rPr>
                  <w:rStyle w:val="Hyperlink"/>
                  <w:rFonts w:ascii="Times New Roman" w:eastAsiaTheme="majorEastAsia" w:hAnsi="Times New Roman" w:cs="Times New Roman"/>
                  <w:color w:val="auto"/>
                  <w:sz w:val="24"/>
                  <w:szCs w:val="24"/>
                  <w:vertAlign w:val="subscript"/>
                </w:rPr>
                <w:t>38</w:t>
              </w:r>
              <w:r w:rsidRPr="00A66B8E">
                <w:rPr>
                  <w:rStyle w:val="Hyperlink"/>
                  <w:rFonts w:ascii="Times New Roman" w:eastAsiaTheme="majorEastAsia" w:hAnsi="Times New Roman" w:cs="Times New Roman"/>
                  <w:color w:val="auto"/>
                  <w:sz w:val="24"/>
                  <w:szCs w:val="24"/>
                </w:rPr>
                <w:t>H</w:t>
              </w:r>
              <w:r w:rsidRPr="00A66B8E">
                <w:rPr>
                  <w:rStyle w:val="Hyperlink"/>
                  <w:rFonts w:ascii="Times New Roman" w:eastAsiaTheme="majorEastAsia" w:hAnsi="Times New Roman" w:cs="Times New Roman"/>
                  <w:color w:val="auto"/>
                  <w:sz w:val="24"/>
                  <w:szCs w:val="24"/>
                  <w:vertAlign w:val="subscript"/>
                </w:rPr>
                <w:t>68</w:t>
              </w:r>
              <w:r w:rsidRPr="00A66B8E">
                <w:rPr>
                  <w:rStyle w:val="Hyperlink"/>
                  <w:rFonts w:ascii="Times New Roman" w:eastAsiaTheme="majorEastAsia" w:hAnsi="Times New Roman" w:cs="Times New Roman"/>
                  <w:color w:val="auto"/>
                  <w:sz w:val="24"/>
                  <w:szCs w:val="24"/>
                </w:rPr>
                <w:t>O</w:t>
              </w:r>
              <w:r w:rsidRPr="00A66B8E">
                <w:rPr>
                  <w:rStyle w:val="Hyperlink"/>
                  <w:rFonts w:ascii="Times New Roman" w:eastAsiaTheme="majorEastAsia" w:hAnsi="Times New Roman" w:cs="Times New Roman"/>
                  <w:color w:val="auto"/>
                  <w:sz w:val="24"/>
                  <w:szCs w:val="24"/>
                  <w:vertAlign w:val="subscript"/>
                </w:rPr>
                <w:t>8</w:t>
              </w:r>
            </w:hyperlink>
          </w:p>
        </w:tc>
        <w:tc>
          <w:tcPr>
            <w:tcW w:w="810" w:type="dxa"/>
          </w:tcPr>
          <w:p w14:paraId="36760E1F" w14:textId="77777777" w:rsidR="00A051A4" w:rsidRPr="00A66B8E" w:rsidRDefault="00A051A4" w:rsidP="0002647E">
            <w:pPr>
              <w:spacing w:line="360" w:lineRule="auto"/>
              <w:jc w:val="both"/>
              <w:rPr>
                <w:rFonts w:ascii="Times New Roman" w:hAnsi="Times New Roman" w:cs="Times New Roman"/>
                <w:w w:val="96"/>
                <w:sz w:val="24"/>
                <w:szCs w:val="24"/>
              </w:rPr>
            </w:pPr>
            <w:r w:rsidRPr="00A66B8E">
              <w:rPr>
                <w:rFonts w:ascii="Times New Roman" w:hAnsi="Times New Roman" w:cs="Times New Roman"/>
                <w:w w:val="96"/>
                <w:sz w:val="24"/>
                <w:szCs w:val="24"/>
              </w:rPr>
              <w:t>652</w:t>
            </w:r>
          </w:p>
        </w:tc>
        <w:tc>
          <w:tcPr>
            <w:tcW w:w="990" w:type="dxa"/>
          </w:tcPr>
          <w:p w14:paraId="6A089879" w14:textId="77777777" w:rsidR="00A051A4" w:rsidRPr="00A66B8E" w:rsidRDefault="00A051A4" w:rsidP="0002647E">
            <w:pPr>
              <w:spacing w:line="360" w:lineRule="auto"/>
              <w:ind w:right="10"/>
              <w:jc w:val="both"/>
              <w:rPr>
                <w:rFonts w:ascii="Times New Roman" w:hAnsi="Times New Roman" w:cs="Times New Roman"/>
                <w:w w:val="98"/>
                <w:sz w:val="24"/>
                <w:szCs w:val="24"/>
              </w:rPr>
            </w:pPr>
            <w:r w:rsidRPr="00A66B8E">
              <w:rPr>
                <w:rFonts w:ascii="Times New Roman" w:hAnsi="Times New Roman" w:cs="Times New Roman"/>
                <w:w w:val="98"/>
                <w:sz w:val="24"/>
                <w:szCs w:val="24"/>
              </w:rPr>
              <w:t>1.82</w:t>
            </w:r>
          </w:p>
        </w:tc>
        <w:tc>
          <w:tcPr>
            <w:tcW w:w="1080" w:type="dxa"/>
          </w:tcPr>
          <w:p w14:paraId="66CE40AF" w14:textId="77777777" w:rsidR="00A051A4" w:rsidRPr="00A66B8E" w:rsidRDefault="00A051A4" w:rsidP="0002647E">
            <w:pPr>
              <w:spacing w:line="360" w:lineRule="auto"/>
              <w:ind w:right="10"/>
              <w:jc w:val="both"/>
              <w:rPr>
                <w:rFonts w:ascii="Times New Roman" w:hAnsi="Times New Roman" w:cs="Times New Roman"/>
                <w:sz w:val="24"/>
                <w:szCs w:val="24"/>
              </w:rPr>
            </w:pPr>
            <w:r w:rsidRPr="00A66B8E">
              <w:rPr>
                <w:rFonts w:ascii="Times New Roman" w:hAnsi="Times New Roman" w:cs="Times New Roman"/>
                <w:sz w:val="24"/>
                <w:szCs w:val="24"/>
              </w:rPr>
              <w:t>2.10</w:t>
            </w:r>
          </w:p>
        </w:tc>
        <w:tc>
          <w:tcPr>
            <w:tcW w:w="900" w:type="dxa"/>
          </w:tcPr>
          <w:p w14:paraId="1194548A"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sz w:val="24"/>
                <w:szCs w:val="24"/>
              </w:rPr>
              <w:t>41, 77,</w:t>
            </w:r>
          </w:p>
          <w:p w14:paraId="027BF93E" w14:textId="77777777" w:rsidR="00A051A4" w:rsidRPr="00A66B8E" w:rsidRDefault="00A051A4" w:rsidP="0002647E">
            <w:pPr>
              <w:rPr>
                <w:rFonts w:ascii="Times New Roman" w:hAnsi="Times New Roman" w:cs="Times New Roman"/>
                <w:sz w:val="24"/>
                <w:szCs w:val="24"/>
              </w:rPr>
            </w:pPr>
            <w:r w:rsidRPr="00A66B8E">
              <w:rPr>
                <w:rFonts w:ascii="Times New Roman" w:hAnsi="Times New Roman" w:cs="Times New Roman"/>
                <w:sz w:val="24"/>
                <w:szCs w:val="24"/>
              </w:rPr>
              <w:t>652</w:t>
            </w:r>
          </w:p>
        </w:tc>
        <w:tc>
          <w:tcPr>
            <w:tcW w:w="3734" w:type="dxa"/>
          </w:tcPr>
          <w:p w14:paraId="79145FB6" w14:textId="77777777" w:rsidR="00A051A4" w:rsidRPr="00A66B8E" w:rsidRDefault="00A051A4" w:rsidP="0002647E">
            <w:pPr>
              <w:rPr>
                <w:rFonts w:ascii="Times New Roman" w:hAnsi="Times New Roman" w:cs="Times New Roman"/>
                <w:noProof/>
                <w:sz w:val="24"/>
                <w:szCs w:val="24"/>
              </w:rPr>
            </w:pPr>
            <w:r w:rsidRPr="00A66B8E">
              <w:rPr>
                <w:rFonts w:ascii="Times New Roman" w:hAnsi="Times New Roman" w:cs="Times New Roman"/>
                <w:noProof/>
              </w:rPr>
              <w:drawing>
                <wp:inline distT="0" distB="0" distL="0" distR="0" wp14:anchorId="529833E1" wp14:editId="340B282A">
                  <wp:extent cx="1238250" cy="1190625"/>
                  <wp:effectExtent l="0" t="0" r="0" b="9525"/>
                  <wp:docPr id="388768411" name="Picture 388768411" descr="L-Ascorbic acid, dihexadecano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Ascorbic acid, dihexadecanoate.png"/>
                          <pic:cNvPicPr>
                            <a:picLocks noChangeAspect="1" noChangeArrowheads="1"/>
                          </pic:cNvPicPr>
                        </pic:nvPicPr>
                        <pic:blipFill>
                          <a:blip r:embed="rId44" cstate="print">
                            <a:biLevel thresh="75000"/>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a:ln>
                            <a:noFill/>
                          </a:ln>
                        </pic:spPr>
                      </pic:pic>
                    </a:graphicData>
                  </a:graphic>
                </wp:inline>
              </w:drawing>
            </w:r>
          </w:p>
        </w:tc>
      </w:tr>
    </w:tbl>
    <w:p w14:paraId="6E6B6A1A" w14:textId="77777777" w:rsidR="00DD4CBE" w:rsidRDefault="00DD4CBE" w:rsidP="00DD4CBE">
      <w:pPr>
        <w:spacing w:line="480" w:lineRule="auto"/>
        <w:rPr>
          <w:rFonts w:ascii="Times New Roman" w:hAnsi="Times New Roman" w:cs="Times New Roman"/>
          <w:b/>
          <w:bCs/>
        </w:rPr>
      </w:pPr>
    </w:p>
    <w:p w14:paraId="29D26C38" w14:textId="77777777" w:rsidR="00DD4CBE" w:rsidRDefault="00DD4CBE" w:rsidP="00DD4CBE">
      <w:pPr>
        <w:spacing w:line="480" w:lineRule="auto"/>
        <w:rPr>
          <w:rFonts w:ascii="Times New Roman" w:hAnsi="Times New Roman" w:cs="Times New Roman"/>
          <w:b/>
          <w:bCs/>
        </w:rPr>
      </w:pPr>
    </w:p>
    <w:p w14:paraId="088E7517" w14:textId="77777777" w:rsidR="00DD4CBE" w:rsidRDefault="00DD4CBE" w:rsidP="00DD4CBE">
      <w:pPr>
        <w:spacing w:line="480" w:lineRule="auto"/>
        <w:rPr>
          <w:rFonts w:ascii="Times New Roman" w:hAnsi="Times New Roman" w:cs="Times New Roman"/>
          <w:b/>
          <w:bCs/>
        </w:rPr>
        <w:sectPr w:rsidR="00DD4CBE" w:rsidSect="00DD4CBE">
          <w:pgSz w:w="16838" w:h="11906" w:orient="landscape"/>
          <w:pgMar w:top="1701" w:right="1417" w:bottom="1701" w:left="1417" w:header="720" w:footer="720" w:gutter="0"/>
          <w:cols w:space="720"/>
          <w:docGrid w:linePitch="360"/>
        </w:sectPr>
      </w:pPr>
    </w:p>
    <w:p w14:paraId="5C2EB78A" w14:textId="77777777" w:rsidR="00DD4CBE" w:rsidRDefault="00DD4CBE" w:rsidP="00DD4CBE">
      <w:pPr>
        <w:spacing w:line="480" w:lineRule="auto"/>
        <w:rPr>
          <w:rFonts w:ascii="Times New Roman" w:hAnsi="Times New Roman" w:cs="Times New Roman"/>
        </w:rPr>
      </w:pPr>
      <w:r>
        <w:rPr>
          <w:noProof/>
        </w:rPr>
        <w:lastRenderedPageBreak/>
        <w:drawing>
          <wp:inline distT="0" distB="0" distL="0" distR="0" wp14:anchorId="2B109C8A" wp14:editId="37522656">
            <wp:extent cx="4572000" cy="2743200"/>
            <wp:effectExtent l="0" t="0" r="0" b="0"/>
            <wp:docPr id="1703341380" name="Chart 1">
              <a:extLst xmlns:a="http://schemas.openxmlformats.org/drawingml/2006/main">
                <a:ext uri="{FF2B5EF4-FFF2-40B4-BE49-F238E27FC236}">
                  <a16:creationId xmlns:a16="http://schemas.microsoft.com/office/drawing/2014/main" id="{B5FFE308-CB5E-A6CC-5A73-CD61DEF584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Pr>
          <w:rFonts w:ascii="Times New Roman" w:hAnsi="Times New Roman" w:cs="Times New Roman"/>
        </w:rPr>
        <w:t xml:space="preserve"> </w:t>
      </w:r>
    </w:p>
    <w:p w14:paraId="07440E37" w14:textId="77777777" w:rsidR="00DD4CBE" w:rsidRDefault="00DD4CBE" w:rsidP="00DD4CBE">
      <w:pPr>
        <w:spacing w:line="480" w:lineRule="auto"/>
        <w:rPr>
          <w:rFonts w:ascii="Times New Roman" w:hAnsi="Times New Roman" w:cs="Times New Roman"/>
        </w:rPr>
      </w:pPr>
      <w:r w:rsidRPr="00A66B8E">
        <w:rPr>
          <w:rFonts w:ascii="Times New Roman" w:hAnsi="Times New Roman" w:cs="Times New Roman"/>
          <w:b/>
          <w:bCs/>
        </w:rPr>
        <w:t>Figure</w:t>
      </w:r>
      <w:r>
        <w:rPr>
          <w:rFonts w:ascii="Times New Roman" w:hAnsi="Times New Roman" w:cs="Times New Roman"/>
          <w:b/>
          <w:bCs/>
        </w:rPr>
        <w:t xml:space="preserve"> 2:</w:t>
      </w:r>
      <w:r w:rsidRPr="00A66B8E">
        <w:rPr>
          <w:rFonts w:ascii="Times New Roman" w:hAnsi="Times New Roman" w:cs="Times New Roman"/>
        </w:rPr>
        <w:t xml:space="preserve"> Effect of </w:t>
      </w:r>
      <w:proofErr w:type="spellStart"/>
      <w:r w:rsidRPr="00A66B8E">
        <w:rPr>
          <w:rFonts w:ascii="Times New Roman" w:hAnsi="Times New Roman" w:cs="Times New Roman"/>
          <w:i/>
          <w:iCs/>
        </w:rPr>
        <w:t>Spondias</w:t>
      </w:r>
      <w:proofErr w:type="spellEnd"/>
      <w:r w:rsidRPr="00A66B8E">
        <w:rPr>
          <w:rFonts w:ascii="Times New Roman" w:hAnsi="Times New Roman" w:cs="Times New Roman"/>
        </w:rPr>
        <w:t xml:space="preserve"> </w:t>
      </w:r>
      <w:r w:rsidRPr="00A66B8E">
        <w:rPr>
          <w:rFonts w:ascii="Times New Roman" w:hAnsi="Times New Roman" w:cs="Times New Roman"/>
          <w:i/>
          <w:iCs/>
        </w:rPr>
        <w:t>mombin</w:t>
      </w:r>
      <w:r w:rsidRPr="00A66B8E">
        <w:rPr>
          <w:rFonts w:ascii="Times New Roman" w:hAnsi="Times New Roman" w:cs="Times New Roman"/>
        </w:rPr>
        <w:t> (SM) Extract on Lipid Profile</w:t>
      </w:r>
      <w:r>
        <w:rPr>
          <w:rFonts w:ascii="Times New Roman" w:hAnsi="Times New Roman" w:cs="Times New Roman"/>
        </w:rPr>
        <w:t xml:space="preserve"> Parameters</w:t>
      </w:r>
      <w:r w:rsidRPr="00A66B8E">
        <w:rPr>
          <w:rFonts w:ascii="Times New Roman" w:hAnsi="Times New Roman" w:cs="Times New Roman"/>
        </w:rPr>
        <w:t xml:space="preserve"> </w:t>
      </w:r>
      <w:r>
        <w:rPr>
          <w:rFonts w:ascii="Times New Roman" w:hAnsi="Times New Roman" w:cs="Times New Roman"/>
        </w:rPr>
        <w:t xml:space="preserve">- </w:t>
      </w:r>
      <w:r w:rsidRPr="00A66B8E">
        <w:rPr>
          <w:rFonts w:ascii="Times New Roman" w:hAnsi="Times New Roman" w:cs="Times New Roman"/>
        </w:rPr>
        <w:t>Total Cholesterol (TC, mg/dL)</w:t>
      </w:r>
      <w:r>
        <w:rPr>
          <w:rFonts w:ascii="Times New Roman" w:hAnsi="Times New Roman" w:cs="Times New Roman"/>
        </w:rPr>
        <w:t xml:space="preserve">, and </w:t>
      </w:r>
      <w:r w:rsidRPr="00A66B8E">
        <w:rPr>
          <w:rFonts w:ascii="Times New Roman" w:hAnsi="Times New Roman" w:cs="Times New Roman"/>
        </w:rPr>
        <w:t>Triacylglycerol (TAG, mg/dL)</w:t>
      </w:r>
    </w:p>
    <w:p w14:paraId="58E208BB" w14:textId="77777777" w:rsidR="00DD4CBE" w:rsidRDefault="00DD4CBE" w:rsidP="00DD4CBE">
      <w:pPr>
        <w:spacing w:line="480" w:lineRule="auto"/>
        <w:rPr>
          <w:rFonts w:ascii="Times New Roman" w:hAnsi="Times New Roman" w:cs="Times New Roman"/>
        </w:rPr>
      </w:pPr>
      <w:r>
        <w:rPr>
          <w:noProof/>
        </w:rPr>
        <w:drawing>
          <wp:inline distT="0" distB="0" distL="0" distR="0" wp14:anchorId="659580AA" wp14:editId="3375E847">
            <wp:extent cx="4572000" cy="2743200"/>
            <wp:effectExtent l="0" t="0" r="0" b="0"/>
            <wp:docPr id="1994353339" name="Chart 1">
              <a:extLst xmlns:a="http://schemas.openxmlformats.org/drawingml/2006/main">
                <a:ext uri="{FF2B5EF4-FFF2-40B4-BE49-F238E27FC236}">
                  <a16:creationId xmlns:a16="http://schemas.microsoft.com/office/drawing/2014/main" id="{0B249BF8-1946-A6A5-767C-407525159C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Pr>
          <w:rFonts w:ascii="Times New Roman" w:hAnsi="Times New Roman" w:cs="Times New Roman"/>
        </w:rPr>
        <w:t xml:space="preserve"> </w:t>
      </w:r>
    </w:p>
    <w:p w14:paraId="7275C2F9" w14:textId="77777777" w:rsidR="00DD4CBE" w:rsidRDefault="00DD4CBE" w:rsidP="00DD4CBE">
      <w:pPr>
        <w:spacing w:line="480" w:lineRule="auto"/>
        <w:rPr>
          <w:rFonts w:ascii="Times New Roman" w:hAnsi="Times New Roman" w:cs="Times New Roman"/>
        </w:rPr>
      </w:pPr>
      <w:r w:rsidRPr="00C37EED">
        <w:rPr>
          <w:rFonts w:ascii="Times New Roman" w:hAnsi="Times New Roman" w:cs="Times New Roman"/>
          <w:b/>
          <w:bCs/>
        </w:rPr>
        <w:t xml:space="preserve">Figure </w:t>
      </w:r>
      <w:r>
        <w:rPr>
          <w:rFonts w:ascii="Times New Roman" w:hAnsi="Times New Roman" w:cs="Times New Roman"/>
          <w:b/>
          <w:bCs/>
        </w:rPr>
        <w:t>3</w:t>
      </w:r>
      <w:r w:rsidRPr="00C37EED">
        <w:rPr>
          <w:rFonts w:ascii="Times New Roman" w:hAnsi="Times New Roman" w:cs="Times New Roman"/>
          <w:b/>
          <w:bCs/>
        </w:rPr>
        <w:t>:</w:t>
      </w:r>
      <w:r w:rsidRPr="00A66B8E">
        <w:rPr>
          <w:rFonts w:ascii="Times New Roman" w:hAnsi="Times New Roman" w:cs="Times New Roman"/>
        </w:rPr>
        <w:t xml:space="preserve"> Effect of </w:t>
      </w:r>
      <w:proofErr w:type="spellStart"/>
      <w:r w:rsidRPr="00A66B8E">
        <w:rPr>
          <w:rFonts w:ascii="Times New Roman" w:hAnsi="Times New Roman" w:cs="Times New Roman"/>
          <w:i/>
          <w:iCs/>
        </w:rPr>
        <w:t>Spondias</w:t>
      </w:r>
      <w:proofErr w:type="spellEnd"/>
      <w:r w:rsidRPr="00A66B8E">
        <w:rPr>
          <w:rFonts w:ascii="Times New Roman" w:hAnsi="Times New Roman" w:cs="Times New Roman"/>
        </w:rPr>
        <w:t xml:space="preserve"> </w:t>
      </w:r>
      <w:r w:rsidRPr="00A66B8E">
        <w:rPr>
          <w:rFonts w:ascii="Times New Roman" w:hAnsi="Times New Roman" w:cs="Times New Roman"/>
          <w:i/>
          <w:iCs/>
        </w:rPr>
        <w:t>mombin</w:t>
      </w:r>
      <w:r w:rsidRPr="00A66B8E">
        <w:rPr>
          <w:rFonts w:ascii="Times New Roman" w:hAnsi="Times New Roman" w:cs="Times New Roman"/>
        </w:rPr>
        <w:t xml:space="preserve"> (SM) </w:t>
      </w:r>
      <w:r>
        <w:rPr>
          <w:rFonts w:ascii="Times New Roman" w:hAnsi="Times New Roman" w:cs="Times New Roman"/>
        </w:rPr>
        <w:t>e</w:t>
      </w:r>
      <w:r w:rsidRPr="00A66B8E">
        <w:rPr>
          <w:rFonts w:ascii="Times New Roman" w:hAnsi="Times New Roman" w:cs="Times New Roman"/>
        </w:rPr>
        <w:t xml:space="preserve">xtract on </w:t>
      </w:r>
      <w:r>
        <w:rPr>
          <w:rFonts w:ascii="Times New Roman" w:hAnsi="Times New Roman" w:cs="Times New Roman"/>
        </w:rPr>
        <w:t>l</w:t>
      </w:r>
      <w:r w:rsidRPr="00A66B8E">
        <w:rPr>
          <w:rFonts w:ascii="Times New Roman" w:hAnsi="Times New Roman" w:cs="Times New Roman"/>
        </w:rPr>
        <w:t xml:space="preserve">ipid </w:t>
      </w:r>
      <w:r>
        <w:rPr>
          <w:rFonts w:ascii="Times New Roman" w:hAnsi="Times New Roman" w:cs="Times New Roman"/>
        </w:rPr>
        <w:t>p</w:t>
      </w:r>
      <w:r w:rsidRPr="00A66B8E">
        <w:rPr>
          <w:rFonts w:ascii="Times New Roman" w:hAnsi="Times New Roman" w:cs="Times New Roman"/>
        </w:rPr>
        <w:t>rofile</w:t>
      </w:r>
      <w:r>
        <w:rPr>
          <w:rFonts w:ascii="Times New Roman" w:hAnsi="Times New Roman" w:cs="Times New Roman"/>
        </w:rPr>
        <w:t xml:space="preserve"> parameters -</w:t>
      </w:r>
      <w:r w:rsidRPr="00A66B8E">
        <w:rPr>
          <w:rFonts w:ascii="Times New Roman" w:hAnsi="Times New Roman" w:cs="Times New Roman"/>
        </w:rPr>
        <w:t xml:space="preserve"> HDL (mg/dL)</w:t>
      </w:r>
      <w:r>
        <w:rPr>
          <w:rFonts w:ascii="Times New Roman" w:hAnsi="Times New Roman" w:cs="Times New Roman"/>
        </w:rPr>
        <w:t xml:space="preserve">, LDL </w:t>
      </w:r>
      <w:r w:rsidRPr="00A66B8E">
        <w:rPr>
          <w:rFonts w:ascii="Times New Roman" w:hAnsi="Times New Roman" w:cs="Times New Roman"/>
        </w:rPr>
        <w:t>(mg/dL)</w:t>
      </w:r>
      <w:r>
        <w:rPr>
          <w:rFonts w:ascii="Times New Roman" w:hAnsi="Times New Roman" w:cs="Times New Roman"/>
        </w:rPr>
        <w:t xml:space="preserve"> and VLDL </w:t>
      </w:r>
      <w:r w:rsidRPr="00A66B8E">
        <w:rPr>
          <w:rFonts w:ascii="Times New Roman" w:hAnsi="Times New Roman" w:cs="Times New Roman"/>
        </w:rPr>
        <w:t>(mg/dL)</w:t>
      </w:r>
    </w:p>
    <w:p w14:paraId="2AC5D0E1" w14:textId="77777777" w:rsidR="00DD4CBE" w:rsidRDefault="00DD4CBE" w:rsidP="00DD4CBE">
      <w:pPr>
        <w:rPr>
          <w:rFonts w:ascii="Times New Roman" w:hAnsi="Times New Roman" w:cs="Times New Roman"/>
        </w:rPr>
      </w:pPr>
      <w:r>
        <w:rPr>
          <w:rFonts w:ascii="Times New Roman" w:hAnsi="Times New Roman" w:cs="Times New Roman"/>
        </w:rPr>
        <w:br w:type="page"/>
      </w:r>
    </w:p>
    <w:p w14:paraId="01EB1C7C" w14:textId="77777777" w:rsidR="00DD4CBE" w:rsidRDefault="00DD4CBE" w:rsidP="00DD4CBE">
      <w:pPr>
        <w:spacing w:line="480" w:lineRule="auto"/>
        <w:rPr>
          <w:rFonts w:ascii="Times New Roman" w:hAnsi="Times New Roman" w:cs="Times New Roman"/>
        </w:rPr>
      </w:pPr>
      <w:r>
        <w:rPr>
          <w:noProof/>
        </w:rPr>
        <w:lastRenderedPageBreak/>
        <w:drawing>
          <wp:inline distT="0" distB="0" distL="0" distR="0" wp14:anchorId="4D5CC28F" wp14:editId="7AA0CED3">
            <wp:extent cx="4572000" cy="2743200"/>
            <wp:effectExtent l="0" t="0" r="0" b="0"/>
            <wp:docPr id="748583732" name="Chart 1">
              <a:extLst xmlns:a="http://schemas.openxmlformats.org/drawingml/2006/main">
                <a:ext uri="{FF2B5EF4-FFF2-40B4-BE49-F238E27FC236}">
                  <a16:creationId xmlns:a16="http://schemas.microsoft.com/office/drawing/2014/main" id="{D1DA87D4-4ABE-F238-EE76-0A121A6FC1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33B0853C" w14:textId="77777777" w:rsidR="00DD4CBE" w:rsidRDefault="00DD4CBE" w:rsidP="00DD4CBE">
      <w:pPr>
        <w:spacing w:line="480" w:lineRule="auto"/>
        <w:rPr>
          <w:rFonts w:ascii="Times New Roman" w:hAnsi="Times New Roman" w:cs="Times New Roman"/>
        </w:rPr>
      </w:pPr>
      <w:r w:rsidRPr="008F0A52">
        <w:rPr>
          <w:rFonts w:ascii="Times New Roman" w:hAnsi="Times New Roman" w:cs="Times New Roman"/>
          <w:b/>
          <w:bCs/>
        </w:rPr>
        <w:t xml:space="preserve">Figure </w:t>
      </w:r>
      <w:r>
        <w:rPr>
          <w:rFonts w:ascii="Times New Roman" w:hAnsi="Times New Roman" w:cs="Times New Roman"/>
          <w:b/>
          <w:bCs/>
        </w:rPr>
        <w:t>4</w:t>
      </w:r>
      <w:r w:rsidRPr="008F0A52">
        <w:rPr>
          <w:rFonts w:ascii="Times New Roman" w:hAnsi="Times New Roman" w:cs="Times New Roman"/>
          <w:b/>
          <w:bCs/>
        </w:rPr>
        <w:t xml:space="preserve">: </w:t>
      </w:r>
      <w:r w:rsidRPr="00A66B8E">
        <w:rPr>
          <w:rFonts w:ascii="Times New Roman" w:hAnsi="Times New Roman" w:cs="Times New Roman"/>
        </w:rPr>
        <w:t xml:space="preserve">Effects of </w:t>
      </w:r>
      <w:proofErr w:type="spellStart"/>
      <w:r w:rsidRPr="00A66B8E">
        <w:rPr>
          <w:rFonts w:ascii="Times New Roman" w:hAnsi="Times New Roman" w:cs="Times New Roman"/>
          <w:i/>
          <w:iCs/>
        </w:rPr>
        <w:t>Spondias</w:t>
      </w:r>
      <w:proofErr w:type="spellEnd"/>
      <w:r w:rsidRPr="00A66B8E">
        <w:rPr>
          <w:rFonts w:ascii="Times New Roman" w:hAnsi="Times New Roman" w:cs="Times New Roman"/>
        </w:rPr>
        <w:t xml:space="preserve"> </w:t>
      </w:r>
      <w:r w:rsidRPr="00A66B8E">
        <w:rPr>
          <w:rFonts w:ascii="Times New Roman" w:hAnsi="Times New Roman" w:cs="Times New Roman"/>
          <w:i/>
          <w:iCs/>
        </w:rPr>
        <w:t>mombin</w:t>
      </w:r>
      <w:r w:rsidRPr="00A66B8E">
        <w:rPr>
          <w:rFonts w:ascii="Times New Roman" w:hAnsi="Times New Roman" w:cs="Times New Roman"/>
        </w:rPr>
        <w:t> </w:t>
      </w:r>
      <w:r>
        <w:rPr>
          <w:rFonts w:ascii="Times New Roman" w:hAnsi="Times New Roman" w:cs="Times New Roman"/>
        </w:rPr>
        <w:t>(</w:t>
      </w:r>
      <w:r w:rsidRPr="00A66B8E">
        <w:rPr>
          <w:rFonts w:ascii="Times New Roman" w:hAnsi="Times New Roman" w:cs="Times New Roman"/>
        </w:rPr>
        <w:t>SM</w:t>
      </w:r>
      <w:r>
        <w:rPr>
          <w:rFonts w:ascii="Times New Roman" w:hAnsi="Times New Roman" w:cs="Times New Roman"/>
        </w:rPr>
        <w:t>)</w:t>
      </w:r>
      <w:r w:rsidRPr="00A66B8E">
        <w:rPr>
          <w:rFonts w:ascii="Times New Roman" w:hAnsi="Times New Roman" w:cs="Times New Roman"/>
        </w:rPr>
        <w:t xml:space="preserve"> </w:t>
      </w:r>
      <w:r>
        <w:rPr>
          <w:rFonts w:ascii="Times New Roman" w:hAnsi="Times New Roman" w:cs="Times New Roman"/>
        </w:rPr>
        <w:t>e</w:t>
      </w:r>
      <w:r w:rsidRPr="00A66B8E">
        <w:rPr>
          <w:rFonts w:ascii="Times New Roman" w:hAnsi="Times New Roman" w:cs="Times New Roman"/>
        </w:rPr>
        <w:t xml:space="preserve">xtract on </w:t>
      </w:r>
      <w:r>
        <w:rPr>
          <w:rFonts w:ascii="Times New Roman" w:hAnsi="Times New Roman" w:cs="Times New Roman"/>
        </w:rPr>
        <w:t>c</w:t>
      </w:r>
      <w:r w:rsidRPr="00A66B8E">
        <w:rPr>
          <w:rFonts w:ascii="Times New Roman" w:hAnsi="Times New Roman" w:cs="Times New Roman"/>
        </w:rPr>
        <w:t xml:space="preserve">ardiovascular </w:t>
      </w:r>
      <w:r>
        <w:rPr>
          <w:rFonts w:ascii="Times New Roman" w:hAnsi="Times New Roman" w:cs="Times New Roman"/>
        </w:rPr>
        <w:t>r</w:t>
      </w:r>
      <w:r w:rsidRPr="00A66B8E">
        <w:rPr>
          <w:rFonts w:ascii="Times New Roman" w:hAnsi="Times New Roman" w:cs="Times New Roman"/>
        </w:rPr>
        <w:t xml:space="preserve">isk </w:t>
      </w:r>
      <w:r>
        <w:rPr>
          <w:rFonts w:ascii="Times New Roman" w:hAnsi="Times New Roman" w:cs="Times New Roman"/>
        </w:rPr>
        <w:t>i</w:t>
      </w:r>
      <w:r w:rsidRPr="00A66B8E">
        <w:rPr>
          <w:rFonts w:ascii="Times New Roman" w:hAnsi="Times New Roman" w:cs="Times New Roman"/>
        </w:rPr>
        <w:t>ndices</w:t>
      </w:r>
    </w:p>
    <w:p w14:paraId="15F40D84" w14:textId="77777777" w:rsidR="00DD4CBE" w:rsidRDefault="00DD4CBE" w:rsidP="00DD4CBE">
      <w:pPr>
        <w:spacing w:line="480" w:lineRule="auto"/>
        <w:jc w:val="both"/>
        <w:rPr>
          <w:rFonts w:ascii="Times New Roman" w:hAnsi="Times New Roman" w:cs="Times New Roman"/>
        </w:rPr>
      </w:pPr>
    </w:p>
    <w:p w14:paraId="4EB74CB4" w14:textId="77777777" w:rsidR="00DD4CBE" w:rsidRDefault="00DD4CBE" w:rsidP="00DD4CBE">
      <w:pPr>
        <w:spacing w:line="480" w:lineRule="auto"/>
        <w:rPr>
          <w:rFonts w:ascii="Times New Roman" w:hAnsi="Times New Roman" w:cs="Times New Roman"/>
        </w:rPr>
      </w:pPr>
      <w:r>
        <w:rPr>
          <w:noProof/>
        </w:rPr>
        <w:drawing>
          <wp:inline distT="0" distB="0" distL="0" distR="0" wp14:anchorId="062B5D8E" wp14:editId="48B0CF73">
            <wp:extent cx="4572000" cy="2743200"/>
            <wp:effectExtent l="0" t="0" r="0" b="0"/>
            <wp:docPr id="1542053743" name="Chart 1">
              <a:extLst xmlns:a="http://schemas.openxmlformats.org/drawingml/2006/main">
                <a:ext uri="{FF2B5EF4-FFF2-40B4-BE49-F238E27FC236}">
                  <a16:creationId xmlns:a16="http://schemas.microsoft.com/office/drawing/2014/main" id="{82EC1A2D-D31F-FBAE-BDC6-7531F534E1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90687BB" w14:textId="77777777" w:rsidR="00DD4CBE" w:rsidRDefault="00DD4CBE" w:rsidP="00DD4CBE">
      <w:pPr>
        <w:spacing w:line="480" w:lineRule="auto"/>
        <w:rPr>
          <w:rFonts w:ascii="Times New Roman" w:hAnsi="Times New Roman" w:cs="Times New Roman"/>
        </w:rPr>
      </w:pPr>
      <w:r>
        <w:rPr>
          <w:rFonts w:ascii="Times New Roman" w:hAnsi="Times New Roman" w:cs="Times New Roman"/>
          <w:b/>
          <w:bCs/>
        </w:rPr>
        <w:t xml:space="preserve">Figure 5: </w:t>
      </w:r>
      <w:r w:rsidRPr="008F0A52">
        <w:rPr>
          <w:rFonts w:ascii="Times New Roman" w:hAnsi="Times New Roman" w:cs="Times New Roman"/>
        </w:rPr>
        <w:t>Effects of</w:t>
      </w:r>
      <w:r>
        <w:rPr>
          <w:rFonts w:ascii="Times New Roman" w:hAnsi="Times New Roman" w:cs="Times New Roman"/>
        </w:rPr>
        <w:t xml:space="preserve"> </w:t>
      </w:r>
      <w:proofErr w:type="spellStart"/>
      <w:r w:rsidRPr="00A66B8E">
        <w:rPr>
          <w:rFonts w:ascii="Times New Roman" w:hAnsi="Times New Roman" w:cs="Times New Roman"/>
          <w:i/>
          <w:iCs/>
        </w:rPr>
        <w:t>Spondias</w:t>
      </w:r>
      <w:proofErr w:type="spellEnd"/>
      <w:r w:rsidRPr="00A66B8E">
        <w:rPr>
          <w:rFonts w:ascii="Times New Roman" w:hAnsi="Times New Roman" w:cs="Times New Roman"/>
        </w:rPr>
        <w:t xml:space="preserve"> </w:t>
      </w:r>
      <w:r w:rsidRPr="00A66B8E">
        <w:rPr>
          <w:rFonts w:ascii="Times New Roman" w:hAnsi="Times New Roman" w:cs="Times New Roman"/>
          <w:i/>
          <w:iCs/>
        </w:rPr>
        <w:t>mombin</w:t>
      </w:r>
      <w:r w:rsidRPr="00A66B8E">
        <w:rPr>
          <w:rFonts w:ascii="Times New Roman" w:hAnsi="Times New Roman" w:cs="Times New Roman"/>
        </w:rPr>
        <w:t> </w:t>
      </w:r>
      <w:r>
        <w:rPr>
          <w:rFonts w:ascii="Times New Roman" w:hAnsi="Times New Roman" w:cs="Times New Roman"/>
        </w:rPr>
        <w:t>(</w:t>
      </w:r>
      <w:r w:rsidRPr="008F0A52">
        <w:rPr>
          <w:rFonts w:ascii="Times New Roman" w:hAnsi="Times New Roman" w:cs="Times New Roman"/>
        </w:rPr>
        <w:t>SM</w:t>
      </w:r>
      <w:r>
        <w:rPr>
          <w:rFonts w:ascii="Times New Roman" w:hAnsi="Times New Roman" w:cs="Times New Roman"/>
        </w:rPr>
        <w:t>)</w:t>
      </w:r>
      <w:r w:rsidRPr="008F0A52">
        <w:rPr>
          <w:rFonts w:ascii="Times New Roman" w:hAnsi="Times New Roman" w:cs="Times New Roman"/>
        </w:rPr>
        <w:t xml:space="preserve"> </w:t>
      </w:r>
      <w:r>
        <w:rPr>
          <w:rFonts w:ascii="Times New Roman" w:hAnsi="Times New Roman" w:cs="Times New Roman"/>
        </w:rPr>
        <w:t>e</w:t>
      </w:r>
      <w:r w:rsidRPr="008F0A52">
        <w:rPr>
          <w:rFonts w:ascii="Times New Roman" w:hAnsi="Times New Roman" w:cs="Times New Roman"/>
        </w:rPr>
        <w:t xml:space="preserve">xtract on </w:t>
      </w:r>
      <w:r>
        <w:rPr>
          <w:rFonts w:ascii="Times New Roman" w:hAnsi="Times New Roman" w:cs="Times New Roman"/>
        </w:rPr>
        <w:t>o</w:t>
      </w:r>
      <w:r w:rsidRPr="008F0A52">
        <w:rPr>
          <w:rFonts w:ascii="Times New Roman" w:hAnsi="Times New Roman" w:cs="Times New Roman"/>
        </w:rPr>
        <w:t xml:space="preserve">xidative </w:t>
      </w:r>
      <w:r>
        <w:rPr>
          <w:rFonts w:ascii="Times New Roman" w:hAnsi="Times New Roman" w:cs="Times New Roman"/>
        </w:rPr>
        <w:t>s</w:t>
      </w:r>
      <w:r w:rsidRPr="008F0A52">
        <w:rPr>
          <w:rFonts w:ascii="Times New Roman" w:hAnsi="Times New Roman" w:cs="Times New Roman"/>
        </w:rPr>
        <w:t xml:space="preserve">tress </w:t>
      </w:r>
      <w:r>
        <w:rPr>
          <w:rFonts w:ascii="Times New Roman" w:hAnsi="Times New Roman" w:cs="Times New Roman"/>
        </w:rPr>
        <w:t>m</w:t>
      </w:r>
      <w:r w:rsidRPr="008F0A52">
        <w:rPr>
          <w:rFonts w:ascii="Times New Roman" w:hAnsi="Times New Roman" w:cs="Times New Roman"/>
        </w:rPr>
        <w:t xml:space="preserve">arkers </w:t>
      </w:r>
      <w:r>
        <w:rPr>
          <w:rFonts w:ascii="Times New Roman" w:hAnsi="Times New Roman" w:cs="Times New Roman"/>
        </w:rPr>
        <w:t xml:space="preserve">parameters – SOD and </w:t>
      </w:r>
      <w:proofErr w:type="spellStart"/>
      <w:r>
        <w:rPr>
          <w:rFonts w:ascii="Times New Roman" w:hAnsi="Times New Roman" w:cs="Times New Roman"/>
        </w:rPr>
        <w:t>GPx</w:t>
      </w:r>
      <w:proofErr w:type="spellEnd"/>
    </w:p>
    <w:p w14:paraId="3A91F1D1" w14:textId="77777777" w:rsidR="00DD4CBE" w:rsidRDefault="00DD4CBE" w:rsidP="00DD4CBE">
      <w:pPr>
        <w:spacing w:line="480" w:lineRule="auto"/>
        <w:rPr>
          <w:rFonts w:ascii="Times New Roman" w:hAnsi="Times New Roman" w:cs="Times New Roman"/>
        </w:rPr>
      </w:pPr>
      <w:r>
        <w:rPr>
          <w:noProof/>
        </w:rPr>
        <w:lastRenderedPageBreak/>
        <w:drawing>
          <wp:inline distT="0" distB="0" distL="0" distR="0" wp14:anchorId="421357D4" wp14:editId="7B1D2CD0">
            <wp:extent cx="4572000" cy="2743200"/>
            <wp:effectExtent l="0" t="0" r="0" b="0"/>
            <wp:docPr id="1357422249" name="Chart 1">
              <a:extLst xmlns:a="http://schemas.openxmlformats.org/drawingml/2006/main">
                <a:ext uri="{FF2B5EF4-FFF2-40B4-BE49-F238E27FC236}">
                  <a16:creationId xmlns:a16="http://schemas.microsoft.com/office/drawing/2014/main" id="{75B9A57F-C1F2-464B-17B3-DFD558DB8A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Pr>
          <w:rFonts w:ascii="Times New Roman" w:hAnsi="Times New Roman" w:cs="Times New Roman"/>
        </w:rPr>
        <w:t xml:space="preserve"> </w:t>
      </w:r>
    </w:p>
    <w:p w14:paraId="0BF6B373" w14:textId="77777777" w:rsidR="00DD4CBE" w:rsidRDefault="00DD4CBE" w:rsidP="00DD4CBE">
      <w:pPr>
        <w:spacing w:line="480" w:lineRule="auto"/>
        <w:rPr>
          <w:rFonts w:ascii="Times New Roman" w:hAnsi="Times New Roman" w:cs="Times New Roman"/>
        </w:rPr>
      </w:pPr>
      <w:r>
        <w:rPr>
          <w:rFonts w:ascii="Times New Roman" w:hAnsi="Times New Roman" w:cs="Times New Roman"/>
          <w:b/>
          <w:bCs/>
        </w:rPr>
        <w:t xml:space="preserve">Figure 6: </w:t>
      </w:r>
      <w:r w:rsidRPr="008F0A52">
        <w:rPr>
          <w:rFonts w:ascii="Times New Roman" w:hAnsi="Times New Roman" w:cs="Times New Roman"/>
        </w:rPr>
        <w:t>Effects of</w:t>
      </w:r>
      <w:r>
        <w:rPr>
          <w:rFonts w:ascii="Times New Roman" w:hAnsi="Times New Roman" w:cs="Times New Roman"/>
        </w:rPr>
        <w:t xml:space="preserve"> </w:t>
      </w:r>
      <w:proofErr w:type="spellStart"/>
      <w:r w:rsidRPr="00A66B8E">
        <w:rPr>
          <w:rFonts w:ascii="Times New Roman" w:hAnsi="Times New Roman" w:cs="Times New Roman"/>
          <w:i/>
          <w:iCs/>
        </w:rPr>
        <w:t>Spondias</w:t>
      </w:r>
      <w:proofErr w:type="spellEnd"/>
      <w:r w:rsidRPr="00A66B8E">
        <w:rPr>
          <w:rFonts w:ascii="Times New Roman" w:hAnsi="Times New Roman" w:cs="Times New Roman"/>
        </w:rPr>
        <w:t xml:space="preserve"> </w:t>
      </w:r>
      <w:r w:rsidRPr="00A66B8E">
        <w:rPr>
          <w:rFonts w:ascii="Times New Roman" w:hAnsi="Times New Roman" w:cs="Times New Roman"/>
          <w:i/>
          <w:iCs/>
        </w:rPr>
        <w:t>mombin</w:t>
      </w:r>
      <w:r w:rsidRPr="00A66B8E">
        <w:rPr>
          <w:rFonts w:ascii="Times New Roman" w:hAnsi="Times New Roman" w:cs="Times New Roman"/>
        </w:rPr>
        <w:t> </w:t>
      </w:r>
      <w:r>
        <w:rPr>
          <w:rFonts w:ascii="Times New Roman" w:hAnsi="Times New Roman" w:cs="Times New Roman"/>
        </w:rPr>
        <w:t>(</w:t>
      </w:r>
      <w:r w:rsidRPr="008F0A52">
        <w:rPr>
          <w:rFonts w:ascii="Times New Roman" w:hAnsi="Times New Roman" w:cs="Times New Roman"/>
        </w:rPr>
        <w:t>SM</w:t>
      </w:r>
      <w:r>
        <w:rPr>
          <w:rFonts w:ascii="Times New Roman" w:hAnsi="Times New Roman" w:cs="Times New Roman"/>
        </w:rPr>
        <w:t>)</w:t>
      </w:r>
      <w:r w:rsidRPr="008F0A52">
        <w:rPr>
          <w:rFonts w:ascii="Times New Roman" w:hAnsi="Times New Roman" w:cs="Times New Roman"/>
        </w:rPr>
        <w:t xml:space="preserve"> </w:t>
      </w:r>
      <w:r>
        <w:rPr>
          <w:rFonts w:ascii="Times New Roman" w:hAnsi="Times New Roman" w:cs="Times New Roman"/>
        </w:rPr>
        <w:t>e</w:t>
      </w:r>
      <w:r w:rsidRPr="008F0A52">
        <w:rPr>
          <w:rFonts w:ascii="Times New Roman" w:hAnsi="Times New Roman" w:cs="Times New Roman"/>
        </w:rPr>
        <w:t xml:space="preserve">xtract on </w:t>
      </w:r>
      <w:r>
        <w:rPr>
          <w:rFonts w:ascii="Times New Roman" w:hAnsi="Times New Roman" w:cs="Times New Roman"/>
        </w:rPr>
        <w:t>o</w:t>
      </w:r>
      <w:r w:rsidRPr="008F0A52">
        <w:rPr>
          <w:rFonts w:ascii="Times New Roman" w:hAnsi="Times New Roman" w:cs="Times New Roman"/>
        </w:rPr>
        <w:t xml:space="preserve">xidative </w:t>
      </w:r>
      <w:r>
        <w:rPr>
          <w:rFonts w:ascii="Times New Roman" w:hAnsi="Times New Roman" w:cs="Times New Roman"/>
        </w:rPr>
        <w:t>s</w:t>
      </w:r>
      <w:r w:rsidRPr="008F0A52">
        <w:rPr>
          <w:rFonts w:ascii="Times New Roman" w:hAnsi="Times New Roman" w:cs="Times New Roman"/>
        </w:rPr>
        <w:t xml:space="preserve">tress </w:t>
      </w:r>
      <w:r>
        <w:rPr>
          <w:rFonts w:ascii="Times New Roman" w:hAnsi="Times New Roman" w:cs="Times New Roman"/>
        </w:rPr>
        <w:t>m</w:t>
      </w:r>
      <w:r w:rsidRPr="008F0A52">
        <w:rPr>
          <w:rFonts w:ascii="Times New Roman" w:hAnsi="Times New Roman" w:cs="Times New Roman"/>
        </w:rPr>
        <w:t xml:space="preserve">arkers </w:t>
      </w:r>
      <w:r>
        <w:rPr>
          <w:rFonts w:ascii="Times New Roman" w:hAnsi="Times New Roman" w:cs="Times New Roman"/>
        </w:rPr>
        <w:t xml:space="preserve">parameters – TBARS </w:t>
      </w:r>
    </w:p>
    <w:p w14:paraId="124EF20F" w14:textId="77777777" w:rsidR="00DD4CBE" w:rsidRDefault="00DD4CBE" w:rsidP="00DD4CBE">
      <w:pPr>
        <w:spacing w:line="480" w:lineRule="auto"/>
        <w:rPr>
          <w:rFonts w:ascii="Times New Roman" w:hAnsi="Times New Roman" w:cs="Times New Roman"/>
        </w:rPr>
      </w:pPr>
    </w:p>
    <w:p w14:paraId="79A8F486" w14:textId="77777777" w:rsidR="00DD4CBE" w:rsidRDefault="00DD4CBE" w:rsidP="00DD4CBE">
      <w:pPr>
        <w:spacing w:line="480"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294D2EBC" wp14:editId="1106AFDA">
            <wp:extent cx="4572000" cy="2743200"/>
            <wp:effectExtent l="0" t="0" r="0" b="0"/>
            <wp:docPr id="2112549915" name="Chart 1">
              <a:extLst xmlns:a="http://schemas.openxmlformats.org/drawingml/2006/main">
                <a:ext uri="{FF2B5EF4-FFF2-40B4-BE49-F238E27FC236}">
                  <a16:creationId xmlns:a16="http://schemas.microsoft.com/office/drawing/2014/main" id="{DC3ED5C1-5184-41A4-768E-B7B9ABACCF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61B9B908" w14:textId="77777777" w:rsidR="00DD4CBE" w:rsidRDefault="00DD4CBE" w:rsidP="00DD4CBE">
      <w:pPr>
        <w:spacing w:line="480" w:lineRule="auto"/>
        <w:rPr>
          <w:rFonts w:ascii="Times New Roman" w:hAnsi="Times New Roman" w:cs="Times New Roman"/>
        </w:rPr>
      </w:pPr>
      <w:r>
        <w:rPr>
          <w:rFonts w:ascii="Times New Roman" w:hAnsi="Times New Roman" w:cs="Times New Roman"/>
          <w:b/>
          <w:bCs/>
        </w:rPr>
        <w:t xml:space="preserve">Figure 7: </w:t>
      </w:r>
      <w:r w:rsidRPr="008F0A52">
        <w:rPr>
          <w:rFonts w:ascii="Times New Roman" w:hAnsi="Times New Roman" w:cs="Times New Roman"/>
        </w:rPr>
        <w:t>Effects of</w:t>
      </w:r>
      <w:r>
        <w:rPr>
          <w:rFonts w:ascii="Times New Roman" w:hAnsi="Times New Roman" w:cs="Times New Roman"/>
        </w:rPr>
        <w:t xml:space="preserve"> </w:t>
      </w:r>
      <w:proofErr w:type="spellStart"/>
      <w:r w:rsidRPr="00A66B8E">
        <w:rPr>
          <w:rFonts w:ascii="Times New Roman" w:hAnsi="Times New Roman" w:cs="Times New Roman"/>
          <w:i/>
          <w:iCs/>
        </w:rPr>
        <w:t>Spondias</w:t>
      </w:r>
      <w:proofErr w:type="spellEnd"/>
      <w:r w:rsidRPr="00A66B8E">
        <w:rPr>
          <w:rFonts w:ascii="Times New Roman" w:hAnsi="Times New Roman" w:cs="Times New Roman"/>
        </w:rPr>
        <w:t xml:space="preserve"> </w:t>
      </w:r>
      <w:r w:rsidRPr="00A66B8E">
        <w:rPr>
          <w:rFonts w:ascii="Times New Roman" w:hAnsi="Times New Roman" w:cs="Times New Roman"/>
          <w:i/>
          <w:iCs/>
        </w:rPr>
        <w:t>mombin</w:t>
      </w:r>
      <w:r w:rsidRPr="00A66B8E">
        <w:rPr>
          <w:rFonts w:ascii="Times New Roman" w:hAnsi="Times New Roman" w:cs="Times New Roman"/>
        </w:rPr>
        <w:t> </w:t>
      </w:r>
      <w:r>
        <w:rPr>
          <w:rFonts w:ascii="Times New Roman" w:hAnsi="Times New Roman" w:cs="Times New Roman"/>
        </w:rPr>
        <w:t>(</w:t>
      </w:r>
      <w:r w:rsidRPr="008F0A52">
        <w:rPr>
          <w:rFonts w:ascii="Times New Roman" w:hAnsi="Times New Roman" w:cs="Times New Roman"/>
        </w:rPr>
        <w:t>SM</w:t>
      </w:r>
      <w:r>
        <w:rPr>
          <w:rFonts w:ascii="Times New Roman" w:hAnsi="Times New Roman" w:cs="Times New Roman"/>
        </w:rPr>
        <w:t>)</w:t>
      </w:r>
      <w:r w:rsidRPr="008F0A52">
        <w:rPr>
          <w:rFonts w:ascii="Times New Roman" w:hAnsi="Times New Roman" w:cs="Times New Roman"/>
        </w:rPr>
        <w:t xml:space="preserve"> </w:t>
      </w:r>
      <w:r>
        <w:rPr>
          <w:rFonts w:ascii="Times New Roman" w:hAnsi="Times New Roman" w:cs="Times New Roman"/>
        </w:rPr>
        <w:t>e</w:t>
      </w:r>
      <w:r w:rsidRPr="008F0A52">
        <w:rPr>
          <w:rFonts w:ascii="Times New Roman" w:hAnsi="Times New Roman" w:cs="Times New Roman"/>
        </w:rPr>
        <w:t xml:space="preserve">xtract on </w:t>
      </w:r>
      <w:r>
        <w:rPr>
          <w:rFonts w:ascii="Times New Roman" w:hAnsi="Times New Roman" w:cs="Times New Roman"/>
        </w:rPr>
        <w:t>o</w:t>
      </w:r>
      <w:r w:rsidRPr="008F0A52">
        <w:rPr>
          <w:rFonts w:ascii="Times New Roman" w:hAnsi="Times New Roman" w:cs="Times New Roman"/>
        </w:rPr>
        <w:t xml:space="preserve">xidative </w:t>
      </w:r>
      <w:r>
        <w:rPr>
          <w:rFonts w:ascii="Times New Roman" w:hAnsi="Times New Roman" w:cs="Times New Roman"/>
        </w:rPr>
        <w:t>s</w:t>
      </w:r>
      <w:r w:rsidRPr="008F0A52">
        <w:rPr>
          <w:rFonts w:ascii="Times New Roman" w:hAnsi="Times New Roman" w:cs="Times New Roman"/>
        </w:rPr>
        <w:t xml:space="preserve">tress </w:t>
      </w:r>
      <w:r>
        <w:rPr>
          <w:rFonts w:ascii="Times New Roman" w:hAnsi="Times New Roman" w:cs="Times New Roman"/>
        </w:rPr>
        <w:t>m</w:t>
      </w:r>
      <w:r w:rsidRPr="008F0A52">
        <w:rPr>
          <w:rFonts w:ascii="Times New Roman" w:hAnsi="Times New Roman" w:cs="Times New Roman"/>
        </w:rPr>
        <w:t xml:space="preserve">arkers </w:t>
      </w:r>
      <w:r>
        <w:rPr>
          <w:rFonts w:ascii="Times New Roman" w:hAnsi="Times New Roman" w:cs="Times New Roman"/>
        </w:rPr>
        <w:t>parameters – GSH</w:t>
      </w:r>
    </w:p>
    <w:p w14:paraId="1D7F7CBE" w14:textId="71DECE96" w:rsidR="00E104C8" w:rsidRPr="00E104C8" w:rsidRDefault="00E104C8" w:rsidP="00E104C8">
      <w:pPr>
        <w:jc w:val="both"/>
        <w:rPr>
          <w:rFonts w:ascii="Times New Roman" w:hAnsi="Times New Roman" w:cs="Times New Roman"/>
          <w:sz w:val="24"/>
          <w:szCs w:val="24"/>
        </w:rPr>
      </w:pPr>
    </w:p>
    <w:p w14:paraId="3EE1556C" w14:textId="77777777" w:rsidR="00E104C8" w:rsidRDefault="00E104C8" w:rsidP="00E104C8">
      <w:pPr>
        <w:jc w:val="both"/>
        <w:rPr>
          <w:rFonts w:ascii="Times New Roman" w:hAnsi="Times New Roman" w:cs="Times New Roman"/>
          <w:sz w:val="24"/>
          <w:szCs w:val="24"/>
        </w:rPr>
      </w:pPr>
    </w:p>
    <w:p w14:paraId="1817C00C" w14:textId="77777777" w:rsidR="00077787" w:rsidRPr="00E104C8" w:rsidRDefault="00077787" w:rsidP="00E104C8">
      <w:pPr>
        <w:jc w:val="both"/>
        <w:rPr>
          <w:rFonts w:ascii="Times New Roman" w:hAnsi="Times New Roman" w:cs="Times New Roman"/>
          <w:sz w:val="24"/>
          <w:szCs w:val="24"/>
        </w:rPr>
      </w:pPr>
    </w:p>
    <w:p w14:paraId="690C132B" w14:textId="550930B4" w:rsidR="00E104C8" w:rsidRPr="00E104C8" w:rsidRDefault="00E104C8" w:rsidP="00E104C8">
      <w:pPr>
        <w:jc w:val="both"/>
        <w:rPr>
          <w:rFonts w:ascii="Times New Roman" w:hAnsi="Times New Roman" w:cs="Times New Roman"/>
          <w:b/>
          <w:bCs/>
          <w:sz w:val="24"/>
          <w:szCs w:val="24"/>
        </w:rPr>
      </w:pPr>
      <w:r w:rsidRPr="00E104C8">
        <w:rPr>
          <w:rFonts w:ascii="Times New Roman" w:hAnsi="Times New Roman" w:cs="Times New Roman"/>
          <w:b/>
          <w:bCs/>
          <w:sz w:val="24"/>
          <w:szCs w:val="24"/>
        </w:rPr>
        <w:lastRenderedPageBreak/>
        <w:t>Discussion</w:t>
      </w:r>
    </w:p>
    <w:p w14:paraId="6273ABA1" w14:textId="0D1AB840" w:rsidR="00E104C8" w:rsidRPr="00E104C8"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 xml:space="preserve">The present study provides compelling evidence for the anti-hyperlipidemic and antioxidant potential of </w:t>
      </w:r>
      <w:proofErr w:type="spellStart"/>
      <w:r w:rsidR="00A051A4" w:rsidRPr="00A051A4">
        <w:rPr>
          <w:rFonts w:ascii="Times New Roman" w:hAnsi="Times New Roman" w:cs="Times New Roman"/>
          <w:i/>
          <w:iCs/>
          <w:sz w:val="24"/>
          <w:szCs w:val="24"/>
        </w:rPr>
        <w:t>Spondias</w:t>
      </w:r>
      <w:proofErr w:type="spellEnd"/>
      <w:r w:rsidR="00A051A4" w:rsidRPr="00A051A4">
        <w:rPr>
          <w:rFonts w:ascii="Times New Roman" w:hAnsi="Times New Roman" w:cs="Times New Roman"/>
          <w:i/>
          <w:iCs/>
          <w:sz w:val="24"/>
          <w:szCs w:val="24"/>
        </w:rPr>
        <w:t xml:space="preserve"> mombin</w:t>
      </w:r>
      <w:r w:rsidRPr="00E104C8">
        <w:rPr>
          <w:rFonts w:ascii="Times New Roman" w:hAnsi="Times New Roman" w:cs="Times New Roman"/>
          <w:sz w:val="24"/>
          <w:szCs w:val="24"/>
        </w:rPr>
        <w:t xml:space="preserve"> (hog plum) extract in a poloxamer 407-induced hyperlipidemic rat model. These findings support the traditional use of this plant in managing metabolic disorders and highlight its relevance in functional food development. The observed lipid-lowering effects can be attributed to the synergistic action of bioactive compounds such as tannins, saponins, flavonoids, and fatty acid derivatives identified through phytochemical and GC-MS analyses.</w:t>
      </w:r>
    </w:p>
    <w:p w14:paraId="3D83485E" w14:textId="398B986F" w:rsidR="00E104C8" w:rsidRPr="00E104C8" w:rsidRDefault="00741C0E" w:rsidP="00E104C8">
      <w:pPr>
        <w:jc w:val="both"/>
        <w:rPr>
          <w:rFonts w:ascii="Times New Roman" w:hAnsi="Times New Roman" w:cs="Times New Roman"/>
          <w:sz w:val="24"/>
          <w:szCs w:val="24"/>
        </w:rPr>
      </w:pPr>
      <w:r>
        <w:rPr>
          <w:rFonts w:ascii="Times New Roman" w:hAnsi="Times New Roman" w:cs="Times New Roman"/>
          <w:sz w:val="24"/>
          <w:szCs w:val="24"/>
        </w:rPr>
        <w:t xml:space="preserve">From </w:t>
      </w:r>
      <w:r w:rsidR="00077787">
        <w:rPr>
          <w:rFonts w:ascii="Times New Roman" w:hAnsi="Times New Roman" w:cs="Times New Roman"/>
          <w:sz w:val="24"/>
          <w:szCs w:val="24"/>
        </w:rPr>
        <w:t>Table 1</w:t>
      </w:r>
      <w:r>
        <w:rPr>
          <w:rFonts w:ascii="Times New Roman" w:hAnsi="Times New Roman" w:cs="Times New Roman"/>
          <w:sz w:val="24"/>
          <w:szCs w:val="24"/>
        </w:rPr>
        <w:t>,</w:t>
      </w:r>
      <w:r w:rsidR="00077787">
        <w:rPr>
          <w:rFonts w:ascii="Times New Roman" w:hAnsi="Times New Roman" w:cs="Times New Roman"/>
          <w:sz w:val="24"/>
          <w:szCs w:val="24"/>
        </w:rPr>
        <w:t xml:space="preserve"> </w:t>
      </w:r>
      <w:r w:rsidR="00E104C8" w:rsidRPr="00E104C8">
        <w:rPr>
          <w:rFonts w:ascii="Times New Roman" w:hAnsi="Times New Roman" w:cs="Times New Roman"/>
          <w:sz w:val="24"/>
          <w:szCs w:val="24"/>
        </w:rPr>
        <w:t xml:space="preserve">Phytochemical screening revealed high concentrations of tannins (57.50 ± 0.01 mg AAE/g), saponins (40.02 ± 0.00 mg/100g), and flavonoids (40.34 ± 0.02 mg RE/g), consistent with previous reports indicating the presence of these secondary metabolites in </w:t>
      </w:r>
      <w:proofErr w:type="spellStart"/>
      <w:r w:rsidR="00E104C8" w:rsidRPr="00A051A4">
        <w:rPr>
          <w:rFonts w:ascii="Times New Roman" w:hAnsi="Times New Roman" w:cs="Times New Roman"/>
          <w:i/>
          <w:iCs/>
          <w:sz w:val="24"/>
          <w:szCs w:val="24"/>
        </w:rPr>
        <w:t>Spondias</w:t>
      </w:r>
      <w:proofErr w:type="spellEnd"/>
      <w:r w:rsidR="00E104C8" w:rsidRPr="00E104C8">
        <w:rPr>
          <w:rFonts w:ascii="Times New Roman" w:hAnsi="Times New Roman" w:cs="Times New Roman"/>
          <w:sz w:val="24"/>
          <w:szCs w:val="24"/>
        </w:rPr>
        <w:t xml:space="preserve"> species (</w:t>
      </w:r>
      <w:proofErr w:type="spellStart"/>
      <w:r w:rsidR="00E104C8" w:rsidRPr="00E104C8">
        <w:rPr>
          <w:rFonts w:ascii="Times New Roman" w:hAnsi="Times New Roman" w:cs="Times New Roman"/>
          <w:sz w:val="24"/>
          <w:szCs w:val="24"/>
        </w:rPr>
        <w:t>Akwu</w:t>
      </w:r>
      <w:proofErr w:type="spellEnd"/>
      <w:r w:rsidR="00E104C8" w:rsidRPr="00E104C8">
        <w:rPr>
          <w:rFonts w:ascii="Times New Roman" w:hAnsi="Times New Roman" w:cs="Times New Roman"/>
          <w:sz w:val="24"/>
          <w:szCs w:val="24"/>
        </w:rPr>
        <w:t xml:space="preserve"> et al., 2024; Sameh et al., 2018). These compounds are well-documented for their </w:t>
      </w:r>
      <w:proofErr w:type="spellStart"/>
      <w:r w:rsidR="00E104C8" w:rsidRPr="00E104C8">
        <w:rPr>
          <w:rFonts w:ascii="Times New Roman" w:hAnsi="Times New Roman" w:cs="Times New Roman"/>
          <w:sz w:val="24"/>
          <w:szCs w:val="24"/>
        </w:rPr>
        <w:t>hypocholesterolemic</w:t>
      </w:r>
      <w:proofErr w:type="spellEnd"/>
      <w:r w:rsidR="00E104C8" w:rsidRPr="00E104C8">
        <w:rPr>
          <w:rFonts w:ascii="Times New Roman" w:hAnsi="Times New Roman" w:cs="Times New Roman"/>
          <w:sz w:val="24"/>
          <w:szCs w:val="24"/>
        </w:rPr>
        <w:t xml:space="preserve"> and antioxidant properties. </w:t>
      </w:r>
      <w:commentRangeStart w:id="7"/>
      <w:r w:rsidR="00E104C8" w:rsidRPr="00E104C8">
        <w:rPr>
          <w:rFonts w:ascii="Times New Roman" w:hAnsi="Times New Roman" w:cs="Times New Roman"/>
          <w:sz w:val="24"/>
          <w:szCs w:val="24"/>
        </w:rPr>
        <w:t>For instance, saponins may reduce intestinal cholesterol absorption by forming micellar complexes with bile acids, thereby promoting fecal excretion of cholesterol metabolites. Flavonoids exert potent antioxidant activity by scavenging reactive oxygen species and inhibiting lipid peroxidation, which is crucial in preventing oxidative stress-mediated endothelial dysfunction and atherosclerosis.</w:t>
      </w:r>
      <w:commentRangeEnd w:id="7"/>
      <w:r w:rsidR="000A5B69">
        <w:rPr>
          <w:rStyle w:val="CommentReference"/>
        </w:rPr>
        <w:commentReference w:id="7"/>
      </w:r>
    </w:p>
    <w:p w14:paraId="61EDCAE2" w14:textId="330FDFEC" w:rsidR="00E104C8" w:rsidRPr="00E104C8"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GC-MS profiling further identified key bioactive constituents, including 9-Octadecenoic acid (Z)-, 2,3-dihydroxypropyl ester (15.32%), Octadecane, 1-chloro- (3.21%), and 9,12-Octadecadienoic acid (</w:t>
      </w:r>
      <w:proofErr w:type="gramStart"/>
      <w:r w:rsidRPr="00E104C8">
        <w:rPr>
          <w:rFonts w:ascii="Times New Roman" w:hAnsi="Times New Roman" w:cs="Times New Roman"/>
          <w:sz w:val="24"/>
          <w:szCs w:val="24"/>
        </w:rPr>
        <w:t>Z,Z</w:t>
      </w:r>
      <w:proofErr w:type="gramEnd"/>
      <w:r w:rsidRPr="00E104C8">
        <w:rPr>
          <w:rFonts w:ascii="Times New Roman" w:hAnsi="Times New Roman" w:cs="Times New Roman"/>
          <w:sz w:val="24"/>
          <w:szCs w:val="24"/>
        </w:rPr>
        <w:t>) (3.92%)</w:t>
      </w:r>
      <w:r w:rsidR="00741C0E">
        <w:rPr>
          <w:rFonts w:ascii="Times New Roman" w:hAnsi="Times New Roman" w:cs="Times New Roman"/>
          <w:sz w:val="24"/>
          <w:szCs w:val="24"/>
        </w:rPr>
        <w:t xml:space="preserve"> as observed in Figure 1 and Table 2</w:t>
      </w:r>
      <w:r w:rsidRPr="00E104C8">
        <w:rPr>
          <w:rFonts w:ascii="Times New Roman" w:hAnsi="Times New Roman" w:cs="Times New Roman"/>
          <w:sz w:val="24"/>
          <w:szCs w:val="24"/>
        </w:rPr>
        <w:t>. These compounds have previously been associated with anti-inflammatory, antithrombotic, and lipid-regulating effects (</w:t>
      </w:r>
      <w:proofErr w:type="spellStart"/>
      <w:r w:rsidRPr="00E104C8">
        <w:rPr>
          <w:rFonts w:ascii="Times New Roman" w:hAnsi="Times New Roman" w:cs="Times New Roman"/>
          <w:sz w:val="24"/>
          <w:szCs w:val="24"/>
        </w:rPr>
        <w:t>Naibaho</w:t>
      </w:r>
      <w:proofErr w:type="spellEnd"/>
      <w:r w:rsidRPr="00E104C8">
        <w:rPr>
          <w:rFonts w:ascii="Times New Roman" w:hAnsi="Times New Roman" w:cs="Times New Roman"/>
          <w:sz w:val="24"/>
          <w:szCs w:val="24"/>
        </w:rPr>
        <w:t xml:space="preserve"> et al., 2021; Venkatakrishnan et al., 2019). Their presence supports the observed biochemical improvements in lipid profiles and antioxidant enzyme activities in hyperlipidemic rats treated with the extract</w:t>
      </w:r>
      <w:r w:rsidR="00741C0E">
        <w:rPr>
          <w:rFonts w:ascii="Times New Roman" w:hAnsi="Times New Roman" w:cs="Times New Roman"/>
          <w:sz w:val="24"/>
          <w:szCs w:val="24"/>
        </w:rPr>
        <w:t xml:space="preserve"> |following the observation expressed in Figure 2-7</w:t>
      </w:r>
      <w:r w:rsidRPr="00E104C8">
        <w:rPr>
          <w:rFonts w:ascii="Times New Roman" w:hAnsi="Times New Roman" w:cs="Times New Roman"/>
          <w:sz w:val="24"/>
          <w:szCs w:val="24"/>
        </w:rPr>
        <w:t>.</w:t>
      </w:r>
    </w:p>
    <w:p w14:paraId="17140B95" w14:textId="66926858" w:rsidR="00E104C8" w:rsidRPr="00E104C8"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 xml:space="preserve">Administration of </w:t>
      </w:r>
      <w:commentRangeStart w:id="8"/>
      <w:proofErr w:type="spellStart"/>
      <w:r w:rsidR="00A051A4" w:rsidRPr="00A051A4">
        <w:rPr>
          <w:rFonts w:ascii="Times New Roman" w:hAnsi="Times New Roman" w:cs="Times New Roman"/>
          <w:i/>
          <w:iCs/>
          <w:sz w:val="24"/>
          <w:szCs w:val="24"/>
        </w:rPr>
        <w:t>Spondias</w:t>
      </w:r>
      <w:proofErr w:type="spellEnd"/>
      <w:r w:rsidR="00A051A4" w:rsidRPr="00A051A4">
        <w:rPr>
          <w:rFonts w:ascii="Times New Roman" w:hAnsi="Times New Roman" w:cs="Times New Roman"/>
          <w:i/>
          <w:iCs/>
          <w:sz w:val="24"/>
          <w:szCs w:val="24"/>
        </w:rPr>
        <w:t xml:space="preserve"> mombin</w:t>
      </w:r>
      <w:r w:rsidRPr="00E104C8">
        <w:rPr>
          <w:rFonts w:ascii="Times New Roman" w:hAnsi="Times New Roman" w:cs="Times New Roman"/>
          <w:sz w:val="24"/>
          <w:szCs w:val="24"/>
        </w:rPr>
        <w:t xml:space="preserve"> </w:t>
      </w:r>
      <w:commentRangeEnd w:id="8"/>
      <w:r w:rsidR="000A5B69">
        <w:rPr>
          <w:rStyle w:val="CommentReference"/>
        </w:rPr>
        <w:commentReference w:id="8"/>
      </w:r>
      <w:r w:rsidRPr="00E104C8">
        <w:rPr>
          <w:rFonts w:ascii="Times New Roman" w:hAnsi="Times New Roman" w:cs="Times New Roman"/>
          <w:sz w:val="24"/>
          <w:szCs w:val="24"/>
        </w:rPr>
        <w:t xml:space="preserve">extract at doses of 100 and 200 mg/kg significantly improved lipid parameters in poloxamer 407-induced hyperlipidemic rats. Specifically, total cholesterol and triglycerides </w:t>
      </w:r>
      <w:r w:rsidR="00741C0E">
        <w:rPr>
          <w:rFonts w:ascii="Times New Roman" w:hAnsi="Times New Roman" w:cs="Times New Roman"/>
          <w:sz w:val="24"/>
          <w:szCs w:val="24"/>
        </w:rPr>
        <w:t xml:space="preserve">(Figure 2) </w:t>
      </w:r>
      <w:r w:rsidRPr="00E104C8">
        <w:rPr>
          <w:rFonts w:ascii="Times New Roman" w:hAnsi="Times New Roman" w:cs="Times New Roman"/>
          <w:sz w:val="24"/>
          <w:szCs w:val="24"/>
        </w:rPr>
        <w:t>were reduced, while HDL-C levels increased</w:t>
      </w:r>
      <w:r w:rsidR="00741C0E">
        <w:rPr>
          <w:rFonts w:ascii="Times New Roman" w:hAnsi="Times New Roman" w:cs="Times New Roman"/>
          <w:sz w:val="24"/>
          <w:szCs w:val="24"/>
        </w:rPr>
        <w:t xml:space="preserve"> (Figure 3)</w:t>
      </w:r>
      <w:r w:rsidRPr="00E104C8">
        <w:rPr>
          <w:rFonts w:ascii="Times New Roman" w:hAnsi="Times New Roman" w:cs="Times New Roman"/>
          <w:sz w:val="24"/>
          <w:szCs w:val="24"/>
        </w:rPr>
        <w:t>, leading to favorable alterations in atherogenic indices such as the atherogenic coefficient (AC) and cardiac risk ratio (CRR)</w:t>
      </w:r>
      <w:r w:rsidR="00741C0E">
        <w:rPr>
          <w:rFonts w:ascii="Times New Roman" w:hAnsi="Times New Roman" w:cs="Times New Roman"/>
          <w:sz w:val="24"/>
          <w:szCs w:val="24"/>
        </w:rPr>
        <w:t xml:space="preserve"> (Figure 4)</w:t>
      </w:r>
      <w:r w:rsidRPr="00E104C8">
        <w:rPr>
          <w:rFonts w:ascii="Times New Roman" w:hAnsi="Times New Roman" w:cs="Times New Roman"/>
          <w:sz w:val="24"/>
          <w:szCs w:val="24"/>
        </w:rPr>
        <w:t>. These findings align with earlier studies that demonstrated similar lipid-lowering effects using plant extracts rich in polyphenolic and triterpenoid compounds (Sandner et al., 2020; Bahr et al., 2021).</w:t>
      </w:r>
    </w:p>
    <w:p w14:paraId="49673E1E" w14:textId="367D5997" w:rsidR="00E104C8" w:rsidRPr="00E104C8"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Oxidative stress markers also showed marked improvement following treatment. Lipid peroxidation was significantly decreased, while superoxide dismutase (SOD) activity increased by over 150%, suggesting enhanced endogenous antioxidant defense mechanisms</w:t>
      </w:r>
      <w:r w:rsidR="001F5CB7">
        <w:rPr>
          <w:rFonts w:ascii="Times New Roman" w:hAnsi="Times New Roman" w:cs="Times New Roman"/>
          <w:sz w:val="24"/>
          <w:szCs w:val="24"/>
        </w:rPr>
        <w:t xml:space="preserve"> as revealed in Figure 5</w:t>
      </w:r>
      <w:r w:rsidRPr="00E104C8">
        <w:rPr>
          <w:rFonts w:ascii="Times New Roman" w:hAnsi="Times New Roman" w:cs="Times New Roman"/>
          <w:sz w:val="24"/>
          <w:szCs w:val="24"/>
        </w:rPr>
        <w:t>. This effect may contribute to the overall cardioprotective benefits of the extract, as oxidative stress plays a pivotal role in the pathogenesis of cardiovascular diseases</w:t>
      </w:r>
    </w:p>
    <w:p w14:paraId="18C6EF39" w14:textId="05862545" w:rsidR="00E104C8" w:rsidRPr="00E104C8"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 xml:space="preserve">Notably, the absence of adverse effects in preliminary safety assessments indicates that the extract can be administered at the tested doses without significant toxicity concerns. This observation is consistent with previous studies that reported no observable behavioral or physiological changes in animals treated with </w:t>
      </w:r>
      <w:commentRangeStart w:id="9"/>
      <w:proofErr w:type="spellStart"/>
      <w:r w:rsidRPr="00A051A4">
        <w:rPr>
          <w:rFonts w:ascii="Times New Roman" w:hAnsi="Times New Roman" w:cs="Times New Roman"/>
          <w:i/>
          <w:iCs/>
          <w:sz w:val="24"/>
          <w:szCs w:val="24"/>
        </w:rPr>
        <w:t>Spondias</w:t>
      </w:r>
      <w:proofErr w:type="spellEnd"/>
      <w:r w:rsidRPr="00E104C8">
        <w:rPr>
          <w:rFonts w:ascii="Times New Roman" w:hAnsi="Times New Roman" w:cs="Times New Roman"/>
          <w:sz w:val="24"/>
          <w:szCs w:val="24"/>
        </w:rPr>
        <w:t xml:space="preserve"> </w:t>
      </w:r>
      <w:commentRangeEnd w:id="9"/>
      <w:r w:rsidR="00A04E3C">
        <w:rPr>
          <w:rStyle w:val="CommentReference"/>
        </w:rPr>
        <w:commentReference w:id="9"/>
      </w:r>
      <w:r w:rsidRPr="00E104C8">
        <w:rPr>
          <w:rFonts w:ascii="Times New Roman" w:hAnsi="Times New Roman" w:cs="Times New Roman"/>
          <w:sz w:val="24"/>
          <w:szCs w:val="24"/>
        </w:rPr>
        <w:t xml:space="preserve">extracts (Bukunmi </w:t>
      </w:r>
      <w:proofErr w:type="spellStart"/>
      <w:r w:rsidRPr="00E104C8">
        <w:rPr>
          <w:rFonts w:ascii="Times New Roman" w:hAnsi="Times New Roman" w:cs="Times New Roman"/>
          <w:sz w:val="24"/>
          <w:szCs w:val="24"/>
        </w:rPr>
        <w:t>Ogunro</w:t>
      </w:r>
      <w:proofErr w:type="spellEnd"/>
      <w:r w:rsidRPr="00E104C8">
        <w:rPr>
          <w:rFonts w:ascii="Times New Roman" w:hAnsi="Times New Roman" w:cs="Times New Roman"/>
          <w:sz w:val="24"/>
          <w:szCs w:val="24"/>
        </w:rPr>
        <w:t>, 2023). However, further sub-chronic and chronic toxicity studies are recommended before advancing to clinical trials.</w:t>
      </w:r>
    </w:p>
    <w:p w14:paraId="22D42DE2" w14:textId="77777777" w:rsidR="00E104C8" w:rsidRPr="00E104C8" w:rsidRDefault="00E104C8" w:rsidP="00E104C8">
      <w:pPr>
        <w:jc w:val="both"/>
        <w:rPr>
          <w:rFonts w:ascii="Times New Roman" w:hAnsi="Times New Roman" w:cs="Times New Roman"/>
          <w:sz w:val="24"/>
          <w:szCs w:val="24"/>
        </w:rPr>
      </w:pPr>
    </w:p>
    <w:p w14:paraId="40F0F837" w14:textId="730E07D0" w:rsidR="00E104C8" w:rsidRPr="00E104C8"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 xml:space="preserve">The results support the integration of </w:t>
      </w:r>
      <w:commentRangeStart w:id="10"/>
      <w:proofErr w:type="spellStart"/>
      <w:r w:rsidR="00A051A4" w:rsidRPr="00A051A4">
        <w:rPr>
          <w:rFonts w:ascii="Times New Roman" w:hAnsi="Times New Roman" w:cs="Times New Roman"/>
          <w:i/>
          <w:iCs/>
          <w:sz w:val="24"/>
          <w:szCs w:val="24"/>
        </w:rPr>
        <w:t>Spondias</w:t>
      </w:r>
      <w:proofErr w:type="spellEnd"/>
      <w:r w:rsidR="00A051A4" w:rsidRPr="00A051A4">
        <w:rPr>
          <w:rFonts w:ascii="Times New Roman" w:hAnsi="Times New Roman" w:cs="Times New Roman"/>
          <w:i/>
          <w:iCs/>
          <w:sz w:val="24"/>
          <w:szCs w:val="24"/>
        </w:rPr>
        <w:t xml:space="preserve"> mombin</w:t>
      </w:r>
      <w:r w:rsidRPr="00E104C8">
        <w:rPr>
          <w:rFonts w:ascii="Times New Roman" w:hAnsi="Times New Roman" w:cs="Times New Roman"/>
          <w:sz w:val="24"/>
          <w:szCs w:val="24"/>
        </w:rPr>
        <w:t xml:space="preserve"> </w:t>
      </w:r>
      <w:commentRangeEnd w:id="10"/>
      <w:r w:rsidR="000A5B69">
        <w:rPr>
          <w:rStyle w:val="CommentReference"/>
        </w:rPr>
        <w:commentReference w:id="10"/>
      </w:r>
      <w:r w:rsidRPr="00E104C8">
        <w:rPr>
          <w:rFonts w:ascii="Times New Roman" w:hAnsi="Times New Roman" w:cs="Times New Roman"/>
          <w:sz w:val="24"/>
          <w:szCs w:val="24"/>
        </w:rPr>
        <w:t>into functional food formulations due to its multi-targeted mechanism of action and natural origin. Incorporating the extract into food matrices such as fortified beverages, nutraceutical bars, or encapsulated delivery systems could enhance consumer compliance and provide long-term cardiovascular benefits. Moreover, its lipid-lowering and antioxidant properties align with the concept of functional foods aimed at disease prevention rather than merely nutritional supplementation (Granato et al., 2017; Russo et al., 2021).</w:t>
      </w:r>
    </w:p>
    <w:p w14:paraId="72627577" w14:textId="002491C8" w:rsidR="00E104C8" w:rsidRPr="00E104C8" w:rsidRDefault="00E104C8" w:rsidP="00E104C8">
      <w:pPr>
        <w:jc w:val="both"/>
        <w:rPr>
          <w:rFonts w:ascii="Times New Roman" w:hAnsi="Times New Roman" w:cs="Times New Roman"/>
          <w:sz w:val="24"/>
          <w:szCs w:val="24"/>
        </w:rPr>
      </w:pPr>
      <w:proofErr w:type="spellStart"/>
      <w:r w:rsidRPr="00A051A4">
        <w:rPr>
          <w:rFonts w:ascii="Times New Roman" w:hAnsi="Times New Roman" w:cs="Times New Roman"/>
          <w:i/>
          <w:iCs/>
          <w:sz w:val="24"/>
          <w:szCs w:val="24"/>
        </w:rPr>
        <w:t>Spondias</w:t>
      </w:r>
      <w:proofErr w:type="spellEnd"/>
      <w:r w:rsidRPr="00E104C8">
        <w:rPr>
          <w:rFonts w:ascii="Times New Roman" w:hAnsi="Times New Roman" w:cs="Times New Roman"/>
          <w:sz w:val="24"/>
          <w:szCs w:val="24"/>
        </w:rPr>
        <w:t xml:space="preserve"> </w:t>
      </w:r>
      <w:r w:rsidRPr="00A051A4">
        <w:rPr>
          <w:rFonts w:ascii="Times New Roman" w:hAnsi="Times New Roman" w:cs="Times New Roman"/>
          <w:i/>
          <w:iCs/>
          <w:sz w:val="24"/>
          <w:szCs w:val="24"/>
        </w:rPr>
        <w:t>mombin</w:t>
      </w:r>
      <w:r w:rsidRPr="00E104C8">
        <w:rPr>
          <w:rFonts w:ascii="Times New Roman" w:hAnsi="Times New Roman" w:cs="Times New Roman"/>
          <w:sz w:val="24"/>
          <w:szCs w:val="24"/>
        </w:rPr>
        <w:t>’s high tannin levels</w:t>
      </w:r>
      <w:r w:rsidR="001F5CB7">
        <w:rPr>
          <w:rFonts w:ascii="Times New Roman" w:hAnsi="Times New Roman" w:cs="Times New Roman"/>
          <w:sz w:val="24"/>
          <w:szCs w:val="24"/>
        </w:rPr>
        <w:t xml:space="preserve"> (Table 1)</w:t>
      </w:r>
      <w:r w:rsidRPr="00E104C8">
        <w:rPr>
          <w:rFonts w:ascii="Times New Roman" w:hAnsi="Times New Roman" w:cs="Times New Roman"/>
          <w:sz w:val="24"/>
          <w:szCs w:val="24"/>
        </w:rPr>
        <w:t xml:space="preserve"> also make it a candidate for natural preservatives in food industries, where tannins inhibit lipid oxidation and microbial spoilage (</w:t>
      </w:r>
      <w:proofErr w:type="spellStart"/>
      <w:r w:rsidRPr="00E104C8">
        <w:rPr>
          <w:rFonts w:ascii="Times New Roman" w:hAnsi="Times New Roman" w:cs="Times New Roman"/>
          <w:sz w:val="24"/>
          <w:szCs w:val="24"/>
        </w:rPr>
        <w:t>Ohiri</w:t>
      </w:r>
      <w:proofErr w:type="spellEnd"/>
      <w:r w:rsidRPr="00E104C8">
        <w:rPr>
          <w:rFonts w:ascii="Times New Roman" w:hAnsi="Times New Roman" w:cs="Times New Roman"/>
          <w:sz w:val="24"/>
          <w:szCs w:val="24"/>
        </w:rPr>
        <w:t xml:space="preserve"> et al., 2023). This dual functionality—both as a therapeutic agent and a food preservative—enhances its commercial viability in the development of value-added functional products.</w:t>
      </w:r>
    </w:p>
    <w:p w14:paraId="46415AA1" w14:textId="3DE8F0DC" w:rsidR="00E104C8" w:rsidRPr="00E104C8"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 xml:space="preserve">Furthermore, the observed dose-dependent response suggests that careful titration of the extract is necessary to maximize efficacy. Although higher doses (e.g., 400 mg/kg) were </w:t>
      </w:r>
      <w:r w:rsidR="001F5CB7">
        <w:rPr>
          <w:rFonts w:ascii="Times New Roman" w:hAnsi="Times New Roman" w:cs="Times New Roman"/>
          <w:sz w:val="24"/>
          <w:szCs w:val="24"/>
        </w:rPr>
        <w:t>employ</w:t>
      </w:r>
      <w:r w:rsidRPr="00E104C8">
        <w:rPr>
          <w:rFonts w:ascii="Times New Roman" w:hAnsi="Times New Roman" w:cs="Times New Roman"/>
          <w:sz w:val="24"/>
          <w:szCs w:val="24"/>
        </w:rPr>
        <w:t>ed, highlighting the need for optimal dosing strategies. This is particularly important for translational applications, especially if the extract is intended for long-term consumption as part of dietary interventions.</w:t>
      </w:r>
    </w:p>
    <w:p w14:paraId="032C66C7" w14:textId="77777777" w:rsidR="00E104C8" w:rsidRPr="00E104C8"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The experimental model used in this study—poloxamer 407-induced hyperlipidemia—is a well-established method for evaluating acute lipid elevation and testing hypolipidemic agents (</w:t>
      </w:r>
      <w:proofErr w:type="spellStart"/>
      <w:r w:rsidRPr="00E104C8">
        <w:rPr>
          <w:rFonts w:ascii="Times New Roman" w:hAnsi="Times New Roman" w:cs="Times New Roman"/>
          <w:sz w:val="24"/>
          <w:szCs w:val="24"/>
        </w:rPr>
        <w:t>Samarghandian</w:t>
      </w:r>
      <w:proofErr w:type="spellEnd"/>
      <w:r w:rsidRPr="00E104C8">
        <w:rPr>
          <w:rFonts w:ascii="Times New Roman" w:hAnsi="Times New Roman" w:cs="Times New Roman"/>
          <w:sz w:val="24"/>
          <w:szCs w:val="24"/>
        </w:rPr>
        <w:t xml:space="preserve"> et al., 2013). Blood samples were collected via cardiac puncture and analyzed using a Cardio Check device (Mission Cholesterol Meter, model CCM-111, Germany), with atorvastatin serving as the reference drug. The consistency of lipid profile trends across replicate groups strengthens the reliability of the observed outcomes.</w:t>
      </w:r>
    </w:p>
    <w:p w14:paraId="294DF531" w14:textId="6DF79B5A" w:rsidR="00E104C8" w:rsidRPr="00E104C8"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 xml:space="preserve">Importantly, the current findings corroborate existing literature on the genus </w:t>
      </w:r>
      <w:proofErr w:type="spellStart"/>
      <w:r w:rsidRPr="001F5CB7">
        <w:rPr>
          <w:rFonts w:ascii="Times New Roman" w:hAnsi="Times New Roman" w:cs="Times New Roman"/>
          <w:i/>
          <w:iCs/>
          <w:sz w:val="24"/>
          <w:szCs w:val="24"/>
        </w:rPr>
        <w:t>Spondias</w:t>
      </w:r>
      <w:proofErr w:type="spellEnd"/>
      <w:r w:rsidRPr="00E104C8">
        <w:rPr>
          <w:rFonts w:ascii="Times New Roman" w:hAnsi="Times New Roman" w:cs="Times New Roman"/>
          <w:sz w:val="24"/>
          <w:szCs w:val="24"/>
        </w:rPr>
        <w:t>, which has been shown to possess diverse pharmacological activities, including antimicrobial, anti-inflammatory, and antidiabetic effects (Moke et al., 2024; Mondal et al., 2021). The addition of lipid-modulating activity broadens its therapeutic spectrum and underscores its importance in integrative health approaches.</w:t>
      </w:r>
    </w:p>
    <w:p w14:paraId="11FA2875" w14:textId="77777777" w:rsidR="001F5CB7"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 xml:space="preserve">From a public health perspective, the increasing global burden of non-communicable diseases, particularly cardiovascular conditions, necessitates innovative and accessible solutions. Functional foods enriched with plant-based </w:t>
      </w:r>
      <w:proofErr w:type="spellStart"/>
      <w:r w:rsidRPr="00E104C8">
        <w:rPr>
          <w:rFonts w:ascii="Times New Roman" w:hAnsi="Times New Roman" w:cs="Times New Roman"/>
          <w:sz w:val="24"/>
          <w:szCs w:val="24"/>
        </w:rPr>
        <w:t>bioactives</w:t>
      </w:r>
      <w:proofErr w:type="spellEnd"/>
      <w:r w:rsidRPr="00E104C8">
        <w:rPr>
          <w:rFonts w:ascii="Times New Roman" w:hAnsi="Times New Roman" w:cs="Times New Roman"/>
          <w:sz w:val="24"/>
          <w:szCs w:val="24"/>
        </w:rPr>
        <w:t xml:space="preserve"> offer a sustainable and preventive approach to managing dyslipidemia and reducing the risk of associated complications. The Mediterranean diet, for example, emphasizes the inclusion of natural antioxidants and lipid-lowering foods, aligning closely with the principles underlying this research (Russo et al., 2021).</w:t>
      </w:r>
      <w:r w:rsidR="00A051A4">
        <w:rPr>
          <w:rFonts w:ascii="Times New Roman" w:hAnsi="Times New Roman" w:cs="Times New Roman"/>
          <w:sz w:val="24"/>
          <w:szCs w:val="24"/>
        </w:rPr>
        <w:t xml:space="preserve"> T</w:t>
      </w:r>
      <w:r w:rsidRPr="00E104C8">
        <w:rPr>
          <w:rFonts w:ascii="Times New Roman" w:hAnsi="Times New Roman" w:cs="Times New Roman"/>
          <w:sz w:val="24"/>
          <w:szCs w:val="24"/>
        </w:rPr>
        <w:t xml:space="preserve">his study confirms the anti-hyperlipidemic and antioxidant efficacy of </w:t>
      </w:r>
      <w:proofErr w:type="spellStart"/>
      <w:r w:rsidR="00A051A4" w:rsidRPr="00A051A4">
        <w:rPr>
          <w:rFonts w:ascii="Times New Roman" w:hAnsi="Times New Roman" w:cs="Times New Roman"/>
          <w:i/>
          <w:iCs/>
          <w:sz w:val="24"/>
          <w:szCs w:val="24"/>
        </w:rPr>
        <w:t>Spondias</w:t>
      </w:r>
      <w:proofErr w:type="spellEnd"/>
      <w:r w:rsidR="00A051A4" w:rsidRPr="00A051A4">
        <w:rPr>
          <w:rFonts w:ascii="Times New Roman" w:hAnsi="Times New Roman" w:cs="Times New Roman"/>
          <w:i/>
          <w:iCs/>
          <w:sz w:val="24"/>
          <w:szCs w:val="24"/>
        </w:rPr>
        <w:t xml:space="preserve"> mombin</w:t>
      </w:r>
      <w:r w:rsidRPr="00E104C8">
        <w:rPr>
          <w:rFonts w:ascii="Times New Roman" w:hAnsi="Times New Roman" w:cs="Times New Roman"/>
          <w:sz w:val="24"/>
          <w:szCs w:val="24"/>
        </w:rPr>
        <w:t xml:space="preserve"> extract in an experimental model of hyperlipidemia. The findings validate the ethnopharmacological use of this plant and underscore its potential as a functional food ingredient. Future research should focus on formulation development, sensory evaluation, and human clinical trials to establish its efficacy and safety in target populations.</w:t>
      </w:r>
    </w:p>
    <w:p w14:paraId="21CE61C4" w14:textId="2B6D0F8C" w:rsidR="00E104C8" w:rsidRPr="001F5CB7" w:rsidRDefault="00E104C8" w:rsidP="00E104C8">
      <w:pPr>
        <w:jc w:val="both"/>
        <w:rPr>
          <w:rFonts w:ascii="Times New Roman" w:hAnsi="Times New Roman" w:cs="Times New Roman"/>
          <w:sz w:val="24"/>
          <w:szCs w:val="24"/>
        </w:rPr>
      </w:pPr>
      <w:r w:rsidRPr="00E104C8">
        <w:rPr>
          <w:rFonts w:ascii="Times New Roman" w:hAnsi="Times New Roman" w:cs="Times New Roman"/>
          <w:b/>
          <w:bCs/>
          <w:sz w:val="24"/>
          <w:szCs w:val="24"/>
        </w:rPr>
        <w:lastRenderedPageBreak/>
        <w:t>Conclusion</w:t>
      </w:r>
    </w:p>
    <w:p w14:paraId="22DF0535" w14:textId="4E769226" w:rsidR="00E104C8" w:rsidRPr="00E104C8" w:rsidRDefault="00E104C8" w:rsidP="00E104C8">
      <w:pPr>
        <w:jc w:val="both"/>
        <w:rPr>
          <w:rFonts w:ascii="Times New Roman" w:hAnsi="Times New Roman" w:cs="Times New Roman"/>
          <w:b/>
          <w:bCs/>
          <w:sz w:val="24"/>
          <w:szCs w:val="24"/>
        </w:rPr>
      </w:pPr>
      <w:r w:rsidRPr="00E104C8">
        <w:rPr>
          <w:rFonts w:ascii="Times New Roman" w:hAnsi="Times New Roman" w:cs="Times New Roman"/>
          <w:sz w:val="24"/>
          <w:szCs w:val="24"/>
        </w:rPr>
        <w:t xml:space="preserve">The present study demonstrates that </w:t>
      </w:r>
      <w:proofErr w:type="spellStart"/>
      <w:r w:rsidR="00A051A4" w:rsidRPr="00A051A4">
        <w:rPr>
          <w:rFonts w:ascii="Times New Roman" w:hAnsi="Times New Roman" w:cs="Times New Roman"/>
          <w:i/>
          <w:iCs/>
          <w:sz w:val="24"/>
          <w:szCs w:val="24"/>
        </w:rPr>
        <w:t>Spondias</w:t>
      </w:r>
      <w:proofErr w:type="spellEnd"/>
      <w:r w:rsidR="00A051A4" w:rsidRPr="00A051A4">
        <w:rPr>
          <w:rFonts w:ascii="Times New Roman" w:hAnsi="Times New Roman" w:cs="Times New Roman"/>
          <w:i/>
          <w:iCs/>
          <w:sz w:val="24"/>
          <w:szCs w:val="24"/>
        </w:rPr>
        <w:t xml:space="preserve"> mombin</w:t>
      </w:r>
      <w:r w:rsidRPr="00E104C8">
        <w:rPr>
          <w:rFonts w:ascii="Times New Roman" w:hAnsi="Times New Roman" w:cs="Times New Roman"/>
          <w:sz w:val="24"/>
          <w:szCs w:val="24"/>
        </w:rPr>
        <w:t xml:space="preserve"> (hog plum) extract exhibits significant anti-hyperlipidemic and antioxidant activity in a poloxamer 407-induced hyperlipidemic rat model. The phytochemical profile revealed high concentrations of tannins (57.50 ± 0.01 mg AAE/g), saponins (40.02 ± 0.00 mg/100g), flavonoids (40.34 ± 0.02 mg RE/g), and alkaloids (44.97 ± 0.03 mg/100g), which are well-documented for their lipid-lowering and antioxidant properties. GC-MS profiling identified several bioactive compounds, including γ-tocopherol (14.65%), stigmasterol (1.15%), and α-</w:t>
      </w:r>
      <w:proofErr w:type="spellStart"/>
      <w:r w:rsidRPr="00E104C8">
        <w:rPr>
          <w:rFonts w:ascii="Times New Roman" w:hAnsi="Times New Roman" w:cs="Times New Roman"/>
          <w:sz w:val="24"/>
          <w:szCs w:val="24"/>
        </w:rPr>
        <w:t>tocopheryl</w:t>
      </w:r>
      <w:proofErr w:type="spellEnd"/>
      <w:r w:rsidRPr="00E104C8">
        <w:rPr>
          <w:rFonts w:ascii="Times New Roman" w:hAnsi="Times New Roman" w:cs="Times New Roman"/>
          <w:sz w:val="24"/>
          <w:szCs w:val="24"/>
        </w:rPr>
        <w:t xml:space="preserve"> acetate (1.37%), which have been previously associated with anti-inflammatory, antithrombotic, and cholesterol-regulating effects. These findings suggest that the observed biological activities may be attributed to the synergistic action of these bioactive constituents.</w:t>
      </w:r>
    </w:p>
    <w:p w14:paraId="49726310" w14:textId="2767777E" w:rsidR="00E104C8" w:rsidRPr="00E104C8"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 xml:space="preserve">Administration of </w:t>
      </w:r>
      <w:proofErr w:type="spellStart"/>
      <w:r w:rsidR="00A051A4" w:rsidRPr="00A051A4">
        <w:rPr>
          <w:rFonts w:ascii="Times New Roman" w:hAnsi="Times New Roman" w:cs="Times New Roman"/>
          <w:i/>
          <w:iCs/>
          <w:sz w:val="24"/>
          <w:szCs w:val="24"/>
        </w:rPr>
        <w:t>Spondias</w:t>
      </w:r>
      <w:proofErr w:type="spellEnd"/>
      <w:r w:rsidR="00A051A4" w:rsidRPr="00A051A4">
        <w:rPr>
          <w:rFonts w:ascii="Times New Roman" w:hAnsi="Times New Roman" w:cs="Times New Roman"/>
          <w:i/>
          <w:iCs/>
          <w:sz w:val="24"/>
          <w:szCs w:val="24"/>
        </w:rPr>
        <w:t xml:space="preserve"> mombin</w:t>
      </w:r>
      <w:r w:rsidRPr="00E104C8">
        <w:rPr>
          <w:rFonts w:ascii="Times New Roman" w:hAnsi="Times New Roman" w:cs="Times New Roman"/>
          <w:sz w:val="24"/>
          <w:szCs w:val="24"/>
        </w:rPr>
        <w:t xml:space="preserve"> extract at doses of 200 and 400 mg/kg body weight significantly improved lipid profiles in hyperlipidemic rats. Total cholesterol (TC) and triglycerides (TAG) were reduced, while HDL-C levels increased, leading to favorable modifications in atherogenic indices such as the atherogenic coefficient (AC) and cardiac risk index (CRI). Oxidative stress markers also showed improvement, with a notable decrease in TBARS levels and an increase in SOD and </w:t>
      </w:r>
      <w:proofErr w:type="spellStart"/>
      <w:r w:rsidRPr="00E104C8">
        <w:rPr>
          <w:rFonts w:ascii="Times New Roman" w:hAnsi="Times New Roman" w:cs="Times New Roman"/>
          <w:sz w:val="24"/>
          <w:szCs w:val="24"/>
        </w:rPr>
        <w:t>GPx</w:t>
      </w:r>
      <w:proofErr w:type="spellEnd"/>
      <w:r w:rsidRPr="00E104C8">
        <w:rPr>
          <w:rFonts w:ascii="Times New Roman" w:hAnsi="Times New Roman" w:cs="Times New Roman"/>
          <w:sz w:val="24"/>
          <w:szCs w:val="24"/>
        </w:rPr>
        <w:t xml:space="preserve"> activities, indicating enhanced endogenous antioxidant defense mechanisms. These results align with previous studies showing similar lipid-lowering effects using plant extracts rich in polyphenolic and triterpenoid compounds (Lucena et al., 2022; Malik et al., 2023), reinforcing the therapeutic potential of </w:t>
      </w:r>
      <w:proofErr w:type="spellStart"/>
      <w:r w:rsidR="00A051A4" w:rsidRPr="00A051A4">
        <w:rPr>
          <w:rFonts w:ascii="Times New Roman" w:hAnsi="Times New Roman" w:cs="Times New Roman"/>
          <w:i/>
          <w:iCs/>
          <w:sz w:val="24"/>
          <w:szCs w:val="24"/>
        </w:rPr>
        <w:t>Spondias</w:t>
      </w:r>
      <w:proofErr w:type="spellEnd"/>
      <w:r w:rsidR="00A051A4" w:rsidRPr="00A051A4">
        <w:rPr>
          <w:rFonts w:ascii="Times New Roman" w:hAnsi="Times New Roman" w:cs="Times New Roman"/>
          <w:i/>
          <w:iCs/>
          <w:sz w:val="24"/>
          <w:szCs w:val="24"/>
        </w:rPr>
        <w:t xml:space="preserve"> mombin</w:t>
      </w:r>
      <w:r w:rsidRPr="00E104C8">
        <w:rPr>
          <w:rFonts w:ascii="Times New Roman" w:hAnsi="Times New Roman" w:cs="Times New Roman"/>
          <w:sz w:val="24"/>
          <w:szCs w:val="24"/>
        </w:rPr>
        <w:t xml:space="preserve"> in managing dyslipidemia.</w:t>
      </w:r>
    </w:p>
    <w:p w14:paraId="30E75433" w14:textId="457F597D" w:rsidR="00E104C8" w:rsidRPr="00E104C8" w:rsidRDefault="00E104C8" w:rsidP="00E104C8">
      <w:pPr>
        <w:jc w:val="both"/>
        <w:rPr>
          <w:rFonts w:ascii="Times New Roman" w:hAnsi="Times New Roman" w:cs="Times New Roman"/>
          <w:sz w:val="24"/>
          <w:szCs w:val="24"/>
        </w:rPr>
      </w:pPr>
      <w:r w:rsidRPr="00E104C8">
        <w:rPr>
          <w:rFonts w:ascii="Times New Roman" w:hAnsi="Times New Roman" w:cs="Times New Roman"/>
          <w:sz w:val="24"/>
          <w:szCs w:val="24"/>
        </w:rPr>
        <w:t xml:space="preserve">The observed effects support the traditional use of </w:t>
      </w:r>
      <w:proofErr w:type="spellStart"/>
      <w:r w:rsidR="00A051A4" w:rsidRPr="00A051A4">
        <w:rPr>
          <w:rFonts w:ascii="Times New Roman" w:hAnsi="Times New Roman" w:cs="Times New Roman"/>
          <w:i/>
          <w:iCs/>
          <w:sz w:val="24"/>
          <w:szCs w:val="24"/>
        </w:rPr>
        <w:t>Spondias</w:t>
      </w:r>
      <w:proofErr w:type="spellEnd"/>
      <w:r w:rsidR="00A051A4" w:rsidRPr="00A051A4">
        <w:rPr>
          <w:rFonts w:ascii="Times New Roman" w:hAnsi="Times New Roman" w:cs="Times New Roman"/>
          <w:i/>
          <w:iCs/>
          <w:sz w:val="24"/>
          <w:szCs w:val="24"/>
        </w:rPr>
        <w:t xml:space="preserve"> mombin</w:t>
      </w:r>
      <w:r w:rsidRPr="00E104C8">
        <w:rPr>
          <w:rFonts w:ascii="Times New Roman" w:hAnsi="Times New Roman" w:cs="Times New Roman"/>
          <w:sz w:val="24"/>
          <w:szCs w:val="24"/>
        </w:rPr>
        <w:t xml:space="preserve"> in managing metabolic disorders and underscore its relevance in functional food development. Its multi-targeted mechanism of action, coupled with natural origin and absence of observable toxicity in preliminary assessments, makes it a promising candidate for incorporation into nutraceuticals or functional foods aimed at preventing or managing cardiovascular diseases. Future studies should focus on optimizing formulation strategies for stability and bioavailability, conducting sensory evaluation, and advancing to human clinical trials to validate these findings in target populations. Sub-chronic and chronic toxicity studies are also recommended to ensure long-term safety before commercial application.</w:t>
      </w:r>
    </w:p>
    <w:p w14:paraId="6BB05793" w14:textId="77777777" w:rsidR="00E104C8" w:rsidRDefault="00E104C8" w:rsidP="00E104C8">
      <w:pPr>
        <w:jc w:val="both"/>
        <w:rPr>
          <w:rFonts w:ascii="Times New Roman" w:hAnsi="Times New Roman" w:cs="Times New Roman"/>
          <w:sz w:val="24"/>
          <w:szCs w:val="24"/>
        </w:rPr>
      </w:pPr>
    </w:p>
    <w:p w14:paraId="196208F8" w14:textId="44EEC5A1" w:rsidR="001352E2" w:rsidRPr="001352E2" w:rsidRDefault="00A051A4" w:rsidP="001F5CB7">
      <w:pPr>
        <w:rPr>
          <w:rFonts w:ascii="Times New Roman" w:hAnsi="Times New Roman" w:cs="Times New Roman"/>
          <w:sz w:val="24"/>
          <w:szCs w:val="24"/>
        </w:rPr>
      </w:pPr>
      <w:r>
        <w:rPr>
          <w:rFonts w:ascii="Times New Roman" w:hAnsi="Times New Roman" w:cs="Times New Roman"/>
          <w:sz w:val="24"/>
          <w:szCs w:val="24"/>
        </w:rPr>
        <w:br w:type="page"/>
      </w:r>
      <w:r w:rsidR="001352E2" w:rsidRPr="001352E2">
        <w:rPr>
          <w:rFonts w:ascii="Times New Roman" w:hAnsi="Times New Roman" w:cs="Times New Roman"/>
          <w:b/>
          <w:bCs/>
          <w:sz w:val="24"/>
          <w:szCs w:val="24"/>
          <w:lang w:val="en-GB"/>
        </w:rPr>
        <w:lastRenderedPageBreak/>
        <w:t>References</w:t>
      </w:r>
    </w:p>
    <w:p w14:paraId="60FED2FB"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Aboul Ezz, H. S., </w:t>
      </w:r>
      <w:proofErr w:type="spellStart"/>
      <w:r w:rsidRPr="001352E2">
        <w:rPr>
          <w:rFonts w:ascii="Times New Roman" w:hAnsi="Times New Roman" w:cs="Times New Roman"/>
          <w:sz w:val="24"/>
          <w:szCs w:val="24"/>
          <w:lang w:val="en-GB"/>
        </w:rPr>
        <w:t>Khadrawy</w:t>
      </w:r>
      <w:proofErr w:type="spellEnd"/>
      <w:r w:rsidRPr="001352E2">
        <w:rPr>
          <w:rFonts w:ascii="Times New Roman" w:hAnsi="Times New Roman" w:cs="Times New Roman"/>
          <w:sz w:val="24"/>
          <w:szCs w:val="24"/>
          <w:lang w:val="en-GB"/>
        </w:rPr>
        <w:t xml:space="preserve">, Y. A., &amp; Mourad, I. M. (2015). The effect of bisphenol A on some oxidative stress parameters and acetylcholinesterase activity in the heart of male albino rats. </w:t>
      </w:r>
      <w:proofErr w:type="gramStart"/>
      <w:r w:rsidRPr="001352E2">
        <w:rPr>
          <w:rFonts w:ascii="Times New Roman" w:hAnsi="Times New Roman" w:cs="Times New Roman"/>
          <w:i/>
          <w:iCs/>
          <w:sz w:val="24"/>
          <w:szCs w:val="24"/>
          <w:lang w:val="en-GB"/>
        </w:rPr>
        <w:t xml:space="preserve">Cytotechnology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67, 145–155.</w:t>
      </w:r>
    </w:p>
    <w:p w14:paraId="2AF0CC90"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Achila, et al. (2021). </w:t>
      </w:r>
      <w:r w:rsidRPr="001352E2">
        <w:rPr>
          <w:rFonts w:ascii="Times New Roman" w:hAnsi="Times New Roman" w:cs="Times New Roman"/>
          <w:i/>
          <w:iCs/>
          <w:sz w:val="24"/>
          <w:szCs w:val="24"/>
          <w:lang w:val="en-GB"/>
        </w:rPr>
        <w:t>(Not specified in text snippet; presumed reference to cardiovascular disease literature)</w:t>
      </w:r>
    </w:p>
    <w:p w14:paraId="72E480EF"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Agostino, M., Mancera, R. L., Ramsland, P. A., &amp; Fernández-Recio, J. (2016). Optimization of protein–protein docking for predicting Fc–protein interactions. </w:t>
      </w:r>
      <w:r w:rsidRPr="001352E2">
        <w:rPr>
          <w:rFonts w:ascii="Times New Roman" w:hAnsi="Times New Roman" w:cs="Times New Roman"/>
          <w:i/>
          <w:iCs/>
          <w:sz w:val="24"/>
          <w:szCs w:val="24"/>
          <w:lang w:val="en-GB"/>
        </w:rPr>
        <w:t xml:space="preserve">Journal of Molecular </w:t>
      </w:r>
      <w:proofErr w:type="gramStart"/>
      <w:r w:rsidRPr="001352E2">
        <w:rPr>
          <w:rFonts w:ascii="Times New Roman" w:hAnsi="Times New Roman" w:cs="Times New Roman"/>
          <w:i/>
          <w:iCs/>
          <w:sz w:val="24"/>
          <w:szCs w:val="24"/>
          <w:lang w:val="en-GB"/>
        </w:rPr>
        <w:t xml:space="preserve">Recognition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29(11), 555–568.</w:t>
      </w:r>
    </w:p>
    <w:p w14:paraId="43333BBF"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Alam, M. A., Subhan, N., Hossain, H., Ahmed, S., Ravindran, R., &amp; Ullah, M. O. (2022). Role of natural products in the treatment of </w:t>
      </w:r>
      <w:proofErr w:type="spellStart"/>
      <w:r w:rsidRPr="001352E2">
        <w:rPr>
          <w:rFonts w:ascii="Times New Roman" w:hAnsi="Times New Roman" w:cs="Times New Roman"/>
          <w:sz w:val="24"/>
          <w:szCs w:val="24"/>
          <w:lang w:val="en-GB"/>
        </w:rPr>
        <w:t>hyperlipidemia</w:t>
      </w:r>
      <w:proofErr w:type="spellEnd"/>
      <w:r w:rsidRPr="001352E2">
        <w:rPr>
          <w:rFonts w:ascii="Times New Roman" w:hAnsi="Times New Roman" w:cs="Times New Roman"/>
          <w:sz w:val="24"/>
          <w:szCs w:val="24"/>
          <w:lang w:val="en-GB"/>
        </w:rPr>
        <w:t xml:space="preserve">: An update. </w:t>
      </w:r>
      <w:r w:rsidRPr="001352E2">
        <w:rPr>
          <w:rFonts w:ascii="Times New Roman" w:hAnsi="Times New Roman" w:cs="Times New Roman"/>
          <w:i/>
          <w:iCs/>
          <w:sz w:val="24"/>
          <w:szCs w:val="24"/>
          <w:lang w:val="en-GB"/>
        </w:rPr>
        <w:t xml:space="preserve">Journal of Traditional and Complementary </w:t>
      </w:r>
      <w:proofErr w:type="gramStart"/>
      <w:r w:rsidRPr="001352E2">
        <w:rPr>
          <w:rFonts w:ascii="Times New Roman" w:hAnsi="Times New Roman" w:cs="Times New Roman"/>
          <w:i/>
          <w:iCs/>
          <w:sz w:val="24"/>
          <w:szCs w:val="24"/>
          <w:lang w:val="en-GB"/>
        </w:rPr>
        <w:t xml:space="preserve">Medicine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12(1), 45–57.</w:t>
      </w:r>
    </w:p>
    <w:p w14:paraId="1F87F005"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Almeida, J. R. G. S., et al. (2024). </w:t>
      </w:r>
      <w:r w:rsidRPr="001352E2">
        <w:rPr>
          <w:rFonts w:ascii="Times New Roman" w:hAnsi="Times New Roman" w:cs="Times New Roman"/>
          <w:i/>
          <w:iCs/>
          <w:sz w:val="24"/>
          <w:szCs w:val="24"/>
          <w:lang w:val="en-GB"/>
        </w:rPr>
        <w:t xml:space="preserve">(Not fully visible in text snippet; presumed reference to plant-based </w:t>
      </w:r>
      <w:proofErr w:type="spellStart"/>
      <w:r w:rsidRPr="001352E2">
        <w:rPr>
          <w:rFonts w:ascii="Times New Roman" w:hAnsi="Times New Roman" w:cs="Times New Roman"/>
          <w:i/>
          <w:iCs/>
          <w:sz w:val="24"/>
          <w:szCs w:val="24"/>
          <w:lang w:val="en-GB"/>
        </w:rPr>
        <w:t>bioactives</w:t>
      </w:r>
      <w:proofErr w:type="spellEnd"/>
      <w:r w:rsidRPr="001352E2">
        <w:rPr>
          <w:rFonts w:ascii="Times New Roman" w:hAnsi="Times New Roman" w:cs="Times New Roman"/>
          <w:i/>
          <w:iCs/>
          <w:sz w:val="24"/>
          <w:szCs w:val="24"/>
          <w:lang w:val="en-GB"/>
        </w:rPr>
        <w:t>)</w:t>
      </w:r>
    </w:p>
    <w:p w14:paraId="3D0FBD4B"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Akinlolu-Ojo, A. A., Olajide, J. E., &amp; Adegbite, V. A. (2022). Antioxidant potential and phytochemical analysis of </w:t>
      </w:r>
      <w:proofErr w:type="spellStart"/>
      <w:r w:rsidRPr="001352E2">
        <w:rPr>
          <w:rFonts w:ascii="Times New Roman" w:hAnsi="Times New Roman" w:cs="Times New Roman"/>
          <w:i/>
          <w:iCs/>
          <w:sz w:val="24"/>
          <w:szCs w:val="24"/>
          <w:lang w:val="en-GB"/>
        </w:rPr>
        <w:t>Spondias</w:t>
      </w:r>
      <w:proofErr w:type="spellEnd"/>
      <w:r w:rsidRPr="001352E2">
        <w:rPr>
          <w:rFonts w:ascii="Times New Roman" w:hAnsi="Times New Roman" w:cs="Times New Roman"/>
          <w:i/>
          <w:iCs/>
          <w:sz w:val="24"/>
          <w:szCs w:val="24"/>
          <w:lang w:val="en-GB"/>
        </w:rPr>
        <w:t xml:space="preserve"> mombin </w:t>
      </w:r>
      <w:r w:rsidRPr="001352E2">
        <w:rPr>
          <w:rFonts w:ascii="Times New Roman" w:hAnsi="Times New Roman" w:cs="Times New Roman"/>
          <w:sz w:val="24"/>
          <w:szCs w:val="24"/>
          <w:lang w:val="en-GB"/>
        </w:rPr>
        <w:t xml:space="preserve">leaf extracts. </w:t>
      </w:r>
      <w:r w:rsidRPr="001352E2">
        <w:rPr>
          <w:rFonts w:ascii="Times New Roman" w:hAnsi="Times New Roman" w:cs="Times New Roman"/>
          <w:i/>
          <w:iCs/>
          <w:sz w:val="24"/>
          <w:szCs w:val="24"/>
          <w:lang w:val="en-GB"/>
        </w:rPr>
        <w:t xml:space="preserve">International Journal of Pharmacy and Pharmaceutical </w:t>
      </w:r>
      <w:proofErr w:type="gramStart"/>
      <w:r w:rsidRPr="001352E2">
        <w:rPr>
          <w:rFonts w:ascii="Times New Roman" w:hAnsi="Times New Roman" w:cs="Times New Roman"/>
          <w:i/>
          <w:iCs/>
          <w:sz w:val="24"/>
          <w:szCs w:val="24"/>
          <w:lang w:val="en-GB"/>
        </w:rPr>
        <w:t xml:space="preserve">Sciences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14(4), 45–50.</w:t>
      </w:r>
    </w:p>
    <w:p w14:paraId="1FDDB90B" w14:textId="77777777" w:rsidR="001352E2" w:rsidRPr="001352E2" w:rsidRDefault="001352E2" w:rsidP="001352E2">
      <w:pPr>
        <w:numPr>
          <w:ilvl w:val="0"/>
          <w:numId w:val="1"/>
        </w:numPr>
        <w:jc w:val="both"/>
        <w:rPr>
          <w:rFonts w:ascii="Times New Roman" w:hAnsi="Times New Roman" w:cs="Times New Roman"/>
          <w:sz w:val="24"/>
          <w:szCs w:val="24"/>
          <w:lang w:val="en-GB"/>
        </w:rPr>
      </w:pPr>
      <w:proofErr w:type="spellStart"/>
      <w:r w:rsidRPr="001352E2">
        <w:rPr>
          <w:rFonts w:ascii="Times New Roman" w:hAnsi="Times New Roman" w:cs="Times New Roman"/>
          <w:sz w:val="24"/>
          <w:szCs w:val="24"/>
          <w:lang w:val="en-GB"/>
        </w:rPr>
        <w:t>Akwu</w:t>
      </w:r>
      <w:proofErr w:type="spellEnd"/>
      <w:r w:rsidRPr="001352E2">
        <w:rPr>
          <w:rFonts w:ascii="Times New Roman" w:hAnsi="Times New Roman" w:cs="Times New Roman"/>
          <w:sz w:val="24"/>
          <w:szCs w:val="24"/>
          <w:lang w:val="en-GB"/>
        </w:rPr>
        <w:t xml:space="preserve">, B. P., Ajibade, A. J., </w:t>
      </w:r>
      <w:proofErr w:type="spellStart"/>
      <w:r w:rsidRPr="001352E2">
        <w:rPr>
          <w:rFonts w:ascii="Times New Roman" w:hAnsi="Times New Roman" w:cs="Times New Roman"/>
          <w:sz w:val="24"/>
          <w:szCs w:val="24"/>
          <w:lang w:val="en-GB"/>
        </w:rPr>
        <w:t>Abijo</w:t>
      </w:r>
      <w:proofErr w:type="spellEnd"/>
      <w:r w:rsidRPr="001352E2">
        <w:rPr>
          <w:rFonts w:ascii="Times New Roman" w:hAnsi="Times New Roman" w:cs="Times New Roman"/>
          <w:sz w:val="24"/>
          <w:szCs w:val="24"/>
          <w:lang w:val="en-GB"/>
        </w:rPr>
        <w:t xml:space="preserve">, A. Z., &amp; </w:t>
      </w:r>
      <w:proofErr w:type="spellStart"/>
      <w:r w:rsidRPr="001352E2">
        <w:rPr>
          <w:rFonts w:ascii="Times New Roman" w:hAnsi="Times New Roman" w:cs="Times New Roman"/>
          <w:sz w:val="24"/>
          <w:szCs w:val="24"/>
          <w:lang w:val="en-GB"/>
        </w:rPr>
        <w:t>Adeeyo</w:t>
      </w:r>
      <w:proofErr w:type="spellEnd"/>
      <w:r w:rsidRPr="001352E2">
        <w:rPr>
          <w:rFonts w:ascii="Times New Roman" w:hAnsi="Times New Roman" w:cs="Times New Roman"/>
          <w:sz w:val="24"/>
          <w:szCs w:val="24"/>
          <w:lang w:val="en-GB"/>
        </w:rPr>
        <w:t>, O. A. (2024). Phytochemical screening and anti-</w:t>
      </w:r>
      <w:proofErr w:type="spellStart"/>
      <w:r w:rsidRPr="001352E2">
        <w:rPr>
          <w:rFonts w:ascii="Times New Roman" w:hAnsi="Times New Roman" w:cs="Times New Roman"/>
          <w:sz w:val="24"/>
          <w:szCs w:val="24"/>
          <w:lang w:val="en-GB"/>
        </w:rPr>
        <w:t>hyperlipidemic</w:t>
      </w:r>
      <w:proofErr w:type="spellEnd"/>
      <w:r w:rsidRPr="001352E2">
        <w:rPr>
          <w:rFonts w:ascii="Times New Roman" w:hAnsi="Times New Roman" w:cs="Times New Roman"/>
          <w:sz w:val="24"/>
          <w:szCs w:val="24"/>
          <w:lang w:val="en-GB"/>
        </w:rPr>
        <w:t xml:space="preserve"> activity of </w:t>
      </w:r>
      <w:proofErr w:type="spellStart"/>
      <w:r w:rsidRPr="001352E2">
        <w:rPr>
          <w:rFonts w:ascii="Times New Roman" w:hAnsi="Times New Roman" w:cs="Times New Roman"/>
          <w:i/>
          <w:iCs/>
          <w:sz w:val="24"/>
          <w:szCs w:val="24"/>
          <w:lang w:val="en-GB"/>
        </w:rPr>
        <w:t>Spondias</w:t>
      </w:r>
      <w:proofErr w:type="spellEnd"/>
      <w:r w:rsidRPr="001352E2">
        <w:rPr>
          <w:rFonts w:ascii="Times New Roman" w:hAnsi="Times New Roman" w:cs="Times New Roman"/>
          <w:i/>
          <w:iCs/>
          <w:sz w:val="24"/>
          <w:szCs w:val="24"/>
          <w:lang w:val="en-GB"/>
        </w:rPr>
        <w:t xml:space="preserve"> mombin </w:t>
      </w:r>
      <w:r w:rsidRPr="001352E2">
        <w:rPr>
          <w:rFonts w:ascii="Times New Roman" w:hAnsi="Times New Roman" w:cs="Times New Roman"/>
          <w:sz w:val="24"/>
          <w:szCs w:val="24"/>
          <w:lang w:val="en-GB"/>
        </w:rPr>
        <w:t xml:space="preserve">seed extract in albino rats. </w:t>
      </w:r>
      <w:r w:rsidRPr="001352E2">
        <w:rPr>
          <w:rFonts w:ascii="Times New Roman" w:hAnsi="Times New Roman" w:cs="Times New Roman"/>
          <w:i/>
          <w:iCs/>
          <w:sz w:val="24"/>
          <w:szCs w:val="24"/>
          <w:lang w:val="en-GB"/>
        </w:rPr>
        <w:t xml:space="preserve">Food Chemistry </w:t>
      </w:r>
      <w:proofErr w:type="gramStart"/>
      <w:r w:rsidRPr="001352E2">
        <w:rPr>
          <w:rFonts w:ascii="Times New Roman" w:hAnsi="Times New Roman" w:cs="Times New Roman"/>
          <w:i/>
          <w:iCs/>
          <w:sz w:val="24"/>
          <w:szCs w:val="24"/>
          <w:lang w:val="en-GB"/>
        </w:rPr>
        <w:t xml:space="preserve">Advances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4, 100670.</w:t>
      </w:r>
    </w:p>
    <w:p w14:paraId="1810A9D3" w14:textId="77777777" w:rsidR="001352E2" w:rsidRPr="001352E2" w:rsidRDefault="001352E2" w:rsidP="001352E2">
      <w:pPr>
        <w:numPr>
          <w:ilvl w:val="0"/>
          <w:numId w:val="1"/>
        </w:numPr>
        <w:jc w:val="both"/>
        <w:rPr>
          <w:rFonts w:ascii="Times New Roman" w:hAnsi="Times New Roman" w:cs="Times New Roman"/>
          <w:sz w:val="24"/>
          <w:szCs w:val="24"/>
          <w:lang w:val="en-GB"/>
        </w:rPr>
      </w:pPr>
      <w:proofErr w:type="spellStart"/>
      <w:r w:rsidRPr="001352E2">
        <w:rPr>
          <w:rFonts w:ascii="Times New Roman" w:hAnsi="Times New Roman" w:cs="Times New Roman"/>
          <w:sz w:val="24"/>
          <w:szCs w:val="24"/>
          <w:lang w:val="en-GB"/>
        </w:rPr>
        <w:t>Asgary</w:t>
      </w:r>
      <w:proofErr w:type="spellEnd"/>
      <w:r w:rsidRPr="001352E2">
        <w:rPr>
          <w:rFonts w:ascii="Times New Roman" w:hAnsi="Times New Roman" w:cs="Times New Roman"/>
          <w:sz w:val="24"/>
          <w:szCs w:val="24"/>
          <w:lang w:val="en-GB"/>
        </w:rPr>
        <w:t xml:space="preserve">, S., </w:t>
      </w:r>
      <w:proofErr w:type="spellStart"/>
      <w:r w:rsidRPr="001352E2">
        <w:rPr>
          <w:rFonts w:ascii="Times New Roman" w:hAnsi="Times New Roman" w:cs="Times New Roman"/>
          <w:sz w:val="24"/>
          <w:szCs w:val="24"/>
          <w:lang w:val="en-GB"/>
        </w:rPr>
        <w:t>Sahebkar</w:t>
      </w:r>
      <w:proofErr w:type="spellEnd"/>
      <w:r w:rsidRPr="001352E2">
        <w:rPr>
          <w:rFonts w:ascii="Times New Roman" w:hAnsi="Times New Roman" w:cs="Times New Roman"/>
          <w:sz w:val="24"/>
          <w:szCs w:val="24"/>
          <w:lang w:val="en-GB"/>
        </w:rPr>
        <w:t xml:space="preserve">, A., Mahdavi, R., Jabbari, M., &amp; </w:t>
      </w:r>
      <w:proofErr w:type="spellStart"/>
      <w:r w:rsidRPr="001352E2">
        <w:rPr>
          <w:rFonts w:ascii="Times New Roman" w:hAnsi="Times New Roman" w:cs="Times New Roman"/>
          <w:sz w:val="24"/>
          <w:szCs w:val="24"/>
          <w:lang w:val="en-GB"/>
        </w:rPr>
        <w:t>Ghaneifar</w:t>
      </w:r>
      <w:proofErr w:type="spellEnd"/>
      <w:r w:rsidRPr="001352E2">
        <w:rPr>
          <w:rFonts w:ascii="Times New Roman" w:hAnsi="Times New Roman" w:cs="Times New Roman"/>
          <w:sz w:val="24"/>
          <w:szCs w:val="24"/>
          <w:lang w:val="en-GB"/>
        </w:rPr>
        <w:t xml:space="preserve">, Z. (2018). Anti-inflammatory and anti-atherogenic effects of </w:t>
      </w:r>
      <w:r w:rsidRPr="001352E2">
        <w:rPr>
          <w:rFonts w:ascii="Times New Roman" w:hAnsi="Times New Roman" w:cs="Times New Roman"/>
          <w:i/>
          <w:iCs/>
          <w:sz w:val="24"/>
          <w:szCs w:val="24"/>
          <w:lang w:val="en-GB"/>
        </w:rPr>
        <w:t xml:space="preserve">Allium sativum </w:t>
      </w:r>
      <w:r w:rsidRPr="001352E2">
        <w:rPr>
          <w:rFonts w:ascii="Times New Roman" w:hAnsi="Times New Roman" w:cs="Times New Roman"/>
          <w:sz w:val="24"/>
          <w:szCs w:val="24"/>
          <w:lang w:val="en-GB"/>
        </w:rPr>
        <w:t xml:space="preserve">L. (garlic) extract in patients with mild </w:t>
      </w:r>
      <w:proofErr w:type="spellStart"/>
      <w:r w:rsidRPr="001352E2">
        <w:rPr>
          <w:rFonts w:ascii="Times New Roman" w:hAnsi="Times New Roman" w:cs="Times New Roman"/>
          <w:sz w:val="24"/>
          <w:szCs w:val="24"/>
          <w:lang w:val="en-GB"/>
        </w:rPr>
        <w:t>hyperlipidemia</w:t>
      </w:r>
      <w:proofErr w:type="spellEnd"/>
      <w:r w:rsidRPr="001352E2">
        <w:rPr>
          <w:rFonts w:ascii="Times New Roman" w:hAnsi="Times New Roman" w:cs="Times New Roman"/>
          <w:sz w:val="24"/>
          <w:szCs w:val="24"/>
          <w:lang w:val="en-GB"/>
        </w:rPr>
        <w:t xml:space="preserve">. </w:t>
      </w:r>
      <w:r w:rsidRPr="001352E2">
        <w:rPr>
          <w:rFonts w:ascii="Times New Roman" w:hAnsi="Times New Roman" w:cs="Times New Roman"/>
          <w:i/>
          <w:iCs/>
          <w:sz w:val="24"/>
          <w:szCs w:val="24"/>
          <w:lang w:val="en-GB"/>
        </w:rPr>
        <w:t xml:space="preserve">Disease </w:t>
      </w:r>
      <w:proofErr w:type="gramStart"/>
      <w:r w:rsidRPr="001352E2">
        <w:rPr>
          <w:rFonts w:ascii="Times New Roman" w:hAnsi="Times New Roman" w:cs="Times New Roman"/>
          <w:i/>
          <w:iCs/>
          <w:sz w:val="24"/>
          <w:szCs w:val="24"/>
          <w:lang w:val="en-GB"/>
        </w:rPr>
        <w:t xml:space="preserve">Markers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2018, 1–9.</w:t>
      </w:r>
    </w:p>
    <w:p w14:paraId="524FBA6D"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Bahr, T., Butler, G., Rock, C., Welburn, K., Allred, K., &amp; Rodriguez, D. (2021). Phytotherapy Research, 35(8), 4215–4245.</w:t>
      </w:r>
    </w:p>
    <w:p w14:paraId="57AFB8F8"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Cristofoli, N. L., Lima, C. A. R., Vieira, M. M. C., Andrade, K. S., &amp; Ferreira, S. R. S. (2019). Separation Science and Technology, 54(4), 580–590.</w:t>
      </w:r>
    </w:p>
    <w:p w14:paraId="0B57E5FA"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Darshan, R. (2019). </w:t>
      </w:r>
      <w:r w:rsidRPr="001352E2">
        <w:rPr>
          <w:rFonts w:ascii="Times New Roman" w:hAnsi="Times New Roman" w:cs="Times New Roman"/>
          <w:i/>
          <w:iCs/>
          <w:sz w:val="24"/>
          <w:szCs w:val="24"/>
          <w:lang w:val="en-GB"/>
        </w:rPr>
        <w:t>(Presumably referenced in context of biochemical assays or lipid metabolism studies)</w:t>
      </w:r>
    </w:p>
    <w:p w14:paraId="461E602B"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De Ruyck, J., </w:t>
      </w:r>
      <w:proofErr w:type="spellStart"/>
      <w:r w:rsidRPr="001352E2">
        <w:rPr>
          <w:rFonts w:ascii="Times New Roman" w:hAnsi="Times New Roman" w:cs="Times New Roman"/>
          <w:sz w:val="24"/>
          <w:szCs w:val="24"/>
          <w:lang w:val="en-GB"/>
        </w:rPr>
        <w:t>Brysbaert</w:t>
      </w:r>
      <w:proofErr w:type="spellEnd"/>
      <w:r w:rsidRPr="001352E2">
        <w:rPr>
          <w:rFonts w:ascii="Times New Roman" w:hAnsi="Times New Roman" w:cs="Times New Roman"/>
          <w:sz w:val="24"/>
          <w:szCs w:val="24"/>
          <w:lang w:val="en-GB"/>
        </w:rPr>
        <w:t xml:space="preserve">, G., Blossey, R., &amp; Lensink, M. F. (2016). Molecular docking as a popular tool in drug design, an </w:t>
      </w:r>
      <w:proofErr w:type="gramStart"/>
      <w:r w:rsidRPr="001352E2">
        <w:rPr>
          <w:rFonts w:ascii="Times New Roman" w:hAnsi="Times New Roman" w:cs="Times New Roman"/>
          <w:sz w:val="24"/>
          <w:szCs w:val="24"/>
          <w:lang w:val="en-GB"/>
        </w:rPr>
        <w:t>in silico</w:t>
      </w:r>
      <w:proofErr w:type="gramEnd"/>
      <w:r w:rsidRPr="001352E2">
        <w:rPr>
          <w:rFonts w:ascii="Times New Roman" w:hAnsi="Times New Roman" w:cs="Times New Roman"/>
          <w:sz w:val="24"/>
          <w:szCs w:val="24"/>
          <w:lang w:val="en-GB"/>
        </w:rPr>
        <w:t xml:space="preserve"> travel. </w:t>
      </w:r>
      <w:r w:rsidRPr="001352E2">
        <w:rPr>
          <w:rFonts w:ascii="Times New Roman" w:hAnsi="Times New Roman" w:cs="Times New Roman"/>
          <w:i/>
          <w:iCs/>
          <w:sz w:val="24"/>
          <w:szCs w:val="24"/>
          <w:lang w:val="en-GB"/>
        </w:rPr>
        <w:t xml:space="preserve">Advances and Applications in Bioinformatics and </w:t>
      </w:r>
      <w:proofErr w:type="gramStart"/>
      <w:r w:rsidRPr="001352E2">
        <w:rPr>
          <w:rFonts w:ascii="Times New Roman" w:hAnsi="Times New Roman" w:cs="Times New Roman"/>
          <w:i/>
          <w:iCs/>
          <w:sz w:val="24"/>
          <w:szCs w:val="24"/>
          <w:lang w:val="en-GB"/>
        </w:rPr>
        <w:t xml:space="preserve">Chemistry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1–11.</w:t>
      </w:r>
    </w:p>
    <w:p w14:paraId="165C1BE1"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Dey, P., Kundu, A., Kumar, A., Gupta, M., Lee, B. M., Bhakta, T., ... &amp; Kim, H. S. (2020). Analysis of alkaloids (indole alkaloids, </w:t>
      </w:r>
      <w:proofErr w:type="spellStart"/>
      <w:r w:rsidRPr="001352E2">
        <w:rPr>
          <w:rFonts w:ascii="Times New Roman" w:hAnsi="Times New Roman" w:cs="Times New Roman"/>
          <w:sz w:val="24"/>
          <w:szCs w:val="24"/>
          <w:lang w:val="en-GB"/>
        </w:rPr>
        <w:t>isoquinoline</w:t>
      </w:r>
      <w:proofErr w:type="spellEnd"/>
      <w:r w:rsidRPr="001352E2">
        <w:rPr>
          <w:rFonts w:ascii="Times New Roman" w:hAnsi="Times New Roman" w:cs="Times New Roman"/>
          <w:sz w:val="24"/>
          <w:szCs w:val="24"/>
          <w:lang w:val="en-GB"/>
        </w:rPr>
        <w:t xml:space="preserve"> alkaloids, tropane alkaloids). In </w:t>
      </w:r>
      <w:r w:rsidRPr="001352E2">
        <w:rPr>
          <w:rFonts w:ascii="Times New Roman" w:hAnsi="Times New Roman" w:cs="Times New Roman"/>
          <w:i/>
          <w:iCs/>
          <w:sz w:val="24"/>
          <w:szCs w:val="24"/>
          <w:lang w:val="en-GB"/>
        </w:rPr>
        <w:t xml:space="preserve">Recent Advances in Natural Products Analysis </w:t>
      </w:r>
      <w:r w:rsidRPr="001352E2">
        <w:rPr>
          <w:rFonts w:ascii="Times New Roman" w:hAnsi="Times New Roman" w:cs="Times New Roman"/>
          <w:sz w:val="24"/>
          <w:szCs w:val="24"/>
          <w:lang w:val="en-GB"/>
        </w:rPr>
        <w:t>(pp. 505–567). Elsevier.</w:t>
      </w:r>
    </w:p>
    <w:p w14:paraId="66A63A70"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lastRenderedPageBreak/>
        <w:t xml:space="preserve">El-Tantawy, W. H., &amp; </w:t>
      </w:r>
      <w:proofErr w:type="spellStart"/>
      <w:r w:rsidRPr="001352E2">
        <w:rPr>
          <w:rFonts w:ascii="Times New Roman" w:hAnsi="Times New Roman" w:cs="Times New Roman"/>
          <w:sz w:val="24"/>
          <w:szCs w:val="24"/>
          <w:lang w:val="en-GB"/>
        </w:rPr>
        <w:t>Temraz</w:t>
      </w:r>
      <w:proofErr w:type="spellEnd"/>
      <w:r w:rsidRPr="001352E2">
        <w:rPr>
          <w:rFonts w:ascii="Times New Roman" w:hAnsi="Times New Roman" w:cs="Times New Roman"/>
          <w:sz w:val="24"/>
          <w:szCs w:val="24"/>
          <w:lang w:val="en-GB"/>
        </w:rPr>
        <w:t xml:space="preserve">, A. (2019). Natural products for controlling </w:t>
      </w:r>
      <w:proofErr w:type="spellStart"/>
      <w:r w:rsidRPr="001352E2">
        <w:rPr>
          <w:rFonts w:ascii="Times New Roman" w:hAnsi="Times New Roman" w:cs="Times New Roman"/>
          <w:sz w:val="24"/>
          <w:szCs w:val="24"/>
          <w:lang w:val="en-GB"/>
        </w:rPr>
        <w:t>hyperlipidemia</w:t>
      </w:r>
      <w:proofErr w:type="spellEnd"/>
      <w:r w:rsidRPr="001352E2">
        <w:rPr>
          <w:rFonts w:ascii="Times New Roman" w:hAnsi="Times New Roman" w:cs="Times New Roman"/>
          <w:sz w:val="24"/>
          <w:szCs w:val="24"/>
          <w:lang w:val="en-GB"/>
        </w:rPr>
        <w:t xml:space="preserve">. </w:t>
      </w:r>
      <w:r w:rsidRPr="001352E2">
        <w:rPr>
          <w:rFonts w:ascii="Times New Roman" w:hAnsi="Times New Roman" w:cs="Times New Roman"/>
          <w:i/>
          <w:iCs/>
          <w:sz w:val="24"/>
          <w:szCs w:val="24"/>
          <w:lang w:val="en-GB"/>
        </w:rPr>
        <w:t xml:space="preserve">Archives of Physiology and </w:t>
      </w:r>
      <w:proofErr w:type="gramStart"/>
      <w:r w:rsidRPr="001352E2">
        <w:rPr>
          <w:rFonts w:ascii="Times New Roman" w:hAnsi="Times New Roman" w:cs="Times New Roman"/>
          <w:i/>
          <w:iCs/>
          <w:sz w:val="24"/>
          <w:szCs w:val="24"/>
          <w:lang w:val="en-GB"/>
        </w:rPr>
        <w:t xml:space="preserve">Biochemistry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125(2), 128–135.</w:t>
      </w:r>
    </w:p>
    <w:p w14:paraId="121CC144"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Konstantinidi, A., &amp; </w:t>
      </w:r>
      <w:proofErr w:type="spellStart"/>
      <w:r w:rsidRPr="001352E2">
        <w:rPr>
          <w:rFonts w:ascii="Times New Roman" w:hAnsi="Times New Roman" w:cs="Times New Roman"/>
          <w:sz w:val="24"/>
          <w:szCs w:val="24"/>
          <w:lang w:val="en-GB"/>
        </w:rPr>
        <w:t>Koutelidakis</w:t>
      </w:r>
      <w:proofErr w:type="spellEnd"/>
      <w:r w:rsidRPr="001352E2">
        <w:rPr>
          <w:rFonts w:ascii="Times New Roman" w:hAnsi="Times New Roman" w:cs="Times New Roman"/>
          <w:sz w:val="24"/>
          <w:szCs w:val="24"/>
          <w:lang w:val="en-GB"/>
        </w:rPr>
        <w:t xml:space="preserve">, A. E. (2019). Nutritional and functional properties of functional foods: A review. </w:t>
      </w:r>
      <w:proofErr w:type="gramStart"/>
      <w:r w:rsidRPr="001352E2">
        <w:rPr>
          <w:rFonts w:ascii="Times New Roman" w:hAnsi="Times New Roman" w:cs="Times New Roman"/>
          <w:i/>
          <w:iCs/>
          <w:sz w:val="24"/>
          <w:szCs w:val="24"/>
          <w:lang w:val="en-GB"/>
        </w:rPr>
        <w:t xml:space="preserve">Foods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8(11), 554.</w:t>
      </w:r>
    </w:p>
    <w:p w14:paraId="742F1ABA"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Larbaoui, B., &amp; Menad, R. (2024). Single-click molecular docking via </w:t>
      </w:r>
      <w:proofErr w:type="spellStart"/>
      <w:r w:rsidRPr="001352E2">
        <w:rPr>
          <w:rFonts w:ascii="Times New Roman" w:hAnsi="Times New Roman" w:cs="Times New Roman"/>
          <w:sz w:val="24"/>
          <w:szCs w:val="24"/>
          <w:lang w:val="en-GB"/>
        </w:rPr>
        <w:t>SwiftDock</w:t>
      </w:r>
      <w:proofErr w:type="spellEnd"/>
      <w:r w:rsidRPr="001352E2">
        <w:rPr>
          <w:rFonts w:ascii="Times New Roman" w:hAnsi="Times New Roman" w:cs="Times New Roman"/>
          <w:sz w:val="24"/>
          <w:szCs w:val="24"/>
          <w:lang w:val="en-GB"/>
        </w:rPr>
        <w:t xml:space="preserve">: A new virtual screening tool using AutoDock4. </w:t>
      </w:r>
      <w:r w:rsidRPr="001352E2">
        <w:rPr>
          <w:rFonts w:ascii="Times New Roman" w:hAnsi="Times New Roman" w:cs="Times New Roman"/>
          <w:i/>
          <w:iCs/>
          <w:sz w:val="24"/>
          <w:szCs w:val="24"/>
          <w:lang w:val="en-GB"/>
        </w:rPr>
        <w:t xml:space="preserve">Computational and Structural Biotechnology </w:t>
      </w:r>
      <w:proofErr w:type="gramStart"/>
      <w:r w:rsidRPr="001352E2">
        <w:rPr>
          <w:rFonts w:ascii="Times New Roman" w:hAnsi="Times New Roman" w:cs="Times New Roman"/>
          <w:i/>
          <w:iCs/>
          <w:sz w:val="24"/>
          <w:szCs w:val="24"/>
          <w:lang w:val="en-GB"/>
        </w:rPr>
        <w:t xml:space="preserve">Reports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100017.</w:t>
      </w:r>
    </w:p>
    <w:p w14:paraId="4E214748"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Lucena, G., Pérez, M., &amp; Fernández, M. (2022). Emerging trends in nutraceuticals and functional foods for cardiovascular health. </w:t>
      </w:r>
      <w:r w:rsidRPr="001352E2">
        <w:rPr>
          <w:rFonts w:ascii="Times New Roman" w:hAnsi="Times New Roman" w:cs="Times New Roman"/>
          <w:i/>
          <w:iCs/>
          <w:sz w:val="24"/>
          <w:szCs w:val="24"/>
          <w:lang w:val="en-GB"/>
        </w:rPr>
        <w:t xml:space="preserve">Frontiers in </w:t>
      </w:r>
      <w:proofErr w:type="gramStart"/>
      <w:r w:rsidRPr="001352E2">
        <w:rPr>
          <w:rFonts w:ascii="Times New Roman" w:hAnsi="Times New Roman" w:cs="Times New Roman"/>
          <w:i/>
          <w:iCs/>
          <w:sz w:val="24"/>
          <w:szCs w:val="24"/>
          <w:lang w:val="en-GB"/>
        </w:rPr>
        <w:t xml:space="preserve">Nutrition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9, 887654.</w:t>
      </w:r>
    </w:p>
    <w:p w14:paraId="6DB87CC8"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Madden, J. C., &amp; Thompson, C. V. (2022). Pharmacokinetic tools and applications. In </w:t>
      </w:r>
      <w:r w:rsidRPr="001352E2">
        <w:rPr>
          <w:rFonts w:ascii="Times New Roman" w:hAnsi="Times New Roman" w:cs="Times New Roman"/>
          <w:i/>
          <w:iCs/>
          <w:sz w:val="24"/>
          <w:szCs w:val="24"/>
          <w:lang w:val="en-GB"/>
        </w:rPr>
        <w:t xml:space="preserve">In Silico Methods for Predicting Drug Toxicity </w:t>
      </w:r>
      <w:r w:rsidRPr="001352E2">
        <w:rPr>
          <w:rFonts w:ascii="Times New Roman" w:hAnsi="Times New Roman" w:cs="Times New Roman"/>
          <w:sz w:val="24"/>
          <w:szCs w:val="24"/>
          <w:lang w:val="en-GB"/>
        </w:rPr>
        <w:t>(pp. 57–83). New York, NY: Springer US.</w:t>
      </w:r>
    </w:p>
    <w:p w14:paraId="5997E683"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Malik, A. A., Idris, A. K., </w:t>
      </w:r>
      <w:proofErr w:type="spellStart"/>
      <w:r w:rsidRPr="001352E2">
        <w:rPr>
          <w:rFonts w:ascii="Times New Roman" w:hAnsi="Times New Roman" w:cs="Times New Roman"/>
          <w:sz w:val="24"/>
          <w:szCs w:val="24"/>
          <w:lang w:val="en-GB"/>
        </w:rPr>
        <w:t>Yekeen</w:t>
      </w:r>
      <w:proofErr w:type="spellEnd"/>
      <w:r w:rsidRPr="001352E2">
        <w:rPr>
          <w:rFonts w:ascii="Times New Roman" w:hAnsi="Times New Roman" w:cs="Times New Roman"/>
          <w:sz w:val="24"/>
          <w:szCs w:val="24"/>
          <w:lang w:val="en-GB"/>
        </w:rPr>
        <w:t xml:space="preserve">, N., Ganie, K., &amp; </w:t>
      </w:r>
      <w:proofErr w:type="spellStart"/>
      <w:r w:rsidRPr="001352E2">
        <w:rPr>
          <w:rFonts w:ascii="Times New Roman" w:hAnsi="Times New Roman" w:cs="Times New Roman"/>
          <w:sz w:val="24"/>
          <w:szCs w:val="24"/>
          <w:lang w:val="en-GB"/>
        </w:rPr>
        <w:t>Reepi</w:t>
      </w:r>
      <w:proofErr w:type="spellEnd"/>
      <w:r w:rsidRPr="001352E2">
        <w:rPr>
          <w:rFonts w:ascii="Times New Roman" w:hAnsi="Times New Roman" w:cs="Times New Roman"/>
          <w:sz w:val="24"/>
          <w:szCs w:val="24"/>
          <w:lang w:val="en-GB"/>
        </w:rPr>
        <w:t xml:space="preserve">, N. I. (2023). Comparative evaluation of saponin-rich extracts as potential therapeutic agents. </w:t>
      </w:r>
      <w:r w:rsidRPr="001352E2">
        <w:rPr>
          <w:rFonts w:ascii="Times New Roman" w:hAnsi="Times New Roman" w:cs="Times New Roman"/>
          <w:i/>
          <w:iCs/>
          <w:sz w:val="24"/>
          <w:szCs w:val="24"/>
          <w:lang w:val="en-GB"/>
        </w:rPr>
        <w:t xml:space="preserve">Journal of Applied Pharmaceutical </w:t>
      </w:r>
      <w:proofErr w:type="gramStart"/>
      <w:r w:rsidRPr="001352E2">
        <w:rPr>
          <w:rFonts w:ascii="Times New Roman" w:hAnsi="Times New Roman" w:cs="Times New Roman"/>
          <w:i/>
          <w:iCs/>
          <w:sz w:val="24"/>
          <w:szCs w:val="24"/>
          <w:lang w:val="en-GB"/>
        </w:rPr>
        <w:t xml:space="preserve">Science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13(03), 001–009.</w:t>
      </w:r>
    </w:p>
    <w:p w14:paraId="3373121F"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Mohammad, T., Mathur, Y., &amp; Hassan, M. I. (2021). </w:t>
      </w:r>
      <w:proofErr w:type="spellStart"/>
      <w:r w:rsidRPr="001352E2">
        <w:rPr>
          <w:rFonts w:ascii="Times New Roman" w:hAnsi="Times New Roman" w:cs="Times New Roman"/>
          <w:sz w:val="24"/>
          <w:szCs w:val="24"/>
          <w:lang w:val="en-GB"/>
        </w:rPr>
        <w:t>InstaDock</w:t>
      </w:r>
      <w:proofErr w:type="spellEnd"/>
      <w:r w:rsidRPr="001352E2">
        <w:rPr>
          <w:rFonts w:ascii="Times New Roman" w:hAnsi="Times New Roman" w:cs="Times New Roman"/>
          <w:sz w:val="24"/>
          <w:szCs w:val="24"/>
          <w:lang w:val="en-GB"/>
        </w:rPr>
        <w:t xml:space="preserve">: A single-click graphical user interface for molecular docking-based virtual high-throughput screening. </w:t>
      </w:r>
      <w:r w:rsidRPr="001352E2">
        <w:rPr>
          <w:rFonts w:ascii="Times New Roman" w:hAnsi="Times New Roman" w:cs="Times New Roman"/>
          <w:i/>
          <w:iCs/>
          <w:sz w:val="24"/>
          <w:szCs w:val="24"/>
          <w:lang w:val="en-GB"/>
        </w:rPr>
        <w:t xml:space="preserve">Briefings in </w:t>
      </w:r>
      <w:proofErr w:type="gramStart"/>
      <w:r w:rsidRPr="001352E2">
        <w:rPr>
          <w:rFonts w:ascii="Times New Roman" w:hAnsi="Times New Roman" w:cs="Times New Roman"/>
          <w:i/>
          <w:iCs/>
          <w:sz w:val="24"/>
          <w:szCs w:val="24"/>
          <w:lang w:val="en-GB"/>
        </w:rPr>
        <w:t xml:space="preserve">Bioinformatics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22(4), bbaa279.</w:t>
      </w:r>
    </w:p>
    <w:p w14:paraId="608B03A1"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Mondal, S., Bhar, K., Panigrahi, N., Mondal, P., Nayak, S., Barik, R. P., &amp; Aravind, K. (2021). </w:t>
      </w:r>
      <w:r w:rsidRPr="001352E2">
        <w:rPr>
          <w:rFonts w:ascii="Times New Roman" w:hAnsi="Times New Roman" w:cs="Times New Roman"/>
          <w:i/>
          <w:iCs/>
          <w:sz w:val="24"/>
          <w:szCs w:val="24"/>
          <w:lang w:val="en-GB"/>
        </w:rPr>
        <w:t xml:space="preserve">A tangy twist review on Hog-plum: </w:t>
      </w:r>
      <w:proofErr w:type="spellStart"/>
      <w:r w:rsidRPr="001352E2">
        <w:rPr>
          <w:rFonts w:ascii="Times New Roman" w:hAnsi="Times New Roman" w:cs="Times New Roman"/>
          <w:i/>
          <w:iCs/>
          <w:sz w:val="24"/>
          <w:szCs w:val="24"/>
          <w:lang w:val="en-GB"/>
        </w:rPr>
        <w:t>Spondias</w:t>
      </w:r>
      <w:proofErr w:type="spellEnd"/>
      <w:r w:rsidRPr="001352E2">
        <w:rPr>
          <w:rFonts w:ascii="Times New Roman" w:hAnsi="Times New Roman" w:cs="Times New Roman"/>
          <w:i/>
          <w:iCs/>
          <w:sz w:val="24"/>
          <w:szCs w:val="24"/>
          <w:lang w:val="en-GB"/>
        </w:rPr>
        <w:t xml:space="preserve"> pinnata (</w:t>
      </w:r>
      <w:proofErr w:type="spellStart"/>
      <w:r w:rsidRPr="001352E2">
        <w:rPr>
          <w:rFonts w:ascii="Times New Roman" w:hAnsi="Times New Roman" w:cs="Times New Roman"/>
          <w:i/>
          <w:iCs/>
          <w:sz w:val="24"/>
          <w:szCs w:val="24"/>
          <w:lang w:val="en-GB"/>
        </w:rPr>
        <w:t>Lf</w:t>
      </w:r>
      <w:proofErr w:type="spellEnd"/>
      <w:r w:rsidRPr="001352E2">
        <w:rPr>
          <w:rFonts w:ascii="Times New Roman" w:hAnsi="Times New Roman" w:cs="Times New Roman"/>
          <w:i/>
          <w:iCs/>
          <w:sz w:val="24"/>
          <w:szCs w:val="24"/>
          <w:lang w:val="en-GB"/>
        </w:rPr>
        <w:t>) Kurz.</w:t>
      </w:r>
    </w:p>
    <w:p w14:paraId="5017258F" w14:textId="77777777" w:rsidR="001352E2" w:rsidRPr="001352E2" w:rsidRDefault="001352E2" w:rsidP="001352E2">
      <w:pPr>
        <w:numPr>
          <w:ilvl w:val="0"/>
          <w:numId w:val="1"/>
        </w:numPr>
        <w:jc w:val="both"/>
        <w:rPr>
          <w:rFonts w:ascii="Times New Roman" w:hAnsi="Times New Roman" w:cs="Times New Roman"/>
          <w:sz w:val="24"/>
          <w:szCs w:val="24"/>
          <w:lang w:val="en-GB"/>
        </w:rPr>
      </w:pPr>
      <w:proofErr w:type="spellStart"/>
      <w:r w:rsidRPr="001352E2">
        <w:rPr>
          <w:rFonts w:ascii="Times New Roman" w:hAnsi="Times New Roman" w:cs="Times New Roman"/>
          <w:sz w:val="24"/>
          <w:szCs w:val="24"/>
          <w:lang w:val="en-GB"/>
        </w:rPr>
        <w:t>Mutwedu</w:t>
      </w:r>
      <w:proofErr w:type="spellEnd"/>
      <w:r w:rsidRPr="001352E2">
        <w:rPr>
          <w:rFonts w:ascii="Times New Roman" w:hAnsi="Times New Roman" w:cs="Times New Roman"/>
          <w:sz w:val="24"/>
          <w:szCs w:val="24"/>
          <w:lang w:val="en-GB"/>
        </w:rPr>
        <w:t xml:space="preserve">, B. (2022). </w:t>
      </w:r>
      <w:r w:rsidRPr="001352E2">
        <w:rPr>
          <w:rFonts w:ascii="Times New Roman" w:hAnsi="Times New Roman" w:cs="Times New Roman"/>
          <w:i/>
          <w:iCs/>
          <w:sz w:val="24"/>
          <w:szCs w:val="24"/>
          <w:lang w:val="en-GB"/>
        </w:rPr>
        <w:t>(Presumed reference to animal housing and experimental protocol guidelines)</w:t>
      </w:r>
    </w:p>
    <w:p w14:paraId="2308B246" w14:textId="77777777" w:rsidR="001352E2" w:rsidRPr="001352E2" w:rsidRDefault="001352E2" w:rsidP="001352E2">
      <w:pPr>
        <w:numPr>
          <w:ilvl w:val="0"/>
          <w:numId w:val="1"/>
        </w:numPr>
        <w:jc w:val="both"/>
        <w:rPr>
          <w:rFonts w:ascii="Times New Roman" w:hAnsi="Times New Roman" w:cs="Times New Roman"/>
          <w:sz w:val="24"/>
          <w:szCs w:val="24"/>
          <w:lang w:val="en-GB"/>
        </w:rPr>
      </w:pPr>
      <w:proofErr w:type="spellStart"/>
      <w:r w:rsidRPr="001352E2">
        <w:rPr>
          <w:rFonts w:ascii="Times New Roman" w:hAnsi="Times New Roman" w:cs="Times New Roman"/>
          <w:sz w:val="24"/>
          <w:szCs w:val="24"/>
          <w:lang w:val="en-GB"/>
        </w:rPr>
        <w:t>Naibaho</w:t>
      </w:r>
      <w:proofErr w:type="spellEnd"/>
      <w:r w:rsidRPr="001352E2">
        <w:rPr>
          <w:rFonts w:ascii="Times New Roman" w:hAnsi="Times New Roman" w:cs="Times New Roman"/>
          <w:sz w:val="24"/>
          <w:szCs w:val="24"/>
          <w:lang w:val="en-GB"/>
        </w:rPr>
        <w:t xml:space="preserve">, M. I., </w:t>
      </w:r>
      <w:proofErr w:type="spellStart"/>
      <w:r w:rsidRPr="001352E2">
        <w:rPr>
          <w:rFonts w:ascii="Times New Roman" w:hAnsi="Times New Roman" w:cs="Times New Roman"/>
          <w:sz w:val="24"/>
          <w:szCs w:val="24"/>
          <w:lang w:val="en-GB"/>
        </w:rPr>
        <w:t>Suryanto</w:t>
      </w:r>
      <w:proofErr w:type="spellEnd"/>
      <w:r w:rsidRPr="001352E2">
        <w:rPr>
          <w:rFonts w:ascii="Times New Roman" w:hAnsi="Times New Roman" w:cs="Times New Roman"/>
          <w:sz w:val="24"/>
          <w:szCs w:val="24"/>
          <w:lang w:val="en-GB"/>
        </w:rPr>
        <w:t xml:space="preserve">, D., &amp; Sinaga, M. S. (2021). </w:t>
      </w:r>
      <w:r w:rsidRPr="001352E2">
        <w:rPr>
          <w:rFonts w:ascii="Times New Roman" w:hAnsi="Times New Roman" w:cs="Times New Roman"/>
          <w:i/>
          <w:iCs/>
          <w:sz w:val="24"/>
          <w:szCs w:val="24"/>
          <w:lang w:val="en-GB"/>
        </w:rPr>
        <w:t xml:space="preserve">Journal of Physics: Conference </w:t>
      </w:r>
      <w:proofErr w:type="gramStart"/>
      <w:r w:rsidRPr="001352E2">
        <w:rPr>
          <w:rFonts w:ascii="Times New Roman" w:hAnsi="Times New Roman" w:cs="Times New Roman"/>
          <w:i/>
          <w:iCs/>
          <w:sz w:val="24"/>
          <w:szCs w:val="24"/>
          <w:lang w:val="en-GB"/>
        </w:rPr>
        <w:t xml:space="preserve">Series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1876(1), 012042.</w:t>
      </w:r>
    </w:p>
    <w:p w14:paraId="1FABDA4F"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Nie, L., &amp; Luo, Y. (2021). </w:t>
      </w:r>
      <w:r w:rsidRPr="001352E2">
        <w:rPr>
          <w:rFonts w:ascii="Times New Roman" w:hAnsi="Times New Roman" w:cs="Times New Roman"/>
          <w:i/>
          <w:iCs/>
          <w:sz w:val="24"/>
          <w:szCs w:val="24"/>
          <w:lang w:val="en-GB"/>
        </w:rPr>
        <w:t>(Presumed reference to experimental validation models in pharmacology)</w:t>
      </w:r>
    </w:p>
    <w:p w14:paraId="1EE2C8FD" w14:textId="77777777" w:rsidR="001352E2" w:rsidRPr="001352E2" w:rsidRDefault="001352E2" w:rsidP="001352E2">
      <w:pPr>
        <w:numPr>
          <w:ilvl w:val="0"/>
          <w:numId w:val="1"/>
        </w:numPr>
        <w:jc w:val="both"/>
        <w:rPr>
          <w:rFonts w:ascii="Times New Roman" w:hAnsi="Times New Roman" w:cs="Times New Roman"/>
          <w:sz w:val="24"/>
          <w:szCs w:val="24"/>
          <w:lang w:val="en-GB"/>
        </w:rPr>
      </w:pPr>
      <w:proofErr w:type="spellStart"/>
      <w:r w:rsidRPr="001352E2">
        <w:rPr>
          <w:rFonts w:ascii="Times New Roman" w:hAnsi="Times New Roman" w:cs="Times New Roman"/>
          <w:sz w:val="24"/>
          <w:szCs w:val="24"/>
          <w:lang w:val="en-GB"/>
        </w:rPr>
        <w:t>Plabon</w:t>
      </w:r>
      <w:proofErr w:type="spellEnd"/>
      <w:r w:rsidRPr="001352E2">
        <w:rPr>
          <w:rFonts w:ascii="Times New Roman" w:hAnsi="Times New Roman" w:cs="Times New Roman"/>
          <w:sz w:val="24"/>
          <w:szCs w:val="24"/>
          <w:lang w:val="en-GB"/>
        </w:rPr>
        <w:t xml:space="preserve">, S. M., Islam, M. A., &amp; Rahman, M. M. (2021). Phytochemical and pharmacological properties of </w:t>
      </w:r>
      <w:proofErr w:type="spellStart"/>
      <w:r w:rsidRPr="001352E2">
        <w:rPr>
          <w:rFonts w:ascii="Times New Roman" w:hAnsi="Times New Roman" w:cs="Times New Roman"/>
          <w:i/>
          <w:iCs/>
          <w:sz w:val="24"/>
          <w:szCs w:val="24"/>
          <w:lang w:val="en-GB"/>
        </w:rPr>
        <w:t>Spondias</w:t>
      </w:r>
      <w:proofErr w:type="spellEnd"/>
      <w:r w:rsidRPr="001352E2">
        <w:rPr>
          <w:rFonts w:ascii="Times New Roman" w:hAnsi="Times New Roman" w:cs="Times New Roman"/>
          <w:i/>
          <w:iCs/>
          <w:sz w:val="24"/>
          <w:szCs w:val="24"/>
          <w:lang w:val="en-GB"/>
        </w:rPr>
        <w:t xml:space="preserve"> </w:t>
      </w:r>
      <w:proofErr w:type="gramStart"/>
      <w:r w:rsidRPr="001352E2">
        <w:rPr>
          <w:rFonts w:ascii="Times New Roman" w:hAnsi="Times New Roman" w:cs="Times New Roman"/>
          <w:i/>
          <w:iCs/>
          <w:sz w:val="24"/>
          <w:szCs w:val="24"/>
          <w:lang w:val="en-GB"/>
        </w:rPr>
        <w:t xml:space="preserve">pinnata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A comprehensive review. </w:t>
      </w:r>
      <w:r w:rsidRPr="001352E2">
        <w:rPr>
          <w:rFonts w:ascii="Times New Roman" w:hAnsi="Times New Roman" w:cs="Times New Roman"/>
          <w:i/>
          <w:iCs/>
          <w:sz w:val="24"/>
          <w:szCs w:val="24"/>
          <w:lang w:val="en-GB"/>
        </w:rPr>
        <w:t xml:space="preserve">Journal of </w:t>
      </w:r>
      <w:proofErr w:type="gramStart"/>
      <w:r w:rsidRPr="001352E2">
        <w:rPr>
          <w:rFonts w:ascii="Times New Roman" w:hAnsi="Times New Roman" w:cs="Times New Roman"/>
          <w:i/>
          <w:iCs/>
          <w:sz w:val="24"/>
          <w:szCs w:val="24"/>
          <w:lang w:val="en-GB"/>
        </w:rPr>
        <w:t xml:space="preserve">Ethnopharmacology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264, 113278.</w:t>
      </w:r>
    </w:p>
    <w:p w14:paraId="7D4565E7"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Russo, F. M., Costa, B. M., &amp; Freitas, M. (2021). Functional foods and cardiovascular disease prevention: Mechanisms and clinical evidence. </w:t>
      </w:r>
      <w:r w:rsidRPr="001352E2">
        <w:rPr>
          <w:rFonts w:ascii="Times New Roman" w:hAnsi="Times New Roman" w:cs="Times New Roman"/>
          <w:i/>
          <w:iCs/>
          <w:sz w:val="24"/>
          <w:szCs w:val="24"/>
          <w:lang w:val="en-GB"/>
        </w:rPr>
        <w:t xml:space="preserve">Critical Reviews in Food Science and </w:t>
      </w:r>
      <w:proofErr w:type="gramStart"/>
      <w:r w:rsidRPr="001352E2">
        <w:rPr>
          <w:rFonts w:ascii="Times New Roman" w:hAnsi="Times New Roman" w:cs="Times New Roman"/>
          <w:i/>
          <w:iCs/>
          <w:sz w:val="24"/>
          <w:szCs w:val="24"/>
          <w:lang w:val="en-GB"/>
        </w:rPr>
        <w:t xml:space="preserve">Nutrition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61(10), 1705–1720.</w:t>
      </w:r>
    </w:p>
    <w:p w14:paraId="6A634082" w14:textId="77777777" w:rsidR="001352E2" w:rsidRPr="001352E2" w:rsidRDefault="001352E2" w:rsidP="001352E2">
      <w:pPr>
        <w:numPr>
          <w:ilvl w:val="0"/>
          <w:numId w:val="1"/>
        </w:numPr>
        <w:jc w:val="both"/>
        <w:rPr>
          <w:rFonts w:ascii="Times New Roman" w:hAnsi="Times New Roman" w:cs="Times New Roman"/>
          <w:sz w:val="24"/>
          <w:szCs w:val="24"/>
          <w:lang w:val="en-GB"/>
        </w:rPr>
      </w:pPr>
      <w:proofErr w:type="spellStart"/>
      <w:r w:rsidRPr="001352E2">
        <w:rPr>
          <w:rFonts w:ascii="Times New Roman" w:hAnsi="Times New Roman" w:cs="Times New Roman"/>
          <w:sz w:val="24"/>
          <w:szCs w:val="24"/>
          <w:lang w:val="en-GB"/>
        </w:rPr>
        <w:t>Samarghandian</w:t>
      </w:r>
      <w:proofErr w:type="spellEnd"/>
      <w:r w:rsidRPr="001352E2">
        <w:rPr>
          <w:rFonts w:ascii="Times New Roman" w:hAnsi="Times New Roman" w:cs="Times New Roman"/>
          <w:sz w:val="24"/>
          <w:szCs w:val="24"/>
          <w:lang w:val="en-GB"/>
        </w:rPr>
        <w:t xml:space="preserve">, S., Farkhondeh, T., &amp; Azimi-Nezhad, M. (2013). </w:t>
      </w:r>
      <w:r w:rsidRPr="001352E2">
        <w:rPr>
          <w:rFonts w:ascii="Times New Roman" w:hAnsi="Times New Roman" w:cs="Times New Roman"/>
          <w:i/>
          <w:iCs/>
          <w:sz w:val="24"/>
          <w:szCs w:val="24"/>
          <w:lang w:val="en-GB"/>
        </w:rPr>
        <w:t>Cell Journal (</w:t>
      </w:r>
      <w:proofErr w:type="spellStart"/>
      <w:r w:rsidRPr="001352E2">
        <w:rPr>
          <w:rFonts w:ascii="Times New Roman" w:hAnsi="Times New Roman" w:cs="Times New Roman"/>
          <w:i/>
          <w:iCs/>
          <w:sz w:val="24"/>
          <w:szCs w:val="24"/>
          <w:lang w:val="en-GB"/>
        </w:rPr>
        <w:t>Yakhteh</w:t>
      </w:r>
      <w:proofErr w:type="spellEnd"/>
      <w:proofErr w:type="gramStart"/>
      <w:r w:rsidRPr="001352E2">
        <w:rPr>
          <w:rFonts w:ascii="Times New Roman" w:hAnsi="Times New Roman" w:cs="Times New Roman"/>
          <w:i/>
          <w:iCs/>
          <w:sz w:val="24"/>
          <w:szCs w:val="24"/>
          <w:lang w:val="en-GB"/>
        </w:rPr>
        <w:t xml:space="preserve">)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15(2), 153–160.</w:t>
      </w:r>
    </w:p>
    <w:p w14:paraId="7CAEA326"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Sandner, G., König, A., Wallner, M., &amp; </w:t>
      </w:r>
      <w:proofErr w:type="spellStart"/>
      <w:r w:rsidRPr="001352E2">
        <w:rPr>
          <w:rFonts w:ascii="Times New Roman" w:hAnsi="Times New Roman" w:cs="Times New Roman"/>
          <w:sz w:val="24"/>
          <w:szCs w:val="24"/>
          <w:lang w:val="en-GB"/>
        </w:rPr>
        <w:t>Weghuber</w:t>
      </w:r>
      <w:proofErr w:type="spellEnd"/>
      <w:r w:rsidRPr="001352E2">
        <w:rPr>
          <w:rFonts w:ascii="Times New Roman" w:hAnsi="Times New Roman" w:cs="Times New Roman"/>
          <w:sz w:val="24"/>
          <w:szCs w:val="24"/>
          <w:lang w:val="en-GB"/>
        </w:rPr>
        <w:t>, J. (2020). Current Opinion in Food Science, 34, 9–20.</w:t>
      </w:r>
    </w:p>
    <w:p w14:paraId="52B5E689"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lastRenderedPageBreak/>
        <w:t xml:space="preserve">Shivanika, C., Kumar, D., Ragunathan, V., Tiwari, P., &amp; Sumitha, A. (2020). Molecular docking, validation, dynamics simulations, and pharmacokinetic prediction of natural compounds against the SARS-CoV-2 main-protease. </w:t>
      </w:r>
      <w:r w:rsidRPr="001352E2">
        <w:rPr>
          <w:rFonts w:ascii="Times New Roman" w:hAnsi="Times New Roman" w:cs="Times New Roman"/>
          <w:i/>
          <w:iCs/>
          <w:sz w:val="24"/>
          <w:szCs w:val="24"/>
          <w:lang w:val="en-GB"/>
        </w:rPr>
        <w:t xml:space="preserve">Journal of Biomolecular Structure &amp; </w:t>
      </w:r>
      <w:proofErr w:type="gramStart"/>
      <w:r w:rsidRPr="001352E2">
        <w:rPr>
          <w:rFonts w:ascii="Times New Roman" w:hAnsi="Times New Roman" w:cs="Times New Roman"/>
          <w:i/>
          <w:iCs/>
          <w:sz w:val="24"/>
          <w:szCs w:val="24"/>
          <w:lang w:val="en-GB"/>
        </w:rPr>
        <w:t xml:space="preserve">Dynamics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w:t>
      </w:r>
    </w:p>
    <w:p w14:paraId="2759E7D1"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Sinan, K. I., </w:t>
      </w:r>
      <w:proofErr w:type="spellStart"/>
      <w:r w:rsidRPr="001352E2">
        <w:rPr>
          <w:rFonts w:ascii="Times New Roman" w:hAnsi="Times New Roman" w:cs="Times New Roman"/>
          <w:sz w:val="24"/>
          <w:szCs w:val="24"/>
          <w:lang w:val="en-GB"/>
        </w:rPr>
        <w:t>Mahomoodally</w:t>
      </w:r>
      <w:proofErr w:type="spellEnd"/>
      <w:r w:rsidRPr="001352E2">
        <w:rPr>
          <w:rFonts w:ascii="Times New Roman" w:hAnsi="Times New Roman" w:cs="Times New Roman"/>
          <w:sz w:val="24"/>
          <w:szCs w:val="24"/>
          <w:lang w:val="en-GB"/>
        </w:rPr>
        <w:t xml:space="preserve">, M. F., Zengin, G., Uysal, S., </w:t>
      </w:r>
      <w:proofErr w:type="spellStart"/>
      <w:r w:rsidRPr="001352E2">
        <w:rPr>
          <w:rFonts w:ascii="Times New Roman" w:hAnsi="Times New Roman" w:cs="Times New Roman"/>
          <w:sz w:val="24"/>
          <w:szCs w:val="24"/>
          <w:lang w:val="en-GB"/>
        </w:rPr>
        <w:t>Aktumsek</w:t>
      </w:r>
      <w:proofErr w:type="spellEnd"/>
      <w:r w:rsidRPr="001352E2">
        <w:rPr>
          <w:rFonts w:ascii="Times New Roman" w:hAnsi="Times New Roman" w:cs="Times New Roman"/>
          <w:sz w:val="24"/>
          <w:szCs w:val="24"/>
          <w:lang w:val="en-GB"/>
        </w:rPr>
        <w:t xml:space="preserve">, A., &amp; Sharifi-Rad, J. (2021). Phytosterols: Sources, health benefits, and applications. </w:t>
      </w:r>
      <w:r w:rsidRPr="001352E2">
        <w:rPr>
          <w:rFonts w:ascii="Times New Roman" w:hAnsi="Times New Roman" w:cs="Times New Roman"/>
          <w:i/>
          <w:iCs/>
          <w:sz w:val="24"/>
          <w:szCs w:val="24"/>
          <w:lang w:val="en-GB"/>
        </w:rPr>
        <w:t xml:space="preserve">Current Topics in Medicinal </w:t>
      </w:r>
      <w:proofErr w:type="gramStart"/>
      <w:r w:rsidRPr="001352E2">
        <w:rPr>
          <w:rFonts w:ascii="Times New Roman" w:hAnsi="Times New Roman" w:cs="Times New Roman"/>
          <w:i/>
          <w:iCs/>
          <w:sz w:val="24"/>
          <w:szCs w:val="24"/>
          <w:lang w:val="en-GB"/>
        </w:rPr>
        <w:t xml:space="preserve">Chemistry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21(5), 455–470.</w:t>
      </w:r>
    </w:p>
    <w:p w14:paraId="3F1F12CB"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Sirota, T. V. (2017). Standardization and regulation of the rate of the superoxide-generating reaction of adrenaline autoxidation used for evaluation of pro/antioxidant properties of various materials. </w:t>
      </w:r>
      <w:r w:rsidRPr="001352E2">
        <w:rPr>
          <w:rFonts w:ascii="Times New Roman" w:hAnsi="Times New Roman" w:cs="Times New Roman"/>
          <w:i/>
          <w:iCs/>
          <w:sz w:val="24"/>
          <w:szCs w:val="24"/>
          <w:lang w:val="en-GB"/>
        </w:rPr>
        <w:t xml:space="preserve">Biochemistry (Moscow), Supplement Series B: Biomedical </w:t>
      </w:r>
      <w:proofErr w:type="gramStart"/>
      <w:r w:rsidRPr="001352E2">
        <w:rPr>
          <w:rFonts w:ascii="Times New Roman" w:hAnsi="Times New Roman" w:cs="Times New Roman"/>
          <w:i/>
          <w:iCs/>
          <w:sz w:val="24"/>
          <w:szCs w:val="24"/>
          <w:lang w:val="en-GB"/>
        </w:rPr>
        <w:t xml:space="preserve">Chemistry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11, 128–133.</w:t>
      </w:r>
    </w:p>
    <w:p w14:paraId="2620D5BB"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Swathi, S., &amp; Lakshman, K. (2022). Phytopharmacological and Biological Exertion of </w:t>
      </w:r>
      <w:proofErr w:type="spellStart"/>
      <w:r w:rsidRPr="001352E2">
        <w:rPr>
          <w:rFonts w:ascii="Times New Roman" w:hAnsi="Times New Roman" w:cs="Times New Roman"/>
          <w:i/>
          <w:iCs/>
          <w:sz w:val="24"/>
          <w:szCs w:val="24"/>
          <w:lang w:val="en-GB"/>
        </w:rPr>
        <w:t>Spondias</w:t>
      </w:r>
      <w:proofErr w:type="spellEnd"/>
      <w:r w:rsidRPr="001352E2">
        <w:rPr>
          <w:rFonts w:ascii="Times New Roman" w:hAnsi="Times New Roman" w:cs="Times New Roman"/>
          <w:i/>
          <w:iCs/>
          <w:sz w:val="24"/>
          <w:szCs w:val="24"/>
          <w:lang w:val="en-GB"/>
        </w:rPr>
        <w:t xml:space="preserve"> </w:t>
      </w:r>
      <w:proofErr w:type="gramStart"/>
      <w:r w:rsidRPr="001352E2">
        <w:rPr>
          <w:rFonts w:ascii="Times New Roman" w:hAnsi="Times New Roman" w:cs="Times New Roman"/>
          <w:i/>
          <w:iCs/>
          <w:sz w:val="24"/>
          <w:szCs w:val="24"/>
          <w:lang w:val="en-GB"/>
        </w:rPr>
        <w:t xml:space="preserve">Pinnata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A Review. </w:t>
      </w:r>
      <w:r w:rsidRPr="001352E2">
        <w:rPr>
          <w:rFonts w:ascii="Times New Roman" w:hAnsi="Times New Roman" w:cs="Times New Roman"/>
          <w:i/>
          <w:iCs/>
          <w:sz w:val="24"/>
          <w:szCs w:val="24"/>
          <w:lang w:val="en-GB"/>
        </w:rPr>
        <w:t xml:space="preserve">Oriental Journal </w:t>
      </w:r>
      <w:proofErr w:type="gramStart"/>
      <w:r w:rsidRPr="001352E2">
        <w:rPr>
          <w:rFonts w:ascii="Times New Roman" w:hAnsi="Times New Roman" w:cs="Times New Roman"/>
          <w:i/>
          <w:iCs/>
          <w:sz w:val="24"/>
          <w:szCs w:val="24"/>
          <w:lang w:val="en-GB"/>
        </w:rPr>
        <w:t>Of</w:t>
      </w:r>
      <w:proofErr w:type="gramEnd"/>
      <w:r w:rsidRPr="001352E2">
        <w:rPr>
          <w:rFonts w:ascii="Times New Roman" w:hAnsi="Times New Roman" w:cs="Times New Roman"/>
          <w:i/>
          <w:iCs/>
          <w:sz w:val="24"/>
          <w:szCs w:val="24"/>
          <w:lang w:val="en-GB"/>
        </w:rPr>
        <w:t xml:space="preserve"> </w:t>
      </w:r>
      <w:proofErr w:type="gramStart"/>
      <w:r w:rsidRPr="001352E2">
        <w:rPr>
          <w:rFonts w:ascii="Times New Roman" w:hAnsi="Times New Roman" w:cs="Times New Roman"/>
          <w:i/>
          <w:iCs/>
          <w:sz w:val="24"/>
          <w:szCs w:val="24"/>
          <w:lang w:val="en-GB"/>
        </w:rPr>
        <w:t xml:space="preserve">Chemistry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38(2), 268.</w:t>
      </w:r>
    </w:p>
    <w:p w14:paraId="54B4348F"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Usai, R., Majoni, S., &amp; </w:t>
      </w:r>
      <w:proofErr w:type="spellStart"/>
      <w:r w:rsidRPr="001352E2">
        <w:rPr>
          <w:rFonts w:ascii="Times New Roman" w:hAnsi="Times New Roman" w:cs="Times New Roman"/>
          <w:sz w:val="24"/>
          <w:szCs w:val="24"/>
          <w:lang w:val="en-GB"/>
        </w:rPr>
        <w:t>Rwere</w:t>
      </w:r>
      <w:proofErr w:type="spellEnd"/>
      <w:r w:rsidRPr="001352E2">
        <w:rPr>
          <w:rFonts w:ascii="Times New Roman" w:hAnsi="Times New Roman" w:cs="Times New Roman"/>
          <w:sz w:val="24"/>
          <w:szCs w:val="24"/>
          <w:lang w:val="en-GB"/>
        </w:rPr>
        <w:t xml:space="preserve">, F. (2022). Natural products for the treatment and management of diabetes mellitus in Zimbabwe – a review. </w:t>
      </w:r>
      <w:r w:rsidRPr="001352E2">
        <w:rPr>
          <w:rFonts w:ascii="Times New Roman" w:hAnsi="Times New Roman" w:cs="Times New Roman"/>
          <w:i/>
          <w:iCs/>
          <w:sz w:val="24"/>
          <w:szCs w:val="24"/>
          <w:lang w:val="en-GB"/>
        </w:rPr>
        <w:t xml:space="preserve">Frontiers in </w:t>
      </w:r>
      <w:proofErr w:type="gramStart"/>
      <w:r w:rsidRPr="001352E2">
        <w:rPr>
          <w:rFonts w:ascii="Times New Roman" w:hAnsi="Times New Roman" w:cs="Times New Roman"/>
          <w:i/>
          <w:iCs/>
          <w:sz w:val="24"/>
          <w:szCs w:val="24"/>
          <w:lang w:val="en-GB"/>
        </w:rPr>
        <w:t xml:space="preserve">Pharmacology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13, 980819.</w:t>
      </w:r>
    </w:p>
    <w:p w14:paraId="205132AF"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Valentino, G., Graziani, V., </w:t>
      </w:r>
      <w:proofErr w:type="spellStart"/>
      <w:r w:rsidRPr="001352E2">
        <w:rPr>
          <w:rFonts w:ascii="Times New Roman" w:hAnsi="Times New Roman" w:cs="Times New Roman"/>
          <w:sz w:val="24"/>
          <w:szCs w:val="24"/>
          <w:lang w:val="en-GB"/>
        </w:rPr>
        <w:t>D’Abrosca</w:t>
      </w:r>
      <w:proofErr w:type="spellEnd"/>
      <w:r w:rsidRPr="001352E2">
        <w:rPr>
          <w:rFonts w:ascii="Times New Roman" w:hAnsi="Times New Roman" w:cs="Times New Roman"/>
          <w:sz w:val="24"/>
          <w:szCs w:val="24"/>
          <w:lang w:val="en-GB"/>
        </w:rPr>
        <w:t xml:space="preserve">, B., Pacifico, S., Fiorentino, A., &amp; Scognamiglio, M. (2020). NMR-based plant metabolomics in nutraceutical research: an overview. </w:t>
      </w:r>
      <w:proofErr w:type="gramStart"/>
      <w:r w:rsidRPr="001352E2">
        <w:rPr>
          <w:rFonts w:ascii="Times New Roman" w:hAnsi="Times New Roman" w:cs="Times New Roman"/>
          <w:i/>
          <w:iCs/>
          <w:sz w:val="24"/>
          <w:szCs w:val="24"/>
          <w:lang w:val="en-GB"/>
        </w:rPr>
        <w:t xml:space="preserve">Molecules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25(6), 1444.</w:t>
      </w:r>
    </w:p>
    <w:p w14:paraId="66122A28"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Venkatakrishnan, K., Chiu, H.-F., &amp; Wang, C.-K. (2019). Food &amp; Function, 10(5), 2313–2329.</w:t>
      </w:r>
    </w:p>
    <w:p w14:paraId="61E81E6A" w14:textId="77777777" w:rsidR="001352E2" w:rsidRPr="001352E2" w:rsidRDefault="001352E2" w:rsidP="001352E2">
      <w:pPr>
        <w:numPr>
          <w:ilvl w:val="0"/>
          <w:numId w:val="1"/>
        </w:numPr>
        <w:jc w:val="both"/>
        <w:rPr>
          <w:rFonts w:ascii="Times New Roman" w:hAnsi="Times New Roman" w:cs="Times New Roman"/>
          <w:sz w:val="24"/>
          <w:szCs w:val="24"/>
          <w:lang w:val="en-GB"/>
        </w:rPr>
      </w:pPr>
      <w:r w:rsidRPr="001352E2">
        <w:rPr>
          <w:rFonts w:ascii="Times New Roman" w:hAnsi="Times New Roman" w:cs="Times New Roman"/>
          <w:sz w:val="24"/>
          <w:szCs w:val="24"/>
          <w:lang w:val="en-GB"/>
        </w:rPr>
        <w:t xml:space="preserve">Wei, Z., Chen, M., Lu, X., Liu, Y., Peng, G., Yang, J., ... &amp; Yu, P. (2024). A New Advanced Approach: Design and Screening of Affinity Peptide Ligands Using Computer Simulation Techniques. </w:t>
      </w:r>
      <w:r w:rsidRPr="001352E2">
        <w:rPr>
          <w:rFonts w:ascii="Times New Roman" w:hAnsi="Times New Roman" w:cs="Times New Roman"/>
          <w:i/>
          <w:iCs/>
          <w:sz w:val="24"/>
          <w:szCs w:val="24"/>
          <w:lang w:val="en-GB"/>
        </w:rPr>
        <w:t xml:space="preserve">Current Topics in Medicinal </w:t>
      </w:r>
      <w:proofErr w:type="gramStart"/>
      <w:r w:rsidRPr="001352E2">
        <w:rPr>
          <w:rFonts w:ascii="Times New Roman" w:hAnsi="Times New Roman" w:cs="Times New Roman"/>
          <w:i/>
          <w:iCs/>
          <w:sz w:val="24"/>
          <w:szCs w:val="24"/>
          <w:lang w:val="en-GB"/>
        </w:rPr>
        <w:t xml:space="preserve">Chemistry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24(8), 667–685.</w:t>
      </w:r>
    </w:p>
    <w:p w14:paraId="20E3B934" w14:textId="77777777" w:rsidR="001352E2" w:rsidRPr="001352E2" w:rsidRDefault="001352E2" w:rsidP="001352E2">
      <w:pPr>
        <w:numPr>
          <w:ilvl w:val="0"/>
          <w:numId w:val="1"/>
        </w:numPr>
        <w:jc w:val="both"/>
        <w:rPr>
          <w:rFonts w:ascii="Times New Roman" w:hAnsi="Times New Roman" w:cs="Times New Roman"/>
          <w:sz w:val="24"/>
          <w:szCs w:val="24"/>
          <w:lang w:val="en-GB"/>
        </w:rPr>
      </w:pPr>
      <w:proofErr w:type="spellStart"/>
      <w:r w:rsidRPr="001352E2">
        <w:rPr>
          <w:rFonts w:ascii="Times New Roman" w:hAnsi="Times New Roman" w:cs="Times New Roman"/>
          <w:sz w:val="24"/>
          <w:szCs w:val="24"/>
          <w:lang w:val="en-GB"/>
        </w:rPr>
        <w:t>Yekeen</w:t>
      </w:r>
      <w:proofErr w:type="spellEnd"/>
      <w:r w:rsidRPr="001352E2">
        <w:rPr>
          <w:rFonts w:ascii="Times New Roman" w:hAnsi="Times New Roman" w:cs="Times New Roman"/>
          <w:sz w:val="24"/>
          <w:szCs w:val="24"/>
          <w:lang w:val="en-GB"/>
        </w:rPr>
        <w:t xml:space="preserve">, N., Malik, A. A., Idris, A. K., </w:t>
      </w:r>
      <w:proofErr w:type="spellStart"/>
      <w:r w:rsidRPr="001352E2">
        <w:rPr>
          <w:rFonts w:ascii="Times New Roman" w:hAnsi="Times New Roman" w:cs="Times New Roman"/>
          <w:sz w:val="24"/>
          <w:szCs w:val="24"/>
          <w:lang w:val="en-GB"/>
        </w:rPr>
        <w:t>Reepei</w:t>
      </w:r>
      <w:proofErr w:type="spellEnd"/>
      <w:r w:rsidRPr="001352E2">
        <w:rPr>
          <w:rFonts w:ascii="Times New Roman" w:hAnsi="Times New Roman" w:cs="Times New Roman"/>
          <w:sz w:val="24"/>
          <w:szCs w:val="24"/>
          <w:lang w:val="en-GB"/>
        </w:rPr>
        <w:t xml:space="preserve">, N. I., &amp; Ganie, K. (2020). Foaming properties, wettability alteration and interfacial tension reduction by saponin extracted from </w:t>
      </w:r>
      <w:proofErr w:type="spellStart"/>
      <w:r w:rsidRPr="001352E2">
        <w:rPr>
          <w:rFonts w:ascii="Times New Roman" w:hAnsi="Times New Roman" w:cs="Times New Roman"/>
          <w:sz w:val="24"/>
          <w:szCs w:val="24"/>
          <w:lang w:val="en-GB"/>
        </w:rPr>
        <w:t>soapnut</w:t>
      </w:r>
      <w:proofErr w:type="spellEnd"/>
      <w:r w:rsidRPr="001352E2">
        <w:rPr>
          <w:rFonts w:ascii="Times New Roman" w:hAnsi="Times New Roman" w:cs="Times New Roman"/>
          <w:sz w:val="24"/>
          <w:szCs w:val="24"/>
          <w:lang w:val="en-GB"/>
        </w:rPr>
        <w:t xml:space="preserve"> (</w:t>
      </w:r>
      <w:proofErr w:type="spellStart"/>
      <w:r w:rsidRPr="001352E2">
        <w:rPr>
          <w:rFonts w:ascii="Times New Roman" w:hAnsi="Times New Roman" w:cs="Times New Roman"/>
          <w:i/>
          <w:iCs/>
          <w:sz w:val="24"/>
          <w:szCs w:val="24"/>
          <w:lang w:val="en-GB"/>
        </w:rPr>
        <w:t>Sapindus</w:t>
      </w:r>
      <w:proofErr w:type="spellEnd"/>
      <w:r w:rsidRPr="001352E2">
        <w:rPr>
          <w:rFonts w:ascii="Times New Roman" w:hAnsi="Times New Roman" w:cs="Times New Roman"/>
          <w:i/>
          <w:iCs/>
          <w:sz w:val="24"/>
          <w:szCs w:val="24"/>
          <w:lang w:val="en-GB"/>
        </w:rPr>
        <w:t xml:space="preserve"> </w:t>
      </w:r>
      <w:proofErr w:type="spellStart"/>
      <w:proofErr w:type="gramStart"/>
      <w:r w:rsidRPr="001352E2">
        <w:rPr>
          <w:rFonts w:ascii="Times New Roman" w:hAnsi="Times New Roman" w:cs="Times New Roman"/>
          <w:i/>
          <w:iCs/>
          <w:sz w:val="24"/>
          <w:szCs w:val="24"/>
          <w:lang w:val="en-GB"/>
        </w:rPr>
        <w:t>Mukorossi</w:t>
      </w:r>
      <w:proofErr w:type="spellEnd"/>
      <w:r w:rsidRPr="001352E2">
        <w:rPr>
          <w:rFonts w:ascii="Times New Roman" w:hAnsi="Times New Roman" w:cs="Times New Roman"/>
          <w:i/>
          <w:iCs/>
          <w:sz w:val="24"/>
          <w:szCs w:val="24"/>
          <w:lang w:val="en-GB"/>
        </w:rPr>
        <w:t xml:space="preserve">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at room and reservoir conditions. </w:t>
      </w:r>
      <w:r w:rsidRPr="001352E2">
        <w:rPr>
          <w:rFonts w:ascii="Times New Roman" w:hAnsi="Times New Roman" w:cs="Times New Roman"/>
          <w:i/>
          <w:iCs/>
          <w:sz w:val="24"/>
          <w:szCs w:val="24"/>
          <w:lang w:val="en-GB"/>
        </w:rPr>
        <w:t xml:space="preserve">Journal of Petroleum Science and </w:t>
      </w:r>
      <w:proofErr w:type="gramStart"/>
      <w:r w:rsidRPr="001352E2">
        <w:rPr>
          <w:rFonts w:ascii="Times New Roman" w:hAnsi="Times New Roman" w:cs="Times New Roman"/>
          <w:i/>
          <w:iCs/>
          <w:sz w:val="24"/>
          <w:szCs w:val="24"/>
          <w:lang w:val="en-GB"/>
        </w:rPr>
        <w:t xml:space="preserve">Engineering </w:t>
      </w:r>
      <w:r w:rsidRPr="001352E2">
        <w:rPr>
          <w:rFonts w:ascii="Times New Roman" w:hAnsi="Times New Roman" w:cs="Times New Roman"/>
          <w:sz w:val="24"/>
          <w:szCs w:val="24"/>
          <w:lang w:val="en-GB"/>
        </w:rPr>
        <w:t>,</w:t>
      </w:r>
      <w:proofErr w:type="gramEnd"/>
      <w:r w:rsidRPr="001352E2">
        <w:rPr>
          <w:rFonts w:ascii="Times New Roman" w:hAnsi="Times New Roman" w:cs="Times New Roman"/>
          <w:sz w:val="24"/>
          <w:szCs w:val="24"/>
          <w:lang w:val="en-GB"/>
        </w:rPr>
        <w:t xml:space="preserve"> 195, 107591.</w:t>
      </w:r>
    </w:p>
    <w:p w14:paraId="1177DB4C" w14:textId="4B83C67A" w:rsidR="007A0B60" w:rsidRPr="006D034F" w:rsidRDefault="007A0B60" w:rsidP="001352E2">
      <w:pPr>
        <w:jc w:val="both"/>
        <w:rPr>
          <w:rFonts w:ascii="Times New Roman" w:hAnsi="Times New Roman" w:cs="Times New Roman"/>
          <w:sz w:val="24"/>
          <w:szCs w:val="24"/>
        </w:rPr>
      </w:pPr>
    </w:p>
    <w:sectPr w:rsidR="007A0B60" w:rsidRPr="006D034F">
      <w:headerReference w:type="even" r:id="rId51"/>
      <w:headerReference w:type="default" r:id="rId52"/>
      <w:footerReference w:type="default" r:id="rId53"/>
      <w:headerReference w:type="first" r:id="rId5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lajumoke Oladapo" w:date="2025-06-05T12:40:00Z" w:initials="OO">
    <w:p w14:paraId="4A578481" w14:textId="77777777" w:rsidR="00AD53EA" w:rsidRDefault="00AD53EA" w:rsidP="00AD53EA">
      <w:pPr>
        <w:pStyle w:val="CommentText"/>
      </w:pPr>
      <w:r>
        <w:rPr>
          <w:rStyle w:val="CommentReference"/>
        </w:rPr>
        <w:annotationRef/>
      </w:r>
      <w:r>
        <w:t xml:space="preserve">The current title, </w:t>
      </w:r>
      <w:r>
        <w:rPr>
          <w:i/>
          <w:iCs/>
        </w:rPr>
        <w:t>“Evaluation of Bioactive Compounds and Anti-Hyperlipidemic Potential of Hog Plum (Spondias mombin) with Implications for Functional Food Development,”</w:t>
      </w:r>
      <w:r>
        <w:t xml:space="preserve"> is informative, but I would recommend that the phrase </w:t>
      </w:r>
      <w:r>
        <w:rPr>
          <w:b/>
          <w:bCs/>
        </w:rPr>
        <w:t>“Anti-Hyperlipidemic”</w:t>
      </w:r>
      <w:r>
        <w:t xml:space="preserve"> be made more prominent or moved closer to the beginning of the title, as it reflects the central aim of the study. This adjustment would help draw immediate attention to the main research focus and enhance clarity for readers. Here is my suggestion:  “Anti-Hyperlipidemic Potential and Bioactive Compound Profile of Hog Plum (</w:t>
      </w:r>
      <w:r>
        <w:rPr>
          <w:i/>
          <w:iCs/>
        </w:rPr>
        <w:t>Spondias mombin</w:t>
      </w:r>
      <w:r>
        <w:t xml:space="preserve">) with Implications for Functional Food Development” </w:t>
      </w:r>
    </w:p>
  </w:comment>
  <w:comment w:id="1" w:author="Olajumoke Oladapo" w:date="2025-06-05T12:41:00Z" w:initials="OO">
    <w:p w14:paraId="374D71B4" w14:textId="77777777" w:rsidR="00AD53EA" w:rsidRDefault="00AD53EA" w:rsidP="00AD53EA">
      <w:pPr>
        <w:pStyle w:val="CommentText"/>
      </w:pPr>
      <w:r>
        <w:rPr>
          <w:rStyle w:val="CommentReference"/>
        </w:rPr>
        <w:annotationRef/>
      </w:r>
      <w:r>
        <w:t>The paper focuses more on the anti-hyperlipidemic potential as discussed extensively in the Introduction, you might want to be consistent on this.</w:t>
      </w:r>
    </w:p>
  </w:comment>
  <w:comment w:id="2" w:author="Olajumoke Oladapo" w:date="2025-06-05T11:28:00Z" w:initials="OO">
    <w:p w14:paraId="0773927D" w14:textId="750638E7" w:rsidR="006E7C62" w:rsidRDefault="006E7C62" w:rsidP="006E7C62">
      <w:pPr>
        <w:pStyle w:val="CommentText"/>
      </w:pPr>
      <w:r>
        <w:rPr>
          <w:rStyle w:val="CommentReference"/>
        </w:rPr>
        <w:annotationRef/>
      </w:r>
      <w:r>
        <w:t>I recommend a statistics showing the relevance of this disease</w:t>
      </w:r>
    </w:p>
  </w:comment>
  <w:comment w:id="3" w:author="Olajumoke Oladapo" w:date="2025-06-05T11:45:00Z" w:initials="OO">
    <w:p w14:paraId="71C73D2D" w14:textId="77777777" w:rsidR="00F75AD9" w:rsidRDefault="00F75AD9" w:rsidP="00F75AD9">
      <w:pPr>
        <w:pStyle w:val="CommentText"/>
      </w:pPr>
      <w:r>
        <w:rPr>
          <w:rStyle w:val="CommentReference"/>
        </w:rPr>
        <w:annotationRef/>
      </w:r>
      <w:r>
        <w:t>Please ensure consistency in the use of botanical names throughout the manuscript.</w:t>
      </w:r>
    </w:p>
    <w:p w14:paraId="0382CD54" w14:textId="77777777" w:rsidR="00F75AD9" w:rsidRDefault="00F75AD9" w:rsidP="00F75AD9">
      <w:pPr>
        <w:pStyle w:val="CommentText"/>
        <w:numPr>
          <w:ilvl w:val="0"/>
          <w:numId w:val="5"/>
        </w:numPr>
        <w:ind w:left="360"/>
      </w:pPr>
      <w:r>
        <w:t xml:space="preserve">On first mention, the full genus and species name should be spelled out in italics e.g., </w:t>
      </w:r>
      <w:r>
        <w:rPr>
          <w:i/>
          <w:iCs/>
        </w:rPr>
        <w:t>Spondias</w:t>
      </w:r>
      <w:r>
        <w:t xml:space="preserve"> </w:t>
      </w:r>
      <w:r>
        <w:rPr>
          <w:i/>
          <w:iCs/>
        </w:rPr>
        <w:t>mombin</w:t>
      </w:r>
      <w:r>
        <w:t>.</w:t>
      </w:r>
    </w:p>
    <w:p w14:paraId="4C0BCB3C" w14:textId="77777777" w:rsidR="00F75AD9" w:rsidRDefault="00F75AD9" w:rsidP="00F75AD9">
      <w:pPr>
        <w:pStyle w:val="CommentText"/>
        <w:numPr>
          <w:ilvl w:val="0"/>
          <w:numId w:val="5"/>
        </w:numPr>
        <w:ind w:left="360"/>
      </w:pPr>
      <w:r>
        <w:t xml:space="preserve">On subsequent mentions, abbreviate the genus to its first initial with a period, followed by the full species name e.g., </w:t>
      </w:r>
      <w:r>
        <w:rPr>
          <w:i/>
          <w:iCs/>
        </w:rPr>
        <w:t>S. mombin</w:t>
      </w:r>
      <w:r>
        <w:t>.</w:t>
      </w:r>
    </w:p>
    <w:p w14:paraId="72CC2C85" w14:textId="77777777" w:rsidR="00F75AD9" w:rsidRDefault="00F75AD9" w:rsidP="00F75AD9">
      <w:pPr>
        <w:pStyle w:val="CommentText"/>
      </w:pPr>
      <w:r>
        <w:t>Avoid switching back and forth between the full and abbreviated forms inconsistently. Apply this format uniformly across the entire document.</w:t>
      </w:r>
    </w:p>
  </w:comment>
  <w:comment w:id="4" w:author="Olajumoke Oladapo" w:date="2025-06-05T11:59:00Z" w:initials="OO">
    <w:p w14:paraId="45D59AC2" w14:textId="77777777" w:rsidR="0033279D" w:rsidRDefault="0033279D" w:rsidP="0033279D">
      <w:pPr>
        <w:pStyle w:val="CommentText"/>
      </w:pPr>
      <w:r>
        <w:rPr>
          <w:rStyle w:val="CommentReference"/>
        </w:rPr>
        <w:annotationRef/>
      </w:r>
      <w:r>
        <w:t>were</w:t>
      </w:r>
    </w:p>
  </w:comment>
  <w:comment w:id="5" w:author="Olajumoke Oladapo" w:date="2025-06-05T12:03:00Z" w:initials="OO">
    <w:p w14:paraId="7FF7F71A" w14:textId="77777777" w:rsidR="00613398" w:rsidRDefault="0033279D" w:rsidP="00613398">
      <w:pPr>
        <w:pStyle w:val="CommentText"/>
      </w:pPr>
      <w:r>
        <w:rPr>
          <w:rStyle w:val="CommentReference"/>
        </w:rPr>
        <w:annotationRef/>
      </w:r>
      <w:r w:rsidR="00613398">
        <w:t>Pls cite what standard protocol was followed</w:t>
      </w:r>
    </w:p>
  </w:comment>
  <w:comment w:id="6" w:author="Olajumoke Oladapo" w:date="2025-06-05T12:06:00Z" w:initials="OO">
    <w:p w14:paraId="2F61C591" w14:textId="77777777" w:rsidR="00613398" w:rsidRDefault="00613398" w:rsidP="00613398">
      <w:pPr>
        <w:pStyle w:val="CommentText"/>
      </w:pPr>
      <w:r>
        <w:rPr>
          <w:rStyle w:val="CommentReference"/>
        </w:rPr>
        <w:annotationRef/>
      </w:r>
      <w:r>
        <w:t>As mentioned previously</w:t>
      </w:r>
    </w:p>
  </w:comment>
  <w:comment w:id="7" w:author="Olajumoke Oladapo" w:date="2025-06-05T12:22:00Z" w:initials="OO">
    <w:p w14:paraId="618C2DF9" w14:textId="77777777" w:rsidR="000A5B69" w:rsidRDefault="000A5B69" w:rsidP="000A5B69">
      <w:pPr>
        <w:pStyle w:val="CommentText"/>
      </w:pPr>
      <w:r>
        <w:rPr>
          <w:rStyle w:val="CommentReference"/>
        </w:rPr>
        <w:annotationRef/>
      </w:r>
      <w:r>
        <w:t>citations</w:t>
      </w:r>
    </w:p>
  </w:comment>
  <w:comment w:id="8" w:author="Olajumoke Oladapo" w:date="2025-06-05T12:15:00Z" w:initials="OO">
    <w:p w14:paraId="0918EFAF" w14:textId="04B51F2F" w:rsidR="000A5B69" w:rsidRDefault="000A5B69" w:rsidP="000A5B69">
      <w:pPr>
        <w:pStyle w:val="CommentText"/>
      </w:pPr>
      <w:r>
        <w:rPr>
          <w:rStyle w:val="CommentReference"/>
        </w:rPr>
        <w:annotationRef/>
      </w:r>
      <w:r>
        <w:t>As previously mentioned</w:t>
      </w:r>
    </w:p>
  </w:comment>
  <w:comment w:id="9" w:author="Olajumoke Oladapo" w:date="2025-06-05T12:26:00Z" w:initials="OO">
    <w:p w14:paraId="24D1C16A" w14:textId="77777777" w:rsidR="00A04E3C" w:rsidRDefault="00A04E3C" w:rsidP="00A04E3C">
      <w:pPr>
        <w:pStyle w:val="CommentText"/>
      </w:pPr>
      <w:r>
        <w:rPr>
          <w:rStyle w:val="CommentReference"/>
        </w:rPr>
        <w:annotationRef/>
      </w:r>
      <w:r>
        <w:t>I think this should be more suitable when specific to the particular species in this research</w:t>
      </w:r>
    </w:p>
  </w:comment>
  <w:comment w:id="10" w:author="Olajumoke Oladapo" w:date="2025-06-05T12:13:00Z" w:initials="OO">
    <w:p w14:paraId="15F16C53" w14:textId="15C952AB" w:rsidR="000A5B69" w:rsidRDefault="000A5B69" w:rsidP="000A5B69">
      <w:pPr>
        <w:pStyle w:val="CommentText"/>
      </w:pPr>
      <w:r>
        <w:rPr>
          <w:rStyle w:val="CommentReference"/>
        </w:rPr>
        <w:annotationRef/>
      </w:r>
      <w:r>
        <w:t>As previously mentioned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578481" w15:done="0"/>
  <w15:commentEx w15:paraId="374D71B4" w15:done="0"/>
  <w15:commentEx w15:paraId="0773927D" w15:done="0"/>
  <w15:commentEx w15:paraId="72CC2C85" w15:done="0"/>
  <w15:commentEx w15:paraId="45D59AC2" w15:done="0"/>
  <w15:commentEx w15:paraId="7FF7F71A" w15:done="0"/>
  <w15:commentEx w15:paraId="2F61C591" w15:done="0"/>
  <w15:commentEx w15:paraId="618C2DF9" w15:done="0"/>
  <w15:commentEx w15:paraId="0918EFAF" w15:done="0"/>
  <w15:commentEx w15:paraId="24D1C16A" w15:done="0"/>
  <w15:commentEx w15:paraId="15F16C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6D271E" w16cex:dateUtc="2025-06-05T17:40:00Z"/>
  <w16cex:commentExtensible w16cex:durableId="14189F12" w16cex:dateUtc="2025-06-05T17:41:00Z"/>
  <w16cex:commentExtensible w16cex:durableId="5683A7A1" w16cex:dateUtc="2025-06-05T16:28:00Z"/>
  <w16cex:commentExtensible w16cex:durableId="0067148A" w16cex:dateUtc="2025-06-05T16:45:00Z"/>
  <w16cex:commentExtensible w16cex:durableId="4967FF04" w16cex:dateUtc="2025-06-05T16:59:00Z"/>
  <w16cex:commentExtensible w16cex:durableId="295AA202" w16cex:dateUtc="2025-06-05T17:03:00Z"/>
  <w16cex:commentExtensible w16cex:durableId="48B2AE27" w16cex:dateUtc="2025-06-05T17:06:00Z"/>
  <w16cex:commentExtensible w16cex:durableId="5FE1108B" w16cex:dateUtc="2025-06-05T17:22:00Z"/>
  <w16cex:commentExtensible w16cex:durableId="77BC9F8E" w16cex:dateUtc="2025-06-05T17:15:00Z"/>
  <w16cex:commentExtensible w16cex:durableId="1AED9BD2" w16cex:dateUtc="2025-06-05T17:26:00Z"/>
  <w16cex:commentExtensible w16cex:durableId="0B00E667" w16cex:dateUtc="2025-06-05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578481" w16cid:durableId="176D271E"/>
  <w16cid:commentId w16cid:paraId="374D71B4" w16cid:durableId="14189F12"/>
  <w16cid:commentId w16cid:paraId="0773927D" w16cid:durableId="5683A7A1"/>
  <w16cid:commentId w16cid:paraId="72CC2C85" w16cid:durableId="0067148A"/>
  <w16cid:commentId w16cid:paraId="45D59AC2" w16cid:durableId="4967FF04"/>
  <w16cid:commentId w16cid:paraId="7FF7F71A" w16cid:durableId="295AA202"/>
  <w16cid:commentId w16cid:paraId="2F61C591" w16cid:durableId="48B2AE27"/>
  <w16cid:commentId w16cid:paraId="618C2DF9" w16cid:durableId="5FE1108B"/>
  <w16cid:commentId w16cid:paraId="0918EFAF" w16cid:durableId="77BC9F8E"/>
  <w16cid:commentId w16cid:paraId="24D1C16A" w16cid:durableId="1AED9BD2"/>
  <w16cid:commentId w16cid:paraId="15F16C53" w16cid:durableId="0B00E6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885A1" w14:textId="77777777" w:rsidR="00821414" w:rsidRDefault="00821414" w:rsidP="004221B2">
      <w:pPr>
        <w:spacing w:after="0" w:line="240" w:lineRule="auto"/>
      </w:pPr>
      <w:r>
        <w:separator/>
      </w:r>
    </w:p>
  </w:endnote>
  <w:endnote w:type="continuationSeparator" w:id="0">
    <w:p w14:paraId="276D11FB" w14:textId="77777777" w:rsidR="00821414" w:rsidRDefault="00821414" w:rsidP="0042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B87D" w14:textId="77777777" w:rsidR="00DF215F" w:rsidRDefault="00DF2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2511340"/>
      <w:docPartObj>
        <w:docPartGallery w:val="Page Numbers (Bottom of Page)"/>
        <w:docPartUnique/>
      </w:docPartObj>
    </w:sdtPr>
    <w:sdtEndPr>
      <w:rPr>
        <w:noProof/>
      </w:rPr>
    </w:sdtEndPr>
    <w:sdtContent>
      <w:p w14:paraId="4894F199" w14:textId="77777777" w:rsidR="00DD4CBE" w:rsidRDefault="00DD4C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05454A" w14:textId="77777777" w:rsidR="00DD4CBE" w:rsidRDefault="00DD4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168C" w14:textId="77777777" w:rsidR="00DF215F" w:rsidRDefault="00DF21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959265"/>
      <w:docPartObj>
        <w:docPartGallery w:val="Page Numbers (Bottom of Page)"/>
        <w:docPartUnique/>
      </w:docPartObj>
    </w:sdtPr>
    <w:sdtEndPr>
      <w:rPr>
        <w:noProof/>
      </w:rPr>
    </w:sdtEndPr>
    <w:sdtContent>
      <w:p w14:paraId="654D2B9C" w14:textId="713251A1" w:rsidR="004221B2" w:rsidRDefault="004221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347FA" w14:textId="77777777" w:rsidR="004221B2" w:rsidRDefault="00422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A9467" w14:textId="77777777" w:rsidR="00821414" w:rsidRDefault="00821414" w:rsidP="004221B2">
      <w:pPr>
        <w:spacing w:after="0" w:line="240" w:lineRule="auto"/>
      </w:pPr>
      <w:r>
        <w:separator/>
      </w:r>
    </w:p>
  </w:footnote>
  <w:footnote w:type="continuationSeparator" w:id="0">
    <w:p w14:paraId="3299C58E" w14:textId="77777777" w:rsidR="00821414" w:rsidRDefault="00821414" w:rsidP="0042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3A0CC" w14:textId="3F720736" w:rsidR="00DF215F" w:rsidRDefault="00000000">
    <w:pPr>
      <w:pStyle w:val="Header"/>
    </w:pPr>
    <w:r>
      <w:rPr>
        <w:noProof/>
      </w:rPr>
      <w:pict w14:anchorId="4DA7F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63407" o:spid="_x0000_s1026"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71B2B" w14:textId="0B7DB20F" w:rsidR="00DF215F" w:rsidRDefault="00000000">
    <w:pPr>
      <w:pStyle w:val="Header"/>
    </w:pPr>
    <w:r>
      <w:rPr>
        <w:noProof/>
      </w:rPr>
      <w:pict w14:anchorId="47831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63408" o:spid="_x0000_s1027"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78694" w14:textId="4A869B09" w:rsidR="00DF215F" w:rsidRDefault="00000000">
    <w:pPr>
      <w:pStyle w:val="Header"/>
    </w:pPr>
    <w:r>
      <w:rPr>
        <w:noProof/>
      </w:rPr>
      <w:pict w14:anchorId="7D6FF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63406" o:spid="_x0000_s1025"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6B14C" w14:textId="3B0EC613" w:rsidR="00DF215F" w:rsidRDefault="00000000">
    <w:pPr>
      <w:pStyle w:val="Header"/>
    </w:pPr>
    <w:r>
      <w:rPr>
        <w:noProof/>
      </w:rPr>
      <w:pict w14:anchorId="44924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63410" o:spid="_x0000_s1029" type="#_x0000_t136" style="position:absolute;margin-left:0;margin-top:0;width:504.8pt;height:94.6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3D1E" w14:textId="0385F0CB" w:rsidR="00DF215F" w:rsidRDefault="00000000">
    <w:pPr>
      <w:pStyle w:val="Header"/>
    </w:pPr>
    <w:r>
      <w:rPr>
        <w:noProof/>
      </w:rPr>
      <w:pict w14:anchorId="492DF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63411" o:spid="_x0000_s1030" type="#_x0000_t136" style="position:absolute;margin-left:0;margin-top:0;width:504.8pt;height:94.6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B5A4D" w14:textId="115FD86F" w:rsidR="00DF215F" w:rsidRDefault="00000000">
    <w:pPr>
      <w:pStyle w:val="Header"/>
    </w:pPr>
    <w:r>
      <w:rPr>
        <w:noProof/>
      </w:rPr>
      <w:pict w14:anchorId="08647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363409" o:spid="_x0000_s1028" type="#_x0000_t136" style="position:absolute;margin-left:0;margin-top:0;width:504.8pt;height:94.6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B0420"/>
    <w:multiLevelType w:val="hybridMultilevel"/>
    <w:tmpl w:val="C8C4C5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F47CB5"/>
    <w:multiLevelType w:val="hybridMultilevel"/>
    <w:tmpl w:val="B6B81F2A"/>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E3402F7"/>
    <w:multiLevelType w:val="hybridMultilevel"/>
    <w:tmpl w:val="FD88CE2C"/>
    <w:lvl w:ilvl="0" w:tplc="1A047F5C">
      <w:start w:val="1"/>
      <w:numFmt w:val="bullet"/>
      <w:lvlText w:val=""/>
      <w:lvlJc w:val="left"/>
      <w:pPr>
        <w:ind w:left="1080" w:hanging="360"/>
      </w:pPr>
      <w:rPr>
        <w:rFonts w:ascii="Symbol" w:hAnsi="Symbol"/>
      </w:rPr>
    </w:lvl>
    <w:lvl w:ilvl="1" w:tplc="61AC83DE">
      <w:start w:val="1"/>
      <w:numFmt w:val="bullet"/>
      <w:lvlText w:val=""/>
      <w:lvlJc w:val="left"/>
      <w:pPr>
        <w:ind w:left="1080" w:hanging="360"/>
      </w:pPr>
      <w:rPr>
        <w:rFonts w:ascii="Symbol" w:hAnsi="Symbol"/>
      </w:rPr>
    </w:lvl>
    <w:lvl w:ilvl="2" w:tplc="5C4A095A">
      <w:start w:val="1"/>
      <w:numFmt w:val="bullet"/>
      <w:lvlText w:val=""/>
      <w:lvlJc w:val="left"/>
      <w:pPr>
        <w:ind w:left="1080" w:hanging="360"/>
      </w:pPr>
      <w:rPr>
        <w:rFonts w:ascii="Symbol" w:hAnsi="Symbol"/>
      </w:rPr>
    </w:lvl>
    <w:lvl w:ilvl="3" w:tplc="FE34CF88">
      <w:start w:val="1"/>
      <w:numFmt w:val="bullet"/>
      <w:lvlText w:val=""/>
      <w:lvlJc w:val="left"/>
      <w:pPr>
        <w:ind w:left="1080" w:hanging="360"/>
      </w:pPr>
      <w:rPr>
        <w:rFonts w:ascii="Symbol" w:hAnsi="Symbol"/>
      </w:rPr>
    </w:lvl>
    <w:lvl w:ilvl="4" w:tplc="15522764">
      <w:start w:val="1"/>
      <w:numFmt w:val="bullet"/>
      <w:lvlText w:val=""/>
      <w:lvlJc w:val="left"/>
      <w:pPr>
        <w:ind w:left="1080" w:hanging="360"/>
      </w:pPr>
      <w:rPr>
        <w:rFonts w:ascii="Symbol" w:hAnsi="Symbol"/>
      </w:rPr>
    </w:lvl>
    <w:lvl w:ilvl="5" w:tplc="9D846854">
      <w:start w:val="1"/>
      <w:numFmt w:val="bullet"/>
      <w:lvlText w:val=""/>
      <w:lvlJc w:val="left"/>
      <w:pPr>
        <w:ind w:left="1080" w:hanging="360"/>
      </w:pPr>
      <w:rPr>
        <w:rFonts w:ascii="Symbol" w:hAnsi="Symbol"/>
      </w:rPr>
    </w:lvl>
    <w:lvl w:ilvl="6" w:tplc="FB06D6A0">
      <w:start w:val="1"/>
      <w:numFmt w:val="bullet"/>
      <w:lvlText w:val=""/>
      <w:lvlJc w:val="left"/>
      <w:pPr>
        <w:ind w:left="1080" w:hanging="360"/>
      </w:pPr>
      <w:rPr>
        <w:rFonts w:ascii="Symbol" w:hAnsi="Symbol"/>
      </w:rPr>
    </w:lvl>
    <w:lvl w:ilvl="7" w:tplc="450AE7F4">
      <w:start w:val="1"/>
      <w:numFmt w:val="bullet"/>
      <w:lvlText w:val=""/>
      <w:lvlJc w:val="left"/>
      <w:pPr>
        <w:ind w:left="1080" w:hanging="360"/>
      </w:pPr>
      <w:rPr>
        <w:rFonts w:ascii="Symbol" w:hAnsi="Symbol"/>
      </w:rPr>
    </w:lvl>
    <w:lvl w:ilvl="8" w:tplc="0694CD1C">
      <w:start w:val="1"/>
      <w:numFmt w:val="bullet"/>
      <w:lvlText w:val=""/>
      <w:lvlJc w:val="left"/>
      <w:pPr>
        <w:ind w:left="1080" w:hanging="360"/>
      </w:pPr>
      <w:rPr>
        <w:rFonts w:ascii="Symbol" w:hAnsi="Symbol"/>
      </w:rPr>
    </w:lvl>
  </w:abstractNum>
  <w:abstractNum w:abstractNumId="3" w15:restartNumberingAfterBreak="0">
    <w:nsid w:val="411A532B"/>
    <w:multiLevelType w:val="multilevel"/>
    <w:tmpl w:val="CBA04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1D53D9"/>
    <w:multiLevelType w:val="hybridMultilevel"/>
    <w:tmpl w:val="F64E9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6150199">
    <w:abstractNumId w:val="3"/>
  </w:num>
  <w:num w:numId="2" w16cid:durableId="171454365">
    <w:abstractNumId w:val="4"/>
  </w:num>
  <w:num w:numId="3" w16cid:durableId="284116064">
    <w:abstractNumId w:val="1"/>
  </w:num>
  <w:num w:numId="4" w16cid:durableId="724372170">
    <w:abstractNumId w:val="0"/>
  </w:num>
  <w:num w:numId="5" w16cid:durableId="59339558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ajumoke Oladapo">
    <w15:presenceInfo w15:providerId="Windows Live" w15:userId="2e3818b94ddf0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60"/>
    <w:rsid w:val="000151CD"/>
    <w:rsid w:val="00060E14"/>
    <w:rsid w:val="00077787"/>
    <w:rsid w:val="000A5B69"/>
    <w:rsid w:val="000E06CB"/>
    <w:rsid w:val="0011471E"/>
    <w:rsid w:val="001352E2"/>
    <w:rsid w:val="00170E93"/>
    <w:rsid w:val="001908BC"/>
    <w:rsid w:val="001B12B4"/>
    <w:rsid w:val="001F5CB7"/>
    <w:rsid w:val="002115AE"/>
    <w:rsid w:val="00240333"/>
    <w:rsid w:val="0025681D"/>
    <w:rsid w:val="003035B2"/>
    <w:rsid w:val="0033279D"/>
    <w:rsid w:val="00366ADB"/>
    <w:rsid w:val="003E7CAA"/>
    <w:rsid w:val="004221B2"/>
    <w:rsid w:val="004C33EE"/>
    <w:rsid w:val="004D24A0"/>
    <w:rsid w:val="00547C48"/>
    <w:rsid w:val="00601305"/>
    <w:rsid w:val="00613398"/>
    <w:rsid w:val="00615953"/>
    <w:rsid w:val="0069091F"/>
    <w:rsid w:val="006D034F"/>
    <w:rsid w:val="006E7C62"/>
    <w:rsid w:val="007012C3"/>
    <w:rsid w:val="00735394"/>
    <w:rsid w:val="00741C0E"/>
    <w:rsid w:val="007512E9"/>
    <w:rsid w:val="00765009"/>
    <w:rsid w:val="00767E77"/>
    <w:rsid w:val="00794562"/>
    <w:rsid w:val="007A0B60"/>
    <w:rsid w:val="007E735A"/>
    <w:rsid w:val="00804A43"/>
    <w:rsid w:val="00821414"/>
    <w:rsid w:val="0085084E"/>
    <w:rsid w:val="008E04CB"/>
    <w:rsid w:val="009014F8"/>
    <w:rsid w:val="00964558"/>
    <w:rsid w:val="009A08CD"/>
    <w:rsid w:val="009E676F"/>
    <w:rsid w:val="00A04E3C"/>
    <w:rsid w:val="00A051A4"/>
    <w:rsid w:val="00A1727A"/>
    <w:rsid w:val="00A24488"/>
    <w:rsid w:val="00AD53EA"/>
    <w:rsid w:val="00B01698"/>
    <w:rsid w:val="00B702A9"/>
    <w:rsid w:val="00C1312D"/>
    <w:rsid w:val="00CE210E"/>
    <w:rsid w:val="00D26680"/>
    <w:rsid w:val="00D42C93"/>
    <w:rsid w:val="00DD4CBE"/>
    <w:rsid w:val="00DF215F"/>
    <w:rsid w:val="00E104C8"/>
    <w:rsid w:val="00E138E5"/>
    <w:rsid w:val="00E435FA"/>
    <w:rsid w:val="00E442AD"/>
    <w:rsid w:val="00E815F5"/>
    <w:rsid w:val="00EA37C7"/>
    <w:rsid w:val="00F75AD9"/>
    <w:rsid w:val="00FA25A3"/>
    <w:rsid w:val="00FE4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EA8DD"/>
  <w15:chartTrackingRefBased/>
  <w15:docId w15:val="{A207520B-A9CD-4EF5-B89A-C4553041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B60"/>
  </w:style>
  <w:style w:type="paragraph" w:styleId="Heading1">
    <w:name w:val="heading 1"/>
    <w:basedOn w:val="Normal"/>
    <w:next w:val="Normal"/>
    <w:link w:val="Heading1Char"/>
    <w:uiPriority w:val="9"/>
    <w:qFormat/>
    <w:rsid w:val="00D42C93"/>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val="en-GB"/>
    </w:rPr>
  </w:style>
  <w:style w:type="paragraph" w:styleId="Heading2">
    <w:name w:val="heading 2"/>
    <w:basedOn w:val="Normal"/>
    <w:next w:val="Normal"/>
    <w:link w:val="Heading2Char"/>
    <w:uiPriority w:val="9"/>
    <w:semiHidden/>
    <w:unhideWhenUsed/>
    <w:qFormat/>
    <w:rsid w:val="00D42C93"/>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val="en-GB"/>
    </w:rPr>
  </w:style>
  <w:style w:type="paragraph" w:styleId="Heading3">
    <w:name w:val="heading 3"/>
    <w:basedOn w:val="Normal"/>
    <w:next w:val="Normal"/>
    <w:link w:val="Heading3Char"/>
    <w:uiPriority w:val="9"/>
    <w:semiHidden/>
    <w:unhideWhenUsed/>
    <w:qFormat/>
    <w:rsid w:val="00D42C93"/>
    <w:pPr>
      <w:keepNext/>
      <w:keepLines/>
      <w:spacing w:before="160" w:after="80" w:line="278" w:lineRule="auto"/>
      <w:outlineLvl w:val="2"/>
    </w:pPr>
    <w:rPr>
      <w:rFonts w:eastAsiaTheme="majorEastAsia" w:cstheme="majorBidi"/>
      <w:color w:val="2F5496" w:themeColor="accent1" w:themeShade="BF"/>
      <w:sz w:val="28"/>
      <w:szCs w:val="28"/>
      <w:lang w:val="en-GB"/>
    </w:rPr>
  </w:style>
  <w:style w:type="paragraph" w:styleId="Heading4">
    <w:name w:val="heading 4"/>
    <w:basedOn w:val="Normal"/>
    <w:next w:val="Normal"/>
    <w:link w:val="Heading4Char"/>
    <w:uiPriority w:val="9"/>
    <w:unhideWhenUsed/>
    <w:qFormat/>
    <w:rsid w:val="00D42C93"/>
    <w:pPr>
      <w:keepNext/>
      <w:keepLines/>
      <w:spacing w:before="80" w:after="40" w:line="278" w:lineRule="auto"/>
      <w:outlineLvl w:val="3"/>
    </w:pPr>
    <w:rPr>
      <w:rFonts w:eastAsiaTheme="majorEastAsia" w:cstheme="majorBidi"/>
      <w:i/>
      <w:iCs/>
      <w:color w:val="2F5496" w:themeColor="accent1" w:themeShade="BF"/>
      <w:sz w:val="24"/>
      <w:szCs w:val="24"/>
      <w:lang w:val="en-GB"/>
    </w:rPr>
  </w:style>
  <w:style w:type="paragraph" w:styleId="Heading5">
    <w:name w:val="heading 5"/>
    <w:basedOn w:val="Normal"/>
    <w:next w:val="Normal"/>
    <w:link w:val="Heading5Char"/>
    <w:uiPriority w:val="9"/>
    <w:semiHidden/>
    <w:unhideWhenUsed/>
    <w:qFormat/>
    <w:rsid w:val="00D42C93"/>
    <w:pPr>
      <w:keepNext/>
      <w:keepLines/>
      <w:spacing w:before="80" w:after="40" w:line="278" w:lineRule="auto"/>
      <w:outlineLvl w:val="4"/>
    </w:pPr>
    <w:rPr>
      <w:rFonts w:eastAsiaTheme="majorEastAsia" w:cstheme="majorBidi"/>
      <w:color w:val="2F5496" w:themeColor="accent1" w:themeShade="BF"/>
      <w:sz w:val="24"/>
      <w:szCs w:val="24"/>
      <w:lang w:val="en-GB"/>
    </w:rPr>
  </w:style>
  <w:style w:type="paragraph" w:styleId="Heading6">
    <w:name w:val="heading 6"/>
    <w:basedOn w:val="Normal"/>
    <w:next w:val="Normal"/>
    <w:link w:val="Heading6Char"/>
    <w:uiPriority w:val="9"/>
    <w:semiHidden/>
    <w:unhideWhenUsed/>
    <w:qFormat/>
    <w:rsid w:val="00D42C93"/>
    <w:pPr>
      <w:keepNext/>
      <w:keepLines/>
      <w:spacing w:before="40" w:after="0" w:line="278" w:lineRule="auto"/>
      <w:outlineLvl w:val="5"/>
    </w:pPr>
    <w:rPr>
      <w:rFonts w:eastAsiaTheme="majorEastAsia" w:cstheme="majorBidi"/>
      <w:i/>
      <w:iCs/>
      <w:color w:val="595959" w:themeColor="text1" w:themeTint="A6"/>
      <w:sz w:val="24"/>
      <w:szCs w:val="24"/>
      <w:lang w:val="en-GB"/>
    </w:rPr>
  </w:style>
  <w:style w:type="paragraph" w:styleId="Heading7">
    <w:name w:val="heading 7"/>
    <w:basedOn w:val="Normal"/>
    <w:next w:val="Normal"/>
    <w:link w:val="Heading7Char"/>
    <w:uiPriority w:val="9"/>
    <w:semiHidden/>
    <w:unhideWhenUsed/>
    <w:qFormat/>
    <w:rsid w:val="00D42C93"/>
    <w:pPr>
      <w:keepNext/>
      <w:keepLines/>
      <w:spacing w:before="40" w:after="0" w:line="278" w:lineRule="auto"/>
      <w:outlineLvl w:val="6"/>
    </w:pPr>
    <w:rPr>
      <w:rFonts w:eastAsiaTheme="majorEastAsia" w:cstheme="majorBidi"/>
      <w:color w:val="595959" w:themeColor="text1" w:themeTint="A6"/>
      <w:sz w:val="24"/>
      <w:szCs w:val="24"/>
      <w:lang w:val="en-GB"/>
    </w:rPr>
  </w:style>
  <w:style w:type="paragraph" w:styleId="Heading8">
    <w:name w:val="heading 8"/>
    <w:basedOn w:val="Normal"/>
    <w:next w:val="Normal"/>
    <w:link w:val="Heading8Char"/>
    <w:uiPriority w:val="9"/>
    <w:semiHidden/>
    <w:unhideWhenUsed/>
    <w:qFormat/>
    <w:rsid w:val="00D42C93"/>
    <w:pPr>
      <w:keepNext/>
      <w:keepLines/>
      <w:spacing w:after="0" w:line="278" w:lineRule="auto"/>
      <w:outlineLvl w:val="7"/>
    </w:pPr>
    <w:rPr>
      <w:rFonts w:eastAsiaTheme="majorEastAsia" w:cstheme="majorBidi"/>
      <w:i/>
      <w:iCs/>
      <w:color w:val="272727" w:themeColor="text1" w:themeTint="D8"/>
      <w:sz w:val="24"/>
      <w:szCs w:val="24"/>
      <w:lang w:val="en-GB"/>
    </w:rPr>
  </w:style>
  <w:style w:type="paragraph" w:styleId="Heading9">
    <w:name w:val="heading 9"/>
    <w:basedOn w:val="Normal"/>
    <w:next w:val="Normal"/>
    <w:link w:val="Heading9Char"/>
    <w:uiPriority w:val="9"/>
    <w:semiHidden/>
    <w:unhideWhenUsed/>
    <w:qFormat/>
    <w:rsid w:val="00D42C93"/>
    <w:pPr>
      <w:keepNext/>
      <w:keepLines/>
      <w:spacing w:after="0" w:line="278" w:lineRule="auto"/>
      <w:outlineLvl w:val="8"/>
    </w:pPr>
    <w:rPr>
      <w:rFonts w:eastAsiaTheme="majorEastAsia" w:cstheme="majorBidi"/>
      <w:color w:val="272727" w:themeColor="text1" w:themeTint="D8"/>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4F8"/>
    <w:pPr>
      <w:ind w:left="720"/>
      <w:contextualSpacing/>
    </w:pPr>
  </w:style>
  <w:style w:type="character" w:customStyle="1" w:styleId="Heading1Char">
    <w:name w:val="Heading 1 Char"/>
    <w:basedOn w:val="DefaultParagraphFont"/>
    <w:link w:val="Heading1"/>
    <w:uiPriority w:val="9"/>
    <w:rsid w:val="00D42C93"/>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D42C93"/>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D42C93"/>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rsid w:val="00D42C93"/>
    <w:rPr>
      <w:rFonts w:eastAsiaTheme="majorEastAsia" w:cstheme="majorBidi"/>
      <w:i/>
      <w:iCs/>
      <w:color w:val="2F5496" w:themeColor="accent1" w:themeShade="BF"/>
      <w:sz w:val="24"/>
      <w:szCs w:val="24"/>
      <w:lang w:val="en-GB"/>
    </w:rPr>
  </w:style>
  <w:style w:type="character" w:customStyle="1" w:styleId="Heading5Char">
    <w:name w:val="Heading 5 Char"/>
    <w:basedOn w:val="DefaultParagraphFont"/>
    <w:link w:val="Heading5"/>
    <w:uiPriority w:val="9"/>
    <w:semiHidden/>
    <w:rsid w:val="00D42C93"/>
    <w:rPr>
      <w:rFonts w:eastAsiaTheme="majorEastAsia" w:cstheme="majorBidi"/>
      <w:color w:val="2F5496" w:themeColor="accent1" w:themeShade="BF"/>
      <w:sz w:val="24"/>
      <w:szCs w:val="24"/>
      <w:lang w:val="en-GB"/>
    </w:rPr>
  </w:style>
  <w:style w:type="character" w:customStyle="1" w:styleId="Heading6Char">
    <w:name w:val="Heading 6 Char"/>
    <w:basedOn w:val="DefaultParagraphFont"/>
    <w:link w:val="Heading6"/>
    <w:uiPriority w:val="9"/>
    <w:semiHidden/>
    <w:rsid w:val="00D42C93"/>
    <w:rPr>
      <w:rFonts w:eastAsiaTheme="majorEastAsia" w:cstheme="majorBidi"/>
      <w:i/>
      <w:iCs/>
      <w:color w:val="595959" w:themeColor="text1" w:themeTint="A6"/>
      <w:sz w:val="24"/>
      <w:szCs w:val="24"/>
      <w:lang w:val="en-GB"/>
    </w:rPr>
  </w:style>
  <w:style w:type="character" w:customStyle="1" w:styleId="Heading7Char">
    <w:name w:val="Heading 7 Char"/>
    <w:basedOn w:val="DefaultParagraphFont"/>
    <w:link w:val="Heading7"/>
    <w:uiPriority w:val="9"/>
    <w:semiHidden/>
    <w:rsid w:val="00D42C93"/>
    <w:rPr>
      <w:rFonts w:eastAsiaTheme="majorEastAsia" w:cstheme="majorBidi"/>
      <w:color w:val="595959" w:themeColor="text1" w:themeTint="A6"/>
      <w:sz w:val="24"/>
      <w:szCs w:val="24"/>
      <w:lang w:val="en-GB"/>
    </w:rPr>
  </w:style>
  <w:style w:type="character" w:customStyle="1" w:styleId="Heading8Char">
    <w:name w:val="Heading 8 Char"/>
    <w:basedOn w:val="DefaultParagraphFont"/>
    <w:link w:val="Heading8"/>
    <w:uiPriority w:val="9"/>
    <w:semiHidden/>
    <w:rsid w:val="00D42C93"/>
    <w:rPr>
      <w:rFonts w:eastAsiaTheme="majorEastAsia" w:cstheme="majorBidi"/>
      <w:i/>
      <w:iCs/>
      <w:color w:val="272727" w:themeColor="text1" w:themeTint="D8"/>
      <w:sz w:val="24"/>
      <w:szCs w:val="24"/>
      <w:lang w:val="en-GB"/>
    </w:rPr>
  </w:style>
  <w:style w:type="character" w:customStyle="1" w:styleId="Heading9Char">
    <w:name w:val="Heading 9 Char"/>
    <w:basedOn w:val="DefaultParagraphFont"/>
    <w:link w:val="Heading9"/>
    <w:uiPriority w:val="9"/>
    <w:semiHidden/>
    <w:rsid w:val="00D42C93"/>
    <w:rPr>
      <w:rFonts w:eastAsiaTheme="majorEastAsia" w:cstheme="majorBidi"/>
      <w:color w:val="272727" w:themeColor="text1" w:themeTint="D8"/>
      <w:sz w:val="24"/>
      <w:szCs w:val="24"/>
      <w:lang w:val="en-GB"/>
    </w:rPr>
  </w:style>
  <w:style w:type="paragraph" w:styleId="Title">
    <w:name w:val="Title"/>
    <w:basedOn w:val="Normal"/>
    <w:next w:val="Normal"/>
    <w:link w:val="TitleChar"/>
    <w:uiPriority w:val="10"/>
    <w:qFormat/>
    <w:rsid w:val="00D42C93"/>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D42C9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D42C93"/>
    <w:pPr>
      <w:numPr>
        <w:ilvl w:val="1"/>
      </w:numPr>
      <w:spacing w:line="278" w:lineRule="auto"/>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D42C9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D42C93"/>
    <w:pPr>
      <w:spacing w:before="160" w:line="278" w:lineRule="auto"/>
      <w:jc w:val="center"/>
    </w:pPr>
    <w:rPr>
      <w:i/>
      <w:iCs/>
      <w:color w:val="404040" w:themeColor="text1" w:themeTint="BF"/>
      <w:sz w:val="24"/>
      <w:szCs w:val="24"/>
      <w:lang w:val="en-GB"/>
    </w:rPr>
  </w:style>
  <w:style w:type="character" w:customStyle="1" w:styleId="QuoteChar">
    <w:name w:val="Quote Char"/>
    <w:basedOn w:val="DefaultParagraphFont"/>
    <w:link w:val="Quote"/>
    <w:uiPriority w:val="29"/>
    <w:rsid w:val="00D42C93"/>
    <w:rPr>
      <w:i/>
      <w:iCs/>
      <w:color w:val="404040" w:themeColor="text1" w:themeTint="BF"/>
      <w:sz w:val="24"/>
      <w:szCs w:val="24"/>
      <w:lang w:val="en-GB"/>
    </w:rPr>
  </w:style>
  <w:style w:type="character" w:styleId="IntenseEmphasis">
    <w:name w:val="Intense Emphasis"/>
    <w:basedOn w:val="DefaultParagraphFont"/>
    <w:uiPriority w:val="21"/>
    <w:qFormat/>
    <w:rsid w:val="00D42C93"/>
    <w:rPr>
      <w:i/>
      <w:iCs/>
      <w:color w:val="2F5496" w:themeColor="accent1" w:themeShade="BF"/>
    </w:rPr>
  </w:style>
  <w:style w:type="paragraph" w:styleId="IntenseQuote">
    <w:name w:val="Intense Quote"/>
    <w:basedOn w:val="Normal"/>
    <w:next w:val="Normal"/>
    <w:link w:val="IntenseQuoteChar"/>
    <w:uiPriority w:val="30"/>
    <w:qFormat/>
    <w:rsid w:val="00D42C93"/>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lang w:val="en-GB"/>
    </w:rPr>
  </w:style>
  <w:style w:type="character" w:customStyle="1" w:styleId="IntenseQuoteChar">
    <w:name w:val="Intense Quote Char"/>
    <w:basedOn w:val="DefaultParagraphFont"/>
    <w:link w:val="IntenseQuote"/>
    <w:uiPriority w:val="30"/>
    <w:rsid w:val="00D42C93"/>
    <w:rPr>
      <w:i/>
      <w:iCs/>
      <w:color w:val="2F5496" w:themeColor="accent1" w:themeShade="BF"/>
      <w:sz w:val="24"/>
      <w:szCs w:val="24"/>
      <w:lang w:val="en-GB"/>
    </w:rPr>
  </w:style>
  <w:style w:type="character" w:styleId="IntenseReference">
    <w:name w:val="Intense Reference"/>
    <w:basedOn w:val="DefaultParagraphFont"/>
    <w:uiPriority w:val="32"/>
    <w:qFormat/>
    <w:rsid w:val="00D42C93"/>
    <w:rPr>
      <w:b/>
      <w:bCs/>
      <w:smallCaps/>
      <w:color w:val="2F5496" w:themeColor="accent1" w:themeShade="BF"/>
      <w:spacing w:val="5"/>
    </w:rPr>
  </w:style>
  <w:style w:type="table" w:customStyle="1" w:styleId="TableGrid1">
    <w:name w:val="Table Grid1"/>
    <w:basedOn w:val="TableNormal"/>
    <w:uiPriority w:val="59"/>
    <w:rsid w:val="00D42C93"/>
    <w:pPr>
      <w:spacing w:after="0" w:line="240" w:lineRule="auto"/>
    </w:pPr>
    <w:rPr>
      <w:rFonts w:eastAsia="Times New Roman"/>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2C93"/>
    <w:rPr>
      <w:color w:val="0000FF"/>
      <w:u w:val="single"/>
    </w:rPr>
  </w:style>
  <w:style w:type="paragraph" w:styleId="NoSpacing">
    <w:name w:val="No Spacing"/>
    <w:uiPriority w:val="1"/>
    <w:qFormat/>
    <w:rsid w:val="00D42C93"/>
    <w:pPr>
      <w:spacing w:after="0" w:line="240" w:lineRule="auto"/>
    </w:pPr>
    <w:rPr>
      <w:kern w:val="0"/>
      <w14:ligatures w14:val="none"/>
    </w:rPr>
  </w:style>
  <w:style w:type="character" w:styleId="UnresolvedMention">
    <w:name w:val="Unresolved Mention"/>
    <w:basedOn w:val="DefaultParagraphFont"/>
    <w:uiPriority w:val="99"/>
    <w:semiHidden/>
    <w:unhideWhenUsed/>
    <w:rsid w:val="00D42C93"/>
    <w:rPr>
      <w:color w:val="605E5C"/>
      <w:shd w:val="clear" w:color="auto" w:fill="E1DFDD"/>
    </w:rPr>
  </w:style>
  <w:style w:type="paragraph" w:styleId="Header">
    <w:name w:val="header"/>
    <w:basedOn w:val="Normal"/>
    <w:link w:val="HeaderChar"/>
    <w:uiPriority w:val="99"/>
    <w:unhideWhenUsed/>
    <w:rsid w:val="004221B2"/>
    <w:pPr>
      <w:tabs>
        <w:tab w:val="center" w:pos="4252"/>
        <w:tab w:val="right" w:pos="8504"/>
      </w:tabs>
      <w:spacing w:after="0" w:line="240" w:lineRule="auto"/>
    </w:pPr>
  </w:style>
  <w:style w:type="character" w:customStyle="1" w:styleId="HeaderChar">
    <w:name w:val="Header Char"/>
    <w:basedOn w:val="DefaultParagraphFont"/>
    <w:link w:val="Header"/>
    <w:uiPriority w:val="99"/>
    <w:rsid w:val="004221B2"/>
  </w:style>
  <w:style w:type="paragraph" w:styleId="Footer">
    <w:name w:val="footer"/>
    <w:basedOn w:val="Normal"/>
    <w:link w:val="FooterChar"/>
    <w:uiPriority w:val="99"/>
    <w:unhideWhenUsed/>
    <w:rsid w:val="004221B2"/>
    <w:pPr>
      <w:tabs>
        <w:tab w:val="center" w:pos="4252"/>
        <w:tab w:val="right" w:pos="8504"/>
      </w:tabs>
      <w:spacing w:after="0" w:line="240" w:lineRule="auto"/>
    </w:pPr>
  </w:style>
  <w:style w:type="character" w:customStyle="1" w:styleId="FooterChar">
    <w:name w:val="Footer Char"/>
    <w:basedOn w:val="DefaultParagraphFont"/>
    <w:link w:val="Footer"/>
    <w:uiPriority w:val="99"/>
    <w:rsid w:val="004221B2"/>
  </w:style>
  <w:style w:type="paragraph" w:styleId="NormalWeb">
    <w:name w:val="Normal (Web)"/>
    <w:basedOn w:val="Normal"/>
    <w:uiPriority w:val="99"/>
    <w:semiHidden/>
    <w:unhideWhenUsed/>
    <w:rsid w:val="004221B2"/>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CommentReference">
    <w:name w:val="annotation reference"/>
    <w:basedOn w:val="DefaultParagraphFont"/>
    <w:uiPriority w:val="99"/>
    <w:semiHidden/>
    <w:unhideWhenUsed/>
    <w:rsid w:val="006E7C62"/>
    <w:rPr>
      <w:sz w:val="16"/>
      <w:szCs w:val="16"/>
    </w:rPr>
  </w:style>
  <w:style w:type="paragraph" w:styleId="CommentText">
    <w:name w:val="annotation text"/>
    <w:basedOn w:val="Normal"/>
    <w:link w:val="CommentTextChar"/>
    <w:uiPriority w:val="99"/>
    <w:unhideWhenUsed/>
    <w:rsid w:val="006E7C62"/>
    <w:pPr>
      <w:spacing w:line="240" w:lineRule="auto"/>
    </w:pPr>
    <w:rPr>
      <w:sz w:val="20"/>
      <w:szCs w:val="20"/>
    </w:rPr>
  </w:style>
  <w:style w:type="character" w:customStyle="1" w:styleId="CommentTextChar">
    <w:name w:val="Comment Text Char"/>
    <w:basedOn w:val="DefaultParagraphFont"/>
    <w:link w:val="CommentText"/>
    <w:uiPriority w:val="99"/>
    <w:rsid w:val="006E7C62"/>
    <w:rPr>
      <w:sz w:val="20"/>
      <w:szCs w:val="20"/>
    </w:rPr>
  </w:style>
  <w:style w:type="paragraph" w:styleId="CommentSubject">
    <w:name w:val="annotation subject"/>
    <w:basedOn w:val="CommentText"/>
    <w:next w:val="CommentText"/>
    <w:link w:val="CommentSubjectChar"/>
    <w:uiPriority w:val="99"/>
    <w:semiHidden/>
    <w:unhideWhenUsed/>
    <w:rsid w:val="006E7C62"/>
    <w:rPr>
      <w:b/>
      <w:bCs/>
    </w:rPr>
  </w:style>
  <w:style w:type="character" w:customStyle="1" w:styleId="CommentSubjectChar">
    <w:name w:val="Comment Subject Char"/>
    <w:basedOn w:val="CommentTextChar"/>
    <w:link w:val="CommentSubject"/>
    <w:uiPriority w:val="99"/>
    <w:semiHidden/>
    <w:rsid w:val="006E7C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99905">
      <w:bodyDiv w:val="1"/>
      <w:marLeft w:val="0"/>
      <w:marRight w:val="0"/>
      <w:marTop w:val="0"/>
      <w:marBottom w:val="0"/>
      <w:divBdr>
        <w:top w:val="none" w:sz="0" w:space="0" w:color="auto"/>
        <w:left w:val="none" w:sz="0" w:space="0" w:color="auto"/>
        <w:bottom w:val="none" w:sz="0" w:space="0" w:color="auto"/>
        <w:right w:val="none" w:sz="0" w:space="0" w:color="auto"/>
      </w:divBdr>
    </w:div>
    <w:div w:id="310134153">
      <w:bodyDiv w:val="1"/>
      <w:marLeft w:val="0"/>
      <w:marRight w:val="0"/>
      <w:marTop w:val="0"/>
      <w:marBottom w:val="0"/>
      <w:divBdr>
        <w:top w:val="none" w:sz="0" w:space="0" w:color="auto"/>
        <w:left w:val="none" w:sz="0" w:space="0" w:color="auto"/>
        <w:bottom w:val="none" w:sz="0" w:space="0" w:color="auto"/>
        <w:right w:val="none" w:sz="0" w:space="0" w:color="auto"/>
      </w:divBdr>
    </w:div>
    <w:div w:id="426659619">
      <w:bodyDiv w:val="1"/>
      <w:marLeft w:val="0"/>
      <w:marRight w:val="0"/>
      <w:marTop w:val="0"/>
      <w:marBottom w:val="0"/>
      <w:divBdr>
        <w:top w:val="none" w:sz="0" w:space="0" w:color="auto"/>
        <w:left w:val="none" w:sz="0" w:space="0" w:color="auto"/>
        <w:bottom w:val="none" w:sz="0" w:space="0" w:color="auto"/>
        <w:right w:val="none" w:sz="0" w:space="0" w:color="auto"/>
      </w:divBdr>
    </w:div>
    <w:div w:id="468086686">
      <w:bodyDiv w:val="1"/>
      <w:marLeft w:val="0"/>
      <w:marRight w:val="0"/>
      <w:marTop w:val="0"/>
      <w:marBottom w:val="0"/>
      <w:divBdr>
        <w:top w:val="none" w:sz="0" w:space="0" w:color="auto"/>
        <w:left w:val="none" w:sz="0" w:space="0" w:color="auto"/>
        <w:bottom w:val="none" w:sz="0" w:space="0" w:color="auto"/>
        <w:right w:val="none" w:sz="0" w:space="0" w:color="auto"/>
      </w:divBdr>
    </w:div>
    <w:div w:id="472798529">
      <w:bodyDiv w:val="1"/>
      <w:marLeft w:val="0"/>
      <w:marRight w:val="0"/>
      <w:marTop w:val="0"/>
      <w:marBottom w:val="0"/>
      <w:divBdr>
        <w:top w:val="none" w:sz="0" w:space="0" w:color="auto"/>
        <w:left w:val="none" w:sz="0" w:space="0" w:color="auto"/>
        <w:bottom w:val="none" w:sz="0" w:space="0" w:color="auto"/>
        <w:right w:val="none" w:sz="0" w:space="0" w:color="auto"/>
      </w:divBdr>
    </w:div>
    <w:div w:id="651911243">
      <w:bodyDiv w:val="1"/>
      <w:marLeft w:val="0"/>
      <w:marRight w:val="0"/>
      <w:marTop w:val="0"/>
      <w:marBottom w:val="0"/>
      <w:divBdr>
        <w:top w:val="none" w:sz="0" w:space="0" w:color="auto"/>
        <w:left w:val="none" w:sz="0" w:space="0" w:color="auto"/>
        <w:bottom w:val="none" w:sz="0" w:space="0" w:color="auto"/>
        <w:right w:val="none" w:sz="0" w:space="0" w:color="auto"/>
      </w:divBdr>
    </w:div>
    <w:div w:id="817647333">
      <w:bodyDiv w:val="1"/>
      <w:marLeft w:val="0"/>
      <w:marRight w:val="0"/>
      <w:marTop w:val="0"/>
      <w:marBottom w:val="0"/>
      <w:divBdr>
        <w:top w:val="none" w:sz="0" w:space="0" w:color="auto"/>
        <w:left w:val="none" w:sz="0" w:space="0" w:color="auto"/>
        <w:bottom w:val="none" w:sz="0" w:space="0" w:color="auto"/>
        <w:right w:val="none" w:sz="0" w:space="0" w:color="auto"/>
      </w:divBdr>
    </w:div>
    <w:div w:id="845753225">
      <w:bodyDiv w:val="1"/>
      <w:marLeft w:val="0"/>
      <w:marRight w:val="0"/>
      <w:marTop w:val="0"/>
      <w:marBottom w:val="0"/>
      <w:divBdr>
        <w:top w:val="none" w:sz="0" w:space="0" w:color="auto"/>
        <w:left w:val="none" w:sz="0" w:space="0" w:color="auto"/>
        <w:bottom w:val="none" w:sz="0" w:space="0" w:color="auto"/>
        <w:right w:val="none" w:sz="0" w:space="0" w:color="auto"/>
      </w:divBdr>
    </w:div>
    <w:div w:id="969937667">
      <w:bodyDiv w:val="1"/>
      <w:marLeft w:val="0"/>
      <w:marRight w:val="0"/>
      <w:marTop w:val="0"/>
      <w:marBottom w:val="0"/>
      <w:divBdr>
        <w:top w:val="none" w:sz="0" w:space="0" w:color="auto"/>
        <w:left w:val="none" w:sz="0" w:space="0" w:color="auto"/>
        <w:bottom w:val="none" w:sz="0" w:space="0" w:color="auto"/>
        <w:right w:val="none" w:sz="0" w:space="0" w:color="auto"/>
      </w:divBdr>
    </w:div>
    <w:div w:id="1047953255">
      <w:bodyDiv w:val="1"/>
      <w:marLeft w:val="0"/>
      <w:marRight w:val="0"/>
      <w:marTop w:val="0"/>
      <w:marBottom w:val="0"/>
      <w:divBdr>
        <w:top w:val="none" w:sz="0" w:space="0" w:color="auto"/>
        <w:left w:val="none" w:sz="0" w:space="0" w:color="auto"/>
        <w:bottom w:val="none" w:sz="0" w:space="0" w:color="auto"/>
        <w:right w:val="none" w:sz="0" w:space="0" w:color="auto"/>
      </w:divBdr>
    </w:div>
    <w:div w:id="1087774495">
      <w:bodyDiv w:val="1"/>
      <w:marLeft w:val="0"/>
      <w:marRight w:val="0"/>
      <w:marTop w:val="0"/>
      <w:marBottom w:val="0"/>
      <w:divBdr>
        <w:top w:val="none" w:sz="0" w:space="0" w:color="auto"/>
        <w:left w:val="none" w:sz="0" w:space="0" w:color="auto"/>
        <w:bottom w:val="none" w:sz="0" w:space="0" w:color="auto"/>
        <w:right w:val="none" w:sz="0" w:space="0" w:color="auto"/>
      </w:divBdr>
    </w:div>
    <w:div w:id="1102147535">
      <w:bodyDiv w:val="1"/>
      <w:marLeft w:val="0"/>
      <w:marRight w:val="0"/>
      <w:marTop w:val="0"/>
      <w:marBottom w:val="0"/>
      <w:divBdr>
        <w:top w:val="none" w:sz="0" w:space="0" w:color="auto"/>
        <w:left w:val="none" w:sz="0" w:space="0" w:color="auto"/>
        <w:bottom w:val="none" w:sz="0" w:space="0" w:color="auto"/>
        <w:right w:val="none" w:sz="0" w:space="0" w:color="auto"/>
      </w:divBdr>
    </w:div>
    <w:div w:id="1160921638">
      <w:bodyDiv w:val="1"/>
      <w:marLeft w:val="0"/>
      <w:marRight w:val="0"/>
      <w:marTop w:val="0"/>
      <w:marBottom w:val="0"/>
      <w:divBdr>
        <w:top w:val="none" w:sz="0" w:space="0" w:color="auto"/>
        <w:left w:val="none" w:sz="0" w:space="0" w:color="auto"/>
        <w:bottom w:val="none" w:sz="0" w:space="0" w:color="auto"/>
        <w:right w:val="none" w:sz="0" w:space="0" w:color="auto"/>
      </w:divBdr>
    </w:div>
    <w:div w:id="1304576278">
      <w:bodyDiv w:val="1"/>
      <w:marLeft w:val="0"/>
      <w:marRight w:val="0"/>
      <w:marTop w:val="0"/>
      <w:marBottom w:val="0"/>
      <w:divBdr>
        <w:top w:val="none" w:sz="0" w:space="0" w:color="auto"/>
        <w:left w:val="none" w:sz="0" w:space="0" w:color="auto"/>
        <w:bottom w:val="none" w:sz="0" w:space="0" w:color="auto"/>
        <w:right w:val="none" w:sz="0" w:space="0" w:color="auto"/>
      </w:divBdr>
    </w:div>
    <w:div w:id="1365910421">
      <w:bodyDiv w:val="1"/>
      <w:marLeft w:val="0"/>
      <w:marRight w:val="0"/>
      <w:marTop w:val="0"/>
      <w:marBottom w:val="0"/>
      <w:divBdr>
        <w:top w:val="none" w:sz="0" w:space="0" w:color="auto"/>
        <w:left w:val="none" w:sz="0" w:space="0" w:color="auto"/>
        <w:bottom w:val="none" w:sz="0" w:space="0" w:color="auto"/>
        <w:right w:val="none" w:sz="0" w:space="0" w:color="auto"/>
      </w:divBdr>
    </w:div>
    <w:div w:id="1365911365">
      <w:bodyDiv w:val="1"/>
      <w:marLeft w:val="0"/>
      <w:marRight w:val="0"/>
      <w:marTop w:val="0"/>
      <w:marBottom w:val="0"/>
      <w:divBdr>
        <w:top w:val="none" w:sz="0" w:space="0" w:color="auto"/>
        <w:left w:val="none" w:sz="0" w:space="0" w:color="auto"/>
        <w:bottom w:val="none" w:sz="0" w:space="0" w:color="auto"/>
        <w:right w:val="none" w:sz="0" w:space="0" w:color="auto"/>
      </w:divBdr>
    </w:div>
    <w:div w:id="1552382838">
      <w:bodyDiv w:val="1"/>
      <w:marLeft w:val="0"/>
      <w:marRight w:val="0"/>
      <w:marTop w:val="0"/>
      <w:marBottom w:val="0"/>
      <w:divBdr>
        <w:top w:val="none" w:sz="0" w:space="0" w:color="auto"/>
        <w:left w:val="none" w:sz="0" w:space="0" w:color="auto"/>
        <w:bottom w:val="none" w:sz="0" w:space="0" w:color="auto"/>
        <w:right w:val="none" w:sz="0" w:space="0" w:color="auto"/>
      </w:divBdr>
    </w:div>
    <w:div w:id="1666129289">
      <w:bodyDiv w:val="1"/>
      <w:marLeft w:val="0"/>
      <w:marRight w:val="0"/>
      <w:marTop w:val="0"/>
      <w:marBottom w:val="0"/>
      <w:divBdr>
        <w:top w:val="none" w:sz="0" w:space="0" w:color="auto"/>
        <w:left w:val="none" w:sz="0" w:space="0" w:color="auto"/>
        <w:bottom w:val="none" w:sz="0" w:space="0" w:color="auto"/>
        <w:right w:val="none" w:sz="0" w:space="0" w:color="auto"/>
      </w:divBdr>
    </w:div>
    <w:div w:id="1752586036">
      <w:bodyDiv w:val="1"/>
      <w:marLeft w:val="0"/>
      <w:marRight w:val="0"/>
      <w:marTop w:val="0"/>
      <w:marBottom w:val="0"/>
      <w:divBdr>
        <w:top w:val="none" w:sz="0" w:space="0" w:color="auto"/>
        <w:left w:val="none" w:sz="0" w:space="0" w:color="auto"/>
        <w:bottom w:val="none" w:sz="0" w:space="0" w:color="auto"/>
        <w:right w:val="none" w:sz="0" w:space="0" w:color="auto"/>
      </w:divBdr>
    </w:div>
    <w:div w:id="1889800262">
      <w:bodyDiv w:val="1"/>
      <w:marLeft w:val="0"/>
      <w:marRight w:val="0"/>
      <w:marTop w:val="0"/>
      <w:marBottom w:val="0"/>
      <w:divBdr>
        <w:top w:val="none" w:sz="0" w:space="0" w:color="auto"/>
        <w:left w:val="none" w:sz="0" w:space="0" w:color="auto"/>
        <w:bottom w:val="none" w:sz="0" w:space="0" w:color="auto"/>
        <w:right w:val="none" w:sz="0" w:space="0" w:color="auto"/>
      </w:divBdr>
    </w:div>
    <w:div w:id="1948194236">
      <w:bodyDiv w:val="1"/>
      <w:marLeft w:val="0"/>
      <w:marRight w:val="0"/>
      <w:marTop w:val="0"/>
      <w:marBottom w:val="0"/>
      <w:divBdr>
        <w:top w:val="none" w:sz="0" w:space="0" w:color="auto"/>
        <w:left w:val="none" w:sz="0" w:space="0" w:color="auto"/>
        <w:bottom w:val="none" w:sz="0" w:space="0" w:color="auto"/>
        <w:right w:val="none" w:sz="0" w:space="0" w:color="auto"/>
      </w:divBdr>
    </w:div>
    <w:div w:id="1958559217">
      <w:bodyDiv w:val="1"/>
      <w:marLeft w:val="0"/>
      <w:marRight w:val="0"/>
      <w:marTop w:val="0"/>
      <w:marBottom w:val="0"/>
      <w:divBdr>
        <w:top w:val="none" w:sz="0" w:space="0" w:color="auto"/>
        <w:left w:val="none" w:sz="0" w:space="0" w:color="auto"/>
        <w:bottom w:val="none" w:sz="0" w:space="0" w:color="auto"/>
        <w:right w:val="none" w:sz="0" w:space="0" w:color="auto"/>
      </w:divBdr>
    </w:div>
    <w:div w:id="204054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pubchem.ncbi.nlm.nih.gov" TargetMode="External"/><Relationship Id="rId39" Type="http://schemas.openxmlformats.org/officeDocument/2006/relationships/image" Target="media/image21.png"/><Relationship Id="rId21" Type="http://schemas.openxmlformats.org/officeDocument/2006/relationships/image" Target="media/image5.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chart" Target="charts/chart3.xml"/><Relationship Id="rId50" Type="http://schemas.openxmlformats.org/officeDocument/2006/relationships/chart" Target="charts/chart6.xml"/><Relationship Id="rId55" Type="http://schemas.openxmlformats.org/officeDocument/2006/relationships/fontTable" Target="fontTab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image" Target="media/image12.png"/><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chart" Target="charts/chart1.xml"/><Relationship Id="rId53" Type="http://schemas.openxmlformats.org/officeDocument/2006/relationships/footer" Target="footer4.xml"/><Relationship Id="rId5"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hyperlink" Target="https://pubchem.ncbi.nlm.nih.gov" TargetMode="External"/><Relationship Id="rId35" Type="http://schemas.openxmlformats.org/officeDocument/2006/relationships/image" Target="media/image17.png"/><Relationship Id="rId43" Type="http://schemas.openxmlformats.org/officeDocument/2006/relationships/hyperlink" Target="https://pubchem.ncbi.nlm.nih.gov" TargetMode="External"/><Relationship Id="rId48" Type="http://schemas.openxmlformats.org/officeDocument/2006/relationships/chart" Target="charts/chart4.xml"/><Relationship Id="rId56" Type="http://schemas.microsoft.com/office/2011/relationships/people" Target="people.xml"/><Relationship Id="rId8" Type="http://schemas.microsoft.com/office/2011/relationships/commentsExtended" Target="commentsExtended.xml"/><Relationship Id="rId51"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chart" Target="charts/chart2.xml"/><Relationship Id="rId20" Type="http://schemas.openxmlformats.org/officeDocument/2006/relationships/image" Target="media/image4.png"/><Relationship Id="rId41" Type="http://schemas.openxmlformats.org/officeDocument/2006/relationships/image" Target="media/image23.png"/><Relationship Id="rId54"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image" Target="media/image18.png"/><Relationship Id="rId49" Type="http://schemas.openxmlformats.org/officeDocument/2006/relationships/chart" Target="charts/chart5.xml"/><Relationship Id="rId57" Type="http://schemas.openxmlformats.org/officeDocument/2006/relationships/theme" Target="theme/theme1.xml"/><Relationship Id="rId10" Type="http://schemas.microsoft.com/office/2018/08/relationships/commentsExtensible" Target="commentsExtensible.xml"/><Relationship Id="rId31" Type="http://schemas.openxmlformats.org/officeDocument/2006/relationships/image" Target="media/image13.png"/><Relationship Id="rId44" Type="http://schemas.openxmlformats.org/officeDocument/2006/relationships/image" Target="media/image25.png"/><Relationship Id="rId52" Type="http://schemas.openxmlformats.org/officeDocument/2006/relationships/header" Target="header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icrofoft\AppData\Local\Microsoft\Windows\INetCache\IE\CLR60IMC\Result%20Table%5b1%5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crofoft\AppData\Local\Microsoft\Windows\INetCache\IE\CLR60IMC\Result%20Table%5b1%5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icrofoft\AppData\Local\Microsoft\Windows\INetCache\IE\CLR60IMC\Result%20Table%5b1%5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icrofoft\AppData\Local\Microsoft\Windows\INetCache\IE\CLR60IMC\Result%20Table%5b1%5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icrofoft\AppData\Local\Microsoft\Windows\INetCache\IE\CLR60IMC\Result%20Table%5b1%5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icrofoft\AppData\Local\Microsoft\Windows\INetCache\IE\CLR60IMC\Result%20Table%5b1%5d.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Result!$N$8</c:f>
              <c:strCache>
                <c:ptCount val="1"/>
                <c:pt idx="0">
                  <c:v>TC</c:v>
                </c:pt>
              </c:strCache>
            </c:strRef>
          </c:tx>
          <c:spPr>
            <a:solidFill>
              <a:schemeClr val="accent1"/>
            </a:solidFill>
            <a:ln>
              <a:noFill/>
            </a:ln>
            <a:effectLst/>
          </c:spPr>
          <c:invertIfNegative val="0"/>
          <c:cat>
            <c:strRef>
              <c:f>Result!$M$9:$M$15</c:f>
              <c:strCache>
                <c:ptCount val="7"/>
                <c:pt idx="0">
                  <c:v>NC</c:v>
                </c:pt>
                <c:pt idx="1">
                  <c:v>HPC</c:v>
                </c:pt>
                <c:pt idx="2">
                  <c:v>SC</c:v>
                </c:pt>
                <c:pt idx="3">
                  <c:v>NRT</c:v>
                </c:pt>
                <c:pt idx="4">
                  <c:v>T1</c:v>
                </c:pt>
                <c:pt idx="5">
                  <c:v>T2</c:v>
                </c:pt>
                <c:pt idx="6">
                  <c:v>T3</c:v>
                </c:pt>
              </c:strCache>
            </c:strRef>
          </c:cat>
          <c:val>
            <c:numRef>
              <c:f>Result!$N$9:$N$15</c:f>
              <c:numCache>
                <c:formatCode>General</c:formatCode>
                <c:ptCount val="7"/>
                <c:pt idx="0">
                  <c:v>140.4</c:v>
                </c:pt>
                <c:pt idx="1">
                  <c:v>175.8</c:v>
                </c:pt>
                <c:pt idx="2">
                  <c:v>162.1</c:v>
                </c:pt>
                <c:pt idx="3">
                  <c:v>160.6</c:v>
                </c:pt>
                <c:pt idx="4">
                  <c:v>160.6</c:v>
                </c:pt>
                <c:pt idx="5">
                  <c:v>159.19999999999999</c:v>
                </c:pt>
                <c:pt idx="6">
                  <c:v>160.6</c:v>
                </c:pt>
              </c:numCache>
            </c:numRef>
          </c:val>
          <c:extLst>
            <c:ext xmlns:c16="http://schemas.microsoft.com/office/drawing/2014/chart" uri="{C3380CC4-5D6E-409C-BE32-E72D297353CC}">
              <c16:uniqueId val="{00000000-D3FB-4C5D-A1AF-60E9F87432C7}"/>
            </c:ext>
          </c:extLst>
        </c:ser>
        <c:ser>
          <c:idx val="1"/>
          <c:order val="1"/>
          <c:tx>
            <c:strRef>
              <c:f>Result!$O$8</c:f>
              <c:strCache>
                <c:ptCount val="1"/>
                <c:pt idx="0">
                  <c:v>TAG</c:v>
                </c:pt>
              </c:strCache>
            </c:strRef>
          </c:tx>
          <c:spPr>
            <a:solidFill>
              <a:schemeClr val="accent2"/>
            </a:solidFill>
            <a:ln>
              <a:noFill/>
            </a:ln>
            <a:effectLst/>
          </c:spPr>
          <c:invertIfNegative val="0"/>
          <c:cat>
            <c:strRef>
              <c:f>Result!$M$9:$M$15</c:f>
              <c:strCache>
                <c:ptCount val="7"/>
                <c:pt idx="0">
                  <c:v>NC</c:v>
                </c:pt>
                <c:pt idx="1">
                  <c:v>HPC</c:v>
                </c:pt>
                <c:pt idx="2">
                  <c:v>SC</c:v>
                </c:pt>
                <c:pt idx="3">
                  <c:v>NRT</c:v>
                </c:pt>
                <c:pt idx="4">
                  <c:v>T1</c:v>
                </c:pt>
                <c:pt idx="5">
                  <c:v>T2</c:v>
                </c:pt>
                <c:pt idx="6">
                  <c:v>T3</c:v>
                </c:pt>
              </c:strCache>
            </c:strRef>
          </c:cat>
          <c:val>
            <c:numRef>
              <c:f>Result!$O$9:$O$15</c:f>
              <c:numCache>
                <c:formatCode>General</c:formatCode>
                <c:ptCount val="7"/>
                <c:pt idx="0">
                  <c:v>181</c:v>
                </c:pt>
                <c:pt idx="1">
                  <c:v>207.6</c:v>
                </c:pt>
                <c:pt idx="2">
                  <c:v>200</c:v>
                </c:pt>
                <c:pt idx="3">
                  <c:v>196.2</c:v>
                </c:pt>
                <c:pt idx="4">
                  <c:v>190.5</c:v>
                </c:pt>
                <c:pt idx="5">
                  <c:v>213.3</c:v>
                </c:pt>
                <c:pt idx="6">
                  <c:v>196.2</c:v>
                </c:pt>
              </c:numCache>
            </c:numRef>
          </c:val>
          <c:extLst>
            <c:ext xmlns:c16="http://schemas.microsoft.com/office/drawing/2014/chart" uri="{C3380CC4-5D6E-409C-BE32-E72D297353CC}">
              <c16:uniqueId val="{00000001-D3FB-4C5D-A1AF-60E9F87432C7}"/>
            </c:ext>
          </c:extLst>
        </c:ser>
        <c:dLbls>
          <c:showLegendKey val="0"/>
          <c:showVal val="0"/>
          <c:showCatName val="0"/>
          <c:showSerName val="0"/>
          <c:showPercent val="0"/>
          <c:showBubbleSize val="0"/>
        </c:dLbls>
        <c:gapWidth val="219"/>
        <c:overlap val="-27"/>
        <c:axId val="1811185600"/>
        <c:axId val="1811178880"/>
      </c:barChart>
      <c:catAx>
        <c:axId val="1811185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Groups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178880"/>
        <c:crosses val="autoZero"/>
        <c:auto val="1"/>
        <c:lblAlgn val="ctr"/>
        <c:lblOffset val="100"/>
        <c:noMultiLvlLbl val="0"/>
      </c:catAx>
      <c:valAx>
        <c:axId val="18111788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Lipid Profile (mg/dL)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18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Result!$N$26</c:f>
              <c:strCache>
                <c:ptCount val="1"/>
                <c:pt idx="0">
                  <c:v>HDL</c:v>
                </c:pt>
              </c:strCache>
            </c:strRef>
          </c:tx>
          <c:spPr>
            <a:solidFill>
              <a:schemeClr val="accent1"/>
            </a:solidFill>
            <a:ln>
              <a:noFill/>
            </a:ln>
            <a:effectLst/>
          </c:spPr>
          <c:invertIfNegative val="0"/>
          <c:cat>
            <c:strRef>
              <c:f>Result!$M$27:$M$33</c:f>
              <c:strCache>
                <c:ptCount val="7"/>
                <c:pt idx="0">
                  <c:v>NC</c:v>
                </c:pt>
                <c:pt idx="1">
                  <c:v>HPC</c:v>
                </c:pt>
                <c:pt idx="2">
                  <c:v>SC</c:v>
                </c:pt>
                <c:pt idx="3">
                  <c:v>NRT</c:v>
                </c:pt>
                <c:pt idx="4">
                  <c:v>T1</c:v>
                </c:pt>
                <c:pt idx="5">
                  <c:v>T2</c:v>
                </c:pt>
                <c:pt idx="6">
                  <c:v>T3</c:v>
                </c:pt>
              </c:strCache>
            </c:strRef>
          </c:cat>
          <c:val>
            <c:numRef>
              <c:f>Result!$N$27:$N$33</c:f>
              <c:numCache>
                <c:formatCode>General</c:formatCode>
                <c:ptCount val="7"/>
                <c:pt idx="0">
                  <c:v>34</c:v>
                </c:pt>
                <c:pt idx="1">
                  <c:v>29.6</c:v>
                </c:pt>
                <c:pt idx="2">
                  <c:v>39.5</c:v>
                </c:pt>
                <c:pt idx="3">
                  <c:v>36.5</c:v>
                </c:pt>
                <c:pt idx="4">
                  <c:v>50.8</c:v>
                </c:pt>
                <c:pt idx="5">
                  <c:v>29.8</c:v>
                </c:pt>
                <c:pt idx="6">
                  <c:v>34.200000000000003</c:v>
                </c:pt>
              </c:numCache>
            </c:numRef>
          </c:val>
          <c:extLst>
            <c:ext xmlns:c16="http://schemas.microsoft.com/office/drawing/2014/chart" uri="{C3380CC4-5D6E-409C-BE32-E72D297353CC}">
              <c16:uniqueId val="{00000000-EBDC-458F-9EB9-DB1F5BBCE29A}"/>
            </c:ext>
          </c:extLst>
        </c:ser>
        <c:ser>
          <c:idx val="1"/>
          <c:order val="1"/>
          <c:tx>
            <c:strRef>
              <c:f>Result!$O$26</c:f>
              <c:strCache>
                <c:ptCount val="1"/>
                <c:pt idx="0">
                  <c:v>LDL</c:v>
                </c:pt>
              </c:strCache>
            </c:strRef>
          </c:tx>
          <c:spPr>
            <a:solidFill>
              <a:schemeClr val="accent2"/>
            </a:solidFill>
            <a:ln>
              <a:noFill/>
            </a:ln>
            <a:effectLst/>
          </c:spPr>
          <c:invertIfNegative val="0"/>
          <c:cat>
            <c:strRef>
              <c:f>Result!$M$27:$M$33</c:f>
              <c:strCache>
                <c:ptCount val="7"/>
                <c:pt idx="0">
                  <c:v>NC</c:v>
                </c:pt>
                <c:pt idx="1">
                  <c:v>HPC</c:v>
                </c:pt>
                <c:pt idx="2">
                  <c:v>SC</c:v>
                </c:pt>
                <c:pt idx="3">
                  <c:v>NRT</c:v>
                </c:pt>
                <c:pt idx="4">
                  <c:v>T1</c:v>
                </c:pt>
                <c:pt idx="5">
                  <c:v>T2</c:v>
                </c:pt>
                <c:pt idx="6">
                  <c:v>T3</c:v>
                </c:pt>
              </c:strCache>
            </c:strRef>
          </c:cat>
          <c:val>
            <c:numRef>
              <c:f>Result!$O$27:$O$33</c:f>
              <c:numCache>
                <c:formatCode>General</c:formatCode>
                <c:ptCount val="7"/>
                <c:pt idx="0">
                  <c:v>54.4</c:v>
                </c:pt>
                <c:pt idx="1">
                  <c:v>101.4</c:v>
                </c:pt>
                <c:pt idx="2">
                  <c:v>73.900000000000006</c:v>
                </c:pt>
                <c:pt idx="3">
                  <c:v>84.5</c:v>
                </c:pt>
                <c:pt idx="4">
                  <c:v>60.4</c:v>
                </c:pt>
                <c:pt idx="5">
                  <c:v>86.4</c:v>
                </c:pt>
                <c:pt idx="6">
                  <c:v>91.6</c:v>
                </c:pt>
              </c:numCache>
            </c:numRef>
          </c:val>
          <c:extLst>
            <c:ext xmlns:c16="http://schemas.microsoft.com/office/drawing/2014/chart" uri="{C3380CC4-5D6E-409C-BE32-E72D297353CC}">
              <c16:uniqueId val="{00000001-EBDC-458F-9EB9-DB1F5BBCE29A}"/>
            </c:ext>
          </c:extLst>
        </c:ser>
        <c:ser>
          <c:idx val="2"/>
          <c:order val="2"/>
          <c:tx>
            <c:strRef>
              <c:f>Result!$P$26</c:f>
              <c:strCache>
                <c:ptCount val="1"/>
                <c:pt idx="0">
                  <c:v>VLDL </c:v>
                </c:pt>
              </c:strCache>
            </c:strRef>
          </c:tx>
          <c:spPr>
            <a:solidFill>
              <a:schemeClr val="accent3"/>
            </a:solidFill>
            <a:ln>
              <a:noFill/>
            </a:ln>
            <a:effectLst/>
          </c:spPr>
          <c:invertIfNegative val="0"/>
          <c:cat>
            <c:strRef>
              <c:f>Result!$M$27:$M$33</c:f>
              <c:strCache>
                <c:ptCount val="7"/>
                <c:pt idx="0">
                  <c:v>NC</c:v>
                </c:pt>
                <c:pt idx="1">
                  <c:v>HPC</c:v>
                </c:pt>
                <c:pt idx="2">
                  <c:v>SC</c:v>
                </c:pt>
                <c:pt idx="3">
                  <c:v>NRT</c:v>
                </c:pt>
                <c:pt idx="4">
                  <c:v>T1</c:v>
                </c:pt>
                <c:pt idx="5">
                  <c:v>T2</c:v>
                </c:pt>
                <c:pt idx="6">
                  <c:v>T3</c:v>
                </c:pt>
              </c:strCache>
            </c:strRef>
          </c:cat>
          <c:val>
            <c:numRef>
              <c:f>Result!$P$27:$P$33</c:f>
              <c:numCache>
                <c:formatCode>General</c:formatCode>
                <c:ptCount val="7"/>
                <c:pt idx="0">
                  <c:v>36.200000000000003</c:v>
                </c:pt>
                <c:pt idx="1">
                  <c:v>41.5</c:v>
                </c:pt>
                <c:pt idx="2">
                  <c:v>40</c:v>
                </c:pt>
                <c:pt idx="3">
                  <c:v>39.200000000000003</c:v>
                </c:pt>
                <c:pt idx="4">
                  <c:v>38.1</c:v>
                </c:pt>
                <c:pt idx="5">
                  <c:v>42.7</c:v>
                </c:pt>
                <c:pt idx="6">
                  <c:v>39.200000000000003</c:v>
                </c:pt>
              </c:numCache>
            </c:numRef>
          </c:val>
          <c:extLst>
            <c:ext xmlns:c16="http://schemas.microsoft.com/office/drawing/2014/chart" uri="{C3380CC4-5D6E-409C-BE32-E72D297353CC}">
              <c16:uniqueId val="{00000002-EBDC-458F-9EB9-DB1F5BBCE29A}"/>
            </c:ext>
          </c:extLst>
        </c:ser>
        <c:dLbls>
          <c:showLegendKey val="0"/>
          <c:showVal val="0"/>
          <c:showCatName val="0"/>
          <c:showSerName val="0"/>
          <c:showPercent val="0"/>
          <c:showBubbleSize val="0"/>
        </c:dLbls>
        <c:gapWidth val="219"/>
        <c:overlap val="-27"/>
        <c:axId val="1811188000"/>
        <c:axId val="1811188960"/>
      </c:barChart>
      <c:catAx>
        <c:axId val="1811188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Groups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188960"/>
        <c:crosses val="autoZero"/>
        <c:auto val="1"/>
        <c:lblAlgn val="ctr"/>
        <c:lblOffset val="100"/>
        <c:noMultiLvlLbl val="0"/>
      </c:catAx>
      <c:valAx>
        <c:axId val="18111889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Lipid Profile (mg/dL)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188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Result!$N$55</c:f>
              <c:strCache>
                <c:ptCount val="1"/>
                <c:pt idx="0">
                  <c:v>AC </c:v>
                </c:pt>
              </c:strCache>
            </c:strRef>
          </c:tx>
          <c:spPr>
            <a:solidFill>
              <a:schemeClr val="accent1"/>
            </a:solidFill>
            <a:ln>
              <a:noFill/>
            </a:ln>
            <a:effectLst/>
          </c:spPr>
          <c:invertIfNegative val="0"/>
          <c:cat>
            <c:strRef>
              <c:f>Result!$M$56:$M$62</c:f>
              <c:strCache>
                <c:ptCount val="7"/>
                <c:pt idx="0">
                  <c:v>NC</c:v>
                </c:pt>
                <c:pt idx="1">
                  <c:v>HPC</c:v>
                </c:pt>
                <c:pt idx="2">
                  <c:v>SC</c:v>
                </c:pt>
                <c:pt idx="3">
                  <c:v>NRT</c:v>
                </c:pt>
                <c:pt idx="4">
                  <c:v>T1</c:v>
                </c:pt>
                <c:pt idx="5">
                  <c:v>T2</c:v>
                </c:pt>
                <c:pt idx="6">
                  <c:v>T3</c:v>
                </c:pt>
              </c:strCache>
            </c:strRef>
          </c:cat>
          <c:val>
            <c:numRef>
              <c:f>Result!$N$56:$N$62</c:f>
              <c:numCache>
                <c:formatCode>General</c:formatCode>
                <c:ptCount val="7"/>
                <c:pt idx="0">
                  <c:v>2.66</c:v>
                </c:pt>
                <c:pt idx="1">
                  <c:v>4.83</c:v>
                </c:pt>
                <c:pt idx="2">
                  <c:v>2.88</c:v>
                </c:pt>
                <c:pt idx="3">
                  <c:v>3.4</c:v>
                </c:pt>
                <c:pt idx="4">
                  <c:v>1.94</c:v>
                </c:pt>
                <c:pt idx="5">
                  <c:v>4.32</c:v>
                </c:pt>
                <c:pt idx="6">
                  <c:v>3.8</c:v>
                </c:pt>
              </c:numCache>
            </c:numRef>
          </c:val>
          <c:extLst>
            <c:ext xmlns:c16="http://schemas.microsoft.com/office/drawing/2014/chart" uri="{C3380CC4-5D6E-409C-BE32-E72D297353CC}">
              <c16:uniqueId val="{00000000-8E1E-4EF5-B806-8EA477499297}"/>
            </c:ext>
          </c:extLst>
        </c:ser>
        <c:ser>
          <c:idx val="1"/>
          <c:order val="1"/>
          <c:tx>
            <c:strRef>
              <c:f>Result!$O$55</c:f>
              <c:strCache>
                <c:ptCount val="1"/>
                <c:pt idx="0">
                  <c:v>AI </c:v>
                </c:pt>
              </c:strCache>
            </c:strRef>
          </c:tx>
          <c:spPr>
            <a:solidFill>
              <a:schemeClr val="accent2"/>
            </a:solidFill>
            <a:ln>
              <a:noFill/>
            </a:ln>
            <a:effectLst/>
          </c:spPr>
          <c:invertIfNegative val="0"/>
          <c:cat>
            <c:strRef>
              <c:f>Result!$M$56:$M$62</c:f>
              <c:strCache>
                <c:ptCount val="7"/>
                <c:pt idx="0">
                  <c:v>NC</c:v>
                </c:pt>
                <c:pt idx="1">
                  <c:v>HPC</c:v>
                </c:pt>
                <c:pt idx="2">
                  <c:v>SC</c:v>
                </c:pt>
                <c:pt idx="3">
                  <c:v>NRT</c:v>
                </c:pt>
                <c:pt idx="4">
                  <c:v>T1</c:v>
                </c:pt>
                <c:pt idx="5">
                  <c:v>T2</c:v>
                </c:pt>
                <c:pt idx="6">
                  <c:v>T3</c:v>
                </c:pt>
              </c:strCache>
            </c:strRef>
          </c:cat>
          <c:val>
            <c:numRef>
              <c:f>Result!$O$56:$O$62</c:f>
              <c:numCache>
                <c:formatCode>General</c:formatCode>
                <c:ptCount val="7"/>
                <c:pt idx="0">
                  <c:v>0.73</c:v>
                </c:pt>
                <c:pt idx="1">
                  <c:v>1.1200000000000001</c:v>
                </c:pt>
                <c:pt idx="2">
                  <c:v>0.71</c:v>
                </c:pt>
                <c:pt idx="3">
                  <c:v>0.83</c:v>
                </c:pt>
                <c:pt idx="4">
                  <c:v>0.56999999999999995</c:v>
                </c:pt>
                <c:pt idx="5">
                  <c:v>1.05</c:v>
                </c:pt>
                <c:pt idx="6">
                  <c:v>0.96</c:v>
                </c:pt>
              </c:numCache>
            </c:numRef>
          </c:val>
          <c:extLst>
            <c:ext xmlns:c16="http://schemas.microsoft.com/office/drawing/2014/chart" uri="{C3380CC4-5D6E-409C-BE32-E72D297353CC}">
              <c16:uniqueId val="{00000001-8E1E-4EF5-B806-8EA477499297}"/>
            </c:ext>
          </c:extLst>
        </c:ser>
        <c:ser>
          <c:idx val="2"/>
          <c:order val="2"/>
          <c:tx>
            <c:strRef>
              <c:f>Result!$P$55</c:f>
              <c:strCache>
                <c:ptCount val="1"/>
                <c:pt idx="0">
                  <c:v>CRI</c:v>
                </c:pt>
              </c:strCache>
            </c:strRef>
          </c:tx>
          <c:spPr>
            <a:solidFill>
              <a:schemeClr val="accent3"/>
            </a:solidFill>
            <a:ln>
              <a:noFill/>
            </a:ln>
            <a:effectLst/>
          </c:spPr>
          <c:invertIfNegative val="0"/>
          <c:cat>
            <c:strRef>
              <c:f>Result!$M$56:$M$62</c:f>
              <c:strCache>
                <c:ptCount val="7"/>
                <c:pt idx="0">
                  <c:v>NC</c:v>
                </c:pt>
                <c:pt idx="1">
                  <c:v>HPC</c:v>
                </c:pt>
                <c:pt idx="2">
                  <c:v>SC</c:v>
                </c:pt>
                <c:pt idx="3">
                  <c:v>NRT</c:v>
                </c:pt>
                <c:pt idx="4">
                  <c:v>T1</c:v>
                </c:pt>
                <c:pt idx="5">
                  <c:v>T2</c:v>
                </c:pt>
                <c:pt idx="6">
                  <c:v>T3</c:v>
                </c:pt>
              </c:strCache>
            </c:strRef>
          </c:cat>
          <c:val>
            <c:numRef>
              <c:f>Result!$P$56:$P$62</c:f>
              <c:numCache>
                <c:formatCode>General</c:formatCode>
                <c:ptCount val="7"/>
                <c:pt idx="0">
                  <c:v>3.66</c:v>
                </c:pt>
                <c:pt idx="1">
                  <c:v>5.83</c:v>
                </c:pt>
                <c:pt idx="2">
                  <c:v>3.88</c:v>
                </c:pt>
                <c:pt idx="3">
                  <c:v>4.4000000000000004</c:v>
                </c:pt>
                <c:pt idx="4">
                  <c:v>2.94</c:v>
                </c:pt>
                <c:pt idx="5">
                  <c:v>5.32</c:v>
                </c:pt>
                <c:pt idx="6">
                  <c:v>4.8</c:v>
                </c:pt>
              </c:numCache>
            </c:numRef>
          </c:val>
          <c:extLst>
            <c:ext xmlns:c16="http://schemas.microsoft.com/office/drawing/2014/chart" uri="{C3380CC4-5D6E-409C-BE32-E72D297353CC}">
              <c16:uniqueId val="{00000002-8E1E-4EF5-B806-8EA477499297}"/>
            </c:ext>
          </c:extLst>
        </c:ser>
        <c:ser>
          <c:idx val="3"/>
          <c:order val="3"/>
          <c:tx>
            <c:strRef>
              <c:f>Result!$Q$55</c:f>
              <c:strCache>
                <c:ptCount val="1"/>
                <c:pt idx="0">
                  <c:v>CPI</c:v>
                </c:pt>
              </c:strCache>
            </c:strRef>
          </c:tx>
          <c:spPr>
            <a:solidFill>
              <a:schemeClr val="accent4"/>
            </a:solidFill>
            <a:ln>
              <a:noFill/>
            </a:ln>
            <a:effectLst/>
          </c:spPr>
          <c:invertIfNegative val="0"/>
          <c:cat>
            <c:strRef>
              <c:f>Result!$M$56:$M$62</c:f>
              <c:strCache>
                <c:ptCount val="7"/>
                <c:pt idx="0">
                  <c:v>NC</c:v>
                </c:pt>
                <c:pt idx="1">
                  <c:v>HPC</c:v>
                </c:pt>
                <c:pt idx="2">
                  <c:v>SC</c:v>
                </c:pt>
                <c:pt idx="3">
                  <c:v>NRT</c:v>
                </c:pt>
                <c:pt idx="4">
                  <c:v>T1</c:v>
                </c:pt>
                <c:pt idx="5">
                  <c:v>T2</c:v>
                </c:pt>
                <c:pt idx="6">
                  <c:v>T3</c:v>
                </c:pt>
              </c:strCache>
            </c:strRef>
          </c:cat>
          <c:val>
            <c:numRef>
              <c:f>Result!$Q$56:$Q$62</c:f>
              <c:numCache>
                <c:formatCode>General</c:formatCode>
                <c:ptCount val="7"/>
                <c:pt idx="0">
                  <c:v>0.63</c:v>
                </c:pt>
                <c:pt idx="1">
                  <c:v>0.28999999999999998</c:v>
                </c:pt>
                <c:pt idx="2">
                  <c:v>0.53</c:v>
                </c:pt>
                <c:pt idx="3">
                  <c:v>0.43</c:v>
                </c:pt>
                <c:pt idx="4">
                  <c:v>0.84</c:v>
                </c:pt>
                <c:pt idx="5">
                  <c:v>0.35</c:v>
                </c:pt>
                <c:pt idx="6">
                  <c:v>0.37</c:v>
                </c:pt>
              </c:numCache>
            </c:numRef>
          </c:val>
          <c:extLst>
            <c:ext xmlns:c16="http://schemas.microsoft.com/office/drawing/2014/chart" uri="{C3380CC4-5D6E-409C-BE32-E72D297353CC}">
              <c16:uniqueId val="{00000003-8E1E-4EF5-B806-8EA477499297}"/>
            </c:ext>
          </c:extLst>
        </c:ser>
        <c:dLbls>
          <c:showLegendKey val="0"/>
          <c:showVal val="0"/>
          <c:showCatName val="0"/>
          <c:showSerName val="0"/>
          <c:showPercent val="0"/>
          <c:showBubbleSize val="0"/>
        </c:dLbls>
        <c:gapWidth val="219"/>
        <c:overlap val="-27"/>
        <c:axId val="1811189920"/>
        <c:axId val="1811207680"/>
      </c:barChart>
      <c:catAx>
        <c:axId val="1811189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Groups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207680"/>
        <c:crosses val="autoZero"/>
        <c:auto val="1"/>
        <c:lblAlgn val="ctr"/>
        <c:lblOffset val="100"/>
        <c:noMultiLvlLbl val="0"/>
      </c:catAx>
      <c:valAx>
        <c:axId val="18112076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 Cardiovascular Risk Indices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18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Result!$N$93</c:f>
              <c:strCache>
                <c:ptCount val="1"/>
                <c:pt idx="0">
                  <c:v>SOD </c:v>
                </c:pt>
              </c:strCache>
            </c:strRef>
          </c:tx>
          <c:spPr>
            <a:solidFill>
              <a:schemeClr val="accent1"/>
            </a:solidFill>
            <a:ln>
              <a:noFill/>
            </a:ln>
            <a:effectLst/>
          </c:spPr>
          <c:invertIfNegative val="0"/>
          <c:cat>
            <c:strRef>
              <c:f>Result!$M$95:$M$100</c:f>
              <c:strCache>
                <c:ptCount val="6"/>
                <c:pt idx="0">
                  <c:v>HPC</c:v>
                </c:pt>
                <c:pt idx="1">
                  <c:v>SC</c:v>
                </c:pt>
                <c:pt idx="2">
                  <c:v>NRT</c:v>
                </c:pt>
                <c:pt idx="3">
                  <c:v>T1</c:v>
                </c:pt>
                <c:pt idx="4">
                  <c:v>T2</c:v>
                </c:pt>
                <c:pt idx="5">
                  <c:v>T3</c:v>
                </c:pt>
              </c:strCache>
            </c:strRef>
          </c:cat>
          <c:val>
            <c:numRef>
              <c:f>Result!$N$95:$N$100</c:f>
              <c:numCache>
                <c:formatCode>General</c:formatCode>
                <c:ptCount val="6"/>
                <c:pt idx="0">
                  <c:v>11.9</c:v>
                </c:pt>
                <c:pt idx="1">
                  <c:v>19.2</c:v>
                </c:pt>
                <c:pt idx="2">
                  <c:v>19.899999999999999</c:v>
                </c:pt>
                <c:pt idx="3">
                  <c:v>33.6</c:v>
                </c:pt>
                <c:pt idx="4">
                  <c:v>15.3</c:v>
                </c:pt>
                <c:pt idx="5">
                  <c:v>19.2</c:v>
                </c:pt>
              </c:numCache>
            </c:numRef>
          </c:val>
          <c:extLst>
            <c:ext xmlns:c16="http://schemas.microsoft.com/office/drawing/2014/chart" uri="{C3380CC4-5D6E-409C-BE32-E72D297353CC}">
              <c16:uniqueId val="{00000000-619F-4BEE-9A6C-1AB32AD3E0AF}"/>
            </c:ext>
          </c:extLst>
        </c:ser>
        <c:ser>
          <c:idx val="1"/>
          <c:order val="1"/>
          <c:tx>
            <c:strRef>
              <c:f>Result!$O$93</c:f>
              <c:strCache>
                <c:ptCount val="1"/>
                <c:pt idx="0">
                  <c:v>GPx</c:v>
                </c:pt>
              </c:strCache>
            </c:strRef>
          </c:tx>
          <c:spPr>
            <a:solidFill>
              <a:schemeClr val="accent2"/>
            </a:solidFill>
            <a:ln>
              <a:noFill/>
            </a:ln>
            <a:effectLst/>
          </c:spPr>
          <c:invertIfNegative val="0"/>
          <c:cat>
            <c:strRef>
              <c:f>Result!$M$95:$M$100</c:f>
              <c:strCache>
                <c:ptCount val="6"/>
                <c:pt idx="0">
                  <c:v>HPC</c:v>
                </c:pt>
                <c:pt idx="1">
                  <c:v>SC</c:v>
                </c:pt>
                <c:pt idx="2">
                  <c:v>NRT</c:v>
                </c:pt>
                <c:pt idx="3">
                  <c:v>T1</c:v>
                </c:pt>
                <c:pt idx="4">
                  <c:v>T2</c:v>
                </c:pt>
                <c:pt idx="5">
                  <c:v>T3</c:v>
                </c:pt>
              </c:strCache>
            </c:strRef>
          </c:cat>
          <c:val>
            <c:numRef>
              <c:f>Result!$O$95:$O$100</c:f>
              <c:numCache>
                <c:formatCode>General</c:formatCode>
                <c:ptCount val="6"/>
                <c:pt idx="0">
                  <c:v>0.16</c:v>
                </c:pt>
                <c:pt idx="1">
                  <c:v>0.28399999999999997</c:v>
                </c:pt>
                <c:pt idx="2">
                  <c:v>0.19500000000000001</c:v>
                </c:pt>
                <c:pt idx="3">
                  <c:v>0.313</c:v>
                </c:pt>
                <c:pt idx="4">
                  <c:v>0.1</c:v>
                </c:pt>
                <c:pt idx="5">
                  <c:v>0.11799999999999999</c:v>
                </c:pt>
              </c:numCache>
            </c:numRef>
          </c:val>
          <c:extLst>
            <c:ext xmlns:c16="http://schemas.microsoft.com/office/drawing/2014/chart" uri="{C3380CC4-5D6E-409C-BE32-E72D297353CC}">
              <c16:uniqueId val="{00000001-619F-4BEE-9A6C-1AB32AD3E0AF}"/>
            </c:ext>
          </c:extLst>
        </c:ser>
        <c:dLbls>
          <c:showLegendKey val="0"/>
          <c:showVal val="0"/>
          <c:showCatName val="0"/>
          <c:showSerName val="0"/>
          <c:showPercent val="0"/>
          <c:showBubbleSize val="0"/>
        </c:dLbls>
        <c:gapWidth val="219"/>
        <c:overlap val="-27"/>
        <c:axId val="1811207200"/>
        <c:axId val="1811198080"/>
      </c:barChart>
      <c:catAx>
        <c:axId val="1811207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Groups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198080"/>
        <c:crosses val="autoZero"/>
        <c:auto val="1"/>
        <c:lblAlgn val="ctr"/>
        <c:lblOffset val="100"/>
        <c:noMultiLvlLbl val="0"/>
      </c:catAx>
      <c:valAx>
        <c:axId val="18111980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 (IU/L)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207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Result!$N$111</c:f>
              <c:strCache>
                <c:ptCount val="1"/>
                <c:pt idx="0">
                  <c:v>TBARS </c:v>
                </c:pt>
              </c:strCache>
            </c:strRef>
          </c:tx>
          <c:spPr>
            <a:solidFill>
              <a:schemeClr val="accent1"/>
            </a:solidFill>
            <a:ln>
              <a:noFill/>
            </a:ln>
            <a:effectLst/>
          </c:spPr>
          <c:invertIfNegative val="0"/>
          <c:cat>
            <c:strRef>
              <c:f>Result!$M$112:$M$118</c:f>
              <c:strCache>
                <c:ptCount val="7"/>
                <c:pt idx="0">
                  <c:v>NC</c:v>
                </c:pt>
                <c:pt idx="1">
                  <c:v>HPC</c:v>
                </c:pt>
                <c:pt idx="2">
                  <c:v>SC</c:v>
                </c:pt>
                <c:pt idx="3">
                  <c:v>NRT</c:v>
                </c:pt>
                <c:pt idx="4">
                  <c:v>T1</c:v>
                </c:pt>
                <c:pt idx="5">
                  <c:v>T2</c:v>
                </c:pt>
                <c:pt idx="6">
                  <c:v>T3</c:v>
                </c:pt>
              </c:strCache>
            </c:strRef>
          </c:cat>
          <c:val>
            <c:numRef>
              <c:f>Result!$N$112:$N$118</c:f>
              <c:numCache>
                <c:formatCode>General</c:formatCode>
                <c:ptCount val="7"/>
                <c:pt idx="0">
                  <c:v>1.38</c:v>
                </c:pt>
                <c:pt idx="1">
                  <c:v>4.3099999999999996</c:v>
                </c:pt>
                <c:pt idx="2">
                  <c:v>1.4</c:v>
                </c:pt>
                <c:pt idx="3">
                  <c:v>1.51</c:v>
                </c:pt>
                <c:pt idx="4">
                  <c:v>1.1599999999999999</c:v>
                </c:pt>
                <c:pt idx="5">
                  <c:v>1.9</c:v>
                </c:pt>
                <c:pt idx="6">
                  <c:v>1.81</c:v>
                </c:pt>
              </c:numCache>
            </c:numRef>
          </c:val>
          <c:extLst>
            <c:ext xmlns:c16="http://schemas.microsoft.com/office/drawing/2014/chart" uri="{C3380CC4-5D6E-409C-BE32-E72D297353CC}">
              <c16:uniqueId val="{00000000-AA8E-4A38-BB99-B7CDC1784EEF}"/>
            </c:ext>
          </c:extLst>
        </c:ser>
        <c:dLbls>
          <c:showLegendKey val="0"/>
          <c:showVal val="0"/>
          <c:showCatName val="0"/>
          <c:showSerName val="0"/>
          <c:showPercent val="0"/>
          <c:showBubbleSize val="0"/>
        </c:dLbls>
        <c:gapWidth val="219"/>
        <c:overlap val="-27"/>
        <c:axId val="1811212960"/>
        <c:axId val="1811216800"/>
      </c:barChart>
      <c:catAx>
        <c:axId val="1811212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Groups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216800"/>
        <c:crosses val="autoZero"/>
        <c:auto val="1"/>
        <c:lblAlgn val="ctr"/>
        <c:lblOffset val="100"/>
        <c:noMultiLvlLbl val="0"/>
      </c:catAx>
      <c:valAx>
        <c:axId val="18112168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TBARS (nmol MDA/mg protein)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212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Result!$N$126</c:f>
              <c:strCache>
                <c:ptCount val="1"/>
                <c:pt idx="0">
                  <c:v>GSH </c:v>
                </c:pt>
              </c:strCache>
            </c:strRef>
          </c:tx>
          <c:spPr>
            <a:solidFill>
              <a:schemeClr val="accent1"/>
            </a:solidFill>
            <a:ln>
              <a:noFill/>
            </a:ln>
            <a:effectLst/>
          </c:spPr>
          <c:invertIfNegative val="0"/>
          <c:cat>
            <c:strRef>
              <c:f>Result!$M$127:$M$133</c:f>
              <c:strCache>
                <c:ptCount val="7"/>
                <c:pt idx="0">
                  <c:v>NC</c:v>
                </c:pt>
                <c:pt idx="1">
                  <c:v>HPC</c:v>
                </c:pt>
                <c:pt idx="2">
                  <c:v>SC</c:v>
                </c:pt>
                <c:pt idx="3">
                  <c:v>NRT</c:v>
                </c:pt>
                <c:pt idx="4">
                  <c:v>T1</c:v>
                </c:pt>
                <c:pt idx="5">
                  <c:v>T2</c:v>
                </c:pt>
                <c:pt idx="6">
                  <c:v>T3</c:v>
                </c:pt>
              </c:strCache>
            </c:strRef>
          </c:cat>
          <c:val>
            <c:numRef>
              <c:f>Result!$N$127:$N$133</c:f>
              <c:numCache>
                <c:formatCode>General</c:formatCode>
                <c:ptCount val="7"/>
                <c:pt idx="0">
                  <c:v>105</c:v>
                </c:pt>
                <c:pt idx="1">
                  <c:v>60.6</c:v>
                </c:pt>
                <c:pt idx="2">
                  <c:v>88.3</c:v>
                </c:pt>
                <c:pt idx="3">
                  <c:v>98.3</c:v>
                </c:pt>
                <c:pt idx="4">
                  <c:v>119.4</c:v>
                </c:pt>
                <c:pt idx="5">
                  <c:v>87.2</c:v>
                </c:pt>
                <c:pt idx="6">
                  <c:v>80.599999999999994</c:v>
                </c:pt>
              </c:numCache>
            </c:numRef>
          </c:val>
          <c:extLst>
            <c:ext xmlns:c16="http://schemas.microsoft.com/office/drawing/2014/chart" uri="{C3380CC4-5D6E-409C-BE32-E72D297353CC}">
              <c16:uniqueId val="{00000000-EC16-4C4B-9B61-FC6D36BEE502}"/>
            </c:ext>
          </c:extLst>
        </c:ser>
        <c:dLbls>
          <c:showLegendKey val="0"/>
          <c:showVal val="0"/>
          <c:showCatName val="0"/>
          <c:showSerName val="0"/>
          <c:showPercent val="0"/>
          <c:showBubbleSize val="0"/>
        </c:dLbls>
        <c:gapWidth val="219"/>
        <c:overlap val="-27"/>
        <c:axId val="1811237440"/>
        <c:axId val="1811250880"/>
      </c:barChart>
      <c:catAx>
        <c:axId val="1811237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Groups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250880"/>
        <c:crosses val="autoZero"/>
        <c:auto val="1"/>
        <c:lblAlgn val="ctr"/>
        <c:lblOffset val="100"/>
        <c:noMultiLvlLbl val="0"/>
      </c:catAx>
      <c:valAx>
        <c:axId val="18112508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 GSH</a:t>
                </a:r>
                <a:r>
                  <a:rPr lang="en-GB" b="1" baseline="0"/>
                  <a:t> </a:t>
                </a:r>
                <a:r>
                  <a:rPr lang="en-GB" b="1"/>
                  <a:t> (IU/L)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1237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4650</Words>
  <Characters>26509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Olajumoke Oladapo</cp:lastModifiedBy>
  <cp:revision>3</cp:revision>
  <dcterms:created xsi:type="dcterms:W3CDTF">2025-06-05T17:34:00Z</dcterms:created>
  <dcterms:modified xsi:type="dcterms:W3CDTF">2025-06-05T17:42:00Z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a6fa7b8a-300d-4b2f-8142-8ec8e6b3c22b</vt:lpwstr>
  </property>
</Properties>
</file>