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63847" w14:textId="77777777" w:rsidR="006D7C14" w:rsidRDefault="006D7C14" w:rsidP="006D7C14">
      <w:pPr>
        <w:spacing w:line="240" w:lineRule="auto"/>
        <w:jc w:val="center"/>
        <w:rPr>
          <w:rFonts w:ascii="Times New Roman" w:eastAsia="Calibri" w:hAnsi="Times New Roman"/>
          <w:b/>
          <w:bCs/>
        </w:rPr>
      </w:pPr>
      <w:r w:rsidRPr="00D93AD4">
        <w:rPr>
          <w:rFonts w:ascii="Times New Roman" w:eastAsia="Calibri" w:hAnsi="Times New Roman"/>
          <w:b/>
          <w:bCs/>
        </w:rPr>
        <w:t xml:space="preserve">Psychological Healing through Cultural Expression: The Case of </w:t>
      </w:r>
      <w:proofErr w:type="spellStart"/>
      <w:r w:rsidRPr="00D93AD4">
        <w:rPr>
          <w:rFonts w:ascii="Times New Roman" w:eastAsia="Calibri" w:hAnsi="Times New Roman"/>
          <w:b/>
          <w:bCs/>
        </w:rPr>
        <w:t>Theyyam</w:t>
      </w:r>
      <w:proofErr w:type="spellEnd"/>
    </w:p>
    <w:p w14:paraId="12620776" w14:textId="77777777"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b/>
          <w:bCs/>
        </w:rPr>
        <w:t>Abstract</w:t>
      </w:r>
      <w:r w:rsidRPr="00FB12B9">
        <w:rPr>
          <w:rFonts w:ascii="Times New Roman" w:eastAsia="Calibri" w:hAnsi="Times New Roman"/>
        </w:rPr>
        <w:t xml:space="preserve"> </w:t>
      </w:r>
    </w:p>
    <w:p w14:paraId="55C4EB05" w14:textId="5B275F02" w:rsidR="0087449C" w:rsidRDefault="0087449C" w:rsidP="0087449C">
      <w:pPr>
        <w:spacing w:line="360" w:lineRule="auto"/>
        <w:jc w:val="both"/>
        <w:rPr>
          <w:rFonts w:ascii="Times New Roman" w:eastAsia="Calibri" w:hAnsi="Times New Roman"/>
        </w:rPr>
      </w:pPr>
      <w:commentRangeStart w:id="0"/>
      <w:proofErr w:type="spellStart"/>
      <w:r w:rsidRPr="00565A89">
        <w:rPr>
          <w:rFonts w:ascii="Times New Roman" w:eastAsia="Calibri" w:hAnsi="Times New Roman"/>
        </w:rPr>
        <w:t>Theyyam</w:t>
      </w:r>
      <w:proofErr w:type="spellEnd"/>
      <w:r w:rsidRPr="00565A89">
        <w:rPr>
          <w:rFonts w:ascii="Times New Roman" w:eastAsia="Calibri" w:hAnsi="Times New Roman"/>
        </w:rPr>
        <w:t>, a ritualistic performance</w:t>
      </w:r>
      <w:r>
        <w:rPr>
          <w:rFonts w:ascii="Times New Roman" w:eastAsia="Calibri" w:hAnsi="Times New Roman"/>
        </w:rPr>
        <w:t xml:space="preserve"> </w:t>
      </w:r>
      <w:r w:rsidRPr="00565A89">
        <w:rPr>
          <w:rFonts w:ascii="Times New Roman" w:eastAsia="Calibri" w:hAnsi="Times New Roman"/>
        </w:rPr>
        <w:t xml:space="preserve">from Kerala, India, </w:t>
      </w:r>
      <w:r w:rsidRPr="00D30D76">
        <w:rPr>
          <w:rFonts w:ascii="Times New Roman" w:eastAsia="Calibri" w:hAnsi="Times New Roman"/>
        </w:rPr>
        <w:t>offers a unique perspective on human psychology, reflecting the intersection of emotions, cultural identity, and the divine</w:t>
      </w:r>
      <w:r w:rsidRPr="00565A89">
        <w:rPr>
          <w:rFonts w:ascii="Times New Roman" w:eastAsia="Calibri" w:hAnsi="Times New Roman"/>
        </w:rPr>
        <w:t xml:space="preserve">. </w:t>
      </w:r>
      <w:r w:rsidRPr="008A5F01">
        <w:rPr>
          <w:rFonts w:ascii="Times New Roman" w:eastAsia="Calibri" w:hAnsi="Times New Roman"/>
        </w:rPr>
        <w:t>Th</w:t>
      </w:r>
      <w:r>
        <w:rPr>
          <w:rFonts w:ascii="Times New Roman" w:eastAsia="Calibri" w:hAnsi="Times New Roman"/>
        </w:rPr>
        <w:t>e paper</w:t>
      </w:r>
      <w:r w:rsidRPr="008A5F01">
        <w:rPr>
          <w:rFonts w:ascii="Times New Roman" w:eastAsia="Calibri" w:hAnsi="Times New Roman"/>
        </w:rPr>
        <w:t xml:space="preserve"> employs a theoretical and conceptual </w:t>
      </w:r>
      <w:r w:rsidR="00B836E1">
        <w:rPr>
          <w:rFonts w:ascii="Times New Roman" w:eastAsia="Calibri" w:hAnsi="Times New Roman"/>
        </w:rPr>
        <w:t xml:space="preserve">design </w:t>
      </w:r>
      <w:r w:rsidRPr="008A5F01">
        <w:rPr>
          <w:rFonts w:ascii="Times New Roman" w:eastAsia="Calibri" w:hAnsi="Times New Roman"/>
        </w:rPr>
        <w:t xml:space="preserve">to explore the psychological aspects of </w:t>
      </w:r>
      <w:proofErr w:type="spellStart"/>
      <w:r w:rsidRPr="008A5F01">
        <w:rPr>
          <w:rFonts w:ascii="Times New Roman" w:eastAsia="Calibri" w:hAnsi="Times New Roman"/>
        </w:rPr>
        <w:t>Theyyam</w:t>
      </w:r>
      <w:proofErr w:type="spellEnd"/>
      <w:r w:rsidRPr="008A5F01">
        <w:rPr>
          <w:rFonts w:ascii="Times New Roman" w:eastAsia="Calibri" w:hAnsi="Times New Roman"/>
        </w:rPr>
        <w:t xml:space="preserve">, focusing on its role in emotional expression, identity formation, and healing. By reviewing existing literature and integrating psychological theories such as catharsis, expressive arts therapy, and narrative therapy, the paper examines how </w:t>
      </w:r>
      <w:proofErr w:type="spellStart"/>
      <w:r w:rsidRPr="008A5F01">
        <w:rPr>
          <w:rFonts w:ascii="Times New Roman" w:eastAsia="Calibri" w:hAnsi="Times New Roman"/>
        </w:rPr>
        <w:t>Theyyam</w:t>
      </w:r>
      <w:proofErr w:type="spellEnd"/>
      <w:r w:rsidRPr="008A5F01">
        <w:rPr>
          <w:rFonts w:ascii="Times New Roman" w:eastAsia="Calibri" w:hAnsi="Times New Roman"/>
        </w:rPr>
        <w:t xml:space="preserve"> functions as both a cultural and psychological tool. It also delves into the therapeutic and cathartic potential of the ritual, demonstrating how it facilitates emotional release and healing for both performers and </w:t>
      </w:r>
      <w:r>
        <w:rPr>
          <w:rFonts w:ascii="Times New Roman" w:eastAsia="Calibri" w:hAnsi="Times New Roman"/>
        </w:rPr>
        <w:t>audience</w:t>
      </w:r>
      <w:r w:rsidRPr="008A5F01">
        <w:rPr>
          <w:rFonts w:ascii="Times New Roman" w:eastAsia="Calibri" w:hAnsi="Times New Roman"/>
        </w:rPr>
        <w:t xml:space="preserve">. Through the application of these psychological theories, the paper highlights </w:t>
      </w:r>
      <w:proofErr w:type="spellStart"/>
      <w:r w:rsidRPr="008A5F01">
        <w:rPr>
          <w:rFonts w:ascii="Times New Roman" w:eastAsia="Calibri" w:hAnsi="Times New Roman"/>
        </w:rPr>
        <w:t>Theyyam</w:t>
      </w:r>
      <w:proofErr w:type="spellEnd"/>
      <w:r w:rsidRPr="008A5F01">
        <w:rPr>
          <w:rFonts w:ascii="Times New Roman" w:eastAsia="Calibri" w:hAnsi="Times New Roman"/>
        </w:rPr>
        <w:t xml:space="preserve"> as a cultural and psychological phenomenon with significant therapeutic value.</w:t>
      </w:r>
      <w:commentRangeEnd w:id="0"/>
      <w:r w:rsidR="00C52189">
        <w:rPr>
          <w:rStyle w:val="CommentReference"/>
        </w:rPr>
        <w:commentReference w:id="0"/>
      </w:r>
    </w:p>
    <w:p w14:paraId="7E78FEA5" w14:textId="77777777" w:rsidR="0087449C" w:rsidRPr="008A5F01" w:rsidRDefault="0087449C" w:rsidP="0087449C">
      <w:pPr>
        <w:spacing w:line="360" w:lineRule="auto"/>
        <w:jc w:val="both"/>
        <w:rPr>
          <w:rFonts w:ascii="Times New Roman" w:eastAsia="Calibri" w:hAnsi="Times New Roman"/>
          <w:b/>
          <w:bCs/>
          <w:i/>
          <w:iCs/>
        </w:rPr>
      </w:pPr>
      <w:r w:rsidRPr="008A5F01">
        <w:rPr>
          <w:rFonts w:ascii="Times New Roman" w:eastAsia="Calibri" w:hAnsi="Times New Roman"/>
          <w:b/>
          <w:bCs/>
          <w:i/>
          <w:iCs/>
        </w:rPr>
        <w:t xml:space="preserve">Keywords: </w:t>
      </w:r>
      <w:proofErr w:type="spellStart"/>
      <w:r w:rsidRPr="008A5F01">
        <w:rPr>
          <w:rFonts w:ascii="Times New Roman" w:eastAsia="Calibri" w:hAnsi="Times New Roman"/>
          <w:b/>
          <w:bCs/>
          <w:i/>
          <w:iCs/>
        </w:rPr>
        <w:t>Theyyam</w:t>
      </w:r>
      <w:proofErr w:type="spellEnd"/>
      <w:r w:rsidRPr="008A5F01">
        <w:rPr>
          <w:rFonts w:ascii="Times New Roman" w:eastAsia="Calibri" w:hAnsi="Times New Roman"/>
          <w:b/>
          <w:bCs/>
          <w:i/>
          <w:iCs/>
        </w:rPr>
        <w:t>, cultural psychology, ritualistic performance, identity formation, catharsis, cultural therapy, trance states</w:t>
      </w:r>
    </w:p>
    <w:p w14:paraId="02CE0C5C" w14:textId="77777777" w:rsidR="0087449C" w:rsidRDefault="0087449C" w:rsidP="0087449C">
      <w:pPr>
        <w:spacing w:line="360" w:lineRule="auto"/>
        <w:jc w:val="both"/>
        <w:rPr>
          <w:rFonts w:ascii="Times New Roman" w:eastAsia="Calibri" w:hAnsi="Times New Roman"/>
          <w:b/>
          <w:bCs/>
        </w:rPr>
      </w:pPr>
    </w:p>
    <w:p w14:paraId="35BCE82F" w14:textId="77777777" w:rsidR="0087449C" w:rsidRDefault="0087449C" w:rsidP="0087449C">
      <w:pPr>
        <w:spacing w:line="360" w:lineRule="auto"/>
        <w:jc w:val="both"/>
        <w:rPr>
          <w:rFonts w:ascii="Times New Roman" w:eastAsia="Calibri" w:hAnsi="Times New Roman"/>
          <w:b/>
          <w:bCs/>
        </w:rPr>
      </w:pPr>
    </w:p>
    <w:p w14:paraId="2B2426D9" w14:textId="77777777" w:rsidR="0087449C" w:rsidRDefault="0087449C" w:rsidP="0087449C">
      <w:pPr>
        <w:spacing w:line="360" w:lineRule="auto"/>
        <w:jc w:val="both"/>
        <w:rPr>
          <w:rFonts w:ascii="Times New Roman" w:eastAsia="Calibri" w:hAnsi="Times New Roman"/>
          <w:b/>
          <w:bCs/>
        </w:rPr>
      </w:pPr>
    </w:p>
    <w:p w14:paraId="50A49A70" w14:textId="77777777" w:rsidR="001A7C7E" w:rsidRDefault="001A7C7E" w:rsidP="0087449C">
      <w:pPr>
        <w:spacing w:line="360" w:lineRule="auto"/>
        <w:jc w:val="both"/>
        <w:rPr>
          <w:rFonts w:ascii="Times New Roman" w:eastAsia="Calibri" w:hAnsi="Times New Roman"/>
          <w:b/>
          <w:bCs/>
        </w:rPr>
      </w:pPr>
    </w:p>
    <w:p w14:paraId="24F32029" w14:textId="36D2D0E4"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b/>
          <w:bCs/>
        </w:rPr>
        <w:t>Introduction</w:t>
      </w:r>
      <w:r w:rsidRPr="00FB12B9">
        <w:rPr>
          <w:rFonts w:ascii="Times New Roman" w:eastAsia="Calibri" w:hAnsi="Times New Roman"/>
        </w:rPr>
        <w:t xml:space="preserve"> </w:t>
      </w:r>
    </w:p>
    <w:p w14:paraId="1E2589C2" w14:textId="503267CC" w:rsidR="0087449C" w:rsidRDefault="0087449C" w:rsidP="0087449C">
      <w:pPr>
        <w:spacing w:line="360" w:lineRule="auto"/>
        <w:jc w:val="both"/>
        <w:rPr>
          <w:rFonts w:ascii="Times New Roman" w:eastAsia="Calibri" w:hAnsi="Times New Roman"/>
        </w:rPr>
      </w:pP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is an ancient ritualistic art </w:t>
      </w:r>
      <w:commentRangeStart w:id="1"/>
      <w:r w:rsidRPr="00C52189">
        <w:rPr>
          <w:rFonts w:ascii="Times New Roman" w:eastAsia="Calibri" w:hAnsi="Times New Roman"/>
          <w:highlight w:val="yellow"/>
          <w:lang w:val="en-US"/>
        </w:rPr>
        <w:t>form from</w:t>
      </w:r>
      <w:r w:rsidRPr="00FB12B9">
        <w:rPr>
          <w:rFonts w:ascii="Times New Roman" w:eastAsia="Calibri" w:hAnsi="Times New Roman"/>
          <w:lang w:val="en-US"/>
        </w:rPr>
        <w:t xml:space="preserve"> </w:t>
      </w:r>
      <w:commentRangeEnd w:id="1"/>
      <w:r w:rsidR="00C52189">
        <w:rPr>
          <w:rStyle w:val="CommentReference"/>
        </w:rPr>
        <w:commentReference w:id="1"/>
      </w:r>
      <w:r w:rsidRPr="00FB12B9">
        <w:rPr>
          <w:rFonts w:ascii="Times New Roman" w:eastAsia="Calibri" w:hAnsi="Times New Roman"/>
          <w:lang w:val="en-US"/>
        </w:rPr>
        <w:t>northern Kerala that combines dance, music, and spiritual worship.</w:t>
      </w:r>
      <w:r>
        <w:rPr>
          <w:rFonts w:ascii="Times New Roman" w:eastAsia="Calibri" w:hAnsi="Times New Roman"/>
          <w:lang w:val="en-US"/>
        </w:rPr>
        <w:t xml:space="preserve"> </w:t>
      </w:r>
      <w:r>
        <w:rPr>
          <w:rFonts w:ascii="Times New Roman" w:eastAsia="Calibri" w:hAnsi="Times New Roman"/>
        </w:rPr>
        <w:t xml:space="preserve">It’s </w:t>
      </w:r>
      <w:r w:rsidRPr="00294B19">
        <w:rPr>
          <w:rFonts w:ascii="Times New Roman" w:eastAsia="Calibri" w:hAnsi="Times New Roman"/>
        </w:rPr>
        <w:t>meaning can vary depending on the region, making it hard to define in just one way. Many scholars and linguists in Kerala agree on this. According to the famous scholar Hermann Gundert (1872), the word "</w:t>
      </w:r>
      <w:proofErr w:type="spellStart"/>
      <w:r w:rsidRPr="00294B19">
        <w:rPr>
          <w:rFonts w:ascii="Times New Roman" w:eastAsia="Calibri" w:hAnsi="Times New Roman"/>
        </w:rPr>
        <w:t>Theyyam</w:t>
      </w:r>
      <w:proofErr w:type="spellEnd"/>
      <w:r w:rsidRPr="00294B19">
        <w:rPr>
          <w:rFonts w:ascii="Times New Roman" w:eastAsia="Calibri" w:hAnsi="Times New Roman"/>
        </w:rPr>
        <w:t>" comes from "</w:t>
      </w:r>
      <w:proofErr w:type="spellStart"/>
      <w:r w:rsidRPr="00294B19">
        <w:rPr>
          <w:rFonts w:ascii="Times New Roman" w:eastAsia="Calibri" w:hAnsi="Times New Roman"/>
        </w:rPr>
        <w:t>Daivam</w:t>
      </w:r>
      <w:proofErr w:type="spellEnd"/>
      <w:r w:rsidRPr="00294B19">
        <w:rPr>
          <w:rFonts w:ascii="Times New Roman" w:eastAsia="Calibri" w:hAnsi="Times New Roman"/>
        </w:rPr>
        <w:t xml:space="preserve">," which means God. The performance of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is called </w:t>
      </w:r>
      <w:proofErr w:type="spellStart"/>
      <w:r w:rsidRPr="00294B19">
        <w:rPr>
          <w:rFonts w:ascii="Times New Roman" w:eastAsia="Calibri" w:hAnsi="Times New Roman"/>
        </w:rPr>
        <w:t>Theyyattam</w:t>
      </w:r>
      <w:proofErr w:type="spellEnd"/>
      <w:r w:rsidRPr="00294B19">
        <w:rPr>
          <w:rFonts w:ascii="Times New Roman" w:eastAsia="Calibri" w:hAnsi="Times New Roman"/>
        </w:rPr>
        <w:t xml:space="preserve">, and when multiple </w:t>
      </w:r>
      <w:proofErr w:type="spellStart"/>
      <w:r w:rsidRPr="00294B19">
        <w:rPr>
          <w:rFonts w:ascii="Times New Roman" w:eastAsia="Calibri" w:hAnsi="Times New Roman"/>
        </w:rPr>
        <w:t>Theyyams</w:t>
      </w:r>
      <w:proofErr w:type="spellEnd"/>
      <w:r w:rsidRPr="00294B19">
        <w:rPr>
          <w:rFonts w:ascii="Times New Roman" w:eastAsia="Calibri" w:hAnsi="Times New Roman"/>
        </w:rPr>
        <w:t xml:space="preserve"> are performed in a sacred space, the event is referred to as </w:t>
      </w:r>
      <w:proofErr w:type="spellStart"/>
      <w:r w:rsidRPr="00294B19">
        <w:rPr>
          <w:rFonts w:ascii="Times New Roman" w:eastAsia="Calibri" w:hAnsi="Times New Roman"/>
        </w:rPr>
        <w:t>Kaliyattam</w:t>
      </w:r>
      <w:proofErr w:type="spellEnd"/>
      <w:r w:rsidRPr="00294B19">
        <w:rPr>
          <w:rFonts w:ascii="Times New Roman" w:eastAsia="Calibri" w:hAnsi="Times New Roman"/>
        </w:rPr>
        <w:t xml:space="preserve">. This term comes from two Malayalam words: </w:t>
      </w:r>
      <w:r w:rsidRPr="00294B19">
        <w:rPr>
          <w:rFonts w:ascii="Times New Roman" w:eastAsia="Calibri" w:hAnsi="Times New Roman"/>
        </w:rPr>
        <w:lastRenderedPageBreak/>
        <w:t xml:space="preserve">Kali (meaning play) and Attam (meaning dance). C. M. S. </w:t>
      </w:r>
      <w:proofErr w:type="spellStart"/>
      <w:r w:rsidRPr="00294B19">
        <w:rPr>
          <w:rFonts w:ascii="Times New Roman" w:eastAsia="Calibri" w:hAnsi="Times New Roman"/>
        </w:rPr>
        <w:t>Chanthera</w:t>
      </w:r>
      <w:proofErr w:type="spellEnd"/>
      <w:r w:rsidRPr="00294B19">
        <w:rPr>
          <w:rFonts w:ascii="Times New Roman" w:eastAsia="Calibri" w:hAnsi="Times New Roman"/>
        </w:rPr>
        <w:t xml:space="preserve"> (1978) believed that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is a dance dedicated to the goddess Kali, and others also describe </w:t>
      </w:r>
      <w:proofErr w:type="spellStart"/>
      <w:r w:rsidRPr="00294B19">
        <w:rPr>
          <w:rFonts w:ascii="Times New Roman" w:eastAsia="Calibri" w:hAnsi="Times New Roman"/>
        </w:rPr>
        <w:t>Kaliyattam</w:t>
      </w:r>
      <w:proofErr w:type="spellEnd"/>
      <w:r w:rsidRPr="00294B19">
        <w:rPr>
          <w:rFonts w:ascii="Times New Roman" w:eastAsia="Calibri" w:hAnsi="Times New Roman"/>
        </w:rPr>
        <w:t xml:space="preserve"> as Kali's dance. </w:t>
      </w:r>
      <w:proofErr w:type="spellStart"/>
      <w:r w:rsidRPr="00294B19">
        <w:rPr>
          <w:rFonts w:ascii="Times New Roman" w:eastAsia="Calibri" w:hAnsi="Times New Roman"/>
        </w:rPr>
        <w:t>Theyyams</w:t>
      </w:r>
      <w:proofErr w:type="spellEnd"/>
      <w:r w:rsidRPr="00294B19">
        <w:rPr>
          <w:rFonts w:ascii="Times New Roman" w:eastAsia="Calibri" w:hAnsi="Times New Roman"/>
        </w:rPr>
        <w:t xml:space="preserve"> take many forms, including gods, goddesses, good and evil spirits, heroes, and animals. It is thought that a similar ritual art from Karnataka, called </w:t>
      </w:r>
      <w:proofErr w:type="spellStart"/>
      <w:r w:rsidRPr="00294B19">
        <w:rPr>
          <w:rFonts w:ascii="Times New Roman" w:eastAsia="Calibri" w:hAnsi="Times New Roman"/>
        </w:rPr>
        <w:t>Bhothakola</w:t>
      </w:r>
      <w:proofErr w:type="spellEnd"/>
      <w:r w:rsidRPr="00294B19">
        <w:rPr>
          <w:rFonts w:ascii="Times New Roman" w:eastAsia="Calibri" w:hAnsi="Times New Roman"/>
        </w:rPr>
        <w:t xml:space="preserve">, had a strong influence on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Some styles found in </w:t>
      </w:r>
      <w:proofErr w:type="spellStart"/>
      <w:r w:rsidRPr="00294B19">
        <w:rPr>
          <w:rFonts w:ascii="Times New Roman" w:eastAsia="Calibri" w:hAnsi="Times New Roman"/>
        </w:rPr>
        <w:t>Thirayattam</w:t>
      </w:r>
      <w:proofErr w:type="spellEnd"/>
      <w:r w:rsidRPr="00294B19">
        <w:rPr>
          <w:rFonts w:ascii="Times New Roman" w:eastAsia="Calibri" w:hAnsi="Times New Roman"/>
        </w:rPr>
        <w:t xml:space="preserve">, a ritual art from South Malabar, are also present in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The form and style of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have been shaped by the unique culture and traditions of the regions where it developed</w:t>
      </w:r>
      <w:r w:rsidR="00E65EBB">
        <w:rPr>
          <w:rFonts w:ascii="Times New Roman" w:eastAsia="Calibri" w:hAnsi="Times New Roman"/>
        </w:rPr>
        <w:t xml:space="preserve"> (</w:t>
      </w:r>
      <w:r w:rsidR="00E65EBB" w:rsidRPr="00E65EBB">
        <w:rPr>
          <w:rFonts w:ascii="Times New Roman" w:eastAsia="Calibri" w:hAnsi="Times New Roman"/>
        </w:rPr>
        <w:t>Damodaran M P.</w:t>
      </w:r>
      <w:r w:rsidR="00E65EBB">
        <w:rPr>
          <w:rFonts w:ascii="Times New Roman" w:eastAsia="Calibri" w:hAnsi="Times New Roman"/>
        </w:rPr>
        <w:t xml:space="preserve">, </w:t>
      </w:r>
      <w:r w:rsidR="00E65EBB" w:rsidRPr="00E65EBB">
        <w:rPr>
          <w:rFonts w:ascii="Times New Roman" w:eastAsia="Calibri" w:hAnsi="Times New Roman"/>
        </w:rPr>
        <w:t>1998)</w:t>
      </w:r>
      <w:r w:rsidRPr="00294B19">
        <w:rPr>
          <w:rFonts w:ascii="Times New Roman" w:eastAsia="Calibri" w:hAnsi="Times New Roman"/>
        </w:rPr>
        <w:t xml:space="preserve">. One of the grandest </w:t>
      </w:r>
      <w:proofErr w:type="spellStart"/>
      <w:r w:rsidRPr="00294B19">
        <w:rPr>
          <w:rFonts w:ascii="Times New Roman" w:eastAsia="Calibri" w:hAnsi="Times New Roman"/>
        </w:rPr>
        <w:t>Theyyam</w:t>
      </w:r>
      <w:proofErr w:type="spellEnd"/>
      <w:r w:rsidRPr="00294B19">
        <w:rPr>
          <w:rFonts w:ascii="Times New Roman" w:eastAsia="Calibri" w:hAnsi="Times New Roman"/>
        </w:rPr>
        <w:t xml:space="preserve"> festivals, held every twelve years or more, is called </w:t>
      </w:r>
      <w:proofErr w:type="spellStart"/>
      <w:r w:rsidRPr="00294B19">
        <w:rPr>
          <w:rFonts w:ascii="Times New Roman" w:eastAsia="Calibri" w:hAnsi="Times New Roman"/>
        </w:rPr>
        <w:t>Perumkaliyattam</w:t>
      </w:r>
      <w:proofErr w:type="spellEnd"/>
      <w:r w:rsidRPr="00294B19">
        <w:rPr>
          <w:rFonts w:ascii="Times New Roman" w:eastAsia="Calibri" w:hAnsi="Times New Roman"/>
        </w:rPr>
        <w:t>.</w:t>
      </w:r>
      <w:r>
        <w:rPr>
          <w:rFonts w:ascii="Times New Roman" w:eastAsia="Calibri" w:hAnsi="Times New Roman"/>
        </w:rPr>
        <w:t xml:space="preserve"> </w:t>
      </w:r>
    </w:p>
    <w:p w14:paraId="2122882F" w14:textId="7F7B594E" w:rsidR="0087449C" w:rsidRDefault="0087449C" w:rsidP="0087449C">
      <w:pPr>
        <w:spacing w:line="360" w:lineRule="auto"/>
        <w:jc w:val="both"/>
        <w:rPr>
          <w:rFonts w:ascii="Times New Roman" w:eastAsia="Calibri" w:hAnsi="Times New Roman"/>
        </w:rPr>
      </w:pPr>
      <w:commentRangeStart w:id="2"/>
      <w:r w:rsidRPr="00FB12B9">
        <w:rPr>
          <w:rFonts w:ascii="Times New Roman" w:eastAsia="Calibri" w:hAnsi="Times New Roman"/>
          <w:lang w:val="en-US"/>
        </w:rPr>
        <w:t xml:space="preserve">At its core,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is rich in symbolism, </w:t>
      </w:r>
      <w:r w:rsidRPr="006F3EA9">
        <w:rPr>
          <w:rFonts w:ascii="Times New Roman" w:eastAsia="Calibri" w:hAnsi="Times New Roman"/>
        </w:rPr>
        <w:t>where the detailed makeup, bright costumes, and rhythmic movements help express spiritual beliefs and emotions.</w:t>
      </w:r>
      <w:r w:rsidRPr="00FB12B9">
        <w:rPr>
          <w:rFonts w:ascii="Times New Roman" w:eastAsia="Calibri" w:hAnsi="Times New Roman"/>
          <w:lang w:val="en-US"/>
        </w:rPr>
        <w:t xml:space="preserve"> These elements allow performers to communicate a range of emotions, fears, and aspirations within the context of their familial and communal settings</w:t>
      </w:r>
      <w:r>
        <w:rPr>
          <w:rFonts w:ascii="Times New Roman" w:eastAsia="Calibri" w:hAnsi="Times New Roman"/>
          <w:lang w:val="en-US"/>
        </w:rPr>
        <w:t xml:space="preserve"> (</w:t>
      </w:r>
      <w:r w:rsidRPr="00CD0C66">
        <w:rPr>
          <w:rFonts w:ascii="Times New Roman" w:hAnsi="Times New Roman"/>
        </w:rPr>
        <w:t>V.R., Reshma &amp; Sheeja, S.</w:t>
      </w:r>
      <w:r>
        <w:rPr>
          <w:rFonts w:ascii="Times New Roman" w:hAnsi="Times New Roman"/>
        </w:rPr>
        <w:t xml:space="preserve">, </w:t>
      </w:r>
      <w:r w:rsidRPr="00CD0C66">
        <w:rPr>
          <w:rFonts w:ascii="Times New Roman" w:hAnsi="Times New Roman"/>
        </w:rPr>
        <w:t>2023)</w:t>
      </w:r>
      <w:r w:rsidRPr="00FB12B9">
        <w:rPr>
          <w:rFonts w:ascii="Times New Roman" w:eastAsia="Calibri" w:hAnsi="Times New Roman"/>
          <w:lang w:val="en-US"/>
        </w:rPr>
        <w:t xml:space="preserve">. The communal aspect of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fosters a strong sense of belonging, reinforcing familial ties and contributing to psychological well-being.</w:t>
      </w:r>
      <w:r>
        <w:rPr>
          <w:rFonts w:ascii="Times New Roman" w:eastAsia="Calibri" w:hAnsi="Times New Roman"/>
          <w:lang w:val="en-US"/>
        </w:rPr>
        <w:t xml:space="preserve"> </w:t>
      </w:r>
      <w:r w:rsidRPr="00FB12B9">
        <w:rPr>
          <w:rFonts w:ascii="Times New Roman" w:eastAsia="Calibri" w:hAnsi="Times New Roman"/>
          <w:lang w:val="en-US"/>
        </w:rPr>
        <w:t xml:space="preserve">Exploring the psychological dimensions of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reveals a profound connection between symbolism, communal identity, and familial bonds, particularly within the sacred spaces of family temples</w:t>
      </w:r>
      <w:r>
        <w:rPr>
          <w:rFonts w:ascii="Times New Roman" w:eastAsia="Calibri" w:hAnsi="Times New Roman"/>
          <w:lang w:val="en-US"/>
        </w:rPr>
        <w:t xml:space="preserve"> (</w:t>
      </w:r>
      <w:r w:rsidRPr="00C620E6">
        <w:rPr>
          <w:rFonts w:ascii="Times New Roman" w:eastAsia="Calibri" w:hAnsi="Times New Roman"/>
        </w:rPr>
        <w:t>Manaswini K Ram</w:t>
      </w:r>
      <w:r>
        <w:rPr>
          <w:rFonts w:ascii="Times New Roman" w:eastAsia="Calibri" w:hAnsi="Times New Roman"/>
        </w:rPr>
        <w:t>, 2025)</w:t>
      </w:r>
      <w:r w:rsidRPr="00FB12B9">
        <w:rPr>
          <w:rFonts w:ascii="Times New Roman" w:eastAsia="Calibri" w:hAnsi="Times New Roman"/>
          <w:lang w:val="en-US"/>
        </w:rPr>
        <w:t>.</w:t>
      </w:r>
      <w:r>
        <w:rPr>
          <w:rFonts w:ascii="Times New Roman" w:eastAsia="Calibri" w:hAnsi="Times New Roman"/>
          <w:lang w:val="en-US"/>
        </w:rPr>
        <w:t xml:space="preserve"> </w:t>
      </w:r>
      <w:r w:rsidRPr="00892E03">
        <w:rPr>
          <w:rFonts w:ascii="Times New Roman" w:eastAsia="Calibri" w:hAnsi="Times New Roman"/>
        </w:rPr>
        <w:t>Rituals performed in family temples bring order and a comforting routine to family life, helping people feel more secure in times of uncertainty. The beliefs and superstitions tied to these rituals also help reinforce cultural values and strengthen family bonds</w:t>
      </w:r>
      <w:r w:rsidR="00E65EBB">
        <w:rPr>
          <w:rFonts w:ascii="Times New Roman" w:eastAsia="Calibri" w:hAnsi="Times New Roman"/>
        </w:rPr>
        <w:t xml:space="preserve"> (</w:t>
      </w:r>
      <w:r w:rsidR="00E65EBB" w:rsidRPr="00E65EBB">
        <w:rPr>
          <w:rFonts w:ascii="Times New Roman" w:eastAsia="Calibri" w:hAnsi="Times New Roman"/>
        </w:rPr>
        <w:t>Kurup K.K.N.</w:t>
      </w:r>
      <w:r w:rsidR="00E65EBB">
        <w:rPr>
          <w:rFonts w:ascii="Times New Roman" w:eastAsia="Calibri" w:hAnsi="Times New Roman"/>
        </w:rPr>
        <w:t xml:space="preserve">, </w:t>
      </w:r>
      <w:r w:rsidR="00E65EBB" w:rsidRPr="00E65EBB">
        <w:rPr>
          <w:rFonts w:ascii="Times New Roman" w:eastAsia="Calibri" w:hAnsi="Times New Roman"/>
        </w:rPr>
        <w:t>1996)</w:t>
      </w:r>
      <w:r w:rsidRPr="00892E03">
        <w:rPr>
          <w:rFonts w:ascii="Times New Roman" w:eastAsia="Calibri" w:hAnsi="Times New Roman"/>
        </w:rPr>
        <w:t xml:space="preserve">. Within the sacred space of family temples, </w:t>
      </w:r>
      <w:proofErr w:type="spellStart"/>
      <w:r w:rsidRPr="00892E03">
        <w:rPr>
          <w:rFonts w:ascii="Times New Roman" w:eastAsia="Calibri" w:hAnsi="Times New Roman"/>
        </w:rPr>
        <w:t>Theyyam</w:t>
      </w:r>
      <w:proofErr w:type="spellEnd"/>
      <w:r w:rsidRPr="00892E03">
        <w:rPr>
          <w:rFonts w:ascii="Times New Roman" w:eastAsia="Calibri" w:hAnsi="Times New Roman"/>
        </w:rPr>
        <w:t xml:space="preserve"> supports cultural identity, spiritual connection, and relationships across generations. From a psychological point of view, </w:t>
      </w:r>
      <w:proofErr w:type="spellStart"/>
      <w:r w:rsidRPr="00892E03">
        <w:rPr>
          <w:rFonts w:ascii="Times New Roman" w:eastAsia="Calibri" w:hAnsi="Times New Roman"/>
        </w:rPr>
        <w:t>Theyyam</w:t>
      </w:r>
      <w:proofErr w:type="spellEnd"/>
      <w:r w:rsidRPr="00892E03">
        <w:rPr>
          <w:rFonts w:ascii="Times New Roman" w:eastAsia="Calibri" w:hAnsi="Times New Roman"/>
        </w:rPr>
        <w:t xml:space="preserve"> can be seen as a way for people to release emotions, form their identities, and feel a sense of unity with the community</w:t>
      </w:r>
      <w:r w:rsidR="00E65EBB">
        <w:rPr>
          <w:rFonts w:ascii="Times New Roman" w:eastAsia="Calibri" w:hAnsi="Times New Roman"/>
        </w:rPr>
        <w:t xml:space="preserve"> (</w:t>
      </w:r>
      <w:r w:rsidR="00E65EBB" w:rsidRPr="00E65EBB">
        <w:rPr>
          <w:rFonts w:ascii="Times New Roman" w:eastAsia="Calibri" w:hAnsi="Times New Roman"/>
        </w:rPr>
        <w:t xml:space="preserve">Kannan, Y.V., </w:t>
      </w:r>
      <w:r w:rsidR="00E65EBB">
        <w:rPr>
          <w:rFonts w:ascii="Times New Roman" w:eastAsia="Calibri" w:hAnsi="Times New Roman"/>
        </w:rPr>
        <w:t>1</w:t>
      </w:r>
      <w:r w:rsidR="00E65EBB" w:rsidRPr="00E65EBB">
        <w:rPr>
          <w:rFonts w:ascii="Times New Roman" w:eastAsia="Calibri" w:hAnsi="Times New Roman"/>
        </w:rPr>
        <w:t>971)</w:t>
      </w:r>
      <w:r w:rsidRPr="00892E03">
        <w:rPr>
          <w:rFonts w:ascii="Times New Roman" w:eastAsia="Calibri" w:hAnsi="Times New Roman"/>
        </w:rPr>
        <w:t xml:space="preserve">. This paper explores the psychological side of </w:t>
      </w:r>
      <w:proofErr w:type="spellStart"/>
      <w:r w:rsidRPr="00892E03">
        <w:rPr>
          <w:rFonts w:ascii="Times New Roman" w:eastAsia="Calibri" w:hAnsi="Times New Roman"/>
        </w:rPr>
        <w:t>Theyyam</w:t>
      </w:r>
      <w:proofErr w:type="spellEnd"/>
      <w:r w:rsidRPr="00892E03">
        <w:rPr>
          <w:rFonts w:ascii="Times New Roman" w:eastAsia="Calibri" w:hAnsi="Times New Roman"/>
        </w:rPr>
        <w:t xml:space="preserve"> and how it helps people express their feelings and strengthen social harmony</w:t>
      </w:r>
      <w:commentRangeEnd w:id="2"/>
      <w:r w:rsidR="004D082C">
        <w:rPr>
          <w:rStyle w:val="CommentReference"/>
        </w:rPr>
        <w:commentReference w:id="2"/>
      </w:r>
      <w:r w:rsidRPr="00892E03">
        <w:rPr>
          <w:rFonts w:ascii="Times New Roman" w:eastAsia="Calibri" w:hAnsi="Times New Roman"/>
        </w:rPr>
        <w:t>.</w:t>
      </w:r>
    </w:p>
    <w:p w14:paraId="71339FCB" w14:textId="0DED758A" w:rsidR="00886453" w:rsidRPr="00886453" w:rsidRDefault="00886453" w:rsidP="00886453">
      <w:pPr>
        <w:spacing w:line="360" w:lineRule="auto"/>
        <w:jc w:val="center"/>
        <w:rPr>
          <w:rFonts w:ascii="Times New Roman" w:eastAsia="Calibri" w:hAnsi="Times New Roman"/>
          <w:b/>
          <w:bCs/>
          <w:lang w:val="en-US"/>
        </w:rPr>
      </w:pPr>
      <w:r>
        <w:rPr>
          <w:rFonts w:ascii="Times New Roman" w:eastAsia="Calibri" w:hAnsi="Times New Roman"/>
          <w:b/>
          <w:bCs/>
          <w:lang w:val="en-US"/>
        </w:rPr>
        <w:t>Method</w:t>
      </w:r>
    </w:p>
    <w:p w14:paraId="64861D43" w14:textId="07716D90" w:rsidR="00886453" w:rsidRPr="00886453" w:rsidRDefault="00886453" w:rsidP="00886453">
      <w:pPr>
        <w:spacing w:line="360" w:lineRule="auto"/>
        <w:jc w:val="both"/>
        <w:rPr>
          <w:rFonts w:ascii="Times New Roman" w:eastAsia="Calibri" w:hAnsi="Times New Roman"/>
          <w:lang w:val="en-US"/>
        </w:rPr>
      </w:pPr>
      <w:r w:rsidRPr="00886453">
        <w:rPr>
          <w:rFonts w:ascii="Times New Roman" w:eastAsia="Calibri" w:hAnsi="Times New Roman"/>
          <w:lang w:val="en-US"/>
        </w:rPr>
        <w:t xml:space="preserve">This study employs a qualitative, theoretical research design to examine the psychological aspects of </w:t>
      </w:r>
      <w:proofErr w:type="spellStart"/>
      <w:r w:rsidRPr="00886453">
        <w:rPr>
          <w:rFonts w:ascii="Times New Roman" w:eastAsia="Calibri" w:hAnsi="Times New Roman"/>
          <w:lang w:val="en-US"/>
        </w:rPr>
        <w:t>Theyyam</w:t>
      </w:r>
      <w:proofErr w:type="spellEnd"/>
      <w:r w:rsidRPr="00886453">
        <w:rPr>
          <w:rFonts w:ascii="Times New Roman" w:eastAsia="Calibri" w:hAnsi="Times New Roman"/>
          <w:lang w:val="en-US"/>
        </w:rPr>
        <w:t xml:space="preserve">, a ritualistic performance tradition from North Kerala. The research is rooted in an interdisciplinary approach, drawing upon theoretical frameworks from psychology, </w:t>
      </w:r>
      <w:r w:rsidR="00D77716">
        <w:rPr>
          <w:rFonts w:ascii="Times New Roman" w:eastAsia="Calibri" w:hAnsi="Times New Roman"/>
          <w:lang w:val="en-US"/>
        </w:rPr>
        <w:t>history</w:t>
      </w:r>
      <w:r w:rsidRPr="00886453">
        <w:rPr>
          <w:rFonts w:ascii="Times New Roman" w:eastAsia="Calibri" w:hAnsi="Times New Roman"/>
          <w:lang w:val="en-US"/>
        </w:rPr>
        <w:t xml:space="preserve">, and cultural studies to explore the therapeutic and emotional dimensions of the ritual. The central aim </w:t>
      </w:r>
      <w:r w:rsidRPr="00886453">
        <w:rPr>
          <w:rFonts w:ascii="Times New Roman" w:eastAsia="Calibri" w:hAnsi="Times New Roman"/>
          <w:lang w:val="en-US"/>
        </w:rPr>
        <w:lastRenderedPageBreak/>
        <w:t xml:space="preserve">is to interpret </w:t>
      </w:r>
      <w:proofErr w:type="spellStart"/>
      <w:r w:rsidRPr="00886453">
        <w:rPr>
          <w:rFonts w:ascii="Times New Roman" w:eastAsia="Calibri" w:hAnsi="Times New Roman"/>
          <w:lang w:val="en-US"/>
        </w:rPr>
        <w:t>Theyyam</w:t>
      </w:r>
      <w:proofErr w:type="spellEnd"/>
      <w:r w:rsidRPr="00886453">
        <w:rPr>
          <w:rFonts w:ascii="Times New Roman" w:eastAsia="Calibri" w:hAnsi="Times New Roman"/>
          <w:lang w:val="en-US"/>
        </w:rPr>
        <w:t xml:space="preserve"> as a culturally embedded form of psychological healing and emotional expression.</w:t>
      </w:r>
    </w:p>
    <w:p w14:paraId="6B913DDB" w14:textId="40CEDF88" w:rsidR="00886453" w:rsidRDefault="00886453" w:rsidP="0087449C">
      <w:pPr>
        <w:spacing w:line="360" w:lineRule="auto"/>
        <w:jc w:val="both"/>
        <w:rPr>
          <w:rFonts w:ascii="Times New Roman" w:eastAsia="Calibri" w:hAnsi="Times New Roman"/>
          <w:lang w:val="en-US"/>
        </w:rPr>
      </w:pPr>
      <w:r w:rsidRPr="00886453">
        <w:rPr>
          <w:rFonts w:ascii="Times New Roman" w:eastAsia="Calibri" w:hAnsi="Times New Roman"/>
          <w:lang w:val="en-US"/>
        </w:rPr>
        <w:t xml:space="preserve">A comprehensive review of </w:t>
      </w:r>
      <w:r w:rsidR="00500669">
        <w:rPr>
          <w:rFonts w:ascii="Times New Roman" w:eastAsia="Calibri" w:hAnsi="Times New Roman"/>
          <w:lang w:val="en-US"/>
        </w:rPr>
        <w:t>4</w:t>
      </w:r>
      <w:r w:rsidR="00A23067">
        <w:rPr>
          <w:rFonts w:ascii="Times New Roman" w:eastAsia="Calibri" w:hAnsi="Times New Roman"/>
          <w:lang w:val="en-US"/>
        </w:rPr>
        <w:t>0</w:t>
      </w:r>
      <w:r w:rsidRPr="00886453">
        <w:rPr>
          <w:rFonts w:ascii="Times New Roman" w:eastAsia="Calibri" w:hAnsi="Times New Roman"/>
          <w:lang w:val="en-US"/>
        </w:rPr>
        <w:t xml:space="preserve"> scholarly articles was undertaken to build the theoretical foundation of this study. These sources include peer-reviewed journal articles, </w:t>
      </w:r>
      <w:r w:rsidR="00D77716">
        <w:rPr>
          <w:rFonts w:ascii="Times New Roman" w:eastAsia="Calibri" w:hAnsi="Times New Roman"/>
          <w:lang w:val="en-US"/>
        </w:rPr>
        <w:t>books</w:t>
      </w:r>
      <w:r w:rsidRPr="00886453">
        <w:rPr>
          <w:rFonts w:ascii="Times New Roman" w:eastAsia="Calibri" w:hAnsi="Times New Roman"/>
          <w:lang w:val="en-US"/>
        </w:rPr>
        <w:t>, and critical essays that discuss the ritual’s structure, symbolic elements, and its socio-psychological significance. The analysis focuses on integrating classical psychological theories</w:t>
      </w:r>
      <w:r w:rsidR="00D77716">
        <w:rPr>
          <w:rFonts w:ascii="Times New Roman" w:eastAsia="Calibri" w:hAnsi="Times New Roman"/>
          <w:lang w:val="en-US"/>
        </w:rPr>
        <w:t xml:space="preserve"> </w:t>
      </w:r>
      <w:r w:rsidRPr="00886453">
        <w:rPr>
          <w:rFonts w:ascii="Times New Roman" w:eastAsia="Calibri" w:hAnsi="Times New Roman"/>
          <w:lang w:val="en-US"/>
        </w:rPr>
        <w:t>such as Freudian catharsis, Jungian archetypes, and concepts from transpersonal and somatic psychology</w:t>
      </w:r>
      <w:r w:rsidR="00D77716">
        <w:rPr>
          <w:rFonts w:ascii="Times New Roman" w:eastAsia="Calibri" w:hAnsi="Times New Roman"/>
          <w:lang w:val="en-US"/>
        </w:rPr>
        <w:t xml:space="preserve"> </w:t>
      </w:r>
      <w:r w:rsidRPr="00886453">
        <w:rPr>
          <w:rFonts w:ascii="Times New Roman" w:eastAsia="Calibri" w:hAnsi="Times New Roman"/>
          <w:lang w:val="en-US"/>
        </w:rPr>
        <w:t xml:space="preserve">with the lived realities and cultural practices associated with </w:t>
      </w:r>
      <w:proofErr w:type="spellStart"/>
      <w:r w:rsidRPr="00886453">
        <w:rPr>
          <w:rFonts w:ascii="Times New Roman" w:eastAsia="Calibri" w:hAnsi="Times New Roman"/>
          <w:lang w:val="en-US"/>
        </w:rPr>
        <w:t>Theyyam</w:t>
      </w:r>
      <w:proofErr w:type="spellEnd"/>
      <w:r w:rsidRPr="00886453">
        <w:rPr>
          <w:rFonts w:ascii="Times New Roman" w:eastAsia="Calibri" w:hAnsi="Times New Roman"/>
          <w:lang w:val="en-US"/>
        </w:rPr>
        <w:t>.</w:t>
      </w:r>
      <w:r w:rsidR="00D77716">
        <w:rPr>
          <w:rFonts w:ascii="Times New Roman" w:eastAsia="Calibri" w:hAnsi="Times New Roman"/>
          <w:lang w:val="en-US"/>
        </w:rPr>
        <w:t xml:space="preserve"> T</w:t>
      </w:r>
      <w:r w:rsidRPr="00886453">
        <w:rPr>
          <w:rFonts w:ascii="Times New Roman" w:eastAsia="Calibri" w:hAnsi="Times New Roman"/>
          <w:lang w:val="en-US"/>
        </w:rPr>
        <w:t>his study relies on interpretative analysis of existing literature and theoretical discourse. The research design emphasizes the importance of context, particularly the intersection of ritual performance, caste dynamics, and communal participation, to understand how psychological processes such as emotional release, identity transformation, and collective healing are facilitated through the ritual.</w:t>
      </w:r>
      <w:r w:rsidR="00D77716">
        <w:rPr>
          <w:rFonts w:ascii="Times New Roman" w:eastAsia="Calibri" w:hAnsi="Times New Roman"/>
          <w:lang w:val="en-US"/>
        </w:rPr>
        <w:t xml:space="preserve"> </w:t>
      </w:r>
    </w:p>
    <w:p w14:paraId="567BF9E9" w14:textId="46607AD3" w:rsidR="006D11A2" w:rsidRPr="006D11A2" w:rsidRDefault="006D11A2" w:rsidP="006D11A2">
      <w:pPr>
        <w:spacing w:after="0" w:line="360" w:lineRule="auto"/>
        <w:jc w:val="both"/>
        <w:rPr>
          <w:rFonts w:ascii="Times New Roman" w:eastAsia="Calibri" w:hAnsi="Times New Roman"/>
          <w:b/>
          <w:bCs/>
          <w:i/>
          <w:iCs/>
          <w:lang w:val="en-US"/>
        </w:rPr>
      </w:pPr>
      <w:r w:rsidRPr="006D11A2">
        <w:rPr>
          <w:rFonts w:ascii="Times New Roman" w:eastAsia="Calibri" w:hAnsi="Times New Roman"/>
          <w:b/>
          <w:bCs/>
          <w:i/>
          <w:iCs/>
          <w:lang w:val="en-US"/>
        </w:rPr>
        <w:t xml:space="preserve">Table 1: "Core Analytical Themes and Frameworks from Literature on </w:t>
      </w:r>
      <w:proofErr w:type="spellStart"/>
      <w:r w:rsidRPr="006D11A2">
        <w:rPr>
          <w:rFonts w:ascii="Times New Roman" w:eastAsia="Calibri" w:hAnsi="Times New Roman"/>
          <w:b/>
          <w:bCs/>
          <w:i/>
          <w:iCs/>
          <w:lang w:val="en-US"/>
        </w:rPr>
        <w:t>Theyyam</w:t>
      </w:r>
      <w:proofErr w:type="spellEnd"/>
      <w:r w:rsidRPr="006D11A2">
        <w:rPr>
          <w:rFonts w:ascii="Times New Roman" w:eastAsia="Calibri" w:hAnsi="Times New Roman"/>
          <w:b/>
          <w:bCs/>
          <w:i/>
          <w:iCs/>
          <w:lang w:val="en-US"/>
        </w:rPr>
        <w:t>"</w:t>
      </w:r>
    </w:p>
    <w:tbl>
      <w:tblPr>
        <w:tblW w:w="9186"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850"/>
        <w:gridCol w:w="7336"/>
      </w:tblGrid>
      <w:tr w:rsidR="006D11A2" w:rsidRPr="009B7D43" w14:paraId="7D2E53BF" w14:textId="77777777" w:rsidTr="00BE7BBA">
        <w:trPr>
          <w:trHeight w:val="390"/>
          <w:tblHeader/>
          <w:tblCellSpacing w:w="15" w:type="dxa"/>
        </w:trPr>
        <w:tc>
          <w:tcPr>
            <w:tcW w:w="1805" w:type="dxa"/>
            <w:tcBorders>
              <w:top w:val="nil"/>
              <w:bottom w:val="single" w:sz="4" w:space="0" w:color="auto"/>
            </w:tcBorders>
            <w:vAlign w:val="center"/>
            <w:hideMark/>
          </w:tcPr>
          <w:p w14:paraId="41B035F2" w14:textId="77777777" w:rsidR="009B7D43" w:rsidRPr="009B7D43" w:rsidRDefault="009B7D43" w:rsidP="006D11A2">
            <w:pPr>
              <w:spacing w:before="0" w:beforeAutospacing="0" w:line="240" w:lineRule="auto"/>
              <w:jc w:val="both"/>
              <w:rPr>
                <w:rFonts w:ascii="Times New Roman" w:eastAsia="Calibri" w:hAnsi="Times New Roman"/>
                <w:b/>
                <w:bCs/>
                <w:lang w:val="en-US"/>
              </w:rPr>
            </w:pPr>
            <w:r w:rsidRPr="009B7D43">
              <w:rPr>
                <w:rFonts w:ascii="Times New Roman" w:eastAsia="Calibri" w:hAnsi="Times New Roman"/>
                <w:b/>
                <w:bCs/>
                <w:lang w:val="en-US"/>
              </w:rPr>
              <w:t>Variable</w:t>
            </w:r>
          </w:p>
        </w:tc>
        <w:tc>
          <w:tcPr>
            <w:tcW w:w="7291" w:type="dxa"/>
            <w:tcBorders>
              <w:top w:val="nil"/>
              <w:bottom w:val="single" w:sz="4" w:space="0" w:color="auto"/>
            </w:tcBorders>
            <w:vAlign w:val="center"/>
            <w:hideMark/>
          </w:tcPr>
          <w:p w14:paraId="2012680C" w14:textId="77777777" w:rsidR="009B7D43" w:rsidRPr="009B7D43" w:rsidRDefault="009B7D43" w:rsidP="006D11A2">
            <w:pPr>
              <w:spacing w:before="0" w:beforeAutospacing="0" w:line="240" w:lineRule="auto"/>
              <w:jc w:val="both"/>
              <w:rPr>
                <w:rFonts w:ascii="Times New Roman" w:eastAsia="Calibri" w:hAnsi="Times New Roman"/>
                <w:b/>
                <w:bCs/>
                <w:lang w:val="en-US"/>
              </w:rPr>
            </w:pPr>
            <w:r w:rsidRPr="009B7D43">
              <w:rPr>
                <w:rFonts w:ascii="Times New Roman" w:eastAsia="Calibri" w:hAnsi="Times New Roman"/>
                <w:b/>
                <w:bCs/>
                <w:lang w:val="en-US"/>
              </w:rPr>
              <w:t>Description</w:t>
            </w:r>
          </w:p>
        </w:tc>
      </w:tr>
      <w:tr w:rsidR="009B7D43" w:rsidRPr="009B7D43" w14:paraId="39FE82F7" w14:textId="77777777" w:rsidTr="00BE7BBA">
        <w:trPr>
          <w:trHeight w:val="626"/>
          <w:tblCellSpacing w:w="15" w:type="dxa"/>
        </w:trPr>
        <w:tc>
          <w:tcPr>
            <w:tcW w:w="1805" w:type="dxa"/>
            <w:vAlign w:val="center"/>
            <w:hideMark/>
          </w:tcPr>
          <w:p w14:paraId="754FB9D9"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Thematic Focus</w:t>
            </w:r>
          </w:p>
        </w:tc>
        <w:tc>
          <w:tcPr>
            <w:tcW w:w="7291" w:type="dxa"/>
            <w:vAlign w:val="center"/>
            <w:hideMark/>
          </w:tcPr>
          <w:p w14:paraId="0E99B697" w14:textId="3558551E"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Topics such as ritual structure, symbolism, psychological healing, caste dynamics, mythology.</w:t>
            </w:r>
          </w:p>
        </w:tc>
      </w:tr>
      <w:tr w:rsidR="009B7D43" w:rsidRPr="009B7D43" w14:paraId="55B46C59" w14:textId="77777777" w:rsidTr="00BE7BBA">
        <w:trPr>
          <w:trHeight w:val="626"/>
          <w:tblCellSpacing w:w="15" w:type="dxa"/>
        </w:trPr>
        <w:tc>
          <w:tcPr>
            <w:tcW w:w="1805" w:type="dxa"/>
            <w:vAlign w:val="center"/>
            <w:hideMark/>
          </w:tcPr>
          <w:p w14:paraId="73F31BD6"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Disciplinary Lens</w:t>
            </w:r>
          </w:p>
        </w:tc>
        <w:tc>
          <w:tcPr>
            <w:tcW w:w="7291" w:type="dxa"/>
            <w:vAlign w:val="center"/>
            <w:hideMark/>
          </w:tcPr>
          <w:p w14:paraId="507FE657" w14:textId="3335FF08"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Insights from psychology, folklore studies, history, and performance studies.</w:t>
            </w:r>
          </w:p>
        </w:tc>
      </w:tr>
      <w:tr w:rsidR="009B7D43" w:rsidRPr="009B7D43" w14:paraId="74053509" w14:textId="77777777" w:rsidTr="00BE7BBA">
        <w:trPr>
          <w:trHeight w:val="626"/>
          <w:tblCellSpacing w:w="15" w:type="dxa"/>
        </w:trPr>
        <w:tc>
          <w:tcPr>
            <w:tcW w:w="1805" w:type="dxa"/>
            <w:vAlign w:val="center"/>
            <w:hideMark/>
          </w:tcPr>
          <w:p w14:paraId="05AD7CE2"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Theoretical Framework</w:t>
            </w:r>
          </w:p>
        </w:tc>
        <w:tc>
          <w:tcPr>
            <w:tcW w:w="7291" w:type="dxa"/>
            <w:vAlign w:val="center"/>
            <w:hideMark/>
          </w:tcPr>
          <w:p w14:paraId="6B9CA8D0"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Includes Freudian catharsis, Jungian archetypes, psychodrama, transpersonal and somatic psychology.</w:t>
            </w:r>
          </w:p>
        </w:tc>
      </w:tr>
      <w:tr w:rsidR="009B7D43" w:rsidRPr="009B7D43" w14:paraId="3D5891BF" w14:textId="77777777" w:rsidTr="00BE7BBA">
        <w:trPr>
          <w:trHeight w:val="636"/>
          <w:tblCellSpacing w:w="15" w:type="dxa"/>
        </w:trPr>
        <w:tc>
          <w:tcPr>
            <w:tcW w:w="1805" w:type="dxa"/>
            <w:vAlign w:val="center"/>
            <w:hideMark/>
          </w:tcPr>
          <w:p w14:paraId="06D095AE" w14:textId="77777777"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b/>
                <w:bCs/>
                <w:lang w:val="en-US"/>
              </w:rPr>
              <w:t>Methodological Approach</w:t>
            </w:r>
          </w:p>
        </w:tc>
        <w:tc>
          <w:tcPr>
            <w:tcW w:w="7291" w:type="dxa"/>
            <w:vAlign w:val="center"/>
            <w:hideMark/>
          </w:tcPr>
          <w:p w14:paraId="0B0AEDFC" w14:textId="14354F28" w:rsidR="009B7D43" w:rsidRPr="009B7D43" w:rsidRDefault="009B7D43" w:rsidP="006D11A2">
            <w:pPr>
              <w:spacing w:before="0" w:beforeAutospacing="0" w:line="240" w:lineRule="auto"/>
              <w:jc w:val="both"/>
              <w:rPr>
                <w:rFonts w:ascii="Times New Roman" w:eastAsia="Calibri" w:hAnsi="Times New Roman"/>
                <w:lang w:val="en-US"/>
              </w:rPr>
            </w:pPr>
            <w:r w:rsidRPr="009B7D43">
              <w:rPr>
                <w:rFonts w:ascii="Times New Roman" w:eastAsia="Calibri" w:hAnsi="Times New Roman"/>
                <w:lang w:val="en-US"/>
              </w:rPr>
              <w:t>Theoretical, historical, literary analysis, discourse analysis.</w:t>
            </w:r>
          </w:p>
        </w:tc>
      </w:tr>
      <w:tr w:rsidR="009B7D43" w:rsidRPr="009B7D43" w14:paraId="0239F063" w14:textId="77777777" w:rsidTr="00BE7BBA">
        <w:trPr>
          <w:trHeight w:val="626"/>
          <w:tblCellSpacing w:w="15" w:type="dxa"/>
        </w:trPr>
        <w:tc>
          <w:tcPr>
            <w:tcW w:w="1805" w:type="dxa"/>
            <w:vAlign w:val="center"/>
            <w:hideMark/>
          </w:tcPr>
          <w:p w14:paraId="09DC24E1"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b/>
                <w:bCs/>
                <w:lang w:val="en-US"/>
              </w:rPr>
              <w:t>Geographical &amp; Cultural Context</w:t>
            </w:r>
          </w:p>
        </w:tc>
        <w:tc>
          <w:tcPr>
            <w:tcW w:w="7291" w:type="dxa"/>
            <w:vAlign w:val="center"/>
            <w:hideMark/>
          </w:tcPr>
          <w:p w14:paraId="5D7F9312"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lang w:val="en-US"/>
              </w:rPr>
              <w:t xml:space="preserve">Primarily focuses on North Kerala, contextualizing </w:t>
            </w:r>
            <w:proofErr w:type="spellStart"/>
            <w:r w:rsidRPr="009B7D43">
              <w:rPr>
                <w:rFonts w:ascii="Times New Roman" w:eastAsia="Calibri" w:hAnsi="Times New Roman"/>
                <w:lang w:val="en-US"/>
              </w:rPr>
              <w:t>Theyyam</w:t>
            </w:r>
            <w:proofErr w:type="spellEnd"/>
            <w:r w:rsidRPr="009B7D43">
              <w:rPr>
                <w:rFonts w:ascii="Times New Roman" w:eastAsia="Calibri" w:hAnsi="Times New Roman"/>
                <w:lang w:val="en-US"/>
              </w:rPr>
              <w:t xml:space="preserve"> within local traditions and communities.</w:t>
            </w:r>
          </w:p>
        </w:tc>
      </w:tr>
      <w:tr w:rsidR="009B7D43" w:rsidRPr="009B7D43" w14:paraId="48795361" w14:textId="77777777" w:rsidTr="00BE7BBA">
        <w:trPr>
          <w:trHeight w:val="626"/>
          <w:tblCellSpacing w:w="15" w:type="dxa"/>
        </w:trPr>
        <w:tc>
          <w:tcPr>
            <w:tcW w:w="1805" w:type="dxa"/>
            <w:vAlign w:val="center"/>
            <w:hideMark/>
          </w:tcPr>
          <w:p w14:paraId="03C7A716"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b/>
                <w:bCs/>
                <w:lang w:val="en-US"/>
              </w:rPr>
              <w:t>Population Studied</w:t>
            </w:r>
          </w:p>
        </w:tc>
        <w:tc>
          <w:tcPr>
            <w:tcW w:w="7291" w:type="dxa"/>
            <w:vAlign w:val="center"/>
            <w:hideMark/>
          </w:tcPr>
          <w:p w14:paraId="1D61B56A" w14:textId="79E0285A" w:rsidR="009B7D43" w:rsidRPr="009B7D43" w:rsidRDefault="009B7D43" w:rsidP="009B7D43">
            <w:pPr>
              <w:spacing w:line="240" w:lineRule="auto"/>
              <w:jc w:val="both"/>
              <w:rPr>
                <w:rFonts w:ascii="Times New Roman" w:eastAsia="Calibri" w:hAnsi="Times New Roman"/>
                <w:lang w:val="en-US"/>
              </w:rPr>
            </w:pPr>
            <w:proofErr w:type="spellStart"/>
            <w:r w:rsidRPr="009B7D43">
              <w:rPr>
                <w:rFonts w:ascii="Times New Roman" w:eastAsia="Calibri" w:hAnsi="Times New Roman"/>
                <w:lang w:val="en-US"/>
              </w:rPr>
              <w:t>Theyyam</w:t>
            </w:r>
            <w:proofErr w:type="spellEnd"/>
            <w:r w:rsidRPr="009B7D43">
              <w:rPr>
                <w:rFonts w:ascii="Times New Roman" w:eastAsia="Calibri" w:hAnsi="Times New Roman"/>
                <w:lang w:val="en-US"/>
              </w:rPr>
              <w:t xml:space="preserve"> performers, community participants, marginalized castes, ritual experts</w:t>
            </w:r>
            <w:r w:rsidR="006D11A2">
              <w:rPr>
                <w:rFonts w:ascii="Times New Roman" w:eastAsia="Calibri" w:hAnsi="Times New Roman"/>
                <w:lang w:val="en-US"/>
              </w:rPr>
              <w:t>.</w:t>
            </w:r>
          </w:p>
        </w:tc>
      </w:tr>
      <w:tr w:rsidR="006D11A2" w:rsidRPr="009B7D43" w14:paraId="2D4677F0" w14:textId="77777777" w:rsidTr="00BE7BBA">
        <w:trPr>
          <w:trHeight w:val="626"/>
          <w:tblCellSpacing w:w="15" w:type="dxa"/>
        </w:trPr>
        <w:tc>
          <w:tcPr>
            <w:tcW w:w="1805" w:type="dxa"/>
            <w:tcBorders>
              <w:bottom w:val="single" w:sz="4" w:space="0" w:color="auto"/>
            </w:tcBorders>
            <w:vAlign w:val="center"/>
            <w:hideMark/>
          </w:tcPr>
          <w:p w14:paraId="71807D73"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b/>
                <w:bCs/>
                <w:lang w:val="en-US"/>
              </w:rPr>
              <w:t>Key Findings/Insights</w:t>
            </w:r>
          </w:p>
        </w:tc>
        <w:tc>
          <w:tcPr>
            <w:tcW w:w="7291" w:type="dxa"/>
            <w:tcBorders>
              <w:bottom w:val="single" w:sz="4" w:space="0" w:color="auto"/>
            </w:tcBorders>
            <w:vAlign w:val="center"/>
            <w:hideMark/>
          </w:tcPr>
          <w:p w14:paraId="695998C4" w14:textId="77777777" w:rsidR="009B7D43" w:rsidRPr="009B7D43" w:rsidRDefault="009B7D43" w:rsidP="009B7D43">
            <w:pPr>
              <w:spacing w:line="240" w:lineRule="auto"/>
              <w:jc w:val="both"/>
              <w:rPr>
                <w:rFonts w:ascii="Times New Roman" w:eastAsia="Calibri" w:hAnsi="Times New Roman"/>
                <w:lang w:val="en-US"/>
              </w:rPr>
            </w:pPr>
            <w:r w:rsidRPr="009B7D43">
              <w:rPr>
                <w:rFonts w:ascii="Times New Roman" w:eastAsia="Calibri" w:hAnsi="Times New Roman"/>
                <w:lang w:val="en-US"/>
              </w:rPr>
              <w:t>Psychological transformation, emotional release, resistance, empowerment, cultural preservation.</w:t>
            </w:r>
          </w:p>
        </w:tc>
      </w:tr>
    </w:tbl>
    <w:p w14:paraId="138BC71C" w14:textId="4985DCC2" w:rsidR="009B7D43" w:rsidRPr="00BE7BBA" w:rsidRDefault="007D2D5C" w:rsidP="00BE7BBA">
      <w:pPr>
        <w:spacing w:line="360" w:lineRule="auto"/>
        <w:jc w:val="center"/>
        <w:rPr>
          <w:rFonts w:ascii="Times New Roman" w:eastAsia="Calibri" w:hAnsi="Times New Roman"/>
          <w:b/>
          <w:bCs/>
          <w:lang w:val="en-US"/>
        </w:rPr>
      </w:pPr>
      <w:r>
        <w:rPr>
          <w:rFonts w:ascii="Times New Roman" w:eastAsia="Calibri" w:hAnsi="Times New Roman"/>
          <w:b/>
          <w:bCs/>
          <w:lang w:val="en-US"/>
        </w:rPr>
        <w:t xml:space="preserve">Results and </w:t>
      </w:r>
      <w:r w:rsidR="00BE7BBA" w:rsidRPr="00D77716">
        <w:rPr>
          <w:rFonts w:ascii="Times New Roman" w:eastAsia="Calibri" w:hAnsi="Times New Roman"/>
          <w:b/>
          <w:bCs/>
          <w:lang w:val="en-US"/>
        </w:rPr>
        <w:t>Discussion</w:t>
      </w:r>
    </w:p>
    <w:p w14:paraId="2B02176C" w14:textId="314347C3" w:rsidR="009F3EC7" w:rsidRPr="00A23067" w:rsidRDefault="009F3EC7" w:rsidP="00500669">
      <w:pPr>
        <w:spacing w:after="0" w:line="240" w:lineRule="auto"/>
        <w:jc w:val="both"/>
        <w:rPr>
          <w:rFonts w:ascii="Times New Roman" w:eastAsia="Calibri" w:hAnsi="Times New Roman"/>
          <w:b/>
          <w:bCs/>
          <w:i/>
          <w:iCs/>
          <w:lang w:val="en-US"/>
        </w:rPr>
      </w:pPr>
      <w:commentRangeStart w:id="3"/>
      <w:r w:rsidRPr="00A23067">
        <w:rPr>
          <w:rFonts w:ascii="Times New Roman" w:eastAsia="Calibri" w:hAnsi="Times New Roman"/>
          <w:b/>
          <w:bCs/>
          <w:i/>
          <w:iCs/>
          <w:lang w:val="en-US"/>
        </w:rPr>
        <w:lastRenderedPageBreak/>
        <w:t xml:space="preserve">Table </w:t>
      </w:r>
      <w:r w:rsidR="00BE7BBA">
        <w:rPr>
          <w:rFonts w:ascii="Times New Roman" w:eastAsia="Calibri" w:hAnsi="Times New Roman"/>
          <w:b/>
          <w:bCs/>
          <w:i/>
          <w:iCs/>
          <w:lang w:val="en-US"/>
        </w:rPr>
        <w:t>2</w:t>
      </w:r>
      <w:r w:rsidRPr="00A23067">
        <w:rPr>
          <w:rFonts w:ascii="Times New Roman" w:eastAsia="Calibri" w:hAnsi="Times New Roman"/>
          <w:b/>
          <w:bCs/>
          <w:i/>
          <w:iCs/>
          <w:lang w:val="en-US"/>
        </w:rPr>
        <w:t xml:space="preserve">: </w:t>
      </w:r>
      <w:r w:rsidR="00500669" w:rsidRPr="00A23067">
        <w:rPr>
          <w:rFonts w:ascii="Times New Roman" w:eastAsia="Calibri" w:hAnsi="Times New Roman"/>
          <w:b/>
          <w:bCs/>
          <w:i/>
          <w:iCs/>
        </w:rPr>
        <w:t xml:space="preserve">Summary of Reviewed Literature on Cultural and Psychological Dimensions of </w:t>
      </w:r>
      <w:proofErr w:type="spellStart"/>
      <w:r w:rsidR="00500669" w:rsidRPr="00A23067">
        <w:rPr>
          <w:rFonts w:ascii="Times New Roman" w:eastAsia="Calibri" w:hAnsi="Times New Roman"/>
          <w:b/>
          <w:bCs/>
          <w:i/>
          <w:iCs/>
        </w:rPr>
        <w:t>Theyyam</w:t>
      </w:r>
      <w:proofErr w:type="spellEnd"/>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520"/>
        <w:gridCol w:w="4860"/>
        <w:gridCol w:w="1980"/>
      </w:tblGrid>
      <w:tr w:rsidR="00FC519D" w:rsidRPr="00FC519D" w14:paraId="2B6E12DC" w14:textId="77777777" w:rsidTr="00500669">
        <w:trPr>
          <w:tblHeader/>
          <w:tblCellSpacing w:w="15" w:type="dxa"/>
        </w:trPr>
        <w:tc>
          <w:tcPr>
            <w:tcW w:w="2475" w:type="dxa"/>
            <w:tcBorders>
              <w:top w:val="nil"/>
              <w:bottom w:val="single" w:sz="4" w:space="0" w:color="auto"/>
            </w:tcBorders>
            <w:vAlign w:val="center"/>
            <w:hideMark/>
          </w:tcPr>
          <w:p w14:paraId="6CB298D9" w14:textId="77777777" w:rsidR="00FC519D" w:rsidRPr="00FC519D" w:rsidRDefault="00FC519D" w:rsidP="00500669">
            <w:pPr>
              <w:spacing w:before="0" w:beforeAutospacing="0" w:after="0" w:line="240" w:lineRule="auto"/>
              <w:jc w:val="both"/>
              <w:rPr>
                <w:rFonts w:ascii="Times New Roman" w:eastAsia="Calibri" w:hAnsi="Times New Roman"/>
                <w:b/>
                <w:bCs/>
                <w:lang w:val="en-US"/>
              </w:rPr>
            </w:pPr>
            <w:r w:rsidRPr="00FC519D">
              <w:rPr>
                <w:rFonts w:ascii="Times New Roman" w:eastAsia="Calibri" w:hAnsi="Times New Roman"/>
                <w:b/>
                <w:bCs/>
                <w:lang w:val="en-US"/>
              </w:rPr>
              <w:t>Author(s) and Year</w:t>
            </w:r>
          </w:p>
        </w:tc>
        <w:tc>
          <w:tcPr>
            <w:tcW w:w="4830" w:type="dxa"/>
            <w:tcBorders>
              <w:top w:val="nil"/>
              <w:bottom w:val="single" w:sz="4" w:space="0" w:color="auto"/>
            </w:tcBorders>
            <w:vAlign w:val="center"/>
            <w:hideMark/>
          </w:tcPr>
          <w:p w14:paraId="1A9E9E2B" w14:textId="77777777" w:rsidR="00FC519D" w:rsidRPr="00FC519D" w:rsidRDefault="00FC519D" w:rsidP="00500669">
            <w:pPr>
              <w:spacing w:before="0" w:beforeAutospacing="0" w:after="0" w:line="240" w:lineRule="auto"/>
              <w:jc w:val="both"/>
              <w:rPr>
                <w:rFonts w:ascii="Times New Roman" w:eastAsia="Calibri" w:hAnsi="Times New Roman"/>
                <w:b/>
                <w:bCs/>
                <w:lang w:val="en-US"/>
              </w:rPr>
            </w:pPr>
            <w:r w:rsidRPr="00FC519D">
              <w:rPr>
                <w:rFonts w:ascii="Times New Roman" w:eastAsia="Calibri" w:hAnsi="Times New Roman"/>
                <w:b/>
                <w:bCs/>
                <w:lang w:val="en-US"/>
              </w:rPr>
              <w:t>Focus Area</w:t>
            </w:r>
          </w:p>
        </w:tc>
        <w:tc>
          <w:tcPr>
            <w:tcW w:w="1935" w:type="dxa"/>
            <w:tcBorders>
              <w:top w:val="nil"/>
              <w:bottom w:val="single" w:sz="4" w:space="0" w:color="auto"/>
            </w:tcBorders>
            <w:vAlign w:val="center"/>
            <w:hideMark/>
          </w:tcPr>
          <w:p w14:paraId="5226894C" w14:textId="77777777" w:rsidR="00FC519D" w:rsidRPr="00FC519D" w:rsidRDefault="00FC519D" w:rsidP="00500669">
            <w:pPr>
              <w:spacing w:before="0" w:beforeAutospacing="0" w:after="0" w:line="240" w:lineRule="auto"/>
              <w:jc w:val="both"/>
              <w:rPr>
                <w:rFonts w:ascii="Times New Roman" w:eastAsia="Calibri" w:hAnsi="Times New Roman"/>
                <w:b/>
                <w:bCs/>
                <w:lang w:val="en-US"/>
              </w:rPr>
            </w:pPr>
            <w:r w:rsidRPr="00FC519D">
              <w:rPr>
                <w:rFonts w:ascii="Times New Roman" w:eastAsia="Calibri" w:hAnsi="Times New Roman"/>
                <w:b/>
                <w:bCs/>
                <w:lang w:val="en-US"/>
              </w:rPr>
              <w:t>Theoretical Contribution</w:t>
            </w:r>
          </w:p>
        </w:tc>
      </w:tr>
      <w:tr w:rsidR="00FC519D" w:rsidRPr="00FC519D" w14:paraId="5398D165" w14:textId="77777777" w:rsidTr="00500669">
        <w:trPr>
          <w:tblCellSpacing w:w="15" w:type="dxa"/>
        </w:trPr>
        <w:tc>
          <w:tcPr>
            <w:tcW w:w="2475" w:type="dxa"/>
            <w:vAlign w:val="center"/>
            <w:hideMark/>
          </w:tcPr>
          <w:p w14:paraId="38D64B2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 S. J., &amp; M., S. (2024)</w:t>
            </w:r>
          </w:p>
        </w:tc>
        <w:tc>
          <w:tcPr>
            <w:tcW w:w="4830" w:type="dxa"/>
            <w:vAlign w:val="center"/>
            <w:hideMark/>
          </w:tcPr>
          <w:p w14:paraId="100CF63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Representation of </w:t>
            </w: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in popular culture</w:t>
            </w:r>
          </w:p>
        </w:tc>
        <w:tc>
          <w:tcPr>
            <w:tcW w:w="1935" w:type="dxa"/>
            <w:vAlign w:val="center"/>
            <w:hideMark/>
          </w:tcPr>
          <w:p w14:paraId="5C4EBC40"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theory</w:t>
            </w:r>
          </w:p>
        </w:tc>
      </w:tr>
      <w:tr w:rsidR="00FC519D" w:rsidRPr="00FC519D" w14:paraId="2EBEEC7A" w14:textId="77777777" w:rsidTr="00500669">
        <w:trPr>
          <w:tblCellSpacing w:w="15" w:type="dxa"/>
        </w:trPr>
        <w:tc>
          <w:tcPr>
            <w:tcW w:w="2475" w:type="dxa"/>
            <w:vAlign w:val="center"/>
            <w:hideMark/>
          </w:tcPr>
          <w:p w14:paraId="28A5E9F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Boddy, J. (1994)</w:t>
            </w:r>
          </w:p>
        </w:tc>
        <w:tc>
          <w:tcPr>
            <w:tcW w:w="4830" w:type="dxa"/>
            <w:vAlign w:val="center"/>
            <w:hideMark/>
          </w:tcPr>
          <w:p w14:paraId="000E174E"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Spirit possession and anthropological perspectives</w:t>
            </w:r>
          </w:p>
        </w:tc>
        <w:tc>
          <w:tcPr>
            <w:tcW w:w="1935" w:type="dxa"/>
            <w:vAlign w:val="center"/>
            <w:hideMark/>
          </w:tcPr>
          <w:p w14:paraId="37A0CC00"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Anthropology of spirit possession</w:t>
            </w:r>
          </w:p>
        </w:tc>
      </w:tr>
      <w:tr w:rsidR="00FC519D" w:rsidRPr="00FC519D" w14:paraId="09421FC0" w14:textId="77777777" w:rsidTr="00500669">
        <w:trPr>
          <w:tblCellSpacing w:w="15" w:type="dxa"/>
        </w:trPr>
        <w:tc>
          <w:tcPr>
            <w:tcW w:w="2475" w:type="dxa"/>
            <w:vAlign w:val="center"/>
            <w:hideMark/>
          </w:tcPr>
          <w:p w14:paraId="6D82C89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Bourguignon, E. (2004)</w:t>
            </w:r>
          </w:p>
        </w:tc>
        <w:tc>
          <w:tcPr>
            <w:tcW w:w="4830" w:type="dxa"/>
            <w:vAlign w:val="center"/>
            <w:hideMark/>
          </w:tcPr>
          <w:p w14:paraId="4D55C1D0"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Trance and healing among women</w:t>
            </w:r>
          </w:p>
        </w:tc>
        <w:tc>
          <w:tcPr>
            <w:tcW w:w="1935" w:type="dxa"/>
            <w:vAlign w:val="center"/>
            <w:hideMark/>
          </w:tcPr>
          <w:p w14:paraId="6DF91FB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Gender and healing</w:t>
            </w:r>
          </w:p>
        </w:tc>
      </w:tr>
      <w:tr w:rsidR="00FC519D" w:rsidRPr="00FC519D" w14:paraId="037DAA23" w14:textId="77777777" w:rsidTr="00500669">
        <w:trPr>
          <w:tblCellSpacing w:w="15" w:type="dxa"/>
        </w:trPr>
        <w:tc>
          <w:tcPr>
            <w:tcW w:w="2475" w:type="dxa"/>
            <w:vAlign w:val="center"/>
            <w:hideMark/>
          </w:tcPr>
          <w:p w14:paraId="48C8B6D5" w14:textId="77777777" w:rsidR="00FC519D" w:rsidRPr="00FC519D" w:rsidRDefault="00FC519D" w:rsidP="00500669">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Chandera</w:t>
            </w:r>
            <w:proofErr w:type="spellEnd"/>
            <w:r w:rsidRPr="00FC519D">
              <w:rPr>
                <w:rFonts w:ascii="Times New Roman" w:eastAsia="Calibri" w:hAnsi="Times New Roman"/>
                <w:lang w:val="en-US"/>
              </w:rPr>
              <w:t xml:space="preserve"> C M S (1978)</w:t>
            </w:r>
          </w:p>
        </w:tc>
        <w:tc>
          <w:tcPr>
            <w:tcW w:w="4830" w:type="dxa"/>
            <w:vAlign w:val="center"/>
            <w:hideMark/>
          </w:tcPr>
          <w:p w14:paraId="571AD80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Traditional insights on </w:t>
            </w:r>
            <w:proofErr w:type="spellStart"/>
            <w:r w:rsidRPr="00FC519D">
              <w:rPr>
                <w:rFonts w:ascii="Times New Roman" w:eastAsia="Calibri" w:hAnsi="Times New Roman"/>
                <w:lang w:val="en-US"/>
              </w:rPr>
              <w:t>Theyyam</w:t>
            </w:r>
            <w:proofErr w:type="spellEnd"/>
          </w:p>
        </w:tc>
        <w:tc>
          <w:tcPr>
            <w:tcW w:w="1935" w:type="dxa"/>
            <w:vAlign w:val="center"/>
            <w:hideMark/>
          </w:tcPr>
          <w:p w14:paraId="3BDF6049"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documentation</w:t>
            </w:r>
          </w:p>
        </w:tc>
      </w:tr>
      <w:tr w:rsidR="00FC519D" w:rsidRPr="00FC519D" w14:paraId="0F14E1C7" w14:textId="77777777" w:rsidTr="00500669">
        <w:trPr>
          <w:tblCellSpacing w:w="15" w:type="dxa"/>
        </w:trPr>
        <w:tc>
          <w:tcPr>
            <w:tcW w:w="2475" w:type="dxa"/>
            <w:vAlign w:val="center"/>
            <w:hideMark/>
          </w:tcPr>
          <w:p w14:paraId="06F4BD7C"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Chandran, S. M. (2016)</w:t>
            </w:r>
          </w:p>
        </w:tc>
        <w:tc>
          <w:tcPr>
            <w:tcW w:w="4830" w:type="dxa"/>
            <w:vAlign w:val="center"/>
            <w:hideMark/>
          </w:tcPr>
          <w:p w14:paraId="7615FD6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Symbolic narrative in </w:t>
            </w: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myths</w:t>
            </w:r>
          </w:p>
        </w:tc>
        <w:tc>
          <w:tcPr>
            <w:tcW w:w="1935" w:type="dxa"/>
            <w:vAlign w:val="center"/>
            <w:hideMark/>
          </w:tcPr>
          <w:p w14:paraId="44A87EC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Myth and psychology</w:t>
            </w:r>
          </w:p>
        </w:tc>
      </w:tr>
      <w:tr w:rsidR="00FC519D" w:rsidRPr="00FC519D" w14:paraId="4356AE69" w14:textId="77777777" w:rsidTr="00500669">
        <w:trPr>
          <w:tblCellSpacing w:w="15" w:type="dxa"/>
        </w:trPr>
        <w:tc>
          <w:tcPr>
            <w:tcW w:w="2475" w:type="dxa"/>
            <w:vAlign w:val="center"/>
            <w:hideMark/>
          </w:tcPr>
          <w:p w14:paraId="2F265354" w14:textId="77777777" w:rsidR="00FC519D" w:rsidRPr="00FC519D" w:rsidRDefault="00FC519D" w:rsidP="00500669">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Chendera</w:t>
            </w:r>
            <w:proofErr w:type="spellEnd"/>
            <w:r w:rsidRPr="00FC519D">
              <w:rPr>
                <w:rFonts w:ascii="Times New Roman" w:eastAsia="Calibri" w:hAnsi="Times New Roman"/>
                <w:lang w:val="en-US"/>
              </w:rPr>
              <w:t>, C. M S. (2004)</w:t>
            </w:r>
          </w:p>
        </w:tc>
        <w:tc>
          <w:tcPr>
            <w:tcW w:w="4830" w:type="dxa"/>
            <w:vAlign w:val="center"/>
            <w:hideMark/>
          </w:tcPr>
          <w:p w14:paraId="6C5794A8"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Origins and evolution of </w:t>
            </w:r>
            <w:proofErr w:type="spellStart"/>
            <w:r w:rsidRPr="00FC519D">
              <w:rPr>
                <w:rFonts w:ascii="Times New Roman" w:eastAsia="Calibri" w:hAnsi="Times New Roman"/>
                <w:lang w:val="en-US"/>
              </w:rPr>
              <w:t>Theyyam</w:t>
            </w:r>
            <w:proofErr w:type="spellEnd"/>
          </w:p>
        </w:tc>
        <w:tc>
          <w:tcPr>
            <w:tcW w:w="1935" w:type="dxa"/>
            <w:vAlign w:val="center"/>
            <w:hideMark/>
          </w:tcPr>
          <w:p w14:paraId="76EED462"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evolution</w:t>
            </w:r>
          </w:p>
        </w:tc>
      </w:tr>
      <w:tr w:rsidR="00FC519D" w:rsidRPr="00FC519D" w14:paraId="534A7941" w14:textId="77777777" w:rsidTr="00500669">
        <w:trPr>
          <w:tblCellSpacing w:w="15" w:type="dxa"/>
        </w:trPr>
        <w:tc>
          <w:tcPr>
            <w:tcW w:w="2475" w:type="dxa"/>
            <w:vAlign w:val="center"/>
            <w:hideMark/>
          </w:tcPr>
          <w:p w14:paraId="6F6DC0E4"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Damodaran M P. (1998)</w:t>
            </w:r>
          </w:p>
        </w:tc>
        <w:tc>
          <w:tcPr>
            <w:tcW w:w="4830" w:type="dxa"/>
            <w:vAlign w:val="center"/>
            <w:hideMark/>
          </w:tcPr>
          <w:p w14:paraId="608DE75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role of Malayan community</w:t>
            </w:r>
          </w:p>
        </w:tc>
        <w:tc>
          <w:tcPr>
            <w:tcW w:w="1935" w:type="dxa"/>
            <w:vAlign w:val="center"/>
            <w:hideMark/>
          </w:tcPr>
          <w:p w14:paraId="3EF18A1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 and ritual linkages</w:t>
            </w:r>
          </w:p>
        </w:tc>
      </w:tr>
      <w:tr w:rsidR="00FC519D" w:rsidRPr="00FC519D" w14:paraId="65A13A58" w14:textId="77777777" w:rsidTr="00500669">
        <w:trPr>
          <w:tblCellSpacing w:w="15" w:type="dxa"/>
        </w:trPr>
        <w:tc>
          <w:tcPr>
            <w:tcW w:w="2475" w:type="dxa"/>
            <w:vAlign w:val="center"/>
            <w:hideMark/>
          </w:tcPr>
          <w:p w14:paraId="6B1A8C9A"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Damodaran, M. (2008)</w:t>
            </w:r>
          </w:p>
        </w:tc>
        <w:tc>
          <w:tcPr>
            <w:tcW w:w="4830" w:type="dxa"/>
            <w:vAlign w:val="center"/>
            <w:hideMark/>
          </w:tcPr>
          <w:p w14:paraId="7490CF8D" w14:textId="77777777" w:rsidR="00FC519D" w:rsidRPr="00FC519D" w:rsidRDefault="00FC519D" w:rsidP="00500669">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and historical reconstruction</w:t>
            </w:r>
          </w:p>
        </w:tc>
        <w:tc>
          <w:tcPr>
            <w:tcW w:w="1935" w:type="dxa"/>
            <w:vAlign w:val="center"/>
            <w:hideMark/>
          </w:tcPr>
          <w:p w14:paraId="72774BB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anthropology</w:t>
            </w:r>
          </w:p>
        </w:tc>
      </w:tr>
      <w:tr w:rsidR="00FC519D" w:rsidRPr="00FC519D" w14:paraId="4287C028" w14:textId="77777777" w:rsidTr="00500669">
        <w:trPr>
          <w:tblCellSpacing w:w="15" w:type="dxa"/>
        </w:trPr>
        <w:tc>
          <w:tcPr>
            <w:tcW w:w="2475" w:type="dxa"/>
            <w:vAlign w:val="center"/>
            <w:hideMark/>
          </w:tcPr>
          <w:p w14:paraId="75483415"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Dasan, M. (2012)</w:t>
            </w:r>
          </w:p>
        </w:tc>
        <w:tc>
          <w:tcPr>
            <w:tcW w:w="4830" w:type="dxa"/>
            <w:vAlign w:val="center"/>
            <w:hideMark/>
          </w:tcPr>
          <w:p w14:paraId="6E02FBF8"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Power and appropriation in </w:t>
            </w:r>
            <w:proofErr w:type="spellStart"/>
            <w:r w:rsidRPr="00FC519D">
              <w:rPr>
                <w:rFonts w:ascii="Times New Roman" w:eastAsia="Calibri" w:hAnsi="Times New Roman"/>
                <w:lang w:val="en-US"/>
              </w:rPr>
              <w:t>Theyyam</w:t>
            </w:r>
            <w:proofErr w:type="spellEnd"/>
          </w:p>
        </w:tc>
        <w:tc>
          <w:tcPr>
            <w:tcW w:w="1935" w:type="dxa"/>
            <w:vAlign w:val="center"/>
            <w:hideMark/>
          </w:tcPr>
          <w:p w14:paraId="03893A2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Postcolonial theory</w:t>
            </w:r>
          </w:p>
        </w:tc>
      </w:tr>
      <w:tr w:rsidR="00FC519D" w:rsidRPr="00FC519D" w14:paraId="5F366E99" w14:textId="77777777" w:rsidTr="00500669">
        <w:trPr>
          <w:tblCellSpacing w:w="15" w:type="dxa"/>
        </w:trPr>
        <w:tc>
          <w:tcPr>
            <w:tcW w:w="2475" w:type="dxa"/>
            <w:vAlign w:val="center"/>
            <w:hideMark/>
          </w:tcPr>
          <w:p w14:paraId="6CE392E6"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Dunphy, K. et al. (2014)</w:t>
            </w:r>
          </w:p>
        </w:tc>
        <w:tc>
          <w:tcPr>
            <w:tcW w:w="4830" w:type="dxa"/>
            <w:vAlign w:val="center"/>
            <w:hideMark/>
          </w:tcPr>
          <w:p w14:paraId="71876F9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Effectiveness of expressive arts therapies</w:t>
            </w:r>
          </w:p>
        </w:tc>
        <w:tc>
          <w:tcPr>
            <w:tcW w:w="1935" w:type="dxa"/>
            <w:vAlign w:val="center"/>
            <w:hideMark/>
          </w:tcPr>
          <w:p w14:paraId="73D2208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Expressive arts in therapy</w:t>
            </w:r>
          </w:p>
        </w:tc>
      </w:tr>
      <w:tr w:rsidR="00FC519D" w:rsidRPr="00FC519D" w14:paraId="55FC194A" w14:textId="77777777" w:rsidTr="00500669">
        <w:trPr>
          <w:tblCellSpacing w:w="15" w:type="dxa"/>
        </w:trPr>
        <w:tc>
          <w:tcPr>
            <w:tcW w:w="2475" w:type="dxa"/>
            <w:vAlign w:val="center"/>
            <w:hideMark/>
          </w:tcPr>
          <w:p w14:paraId="463DCD28"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Fawcett, F. (1901)</w:t>
            </w:r>
          </w:p>
        </w:tc>
        <w:tc>
          <w:tcPr>
            <w:tcW w:w="4830" w:type="dxa"/>
            <w:vAlign w:val="center"/>
            <w:hideMark/>
          </w:tcPr>
          <w:p w14:paraId="4BF44EB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Ethnographic account of </w:t>
            </w:r>
            <w:proofErr w:type="spellStart"/>
            <w:r w:rsidRPr="00FC519D">
              <w:rPr>
                <w:rFonts w:ascii="Times New Roman" w:eastAsia="Calibri" w:hAnsi="Times New Roman"/>
                <w:lang w:val="en-US"/>
              </w:rPr>
              <w:t>Nâyars</w:t>
            </w:r>
            <w:proofErr w:type="spellEnd"/>
          </w:p>
        </w:tc>
        <w:tc>
          <w:tcPr>
            <w:tcW w:w="1935" w:type="dxa"/>
            <w:vAlign w:val="center"/>
            <w:hideMark/>
          </w:tcPr>
          <w:p w14:paraId="767DDFB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Ethnographic methods</w:t>
            </w:r>
          </w:p>
        </w:tc>
      </w:tr>
      <w:tr w:rsidR="00FC519D" w:rsidRPr="00FC519D" w14:paraId="45E98586" w14:textId="77777777" w:rsidTr="00500669">
        <w:trPr>
          <w:tblCellSpacing w:w="15" w:type="dxa"/>
        </w:trPr>
        <w:tc>
          <w:tcPr>
            <w:tcW w:w="2475" w:type="dxa"/>
            <w:vAlign w:val="center"/>
            <w:hideMark/>
          </w:tcPr>
          <w:p w14:paraId="43631382"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Freeman, J. R. Jr. (1999)</w:t>
            </w:r>
          </w:p>
        </w:tc>
        <w:tc>
          <w:tcPr>
            <w:tcW w:w="4830" w:type="dxa"/>
            <w:vAlign w:val="center"/>
            <w:hideMark/>
          </w:tcPr>
          <w:p w14:paraId="4AF0441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Ecology and culture in Kerala</w:t>
            </w:r>
          </w:p>
        </w:tc>
        <w:tc>
          <w:tcPr>
            <w:tcW w:w="1935" w:type="dxa"/>
            <w:vAlign w:val="center"/>
            <w:hideMark/>
          </w:tcPr>
          <w:p w14:paraId="7E70BC02"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Eco-cultural theory</w:t>
            </w:r>
          </w:p>
        </w:tc>
      </w:tr>
      <w:tr w:rsidR="00FC519D" w:rsidRPr="00FC519D" w14:paraId="6098066E" w14:textId="77777777" w:rsidTr="00500669">
        <w:trPr>
          <w:tblCellSpacing w:w="15" w:type="dxa"/>
        </w:trPr>
        <w:tc>
          <w:tcPr>
            <w:tcW w:w="2475" w:type="dxa"/>
            <w:vAlign w:val="center"/>
            <w:hideMark/>
          </w:tcPr>
          <w:p w14:paraId="2AB435A1"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Gardner &amp; Maier (1996)</w:t>
            </w:r>
          </w:p>
        </w:tc>
        <w:tc>
          <w:tcPr>
            <w:tcW w:w="4830" w:type="dxa"/>
            <w:vAlign w:val="center"/>
            <w:hideMark/>
          </w:tcPr>
          <w:p w14:paraId="5E7A340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Self and other in ritual theatre</w:t>
            </w:r>
          </w:p>
        </w:tc>
        <w:tc>
          <w:tcPr>
            <w:tcW w:w="1935" w:type="dxa"/>
            <w:vAlign w:val="center"/>
            <w:hideMark/>
          </w:tcPr>
          <w:p w14:paraId="112C03BC"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Ritual and performative identity</w:t>
            </w:r>
          </w:p>
        </w:tc>
      </w:tr>
      <w:tr w:rsidR="00FC519D" w:rsidRPr="00FC519D" w14:paraId="55BE4477" w14:textId="77777777" w:rsidTr="00500669">
        <w:trPr>
          <w:tblCellSpacing w:w="15" w:type="dxa"/>
        </w:trPr>
        <w:tc>
          <w:tcPr>
            <w:tcW w:w="2475" w:type="dxa"/>
            <w:vAlign w:val="center"/>
            <w:hideMark/>
          </w:tcPr>
          <w:p w14:paraId="433BA093"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Geetha, E. (2022)</w:t>
            </w:r>
          </w:p>
        </w:tc>
        <w:tc>
          <w:tcPr>
            <w:tcW w:w="4830" w:type="dxa"/>
            <w:vAlign w:val="center"/>
            <w:hideMark/>
          </w:tcPr>
          <w:p w14:paraId="618BEF7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Cultural identity and </w:t>
            </w:r>
            <w:proofErr w:type="spellStart"/>
            <w:r w:rsidRPr="00FC519D">
              <w:rPr>
                <w:rFonts w:ascii="Times New Roman" w:eastAsia="Calibri" w:hAnsi="Times New Roman"/>
                <w:lang w:val="en-US"/>
              </w:rPr>
              <w:t>Theyyam</w:t>
            </w:r>
            <w:proofErr w:type="spellEnd"/>
          </w:p>
        </w:tc>
        <w:tc>
          <w:tcPr>
            <w:tcW w:w="1935" w:type="dxa"/>
            <w:vAlign w:val="center"/>
            <w:hideMark/>
          </w:tcPr>
          <w:p w14:paraId="506F37D8"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memory</w:t>
            </w:r>
          </w:p>
        </w:tc>
      </w:tr>
      <w:tr w:rsidR="00FC519D" w:rsidRPr="00FC519D" w14:paraId="0E876270" w14:textId="77777777" w:rsidTr="00500669">
        <w:trPr>
          <w:tblCellSpacing w:w="15" w:type="dxa"/>
        </w:trPr>
        <w:tc>
          <w:tcPr>
            <w:tcW w:w="2475" w:type="dxa"/>
            <w:vAlign w:val="center"/>
            <w:hideMark/>
          </w:tcPr>
          <w:p w14:paraId="7F5571C0"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Gopi, A. (2021)</w:t>
            </w:r>
          </w:p>
        </w:tc>
        <w:tc>
          <w:tcPr>
            <w:tcW w:w="4830" w:type="dxa"/>
            <w:vAlign w:val="center"/>
            <w:hideMark/>
          </w:tcPr>
          <w:p w14:paraId="0BF9E1DE" w14:textId="77777777" w:rsidR="00FC519D" w:rsidRPr="00FC519D" w:rsidRDefault="00FC519D" w:rsidP="00500669">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performers and marginalization</w:t>
            </w:r>
          </w:p>
        </w:tc>
        <w:tc>
          <w:tcPr>
            <w:tcW w:w="1935" w:type="dxa"/>
            <w:vAlign w:val="center"/>
            <w:hideMark/>
          </w:tcPr>
          <w:p w14:paraId="0C5AB2B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Dalit studies and performance</w:t>
            </w:r>
          </w:p>
        </w:tc>
      </w:tr>
      <w:tr w:rsidR="00FC519D" w:rsidRPr="00FC519D" w14:paraId="1950C6A0" w14:textId="77777777" w:rsidTr="00500669">
        <w:trPr>
          <w:tblCellSpacing w:w="15" w:type="dxa"/>
        </w:trPr>
        <w:tc>
          <w:tcPr>
            <w:tcW w:w="2475" w:type="dxa"/>
            <w:vAlign w:val="center"/>
            <w:hideMark/>
          </w:tcPr>
          <w:p w14:paraId="7AD8267F"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Gough, K. (1981)</w:t>
            </w:r>
          </w:p>
        </w:tc>
        <w:tc>
          <w:tcPr>
            <w:tcW w:w="4830" w:type="dxa"/>
            <w:vAlign w:val="center"/>
            <w:hideMark/>
          </w:tcPr>
          <w:p w14:paraId="5149BEBC"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South Indian rural society</w:t>
            </w:r>
          </w:p>
        </w:tc>
        <w:tc>
          <w:tcPr>
            <w:tcW w:w="1935" w:type="dxa"/>
            <w:vAlign w:val="center"/>
            <w:hideMark/>
          </w:tcPr>
          <w:p w14:paraId="1527220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context</w:t>
            </w:r>
          </w:p>
        </w:tc>
      </w:tr>
      <w:tr w:rsidR="00FC519D" w:rsidRPr="00FC519D" w14:paraId="56DA3616" w14:textId="77777777" w:rsidTr="00500669">
        <w:trPr>
          <w:tblCellSpacing w:w="15" w:type="dxa"/>
        </w:trPr>
        <w:tc>
          <w:tcPr>
            <w:tcW w:w="2475" w:type="dxa"/>
            <w:vAlign w:val="center"/>
            <w:hideMark/>
          </w:tcPr>
          <w:p w14:paraId="4AE0B36D"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Gundert, H. (1872)</w:t>
            </w:r>
          </w:p>
        </w:tc>
        <w:tc>
          <w:tcPr>
            <w:tcW w:w="4830" w:type="dxa"/>
            <w:vAlign w:val="center"/>
            <w:hideMark/>
          </w:tcPr>
          <w:p w14:paraId="29504B7E"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Linguistic reference for Malayalam</w:t>
            </w:r>
          </w:p>
        </w:tc>
        <w:tc>
          <w:tcPr>
            <w:tcW w:w="1935" w:type="dxa"/>
            <w:vAlign w:val="center"/>
            <w:hideMark/>
          </w:tcPr>
          <w:p w14:paraId="086CF406"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Language and cultural tools</w:t>
            </w:r>
          </w:p>
        </w:tc>
      </w:tr>
      <w:tr w:rsidR="00FC519D" w:rsidRPr="00FC519D" w14:paraId="02DA44AA" w14:textId="77777777" w:rsidTr="00500669">
        <w:trPr>
          <w:tblCellSpacing w:w="15" w:type="dxa"/>
        </w:trPr>
        <w:tc>
          <w:tcPr>
            <w:tcW w:w="2475" w:type="dxa"/>
            <w:vAlign w:val="center"/>
            <w:hideMark/>
          </w:tcPr>
          <w:p w14:paraId="0C59D4C5"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Kannan, Y. V. (2015)</w:t>
            </w:r>
          </w:p>
        </w:tc>
        <w:tc>
          <w:tcPr>
            <w:tcW w:w="4830" w:type="dxa"/>
            <w:vAlign w:val="center"/>
            <w:hideMark/>
          </w:tcPr>
          <w:p w14:paraId="6D4436D2"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Artistic expressions in </w:t>
            </w:r>
            <w:proofErr w:type="spellStart"/>
            <w:r w:rsidRPr="00FC519D">
              <w:rPr>
                <w:rFonts w:ascii="Times New Roman" w:eastAsia="Calibri" w:hAnsi="Times New Roman"/>
                <w:lang w:val="en-US"/>
              </w:rPr>
              <w:t>Theyyam</w:t>
            </w:r>
            <w:proofErr w:type="spellEnd"/>
          </w:p>
        </w:tc>
        <w:tc>
          <w:tcPr>
            <w:tcW w:w="1935" w:type="dxa"/>
            <w:vAlign w:val="center"/>
            <w:hideMark/>
          </w:tcPr>
          <w:p w14:paraId="6CF80B66"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aesthetics</w:t>
            </w:r>
          </w:p>
        </w:tc>
      </w:tr>
      <w:tr w:rsidR="00FC519D" w:rsidRPr="00FC519D" w14:paraId="6971E55B" w14:textId="77777777" w:rsidTr="00500669">
        <w:trPr>
          <w:tblCellSpacing w:w="15" w:type="dxa"/>
        </w:trPr>
        <w:tc>
          <w:tcPr>
            <w:tcW w:w="2475" w:type="dxa"/>
            <w:vAlign w:val="center"/>
            <w:hideMark/>
          </w:tcPr>
          <w:p w14:paraId="0A88E3EF"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Kannan, Y.V. (1971)</w:t>
            </w:r>
          </w:p>
        </w:tc>
        <w:tc>
          <w:tcPr>
            <w:tcW w:w="4830" w:type="dxa"/>
            <w:vAlign w:val="center"/>
            <w:hideMark/>
          </w:tcPr>
          <w:p w14:paraId="409D07D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Rituals and traditions of </w:t>
            </w:r>
            <w:proofErr w:type="spellStart"/>
            <w:r w:rsidRPr="00FC519D">
              <w:rPr>
                <w:rFonts w:ascii="Times New Roman" w:eastAsia="Calibri" w:hAnsi="Times New Roman"/>
                <w:lang w:val="en-US"/>
              </w:rPr>
              <w:t>Theyyam</w:t>
            </w:r>
            <w:proofErr w:type="spellEnd"/>
          </w:p>
        </w:tc>
        <w:tc>
          <w:tcPr>
            <w:tcW w:w="1935" w:type="dxa"/>
            <w:vAlign w:val="center"/>
            <w:hideMark/>
          </w:tcPr>
          <w:p w14:paraId="6341AC0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Ritual structure</w:t>
            </w:r>
          </w:p>
        </w:tc>
      </w:tr>
      <w:tr w:rsidR="00FC519D" w:rsidRPr="00FC519D" w14:paraId="43F99FB6" w14:textId="77777777" w:rsidTr="00500669">
        <w:trPr>
          <w:tblCellSpacing w:w="15" w:type="dxa"/>
        </w:trPr>
        <w:tc>
          <w:tcPr>
            <w:tcW w:w="2475" w:type="dxa"/>
            <w:vAlign w:val="center"/>
            <w:hideMark/>
          </w:tcPr>
          <w:p w14:paraId="5178B936"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Kurup, K.K.N. (1996)</w:t>
            </w:r>
          </w:p>
        </w:tc>
        <w:tc>
          <w:tcPr>
            <w:tcW w:w="4830" w:type="dxa"/>
            <w:vAlign w:val="center"/>
            <w:hideMark/>
          </w:tcPr>
          <w:p w14:paraId="1F662EB3" w14:textId="77777777" w:rsidR="00FC519D" w:rsidRPr="00FC519D" w:rsidRDefault="00FC519D" w:rsidP="00500669">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as ritual dance</w:t>
            </w:r>
          </w:p>
        </w:tc>
        <w:tc>
          <w:tcPr>
            <w:tcW w:w="1935" w:type="dxa"/>
            <w:vAlign w:val="center"/>
            <w:hideMark/>
          </w:tcPr>
          <w:p w14:paraId="2E1A59F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Ritual symbolism</w:t>
            </w:r>
          </w:p>
        </w:tc>
      </w:tr>
      <w:tr w:rsidR="00FC519D" w:rsidRPr="00FC519D" w14:paraId="55BF6AA9" w14:textId="77777777" w:rsidTr="00500669">
        <w:trPr>
          <w:tblCellSpacing w:w="15" w:type="dxa"/>
        </w:trPr>
        <w:tc>
          <w:tcPr>
            <w:tcW w:w="2475" w:type="dxa"/>
            <w:vAlign w:val="center"/>
            <w:hideMark/>
          </w:tcPr>
          <w:p w14:paraId="5A70DA30"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 xml:space="preserve">L, </w:t>
            </w:r>
            <w:proofErr w:type="spellStart"/>
            <w:r w:rsidRPr="00FC519D">
              <w:rPr>
                <w:rFonts w:ascii="Times New Roman" w:eastAsia="Calibri" w:hAnsi="Times New Roman"/>
                <w:lang w:val="en-US"/>
              </w:rPr>
              <w:t>Deleep</w:t>
            </w:r>
            <w:proofErr w:type="spellEnd"/>
            <w:r w:rsidRPr="00FC519D">
              <w:rPr>
                <w:rFonts w:ascii="Times New Roman" w:eastAsia="Calibri" w:hAnsi="Times New Roman"/>
                <w:lang w:val="en-US"/>
              </w:rPr>
              <w:t>. (2024)</w:t>
            </w:r>
          </w:p>
        </w:tc>
        <w:tc>
          <w:tcPr>
            <w:tcW w:w="4830" w:type="dxa"/>
            <w:vAlign w:val="center"/>
            <w:hideMark/>
          </w:tcPr>
          <w:p w14:paraId="366F51C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Discourse analysis of </w:t>
            </w:r>
            <w:proofErr w:type="spellStart"/>
            <w:r w:rsidRPr="00FC519D">
              <w:rPr>
                <w:rFonts w:ascii="Times New Roman" w:eastAsia="Calibri" w:hAnsi="Times New Roman"/>
                <w:lang w:val="en-US"/>
              </w:rPr>
              <w:t>Theyyam</w:t>
            </w:r>
            <w:proofErr w:type="spellEnd"/>
          </w:p>
        </w:tc>
        <w:tc>
          <w:tcPr>
            <w:tcW w:w="1935" w:type="dxa"/>
            <w:vAlign w:val="center"/>
            <w:hideMark/>
          </w:tcPr>
          <w:p w14:paraId="67A23B07"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 traditions and resistance</w:t>
            </w:r>
          </w:p>
        </w:tc>
      </w:tr>
      <w:tr w:rsidR="00FC519D" w:rsidRPr="00FC519D" w14:paraId="04925E81" w14:textId="77777777" w:rsidTr="00500669">
        <w:trPr>
          <w:tblCellSpacing w:w="15" w:type="dxa"/>
        </w:trPr>
        <w:tc>
          <w:tcPr>
            <w:tcW w:w="2475" w:type="dxa"/>
            <w:vAlign w:val="center"/>
            <w:hideMark/>
          </w:tcPr>
          <w:p w14:paraId="2B6BBD8C"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López-González et al. (2021)</w:t>
            </w:r>
          </w:p>
        </w:tc>
        <w:tc>
          <w:tcPr>
            <w:tcW w:w="4830" w:type="dxa"/>
            <w:vAlign w:val="center"/>
            <w:hideMark/>
          </w:tcPr>
          <w:p w14:paraId="5F5369C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Psychodrama for social issues</w:t>
            </w:r>
          </w:p>
        </w:tc>
        <w:tc>
          <w:tcPr>
            <w:tcW w:w="1935" w:type="dxa"/>
            <w:vAlign w:val="center"/>
            <w:hideMark/>
          </w:tcPr>
          <w:p w14:paraId="1E0D701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Psychodrama in group therapy</w:t>
            </w:r>
          </w:p>
        </w:tc>
      </w:tr>
      <w:tr w:rsidR="00FC519D" w:rsidRPr="00FC519D" w14:paraId="5F8DF596" w14:textId="77777777" w:rsidTr="00500669">
        <w:trPr>
          <w:tblCellSpacing w:w="15" w:type="dxa"/>
        </w:trPr>
        <w:tc>
          <w:tcPr>
            <w:tcW w:w="2475" w:type="dxa"/>
            <w:vAlign w:val="center"/>
            <w:hideMark/>
          </w:tcPr>
          <w:p w14:paraId="7E403228"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lastRenderedPageBreak/>
              <w:t>Menon, D. (1993)</w:t>
            </w:r>
          </w:p>
        </w:tc>
        <w:tc>
          <w:tcPr>
            <w:tcW w:w="4830" w:type="dxa"/>
            <w:vAlign w:val="center"/>
            <w:hideMark/>
          </w:tcPr>
          <w:p w14:paraId="7FD12AAE"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Popular culture in colonial Malabar</w:t>
            </w:r>
          </w:p>
        </w:tc>
        <w:tc>
          <w:tcPr>
            <w:tcW w:w="1935" w:type="dxa"/>
            <w:vAlign w:val="center"/>
            <w:hideMark/>
          </w:tcPr>
          <w:p w14:paraId="165F42A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and cultural studies</w:t>
            </w:r>
          </w:p>
        </w:tc>
      </w:tr>
      <w:tr w:rsidR="00FC519D" w:rsidRPr="00FC519D" w14:paraId="612760E5" w14:textId="77777777" w:rsidTr="00500669">
        <w:trPr>
          <w:tblCellSpacing w:w="15" w:type="dxa"/>
        </w:trPr>
        <w:tc>
          <w:tcPr>
            <w:tcW w:w="2475" w:type="dxa"/>
            <w:vAlign w:val="center"/>
            <w:hideMark/>
          </w:tcPr>
          <w:p w14:paraId="6413564E"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Miller, J. E. (1954)</w:t>
            </w:r>
          </w:p>
        </w:tc>
        <w:tc>
          <w:tcPr>
            <w:tcW w:w="4830" w:type="dxa"/>
            <w:vAlign w:val="center"/>
            <w:hideMark/>
          </w:tcPr>
          <w:p w14:paraId="54E2CDDE"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 and territory in Malabar</w:t>
            </w:r>
          </w:p>
        </w:tc>
        <w:tc>
          <w:tcPr>
            <w:tcW w:w="1935" w:type="dxa"/>
            <w:vAlign w:val="center"/>
            <w:hideMark/>
          </w:tcPr>
          <w:p w14:paraId="1C00AE3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 dynamics</w:t>
            </w:r>
          </w:p>
        </w:tc>
      </w:tr>
      <w:tr w:rsidR="00FC519D" w:rsidRPr="00FC519D" w14:paraId="1E273088" w14:textId="77777777" w:rsidTr="00500669">
        <w:trPr>
          <w:tblCellSpacing w:w="15" w:type="dxa"/>
        </w:trPr>
        <w:tc>
          <w:tcPr>
            <w:tcW w:w="2475" w:type="dxa"/>
            <w:vAlign w:val="center"/>
            <w:hideMark/>
          </w:tcPr>
          <w:p w14:paraId="3EBD1BE4"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Nambiar, A. K. (1997)</w:t>
            </w:r>
          </w:p>
        </w:tc>
        <w:tc>
          <w:tcPr>
            <w:tcW w:w="4830" w:type="dxa"/>
            <w:vAlign w:val="center"/>
            <w:hideMark/>
          </w:tcPr>
          <w:p w14:paraId="77E3C67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Masks in </w:t>
            </w: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and deification</w:t>
            </w:r>
          </w:p>
        </w:tc>
        <w:tc>
          <w:tcPr>
            <w:tcW w:w="1935" w:type="dxa"/>
            <w:vAlign w:val="center"/>
            <w:hideMark/>
          </w:tcPr>
          <w:p w14:paraId="78422F8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Symbolism and identity</w:t>
            </w:r>
          </w:p>
        </w:tc>
      </w:tr>
      <w:tr w:rsidR="00FC519D" w:rsidRPr="00FC519D" w14:paraId="2B2E87B4" w14:textId="77777777" w:rsidTr="00500669">
        <w:trPr>
          <w:tblCellSpacing w:w="15" w:type="dxa"/>
        </w:trPr>
        <w:tc>
          <w:tcPr>
            <w:tcW w:w="2475" w:type="dxa"/>
            <w:vAlign w:val="center"/>
            <w:hideMark/>
          </w:tcPr>
          <w:p w14:paraId="607D9211"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Namboodiri, V. M. V. (2012)</w:t>
            </w:r>
          </w:p>
        </w:tc>
        <w:tc>
          <w:tcPr>
            <w:tcW w:w="4830" w:type="dxa"/>
            <w:vAlign w:val="center"/>
            <w:hideMark/>
          </w:tcPr>
          <w:p w14:paraId="4C598D03"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and cultural identity</w:t>
            </w:r>
          </w:p>
        </w:tc>
        <w:tc>
          <w:tcPr>
            <w:tcW w:w="1935" w:type="dxa"/>
            <w:vAlign w:val="center"/>
            <w:hideMark/>
          </w:tcPr>
          <w:p w14:paraId="2283891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studies</w:t>
            </w:r>
          </w:p>
        </w:tc>
      </w:tr>
      <w:tr w:rsidR="00FC519D" w:rsidRPr="00FC519D" w14:paraId="3E04B469" w14:textId="77777777" w:rsidTr="00500669">
        <w:trPr>
          <w:tblCellSpacing w:w="15" w:type="dxa"/>
        </w:trPr>
        <w:tc>
          <w:tcPr>
            <w:tcW w:w="2475" w:type="dxa"/>
            <w:vAlign w:val="center"/>
            <w:hideMark/>
          </w:tcPr>
          <w:p w14:paraId="3318CA26"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Namboodiri, M.V. (1990)</w:t>
            </w:r>
          </w:p>
        </w:tc>
        <w:tc>
          <w:tcPr>
            <w:tcW w:w="4830" w:type="dxa"/>
            <w:vAlign w:val="center"/>
            <w:hideMark/>
          </w:tcPr>
          <w:p w14:paraId="590FF1C3" w14:textId="77777777" w:rsidR="00FC519D" w:rsidRPr="00FC519D" w:rsidRDefault="00FC519D" w:rsidP="00500669">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Thottampattukal</w:t>
            </w:r>
            <w:proofErr w:type="spellEnd"/>
            <w:r w:rsidRPr="00FC519D">
              <w:rPr>
                <w:rFonts w:ascii="Times New Roman" w:eastAsia="Calibri" w:hAnsi="Times New Roman"/>
                <w:lang w:val="en-US"/>
              </w:rPr>
              <w:t xml:space="preserve"> study</w:t>
            </w:r>
          </w:p>
        </w:tc>
        <w:tc>
          <w:tcPr>
            <w:tcW w:w="1935" w:type="dxa"/>
            <w:vAlign w:val="center"/>
            <w:hideMark/>
          </w:tcPr>
          <w:p w14:paraId="53BABD80"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Vernacular traditions</w:t>
            </w:r>
          </w:p>
        </w:tc>
      </w:tr>
      <w:tr w:rsidR="00FC519D" w:rsidRPr="00FC519D" w14:paraId="33A595DB" w14:textId="77777777" w:rsidTr="00500669">
        <w:trPr>
          <w:tblCellSpacing w:w="15" w:type="dxa"/>
        </w:trPr>
        <w:tc>
          <w:tcPr>
            <w:tcW w:w="2475" w:type="dxa"/>
            <w:vAlign w:val="center"/>
            <w:hideMark/>
          </w:tcPr>
          <w:p w14:paraId="558A02F9"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Narayanan, M.T. (2003)</w:t>
            </w:r>
          </w:p>
        </w:tc>
        <w:tc>
          <w:tcPr>
            <w:tcW w:w="4830" w:type="dxa"/>
            <w:vAlign w:val="center"/>
            <w:hideMark/>
          </w:tcPr>
          <w:p w14:paraId="2AA0FAB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Agrarian relations in medieval Malabar</w:t>
            </w:r>
          </w:p>
        </w:tc>
        <w:tc>
          <w:tcPr>
            <w:tcW w:w="1935" w:type="dxa"/>
            <w:vAlign w:val="center"/>
            <w:hideMark/>
          </w:tcPr>
          <w:p w14:paraId="7CBE829C"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Socio-economic history</w:t>
            </w:r>
          </w:p>
        </w:tc>
      </w:tr>
      <w:tr w:rsidR="00FC519D" w:rsidRPr="00FC519D" w14:paraId="7BC54197" w14:textId="77777777" w:rsidTr="00500669">
        <w:trPr>
          <w:tblCellSpacing w:w="15" w:type="dxa"/>
        </w:trPr>
        <w:tc>
          <w:tcPr>
            <w:tcW w:w="2475" w:type="dxa"/>
            <w:vAlign w:val="center"/>
            <w:hideMark/>
          </w:tcPr>
          <w:p w14:paraId="7272BDB5" w14:textId="77777777" w:rsidR="00FC519D" w:rsidRPr="00FC519D" w:rsidRDefault="00FC519D" w:rsidP="00500669">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Payyanad</w:t>
            </w:r>
            <w:proofErr w:type="spellEnd"/>
            <w:r w:rsidRPr="00FC519D">
              <w:rPr>
                <w:rFonts w:ascii="Times New Roman" w:eastAsia="Calibri" w:hAnsi="Times New Roman"/>
                <w:lang w:val="en-US"/>
              </w:rPr>
              <w:t>, R. (1998)</w:t>
            </w:r>
          </w:p>
        </w:tc>
        <w:tc>
          <w:tcPr>
            <w:tcW w:w="4830" w:type="dxa"/>
            <w:vAlign w:val="center"/>
            <w:hideMark/>
          </w:tcPr>
          <w:p w14:paraId="36E4D013"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Study methods in folklore</w:t>
            </w:r>
          </w:p>
        </w:tc>
        <w:tc>
          <w:tcPr>
            <w:tcW w:w="1935" w:type="dxa"/>
            <w:vAlign w:val="center"/>
            <w:hideMark/>
          </w:tcPr>
          <w:p w14:paraId="030F448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Folklore methodology</w:t>
            </w:r>
          </w:p>
        </w:tc>
      </w:tr>
      <w:tr w:rsidR="00FC519D" w:rsidRPr="00FC519D" w14:paraId="0AAB8918" w14:textId="77777777" w:rsidTr="00500669">
        <w:trPr>
          <w:tblCellSpacing w:w="15" w:type="dxa"/>
        </w:trPr>
        <w:tc>
          <w:tcPr>
            <w:tcW w:w="2475" w:type="dxa"/>
            <w:vAlign w:val="center"/>
            <w:hideMark/>
          </w:tcPr>
          <w:p w14:paraId="5972276E"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Sreedhara Menon, A. (2017)</w:t>
            </w:r>
          </w:p>
        </w:tc>
        <w:tc>
          <w:tcPr>
            <w:tcW w:w="4830" w:type="dxa"/>
            <w:vAlign w:val="center"/>
            <w:hideMark/>
          </w:tcPr>
          <w:p w14:paraId="0B5F952F"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Kerala culture and history</w:t>
            </w:r>
          </w:p>
        </w:tc>
        <w:tc>
          <w:tcPr>
            <w:tcW w:w="1935" w:type="dxa"/>
            <w:vAlign w:val="center"/>
            <w:hideMark/>
          </w:tcPr>
          <w:p w14:paraId="6CEAE6F7"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heritage</w:t>
            </w:r>
          </w:p>
        </w:tc>
      </w:tr>
      <w:tr w:rsidR="00FC519D" w:rsidRPr="00FC519D" w14:paraId="70A6A67A" w14:textId="77777777" w:rsidTr="00500669">
        <w:trPr>
          <w:tblCellSpacing w:w="15" w:type="dxa"/>
        </w:trPr>
        <w:tc>
          <w:tcPr>
            <w:tcW w:w="2475" w:type="dxa"/>
            <w:vAlign w:val="center"/>
            <w:hideMark/>
          </w:tcPr>
          <w:p w14:paraId="71B71ED4"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Sreedharan, K.A. (1997)</w:t>
            </w:r>
          </w:p>
        </w:tc>
        <w:tc>
          <w:tcPr>
            <w:tcW w:w="4830" w:type="dxa"/>
            <w:vAlign w:val="center"/>
            <w:hideMark/>
          </w:tcPr>
          <w:p w14:paraId="1926A54D" w14:textId="77777777" w:rsidR="00FC519D" w:rsidRPr="00FC519D" w:rsidRDefault="00FC519D" w:rsidP="00500669">
            <w:pPr>
              <w:spacing w:before="0" w:beforeAutospacing="0" w:after="0" w:line="240" w:lineRule="auto"/>
              <w:jc w:val="both"/>
              <w:rPr>
                <w:rFonts w:ascii="Times New Roman" w:eastAsia="Calibri" w:hAnsi="Times New Roman"/>
                <w:lang w:val="en-US"/>
              </w:rPr>
            </w:pP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performer narratives</w:t>
            </w:r>
          </w:p>
        </w:tc>
        <w:tc>
          <w:tcPr>
            <w:tcW w:w="1935" w:type="dxa"/>
            <w:vAlign w:val="center"/>
            <w:hideMark/>
          </w:tcPr>
          <w:p w14:paraId="7AA03F3B"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Autobiographical folklore</w:t>
            </w:r>
          </w:p>
        </w:tc>
      </w:tr>
      <w:tr w:rsidR="00FC519D" w:rsidRPr="00FC519D" w14:paraId="1946FEF6" w14:textId="77777777" w:rsidTr="00500669">
        <w:trPr>
          <w:tblCellSpacing w:w="15" w:type="dxa"/>
        </w:trPr>
        <w:tc>
          <w:tcPr>
            <w:tcW w:w="2475" w:type="dxa"/>
            <w:vAlign w:val="center"/>
            <w:hideMark/>
          </w:tcPr>
          <w:p w14:paraId="444D93D3" w14:textId="77777777" w:rsidR="00FC519D" w:rsidRPr="00FC519D" w:rsidRDefault="00FC519D" w:rsidP="00500669">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Tarabout</w:t>
            </w:r>
            <w:proofErr w:type="spellEnd"/>
            <w:r w:rsidRPr="00FC519D">
              <w:rPr>
                <w:rFonts w:ascii="Times New Roman" w:eastAsia="Calibri" w:hAnsi="Times New Roman"/>
                <w:lang w:val="en-US"/>
              </w:rPr>
              <w:t>, G. (2005)</w:t>
            </w:r>
          </w:p>
        </w:tc>
        <w:tc>
          <w:tcPr>
            <w:tcW w:w="4830" w:type="dxa"/>
            <w:vAlign w:val="center"/>
            <w:hideMark/>
          </w:tcPr>
          <w:p w14:paraId="6F2CE91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Local and global perceptions in Malabar</w:t>
            </w:r>
          </w:p>
        </w:tc>
        <w:tc>
          <w:tcPr>
            <w:tcW w:w="1935" w:type="dxa"/>
            <w:vAlign w:val="center"/>
            <w:hideMark/>
          </w:tcPr>
          <w:p w14:paraId="28F6A5E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globalization</w:t>
            </w:r>
          </w:p>
        </w:tc>
      </w:tr>
      <w:tr w:rsidR="00FC519D" w:rsidRPr="00FC519D" w14:paraId="18E2FE10" w14:textId="77777777" w:rsidTr="00500669">
        <w:trPr>
          <w:tblCellSpacing w:w="15" w:type="dxa"/>
        </w:trPr>
        <w:tc>
          <w:tcPr>
            <w:tcW w:w="2475" w:type="dxa"/>
            <w:vAlign w:val="center"/>
            <w:hideMark/>
          </w:tcPr>
          <w:p w14:paraId="53AFE2C1"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Tarzian et al. (2023)</w:t>
            </w:r>
          </w:p>
        </w:tc>
        <w:tc>
          <w:tcPr>
            <w:tcW w:w="4830" w:type="dxa"/>
            <w:vAlign w:val="center"/>
            <w:hideMark/>
          </w:tcPr>
          <w:p w14:paraId="1D9AF99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Introduction to psychoanalysis</w:t>
            </w:r>
          </w:p>
        </w:tc>
        <w:tc>
          <w:tcPr>
            <w:tcW w:w="1935" w:type="dxa"/>
            <w:vAlign w:val="center"/>
            <w:hideMark/>
          </w:tcPr>
          <w:p w14:paraId="5D65791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Psychoanalytic theory</w:t>
            </w:r>
          </w:p>
        </w:tc>
      </w:tr>
      <w:tr w:rsidR="00FC519D" w:rsidRPr="00FC519D" w14:paraId="1D65DBE7" w14:textId="77777777" w:rsidTr="00500669">
        <w:trPr>
          <w:tblCellSpacing w:w="15" w:type="dxa"/>
        </w:trPr>
        <w:tc>
          <w:tcPr>
            <w:tcW w:w="2475" w:type="dxa"/>
            <w:vAlign w:val="center"/>
            <w:hideMark/>
          </w:tcPr>
          <w:p w14:paraId="573960B6"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Thurston, E. (1970)</w:t>
            </w:r>
          </w:p>
        </w:tc>
        <w:tc>
          <w:tcPr>
            <w:tcW w:w="4830" w:type="dxa"/>
            <w:vAlign w:val="center"/>
            <w:hideMark/>
          </w:tcPr>
          <w:p w14:paraId="4F400919"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Castes and tribes of Southern India</w:t>
            </w:r>
          </w:p>
        </w:tc>
        <w:tc>
          <w:tcPr>
            <w:tcW w:w="1935" w:type="dxa"/>
            <w:vAlign w:val="center"/>
            <w:hideMark/>
          </w:tcPr>
          <w:p w14:paraId="66A9DBE5"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Ethnographic history</w:t>
            </w:r>
          </w:p>
        </w:tc>
      </w:tr>
      <w:tr w:rsidR="00FC519D" w:rsidRPr="00FC519D" w14:paraId="4736AA04" w14:textId="77777777" w:rsidTr="00500669">
        <w:trPr>
          <w:tblCellSpacing w:w="15" w:type="dxa"/>
        </w:trPr>
        <w:tc>
          <w:tcPr>
            <w:tcW w:w="2475" w:type="dxa"/>
            <w:vAlign w:val="center"/>
            <w:hideMark/>
          </w:tcPr>
          <w:p w14:paraId="67B1DC1F"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Turner, V. (1979)</w:t>
            </w:r>
          </w:p>
        </w:tc>
        <w:tc>
          <w:tcPr>
            <w:tcW w:w="4830" w:type="dxa"/>
            <w:vAlign w:val="center"/>
            <w:hideMark/>
          </w:tcPr>
          <w:p w14:paraId="2D567BBC"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Performance and reflexive anthropology</w:t>
            </w:r>
          </w:p>
        </w:tc>
        <w:tc>
          <w:tcPr>
            <w:tcW w:w="1935" w:type="dxa"/>
            <w:vAlign w:val="center"/>
            <w:hideMark/>
          </w:tcPr>
          <w:p w14:paraId="69D5B968"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Performative anthropology</w:t>
            </w:r>
          </w:p>
        </w:tc>
      </w:tr>
      <w:tr w:rsidR="00FC519D" w:rsidRPr="00FC519D" w14:paraId="68C94012" w14:textId="77777777" w:rsidTr="00500669">
        <w:trPr>
          <w:tblCellSpacing w:w="15" w:type="dxa"/>
        </w:trPr>
        <w:tc>
          <w:tcPr>
            <w:tcW w:w="2475" w:type="dxa"/>
            <w:vAlign w:val="center"/>
            <w:hideMark/>
          </w:tcPr>
          <w:p w14:paraId="17253020"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V.R., Reshma &amp; Sheeja, S. (2023)</w:t>
            </w:r>
          </w:p>
        </w:tc>
        <w:tc>
          <w:tcPr>
            <w:tcW w:w="4830" w:type="dxa"/>
            <w:vAlign w:val="center"/>
            <w:hideMark/>
          </w:tcPr>
          <w:p w14:paraId="08B3F8D8"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Performer’s transformation in </w:t>
            </w:r>
            <w:proofErr w:type="spellStart"/>
            <w:r w:rsidRPr="00FC519D">
              <w:rPr>
                <w:rFonts w:ascii="Times New Roman" w:eastAsia="Calibri" w:hAnsi="Times New Roman"/>
                <w:lang w:val="en-US"/>
              </w:rPr>
              <w:t>Theyyam</w:t>
            </w:r>
            <w:proofErr w:type="spellEnd"/>
          </w:p>
        </w:tc>
        <w:tc>
          <w:tcPr>
            <w:tcW w:w="1935" w:type="dxa"/>
            <w:vAlign w:val="center"/>
            <w:hideMark/>
          </w:tcPr>
          <w:p w14:paraId="7B5E394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Transformation and embodiment</w:t>
            </w:r>
          </w:p>
        </w:tc>
      </w:tr>
      <w:tr w:rsidR="00FC519D" w:rsidRPr="00FC519D" w14:paraId="2C026611" w14:textId="77777777" w:rsidTr="00500669">
        <w:trPr>
          <w:tblCellSpacing w:w="15" w:type="dxa"/>
        </w:trPr>
        <w:tc>
          <w:tcPr>
            <w:tcW w:w="2475" w:type="dxa"/>
            <w:vAlign w:val="center"/>
            <w:hideMark/>
          </w:tcPr>
          <w:p w14:paraId="0BABF18C" w14:textId="77777777" w:rsidR="00FC519D" w:rsidRPr="00FC519D" w:rsidRDefault="00FC519D" w:rsidP="00500669">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Veluthat</w:t>
            </w:r>
            <w:proofErr w:type="spellEnd"/>
            <w:r w:rsidRPr="00FC519D">
              <w:rPr>
                <w:rFonts w:ascii="Times New Roman" w:eastAsia="Calibri" w:hAnsi="Times New Roman"/>
                <w:lang w:val="en-US"/>
              </w:rPr>
              <w:t>, K. (1978)</w:t>
            </w:r>
          </w:p>
        </w:tc>
        <w:tc>
          <w:tcPr>
            <w:tcW w:w="4830" w:type="dxa"/>
            <w:vAlign w:val="center"/>
            <w:hideMark/>
          </w:tcPr>
          <w:p w14:paraId="5E5E36C3"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Brahmin settlements in Kerala</w:t>
            </w:r>
          </w:p>
        </w:tc>
        <w:tc>
          <w:tcPr>
            <w:tcW w:w="1935" w:type="dxa"/>
            <w:vAlign w:val="center"/>
            <w:hideMark/>
          </w:tcPr>
          <w:p w14:paraId="5F67CBC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Historical demography</w:t>
            </w:r>
          </w:p>
        </w:tc>
      </w:tr>
      <w:tr w:rsidR="00FC519D" w:rsidRPr="00FC519D" w14:paraId="7AFEA9F6" w14:textId="77777777" w:rsidTr="00500669">
        <w:trPr>
          <w:tblCellSpacing w:w="15" w:type="dxa"/>
        </w:trPr>
        <w:tc>
          <w:tcPr>
            <w:tcW w:w="2475" w:type="dxa"/>
            <w:vAlign w:val="center"/>
            <w:hideMark/>
          </w:tcPr>
          <w:p w14:paraId="731277E9"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Verrier, M. (2021)</w:t>
            </w:r>
          </w:p>
        </w:tc>
        <w:tc>
          <w:tcPr>
            <w:tcW w:w="4830" w:type="dxa"/>
            <w:vAlign w:val="center"/>
            <w:hideMark/>
          </w:tcPr>
          <w:p w14:paraId="268F0867"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Transpersonal healing</w:t>
            </w:r>
          </w:p>
        </w:tc>
        <w:tc>
          <w:tcPr>
            <w:tcW w:w="1935" w:type="dxa"/>
            <w:vAlign w:val="center"/>
            <w:hideMark/>
          </w:tcPr>
          <w:p w14:paraId="58421A7A"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Psychospiritual theory</w:t>
            </w:r>
          </w:p>
        </w:tc>
      </w:tr>
      <w:tr w:rsidR="00FC519D" w:rsidRPr="00FC519D" w14:paraId="6082FD70" w14:textId="77777777" w:rsidTr="00500669">
        <w:trPr>
          <w:tblCellSpacing w:w="15" w:type="dxa"/>
        </w:trPr>
        <w:tc>
          <w:tcPr>
            <w:tcW w:w="2475" w:type="dxa"/>
            <w:vAlign w:val="center"/>
            <w:hideMark/>
          </w:tcPr>
          <w:p w14:paraId="16CB34EF" w14:textId="77777777" w:rsidR="00FC519D" w:rsidRPr="00FC519D" w:rsidRDefault="00FC519D" w:rsidP="00500669">
            <w:pPr>
              <w:spacing w:before="0" w:beforeAutospacing="0" w:after="0" w:line="240" w:lineRule="auto"/>
              <w:rPr>
                <w:rFonts w:ascii="Times New Roman" w:eastAsia="Calibri" w:hAnsi="Times New Roman"/>
                <w:lang w:val="en-US"/>
              </w:rPr>
            </w:pPr>
            <w:proofErr w:type="spellStart"/>
            <w:r w:rsidRPr="00FC519D">
              <w:rPr>
                <w:rFonts w:ascii="Times New Roman" w:eastAsia="Calibri" w:hAnsi="Times New Roman"/>
                <w:lang w:val="en-US"/>
              </w:rPr>
              <w:t>Vibhute</w:t>
            </w:r>
            <w:proofErr w:type="spellEnd"/>
            <w:r w:rsidRPr="00FC519D">
              <w:rPr>
                <w:rFonts w:ascii="Times New Roman" w:eastAsia="Calibri" w:hAnsi="Times New Roman"/>
                <w:lang w:val="en-US"/>
              </w:rPr>
              <w:t>, S.J. &amp; Suresh, K.B. (2024)</w:t>
            </w:r>
          </w:p>
        </w:tc>
        <w:tc>
          <w:tcPr>
            <w:tcW w:w="4830" w:type="dxa"/>
            <w:vAlign w:val="center"/>
            <w:hideMark/>
          </w:tcPr>
          <w:p w14:paraId="0CBA845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Review of Jung’s analytical psychology</w:t>
            </w:r>
          </w:p>
        </w:tc>
        <w:tc>
          <w:tcPr>
            <w:tcW w:w="1935" w:type="dxa"/>
            <w:vAlign w:val="center"/>
            <w:hideMark/>
          </w:tcPr>
          <w:p w14:paraId="6A733346"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Analytical psychology</w:t>
            </w:r>
          </w:p>
        </w:tc>
      </w:tr>
      <w:tr w:rsidR="00FC519D" w:rsidRPr="00FC519D" w14:paraId="3B178188" w14:textId="77777777" w:rsidTr="00500669">
        <w:trPr>
          <w:tblCellSpacing w:w="15" w:type="dxa"/>
        </w:trPr>
        <w:tc>
          <w:tcPr>
            <w:tcW w:w="2475" w:type="dxa"/>
            <w:vAlign w:val="center"/>
            <w:hideMark/>
          </w:tcPr>
          <w:p w14:paraId="1C4198F1"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Vishwakarma, D. (2023)</w:t>
            </w:r>
          </w:p>
        </w:tc>
        <w:tc>
          <w:tcPr>
            <w:tcW w:w="4830" w:type="dxa"/>
            <w:vAlign w:val="center"/>
            <w:hideMark/>
          </w:tcPr>
          <w:p w14:paraId="1B951491"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 xml:space="preserve">Symbolism in </w:t>
            </w:r>
            <w:proofErr w:type="spellStart"/>
            <w:r w:rsidRPr="00FC519D">
              <w:rPr>
                <w:rFonts w:ascii="Times New Roman" w:eastAsia="Calibri" w:hAnsi="Times New Roman"/>
                <w:lang w:val="en-US"/>
              </w:rPr>
              <w:t>Theyyam</w:t>
            </w:r>
            <w:proofErr w:type="spellEnd"/>
            <w:r w:rsidRPr="00FC519D">
              <w:rPr>
                <w:rFonts w:ascii="Times New Roman" w:eastAsia="Calibri" w:hAnsi="Times New Roman"/>
                <w:lang w:val="en-US"/>
              </w:rPr>
              <w:t xml:space="preserve"> headgear</w:t>
            </w:r>
          </w:p>
        </w:tc>
        <w:tc>
          <w:tcPr>
            <w:tcW w:w="1935" w:type="dxa"/>
            <w:vAlign w:val="center"/>
            <w:hideMark/>
          </w:tcPr>
          <w:p w14:paraId="4142CF4D"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Cultural symbolism</w:t>
            </w:r>
          </w:p>
        </w:tc>
      </w:tr>
      <w:tr w:rsidR="00FC519D" w:rsidRPr="00FC519D" w14:paraId="43D531B7" w14:textId="77777777" w:rsidTr="00500669">
        <w:trPr>
          <w:tblCellSpacing w:w="15" w:type="dxa"/>
        </w:trPr>
        <w:tc>
          <w:tcPr>
            <w:tcW w:w="2475" w:type="dxa"/>
            <w:vAlign w:val="center"/>
            <w:hideMark/>
          </w:tcPr>
          <w:p w14:paraId="0FD11FF7" w14:textId="77777777" w:rsidR="00FC519D" w:rsidRPr="00FC519D" w:rsidRDefault="00FC519D" w:rsidP="00500669">
            <w:pPr>
              <w:spacing w:before="0" w:beforeAutospacing="0" w:after="0" w:line="240" w:lineRule="auto"/>
              <w:rPr>
                <w:rFonts w:ascii="Times New Roman" w:eastAsia="Calibri" w:hAnsi="Times New Roman"/>
                <w:lang w:val="en-US"/>
              </w:rPr>
            </w:pPr>
            <w:r w:rsidRPr="00FC519D">
              <w:rPr>
                <w:rFonts w:ascii="Times New Roman" w:eastAsia="Calibri" w:hAnsi="Times New Roman"/>
                <w:lang w:val="en-US"/>
              </w:rPr>
              <w:t>Wu et al. (2025)</w:t>
            </w:r>
          </w:p>
        </w:tc>
        <w:tc>
          <w:tcPr>
            <w:tcW w:w="4830" w:type="dxa"/>
            <w:vAlign w:val="center"/>
            <w:hideMark/>
          </w:tcPr>
          <w:p w14:paraId="64C40D3C"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Role reversal in psychotherapy</w:t>
            </w:r>
          </w:p>
        </w:tc>
        <w:tc>
          <w:tcPr>
            <w:tcW w:w="1935" w:type="dxa"/>
            <w:vAlign w:val="center"/>
            <w:hideMark/>
          </w:tcPr>
          <w:p w14:paraId="503CB414" w14:textId="77777777" w:rsidR="00FC519D" w:rsidRPr="00FC519D" w:rsidRDefault="00FC519D" w:rsidP="00500669">
            <w:pPr>
              <w:spacing w:before="0" w:beforeAutospacing="0" w:after="0" w:line="240" w:lineRule="auto"/>
              <w:jc w:val="both"/>
              <w:rPr>
                <w:rFonts w:ascii="Times New Roman" w:eastAsia="Calibri" w:hAnsi="Times New Roman"/>
                <w:lang w:val="en-US"/>
              </w:rPr>
            </w:pPr>
            <w:r w:rsidRPr="00FC519D">
              <w:rPr>
                <w:rFonts w:ascii="Times New Roman" w:eastAsia="Calibri" w:hAnsi="Times New Roman"/>
                <w:lang w:val="en-US"/>
              </w:rPr>
              <w:t>Role reversal in therapy</w:t>
            </w:r>
          </w:p>
        </w:tc>
      </w:tr>
    </w:tbl>
    <w:commentRangeEnd w:id="3"/>
    <w:p w14:paraId="44CF2919" w14:textId="77777777" w:rsidR="0087449C" w:rsidRPr="00C34113" w:rsidRDefault="00734653" w:rsidP="0087449C">
      <w:pPr>
        <w:pStyle w:val="ListParagraph"/>
        <w:numPr>
          <w:ilvl w:val="0"/>
          <w:numId w:val="1"/>
        </w:numPr>
        <w:spacing w:line="360" w:lineRule="auto"/>
        <w:ind w:left="270" w:hanging="270"/>
        <w:jc w:val="both"/>
        <w:rPr>
          <w:rFonts w:ascii="Times New Roman" w:eastAsia="Calibri" w:hAnsi="Times New Roman"/>
          <w:b/>
          <w:bCs/>
          <w:lang w:val="en-US"/>
        </w:rPr>
      </w:pPr>
      <w:r>
        <w:rPr>
          <w:rStyle w:val="CommentReference"/>
        </w:rPr>
        <w:commentReference w:id="3"/>
      </w:r>
      <w:r w:rsidR="0087449C" w:rsidRPr="00C34113">
        <w:rPr>
          <w:rFonts w:ascii="Times New Roman" w:eastAsia="Calibri" w:hAnsi="Times New Roman"/>
          <w:b/>
          <w:bCs/>
          <w:lang w:val="en-US"/>
        </w:rPr>
        <w:t xml:space="preserve">Historical Roots of </w:t>
      </w:r>
      <w:proofErr w:type="spellStart"/>
      <w:r w:rsidR="0087449C" w:rsidRPr="00C34113">
        <w:rPr>
          <w:rFonts w:ascii="Times New Roman" w:eastAsia="Calibri" w:hAnsi="Times New Roman"/>
          <w:b/>
          <w:bCs/>
          <w:lang w:val="en-US"/>
        </w:rPr>
        <w:t>Theyyam</w:t>
      </w:r>
      <w:proofErr w:type="spellEnd"/>
    </w:p>
    <w:p w14:paraId="5A687C7F" w14:textId="35660202" w:rsidR="0087449C" w:rsidRDefault="0087449C" w:rsidP="0087449C">
      <w:pPr>
        <w:spacing w:line="360" w:lineRule="auto"/>
        <w:jc w:val="both"/>
        <w:rPr>
          <w:rFonts w:ascii="Times New Roman" w:eastAsia="Calibri" w:hAnsi="Times New Roman"/>
          <w:lang w:val="en-US"/>
        </w:rPr>
      </w:pPr>
      <w:r w:rsidRPr="006F3EA9">
        <w:rPr>
          <w:rFonts w:ascii="Times New Roman" w:eastAsia="Calibri" w:hAnsi="Times New Roman"/>
          <w:lang w:val="en-US"/>
        </w:rPr>
        <w:lastRenderedPageBreak/>
        <w:t xml:space="preserve">To understand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it’s essential to explore the historical and geographical context of the region where it originated.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developed in the northern part of Kerala, particularly in areas stretching from Payyanur to the Chandragiri River. These lands include parts of today’s Kannur and Kasaragod districts. During British rule, this region was divided between the South Canara and Malabar districts. The land north of the </w:t>
      </w:r>
      <w:proofErr w:type="spellStart"/>
      <w:r w:rsidRPr="006F3EA9">
        <w:rPr>
          <w:rFonts w:ascii="Times New Roman" w:eastAsia="Calibri" w:hAnsi="Times New Roman"/>
          <w:lang w:val="en-US"/>
        </w:rPr>
        <w:t>Kavvayi</w:t>
      </w:r>
      <w:proofErr w:type="spellEnd"/>
      <w:r w:rsidRPr="006F3EA9">
        <w:rPr>
          <w:rFonts w:ascii="Times New Roman" w:eastAsia="Calibri" w:hAnsi="Times New Roman"/>
          <w:lang w:val="en-US"/>
        </w:rPr>
        <w:t xml:space="preserve"> River belonged to South Canara, and the land to the south was part of the Malabar district</w:t>
      </w:r>
      <w:r w:rsidR="00982119">
        <w:rPr>
          <w:rFonts w:ascii="Times New Roman" w:eastAsia="Calibri" w:hAnsi="Times New Roman"/>
          <w:lang w:val="en-US"/>
        </w:rPr>
        <w:t xml:space="preserve"> (</w:t>
      </w:r>
      <w:r w:rsidR="00982119" w:rsidRPr="00982119">
        <w:rPr>
          <w:rFonts w:ascii="Times New Roman" w:eastAsia="Calibri" w:hAnsi="Times New Roman"/>
        </w:rPr>
        <w:t>Sreedhara</w:t>
      </w:r>
      <w:r w:rsidR="00B91307">
        <w:rPr>
          <w:rFonts w:ascii="Times New Roman" w:eastAsia="Calibri" w:hAnsi="Times New Roman"/>
        </w:rPr>
        <w:t xml:space="preserve"> M</w:t>
      </w:r>
      <w:r w:rsidR="00982119" w:rsidRPr="00982119">
        <w:rPr>
          <w:rFonts w:ascii="Times New Roman" w:eastAsia="Calibri" w:hAnsi="Times New Roman"/>
        </w:rPr>
        <w:t>enon, A., 2017)</w:t>
      </w:r>
      <w:r w:rsidRPr="006F3EA9">
        <w:rPr>
          <w:rFonts w:ascii="Times New Roman" w:eastAsia="Calibri" w:hAnsi="Times New Roman"/>
          <w:lang w:val="en-US"/>
        </w:rPr>
        <w:t xml:space="preserve">. After the formation of Kerala in 1956, all these regions became part of northern Kerala, known collectively as Malabar. Historically, this area saw large waves of migration. People came from the south, north of the Chandragiri River, and from the eastern regions. Among the major settlers were the Brahmins, who played a crucial role in spreading agriculture. They were supported by the </w:t>
      </w:r>
      <w:proofErr w:type="spellStart"/>
      <w:r w:rsidRPr="006F3EA9">
        <w:rPr>
          <w:rFonts w:ascii="Times New Roman" w:eastAsia="Calibri" w:hAnsi="Times New Roman"/>
          <w:lang w:val="en-US"/>
        </w:rPr>
        <w:t>Maniyani</w:t>
      </w:r>
      <w:proofErr w:type="spellEnd"/>
      <w:r w:rsidRPr="006F3EA9">
        <w:rPr>
          <w:rFonts w:ascii="Times New Roman" w:eastAsia="Calibri" w:hAnsi="Times New Roman"/>
          <w:lang w:val="en-US"/>
        </w:rPr>
        <w:t xml:space="preserve"> caste, who not only helped with farming but also trained in </w:t>
      </w:r>
      <w:proofErr w:type="spellStart"/>
      <w:r w:rsidRPr="006F3EA9">
        <w:rPr>
          <w:rFonts w:ascii="Times New Roman" w:eastAsia="Calibri" w:hAnsi="Times New Roman"/>
          <w:lang w:val="en-US"/>
        </w:rPr>
        <w:t>Kalaripayattu</w:t>
      </w:r>
      <w:proofErr w:type="spellEnd"/>
      <w:r w:rsidRPr="006F3EA9">
        <w:rPr>
          <w:rFonts w:ascii="Times New Roman" w:eastAsia="Calibri" w:hAnsi="Times New Roman"/>
          <w:lang w:val="en-US"/>
        </w:rPr>
        <w:t xml:space="preserve"> (a traditional martial art) and gradually rose in social status, becoming part of the Nair community</w:t>
      </w:r>
      <w:r w:rsidR="00044BCA">
        <w:rPr>
          <w:rFonts w:ascii="Times New Roman" w:eastAsia="Calibri" w:hAnsi="Times New Roman"/>
          <w:lang w:val="en-US"/>
        </w:rPr>
        <w:t xml:space="preserve"> (</w:t>
      </w:r>
      <w:r w:rsidR="00044BCA" w:rsidRPr="00044BCA">
        <w:rPr>
          <w:rFonts w:ascii="Times New Roman" w:eastAsia="Calibri" w:hAnsi="Times New Roman"/>
        </w:rPr>
        <w:t>Narayanan, M.T., 2003)</w:t>
      </w:r>
      <w:r w:rsidRPr="006F3EA9">
        <w:rPr>
          <w:rFonts w:ascii="Times New Roman" w:eastAsia="Calibri" w:hAnsi="Times New Roman"/>
          <w:lang w:val="en-US"/>
        </w:rPr>
        <w:t xml:space="preserve">. With the arrival and growing power of Brahmins and </w:t>
      </w:r>
      <w:proofErr w:type="spellStart"/>
      <w:r w:rsidRPr="006F3EA9">
        <w:rPr>
          <w:rFonts w:ascii="Times New Roman" w:eastAsia="Calibri" w:hAnsi="Times New Roman"/>
          <w:lang w:val="en-US"/>
        </w:rPr>
        <w:t>Nairs</w:t>
      </w:r>
      <w:proofErr w:type="spellEnd"/>
      <w:r w:rsidRPr="006F3EA9">
        <w:rPr>
          <w:rFonts w:ascii="Times New Roman" w:eastAsia="Calibri" w:hAnsi="Times New Roman"/>
          <w:lang w:val="en-US"/>
        </w:rPr>
        <w:t xml:space="preserve">, there were major social and political changes, especially in </w:t>
      </w:r>
      <w:proofErr w:type="spellStart"/>
      <w:r w:rsidRPr="006F3EA9">
        <w:rPr>
          <w:rFonts w:ascii="Times New Roman" w:eastAsia="Calibri" w:hAnsi="Times New Roman"/>
          <w:lang w:val="en-US"/>
        </w:rPr>
        <w:t>Kolathunad</w:t>
      </w:r>
      <w:proofErr w:type="spellEnd"/>
      <w:r w:rsidRPr="006F3EA9">
        <w:rPr>
          <w:rFonts w:ascii="Times New Roman" w:eastAsia="Calibri" w:hAnsi="Times New Roman"/>
          <w:lang w:val="en-US"/>
        </w:rPr>
        <w:t xml:space="preserve">, the area between the Zamorin Kingdom of Kozhikode and the </w:t>
      </w:r>
      <w:proofErr w:type="spellStart"/>
      <w:r w:rsidRPr="006F3EA9">
        <w:rPr>
          <w:rFonts w:ascii="Times New Roman" w:eastAsia="Calibri" w:hAnsi="Times New Roman"/>
          <w:lang w:val="en-US"/>
        </w:rPr>
        <w:t>Kavvayi</w:t>
      </w:r>
      <w:proofErr w:type="spellEnd"/>
      <w:r w:rsidRPr="006F3EA9">
        <w:rPr>
          <w:rFonts w:ascii="Times New Roman" w:eastAsia="Calibri" w:hAnsi="Times New Roman"/>
          <w:lang w:val="en-US"/>
        </w:rPr>
        <w:t xml:space="preserve"> River</w:t>
      </w:r>
      <w:r w:rsidR="00982119">
        <w:rPr>
          <w:rFonts w:ascii="Times New Roman" w:eastAsia="Calibri" w:hAnsi="Times New Roman"/>
          <w:lang w:val="en-US"/>
        </w:rPr>
        <w:t xml:space="preserve"> (</w:t>
      </w:r>
      <w:proofErr w:type="spellStart"/>
      <w:r w:rsidR="00982119" w:rsidRPr="00982119">
        <w:rPr>
          <w:rFonts w:ascii="Times New Roman" w:eastAsia="Calibri" w:hAnsi="Times New Roman"/>
        </w:rPr>
        <w:t>Veluthat</w:t>
      </w:r>
      <w:proofErr w:type="spellEnd"/>
      <w:r w:rsidR="00982119" w:rsidRPr="00982119">
        <w:rPr>
          <w:rFonts w:ascii="Times New Roman" w:eastAsia="Calibri" w:hAnsi="Times New Roman"/>
        </w:rPr>
        <w:t>, Kesavan, 1978)</w:t>
      </w:r>
      <w:r w:rsidRPr="006F3EA9">
        <w:rPr>
          <w:rFonts w:ascii="Times New Roman" w:eastAsia="Calibri" w:hAnsi="Times New Roman"/>
          <w:lang w:val="en-US"/>
        </w:rPr>
        <w:t xml:space="preserve">. </w:t>
      </w:r>
      <w:proofErr w:type="spellStart"/>
      <w:r w:rsidRPr="006F3EA9">
        <w:rPr>
          <w:rFonts w:ascii="Times New Roman" w:eastAsia="Calibri" w:hAnsi="Times New Roman"/>
          <w:lang w:val="en-US"/>
        </w:rPr>
        <w:t>Nairs</w:t>
      </w:r>
      <w:proofErr w:type="spellEnd"/>
      <w:r w:rsidRPr="006F3EA9">
        <w:rPr>
          <w:rFonts w:ascii="Times New Roman" w:eastAsia="Calibri" w:hAnsi="Times New Roman"/>
          <w:lang w:val="en-US"/>
        </w:rPr>
        <w:t xml:space="preserve"> gained dominance as landlords and leaders, and their influence led to changes in local customs and rituals, including </w:t>
      </w:r>
      <w:proofErr w:type="spellStart"/>
      <w:r w:rsidRPr="006F3EA9">
        <w:rPr>
          <w:rFonts w:ascii="Times New Roman" w:eastAsia="Calibri" w:hAnsi="Times New Roman"/>
          <w:lang w:val="en-US"/>
        </w:rPr>
        <w:t>Theyyam</w:t>
      </w:r>
      <w:proofErr w:type="spellEnd"/>
      <w:r w:rsidR="00074E4D">
        <w:rPr>
          <w:rFonts w:ascii="Times New Roman" w:eastAsia="Calibri" w:hAnsi="Times New Roman"/>
          <w:lang w:val="en-US"/>
        </w:rPr>
        <w:t xml:space="preserve"> (</w:t>
      </w:r>
      <w:r w:rsidR="00074E4D" w:rsidRPr="00074E4D">
        <w:rPr>
          <w:rFonts w:ascii="Times New Roman" w:eastAsia="Calibri" w:hAnsi="Times New Roman"/>
        </w:rPr>
        <w:t>Gough, E. Kathleen, 19</w:t>
      </w:r>
      <w:r w:rsidR="00074E4D">
        <w:rPr>
          <w:rFonts w:ascii="Times New Roman" w:eastAsia="Calibri" w:hAnsi="Times New Roman"/>
        </w:rPr>
        <w:t>8</w:t>
      </w:r>
      <w:r w:rsidR="00074E4D" w:rsidRPr="00074E4D">
        <w:rPr>
          <w:rFonts w:ascii="Times New Roman" w:eastAsia="Calibri" w:hAnsi="Times New Roman"/>
        </w:rPr>
        <w:t>1)</w:t>
      </w:r>
      <w:r w:rsidRPr="006F3EA9">
        <w:rPr>
          <w:rFonts w:ascii="Times New Roman" w:eastAsia="Calibri" w:hAnsi="Times New Roman"/>
          <w:lang w:val="en-US"/>
        </w:rPr>
        <w:t xml:space="preserve">. These shifts in power brought about modifications in the way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was performed. As rituals were adapted to suit the new social order, the structure and style of </w:t>
      </w:r>
      <w:proofErr w:type="spellStart"/>
      <w:r w:rsidRPr="006F3EA9">
        <w:rPr>
          <w:rFonts w:ascii="Times New Roman" w:eastAsia="Calibri" w:hAnsi="Times New Roman"/>
          <w:lang w:val="en-US"/>
        </w:rPr>
        <w:t>Theyyattam</w:t>
      </w:r>
      <w:proofErr w:type="spellEnd"/>
      <w:r w:rsidRPr="006F3EA9">
        <w:rPr>
          <w:rFonts w:ascii="Times New Roman" w:eastAsia="Calibri" w:hAnsi="Times New Roman"/>
          <w:lang w:val="en-US"/>
        </w:rPr>
        <w:t xml:space="preserve"> evolved. Thus, the development of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is closely tied to the region’s history, social structure, and cultural changes, making it a living tradition that reflects the transformations of its time.</w:t>
      </w:r>
    </w:p>
    <w:p w14:paraId="757CFADC" w14:textId="0DD6AAFC" w:rsidR="0087449C" w:rsidRDefault="0087449C" w:rsidP="0087449C">
      <w:pPr>
        <w:spacing w:line="360" w:lineRule="auto"/>
        <w:jc w:val="both"/>
        <w:rPr>
          <w:rFonts w:ascii="Times New Roman" w:eastAsia="Calibri" w:hAnsi="Times New Roman"/>
          <w:lang w:val="en-US"/>
        </w:rPr>
      </w:pPr>
      <w:commentRangeStart w:id="4"/>
      <w:r w:rsidRPr="0096589A">
        <w:rPr>
          <w:rFonts w:ascii="Times New Roman" w:eastAsia="Calibri" w:hAnsi="Times New Roman"/>
          <w:lang w:val="en-US"/>
        </w:rPr>
        <w:t xml:space="preserve">As Thurston (1970) points out, "In North Kerala, the cult of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was converted to regulate the agrarian relations as part of a feudal system" (p. 296). In its early history,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functioned as a form of social control within a feudal framework, primarily influencing the agricultural laborers. The ritualistic and folkloric aspects of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were deeply embedded in the lives of the local community, particularly the illiterate peasants who were burdened by the rigid norms, social taboos, and religious beliefs of the time. For these laborers, including the </w:t>
      </w:r>
      <w:proofErr w:type="spellStart"/>
      <w:r w:rsidRPr="0096589A">
        <w:rPr>
          <w:rFonts w:ascii="Times New Roman" w:eastAsia="Calibri" w:hAnsi="Times New Roman"/>
          <w:lang w:val="en-US"/>
        </w:rPr>
        <w:t>Pulaya</w:t>
      </w:r>
      <w:proofErr w:type="spellEnd"/>
      <w:r w:rsidRPr="0096589A">
        <w:rPr>
          <w:rFonts w:ascii="Times New Roman" w:eastAsia="Calibri" w:hAnsi="Times New Roman"/>
          <w:lang w:val="en-US"/>
        </w:rPr>
        <w:t xml:space="preserve"> and </w:t>
      </w:r>
      <w:proofErr w:type="spellStart"/>
      <w:r w:rsidRPr="0096589A">
        <w:rPr>
          <w:rFonts w:ascii="Times New Roman" w:eastAsia="Calibri" w:hAnsi="Times New Roman"/>
          <w:lang w:val="en-US"/>
        </w:rPr>
        <w:t>Mavila</w:t>
      </w:r>
      <w:proofErr w:type="spellEnd"/>
      <w:r w:rsidRPr="0096589A">
        <w:rPr>
          <w:rFonts w:ascii="Times New Roman" w:eastAsia="Calibri" w:hAnsi="Times New Roman"/>
          <w:lang w:val="en-US"/>
        </w:rPr>
        <w:t xml:space="preserve"> castes, failure to properly fulfill their agricultural duties was believed to invoke the wrath of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who was seen as a divine force capable of punishing them. This belief created a </w:t>
      </w:r>
      <w:r w:rsidRPr="0096589A">
        <w:rPr>
          <w:rFonts w:ascii="Times New Roman" w:eastAsia="Calibri" w:hAnsi="Times New Roman"/>
          <w:lang w:val="en-US"/>
        </w:rPr>
        <w:lastRenderedPageBreak/>
        <w:t xml:space="preserve">psychological compulsion to labor diligently on the land, particularly for the landlords, known as the </w:t>
      </w:r>
      <w:proofErr w:type="spellStart"/>
      <w:r w:rsidRPr="0096589A">
        <w:rPr>
          <w:rFonts w:ascii="Times New Roman" w:eastAsia="Calibri" w:hAnsi="Times New Roman"/>
          <w:lang w:val="en-US"/>
        </w:rPr>
        <w:t>naduvazhi</w:t>
      </w:r>
      <w:proofErr w:type="spellEnd"/>
      <w:r w:rsidRPr="0096589A">
        <w:rPr>
          <w:rFonts w:ascii="Times New Roman" w:eastAsia="Calibri" w:hAnsi="Times New Roman"/>
          <w:lang w:val="en-US"/>
        </w:rPr>
        <w:t>, to maintain agricultural productivity</w:t>
      </w:r>
      <w:r w:rsidR="00B91307">
        <w:rPr>
          <w:rFonts w:ascii="Times New Roman" w:eastAsia="Calibri" w:hAnsi="Times New Roman"/>
          <w:lang w:val="en-US"/>
        </w:rPr>
        <w:t xml:space="preserve"> (</w:t>
      </w:r>
      <w:r w:rsidR="00B91307" w:rsidRPr="00B91307">
        <w:rPr>
          <w:rFonts w:ascii="Times New Roman" w:eastAsia="Calibri" w:hAnsi="Times New Roman"/>
        </w:rPr>
        <w:t>Dasan, M, 2012)</w:t>
      </w:r>
      <w:r w:rsidRPr="0096589A">
        <w:rPr>
          <w:rFonts w:ascii="Times New Roman" w:eastAsia="Calibri" w:hAnsi="Times New Roman"/>
          <w:lang w:val="en-US"/>
        </w:rPr>
        <w:t>.</w:t>
      </w:r>
      <w:r>
        <w:rPr>
          <w:rFonts w:ascii="Times New Roman" w:eastAsia="Calibri" w:hAnsi="Times New Roman"/>
          <w:lang w:val="en-US"/>
        </w:rPr>
        <w:t xml:space="preserve"> </w:t>
      </w:r>
      <w:commentRangeEnd w:id="4"/>
      <w:r w:rsidR="00734653">
        <w:rPr>
          <w:rStyle w:val="CommentReference"/>
        </w:rPr>
        <w:commentReference w:id="4"/>
      </w:r>
    </w:p>
    <w:p w14:paraId="56B0CB3F" w14:textId="47AA3CD3" w:rsidR="0087449C" w:rsidRPr="0096589A" w:rsidRDefault="0087449C" w:rsidP="0087449C">
      <w:pPr>
        <w:spacing w:line="360" w:lineRule="auto"/>
        <w:jc w:val="both"/>
        <w:rPr>
          <w:rFonts w:ascii="Times New Roman" w:eastAsia="Calibri" w:hAnsi="Times New Roman"/>
          <w:lang w:val="en-US"/>
        </w:rPr>
      </w:pPr>
      <w:r w:rsidRPr="0096589A">
        <w:rPr>
          <w:rFonts w:ascii="Times New Roman" w:eastAsia="Calibri" w:hAnsi="Times New Roman"/>
          <w:lang w:val="en-US"/>
        </w:rPr>
        <w:t xml:space="preserve">Until the 1980s,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performances were typically held throughout the night, from dusk to dawn, ensuring minimal disruption to the workday. In this context,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served as a tool to perpetuate the feudal agrarian system, reinforcing the hierarchical power dynamics between the ruling and laboring classes</w:t>
      </w:r>
      <w:r w:rsidR="00044BCA">
        <w:rPr>
          <w:rFonts w:ascii="Times New Roman" w:eastAsia="Calibri" w:hAnsi="Times New Roman"/>
          <w:lang w:val="en-US"/>
        </w:rPr>
        <w:t xml:space="preserve"> (</w:t>
      </w:r>
      <w:r w:rsidR="00044BCA" w:rsidRPr="00044BCA">
        <w:rPr>
          <w:rFonts w:ascii="Times New Roman" w:eastAsia="Calibri" w:hAnsi="Times New Roman"/>
        </w:rPr>
        <w:t>Narayanan, M.T., 2003)</w:t>
      </w:r>
      <w:r w:rsidRPr="0096589A">
        <w:rPr>
          <w:rFonts w:ascii="Times New Roman" w:eastAsia="Calibri" w:hAnsi="Times New Roman"/>
          <w:lang w:val="en-US"/>
        </w:rPr>
        <w:t>. It was not only a ritualistic performance but also a psychological mechanism that supported the social and economic exploitation of the lower castes by the higher castes</w:t>
      </w:r>
      <w:r w:rsidR="00B91307">
        <w:rPr>
          <w:rFonts w:ascii="Times New Roman" w:eastAsia="Calibri" w:hAnsi="Times New Roman"/>
          <w:lang w:val="en-US"/>
        </w:rPr>
        <w:t xml:space="preserve"> (</w:t>
      </w:r>
      <w:r w:rsidR="00B91307" w:rsidRPr="00B91307">
        <w:rPr>
          <w:rFonts w:ascii="Times New Roman" w:eastAsia="Calibri" w:hAnsi="Times New Roman"/>
        </w:rPr>
        <w:t>Menon, Dileep,</w:t>
      </w:r>
      <w:r w:rsidR="00B91307">
        <w:rPr>
          <w:rFonts w:ascii="Times New Roman" w:eastAsia="Calibri" w:hAnsi="Times New Roman"/>
        </w:rPr>
        <w:t xml:space="preserve"> </w:t>
      </w:r>
      <w:r w:rsidR="00B91307" w:rsidRPr="00B91307">
        <w:rPr>
          <w:rFonts w:ascii="Times New Roman" w:eastAsia="Calibri" w:hAnsi="Times New Roman"/>
        </w:rPr>
        <w:t>1993)</w:t>
      </w:r>
      <w:r w:rsidRPr="0096589A">
        <w:rPr>
          <w:rFonts w:ascii="Times New Roman" w:eastAsia="Calibri" w:hAnsi="Times New Roman"/>
          <w:lang w:val="en-US"/>
        </w:rPr>
        <w:t>.</w:t>
      </w:r>
      <w:r>
        <w:rPr>
          <w:rFonts w:ascii="Times New Roman" w:eastAsia="Calibri" w:hAnsi="Times New Roman"/>
          <w:lang w:val="en-US"/>
        </w:rPr>
        <w:t xml:space="preserve"> </w:t>
      </w:r>
      <w:r w:rsidRPr="0096589A">
        <w:rPr>
          <w:rFonts w:ascii="Times New Roman" w:eastAsia="Calibri" w:hAnsi="Times New Roman"/>
          <w:lang w:val="en-US"/>
        </w:rPr>
        <w:t xml:space="preserve">However, the 1940s marked a significant shift in the region, as peasant movements led by communist leaders began to challenge the cultural and spiritual significance of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These movements sought to demystify the ritual and argued that </w:t>
      </w:r>
      <w:proofErr w:type="spellStart"/>
      <w:r w:rsidRPr="0096589A">
        <w:rPr>
          <w:rFonts w:ascii="Times New Roman" w:eastAsia="Calibri" w:hAnsi="Times New Roman"/>
          <w:lang w:val="en-US"/>
        </w:rPr>
        <w:t>Theyyam</w:t>
      </w:r>
      <w:proofErr w:type="spellEnd"/>
      <w:r w:rsidRPr="0096589A">
        <w:rPr>
          <w:rFonts w:ascii="Times New Roman" w:eastAsia="Calibri" w:hAnsi="Times New Roman"/>
          <w:lang w:val="en-US"/>
        </w:rPr>
        <w:t xml:space="preserve"> was not a divine representation but a form of folk art that had been used to maintain the psychological and social control of the people. As a result, these movements contributed to a broader reevaluation of </w:t>
      </w:r>
      <w:proofErr w:type="spellStart"/>
      <w:r w:rsidRPr="0096589A">
        <w:rPr>
          <w:rFonts w:ascii="Times New Roman" w:eastAsia="Calibri" w:hAnsi="Times New Roman"/>
          <w:lang w:val="en-US"/>
        </w:rPr>
        <w:t>Theyyam’s</w:t>
      </w:r>
      <w:proofErr w:type="spellEnd"/>
      <w:r w:rsidRPr="0096589A">
        <w:rPr>
          <w:rFonts w:ascii="Times New Roman" w:eastAsia="Calibri" w:hAnsi="Times New Roman"/>
          <w:lang w:val="en-US"/>
        </w:rPr>
        <w:t xml:space="preserve"> role in the socio-political landscape of Kerala, particularly in terms of its use in reinforcing class divisions and feudal relationships (Kurup, 19</w:t>
      </w:r>
      <w:r w:rsidR="009B4C82">
        <w:rPr>
          <w:rFonts w:ascii="Times New Roman" w:eastAsia="Calibri" w:hAnsi="Times New Roman"/>
          <w:lang w:val="en-US"/>
        </w:rPr>
        <w:t>9</w:t>
      </w:r>
      <w:r w:rsidRPr="0096589A">
        <w:rPr>
          <w:rFonts w:ascii="Times New Roman" w:eastAsia="Calibri" w:hAnsi="Times New Roman"/>
          <w:lang w:val="en-US"/>
        </w:rPr>
        <w:t>6, p. 69).</w:t>
      </w:r>
    </w:p>
    <w:p w14:paraId="57721D81" w14:textId="3DAF13C5" w:rsidR="0087449C" w:rsidRDefault="0087449C" w:rsidP="0087449C">
      <w:pPr>
        <w:spacing w:line="360" w:lineRule="auto"/>
        <w:jc w:val="both"/>
        <w:rPr>
          <w:rFonts w:ascii="Times New Roman" w:eastAsia="Calibri" w:hAnsi="Times New Roman"/>
          <w:lang w:val="en-US"/>
        </w:rPr>
      </w:pPr>
      <w:r w:rsidRPr="006F3EA9">
        <w:rPr>
          <w:rFonts w:ascii="Times New Roman" w:eastAsia="Calibri" w:hAnsi="Times New Roman"/>
          <w:lang w:val="en-US"/>
        </w:rPr>
        <w:t xml:space="preserve">Historically,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performers came from marginalized and lower-caste communities, such as Malayan, Vannan, Velan, </w:t>
      </w:r>
      <w:proofErr w:type="spellStart"/>
      <w:r w:rsidRPr="006F3EA9">
        <w:rPr>
          <w:rFonts w:ascii="Times New Roman" w:eastAsia="Calibri" w:hAnsi="Times New Roman"/>
          <w:lang w:val="en-US"/>
        </w:rPr>
        <w:t>Pulayan</w:t>
      </w:r>
      <w:proofErr w:type="spellEnd"/>
      <w:r w:rsidRPr="006F3EA9">
        <w:rPr>
          <w:rFonts w:ascii="Times New Roman" w:eastAsia="Calibri" w:hAnsi="Times New Roman"/>
          <w:lang w:val="en-US"/>
        </w:rPr>
        <w:t xml:space="preserve">, </w:t>
      </w:r>
      <w:proofErr w:type="spellStart"/>
      <w:r w:rsidRPr="006F3EA9">
        <w:rPr>
          <w:rFonts w:ascii="Times New Roman" w:eastAsia="Calibri" w:hAnsi="Times New Roman"/>
          <w:lang w:val="en-US"/>
        </w:rPr>
        <w:t>Mavilan</w:t>
      </w:r>
      <w:proofErr w:type="spellEnd"/>
      <w:r w:rsidRPr="006F3EA9">
        <w:rPr>
          <w:rFonts w:ascii="Times New Roman" w:eastAsia="Calibri" w:hAnsi="Times New Roman"/>
          <w:lang w:val="en-US"/>
        </w:rPr>
        <w:t xml:space="preserve">, and others (Damodaran, 1998). These groups were often excluded from mainstream society due to caste-based discrimination. However, in the space of the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ritual, these same individuals were transformed into divine figures, temporarily reversing social hierarchies and giving them a unique place of spiritual power and respect.</w:t>
      </w:r>
      <w:r>
        <w:rPr>
          <w:rFonts w:ascii="Times New Roman" w:eastAsia="Calibri" w:hAnsi="Times New Roman"/>
          <w:lang w:val="en-US"/>
        </w:rPr>
        <w:t xml:space="preserve"> </w:t>
      </w:r>
      <w:r w:rsidRPr="006F3EA9">
        <w:rPr>
          <w:rFonts w:ascii="Times New Roman" w:eastAsia="Calibri" w:hAnsi="Times New Roman"/>
          <w:lang w:val="en-US"/>
        </w:rPr>
        <w:t>While caste barriers were strong in Kerala society, some exceptions existed. For instance, tribal groups were often not subjected to the same level of untouchability, and skilled occupational castes like goldsmiths (</w:t>
      </w:r>
      <w:proofErr w:type="spellStart"/>
      <w:r w:rsidRPr="006F3EA9">
        <w:rPr>
          <w:rFonts w:ascii="Times New Roman" w:eastAsia="Calibri" w:hAnsi="Times New Roman"/>
          <w:lang w:val="en-US"/>
        </w:rPr>
        <w:t>Thattan</w:t>
      </w:r>
      <w:proofErr w:type="spellEnd"/>
      <w:r w:rsidRPr="006F3EA9">
        <w:rPr>
          <w:rFonts w:ascii="Times New Roman" w:eastAsia="Calibri" w:hAnsi="Times New Roman"/>
          <w:lang w:val="en-US"/>
        </w:rPr>
        <w:t>) and carpenters (Asari) were allowed into upper-caste households for specific tasks</w:t>
      </w:r>
      <w:r w:rsidR="009B4C82">
        <w:rPr>
          <w:rFonts w:ascii="Times New Roman" w:eastAsia="Calibri" w:hAnsi="Times New Roman"/>
          <w:lang w:val="en-US"/>
        </w:rPr>
        <w:t xml:space="preserve"> (</w:t>
      </w:r>
      <w:r w:rsidR="009B4C82" w:rsidRPr="009B4C82">
        <w:rPr>
          <w:rFonts w:ascii="Times New Roman" w:eastAsia="Calibri" w:hAnsi="Times New Roman"/>
        </w:rPr>
        <w:t>Kannan, Y. V.,</w:t>
      </w:r>
      <w:r w:rsidR="009B4C82">
        <w:rPr>
          <w:rFonts w:ascii="Times New Roman" w:eastAsia="Calibri" w:hAnsi="Times New Roman"/>
        </w:rPr>
        <w:t xml:space="preserve"> </w:t>
      </w:r>
      <w:r w:rsidR="009B4C82" w:rsidRPr="009B4C82">
        <w:rPr>
          <w:rFonts w:ascii="Times New Roman" w:eastAsia="Calibri" w:hAnsi="Times New Roman"/>
        </w:rPr>
        <w:t>2015)</w:t>
      </w:r>
      <w:r w:rsidRPr="006F3EA9">
        <w:rPr>
          <w:rFonts w:ascii="Times New Roman" w:eastAsia="Calibri" w:hAnsi="Times New Roman"/>
          <w:lang w:val="en-US"/>
        </w:rPr>
        <w:t xml:space="preserve">. Converts to other religions also sometimes gained more freedom to interact with higher castes. These contradictions in the caste system led Swami Vivekananda to famously describe Kerala as a "lunatic asylum" (Sreedhara Menon, 2017).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was more than just performance</w:t>
      </w:r>
      <w:r w:rsidR="009B4C82">
        <w:rPr>
          <w:rFonts w:ascii="Times New Roman" w:eastAsia="Calibri" w:hAnsi="Times New Roman"/>
          <w:lang w:val="en-US"/>
        </w:rPr>
        <w:t xml:space="preserve">, </w:t>
      </w:r>
      <w:r w:rsidRPr="006F3EA9">
        <w:rPr>
          <w:rFonts w:ascii="Times New Roman" w:eastAsia="Calibri" w:hAnsi="Times New Roman"/>
          <w:lang w:val="en-US"/>
        </w:rPr>
        <w:t xml:space="preserve">it played a vital role in shaping the social, political, and economic life of North Malabar. From the 13th century onwards, rulers and landlords used </w:t>
      </w:r>
      <w:proofErr w:type="spellStart"/>
      <w:r w:rsidRPr="006F3EA9">
        <w:rPr>
          <w:rFonts w:ascii="Times New Roman" w:eastAsia="Calibri" w:hAnsi="Times New Roman"/>
          <w:lang w:val="en-US"/>
        </w:rPr>
        <w:t>Theyyattam</w:t>
      </w:r>
      <w:proofErr w:type="spellEnd"/>
      <w:r w:rsidRPr="006F3EA9">
        <w:rPr>
          <w:rFonts w:ascii="Times New Roman" w:eastAsia="Calibri" w:hAnsi="Times New Roman"/>
          <w:lang w:val="en-US"/>
        </w:rPr>
        <w:t xml:space="preserve"> as a way to assert control and legitimacy over their lands and people. It became a tool to reinforce authority, resolve disputes, and maintain order.</w:t>
      </w:r>
    </w:p>
    <w:p w14:paraId="4FE2D419" w14:textId="5EC19CC4" w:rsidR="0087449C" w:rsidRDefault="0087449C" w:rsidP="0087449C">
      <w:pPr>
        <w:spacing w:line="360" w:lineRule="auto"/>
        <w:jc w:val="both"/>
        <w:rPr>
          <w:rFonts w:ascii="Times New Roman" w:eastAsia="Calibri" w:hAnsi="Times New Roman"/>
        </w:rPr>
      </w:pPr>
      <w:r w:rsidRPr="006F3EA9">
        <w:rPr>
          <w:rFonts w:ascii="Times New Roman" w:eastAsia="Calibri" w:hAnsi="Times New Roman"/>
          <w:lang w:val="en-US"/>
        </w:rPr>
        <w:lastRenderedPageBreak/>
        <w:t xml:space="preserve">At its core,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is a deeply spiritual and emotional experience for both the performer and the audience. It allows space for emotional release, communal bonding, and psychological healing (L, </w:t>
      </w:r>
      <w:proofErr w:type="spellStart"/>
      <w:r w:rsidRPr="006F3EA9">
        <w:rPr>
          <w:rFonts w:ascii="Times New Roman" w:eastAsia="Calibri" w:hAnsi="Times New Roman"/>
          <w:lang w:val="en-US"/>
        </w:rPr>
        <w:t>Deleep</w:t>
      </w:r>
      <w:proofErr w:type="spellEnd"/>
      <w:r w:rsidRPr="006F3EA9">
        <w:rPr>
          <w:rFonts w:ascii="Times New Roman" w:eastAsia="Calibri" w:hAnsi="Times New Roman"/>
          <w:lang w:val="en-US"/>
        </w:rPr>
        <w:t>, 2024). The performances are traditionally held with the cooperation of different caste groups in Hindu society, but they have also historically welcomed participants from other religions</w:t>
      </w:r>
      <w:r w:rsidR="00044BCA">
        <w:rPr>
          <w:rFonts w:ascii="Times New Roman" w:eastAsia="Calibri" w:hAnsi="Times New Roman"/>
          <w:lang w:val="en-US"/>
        </w:rPr>
        <w:t xml:space="preserve"> </w:t>
      </w:r>
      <w:r w:rsidRPr="006F3EA9">
        <w:rPr>
          <w:rFonts w:ascii="Times New Roman" w:eastAsia="Calibri" w:hAnsi="Times New Roman"/>
          <w:lang w:val="en-US"/>
        </w:rPr>
        <w:t>especially during festivals that included trade fairs (</w:t>
      </w:r>
      <w:proofErr w:type="spellStart"/>
      <w:r w:rsidRPr="006F3EA9">
        <w:rPr>
          <w:rFonts w:ascii="Times New Roman" w:eastAsia="Calibri" w:hAnsi="Times New Roman"/>
          <w:lang w:val="en-US"/>
        </w:rPr>
        <w:t>chanda</w:t>
      </w:r>
      <w:proofErr w:type="spellEnd"/>
      <w:r w:rsidRPr="006F3EA9">
        <w:rPr>
          <w:rFonts w:ascii="Times New Roman" w:eastAsia="Calibri" w:hAnsi="Times New Roman"/>
          <w:lang w:val="en-US"/>
        </w:rPr>
        <w:t>), fostering wider social and economic exchange</w:t>
      </w:r>
      <w:r w:rsidR="00B03299">
        <w:rPr>
          <w:rFonts w:ascii="Times New Roman" w:eastAsia="Calibri" w:hAnsi="Times New Roman"/>
          <w:lang w:val="en-US"/>
        </w:rPr>
        <w:t xml:space="preserve"> (</w:t>
      </w:r>
      <w:r w:rsidR="00B03299" w:rsidRPr="00B03299">
        <w:rPr>
          <w:rFonts w:ascii="Times New Roman" w:eastAsia="Calibri" w:hAnsi="Times New Roman"/>
        </w:rPr>
        <w:t>Kannan, Y. V.,</w:t>
      </w:r>
      <w:r w:rsidR="00B03299">
        <w:rPr>
          <w:rFonts w:ascii="Times New Roman" w:eastAsia="Calibri" w:hAnsi="Times New Roman"/>
        </w:rPr>
        <w:t xml:space="preserve"> </w:t>
      </w:r>
      <w:r w:rsidR="00B03299" w:rsidRPr="00B03299">
        <w:rPr>
          <w:rFonts w:ascii="Times New Roman" w:eastAsia="Calibri" w:hAnsi="Times New Roman"/>
        </w:rPr>
        <w:t>2015)</w:t>
      </w:r>
      <w:r w:rsidRPr="006F3EA9">
        <w:rPr>
          <w:rFonts w:ascii="Times New Roman" w:eastAsia="Calibri" w:hAnsi="Times New Roman"/>
          <w:lang w:val="en-US"/>
        </w:rPr>
        <w:t xml:space="preserve">. Most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rituals are performed in sacred spaces such as </w:t>
      </w:r>
      <w:proofErr w:type="spellStart"/>
      <w:r w:rsidRPr="006F3EA9">
        <w:rPr>
          <w:rFonts w:ascii="Times New Roman" w:eastAsia="Calibri" w:hAnsi="Times New Roman"/>
          <w:lang w:val="en-US"/>
        </w:rPr>
        <w:t>kavus</w:t>
      </w:r>
      <w:proofErr w:type="spellEnd"/>
      <w:r w:rsidRPr="006F3EA9">
        <w:rPr>
          <w:rFonts w:ascii="Times New Roman" w:eastAsia="Calibri" w:hAnsi="Times New Roman"/>
          <w:lang w:val="en-US"/>
        </w:rPr>
        <w:t xml:space="preserve"> (sacred groves), </w:t>
      </w:r>
      <w:proofErr w:type="spellStart"/>
      <w:r w:rsidRPr="006F3EA9">
        <w:rPr>
          <w:rFonts w:ascii="Times New Roman" w:eastAsia="Calibri" w:hAnsi="Times New Roman"/>
          <w:lang w:val="en-US"/>
        </w:rPr>
        <w:t>kottams</w:t>
      </w:r>
      <w:proofErr w:type="spellEnd"/>
      <w:r w:rsidRPr="006F3EA9">
        <w:rPr>
          <w:rFonts w:ascii="Times New Roman" w:eastAsia="Calibri" w:hAnsi="Times New Roman"/>
          <w:lang w:val="en-US"/>
        </w:rPr>
        <w:t xml:space="preserve">, madams, </w:t>
      </w:r>
      <w:proofErr w:type="spellStart"/>
      <w:r w:rsidRPr="006F3EA9">
        <w:rPr>
          <w:rFonts w:ascii="Times New Roman" w:eastAsia="Calibri" w:hAnsi="Times New Roman"/>
          <w:lang w:val="en-US"/>
        </w:rPr>
        <w:t>palliyaras</w:t>
      </w:r>
      <w:proofErr w:type="spellEnd"/>
      <w:r w:rsidRPr="006F3EA9">
        <w:rPr>
          <w:rFonts w:ascii="Times New Roman" w:eastAsia="Calibri" w:hAnsi="Times New Roman"/>
          <w:lang w:val="en-US"/>
        </w:rPr>
        <w:t xml:space="preserve">, and </w:t>
      </w:r>
      <w:proofErr w:type="spellStart"/>
      <w:r w:rsidRPr="006F3EA9">
        <w:rPr>
          <w:rFonts w:ascii="Times New Roman" w:eastAsia="Calibri" w:hAnsi="Times New Roman"/>
          <w:lang w:val="en-US"/>
        </w:rPr>
        <w:t>tharavads</w:t>
      </w:r>
      <w:proofErr w:type="spellEnd"/>
      <w:r w:rsidRPr="006F3EA9">
        <w:rPr>
          <w:rFonts w:ascii="Times New Roman" w:eastAsia="Calibri" w:hAnsi="Times New Roman"/>
          <w:lang w:val="en-US"/>
        </w:rPr>
        <w:t xml:space="preserve">. The </w:t>
      </w:r>
      <w:proofErr w:type="spellStart"/>
      <w:r w:rsidRPr="006F3EA9">
        <w:rPr>
          <w:rFonts w:ascii="Times New Roman" w:eastAsia="Calibri" w:hAnsi="Times New Roman"/>
          <w:lang w:val="en-US"/>
        </w:rPr>
        <w:t>kavus</w:t>
      </w:r>
      <w:proofErr w:type="spellEnd"/>
      <w:r w:rsidRPr="006F3EA9">
        <w:rPr>
          <w:rFonts w:ascii="Times New Roman" w:eastAsia="Calibri" w:hAnsi="Times New Roman"/>
          <w:lang w:val="en-US"/>
        </w:rPr>
        <w:t xml:space="preserve">, in particular, are closely connected to ancient forms of nature worship and are believed to be the spiritual homes of the deities portrayed in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These sites continue to hold cultural and religious importance</w:t>
      </w:r>
      <w:r w:rsidR="00B03299">
        <w:rPr>
          <w:rFonts w:ascii="Times New Roman" w:eastAsia="Calibri" w:hAnsi="Times New Roman"/>
          <w:lang w:val="en-US"/>
        </w:rPr>
        <w:t xml:space="preserve"> (</w:t>
      </w:r>
      <w:r w:rsidR="00B03299" w:rsidRPr="00B03299">
        <w:rPr>
          <w:rFonts w:ascii="Times New Roman" w:eastAsia="Calibri" w:hAnsi="Times New Roman"/>
        </w:rPr>
        <w:t>Freeman, John Richardson, Jr.</w:t>
      </w:r>
      <w:r w:rsidR="00B03299">
        <w:rPr>
          <w:rFonts w:ascii="Times New Roman" w:eastAsia="Calibri" w:hAnsi="Times New Roman"/>
        </w:rPr>
        <w:t xml:space="preserve">, </w:t>
      </w:r>
      <w:r w:rsidR="00B03299" w:rsidRPr="00B03299">
        <w:rPr>
          <w:rFonts w:ascii="Times New Roman" w:eastAsia="Calibri" w:hAnsi="Times New Roman"/>
        </w:rPr>
        <w:t>1999)</w:t>
      </w:r>
      <w:r w:rsidRPr="006F3EA9">
        <w:rPr>
          <w:rFonts w:ascii="Times New Roman" w:eastAsia="Calibri" w:hAnsi="Times New Roman"/>
          <w:lang w:val="en-US"/>
        </w:rPr>
        <w:t xml:space="preserve">.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draws from tribal, folk, and religious traditions. It blends myths, rituals, and art into a living tradition that has been passed down through generations. This rich combination of spiritual belief, social structure, and emotional depth gives </w:t>
      </w:r>
      <w:proofErr w:type="spellStart"/>
      <w:r w:rsidRPr="006F3EA9">
        <w:rPr>
          <w:rFonts w:ascii="Times New Roman" w:eastAsia="Calibri" w:hAnsi="Times New Roman"/>
          <w:lang w:val="en-US"/>
        </w:rPr>
        <w:t>Theyyam</w:t>
      </w:r>
      <w:proofErr w:type="spellEnd"/>
      <w:r w:rsidRPr="006F3EA9">
        <w:rPr>
          <w:rFonts w:ascii="Times New Roman" w:eastAsia="Calibri" w:hAnsi="Times New Roman"/>
          <w:lang w:val="en-US"/>
        </w:rPr>
        <w:t xml:space="preserve"> its lasting power and relevance in Kerala's cultural and psychological landscape.</w:t>
      </w:r>
      <w:r>
        <w:rPr>
          <w:rFonts w:ascii="Times New Roman" w:eastAsia="Calibri" w:hAnsi="Times New Roman"/>
          <w:lang w:val="en-US"/>
        </w:rPr>
        <w:t xml:space="preserve"> </w:t>
      </w:r>
      <w:r w:rsidRPr="00C34113">
        <w:rPr>
          <w:rFonts w:ascii="Times New Roman" w:eastAsia="Calibri" w:hAnsi="Times New Roman"/>
        </w:rPr>
        <w:t xml:space="preserve">Another interesting change is that while </w:t>
      </w:r>
      <w:proofErr w:type="spellStart"/>
      <w:r w:rsidRPr="00C34113">
        <w:rPr>
          <w:rFonts w:ascii="Times New Roman" w:eastAsia="Calibri" w:hAnsi="Times New Roman"/>
        </w:rPr>
        <w:t>Theyyam</w:t>
      </w:r>
      <w:proofErr w:type="spellEnd"/>
      <w:r w:rsidRPr="00C34113">
        <w:rPr>
          <w:rFonts w:ascii="Times New Roman" w:eastAsia="Calibri" w:hAnsi="Times New Roman"/>
        </w:rPr>
        <w:t xml:space="preserve"> has always been performed by men, it is now beginning to include women. This shift challenges traditional social norms and is helping to reshape the way gender roles are understood within the practice (Manaswini K Ram, 2025).</w:t>
      </w:r>
    </w:p>
    <w:p w14:paraId="4BEFB50C" w14:textId="5C11AFAA" w:rsidR="0087449C" w:rsidRPr="009E73A8" w:rsidRDefault="0087449C" w:rsidP="0087449C">
      <w:pPr>
        <w:spacing w:line="360" w:lineRule="auto"/>
        <w:jc w:val="both"/>
        <w:rPr>
          <w:rFonts w:ascii="Times New Roman" w:eastAsia="Calibri" w:hAnsi="Times New Roman"/>
          <w:lang w:val="en-US"/>
        </w:rPr>
      </w:pPr>
      <w:r w:rsidRPr="009E73A8">
        <w:rPr>
          <w:rFonts w:ascii="Times New Roman" w:eastAsia="Calibri" w:hAnsi="Times New Roman"/>
          <w:lang w:val="en-US"/>
        </w:rPr>
        <w:t>Despite the hierarchical nature of the ritual, it acted as a hegemonic structure rather than a form of resistance, supporting the existing social order.</w:t>
      </w:r>
      <w:r>
        <w:rPr>
          <w:rFonts w:ascii="Times New Roman" w:eastAsia="Calibri" w:hAnsi="Times New Roman"/>
          <w:lang w:val="en-US"/>
        </w:rPr>
        <w:t xml:space="preserve"> </w:t>
      </w:r>
      <w:r w:rsidRPr="009E73A8">
        <w:rPr>
          <w:rFonts w:ascii="Times New Roman" w:eastAsia="Calibri" w:hAnsi="Times New Roman"/>
          <w:lang w:val="en-US"/>
        </w:rPr>
        <w:t xml:space="preserve">Over the centuries, social, political, and cultural transformations influenced the practice of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During the colonial period, missionaries and social reform movements criticized and attempted to suppress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labeling it as barbaric or superstitious. However, these efforts were largely unsuccessful, and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remained central to the lives of marginalized communities, providing spiritual, emotional, and social meaning</w:t>
      </w:r>
      <w:r w:rsidR="00837DDD">
        <w:rPr>
          <w:rFonts w:ascii="Times New Roman" w:eastAsia="Calibri" w:hAnsi="Times New Roman"/>
          <w:lang w:val="en-US"/>
        </w:rPr>
        <w:t xml:space="preserve"> (</w:t>
      </w:r>
      <w:r w:rsidR="00837DDD" w:rsidRPr="00837DDD">
        <w:rPr>
          <w:rFonts w:ascii="Times New Roman" w:eastAsia="Calibri" w:hAnsi="Times New Roman"/>
        </w:rPr>
        <w:t xml:space="preserve">Sreedharan, </w:t>
      </w:r>
      <w:proofErr w:type="spellStart"/>
      <w:r w:rsidR="00837DDD" w:rsidRPr="00837DDD">
        <w:rPr>
          <w:rFonts w:ascii="Times New Roman" w:eastAsia="Calibri" w:hAnsi="Times New Roman"/>
        </w:rPr>
        <w:t>Kuttamatu</w:t>
      </w:r>
      <w:proofErr w:type="spellEnd"/>
      <w:r w:rsidR="00837DDD" w:rsidRPr="00837DDD">
        <w:rPr>
          <w:rFonts w:ascii="Times New Roman" w:eastAsia="Calibri" w:hAnsi="Times New Roman"/>
        </w:rPr>
        <w:t xml:space="preserve"> A.,</w:t>
      </w:r>
      <w:r w:rsidR="00837DDD">
        <w:rPr>
          <w:rFonts w:ascii="Times New Roman" w:eastAsia="Calibri" w:hAnsi="Times New Roman"/>
        </w:rPr>
        <w:t xml:space="preserve"> </w:t>
      </w:r>
      <w:r w:rsidR="00837DDD" w:rsidRPr="00837DDD">
        <w:rPr>
          <w:rFonts w:ascii="Times New Roman" w:eastAsia="Calibri" w:hAnsi="Times New Roman"/>
        </w:rPr>
        <w:t>1997)</w:t>
      </w:r>
      <w:r w:rsidRPr="009E73A8">
        <w:rPr>
          <w:rFonts w:ascii="Times New Roman" w:eastAsia="Calibri" w:hAnsi="Times New Roman"/>
          <w:lang w:val="en-US"/>
        </w:rPr>
        <w:t xml:space="preserve">. Today, despite criticisms from various quarters,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continues to serve as an essential part of local identity, fostering a structure of belonging and resilience in the face of social challenges.</w:t>
      </w:r>
    </w:p>
    <w:p w14:paraId="460171C3" w14:textId="77777777" w:rsidR="0087449C" w:rsidRPr="004D7C6A" w:rsidRDefault="0087449C" w:rsidP="0087449C">
      <w:pPr>
        <w:pStyle w:val="ListParagraph"/>
        <w:numPr>
          <w:ilvl w:val="0"/>
          <w:numId w:val="1"/>
        </w:numPr>
        <w:spacing w:line="360" w:lineRule="auto"/>
        <w:ind w:left="270" w:hanging="270"/>
        <w:jc w:val="both"/>
        <w:rPr>
          <w:rFonts w:ascii="Times New Roman" w:eastAsia="Calibri" w:hAnsi="Times New Roman"/>
          <w:b/>
          <w:bCs/>
        </w:rPr>
      </w:pPr>
      <w:r w:rsidRPr="004D7C6A">
        <w:rPr>
          <w:rFonts w:ascii="Times New Roman" w:eastAsia="Calibri" w:hAnsi="Times New Roman"/>
          <w:b/>
          <w:bCs/>
        </w:rPr>
        <w:t xml:space="preserve">The Psychological Aspects of </w:t>
      </w:r>
      <w:proofErr w:type="spellStart"/>
      <w:r w:rsidRPr="004D7C6A">
        <w:rPr>
          <w:rFonts w:ascii="Times New Roman" w:eastAsia="Calibri" w:hAnsi="Times New Roman"/>
          <w:b/>
          <w:bCs/>
        </w:rPr>
        <w:t>Theyyam</w:t>
      </w:r>
      <w:proofErr w:type="spellEnd"/>
      <w:r w:rsidRPr="004D7C6A">
        <w:rPr>
          <w:rFonts w:ascii="Times New Roman" w:eastAsia="Calibri" w:hAnsi="Times New Roman"/>
          <w:b/>
          <w:bCs/>
        </w:rPr>
        <w:t xml:space="preserve"> </w:t>
      </w:r>
    </w:p>
    <w:p w14:paraId="40762EF7" w14:textId="77777777" w:rsidR="0087449C" w:rsidRDefault="0087449C" w:rsidP="0087449C">
      <w:pPr>
        <w:spacing w:line="360" w:lineRule="auto"/>
        <w:jc w:val="both"/>
        <w:rPr>
          <w:rFonts w:ascii="Times New Roman" w:eastAsia="Calibri" w:hAnsi="Times New Roman"/>
        </w:rPr>
      </w:pPr>
      <w:r>
        <w:rPr>
          <w:rFonts w:ascii="Times New Roman" w:eastAsia="Calibri" w:hAnsi="Times New Roman"/>
          <w:b/>
          <w:bCs/>
        </w:rPr>
        <w:t>2</w:t>
      </w:r>
      <w:r w:rsidRPr="00FB12B9">
        <w:rPr>
          <w:rFonts w:ascii="Times New Roman" w:eastAsia="Calibri" w:hAnsi="Times New Roman"/>
          <w:b/>
          <w:bCs/>
        </w:rPr>
        <w:t xml:space="preserve">.1 </w:t>
      </w:r>
      <w:proofErr w:type="spellStart"/>
      <w:r w:rsidRPr="00FB12B9">
        <w:rPr>
          <w:rFonts w:ascii="Times New Roman" w:eastAsia="Calibri" w:hAnsi="Times New Roman"/>
          <w:b/>
          <w:bCs/>
        </w:rPr>
        <w:t>Theyyam</w:t>
      </w:r>
      <w:proofErr w:type="spellEnd"/>
      <w:r w:rsidRPr="00FB12B9">
        <w:rPr>
          <w:rFonts w:ascii="Times New Roman" w:eastAsia="Calibri" w:hAnsi="Times New Roman"/>
          <w:b/>
          <w:bCs/>
        </w:rPr>
        <w:t xml:space="preserve"> and Psychological Expression</w:t>
      </w:r>
      <w:r w:rsidRPr="00FB12B9">
        <w:rPr>
          <w:rFonts w:ascii="Times New Roman" w:eastAsia="Calibri" w:hAnsi="Times New Roman"/>
        </w:rPr>
        <w:t xml:space="preserve"> </w:t>
      </w:r>
    </w:p>
    <w:p w14:paraId="10F48D81" w14:textId="77777777" w:rsidR="0087449C" w:rsidRPr="00FB12B9" w:rsidRDefault="0087449C" w:rsidP="0087449C">
      <w:pPr>
        <w:spacing w:line="360" w:lineRule="auto"/>
        <w:jc w:val="both"/>
        <w:rPr>
          <w:rFonts w:ascii="Times New Roman" w:eastAsia="Calibri" w:hAnsi="Times New Roman"/>
        </w:rPr>
      </w:pPr>
      <w:proofErr w:type="spellStart"/>
      <w:r w:rsidRPr="00307DB3">
        <w:rPr>
          <w:rFonts w:ascii="Times New Roman" w:eastAsia="Calibri" w:hAnsi="Times New Roman"/>
        </w:rPr>
        <w:lastRenderedPageBreak/>
        <w:t>Theyyam</w:t>
      </w:r>
      <w:proofErr w:type="spellEnd"/>
      <w:r w:rsidRPr="00307DB3">
        <w:rPr>
          <w:rFonts w:ascii="Times New Roman" w:eastAsia="Calibri" w:hAnsi="Times New Roman"/>
        </w:rPr>
        <w:t>, through its elaborate rituals, costumes, and makeup, provides a powerful means of psychological expression, allowing performers to undergo a transformation from ordinary individuals to divine figures. This transformation has deep psychological significance, as it allows performers to transcend their personal identities and embody supernatural beings. This process not only provides them with a sense of empowerment but also enables them to connect with broader spiritual and cultural archetypes, as described by Carl Jung's theory of archetypes. According to Jung, individuals tap into the collective unconscious, channelling universal symbols and experiences, which can lead to profound psychological experiences during the performance (</w:t>
      </w:r>
      <w:proofErr w:type="spellStart"/>
      <w:r w:rsidRPr="00307DB3">
        <w:rPr>
          <w:rFonts w:ascii="Times New Roman" w:eastAsia="Calibri" w:hAnsi="Times New Roman"/>
        </w:rPr>
        <w:t>Vibhute</w:t>
      </w:r>
      <w:proofErr w:type="spellEnd"/>
      <w:r w:rsidRPr="00307DB3">
        <w:rPr>
          <w:rFonts w:ascii="Times New Roman" w:eastAsia="Calibri" w:hAnsi="Times New Roman"/>
        </w:rPr>
        <w:t>, S.J. &amp; Suresh, K.B., 2024).</w:t>
      </w:r>
    </w:p>
    <w:p w14:paraId="10E54431" w14:textId="77777777" w:rsidR="0087449C" w:rsidRDefault="0087449C" w:rsidP="0087449C">
      <w:pPr>
        <w:spacing w:line="360" w:lineRule="auto"/>
        <w:jc w:val="center"/>
        <w:rPr>
          <w:rFonts w:ascii="Times New Roman" w:eastAsia="Calibri" w:hAnsi="Times New Roman"/>
          <w:lang w:val="en-US"/>
        </w:rPr>
      </w:pPr>
    </w:p>
    <w:p w14:paraId="22F69264" w14:textId="77777777" w:rsidR="00E84339" w:rsidRDefault="00E84339" w:rsidP="0087449C">
      <w:pPr>
        <w:spacing w:line="360" w:lineRule="auto"/>
        <w:jc w:val="center"/>
        <w:rPr>
          <w:rFonts w:ascii="Times New Roman" w:eastAsia="Calibri" w:hAnsi="Times New Roman"/>
          <w:lang w:val="en-US"/>
        </w:rPr>
      </w:pPr>
    </w:p>
    <w:p w14:paraId="7D6E504B" w14:textId="77777777" w:rsidR="00E84339" w:rsidRDefault="00E84339" w:rsidP="0087449C">
      <w:pPr>
        <w:spacing w:line="360" w:lineRule="auto"/>
        <w:jc w:val="center"/>
        <w:rPr>
          <w:rFonts w:ascii="Times New Roman" w:eastAsia="Calibri" w:hAnsi="Times New Roman"/>
          <w:lang w:val="en-US"/>
        </w:rPr>
      </w:pPr>
    </w:p>
    <w:p w14:paraId="1873588F" w14:textId="5CCFD6FA" w:rsidR="00E84339" w:rsidRDefault="00E041A7" w:rsidP="00E84339">
      <w:pPr>
        <w:spacing w:line="360" w:lineRule="auto"/>
        <w:jc w:val="center"/>
        <w:rPr>
          <w:rFonts w:ascii="Times New Roman" w:eastAsia="Calibri" w:hAnsi="Times New Roman"/>
          <w:lang w:val="en-US"/>
        </w:rPr>
      </w:pPr>
      <w:r>
        <w:rPr>
          <w:rFonts w:ascii="Times New Roman" w:eastAsia="Calibri" w:hAnsi="Times New Roman"/>
          <w:noProof/>
          <w:lang w:val="en-US"/>
          <w14:ligatures w14:val="standardContextual"/>
        </w:rPr>
        <mc:AlternateContent>
          <mc:Choice Requires="wps">
            <w:drawing>
              <wp:anchor distT="0" distB="0" distL="114300" distR="114300" simplePos="0" relativeHeight="251667456" behindDoc="0" locked="0" layoutInCell="1" allowOverlap="1" wp14:anchorId="1BA6BF17" wp14:editId="67A9FCE4">
                <wp:simplePos x="0" y="0"/>
                <wp:positionH relativeFrom="column">
                  <wp:posOffset>4930858</wp:posOffset>
                </wp:positionH>
                <wp:positionV relativeFrom="paragraph">
                  <wp:posOffset>918183</wp:posOffset>
                </wp:positionV>
                <wp:extent cx="166977" cy="45719"/>
                <wp:effectExtent l="0" t="0" r="24130" b="12065"/>
                <wp:wrapNone/>
                <wp:docPr id="1965938194"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96053" id="Rectangle 1" o:spid="_x0000_s1026" style="position:absolute;margin-left:388.25pt;margin-top:72.3pt;width:13.1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69504" behindDoc="0" locked="0" layoutInCell="1" allowOverlap="1" wp14:anchorId="0540D611" wp14:editId="66D3BA45">
                <wp:simplePos x="0" y="0"/>
                <wp:positionH relativeFrom="column">
                  <wp:posOffset>4683815</wp:posOffset>
                </wp:positionH>
                <wp:positionV relativeFrom="paragraph">
                  <wp:posOffset>669124</wp:posOffset>
                </wp:positionV>
                <wp:extent cx="166977" cy="45719"/>
                <wp:effectExtent l="0" t="0" r="24130" b="12065"/>
                <wp:wrapNone/>
                <wp:docPr id="567096447"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079F6" id="Rectangle 1" o:spid="_x0000_s1026" style="position:absolute;margin-left:368.8pt;margin-top:52.7pt;width:13.1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71552" behindDoc="0" locked="0" layoutInCell="1" allowOverlap="1" wp14:anchorId="2FD19026" wp14:editId="1B48583E">
                <wp:simplePos x="0" y="0"/>
                <wp:positionH relativeFrom="column">
                  <wp:posOffset>3850199</wp:posOffset>
                </wp:positionH>
                <wp:positionV relativeFrom="paragraph">
                  <wp:posOffset>966001</wp:posOffset>
                </wp:positionV>
                <wp:extent cx="166977" cy="45719"/>
                <wp:effectExtent l="0" t="0" r="24130" b="12065"/>
                <wp:wrapNone/>
                <wp:docPr id="1469901440"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C8767" id="Rectangle 1" o:spid="_x0000_s1026" style="position:absolute;margin-left:303.15pt;margin-top:76.05pt;width:13.1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61312" behindDoc="0" locked="0" layoutInCell="1" allowOverlap="1" wp14:anchorId="71D8B259" wp14:editId="441560F3">
                <wp:simplePos x="0" y="0"/>
                <wp:positionH relativeFrom="column">
                  <wp:posOffset>3992603</wp:posOffset>
                </wp:positionH>
                <wp:positionV relativeFrom="paragraph">
                  <wp:posOffset>1056061</wp:posOffset>
                </wp:positionV>
                <wp:extent cx="166977" cy="45719"/>
                <wp:effectExtent l="0" t="0" r="24130" b="12065"/>
                <wp:wrapNone/>
                <wp:docPr id="263881191"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92A40" id="Rectangle 1" o:spid="_x0000_s1026" style="position:absolute;margin-left:314.4pt;margin-top:83.15pt;width:13.1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63360" behindDoc="0" locked="0" layoutInCell="1" allowOverlap="1" wp14:anchorId="45FDA89D" wp14:editId="5E5CB553">
                <wp:simplePos x="0" y="0"/>
                <wp:positionH relativeFrom="column">
                  <wp:posOffset>4620812</wp:posOffset>
                </wp:positionH>
                <wp:positionV relativeFrom="paragraph">
                  <wp:posOffset>836101</wp:posOffset>
                </wp:positionV>
                <wp:extent cx="166977" cy="45719"/>
                <wp:effectExtent l="0" t="0" r="24130" b="12065"/>
                <wp:wrapNone/>
                <wp:docPr id="2065362961"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7E276" id="Rectangle 1" o:spid="_x0000_s1026" style="position:absolute;margin-left:363.85pt;margin-top:65.85pt;width:13.1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65408" behindDoc="0" locked="0" layoutInCell="1" allowOverlap="1" wp14:anchorId="0E8F64DE" wp14:editId="0933F5AC">
                <wp:simplePos x="0" y="0"/>
                <wp:positionH relativeFrom="column">
                  <wp:posOffset>4939086</wp:posOffset>
                </wp:positionH>
                <wp:positionV relativeFrom="paragraph">
                  <wp:posOffset>1056171</wp:posOffset>
                </wp:positionV>
                <wp:extent cx="166977" cy="45719"/>
                <wp:effectExtent l="0" t="0" r="24130" b="12065"/>
                <wp:wrapNone/>
                <wp:docPr id="212290448"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16D04" id="Rectangle 1" o:spid="_x0000_s1026" style="position:absolute;margin-left:388.9pt;margin-top:83.15pt;width:13.1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59264" behindDoc="0" locked="0" layoutInCell="1" allowOverlap="1" wp14:anchorId="3CC84DB9" wp14:editId="7A6065CE">
                <wp:simplePos x="0" y="0"/>
                <wp:positionH relativeFrom="column">
                  <wp:posOffset>4365266</wp:posOffset>
                </wp:positionH>
                <wp:positionV relativeFrom="paragraph">
                  <wp:posOffset>1009816</wp:posOffset>
                </wp:positionV>
                <wp:extent cx="166977" cy="45719"/>
                <wp:effectExtent l="0" t="0" r="24130" b="12065"/>
                <wp:wrapNone/>
                <wp:docPr id="146302018" name="Rectangle 1"/>
                <wp:cNvGraphicFramePr/>
                <a:graphic xmlns:a="http://schemas.openxmlformats.org/drawingml/2006/main">
                  <a:graphicData uri="http://schemas.microsoft.com/office/word/2010/wordprocessingShape">
                    <wps:wsp>
                      <wps:cNvSpPr/>
                      <wps:spPr>
                        <a:xfrm>
                          <a:off x="0" y="0"/>
                          <a:ext cx="16697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38010" id="Rectangle 1" o:spid="_x0000_s1026" style="position:absolute;margin-left:343.7pt;margin-top:79.5pt;width:13.1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" fillcolor="#4472c4 [3204]" strokecolor="#09101d [484]" strokeweight="1pt"/>
            </w:pict>
          </mc:Fallback>
        </mc:AlternateContent>
      </w:r>
      <w:r w:rsidR="0087449C" w:rsidRPr="006A2265">
        <w:rPr>
          <w:rFonts w:ascii="Times New Roman" w:eastAsia="Calibri" w:hAnsi="Times New Roman"/>
          <w:noProof/>
          <w:lang w:val="en-US"/>
        </w:rPr>
        <w:drawing>
          <wp:inline distT="0" distB="0" distL="0" distR="0" wp14:anchorId="4AAC7706" wp14:editId="555EF253">
            <wp:extent cx="4277802" cy="2520315"/>
            <wp:effectExtent l="0" t="0" r="8890" b="0"/>
            <wp:docPr id="9965993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3787" cy="2535624"/>
                    </a:xfrm>
                    <a:prstGeom prst="rect">
                      <a:avLst/>
                    </a:prstGeom>
                    <a:noFill/>
                    <a:ln>
                      <a:noFill/>
                    </a:ln>
                  </pic:spPr>
                </pic:pic>
              </a:graphicData>
            </a:graphic>
          </wp:inline>
        </w:drawing>
      </w:r>
    </w:p>
    <w:p w14:paraId="003BDAEE" w14:textId="71115889" w:rsidR="00E84339" w:rsidRPr="003A03BE" w:rsidRDefault="00E84339" w:rsidP="003A03BE">
      <w:pPr>
        <w:spacing w:line="240" w:lineRule="auto"/>
        <w:rPr>
          <w:rFonts w:ascii="Times New Roman" w:eastAsia="Calibri" w:hAnsi="Times New Roman"/>
          <w:b/>
          <w:bCs/>
          <w:lang w:val="en-US"/>
        </w:rPr>
      </w:pPr>
      <w:r w:rsidRPr="003A03BE">
        <w:rPr>
          <w:rFonts w:ascii="Times New Roman" w:eastAsia="Calibri" w:hAnsi="Times New Roman"/>
          <w:b/>
          <w:bCs/>
        </w:rPr>
        <w:t xml:space="preserve">Figure 1: A </w:t>
      </w:r>
      <w:proofErr w:type="spellStart"/>
      <w:r w:rsidRPr="003A03BE">
        <w:rPr>
          <w:rFonts w:ascii="Times New Roman" w:eastAsia="Calibri" w:hAnsi="Times New Roman"/>
          <w:b/>
          <w:bCs/>
        </w:rPr>
        <w:t>Theyyam</w:t>
      </w:r>
      <w:proofErr w:type="spellEnd"/>
      <w:r w:rsidRPr="003A03BE">
        <w:rPr>
          <w:rFonts w:ascii="Times New Roman" w:eastAsia="Calibri" w:hAnsi="Times New Roman"/>
          <w:b/>
          <w:bCs/>
        </w:rPr>
        <w:t xml:space="preserve"> performer in elaborate costume and trance, embodying a deity before an engaged audience.</w:t>
      </w:r>
    </w:p>
    <w:p w14:paraId="2C6ECD07" w14:textId="6C4723F8" w:rsidR="0087449C" w:rsidRPr="00E84339" w:rsidRDefault="0087449C" w:rsidP="00E84339">
      <w:pPr>
        <w:spacing w:line="360" w:lineRule="auto"/>
        <w:jc w:val="both"/>
        <w:rPr>
          <w:rFonts w:ascii="Times New Roman" w:eastAsia="Calibri" w:hAnsi="Times New Roman"/>
          <w:lang w:val="en-US"/>
        </w:rPr>
      </w:pPr>
      <w:r w:rsidRPr="00307DB3">
        <w:rPr>
          <w:rFonts w:ascii="Times New Roman" w:eastAsia="Calibri" w:hAnsi="Times New Roman"/>
        </w:rPr>
        <w:t xml:space="preserve">For spectators, </w:t>
      </w:r>
      <w:proofErr w:type="spellStart"/>
      <w:r w:rsidRPr="00307DB3">
        <w:rPr>
          <w:rFonts w:ascii="Times New Roman" w:eastAsia="Calibri" w:hAnsi="Times New Roman"/>
        </w:rPr>
        <w:t>Theyyam</w:t>
      </w:r>
      <w:proofErr w:type="spellEnd"/>
      <w:r w:rsidRPr="00307DB3">
        <w:rPr>
          <w:rFonts w:ascii="Times New Roman" w:eastAsia="Calibri" w:hAnsi="Times New Roman"/>
        </w:rPr>
        <w:t xml:space="preserve"> also serves as a medium for emotional release and catharsis. The visual and auditory elements of the performance</w:t>
      </w:r>
      <w:r>
        <w:rPr>
          <w:rFonts w:ascii="Times New Roman" w:eastAsia="Calibri" w:hAnsi="Times New Roman"/>
        </w:rPr>
        <w:t xml:space="preserve"> like </w:t>
      </w:r>
      <w:r w:rsidRPr="00307DB3">
        <w:rPr>
          <w:rFonts w:ascii="Times New Roman" w:eastAsia="Calibri" w:hAnsi="Times New Roman"/>
        </w:rPr>
        <w:t>vibrant costumes, rhythmic drumming, and sacred chants</w:t>
      </w:r>
      <w:r>
        <w:rPr>
          <w:rFonts w:ascii="Times New Roman" w:eastAsia="Calibri" w:hAnsi="Times New Roman"/>
        </w:rPr>
        <w:t xml:space="preserve">, </w:t>
      </w:r>
      <w:r w:rsidRPr="00307DB3">
        <w:rPr>
          <w:rFonts w:ascii="Times New Roman" w:eastAsia="Calibri" w:hAnsi="Times New Roman"/>
        </w:rPr>
        <w:t xml:space="preserve">evoke strong emotional responses. The belief in the presence of the divine during the performance amplifies this effect, providing a psychological outlet for repressed emotions. </w:t>
      </w:r>
      <w:r w:rsidRPr="00307DB3">
        <w:rPr>
          <w:rFonts w:ascii="Times New Roman" w:eastAsia="Calibri" w:hAnsi="Times New Roman"/>
        </w:rPr>
        <w:lastRenderedPageBreak/>
        <w:t xml:space="preserve">Furthermore, the direct interaction between the deities (as embodied by the performers) and the devotees helps alleviate psychological distress, offering reassurance and healing. This interaction fosters not only individual emotional release but also strengthens communal bonds, reinforcing a sense of shared identity and collective consciousness. Through this dynamic, </w:t>
      </w:r>
      <w:proofErr w:type="spellStart"/>
      <w:r w:rsidRPr="00307DB3">
        <w:rPr>
          <w:rFonts w:ascii="Times New Roman" w:eastAsia="Calibri" w:hAnsi="Times New Roman"/>
        </w:rPr>
        <w:t>Theyyam</w:t>
      </w:r>
      <w:proofErr w:type="spellEnd"/>
      <w:r w:rsidRPr="00307DB3">
        <w:rPr>
          <w:rFonts w:ascii="Times New Roman" w:eastAsia="Calibri" w:hAnsi="Times New Roman"/>
        </w:rPr>
        <w:t xml:space="preserve"> becomes not just a performance, but a therapeutic process that facilitates psychological healing for both performers and spectators.</w:t>
      </w:r>
    </w:p>
    <w:p w14:paraId="31BC6201"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b/>
          <w:bCs/>
        </w:rPr>
        <w:t>2.2.</w:t>
      </w:r>
      <w:r>
        <w:rPr>
          <w:rFonts w:ascii="Times New Roman" w:eastAsia="Calibri" w:hAnsi="Times New Roman"/>
        </w:rPr>
        <w:t xml:space="preserve"> </w:t>
      </w:r>
      <w:r w:rsidRPr="00D61E09">
        <w:rPr>
          <w:rFonts w:ascii="Times New Roman" w:eastAsia="Calibri" w:hAnsi="Times New Roman"/>
          <w:b/>
          <w:bCs/>
        </w:rPr>
        <w:t>Archetypal Representation and Psychological Transformation</w:t>
      </w:r>
    </w:p>
    <w:p w14:paraId="23089FC0"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 xml:space="preserve">In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the transformation of the performer is more than just a physical change; it signifies a profound psychological metamorphosis that impacts both the individual and the collective consciousness of the community. The ritual serves as a therapeutic and symbolic experience, where the performer undergoes a psychological and spiritual journey through elaborate makeup, costumes, rhythmic drumming, and ritual invocations. This process symbolizes a death of the self and a rebirth into a divine form, enabling the performer to embody deities, ancestral spirits, and mythic heroes revered by the community.</w:t>
      </w:r>
    </w:p>
    <w:p w14:paraId="1CE544FF"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Carl Jung's theory of archetypes and the collective unconscious provides a useful framework for understanding this transformation. According to Jung, archetypes are universal symbols or motifs that exist deep within the human psyche and appear across cultures and mythologies (</w:t>
      </w:r>
      <w:proofErr w:type="spellStart"/>
      <w:r w:rsidRPr="001B4229">
        <w:rPr>
          <w:rFonts w:ascii="Times New Roman" w:eastAsia="Calibri" w:hAnsi="Times New Roman"/>
          <w:lang w:val="en-US"/>
        </w:rPr>
        <w:t>Vibhute</w:t>
      </w:r>
      <w:proofErr w:type="spellEnd"/>
      <w:r w:rsidRPr="001B4229">
        <w:rPr>
          <w:rFonts w:ascii="Times New Roman" w:eastAsia="Calibri" w:hAnsi="Times New Roman"/>
          <w:lang w:val="en-US"/>
        </w:rPr>
        <w:t xml:space="preserve">, S.J. &amp; Suresh, K.B., 2024). In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the performer channels archetypal figures associated with protection, justice, fertility, and wisdom. Through embodying these symbols, the performer transcends their individual identity and temporarily adopts a larger-than-life persona, which leads to psychological empowerment and spiritual catharsis.</w:t>
      </w:r>
    </w:p>
    <w:p w14:paraId="22949F9D" w14:textId="7B01CAED" w:rsidR="0087449C"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This transformation is especially significant for performers from historically marginalized communities. The opportunity to be revered as a living god, even for a short period, represents a powerful inversion of the traditional caste hierarchy. In the sacred space of the ritual, social order is symbolically realigned, offering a fleeting but profound sense of justice and equality. This shift in identity</w:t>
      </w:r>
      <w:r w:rsidR="009B4C82">
        <w:rPr>
          <w:rFonts w:ascii="Times New Roman" w:eastAsia="Calibri" w:hAnsi="Times New Roman"/>
          <w:lang w:val="en-US"/>
        </w:rPr>
        <w:t xml:space="preserve"> </w:t>
      </w:r>
      <w:r w:rsidRPr="001B4229">
        <w:rPr>
          <w:rFonts w:ascii="Times New Roman" w:eastAsia="Calibri" w:hAnsi="Times New Roman"/>
          <w:lang w:val="en-US"/>
        </w:rPr>
        <w:t>where a person transforms from an ordinary human to a divine being</w:t>
      </w:r>
      <w:r w:rsidR="009B4C82">
        <w:rPr>
          <w:rFonts w:ascii="Times New Roman" w:eastAsia="Calibri" w:hAnsi="Times New Roman"/>
          <w:lang w:val="en-US"/>
        </w:rPr>
        <w:t xml:space="preserve"> </w:t>
      </w:r>
      <w:r w:rsidRPr="001B4229">
        <w:rPr>
          <w:rFonts w:ascii="Times New Roman" w:eastAsia="Calibri" w:hAnsi="Times New Roman"/>
          <w:lang w:val="en-US"/>
        </w:rPr>
        <w:t>facilitates not only personal transformation but also reinforces a collective identity among the oppressed.</w:t>
      </w:r>
    </w:p>
    <w:p w14:paraId="3ABC0D9F" w14:textId="77777777" w:rsidR="0087449C" w:rsidRDefault="0087449C" w:rsidP="0087449C">
      <w:pPr>
        <w:spacing w:line="360" w:lineRule="auto"/>
        <w:jc w:val="center"/>
        <w:rPr>
          <w:rFonts w:ascii="Times New Roman" w:eastAsia="Calibri" w:hAnsi="Times New Roman"/>
          <w:lang w:val="en-US"/>
        </w:rPr>
      </w:pPr>
      <w:r w:rsidRPr="003C2CD8">
        <w:rPr>
          <w:rFonts w:ascii="Times New Roman" w:eastAsia="Calibri" w:hAnsi="Times New Roman"/>
          <w:noProof/>
          <w:lang w:val="en-US"/>
        </w:rPr>
        <w:lastRenderedPageBreak/>
        <w:drawing>
          <wp:inline distT="0" distB="0" distL="0" distR="0" wp14:anchorId="36834F7E" wp14:editId="0B1A6562">
            <wp:extent cx="4325510" cy="2703195"/>
            <wp:effectExtent l="0" t="0" r="0" b="1905"/>
            <wp:docPr id="1059223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6999" cy="2729123"/>
                    </a:xfrm>
                    <a:prstGeom prst="rect">
                      <a:avLst/>
                    </a:prstGeom>
                    <a:noFill/>
                    <a:ln>
                      <a:noFill/>
                    </a:ln>
                  </pic:spPr>
                </pic:pic>
              </a:graphicData>
            </a:graphic>
          </wp:inline>
        </w:drawing>
      </w:r>
    </w:p>
    <w:p w14:paraId="7E167C20" w14:textId="30C3984A" w:rsidR="003A03BE" w:rsidRPr="003A03BE" w:rsidRDefault="003A03BE" w:rsidP="003A03BE">
      <w:pPr>
        <w:spacing w:line="360" w:lineRule="auto"/>
        <w:rPr>
          <w:rFonts w:ascii="Times New Roman" w:eastAsia="Calibri" w:hAnsi="Times New Roman"/>
          <w:b/>
          <w:bCs/>
          <w:lang w:val="en-US"/>
        </w:rPr>
      </w:pPr>
      <w:r w:rsidRPr="003A03BE">
        <w:rPr>
          <w:rFonts w:ascii="Times New Roman" w:eastAsia="Calibri" w:hAnsi="Times New Roman"/>
          <w:b/>
          <w:bCs/>
        </w:rPr>
        <w:t xml:space="preserve">Figure 2: A close-up of a </w:t>
      </w:r>
      <w:proofErr w:type="spellStart"/>
      <w:r w:rsidRPr="003A03BE">
        <w:rPr>
          <w:rFonts w:ascii="Times New Roman" w:eastAsia="Calibri" w:hAnsi="Times New Roman"/>
          <w:b/>
          <w:bCs/>
        </w:rPr>
        <w:t>Theyyam</w:t>
      </w:r>
      <w:proofErr w:type="spellEnd"/>
      <w:r w:rsidRPr="003A03BE">
        <w:rPr>
          <w:rFonts w:ascii="Times New Roman" w:eastAsia="Calibri" w:hAnsi="Times New Roman"/>
          <w:b/>
          <w:bCs/>
        </w:rPr>
        <w:t xml:space="preserve"> performer channelling a fierce deity through intense facial expressions and symbolic attire.</w:t>
      </w:r>
    </w:p>
    <w:p w14:paraId="5B636075"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The psychological benefits of this transformation are vast. For the performer, entering an altered state of consciousness through chanting, rhythmic movements, and possession allows for the release of personal and communal emotions. This catharsis functions similarly to psychodrama, where symbolic roles are enacted to explore and resolve inner tensions. As the performer assumes the identity of the deity, they are momentarily freed from the limitations of their social roles, fears, and personal insecurities. In this suspended state, the individual taps into a reservoir of cultural strength and legitimacy drawn from generations of mythological and ritual continuity. The community, in turn, responds with reverence, creating a feedback loop that strengthens both the performer's transformation and the communal experience.</w:t>
      </w:r>
    </w:p>
    <w:p w14:paraId="0E783E3A" w14:textId="77777777" w:rsidR="0087449C" w:rsidRPr="001B4229"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 xml:space="preserve">Despite its transformative power,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xml:space="preserve"> remains entrenched within the caste system, which continues to influence its practice. Although performers are treated as gods during the ritual, this reverence ends once the performance concludes. Performers, primarily from marginalized communities like the </w:t>
      </w:r>
      <w:proofErr w:type="spellStart"/>
      <w:r w:rsidRPr="001B4229">
        <w:rPr>
          <w:rFonts w:ascii="Times New Roman" w:eastAsia="Calibri" w:hAnsi="Times New Roman"/>
          <w:lang w:val="en-US"/>
        </w:rPr>
        <w:t>Thiyyas</w:t>
      </w:r>
      <w:proofErr w:type="spellEnd"/>
      <w:r w:rsidRPr="001B4229">
        <w:rPr>
          <w:rFonts w:ascii="Times New Roman" w:eastAsia="Calibri" w:hAnsi="Times New Roman"/>
          <w:lang w:val="en-US"/>
        </w:rPr>
        <w:t xml:space="preserve"> or </w:t>
      </w:r>
      <w:proofErr w:type="spellStart"/>
      <w:r w:rsidRPr="001B4229">
        <w:rPr>
          <w:rFonts w:ascii="Times New Roman" w:eastAsia="Calibri" w:hAnsi="Times New Roman"/>
          <w:lang w:val="en-US"/>
        </w:rPr>
        <w:t>Maniyanis</w:t>
      </w:r>
      <w:proofErr w:type="spellEnd"/>
      <w:r w:rsidRPr="001B4229">
        <w:rPr>
          <w:rFonts w:ascii="Times New Roman" w:eastAsia="Calibri" w:hAnsi="Times New Roman"/>
          <w:lang w:val="en-US"/>
        </w:rPr>
        <w:t xml:space="preserve">, are often still excluded from temples, particularly those dedicated to deities such as Shiva or Vishnu. While they are revered temporarily during the ritual, they remain subject to social and caste-based restrictions in daily life. This reflects a tension </w:t>
      </w:r>
      <w:r w:rsidRPr="001B4229">
        <w:rPr>
          <w:rFonts w:ascii="Times New Roman" w:eastAsia="Calibri" w:hAnsi="Times New Roman"/>
          <w:lang w:val="en-US"/>
        </w:rPr>
        <w:lastRenderedPageBreak/>
        <w:t>between the ritual's symbolic challenge to the social order and its inability to fully disrupt entrenched caste hierarchies.</w:t>
      </w:r>
    </w:p>
    <w:p w14:paraId="01C2DBFC" w14:textId="6EA2FAF3" w:rsidR="0087449C" w:rsidRDefault="0087449C" w:rsidP="0087449C">
      <w:pPr>
        <w:spacing w:line="360" w:lineRule="auto"/>
        <w:jc w:val="both"/>
        <w:rPr>
          <w:rFonts w:ascii="Times New Roman" w:eastAsia="Calibri" w:hAnsi="Times New Roman"/>
          <w:lang w:val="en-US"/>
        </w:rPr>
      </w:pPr>
      <w:r w:rsidRPr="001B4229">
        <w:rPr>
          <w:rFonts w:ascii="Times New Roman" w:eastAsia="Calibri" w:hAnsi="Times New Roman"/>
          <w:lang w:val="en-US"/>
        </w:rPr>
        <w:t xml:space="preserve">Even though some performers have begun to challenge these caste-based practices, particularly in instances like Maari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xml:space="preserve">, where exclusion persists despite historical reforms like the Temple Entry Proclamation, the resistance remains limited. This reflects the complex role of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xml:space="preserve"> as both a source of empowerment and a reinforcement of social divisions. While the ritual provides marginalized individuals with a sense of strength and divine status, it also maintains the status quo, underlining the contradiction between the ritual’s symbolic empowerment and the ongoing social realities of caste-based segregation.</w:t>
      </w:r>
      <w:r>
        <w:rPr>
          <w:rFonts w:ascii="Times New Roman" w:eastAsia="Calibri" w:hAnsi="Times New Roman"/>
          <w:lang w:val="en-US"/>
        </w:rPr>
        <w:t xml:space="preserve"> W</w:t>
      </w:r>
      <w:r w:rsidRPr="001B4229">
        <w:rPr>
          <w:rFonts w:ascii="Times New Roman" w:eastAsia="Calibri" w:hAnsi="Times New Roman"/>
          <w:lang w:val="en-US"/>
        </w:rPr>
        <w:t xml:space="preserve">hile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xml:space="preserve"> serves as a powerful tool for personal transformation and empowerment, especially for marginalized communities, it also highlights the limitations of ritual in effecting real, lasting change in social status. This duality underscores the complex and sometimes contradictory role that rituals like </w:t>
      </w:r>
      <w:proofErr w:type="spellStart"/>
      <w:r w:rsidRPr="001B4229">
        <w:rPr>
          <w:rFonts w:ascii="Times New Roman" w:eastAsia="Calibri" w:hAnsi="Times New Roman"/>
          <w:lang w:val="en-US"/>
        </w:rPr>
        <w:t>Theyyam</w:t>
      </w:r>
      <w:proofErr w:type="spellEnd"/>
      <w:r w:rsidRPr="001B4229">
        <w:rPr>
          <w:rFonts w:ascii="Times New Roman" w:eastAsia="Calibri" w:hAnsi="Times New Roman"/>
          <w:lang w:val="en-US"/>
        </w:rPr>
        <w:t xml:space="preserve"> play in reinforcing and challenging social structures simultaneously.</w:t>
      </w:r>
    </w:p>
    <w:p w14:paraId="19D1EC8B" w14:textId="77777777" w:rsidR="003A03BE" w:rsidRDefault="003A03BE" w:rsidP="0087449C">
      <w:pPr>
        <w:spacing w:line="360" w:lineRule="auto"/>
        <w:jc w:val="both"/>
        <w:rPr>
          <w:rFonts w:ascii="Times New Roman" w:eastAsia="Calibri" w:hAnsi="Times New Roman"/>
          <w:lang w:val="en-US"/>
        </w:rPr>
      </w:pPr>
    </w:p>
    <w:p w14:paraId="2B7E0C2B" w14:textId="77777777" w:rsidR="0087449C" w:rsidRPr="001B4229" w:rsidRDefault="0087449C" w:rsidP="0087449C">
      <w:pPr>
        <w:spacing w:line="360" w:lineRule="auto"/>
        <w:ind w:hanging="90"/>
        <w:jc w:val="both"/>
        <w:rPr>
          <w:rFonts w:ascii="Times New Roman" w:eastAsia="Calibri" w:hAnsi="Times New Roman"/>
          <w:lang w:val="en-US"/>
        </w:rPr>
      </w:pPr>
      <w:r>
        <w:rPr>
          <w:rFonts w:ascii="Times New Roman" w:eastAsia="Calibri" w:hAnsi="Times New Roman"/>
          <w:b/>
          <w:bCs/>
        </w:rPr>
        <w:t>2</w:t>
      </w:r>
      <w:r w:rsidRPr="00FB12B9">
        <w:rPr>
          <w:rFonts w:ascii="Times New Roman" w:eastAsia="Calibri" w:hAnsi="Times New Roman"/>
          <w:b/>
          <w:bCs/>
        </w:rPr>
        <w:t>.</w:t>
      </w:r>
      <w:r>
        <w:rPr>
          <w:rFonts w:ascii="Times New Roman" w:eastAsia="Calibri" w:hAnsi="Times New Roman"/>
          <w:b/>
          <w:bCs/>
        </w:rPr>
        <w:t>3</w:t>
      </w:r>
      <w:r w:rsidRPr="00FB12B9">
        <w:rPr>
          <w:rFonts w:ascii="Times New Roman" w:eastAsia="Calibri" w:hAnsi="Times New Roman"/>
          <w:b/>
          <w:bCs/>
        </w:rPr>
        <w:t xml:space="preserve"> </w:t>
      </w:r>
      <w:proofErr w:type="spellStart"/>
      <w:r w:rsidRPr="00FB12B9">
        <w:rPr>
          <w:rFonts w:ascii="Times New Roman" w:eastAsia="Calibri" w:hAnsi="Times New Roman"/>
          <w:b/>
          <w:bCs/>
        </w:rPr>
        <w:t>Theyyam</w:t>
      </w:r>
      <w:proofErr w:type="spellEnd"/>
      <w:r w:rsidRPr="00FB12B9">
        <w:rPr>
          <w:rFonts w:ascii="Times New Roman" w:eastAsia="Calibri" w:hAnsi="Times New Roman"/>
          <w:b/>
          <w:bCs/>
        </w:rPr>
        <w:t xml:space="preserve"> </w:t>
      </w:r>
      <w:r>
        <w:rPr>
          <w:rFonts w:ascii="Times New Roman" w:eastAsia="Calibri" w:hAnsi="Times New Roman"/>
          <w:b/>
          <w:bCs/>
        </w:rPr>
        <w:t>a</w:t>
      </w:r>
      <w:r w:rsidRPr="00FB12B9">
        <w:rPr>
          <w:rFonts w:ascii="Times New Roman" w:eastAsia="Calibri" w:hAnsi="Times New Roman"/>
          <w:b/>
          <w:bCs/>
        </w:rPr>
        <w:t>n</w:t>
      </w:r>
      <w:r>
        <w:rPr>
          <w:rFonts w:ascii="Times New Roman" w:eastAsia="Calibri" w:hAnsi="Times New Roman"/>
          <w:b/>
          <w:bCs/>
        </w:rPr>
        <w:t>d</w:t>
      </w:r>
      <w:r w:rsidRPr="00FB12B9">
        <w:rPr>
          <w:rFonts w:ascii="Times New Roman" w:eastAsia="Calibri" w:hAnsi="Times New Roman"/>
          <w:b/>
          <w:bCs/>
        </w:rPr>
        <w:t xml:space="preserve"> Identity Formation</w:t>
      </w:r>
    </w:p>
    <w:p w14:paraId="1DA59B40" w14:textId="77777777" w:rsidR="0087449C" w:rsidRPr="009E73A8" w:rsidRDefault="0087449C" w:rsidP="0087449C">
      <w:pPr>
        <w:spacing w:line="360" w:lineRule="auto"/>
        <w:ind w:left="-90"/>
        <w:jc w:val="both"/>
        <w:rPr>
          <w:rFonts w:ascii="Times New Roman" w:eastAsia="Calibri" w:hAnsi="Times New Roman"/>
          <w:lang w:val="en-US"/>
        </w:rPr>
      </w:pP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plays a crucial role in shaping both individual and collective identities in the communities</w:t>
      </w:r>
      <w:r>
        <w:rPr>
          <w:rFonts w:ascii="Times New Roman" w:eastAsia="Calibri" w:hAnsi="Times New Roman"/>
          <w:lang w:val="en-US"/>
        </w:rPr>
        <w:t xml:space="preserve"> </w:t>
      </w:r>
      <w:r w:rsidRPr="009E73A8">
        <w:rPr>
          <w:rFonts w:ascii="Times New Roman" w:eastAsia="Calibri" w:hAnsi="Times New Roman"/>
          <w:lang w:val="en-US"/>
        </w:rPr>
        <w:t xml:space="preserve">of North Kerala. As a cultural and ritualistic performance, it serves as a unifying force that strengthens cultural and communal identity. French sociologist Émile Durkheim’s concept of collective consciousness can be applied here to understand how the shared experience of witnessing a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performance reinforces societal values and creates a strong sense of belonging. The narratives embedded in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rooted in folklore and mythology, help preserve cultural memory and ensure continuity across generations, offering a psychological sense of rootedness and identity (Gopi, Anil., 2021).</w:t>
      </w:r>
    </w:p>
    <w:p w14:paraId="7541B79F" w14:textId="77777777" w:rsidR="0087449C" w:rsidRPr="009E73A8" w:rsidRDefault="0087449C" w:rsidP="0087449C">
      <w:pPr>
        <w:spacing w:line="360" w:lineRule="auto"/>
        <w:ind w:left="-90"/>
        <w:jc w:val="both"/>
        <w:rPr>
          <w:rFonts w:ascii="Times New Roman" w:eastAsia="Calibri" w:hAnsi="Times New Roman"/>
          <w:lang w:val="en-US"/>
        </w:rPr>
      </w:pPr>
      <w:r w:rsidRPr="009E73A8">
        <w:rPr>
          <w:rFonts w:ascii="Times New Roman" w:eastAsia="Calibri" w:hAnsi="Times New Roman"/>
          <w:lang w:val="en-US"/>
        </w:rPr>
        <w:t xml:space="preserve">For the performers, who are often from historically marginalized communities, the transformation into divine figures during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rituals temporarily elevates their social status. This role reversal allows them to transcend traditional social hierarchies, offering a sense of empowerment, agency, and validation. This temporary subversion of social norms has a profound psychological impact, allowing performers to engage with their identities in a new and transformative way.</w:t>
      </w:r>
    </w:p>
    <w:p w14:paraId="752E32A3" w14:textId="77777777" w:rsidR="0087449C" w:rsidRDefault="0087449C" w:rsidP="0087449C">
      <w:pPr>
        <w:spacing w:line="360" w:lineRule="auto"/>
        <w:ind w:left="-90"/>
        <w:jc w:val="both"/>
        <w:rPr>
          <w:rFonts w:ascii="Times New Roman" w:eastAsia="Calibri" w:hAnsi="Times New Roman"/>
          <w:lang w:val="en-US"/>
        </w:rPr>
      </w:pPr>
      <w:r w:rsidRPr="009E73A8">
        <w:rPr>
          <w:rFonts w:ascii="Times New Roman" w:eastAsia="Calibri" w:hAnsi="Times New Roman"/>
          <w:lang w:val="en-US"/>
        </w:rPr>
        <w:lastRenderedPageBreak/>
        <w:t xml:space="preserve">For the audience, participation in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reinforces a shared cultural identity and a collective sense of belonging. The performance, often taking place in sacred spaces like </w:t>
      </w:r>
      <w:proofErr w:type="spellStart"/>
      <w:r w:rsidRPr="009E73A8">
        <w:rPr>
          <w:rFonts w:ascii="Times New Roman" w:eastAsia="Calibri" w:hAnsi="Times New Roman"/>
          <w:lang w:val="en-US"/>
        </w:rPr>
        <w:t>kavus</w:t>
      </w:r>
      <w:proofErr w:type="spellEnd"/>
      <w:r w:rsidRPr="009E73A8">
        <w:rPr>
          <w:rFonts w:ascii="Times New Roman" w:eastAsia="Calibri" w:hAnsi="Times New Roman"/>
          <w:lang w:val="en-US"/>
        </w:rPr>
        <w:t xml:space="preserve"> (sacred groves), creates an emotional bond between the participants and the broader community. The communal aspect of </w:t>
      </w:r>
      <w:proofErr w:type="spellStart"/>
      <w:r w:rsidRPr="009E73A8">
        <w:rPr>
          <w:rFonts w:ascii="Times New Roman" w:eastAsia="Calibri" w:hAnsi="Times New Roman"/>
          <w:lang w:val="en-US"/>
        </w:rPr>
        <w:t>Theyyam</w:t>
      </w:r>
      <w:proofErr w:type="spellEnd"/>
      <w:r w:rsidRPr="009E73A8">
        <w:rPr>
          <w:rFonts w:ascii="Times New Roman" w:eastAsia="Calibri" w:hAnsi="Times New Roman"/>
          <w:lang w:val="en-US"/>
        </w:rPr>
        <w:t xml:space="preserve"> serves to strengthen social cohesion, making it a powerful tool for maintaining psychological resilience, especially during times of cultural and social change.</w:t>
      </w:r>
    </w:p>
    <w:p w14:paraId="08599C5E" w14:textId="77777777" w:rsidR="0087449C" w:rsidRDefault="0087449C" w:rsidP="0087449C">
      <w:pPr>
        <w:spacing w:line="360" w:lineRule="auto"/>
        <w:ind w:left="-90"/>
        <w:jc w:val="both"/>
        <w:rPr>
          <w:rFonts w:ascii="Times New Roman" w:eastAsia="Calibri" w:hAnsi="Times New Roman"/>
        </w:rPr>
      </w:pPr>
      <w:r w:rsidRPr="009E73A8">
        <w:rPr>
          <w:rFonts w:ascii="Times New Roman" w:eastAsia="Calibri" w:hAnsi="Times New Roman"/>
        </w:rPr>
        <w:t xml:space="preserve">As Appadurai (1996) notes, </w:t>
      </w:r>
      <w:proofErr w:type="spellStart"/>
      <w:r w:rsidRPr="009E73A8">
        <w:rPr>
          <w:rFonts w:ascii="Times New Roman" w:eastAsia="Calibri" w:hAnsi="Times New Roman"/>
        </w:rPr>
        <w:t>Theyyam</w:t>
      </w:r>
      <w:proofErr w:type="spellEnd"/>
      <w:r w:rsidRPr="009E73A8">
        <w:rPr>
          <w:rFonts w:ascii="Times New Roman" w:eastAsia="Calibri" w:hAnsi="Times New Roman"/>
        </w:rPr>
        <w:t xml:space="preserve"> plays an integral role in creating a sense of “locality” and a “structure of feeling” that helps individuals cope with uncertainty and social entropy. Thus, </w:t>
      </w:r>
      <w:proofErr w:type="spellStart"/>
      <w:r w:rsidRPr="009E73A8">
        <w:rPr>
          <w:rFonts w:ascii="Times New Roman" w:eastAsia="Calibri" w:hAnsi="Times New Roman"/>
        </w:rPr>
        <w:t>Theyyam</w:t>
      </w:r>
      <w:proofErr w:type="spellEnd"/>
      <w:r w:rsidRPr="009E73A8">
        <w:rPr>
          <w:rFonts w:ascii="Times New Roman" w:eastAsia="Calibri" w:hAnsi="Times New Roman"/>
        </w:rPr>
        <w:t xml:space="preserve"> remains a vital expression of local identity, providing both individual and collective empowerment within the broader context of social and cultural transformation (</w:t>
      </w:r>
      <w:proofErr w:type="spellStart"/>
      <w:r w:rsidRPr="009E73A8">
        <w:rPr>
          <w:rFonts w:ascii="Times New Roman" w:eastAsia="Calibri" w:hAnsi="Times New Roman"/>
        </w:rPr>
        <w:t>Tarabout</w:t>
      </w:r>
      <w:proofErr w:type="spellEnd"/>
      <w:r w:rsidRPr="009E73A8">
        <w:rPr>
          <w:rFonts w:ascii="Times New Roman" w:eastAsia="Calibri" w:hAnsi="Times New Roman"/>
        </w:rPr>
        <w:t>, 2005).</w:t>
      </w:r>
    </w:p>
    <w:p w14:paraId="70D06D14" w14:textId="77777777" w:rsidR="0087449C" w:rsidRDefault="0087449C" w:rsidP="0087449C">
      <w:pPr>
        <w:spacing w:line="360" w:lineRule="auto"/>
        <w:ind w:left="-90"/>
        <w:jc w:val="both"/>
        <w:rPr>
          <w:rFonts w:ascii="Times New Roman" w:hAnsi="Times New Roman"/>
          <w:b/>
          <w:bCs/>
          <w:kern w:val="0"/>
          <w:lang w:val="en-US" w:eastAsia="en-US"/>
        </w:rPr>
      </w:pPr>
      <w:r w:rsidRPr="00DE3FDF">
        <w:rPr>
          <w:rFonts w:ascii="Times New Roman" w:eastAsia="Calibri" w:hAnsi="Times New Roman"/>
          <w:b/>
          <w:bCs/>
          <w:lang w:val="en-US"/>
        </w:rPr>
        <w:t>2.4</w:t>
      </w:r>
      <w:r>
        <w:rPr>
          <w:rFonts w:ascii="Times New Roman" w:eastAsia="Calibri" w:hAnsi="Times New Roman"/>
          <w:lang w:val="en-US"/>
        </w:rPr>
        <w:t xml:space="preserve"> </w:t>
      </w:r>
      <w:r w:rsidRPr="00FB12B9">
        <w:rPr>
          <w:rFonts w:ascii="Times New Roman" w:hAnsi="Times New Roman"/>
          <w:b/>
          <w:bCs/>
          <w:kern w:val="0"/>
          <w:lang w:val="en-US" w:eastAsia="en-US"/>
        </w:rPr>
        <w:t xml:space="preserve">The Trance State in </w:t>
      </w:r>
      <w:proofErr w:type="spellStart"/>
      <w:r w:rsidRPr="00FB12B9">
        <w:rPr>
          <w:rFonts w:ascii="Times New Roman" w:hAnsi="Times New Roman"/>
          <w:b/>
          <w:bCs/>
          <w:kern w:val="0"/>
          <w:lang w:val="en-US" w:eastAsia="en-US"/>
        </w:rPr>
        <w:t>Theyyam</w:t>
      </w:r>
      <w:proofErr w:type="spellEnd"/>
    </w:p>
    <w:p w14:paraId="06F59B8B" w14:textId="77777777" w:rsidR="0087449C" w:rsidRDefault="0087449C" w:rsidP="0087449C">
      <w:pPr>
        <w:spacing w:line="360" w:lineRule="auto"/>
        <w:ind w:left="-90"/>
        <w:jc w:val="both"/>
        <w:rPr>
          <w:rFonts w:ascii="Times New Roman" w:eastAsia="Calibri" w:hAnsi="Times New Roman"/>
          <w:lang w:val="en-US"/>
        </w:rPr>
      </w:pPr>
      <w:r>
        <w:rPr>
          <w:rFonts w:ascii="Times New Roman" w:eastAsia="Calibri" w:hAnsi="Times New Roman"/>
        </w:rPr>
        <w:t>T</w:t>
      </w:r>
      <w:r w:rsidRPr="00455C0D">
        <w:rPr>
          <w:rFonts w:ascii="Times New Roman" w:eastAsia="Calibri" w:hAnsi="Times New Roman"/>
        </w:rPr>
        <w:t xml:space="preserve">he trance state in </w:t>
      </w:r>
      <w:proofErr w:type="spellStart"/>
      <w:r w:rsidRPr="00455C0D">
        <w:rPr>
          <w:rFonts w:ascii="Times New Roman" w:eastAsia="Calibri" w:hAnsi="Times New Roman"/>
        </w:rPr>
        <w:t>Theyyam</w:t>
      </w:r>
      <w:proofErr w:type="spellEnd"/>
      <w:r w:rsidRPr="00455C0D">
        <w:rPr>
          <w:rFonts w:ascii="Times New Roman" w:eastAsia="Calibri" w:hAnsi="Times New Roman"/>
        </w:rPr>
        <w:t xml:space="preserve"> is a powerful psychological and spiritual experience that facilitates individual empowerment and communal connection.</w:t>
      </w:r>
      <w:r>
        <w:rPr>
          <w:rFonts w:ascii="Times New Roman" w:eastAsia="Calibri" w:hAnsi="Times New Roman"/>
        </w:rPr>
        <w:t xml:space="preserve"> </w:t>
      </w:r>
      <w:r w:rsidRPr="00455C0D">
        <w:rPr>
          <w:rFonts w:ascii="Times New Roman" w:eastAsia="Calibri" w:hAnsi="Times New Roman"/>
          <w:lang w:val="en-US"/>
        </w:rPr>
        <w:t>This altered state of consciousness is marked by a dissociation from everyday reality, heightened suggestibility, and a deep emotional involvement in the ritual. It is induced by a combination of rhythmic drumming, repetitive movements, elaborate rituals, and intense emotional engagement. The trance enables performers to temporarily transcend their personal identities, embodying divine figures or ancestral spirits, creating a profound psychological experience of empowerment.</w:t>
      </w:r>
    </w:p>
    <w:p w14:paraId="175CDFF7" w14:textId="2BFB255E" w:rsidR="0087449C" w:rsidRDefault="002B305F" w:rsidP="0087449C">
      <w:pPr>
        <w:spacing w:line="360" w:lineRule="auto"/>
        <w:ind w:left="-90"/>
        <w:jc w:val="center"/>
        <w:rPr>
          <w:rFonts w:ascii="Times New Roman" w:eastAsia="Calibri" w:hAnsi="Times New Roman"/>
          <w:lang w:val="en-US"/>
        </w:rPr>
      </w:pPr>
      <w:r>
        <w:rPr>
          <w:rFonts w:ascii="Times New Roman" w:hAnsi="Times New Roman"/>
          <w:noProof/>
          <w:kern w:val="0"/>
          <w:lang w:val="en-US" w:eastAsia="en-US"/>
          <w14:ligatures w14:val="standardContextual"/>
        </w:rPr>
        <mc:AlternateContent>
          <mc:Choice Requires="wps">
            <w:drawing>
              <wp:anchor distT="0" distB="0" distL="114300" distR="114300" simplePos="0" relativeHeight="251682816" behindDoc="0" locked="0" layoutInCell="1" allowOverlap="1" wp14:anchorId="0D98E2B3" wp14:editId="0CD590F8">
                <wp:simplePos x="0" y="0"/>
                <wp:positionH relativeFrom="column">
                  <wp:posOffset>3892550</wp:posOffset>
                </wp:positionH>
                <wp:positionV relativeFrom="paragraph">
                  <wp:posOffset>1018540</wp:posOffset>
                </wp:positionV>
                <wp:extent cx="107950" cy="63500"/>
                <wp:effectExtent l="0" t="0" r="25400" b="12700"/>
                <wp:wrapNone/>
                <wp:docPr id="625007968"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E95FC" id="Rectangle 2" o:spid="_x0000_s1026" style="position:absolute;margin-left:306.5pt;margin-top:80.2pt;width:8.5pt;height: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" fillcolor="#4472c4 [3204]" strokecolor="#09101d [484]" strokeweight="1pt"/>
            </w:pict>
          </mc:Fallback>
        </mc:AlternateContent>
      </w:r>
      <w:r>
        <w:rPr>
          <w:rFonts w:ascii="Times New Roman" w:hAnsi="Times New Roman"/>
          <w:noProof/>
          <w:kern w:val="0"/>
          <w:lang w:val="en-US" w:eastAsia="en-US"/>
          <w14:ligatures w14:val="standardContextual"/>
        </w:rPr>
        <mc:AlternateContent>
          <mc:Choice Requires="wps">
            <w:drawing>
              <wp:anchor distT="0" distB="0" distL="114300" distR="114300" simplePos="0" relativeHeight="251684864" behindDoc="0" locked="0" layoutInCell="1" allowOverlap="1" wp14:anchorId="044A045B" wp14:editId="1F494505">
                <wp:simplePos x="0" y="0"/>
                <wp:positionH relativeFrom="column">
                  <wp:posOffset>4083050</wp:posOffset>
                </wp:positionH>
                <wp:positionV relativeFrom="paragraph">
                  <wp:posOffset>986790</wp:posOffset>
                </wp:positionV>
                <wp:extent cx="107950" cy="63500"/>
                <wp:effectExtent l="0" t="0" r="25400" b="12700"/>
                <wp:wrapNone/>
                <wp:docPr id="58127552"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2C2567" id="Rectangle 2" o:spid="_x0000_s1026" style="position:absolute;margin-left:321.5pt;margin-top:77.7pt;width:8.5pt;height: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8720" behindDoc="0" locked="0" layoutInCell="1" allowOverlap="1" wp14:anchorId="600C6E1F" wp14:editId="2A408E90">
                <wp:simplePos x="0" y="0"/>
                <wp:positionH relativeFrom="column">
                  <wp:posOffset>1047750</wp:posOffset>
                </wp:positionH>
                <wp:positionV relativeFrom="paragraph">
                  <wp:posOffset>955040</wp:posOffset>
                </wp:positionV>
                <wp:extent cx="107950" cy="63500"/>
                <wp:effectExtent l="0" t="0" r="25400" b="12700"/>
                <wp:wrapNone/>
                <wp:docPr id="847848223"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EB664" id="Rectangle 2" o:spid="_x0000_s1026" style="position:absolute;margin-left:82.5pt;margin-top:75.2pt;width:8.5pt;height: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80768" behindDoc="0" locked="0" layoutInCell="1" allowOverlap="1" wp14:anchorId="6F2E478D" wp14:editId="0296905E">
                <wp:simplePos x="0" y="0"/>
                <wp:positionH relativeFrom="column">
                  <wp:posOffset>1320800</wp:posOffset>
                </wp:positionH>
                <wp:positionV relativeFrom="paragraph">
                  <wp:posOffset>986790</wp:posOffset>
                </wp:positionV>
                <wp:extent cx="107950" cy="63500"/>
                <wp:effectExtent l="0" t="0" r="25400" b="12700"/>
                <wp:wrapNone/>
                <wp:docPr id="995355594"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15CCD" id="Rectangle 2" o:spid="_x0000_s1026" style="position:absolute;margin-left:104pt;margin-top:77.7pt;width:8.5pt;height: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4624" behindDoc="0" locked="0" layoutInCell="1" allowOverlap="1" wp14:anchorId="53FC68E6" wp14:editId="2E178B1B">
                <wp:simplePos x="0" y="0"/>
                <wp:positionH relativeFrom="column">
                  <wp:posOffset>4737100</wp:posOffset>
                </wp:positionH>
                <wp:positionV relativeFrom="paragraph">
                  <wp:posOffset>1113790</wp:posOffset>
                </wp:positionV>
                <wp:extent cx="107950" cy="63500"/>
                <wp:effectExtent l="0" t="0" r="25400" b="12700"/>
                <wp:wrapNone/>
                <wp:docPr id="1556806057"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69012" id="Rectangle 2" o:spid="_x0000_s1026" style="position:absolute;margin-left:373pt;margin-top:87.7pt;width:8.5pt;height: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6672" behindDoc="0" locked="0" layoutInCell="1" allowOverlap="1" wp14:anchorId="325B65F4" wp14:editId="62A5EF27">
                <wp:simplePos x="0" y="0"/>
                <wp:positionH relativeFrom="column">
                  <wp:posOffset>4921250</wp:posOffset>
                </wp:positionH>
                <wp:positionV relativeFrom="paragraph">
                  <wp:posOffset>1202690</wp:posOffset>
                </wp:positionV>
                <wp:extent cx="107950" cy="63500"/>
                <wp:effectExtent l="0" t="0" r="25400" b="12700"/>
                <wp:wrapNone/>
                <wp:docPr id="90551243"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07DA91" id="Rectangle 2" o:spid="_x0000_s1026" style="position:absolute;margin-left:387.5pt;margin-top:94.7pt;width:8.5pt;height: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" fillcolor="#4472c4 [3204]" strokecolor="#09101d [484]" strokeweight="1pt"/>
            </w:pict>
          </mc:Fallback>
        </mc:AlternateContent>
      </w:r>
      <w:r w:rsidR="00E041A7">
        <w:rPr>
          <w:rFonts w:ascii="Times New Roman" w:hAnsi="Times New Roman"/>
          <w:noProof/>
          <w:kern w:val="0"/>
          <w:lang w:val="en-US" w:eastAsia="en-US"/>
          <w14:ligatures w14:val="standardContextual"/>
        </w:rPr>
        <mc:AlternateContent>
          <mc:Choice Requires="wps">
            <w:drawing>
              <wp:anchor distT="0" distB="0" distL="114300" distR="114300" simplePos="0" relativeHeight="251672576" behindDoc="0" locked="0" layoutInCell="1" allowOverlap="1" wp14:anchorId="617E25EC" wp14:editId="0E12D345">
                <wp:simplePos x="0" y="0"/>
                <wp:positionH relativeFrom="column">
                  <wp:posOffset>838200</wp:posOffset>
                </wp:positionH>
                <wp:positionV relativeFrom="paragraph">
                  <wp:posOffset>1050290</wp:posOffset>
                </wp:positionV>
                <wp:extent cx="107950" cy="63500"/>
                <wp:effectExtent l="0" t="0" r="25400" b="12700"/>
                <wp:wrapNone/>
                <wp:docPr id="1782548186" name="Rectangle 2"/>
                <wp:cNvGraphicFramePr/>
                <a:graphic xmlns:a="http://schemas.openxmlformats.org/drawingml/2006/main">
                  <a:graphicData uri="http://schemas.microsoft.com/office/word/2010/wordprocessingShape">
                    <wps:wsp>
                      <wps:cNvSpPr/>
                      <wps:spPr>
                        <a:xfrm>
                          <a:off x="0" y="0"/>
                          <a:ext cx="107950" cy="63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C386D" id="Rectangle 2" o:spid="_x0000_s1026" style="position:absolute;margin-left:66pt;margin-top:82.7pt;width:8.5pt;height: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" fillcolor="#4472c4 [3204]" strokecolor="#09101d [484]" strokeweight="1pt"/>
            </w:pict>
          </mc:Fallback>
        </mc:AlternateContent>
      </w:r>
      <w:r w:rsidR="0087449C" w:rsidRPr="00CF58E7">
        <w:rPr>
          <w:rFonts w:ascii="Times New Roman" w:hAnsi="Times New Roman"/>
          <w:noProof/>
          <w:kern w:val="0"/>
          <w:lang w:val="en-US" w:eastAsia="en-US"/>
        </w:rPr>
        <w:drawing>
          <wp:inline distT="0" distB="0" distL="0" distR="0" wp14:anchorId="57AEB32D" wp14:editId="641CA9F9">
            <wp:extent cx="4635610" cy="2527935"/>
            <wp:effectExtent l="0" t="0" r="0" b="5715"/>
            <wp:docPr id="1883104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335" cy="2534874"/>
                    </a:xfrm>
                    <a:prstGeom prst="rect">
                      <a:avLst/>
                    </a:prstGeom>
                    <a:noFill/>
                    <a:ln>
                      <a:noFill/>
                    </a:ln>
                  </pic:spPr>
                </pic:pic>
              </a:graphicData>
            </a:graphic>
          </wp:inline>
        </w:drawing>
      </w:r>
    </w:p>
    <w:p w14:paraId="5CCBD315" w14:textId="7E2D2E2B" w:rsidR="003A03BE" w:rsidRPr="003A03BE" w:rsidRDefault="003A03BE" w:rsidP="0087449C">
      <w:pPr>
        <w:spacing w:line="360" w:lineRule="auto"/>
        <w:ind w:left="-90"/>
        <w:jc w:val="center"/>
        <w:rPr>
          <w:rFonts w:ascii="Times New Roman" w:eastAsia="Calibri" w:hAnsi="Times New Roman"/>
          <w:b/>
          <w:bCs/>
          <w:lang w:val="en-US"/>
        </w:rPr>
      </w:pPr>
      <w:r w:rsidRPr="003A03BE">
        <w:rPr>
          <w:rFonts w:ascii="Times New Roman" w:eastAsia="Calibri" w:hAnsi="Times New Roman"/>
          <w:b/>
          <w:bCs/>
        </w:rPr>
        <w:t xml:space="preserve">Figure 3: Trance State and Ritual Intensity in </w:t>
      </w:r>
      <w:proofErr w:type="spellStart"/>
      <w:r w:rsidRPr="003A03BE">
        <w:rPr>
          <w:rFonts w:ascii="Times New Roman" w:eastAsia="Calibri" w:hAnsi="Times New Roman"/>
          <w:b/>
          <w:bCs/>
        </w:rPr>
        <w:t>Theyyam</w:t>
      </w:r>
      <w:proofErr w:type="spellEnd"/>
    </w:p>
    <w:p w14:paraId="6108D09C" w14:textId="77777777" w:rsidR="0087449C" w:rsidRDefault="0087449C" w:rsidP="0087449C">
      <w:pPr>
        <w:spacing w:line="360" w:lineRule="auto"/>
        <w:ind w:left="-90"/>
        <w:jc w:val="both"/>
        <w:rPr>
          <w:rFonts w:ascii="Times New Roman" w:eastAsia="Calibri" w:hAnsi="Times New Roman"/>
          <w:lang w:val="en-US"/>
        </w:rPr>
      </w:pPr>
      <w:r w:rsidRPr="00455C0D">
        <w:rPr>
          <w:rFonts w:ascii="Times New Roman" w:eastAsia="Calibri" w:hAnsi="Times New Roman"/>
          <w:lang w:val="en-US"/>
        </w:rPr>
        <w:lastRenderedPageBreak/>
        <w:t xml:space="preserve">From a psychological and neuroscientific perspective, trance states are understood as a significant phenomenon that alters an individual’s consciousness. In the case of </w:t>
      </w:r>
      <w:proofErr w:type="spellStart"/>
      <w:r w:rsidRPr="00455C0D">
        <w:rPr>
          <w:rFonts w:ascii="Times New Roman" w:eastAsia="Calibri" w:hAnsi="Times New Roman"/>
          <w:lang w:val="en-US"/>
        </w:rPr>
        <w:t>Theyyam</w:t>
      </w:r>
      <w:proofErr w:type="spellEnd"/>
      <w:r w:rsidRPr="00455C0D">
        <w:rPr>
          <w:rFonts w:ascii="Times New Roman" w:eastAsia="Calibri" w:hAnsi="Times New Roman"/>
          <w:lang w:val="en-US"/>
        </w:rPr>
        <w:t>, the trance allows performers to express emotions that might be repressed or inaccessible in their daily lives. The rhythmic drumming and repetitive movements act as catalysts for this shift, leading to a form of catharsis. For the performer, the trance provides a space to release pent-up emotional energy and access a sense of spiritual transcendence. This process also serves as a therapeutic outlet, enabling the performer to break free from the constraints of everyday identity and temporarily inhabit a divine or mythological persona.</w:t>
      </w:r>
      <w:r>
        <w:rPr>
          <w:rFonts w:ascii="Times New Roman" w:eastAsia="Calibri" w:hAnsi="Times New Roman"/>
          <w:lang w:val="en-US"/>
        </w:rPr>
        <w:t xml:space="preserve"> </w:t>
      </w:r>
      <w:r w:rsidRPr="00455C0D">
        <w:rPr>
          <w:rFonts w:ascii="Times New Roman" w:eastAsia="Calibri" w:hAnsi="Times New Roman"/>
          <w:lang w:val="en-US"/>
        </w:rPr>
        <w:t xml:space="preserve">For the audience, witnessing the trance state in </w:t>
      </w:r>
      <w:proofErr w:type="spellStart"/>
      <w:r w:rsidRPr="00455C0D">
        <w:rPr>
          <w:rFonts w:ascii="Times New Roman" w:eastAsia="Calibri" w:hAnsi="Times New Roman"/>
          <w:lang w:val="en-US"/>
        </w:rPr>
        <w:t>Theyyam</w:t>
      </w:r>
      <w:proofErr w:type="spellEnd"/>
      <w:r w:rsidRPr="00455C0D">
        <w:rPr>
          <w:rFonts w:ascii="Times New Roman" w:eastAsia="Calibri" w:hAnsi="Times New Roman"/>
          <w:lang w:val="en-US"/>
        </w:rPr>
        <w:t xml:space="preserve"> also holds psychological significance. The emotional intensity of the performance, driven by the trance experience, provides the audience with an opportunity for emotional release. The shared experience of witnessing the performer’s embodiment of divine figures fosters a sense of collective participation and catharsis, as the ritual allows for communal expression of repressed emotions. This collective involvement strengthens emotional bonds within the community and enhances the sense of belonging.</w:t>
      </w:r>
      <w:r>
        <w:rPr>
          <w:rFonts w:ascii="Times New Roman" w:eastAsia="Calibri" w:hAnsi="Times New Roman"/>
          <w:lang w:val="en-US"/>
        </w:rPr>
        <w:t xml:space="preserve"> T</w:t>
      </w:r>
      <w:r w:rsidRPr="00455C0D">
        <w:rPr>
          <w:rFonts w:ascii="Times New Roman" w:eastAsia="Calibri" w:hAnsi="Times New Roman"/>
          <w:lang w:val="en-US"/>
        </w:rPr>
        <w:t>he embodied performance of sacred narratives during the trance state serves as a reminder of the community's cultural roots, rituals, and moral codes. This reinforces a sense of continuity, connecting the present with the past, and emphasizing the collective values that define the group’s identity. The trance experience thus helps sustain cultural heritage and provides an avenue for expressing shared beliefs and traditions.</w:t>
      </w:r>
    </w:p>
    <w:p w14:paraId="2A37CE42" w14:textId="77777777" w:rsidR="0087449C" w:rsidRPr="00BE146A" w:rsidRDefault="0087449C" w:rsidP="0087449C">
      <w:pPr>
        <w:pStyle w:val="ListParagraph"/>
        <w:numPr>
          <w:ilvl w:val="0"/>
          <w:numId w:val="1"/>
        </w:numPr>
        <w:spacing w:line="360" w:lineRule="auto"/>
        <w:ind w:left="180" w:hanging="270"/>
        <w:jc w:val="both"/>
        <w:rPr>
          <w:rFonts w:ascii="Times New Roman" w:eastAsia="Calibri" w:hAnsi="Times New Roman"/>
          <w:lang w:val="en-US"/>
        </w:rPr>
      </w:pPr>
      <w:r w:rsidRPr="009E557B">
        <w:rPr>
          <w:rFonts w:ascii="Times New Roman" w:eastAsia="Calibri" w:hAnsi="Times New Roman"/>
          <w:b/>
          <w:bCs/>
        </w:rPr>
        <w:t xml:space="preserve">The Therapeutic Dimensions of </w:t>
      </w:r>
      <w:proofErr w:type="spellStart"/>
      <w:r w:rsidRPr="009E557B">
        <w:rPr>
          <w:rFonts w:ascii="Times New Roman" w:eastAsia="Calibri" w:hAnsi="Times New Roman"/>
          <w:b/>
          <w:bCs/>
        </w:rPr>
        <w:t>Theyyam</w:t>
      </w:r>
      <w:proofErr w:type="spellEnd"/>
    </w:p>
    <w:p w14:paraId="39F08ECC" w14:textId="77777777" w:rsidR="0087449C" w:rsidRPr="00BE146A" w:rsidRDefault="0087449C" w:rsidP="0087449C">
      <w:pPr>
        <w:spacing w:line="360" w:lineRule="auto"/>
        <w:ind w:left="-90"/>
        <w:jc w:val="both"/>
        <w:rPr>
          <w:rFonts w:ascii="Times New Roman" w:eastAsia="Calibri" w:hAnsi="Times New Roman"/>
          <w:lang w:val="en-US"/>
        </w:rPr>
      </w:pPr>
      <w:proofErr w:type="spellStart"/>
      <w:r w:rsidRPr="00BE146A">
        <w:rPr>
          <w:rFonts w:ascii="Times New Roman" w:hAnsi="Times New Roman"/>
          <w:kern w:val="0"/>
          <w:lang w:val="en-US" w:eastAsia="en-US"/>
        </w:rPr>
        <w:t>Theyyam</w:t>
      </w:r>
      <w:proofErr w:type="spellEnd"/>
      <w:r w:rsidRPr="00BE146A">
        <w:rPr>
          <w:rFonts w:ascii="Times New Roman" w:hAnsi="Times New Roman"/>
          <w:kern w:val="0"/>
          <w:lang w:val="en-US" w:eastAsia="en-US"/>
        </w:rPr>
        <w:t xml:space="preserve"> is far more than a cultural performance. </w:t>
      </w:r>
      <w:proofErr w:type="spellStart"/>
      <w:r w:rsidRPr="00BE146A">
        <w:rPr>
          <w:rFonts w:ascii="Times New Roman" w:hAnsi="Times New Roman"/>
          <w:kern w:val="0"/>
          <w:lang w:val="en-US" w:eastAsia="en-US"/>
        </w:rPr>
        <w:t>Theyyam</w:t>
      </w:r>
      <w:proofErr w:type="spellEnd"/>
      <w:r w:rsidRPr="00BE146A">
        <w:rPr>
          <w:rFonts w:ascii="Times New Roman" w:hAnsi="Times New Roman"/>
          <w:kern w:val="0"/>
          <w:lang w:val="en-US" w:eastAsia="en-US"/>
        </w:rPr>
        <w:t xml:space="preserve"> can be seen as a form of indigenous therapy, an intersection of spirituality, culture, and mental well-being, addressing emotional pain through ritual, storytelling, and symbolic transformation. </w:t>
      </w:r>
      <w:proofErr w:type="spellStart"/>
      <w:r w:rsidRPr="00BE146A">
        <w:rPr>
          <w:rFonts w:ascii="Times New Roman" w:hAnsi="Times New Roman"/>
          <w:kern w:val="0"/>
          <w:lang w:val="en-US" w:eastAsia="en-US"/>
        </w:rPr>
        <w:t>Theyyam</w:t>
      </w:r>
      <w:proofErr w:type="spellEnd"/>
      <w:r w:rsidRPr="00BE146A">
        <w:rPr>
          <w:rFonts w:ascii="Times New Roman" w:hAnsi="Times New Roman"/>
          <w:kern w:val="0"/>
          <w:lang w:val="en-US" w:eastAsia="en-US"/>
        </w:rPr>
        <w:t xml:space="preserve"> facilitates healing on both individual and communal levels. It provides a culturally rooted mechanism for coping with trauma, restoring self-worth, and sustaining psychological resilience. </w:t>
      </w:r>
      <w:r w:rsidRPr="00BE146A">
        <w:rPr>
          <w:rFonts w:ascii="Times New Roman" w:hAnsi="Times New Roman"/>
          <w:kern w:val="0"/>
          <w:lang w:eastAsia="en-US"/>
        </w:rPr>
        <w:t xml:space="preserve">The ritual offers emotional and psychological relief through its unique ability to provide divine reassurance, community validation, and a temporary inversion of rigid caste hierarchies. For many participants and spectators, </w:t>
      </w:r>
      <w:proofErr w:type="spellStart"/>
      <w:r w:rsidRPr="00BE146A">
        <w:rPr>
          <w:rFonts w:ascii="Times New Roman" w:hAnsi="Times New Roman"/>
          <w:kern w:val="0"/>
          <w:lang w:eastAsia="en-US"/>
        </w:rPr>
        <w:t>Theyyam</w:t>
      </w:r>
      <w:proofErr w:type="spellEnd"/>
      <w:r w:rsidRPr="00BE146A">
        <w:rPr>
          <w:rFonts w:ascii="Times New Roman" w:hAnsi="Times New Roman"/>
          <w:kern w:val="0"/>
          <w:lang w:eastAsia="en-US"/>
        </w:rPr>
        <w:t xml:space="preserve"> becomes a space where spiritual and psychological healing converge.</w:t>
      </w:r>
    </w:p>
    <w:p w14:paraId="5CA2F343" w14:textId="36541477" w:rsidR="0087449C" w:rsidRDefault="00B57DDC" w:rsidP="0087449C">
      <w:pPr>
        <w:spacing w:after="100" w:afterAutospacing="1" w:line="360" w:lineRule="auto"/>
        <w:jc w:val="center"/>
        <w:rPr>
          <w:rFonts w:ascii="Times New Roman" w:eastAsia="Calibri" w:hAnsi="Times New Roman"/>
          <w:lang w:val="en-US"/>
        </w:rPr>
      </w:pPr>
      <w:r>
        <w:rPr>
          <w:rFonts w:ascii="Times New Roman" w:eastAsia="Calibri" w:hAnsi="Times New Roman"/>
          <w:noProof/>
          <w:lang w:val="en-US"/>
          <w14:ligatures w14:val="standardContextual"/>
        </w:rPr>
        <w:lastRenderedPageBreak/>
        <mc:AlternateContent>
          <mc:Choice Requires="wps">
            <w:drawing>
              <wp:anchor distT="0" distB="0" distL="114300" distR="114300" simplePos="0" relativeHeight="251689984" behindDoc="0" locked="0" layoutInCell="1" allowOverlap="1" wp14:anchorId="1307D26F" wp14:editId="52A1F312">
                <wp:simplePos x="0" y="0"/>
                <wp:positionH relativeFrom="column">
                  <wp:posOffset>4505325</wp:posOffset>
                </wp:positionH>
                <wp:positionV relativeFrom="paragraph">
                  <wp:posOffset>1716405</wp:posOffset>
                </wp:positionV>
                <wp:extent cx="228600" cy="114300"/>
                <wp:effectExtent l="0" t="0" r="19050" b="19050"/>
                <wp:wrapNone/>
                <wp:docPr id="1406386395" name="Rectangle 3"/>
                <wp:cNvGraphicFramePr/>
                <a:graphic xmlns:a="http://schemas.openxmlformats.org/drawingml/2006/main">
                  <a:graphicData uri="http://schemas.microsoft.com/office/word/2010/wordprocessingShape">
                    <wps:wsp>
                      <wps:cNvSpPr/>
                      <wps:spPr>
                        <a:xfrm>
                          <a:off x="0" y="0"/>
                          <a:ext cx="228600"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EA952" id="Rectangle 3" o:spid="_x0000_s1026" style="position:absolute;margin-left:354.75pt;margin-top:135.15pt;width:18pt;height: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92032" behindDoc="0" locked="0" layoutInCell="1" allowOverlap="1" wp14:anchorId="65D65BC8" wp14:editId="1BCE3C61">
                <wp:simplePos x="0" y="0"/>
                <wp:positionH relativeFrom="column">
                  <wp:posOffset>1657350</wp:posOffset>
                </wp:positionH>
                <wp:positionV relativeFrom="paragraph">
                  <wp:posOffset>1897380</wp:posOffset>
                </wp:positionV>
                <wp:extent cx="228600" cy="114300"/>
                <wp:effectExtent l="0" t="0" r="19050" b="19050"/>
                <wp:wrapNone/>
                <wp:docPr id="532851229" name="Rectangle 3"/>
                <wp:cNvGraphicFramePr/>
                <a:graphic xmlns:a="http://schemas.openxmlformats.org/drawingml/2006/main">
                  <a:graphicData uri="http://schemas.microsoft.com/office/word/2010/wordprocessingShape">
                    <wps:wsp>
                      <wps:cNvSpPr/>
                      <wps:spPr>
                        <a:xfrm>
                          <a:off x="0" y="0"/>
                          <a:ext cx="228600"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AF3CF" id="Rectangle 3" o:spid="_x0000_s1026" style="position:absolute;margin-left:130.5pt;margin-top:149.4pt;width:18pt;height: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94080" behindDoc="0" locked="0" layoutInCell="1" allowOverlap="1" wp14:anchorId="19A9504A" wp14:editId="37FC7476">
                <wp:simplePos x="0" y="0"/>
                <wp:positionH relativeFrom="column">
                  <wp:posOffset>2238375</wp:posOffset>
                </wp:positionH>
                <wp:positionV relativeFrom="paragraph">
                  <wp:posOffset>1783080</wp:posOffset>
                </wp:positionV>
                <wp:extent cx="123825" cy="114300"/>
                <wp:effectExtent l="0" t="0" r="28575" b="19050"/>
                <wp:wrapNone/>
                <wp:docPr id="319937047" name="Rectangle 3"/>
                <wp:cNvGraphicFramePr/>
                <a:graphic xmlns:a="http://schemas.openxmlformats.org/drawingml/2006/main">
                  <a:graphicData uri="http://schemas.microsoft.com/office/word/2010/wordprocessingShape">
                    <wps:wsp>
                      <wps:cNvSpPr/>
                      <wps:spPr>
                        <a:xfrm>
                          <a:off x="0" y="0"/>
                          <a:ext cx="123825"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BD32C4" id="Rectangle 3" o:spid="_x0000_s1026" style="position:absolute;margin-left:176.25pt;margin-top:140.4pt;width:9.75pt;height:9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85888" behindDoc="0" locked="0" layoutInCell="1" allowOverlap="1" wp14:anchorId="6260B5A0" wp14:editId="3BC9F327">
                <wp:simplePos x="0" y="0"/>
                <wp:positionH relativeFrom="column">
                  <wp:posOffset>4733925</wp:posOffset>
                </wp:positionH>
                <wp:positionV relativeFrom="paragraph">
                  <wp:posOffset>2068830</wp:posOffset>
                </wp:positionV>
                <wp:extent cx="228600" cy="114300"/>
                <wp:effectExtent l="0" t="0" r="19050" b="19050"/>
                <wp:wrapNone/>
                <wp:docPr id="1137001578" name="Rectangle 3"/>
                <wp:cNvGraphicFramePr/>
                <a:graphic xmlns:a="http://schemas.openxmlformats.org/drawingml/2006/main">
                  <a:graphicData uri="http://schemas.microsoft.com/office/word/2010/wordprocessingShape">
                    <wps:wsp>
                      <wps:cNvSpPr/>
                      <wps:spPr>
                        <a:xfrm>
                          <a:off x="0" y="0"/>
                          <a:ext cx="228600"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59D283" id="Rectangle 3" o:spid="_x0000_s1026" style="position:absolute;margin-left:372.75pt;margin-top:162.9pt;width:18pt;height: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" fillcolor="#4472c4 [3204]" strokecolor="#09101d [484]" strokeweight="1pt"/>
            </w:pict>
          </mc:Fallback>
        </mc:AlternateContent>
      </w:r>
      <w:r w:rsidR="0087449C" w:rsidRPr="00426DA2">
        <w:rPr>
          <w:rFonts w:ascii="Times New Roman" w:eastAsia="Calibri" w:hAnsi="Times New Roman"/>
          <w:noProof/>
          <w:lang w:val="en-US"/>
        </w:rPr>
        <w:drawing>
          <wp:inline distT="0" distB="0" distL="0" distR="0" wp14:anchorId="3AB1B37D" wp14:editId="4E3F89D1">
            <wp:extent cx="4206240" cy="2504440"/>
            <wp:effectExtent l="0" t="0" r="3810" b="0"/>
            <wp:docPr id="1864115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9646" cy="2518376"/>
                    </a:xfrm>
                    <a:prstGeom prst="rect">
                      <a:avLst/>
                    </a:prstGeom>
                    <a:noFill/>
                    <a:ln>
                      <a:noFill/>
                    </a:ln>
                  </pic:spPr>
                </pic:pic>
              </a:graphicData>
            </a:graphic>
          </wp:inline>
        </w:drawing>
      </w:r>
    </w:p>
    <w:p w14:paraId="520E3CA4" w14:textId="5EB9E208" w:rsidR="00D36120" w:rsidRPr="00D36120" w:rsidRDefault="00D36120" w:rsidP="0087449C">
      <w:pPr>
        <w:spacing w:after="100" w:afterAutospacing="1" w:line="360" w:lineRule="auto"/>
        <w:jc w:val="center"/>
        <w:rPr>
          <w:rFonts w:ascii="Times New Roman" w:eastAsia="Calibri" w:hAnsi="Times New Roman"/>
          <w:b/>
          <w:bCs/>
          <w:lang w:val="en-US"/>
        </w:rPr>
      </w:pPr>
      <w:r w:rsidRPr="00D36120">
        <w:rPr>
          <w:rFonts w:ascii="Times New Roman" w:eastAsia="Calibri" w:hAnsi="Times New Roman"/>
          <w:b/>
          <w:bCs/>
        </w:rPr>
        <w:t xml:space="preserve">Figure 4: The Therapeutic Potential of </w:t>
      </w:r>
      <w:proofErr w:type="spellStart"/>
      <w:r w:rsidRPr="00D36120">
        <w:rPr>
          <w:rFonts w:ascii="Times New Roman" w:eastAsia="Calibri" w:hAnsi="Times New Roman"/>
          <w:b/>
          <w:bCs/>
        </w:rPr>
        <w:t>Theyyam</w:t>
      </w:r>
      <w:proofErr w:type="spellEnd"/>
      <w:r w:rsidRPr="00D36120">
        <w:rPr>
          <w:rFonts w:ascii="Times New Roman" w:eastAsia="Calibri" w:hAnsi="Times New Roman"/>
          <w:b/>
          <w:bCs/>
        </w:rPr>
        <w:t xml:space="preserve"> as Collective Healing</w:t>
      </w:r>
    </w:p>
    <w:p w14:paraId="725B324B" w14:textId="77777777" w:rsidR="0087449C" w:rsidRPr="00BE146A" w:rsidRDefault="0087449C" w:rsidP="0087449C">
      <w:pPr>
        <w:spacing w:after="100" w:afterAutospacing="1" w:line="360" w:lineRule="auto"/>
        <w:jc w:val="both"/>
        <w:rPr>
          <w:rFonts w:ascii="Times New Roman" w:eastAsia="Calibri" w:hAnsi="Times New Roman"/>
          <w:lang w:val="en-US"/>
        </w:rPr>
      </w:pPr>
      <w:r>
        <w:rPr>
          <w:rFonts w:ascii="Times New Roman" w:eastAsia="Calibri" w:hAnsi="Times New Roman"/>
          <w:lang w:val="en-US"/>
        </w:rPr>
        <w:t>From the</w:t>
      </w:r>
      <w:r w:rsidRPr="00BE146A">
        <w:rPr>
          <w:rFonts w:ascii="Times New Roman" w:eastAsia="Calibri" w:hAnsi="Times New Roman"/>
          <w:lang w:val="en-US"/>
        </w:rPr>
        <w:t xml:space="preserve"> psychotherapeutic lens, the performative elements of </w:t>
      </w:r>
      <w:proofErr w:type="spellStart"/>
      <w:r w:rsidRPr="00BE146A">
        <w:rPr>
          <w:rFonts w:ascii="Times New Roman" w:eastAsia="Calibri" w:hAnsi="Times New Roman"/>
          <w:lang w:val="en-US"/>
        </w:rPr>
        <w:t>Theyyam</w:t>
      </w:r>
      <w:proofErr w:type="spellEnd"/>
      <w:r>
        <w:rPr>
          <w:rFonts w:ascii="Times New Roman" w:eastAsia="Calibri" w:hAnsi="Times New Roman"/>
          <w:lang w:val="en-US"/>
        </w:rPr>
        <w:t xml:space="preserve"> such as, </w:t>
      </w:r>
      <w:r w:rsidRPr="00BE146A">
        <w:rPr>
          <w:rFonts w:ascii="Times New Roman" w:eastAsia="Calibri" w:hAnsi="Times New Roman"/>
          <w:lang w:val="en-US"/>
        </w:rPr>
        <w:t>chanting, rhythmic drumming, vibrant costumes, and trance induction</w:t>
      </w:r>
      <w:r>
        <w:rPr>
          <w:rFonts w:ascii="Times New Roman" w:eastAsia="Calibri" w:hAnsi="Times New Roman"/>
          <w:lang w:val="en-US"/>
        </w:rPr>
        <w:t xml:space="preserve"> </w:t>
      </w:r>
      <w:r w:rsidRPr="00BE146A">
        <w:rPr>
          <w:rFonts w:ascii="Times New Roman" w:eastAsia="Calibri" w:hAnsi="Times New Roman"/>
          <w:lang w:val="en-US"/>
        </w:rPr>
        <w:t>mirror several techniques used in contemporary psychological practices. These include guided imagery, somatic experiencing, expressive arts therapy, and meditative or altered states of consciousness. The trance state, in particular, allows for a release of repressed emotions, enabling performers to process internal conflicts and experience emotional catharsis. This aligns with theories in transpersonal psychology, which explore the spiritual dimensions of psychological healing, as well as somatic psychology, which emphasizes the body’s role in emotional processing</w:t>
      </w:r>
      <w:r>
        <w:rPr>
          <w:rFonts w:ascii="Times New Roman" w:eastAsia="Calibri" w:hAnsi="Times New Roman"/>
          <w:lang w:val="en-US"/>
        </w:rPr>
        <w:t xml:space="preserve"> (</w:t>
      </w:r>
      <w:r w:rsidRPr="00F90CE6">
        <w:rPr>
          <w:rFonts w:ascii="Times New Roman" w:hAnsi="Times New Roman"/>
        </w:rPr>
        <w:t>Verrier, Monique</w:t>
      </w:r>
      <w:r>
        <w:rPr>
          <w:rFonts w:ascii="Times New Roman" w:hAnsi="Times New Roman"/>
        </w:rPr>
        <w:t xml:space="preserve">, </w:t>
      </w:r>
      <w:r w:rsidRPr="00F90CE6">
        <w:rPr>
          <w:rFonts w:ascii="Times New Roman" w:hAnsi="Times New Roman"/>
        </w:rPr>
        <w:t>2021)</w:t>
      </w:r>
      <w:r w:rsidRPr="00BE146A">
        <w:rPr>
          <w:rFonts w:ascii="Times New Roman" w:eastAsia="Calibri" w:hAnsi="Times New Roman"/>
          <w:lang w:val="en-US"/>
        </w:rPr>
        <w:t>.</w:t>
      </w:r>
    </w:p>
    <w:p w14:paraId="2FA56919" w14:textId="77777777" w:rsidR="0087449C" w:rsidRDefault="0087449C" w:rsidP="0087449C">
      <w:pPr>
        <w:spacing w:after="100" w:afterAutospacing="1" w:line="360" w:lineRule="auto"/>
        <w:jc w:val="both"/>
        <w:rPr>
          <w:rFonts w:ascii="Times New Roman" w:eastAsia="Calibri" w:hAnsi="Times New Roman"/>
          <w:lang w:val="en-US"/>
        </w:rPr>
      </w:pPr>
      <w:r w:rsidRPr="00BE146A">
        <w:rPr>
          <w:rFonts w:ascii="Times New Roman" w:eastAsia="Calibri" w:hAnsi="Times New Roman"/>
          <w:lang w:val="en-US"/>
        </w:rPr>
        <w:t xml:space="preserve">The collective nature of </w:t>
      </w:r>
      <w:proofErr w:type="spellStart"/>
      <w:r w:rsidRPr="00BE146A">
        <w:rPr>
          <w:rFonts w:ascii="Times New Roman" w:eastAsia="Calibri" w:hAnsi="Times New Roman"/>
          <w:lang w:val="en-US"/>
        </w:rPr>
        <w:t>Theyyam</w:t>
      </w:r>
      <w:proofErr w:type="spellEnd"/>
      <w:r w:rsidRPr="00BE146A">
        <w:rPr>
          <w:rFonts w:ascii="Times New Roman" w:eastAsia="Calibri" w:hAnsi="Times New Roman"/>
          <w:lang w:val="en-US"/>
        </w:rPr>
        <w:t xml:space="preserve"> further enhances its therapeutic impact. The community’s active participation</w:t>
      </w:r>
      <w:r>
        <w:rPr>
          <w:rFonts w:ascii="Times New Roman" w:eastAsia="Calibri" w:hAnsi="Times New Roman"/>
          <w:lang w:val="en-US"/>
        </w:rPr>
        <w:t xml:space="preserve"> </w:t>
      </w:r>
      <w:r w:rsidRPr="00BE146A">
        <w:rPr>
          <w:rFonts w:ascii="Times New Roman" w:eastAsia="Calibri" w:hAnsi="Times New Roman"/>
          <w:lang w:val="en-US"/>
        </w:rPr>
        <w:t>through prayer, offerings, and emotional engagement</w:t>
      </w:r>
      <w:r>
        <w:rPr>
          <w:rFonts w:ascii="Times New Roman" w:eastAsia="Calibri" w:hAnsi="Times New Roman"/>
          <w:lang w:val="en-US"/>
        </w:rPr>
        <w:t xml:space="preserve"> </w:t>
      </w:r>
      <w:r w:rsidRPr="00BE146A">
        <w:rPr>
          <w:rFonts w:ascii="Times New Roman" w:eastAsia="Calibri" w:hAnsi="Times New Roman"/>
          <w:lang w:val="en-US"/>
        </w:rPr>
        <w:t>creates a supportive environment in which personal and collective struggles can be externalized and ritualistically addressed. As individuals seek divine intervention for personal problems, health issues, or social injustice, the ritual provides symbolic resolutions and emotional reassurance. These shared experiences reinforce communal bonds, reducing isolation and fostering a sense of belonging.</w:t>
      </w:r>
    </w:p>
    <w:p w14:paraId="77BDB5AD" w14:textId="77777777" w:rsidR="0087449C" w:rsidRPr="00041832" w:rsidRDefault="0087449C" w:rsidP="0087449C">
      <w:pPr>
        <w:spacing w:after="100" w:afterAutospacing="1" w:line="360" w:lineRule="auto"/>
        <w:jc w:val="both"/>
        <w:rPr>
          <w:rFonts w:ascii="Times New Roman" w:eastAsia="Calibri" w:hAnsi="Times New Roman"/>
          <w:b/>
          <w:bCs/>
          <w:lang w:val="en-US"/>
        </w:rPr>
      </w:pPr>
      <w:r>
        <w:rPr>
          <w:rFonts w:ascii="Times New Roman" w:eastAsia="Calibri" w:hAnsi="Times New Roman"/>
          <w:b/>
          <w:bCs/>
          <w:lang w:val="en-US"/>
        </w:rPr>
        <w:t xml:space="preserve">3.1 </w:t>
      </w:r>
      <w:r w:rsidRPr="00041832">
        <w:rPr>
          <w:rFonts w:ascii="Times New Roman" w:eastAsia="Calibri" w:hAnsi="Times New Roman"/>
          <w:b/>
          <w:bCs/>
          <w:lang w:val="en-US"/>
        </w:rPr>
        <w:t>Catharsis and Emotional Release</w:t>
      </w:r>
    </w:p>
    <w:p w14:paraId="43EFA6A2" w14:textId="77777777" w:rsidR="0087449C" w:rsidRDefault="0087449C" w:rsidP="0087449C">
      <w:pPr>
        <w:spacing w:after="100" w:afterAutospacing="1" w:line="360" w:lineRule="auto"/>
        <w:jc w:val="both"/>
        <w:rPr>
          <w:rFonts w:ascii="Times New Roman" w:eastAsia="Calibri" w:hAnsi="Times New Roman"/>
        </w:rPr>
      </w:pPr>
      <w:r w:rsidRPr="00041832">
        <w:rPr>
          <w:rFonts w:ascii="Times New Roman" w:eastAsia="Calibri" w:hAnsi="Times New Roman"/>
          <w:lang w:val="en-US"/>
        </w:rPr>
        <w:t xml:space="preserve">At the core of </w:t>
      </w:r>
      <w:proofErr w:type="spellStart"/>
      <w:r w:rsidRPr="00041832">
        <w:rPr>
          <w:rFonts w:ascii="Times New Roman" w:eastAsia="Calibri" w:hAnsi="Times New Roman"/>
          <w:lang w:val="en-US"/>
        </w:rPr>
        <w:t>Theyyam’s</w:t>
      </w:r>
      <w:proofErr w:type="spellEnd"/>
      <w:r w:rsidRPr="00041832">
        <w:rPr>
          <w:rFonts w:ascii="Times New Roman" w:eastAsia="Calibri" w:hAnsi="Times New Roman"/>
          <w:lang w:val="en-US"/>
        </w:rPr>
        <w:t xml:space="preserve"> therapeutic function lies the concept of catharsis, a psychological process first emphasized in psychoanalytic theory by Sigmund Freud. Freud argued that the release of </w:t>
      </w:r>
      <w:r w:rsidRPr="00041832">
        <w:rPr>
          <w:rFonts w:ascii="Times New Roman" w:eastAsia="Calibri" w:hAnsi="Times New Roman"/>
          <w:lang w:val="en-US"/>
        </w:rPr>
        <w:lastRenderedPageBreak/>
        <w:t>repressed or unconscious emotions through expressive channels could lead to psychological relief and healing (</w:t>
      </w:r>
      <w:r w:rsidRPr="00041832">
        <w:rPr>
          <w:rFonts w:ascii="Times New Roman" w:hAnsi="Times New Roman"/>
        </w:rPr>
        <w:t xml:space="preserve">Tarzian, M., </w:t>
      </w:r>
      <w:proofErr w:type="spellStart"/>
      <w:r w:rsidRPr="00041832">
        <w:rPr>
          <w:rFonts w:ascii="Times New Roman" w:hAnsi="Times New Roman"/>
        </w:rPr>
        <w:t>Ndrio</w:t>
      </w:r>
      <w:proofErr w:type="spellEnd"/>
      <w:r w:rsidRPr="00041832">
        <w:rPr>
          <w:rFonts w:ascii="Times New Roman" w:hAnsi="Times New Roman"/>
        </w:rPr>
        <w:t xml:space="preserve">, M., &amp; </w:t>
      </w:r>
      <w:proofErr w:type="spellStart"/>
      <w:r w:rsidRPr="00041832">
        <w:rPr>
          <w:rFonts w:ascii="Times New Roman" w:hAnsi="Times New Roman"/>
        </w:rPr>
        <w:t>Fakoya</w:t>
      </w:r>
      <w:proofErr w:type="spellEnd"/>
      <w:r w:rsidRPr="00041832">
        <w:rPr>
          <w:rFonts w:ascii="Times New Roman" w:hAnsi="Times New Roman"/>
        </w:rPr>
        <w:t>, A. O., 2023)</w:t>
      </w:r>
      <w:r w:rsidRPr="00041832">
        <w:rPr>
          <w:rFonts w:ascii="Times New Roman" w:eastAsia="Calibri" w:hAnsi="Times New Roman"/>
          <w:lang w:val="en-US"/>
        </w:rPr>
        <w:t xml:space="preserve">. </w:t>
      </w:r>
      <w:r w:rsidRPr="00041832">
        <w:rPr>
          <w:rFonts w:ascii="Times New Roman" w:eastAsia="Calibri" w:hAnsi="Times New Roman"/>
        </w:rPr>
        <w:t xml:space="preserve">In </w:t>
      </w:r>
      <w:proofErr w:type="spellStart"/>
      <w:r w:rsidRPr="00041832">
        <w:rPr>
          <w:rFonts w:ascii="Times New Roman" w:eastAsia="Calibri" w:hAnsi="Times New Roman"/>
        </w:rPr>
        <w:t>Theyyam</w:t>
      </w:r>
      <w:proofErr w:type="spellEnd"/>
      <w:r w:rsidRPr="00041832">
        <w:rPr>
          <w:rFonts w:ascii="Times New Roman" w:eastAsia="Calibri" w:hAnsi="Times New Roman"/>
        </w:rPr>
        <w:t>, the emotional release isn't just for the performer—it also includes the whole community, creating a shared space where everyone can let out their feelings and experience emotional healing together.</w:t>
      </w:r>
    </w:p>
    <w:p w14:paraId="5BD86732" w14:textId="77777777" w:rsidR="0087449C" w:rsidRDefault="0087449C" w:rsidP="0087449C">
      <w:pPr>
        <w:spacing w:after="100" w:afterAutospacing="1" w:line="360" w:lineRule="auto"/>
        <w:jc w:val="both"/>
        <w:rPr>
          <w:rFonts w:ascii="Times New Roman" w:eastAsia="Calibri" w:hAnsi="Times New Roman"/>
        </w:rPr>
      </w:pPr>
      <w:r w:rsidRPr="007C08C5">
        <w:rPr>
          <w:rFonts w:ascii="Times New Roman" w:eastAsia="Calibri" w:hAnsi="Times New Roman"/>
        </w:rPr>
        <w:t xml:space="preserve">The structure of </w:t>
      </w:r>
      <w:proofErr w:type="spellStart"/>
      <w:r w:rsidRPr="007C08C5">
        <w:rPr>
          <w:rFonts w:ascii="Times New Roman" w:eastAsia="Calibri" w:hAnsi="Times New Roman"/>
        </w:rPr>
        <w:t>Theyyam</w:t>
      </w:r>
      <w:proofErr w:type="spellEnd"/>
      <w:r w:rsidRPr="007C08C5">
        <w:rPr>
          <w:rFonts w:ascii="Times New Roman" w:eastAsia="Calibri" w:hAnsi="Times New Roman"/>
        </w:rPr>
        <w:t xml:space="preserve"> is thoughtfully designed to encourage emotional expression. Elements like careful preparations, rhythmic drumming, powerful chanting, and trance states come together to create an intense and sacred atmosphere. In this emotionally charged space, both the performer and the audience are taken beyond their everyday lives into a different </w:t>
      </w:r>
      <w:r>
        <w:rPr>
          <w:rFonts w:ascii="Times New Roman" w:eastAsia="Calibri" w:hAnsi="Times New Roman"/>
        </w:rPr>
        <w:t xml:space="preserve">space, </w:t>
      </w:r>
      <w:r w:rsidRPr="007C08C5">
        <w:rPr>
          <w:rFonts w:ascii="Times New Roman" w:eastAsia="Calibri" w:hAnsi="Times New Roman"/>
        </w:rPr>
        <w:t>one where expressing deep emotions such as sorrow, anger, joy, or hope is not only accepted but welcomed.</w:t>
      </w:r>
      <w:r>
        <w:rPr>
          <w:rFonts w:ascii="Times New Roman" w:eastAsia="Calibri" w:hAnsi="Times New Roman"/>
        </w:rPr>
        <w:t xml:space="preserve"> </w:t>
      </w:r>
      <w:r w:rsidRPr="007C08C5">
        <w:rPr>
          <w:rFonts w:ascii="Times New Roman" w:eastAsia="Calibri" w:hAnsi="Times New Roman"/>
        </w:rPr>
        <w:t xml:space="preserve">In </w:t>
      </w:r>
      <w:proofErr w:type="spellStart"/>
      <w:r w:rsidRPr="007C08C5">
        <w:rPr>
          <w:rFonts w:ascii="Times New Roman" w:eastAsia="Calibri" w:hAnsi="Times New Roman"/>
        </w:rPr>
        <w:t>Theyyam</w:t>
      </w:r>
      <w:proofErr w:type="spellEnd"/>
      <w:r w:rsidRPr="007C08C5">
        <w:rPr>
          <w:rFonts w:ascii="Times New Roman" w:eastAsia="Calibri" w:hAnsi="Times New Roman"/>
        </w:rPr>
        <w:t>, the performer’s change into a divine being is more than just a visual transformation</w:t>
      </w:r>
      <w:r>
        <w:rPr>
          <w:rFonts w:ascii="Times New Roman" w:eastAsia="Calibri" w:hAnsi="Times New Roman"/>
        </w:rPr>
        <w:t xml:space="preserve">, </w:t>
      </w:r>
      <w:r w:rsidRPr="007C08C5">
        <w:rPr>
          <w:rFonts w:ascii="Times New Roman" w:eastAsia="Calibri" w:hAnsi="Times New Roman"/>
        </w:rPr>
        <w:t xml:space="preserve">it </w:t>
      </w:r>
      <w:r>
        <w:rPr>
          <w:rFonts w:ascii="Times New Roman" w:eastAsia="Calibri" w:hAnsi="Times New Roman"/>
        </w:rPr>
        <w:t>causes</w:t>
      </w:r>
      <w:r w:rsidRPr="007C08C5">
        <w:rPr>
          <w:rFonts w:ascii="Times New Roman" w:eastAsia="Calibri" w:hAnsi="Times New Roman"/>
        </w:rPr>
        <w:t xml:space="preserve"> a deep psychological change that helps them express strong emotional and cultural stories, much like in a healing role-play. For the audience, the ritual becomes a space for emotional release and support. Devotees often connect with the performer to share personal worries and seek guidance, which can lead to intense emotional responses. The performer’s role as a deity creates a sense of safety, making it easier for people to express feelings they normally keep hidden.</w:t>
      </w:r>
    </w:p>
    <w:p w14:paraId="17FBDAE8" w14:textId="77777777" w:rsidR="0087449C" w:rsidRPr="00BE146A" w:rsidRDefault="0087449C" w:rsidP="0087449C">
      <w:pPr>
        <w:spacing w:after="100" w:afterAutospacing="1" w:line="360" w:lineRule="auto"/>
        <w:jc w:val="both"/>
        <w:rPr>
          <w:rFonts w:ascii="Times New Roman" w:eastAsia="Calibri" w:hAnsi="Times New Roman"/>
          <w:lang w:val="en-US"/>
        </w:rPr>
      </w:pPr>
      <w:r>
        <w:rPr>
          <w:rFonts w:ascii="Times New Roman" w:eastAsia="Calibri" w:hAnsi="Times New Roman"/>
        </w:rPr>
        <w:t>T</w:t>
      </w:r>
      <w:r w:rsidRPr="00041832">
        <w:rPr>
          <w:rFonts w:ascii="Times New Roman" w:eastAsia="Calibri" w:hAnsi="Times New Roman"/>
          <w:lang w:val="en-US"/>
        </w:rPr>
        <w:t xml:space="preserve">he narratives performed during </w:t>
      </w:r>
      <w:proofErr w:type="spellStart"/>
      <w:r w:rsidRPr="00041832">
        <w:rPr>
          <w:rFonts w:ascii="Times New Roman" w:eastAsia="Calibri" w:hAnsi="Times New Roman"/>
          <w:lang w:val="en-US"/>
        </w:rPr>
        <w:t>Theyyam</w:t>
      </w:r>
      <w:proofErr w:type="spellEnd"/>
      <w:r>
        <w:rPr>
          <w:rFonts w:ascii="Times New Roman" w:eastAsia="Calibri" w:hAnsi="Times New Roman"/>
          <w:lang w:val="en-US"/>
        </w:rPr>
        <w:t xml:space="preserve"> which are </w:t>
      </w:r>
      <w:r w:rsidRPr="00041832">
        <w:rPr>
          <w:rFonts w:ascii="Times New Roman" w:eastAsia="Calibri" w:hAnsi="Times New Roman"/>
          <w:lang w:val="en-US"/>
        </w:rPr>
        <w:t xml:space="preserve">often centered around themes of </w:t>
      </w:r>
      <w:r w:rsidRPr="007C08C5">
        <w:rPr>
          <w:rFonts w:ascii="Times New Roman" w:eastAsia="Calibri" w:hAnsi="Times New Roman"/>
        </w:rPr>
        <w:t>oppression, injustice, divine punishment, and redemption</w:t>
      </w:r>
      <w:r>
        <w:rPr>
          <w:rFonts w:ascii="Times New Roman" w:eastAsia="Calibri" w:hAnsi="Times New Roman"/>
          <w:lang w:val="en-US"/>
        </w:rPr>
        <w:t xml:space="preserve"> tends to </w:t>
      </w:r>
      <w:r w:rsidRPr="00041832">
        <w:rPr>
          <w:rFonts w:ascii="Times New Roman" w:eastAsia="Calibri" w:hAnsi="Times New Roman"/>
          <w:lang w:val="en-US"/>
        </w:rPr>
        <w:t xml:space="preserve">resonate deeply with the lived experiences of the community. These stories function as cultural scripts, providing a framework through which individuals can process trauma, loss, and social suffering. </w:t>
      </w:r>
      <w:r w:rsidRPr="002316A4">
        <w:rPr>
          <w:rFonts w:ascii="Times New Roman" w:eastAsia="Calibri" w:hAnsi="Times New Roman"/>
          <w:lang w:val="en-US"/>
        </w:rPr>
        <w:t>As these stories are performed, the audience often sees their own emotions reflected in the mythical struggles of gods and ancestors, creating a strong sense of connection, recognition, and emotional relief.</w:t>
      </w:r>
      <w:r>
        <w:rPr>
          <w:rFonts w:ascii="Times New Roman" w:eastAsia="Calibri" w:hAnsi="Times New Roman"/>
          <w:lang w:val="en-US"/>
        </w:rPr>
        <w:t xml:space="preserve"> </w:t>
      </w:r>
      <w:proofErr w:type="spellStart"/>
      <w:r w:rsidRPr="002316A4">
        <w:rPr>
          <w:rFonts w:ascii="Times New Roman" w:eastAsia="Calibri" w:hAnsi="Times New Roman"/>
        </w:rPr>
        <w:t>Theyyam</w:t>
      </w:r>
      <w:proofErr w:type="spellEnd"/>
      <w:r w:rsidRPr="002316A4">
        <w:rPr>
          <w:rFonts w:ascii="Times New Roman" w:eastAsia="Calibri" w:hAnsi="Times New Roman"/>
        </w:rPr>
        <w:t xml:space="preserve"> thus provides a psychosocial container for emotional expression, offering a sacred space where personal experiences transform into communal ones. In this space, the act of witnessing becomes a form of healing. Through the shared experiences of trance, storytelling, and emotional release, the ritual promotes not only individual catharsis but also strengthens the psychological resilience and unity of the community.</w:t>
      </w:r>
    </w:p>
    <w:p w14:paraId="3409C5C8" w14:textId="77777777" w:rsidR="0087449C" w:rsidRPr="0098462B" w:rsidRDefault="0087449C" w:rsidP="0087449C">
      <w:pPr>
        <w:pStyle w:val="ListParagraph"/>
        <w:numPr>
          <w:ilvl w:val="0"/>
          <w:numId w:val="1"/>
        </w:numPr>
        <w:spacing w:line="360" w:lineRule="auto"/>
        <w:ind w:left="270" w:hanging="270"/>
        <w:jc w:val="both"/>
        <w:rPr>
          <w:rFonts w:ascii="Times New Roman" w:eastAsia="Calibri" w:hAnsi="Times New Roman"/>
          <w:b/>
          <w:bCs/>
        </w:rPr>
      </w:pPr>
      <w:r w:rsidRPr="0098462B">
        <w:rPr>
          <w:rFonts w:ascii="Times New Roman" w:eastAsia="Calibri" w:hAnsi="Times New Roman"/>
          <w:b/>
          <w:bCs/>
        </w:rPr>
        <w:t xml:space="preserve">Drawing Parallels: </w:t>
      </w:r>
      <w:proofErr w:type="spellStart"/>
      <w:r w:rsidRPr="0098462B">
        <w:rPr>
          <w:rFonts w:ascii="Times New Roman" w:eastAsia="Calibri" w:hAnsi="Times New Roman"/>
          <w:b/>
          <w:bCs/>
        </w:rPr>
        <w:t>Theyyam</w:t>
      </w:r>
      <w:proofErr w:type="spellEnd"/>
      <w:r w:rsidRPr="0098462B">
        <w:rPr>
          <w:rFonts w:ascii="Times New Roman" w:eastAsia="Calibri" w:hAnsi="Times New Roman"/>
          <w:b/>
          <w:bCs/>
        </w:rPr>
        <w:t xml:space="preserve"> and Contemporary Psychological Practices</w:t>
      </w:r>
    </w:p>
    <w:p w14:paraId="75F558C7" w14:textId="77777777"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rPr>
        <w:lastRenderedPageBreak/>
        <w:t xml:space="preserve">In examining the practice of </w:t>
      </w:r>
      <w:proofErr w:type="spellStart"/>
      <w:r w:rsidRPr="00FB12B9">
        <w:rPr>
          <w:rFonts w:ascii="Times New Roman" w:eastAsia="Calibri" w:hAnsi="Times New Roman"/>
        </w:rPr>
        <w:t>Theyyam</w:t>
      </w:r>
      <w:proofErr w:type="spellEnd"/>
      <w:r w:rsidRPr="00FB12B9">
        <w:rPr>
          <w:rFonts w:ascii="Times New Roman" w:eastAsia="Calibri" w:hAnsi="Times New Roman"/>
        </w:rPr>
        <w:t>, it is striking how its various elements parallel contemporary psychotherapeutic techniques. Each of these modern therapeutic frameworks shares common ground with the ritual’s transformative and cathartic functions, demonstrating how ancient cultural practices and modern psychotherapy may converge in their psychological effects.</w:t>
      </w:r>
    </w:p>
    <w:p w14:paraId="605BC34D" w14:textId="77777777" w:rsidR="0087449C" w:rsidRPr="0098462B" w:rsidRDefault="0087449C" w:rsidP="0087449C">
      <w:pPr>
        <w:pStyle w:val="ListParagraph"/>
        <w:numPr>
          <w:ilvl w:val="1"/>
          <w:numId w:val="2"/>
        </w:numPr>
        <w:spacing w:line="360" w:lineRule="auto"/>
        <w:jc w:val="both"/>
        <w:rPr>
          <w:rFonts w:ascii="Times New Roman" w:eastAsia="Calibri" w:hAnsi="Times New Roman"/>
          <w:lang w:val="en-US"/>
        </w:rPr>
      </w:pPr>
      <w:proofErr w:type="spellStart"/>
      <w:r w:rsidRPr="0098462B">
        <w:rPr>
          <w:rFonts w:ascii="Times New Roman" w:eastAsia="Calibri" w:hAnsi="Times New Roman"/>
          <w:b/>
          <w:bCs/>
          <w:lang w:val="en-US"/>
        </w:rPr>
        <w:t>Theyyam</w:t>
      </w:r>
      <w:proofErr w:type="spellEnd"/>
      <w:r w:rsidRPr="0098462B">
        <w:rPr>
          <w:rFonts w:ascii="Times New Roman" w:eastAsia="Calibri" w:hAnsi="Times New Roman"/>
          <w:b/>
          <w:bCs/>
          <w:lang w:val="en-US"/>
        </w:rPr>
        <w:t xml:space="preserve"> as Psychodrama</w:t>
      </w:r>
    </w:p>
    <w:p w14:paraId="3B60484D" w14:textId="77777777" w:rsidR="0087449C" w:rsidRDefault="0087449C" w:rsidP="0087449C">
      <w:pPr>
        <w:spacing w:line="360" w:lineRule="auto"/>
        <w:jc w:val="both"/>
        <w:rPr>
          <w:rFonts w:ascii="Times New Roman" w:hAnsi="Times New Roman"/>
          <w:kern w:val="0"/>
          <w:lang w:eastAsia="en-US"/>
        </w:rPr>
      </w:pPr>
      <w:r w:rsidRPr="00FB12B9">
        <w:rPr>
          <w:rFonts w:ascii="Times New Roman" w:hAnsi="Times New Roman"/>
          <w:kern w:val="0"/>
          <w:lang w:val="en-US" w:eastAsia="en-US"/>
        </w:rPr>
        <w:t>Psychodrama is a therapeutic approach that uses guided drama and role-playing to work through problems</w:t>
      </w:r>
      <w:r>
        <w:rPr>
          <w:rFonts w:ascii="Times New Roman" w:hAnsi="Times New Roman"/>
          <w:kern w:val="0"/>
          <w:lang w:val="en-US" w:eastAsia="en-US"/>
        </w:rPr>
        <w:t xml:space="preserve"> (</w:t>
      </w:r>
      <w:r w:rsidRPr="00A7220C">
        <w:rPr>
          <w:rFonts w:ascii="Times New Roman" w:hAnsi="Times New Roman"/>
          <w:kern w:val="0"/>
          <w:lang w:eastAsia="en-US"/>
        </w:rPr>
        <w:t>López-González, M. A., Morales-</w:t>
      </w:r>
      <w:proofErr w:type="spellStart"/>
      <w:r w:rsidRPr="00A7220C">
        <w:rPr>
          <w:rFonts w:ascii="Times New Roman" w:hAnsi="Times New Roman"/>
          <w:kern w:val="0"/>
          <w:lang w:eastAsia="en-US"/>
        </w:rPr>
        <w:t>Landazábal</w:t>
      </w:r>
      <w:proofErr w:type="spellEnd"/>
      <w:r w:rsidRPr="00A7220C">
        <w:rPr>
          <w:rFonts w:ascii="Times New Roman" w:hAnsi="Times New Roman"/>
          <w:kern w:val="0"/>
          <w:lang w:eastAsia="en-US"/>
        </w:rPr>
        <w:t>, P., &amp; Topa, G.</w:t>
      </w:r>
      <w:r>
        <w:rPr>
          <w:rFonts w:ascii="Times New Roman" w:hAnsi="Times New Roman"/>
          <w:kern w:val="0"/>
          <w:lang w:eastAsia="en-US"/>
        </w:rPr>
        <w:t xml:space="preserve">, </w:t>
      </w:r>
      <w:r w:rsidRPr="00A7220C">
        <w:rPr>
          <w:rFonts w:ascii="Times New Roman" w:hAnsi="Times New Roman"/>
          <w:kern w:val="0"/>
          <w:lang w:eastAsia="en-US"/>
        </w:rPr>
        <w:t>2021)</w:t>
      </w:r>
      <w:r w:rsidRPr="00FB12B9">
        <w:rPr>
          <w:rFonts w:ascii="Times New Roman" w:hAnsi="Times New Roman"/>
          <w:kern w:val="0"/>
          <w:lang w:val="en-US" w:eastAsia="en-US"/>
        </w:rPr>
        <w:t xml:space="preserve">. </w:t>
      </w:r>
      <w:r>
        <w:rPr>
          <w:rFonts w:ascii="Times New Roman" w:hAnsi="Times New Roman"/>
          <w:kern w:val="0"/>
          <w:lang w:val="en-US" w:eastAsia="en-US"/>
        </w:rPr>
        <w:t>Similarly</w:t>
      </w:r>
      <w:r w:rsidRPr="00FB12B9">
        <w:rPr>
          <w:rFonts w:ascii="Times New Roman" w:hAnsi="Times New Roman"/>
          <w:kern w:val="0"/>
          <w:lang w:val="en-US" w:eastAsia="en-US"/>
        </w:rPr>
        <w:t xml:space="preserve">, </w:t>
      </w:r>
      <w:proofErr w:type="spellStart"/>
      <w:r w:rsidRPr="00FB12B9">
        <w:rPr>
          <w:rFonts w:ascii="Times New Roman" w:hAnsi="Times New Roman"/>
          <w:kern w:val="0"/>
          <w:lang w:val="en-US" w:eastAsia="en-US"/>
        </w:rPr>
        <w:t>Theyyam</w:t>
      </w:r>
      <w:proofErr w:type="spellEnd"/>
      <w:r w:rsidRPr="00FB12B9">
        <w:rPr>
          <w:rFonts w:ascii="Times New Roman" w:hAnsi="Times New Roman"/>
          <w:kern w:val="0"/>
          <w:lang w:val="en-US" w:eastAsia="en-US"/>
        </w:rPr>
        <w:t xml:space="preserve"> is a ritual art that involves impersonation of deities, ancestors, and mythological figures, primarily by performers from marginalized castes. The symbolic narratives, emotional expression, and performative elements of </w:t>
      </w:r>
      <w:proofErr w:type="spellStart"/>
      <w:r w:rsidRPr="00FB12B9">
        <w:rPr>
          <w:rFonts w:ascii="Times New Roman" w:hAnsi="Times New Roman"/>
          <w:kern w:val="0"/>
          <w:lang w:val="en-US" w:eastAsia="en-US"/>
        </w:rPr>
        <w:t>Theyyam</w:t>
      </w:r>
      <w:proofErr w:type="spellEnd"/>
      <w:r w:rsidRPr="00FB12B9">
        <w:rPr>
          <w:rFonts w:ascii="Times New Roman" w:hAnsi="Times New Roman"/>
          <w:kern w:val="0"/>
          <w:lang w:val="en-US" w:eastAsia="en-US"/>
        </w:rPr>
        <w:t xml:space="preserve"> </w:t>
      </w:r>
      <w:r>
        <w:rPr>
          <w:rFonts w:ascii="Times New Roman" w:hAnsi="Times New Roman"/>
          <w:kern w:val="0"/>
          <w:lang w:val="en-US" w:eastAsia="en-US"/>
        </w:rPr>
        <w:t>are similar in nature to the</w:t>
      </w:r>
      <w:r w:rsidRPr="00FB12B9">
        <w:rPr>
          <w:rFonts w:ascii="Times New Roman" w:hAnsi="Times New Roman"/>
          <w:kern w:val="0"/>
          <w:lang w:val="en-US" w:eastAsia="en-US"/>
        </w:rPr>
        <w:t xml:space="preserve"> core components of psychodrama. </w:t>
      </w:r>
      <w:r w:rsidRPr="004A4A7D">
        <w:rPr>
          <w:rFonts w:ascii="Times New Roman" w:hAnsi="Times New Roman"/>
          <w:kern w:val="0"/>
          <w:lang w:eastAsia="en-US"/>
        </w:rPr>
        <w:t xml:space="preserve">his parallel allows for a deeper understanding of </w:t>
      </w:r>
      <w:proofErr w:type="spellStart"/>
      <w:r w:rsidRPr="004A4A7D">
        <w:rPr>
          <w:rFonts w:ascii="Times New Roman" w:hAnsi="Times New Roman"/>
          <w:kern w:val="0"/>
          <w:lang w:eastAsia="en-US"/>
        </w:rPr>
        <w:t>Theyyam</w:t>
      </w:r>
      <w:proofErr w:type="spellEnd"/>
      <w:r w:rsidRPr="004A4A7D">
        <w:rPr>
          <w:rFonts w:ascii="Times New Roman" w:hAnsi="Times New Roman"/>
          <w:kern w:val="0"/>
          <w:lang w:eastAsia="en-US"/>
        </w:rPr>
        <w:t xml:space="preserve"> not only as a religious or artistic expression but also as a communal psychological process.</w:t>
      </w:r>
    </w:p>
    <w:p w14:paraId="77C277F4" w14:textId="39623546" w:rsidR="0087449C" w:rsidRDefault="00790540" w:rsidP="0087449C">
      <w:pPr>
        <w:spacing w:line="360" w:lineRule="auto"/>
        <w:jc w:val="center"/>
        <w:rPr>
          <w:rFonts w:ascii="Times New Roman" w:eastAsia="Calibri" w:hAnsi="Times New Roman"/>
          <w:lang w:val="en-US"/>
        </w:rPr>
      </w:pPr>
      <w:r>
        <w:rPr>
          <w:rFonts w:ascii="Times New Roman" w:eastAsia="Calibri" w:hAnsi="Times New Roman"/>
          <w:noProof/>
          <w:lang w:val="en-US"/>
          <w14:ligatures w14:val="standardContextual"/>
        </w:rPr>
        <mc:AlternateContent>
          <mc:Choice Requires="wps">
            <w:drawing>
              <wp:anchor distT="0" distB="0" distL="114300" distR="114300" simplePos="0" relativeHeight="251734016" behindDoc="0" locked="0" layoutInCell="1" allowOverlap="1" wp14:anchorId="0995BAAD" wp14:editId="544CA245">
                <wp:simplePos x="0" y="0"/>
                <wp:positionH relativeFrom="column">
                  <wp:posOffset>2226945</wp:posOffset>
                </wp:positionH>
                <wp:positionV relativeFrom="paragraph">
                  <wp:posOffset>1417320</wp:posOffset>
                </wp:positionV>
                <wp:extent cx="60960" cy="45085"/>
                <wp:effectExtent l="0" t="0" r="15240" b="12065"/>
                <wp:wrapNone/>
                <wp:docPr id="848050912" name="Rectangle 4"/>
                <wp:cNvGraphicFramePr/>
                <a:graphic xmlns:a="http://schemas.openxmlformats.org/drawingml/2006/main">
                  <a:graphicData uri="http://schemas.microsoft.com/office/word/2010/wordprocessingShape">
                    <wps:wsp>
                      <wps:cNvSpPr/>
                      <wps:spPr>
                        <a:xfrm>
                          <a:off x="0" y="0"/>
                          <a:ext cx="60960" cy="450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D3DDD" id="Rectangle 4" o:spid="_x0000_s1026" style="position:absolute;margin-left:175.35pt;margin-top:111.6pt;width:4.8pt;height:3.5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31968" behindDoc="0" locked="0" layoutInCell="1" allowOverlap="1" wp14:anchorId="2620A788" wp14:editId="43F56BE4">
                <wp:simplePos x="0" y="0"/>
                <wp:positionH relativeFrom="column">
                  <wp:posOffset>3519297</wp:posOffset>
                </wp:positionH>
                <wp:positionV relativeFrom="paragraph">
                  <wp:posOffset>555320</wp:posOffset>
                </wp:positionV>
                <wp:extent cx="61415" cy="45719"/>
                <wp:effectExtent l="0" t="0" r="15240" b="12065"/>
                <wp:wrapNone/>
                <wp:docPr id="752068193"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ED152" id="Rectangle 4" o:spid="_x0000_s1026" style="position:absolute;margin-left:277.1pt;margin-top:43.75pt;width:4.85pt;height:3.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19680" behindDoc="0" locked="0" layoutInCell="1" allowOverlap="1" wp14:anchorId="1A5C32FE" wp14:editId="1F4D8BE7">
                <wp:simplePos x="0" y="0"/>
                <wp:positionH relativeFrom="column">
                  <wp:posOffset>1403350</wp:posOffset>
                </wp:positionH>
                <wp:positionV relativeFrom="paragraph">
                  <wp:posOffset>1264285</wp:posOffset>
                </wp:positionV>
                <wp:extent cx="60960" cy="45085"/>
                <wp:effectExtent l="0" t="0" r="15240" b="12065"/>
                <wp:wrapNone/>
                <wp:docPr id="687217771" name="Rectangle 4"/>
                <wp:cNvGraphicFramePr/>
                <a:graphic xmlns:a="http://schemas.openxmlformats.org/drawingml/2006/main">
                  <a:graphicData uri="http://schemas.microsoft.com/office/word/2010/wordprocessingShape">
                    <wps:wsp>
                      <wps:cNvSpPr/>
                      <wps:spPr>
                        <a:xfrm>
                          <a:off x="0" y="0"/>
                          <a:ext cx="60960" cy="450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97473" id="Rectangle 4" o:spid="_x0000_s1026" style="position:absolute;margin-left:110.5pt;margin-top:99.55pt;width:4.8pt;height:3.5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27872" behindDoc="0" locked="0" layoutInCell="1" allowOverlap="1" wp14:anchorId="09976087" wp14:editId="1BBD9AE5">
                <wp:simplePos x="0" y="0"/>
                <wp:positionH relativeFrom="column">
                  <wp:posOffset>4429115</wp:posOffset>
                </wp:positionH>
                <wp:positionV relativeFrom="paragraph">
                  <wp:posOffset>655093</wp:posOffset>
                </wp:positionV>
                <wp:extent cx="61415" cy="45719"/>
                <wp:effectExtent l="0" t="0" r="15240" b="12065"/>
                <wp:wrapNone/>
                <wp:docPr id="504714295"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C307DE" id="Rectangle 4" o:spid="_x0000_s1026" style="position:absolute;margin-left:348.75pt;margin-top:51.6pt;width:4.85pt;height:3.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29920" behindDoc="0" locked="0" layoutInCell="1" allowOverlap="1" wp14:anchorId="78CD6A00" wp14:editId="7A8BF8FA">
                <wp:simplePos x="0" y="0"/>
                <wp:positionH relativeFrom="column">
                  <wp:posOffset>4191190</wp:posOffset>
                </wp:positionH>
                <wp:positionV relativeFrom="paragraph">
                  <wp:posOffset>612283</wp:posOffset>
                </wp:positionV>
                <wp:extent cx="61415" cy="45719"/>
                <wp:effectExtent l="0" t="0" r="15240" b="12065"/>
                <wp:wrapNone/>
                <wp:docPr id="343207134"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7E979" id="Rectangle 4" o:spid="_x0000_s1026" style="position:absolute;margin-left:330pt;margin-top:48.2pt;width:4.85pt;height:3.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23776" behindDoc="0" locked="0" layoutInCell="1" allowOverlap="1" wp14:anchorId="781D60FF" wp14:editId="5397EC4A">
                <wp:simplePos x="0" y="0"/>
                <wp:positionH relativeFrom="column">
                  <wp:posOffset>4117046</wp:posOffset>
                </wp:positionH>
                <wp:positionV relativeFrom="paragraph">
                  <wp:posOffset>538604</wp:posOffset>
                </wp:positionV>
                <wp:extent cx="61415" cy="45719"/>
                <wp:effectExtent l="0" t="0" r="15240" b="12065"/>
                <wp:wrapNone/>
                <wp:docPr id="1851240696"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BBE88F" id="Rectangle 4" o:spid="_x0000_s1026" style="position:absolute;margin-left:324.2pt;margin-top:42.4pt;width:4.85pt;height:3.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25824" behindDoc="0" locked="0" layoutInCell="1" allowOverlap="1" wp14:anchorId="2E5CD9EC" wp14:editId="24091B8A">
                <wp:simplePos x="0" y="0"/>
                <wp:positionH relativeFrom="column">
                  <wp:posOffset>4963397</wp:posOffset>
                </wp:positionH>
                <wp:positionV relativeFrom="paragraph">
                  <wp:posOffset>513725</wp:posOffset>
                </wp:positionV>
                <wp:extent cx="61415" cy="45719"/>
                <wp:effectExtent l="0" t="0" r="15240" b="12065"/>
                <wp:wrapNone/>
                <wp:docPr id="1051915528"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B5FE7" id="Rectangle 4" o:spid="_x0000_s1026" style="position:absolute;margin-left:390.8pt;margin-top:40.45pt;width:4.85pt;height:3.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21728" behindDoc="0" locked="0" layoutInCell="1" allowOverlap="1" wp14:anchorId="04902CE5" wp14:editId="4C79BEC1">
                <wp:simplePos x="0" y="0"/>
                <wp:positionH relativeFrom="column">
                  <wp:posOffset>2929842</wp:posOffset>
                </wp:positionH>
                <wp:positionV relativeFrom="paragraph">
                  <wp:posOffset>742922</wp:posOffset>
                </wp:positionV>
                <wp:extent cx="61415" cy="45719"/>
                <wp:effectExtent l="0" t="0" r="15240" b="12065"/>
                <wp:wrapNone/>
                <wp:docPr id="1918296620"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985FB" id="Rectangle 4" o:spid="_x0000_s1026" style="position:absolute;margin-left:230.7pt;margin-top:58.5pt;width:4.85pt;height:3.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15584" behindDoc="0" locked="0" layoutInCell="1" allowOverlap="1" wp14:anchorId="7DA292FE" wp14:editId="79C0967D">
                <wp:simplePos x="0" y="0"/>
                <wp:positionH relativeFrom="column">
                  <wp:posOffset>1789998</wp:posOffset>
                </wp:positionH>
                <wp:positionV relativeFrom="paragraph">
                  <wp:posOffset>918845</wp:posOffset>
                </wp:positionV>
                <wp:extent cx="61415" cy="45719"/>
                <wp:effectExtent l="0" t="0" r="15240" b="12065"/>
                <wp:wrapNone/>
                <wp:docPr id="350745300"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399D0" id="Rectangle 4" o:spid="_x0000_s1026" style="position:absolute;margin-left:140.95pt;margin-top:72.35pt;width:4.85pt;height:3.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17632" behindDoc="0" locked="0" layoutInCell="1" allowOverlap="1" wp14:anchorId="76F575DB" wp14:editId="230F3B00">
                <wp:simplePos x="0" y="0"/>
                <wp:positionH relativeFrom="column">
                  <wp:posOffset>1619136</wp:posOffset>
                </wp:positionH>
                <wp:positionV relativeFrom="paragraph">
                  <wp:posOffset>971123</wp:posOffset>
                </wp:positionV>
                <wp:extent cx="61415" cy="45719"/>
                <wp:effectExtent l="0" t="0" r="15240" b="12065"/>
                <wp:wrapNone/>
                <wp:docPr id="1921943938"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E1AB2" id="Rectangle 4" o:spid="_x0000_s1026" style="position:absolute;margin-left:127.5pt;margin-top:76.45pt;width:4.85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13536" behindDoc="0" locked="0" layoutInCell="1" allowOverlap="1" wp14:anchorId="3ECD86D1" wp14:editId="61AB60B0">
                <wp:simplePos x="0" y="0"/>
                <wp:positionH relativeFrom="column">
                  <wp:posOffset>5045037</wp:posOffset>
                </wp:positionH>
                <wp:positionV relativeFrom="paragraph">
                  <wp:posOffset>971190</wp:posOffset>
                </wp:positionV>
                <wp:extent cx="61415" cy="45719"/>
                <wp:effectExtent l="0" t="0" r="15240" b="12065"/>
                <wp:wrapNone/>
                <wp:docPr id="1553339991"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00452" id="Rectangle 4" o:spid="_x0000_s1026" style="position:absolute;margin-left:397.25pt;margin-top:76.45pt;width:4.85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11488" behindDoc="0" locked="0" layoutInCell="1" allowOverlap="1" wp14:anchorId="30D448FC" wp14:editId="49222542">
                <wp:simplePos x="0" y="0"/>
                <wp:positionH relativeFrom="column">
                  <wp:posOffset>3011104</wp:posOffset>
                </wp:positionH>
                <wp:positionV relativeFrom="paragraph">
                  <wp:posOffset>695553</wp:posOffset>
                </wp:positionV>
                <wp:extent cx="61415" cy="45719"/>
                <wp:effectExtent l="0" t="0" r="15240" b="12065"/>
                <wp:wrapNone/>
                <wp:docPr id="1283302369"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41D08" id="Rectangle 4" o:spid="_x0000_s1026" style="position:absolute;margin-left:237.1pt;margin-top:54.75pt;width:4.85pt;height:3.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07392" behindDoc="0" locked="0" layoutInCell="1" allowOverlap="1" wp14:anchorId="7A738082" wp14:editId="7D3CEEBC">
                <wp:simplePos x="0" y="0"/>
                <wp:positionH relativeFrom="column">
                  <wp:posOffset>2820405</wp:posOffset>
                </wp:positionH>
                <wp:positionV relativeFrom="paragraph">
                  <wp:posOffset>813975</wp:posOffset>
                </wp:positionV>
                <wp:extent cx="61415" cy="45719"/>
                <wp:effectExtent l="0" t="0" r="15240" b="12065"/>
                <wp:wrapNone/>
                <wp:docPr id="117697342"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DAF4A" id="Rectangle 4" o:spid="_x0000_s1026" style="position:absolute;margin-left:222.1pt;margin-top:64.1pt;width:4.85pt;height:3.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05344" behindDoc="0" locked="0" layoutInCell="1" allowOverlap="1" wp14:anchorId="057126AB" wp14:editId="4CA254DF">
                <wp:simplePos x="0" y="0"/>
                <wp:positionH relativeFrom="column">
                  <wp:posOffset>3277235</wp:posOffset>
                </wp:positionH>
                <wp:positionV relativeFrom="paragraph">
                  <wp:posOffset>657292</wp:posOffset>
                </wp:positionV>
                <wp:extent cx="61415" cy="45719"/>
                <wp:effectExtent l="0" t="0" r="15240" b="12065"/>
                <wp:wrapNone/>
                <wp:docPr id="1599477825"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25CF6" id="Rectangle 4" o:spid="_x0000_s1026" style="position:absolute;margin-left:258.05pt;margin-top:51.75pt;width:4.85pt;height:3.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09440" behindDoc="0" locked="0" layoutInCell="1" allowOverlap="1" wp14:anchorId="0D134CEF" wp14:editId="4E0C189F">
                <wp:simplePos x="0" y="0"/>
                <wp:positionH relativeFrom="column">
                  <wp:posOffset>3488425</wp:posOffset>
                </wp:positionH>
                <wp:positionV relativeFrom="paragraph">
                  <wp:posOffset>652619</wp:posOffset>
                </wp:positionV>
                <wp:extent cx="61415" cy="45719"/>
                <wp:effectExtent l="0" t="0" r="15240" b="12065"/>
                <wp:wrapNone/>
                <wp:docPr id="1358754545"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4B445" id="Rectangle 4" o:spid="_x0000_s1026" style="position:absolute;margin-left:274.7pt;margin-top:51.4pt;width:4.85pt;height:3.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97152" behindDoc="0" locked="0" layoutInCell="1" allowOverlap="1" wp14:anchorId="4345872E" wp14:editId="03786A38">
                <wp:simplePos x="0" y="0"/>
                <wp:positionH relativeFrom="column">
                  <wp:posOffset>3127157</wp:posOffset>
                </wp:positionH>
                <wp:positionV relativeFrom="paragraph">
                  <wp:posOffset>697742</wp:posOffset>
                </wp:positionV>
                <wp:extent cx="61415" cy="45719"/>
                <wp:effectExtent l="0" t="0" r="15240" b="12065"/>
                <wp:wrapNone/>
                <wp:docPr id="744194547"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F1DB3" id="Rectangle 4" o:spid="_x0000_s1026" style="position:absolute;margin-left:246.25pt;margin-top:54.95pt;width:4.85pt;height:3.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99200" behindDoc="0" locked="0" layoutInCell="1" allowOverlap="1" wp14:anchorId="62DA1CB0" wp14:editId="4985C446">
                <wp:simplePos x="0" y="0"/>
                <wp:positionH relativeFrom="column">
                  <wp:posOffset>3960495</wp:posOffset>
                </wp:positionH>
                <wp:positionV relativeFrom="paragraph">
                  <wp:posOffset>650345</wp:posOffset>
                </wp:positionV>
                <wp:extent cx="61415" cy="45719"/>
                <wp:effectExtent l="0" t="0" r="15240" b="12065"/>
                <wp:wrapNone/>
                <wp:docPr id="280129147"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0FD3D0" id="Rectangle 4" o:spid="_x0000_s1026" style="position:absolute;margin-left:311.85pt;margin-top:51.2pt;width:4.85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01248" behindDoc="0" locked="0" layoutInCell="1" allowOverlap="1" wp14:anchorId="731F6AD8" wp14:editId="0BA88DE1">
                <wp:simplePos x="0" y="0"/>
                <wp:positionH relativeFrom="column">
                  <wp:posOffset>4785464</wp:posOffset>
                </wp:positionH>
                <wp:positionV relativeFrom="paragraph">
                  <wp:posOffset>697846</wp:posOffset>
                </wp:positionV>
                <wp:extent cx="61415" cy="45719"/>
                <wp:effectExtent l="0" t="0" r="15240" b="12065"/>
                <wp:wrapNone/>
                <wp:docPr id="2128045934"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1CCFE" id="Rectangle 4" o:spid="_x0000_s1026" style="position:absolute;margin-left:376.8pt;margin-top:54.95pt;width:4.85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703296" behindDoc="0" locked="0" layoutInCell="1" allowOverlap="1" wp14:anchorId="61466441" wp14:editId="41DC51A9">
                <wp:simplePos x="0" y="0"/>
                <wp:positionH relativeFrom="column">
                  <wp:posOffset>4491772</wp:posOffset>
                </wp:positionH>
                <wp:positionV relativeFrom="paragraph">
                  <wp:posOffset>695534</wp:posOffset>
                </wp:positionV>
                <wp:extent cx="61415" cy="45719"/>
                <wp:effectExtent l="0" t="0" r="15240" b="12065"/>
                <wp:wrapNone/>
                <wp:docPr id="1162646284"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AD723" id="Rectangle 4" o:spid="_x0000_s1026" style="position:absolute;margin-left:353.7pt;margin-top:54.75pt;width:4.85pt;height:3.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" fillcolor="#4472c4 [3204]" strokecolor="#09101d [484]" strokeweight="1pt"/>
            </w:pict>
          </mc:Fallback>
        </mc:AlternateContent>
      </w:r>
      <w:r>
        <w:rPr>
          <w:rFonts w:ascii="Times New Roman" w:eastAsia="Calibri" w:hAnsi="Times New Roman"/>
          <w:noProof/>
          <w:lang w:val="en-US"/>
          <w14:ligatures w14:val="standardContextual"/>
        </w:rPr>
        <mc:AlternateContent>
          <mc:Choice Requires="wps">
            <w:drawing>
              <wp:anchor distT="0" distB="0" distL="114300" distR="114300" simplePos="0" relativeHeight="251695104" behindDoc="0" locked="0" layoutInCell="1" allowOverlap="1" wp14:anchorId="132AB540" wp14:editId="034177F8">
                <wp:simplePos x="0" y="0"/>
                <wp:positionH relativeFrom="column">
                  <wp:posOffset>3719015</wp:posOffset>
                </wp:positionH>
                <wp:positionV relativeFrom="paragraph">
                  <wp:posOffset>648269</wp:posOffset>
                </wp:positionV>
                <wp:extent cx="61415" cy="45719"/>
                <wp:effectExtent l="0" t="0" r="15240" b="12065"/>
                <wp:wrapNone/>
                <wp:docPr id="966587992" name="Rectangle 4"/>
                <wp:cNvGraphicFramePr/>
                <a:graphic xmlns:a="http://schemas.openxmlformats.org/drawingml/2006/main">
                  <a:graphicData uri="http://schemas.microsoft.com/office/word/2010/wordprocessingShape">
                    <wps:wsp>
                      <wps:cNvSpPr/>
                      <wps:spPr>
                        <a:xfrm>
                          <a:off x="0" y="0"/>
                          <a:ext cx="6141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C794F" id="Rectangle 4" o:spid="_x0000_s1026" style="position:absolute;margin-left:292.85pt;margin-top:51.05pt;width:4.85pt;height:3.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" fillcolor="#4472c4 [3204]" strokecolor="#09101d [484]" strokeweight="1pt"/>
            </w:pict>
          </mc:Fallback>
        </mc:AlternateContent>
      </w:r>
      <w:r w:rsidR="0087449C" w:rsidRPr="00426DA2">
        <w:rPr>
          <w:rFonts w:ascii="Times New Roman" w:eastAsia="Calibri" w:hAnsi="Times New Roman"/>
          <w:noProof/>
          <w:lang w:val="en-US"/>
        </w:rPr>
        <w:drawing>
          <wp:inline distT="0" distB="0" distL="0" distR="0" wp14:anchorId="7696F4BC" wp14:editId="1837BA06">
            <wp:extent cx="4333461" cy="2265638"/>
            <wp:effectExtent l="0" t="0" r="0" b="1905"/>
            <wp:docPr id="421907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7805" cy="2288822"/>
                    </a:xfrm>
                    <a:prstGeom prst="rect">
                      <a:avLst/>
                    </a:prstGeom>
                    <a:noFill/>
                    <a:ln>
                      <a:noFill/>
                    </a:ln>
                  </pic:spPr>
                </pic:pic>
              </a:graphicData>
            </a:graphic>
          </wp:inline>
        </w:drawing>
      </w:r>
    </w:p>
    <w:p w14:paraId="1B1FF865" w14:textId="271A2BFC" w:rsidR="00D36120" w:rsidRPr="00D36120" w:rsidRDefault="00D36120" w:rsidP="0087449C">
      <w:pPr>
        <w:spacing w:line="360" w:lineRule="auto"/>
        <w:jc w:val="center"/>
        <w:rPr>
          <w:rFonts w:ascii="Times New Roman" w:eastAsia="Calibri" w:hAnsi="Times New Roman"/>
          <w:b/>
          <w:bCs/>
          <w:lang w:val="en-US"/>
        </w:rPr>
      </w:pPr>
      <w:r w:rsidRPr="00D36120">
        <w:rPr>
          <w:rFonts w:ascii="Times New Roman" w:eastAsia="Calibri" w:hAnsi="Times New Roman"/>
          <w:b/>
          <w:bCs/>
        </w:rPr>
        <w:t xml:space="preserve">Figure 5: A </w:t>
      </w:r>
      <w:proofErr w:type="spellStart"/>
      <w:r w:rsidRPr="00D36120">
        <w:rPr>
          <w:rFonts w:ascii="Times New Roman" w:eastAsia="Calibri" w:hAnsi="Times New Roman"/>
          <w:b/>
          <w:bCs/>
        </w:rPr>
        <w:t>Theyyam</w:t>
      </w:r>
      <w:proofErr w:type="spellEnd"/>
      <w:r w:rsidRPr="00D36120">
        <w:rPr>
          <w:rFonts w:ascii="Times New Roman" w:eastAsia="Calibri" w:hAnsi="Times New Roman"/>
          <w:b/>
          <w:bCs/>
        </w:rPr>
        <w:t xml:space="preserve"> performer, encircled by a crowd, enacts mythological narratives in a highly expressive and emotionally charged setting.</w:t>
      </w:r>
    </w:p>
    <w:p w14:paraId="7A80BE81" w14:textId="77777777" w:rsidR="0087449C" w:rsidRPr="00FB12B9" w:rsidRDefault="0087449C" w:rsidP="0087449C">
      <w:pPr>
        <w:spacing w:line="360" w:lineRule="auto"/>
        <w:jc w:val="both"/>
        <w:rPr>
          <w:rFonts w:ascii="Times New Roman" w:eastAsia="Calibri" w:hAnsi="Times New Roman"/>
          <w:lang w:val="en-US"/>
        </w:rPr>
      </w:pP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performances can be viewed as a form of psychodrama where mythological narratives serve as symbolic representations of personal and communal struggles. The ritual reenactment of divine justice offers a framework for understanding suffering and finding meaning</w:t>
      </w:r>
      <w:r>
        <w:rPr>
          <w:rFonts w:ascii="Times New Roman" w:eastAsia="Calibri" w:hAnsi="Times New Roman"/>
          <w:lang w:val="en-US"/>
        </w:rPr>
        <w:t xml:space="preserve"> (</w:t>
      </w:r>
      <w:r w:rsidRPr="00317789">
        <w:rPr>
          <w:rFonts w:ascii="Times New Roman" w:hAnsi="Times New Roman"/>
        </w:rPr>
        <w:t>Turner, V.</w:t>
      </w:r>
      <w:r>
        <w:rPr>
          <w:rFonts w:ascii="Times New Roman" w:hAnsi="Times New Roman"/>
        </w:rPr>
        <w:t xml:space="preserve">, </w:t>
      </w:r>
      <w:r w:rsidRPr="00317789">
        <w:rPr>
          <w:rFonts w:ascii="Times New Roman" w:hAnsi="Times New Roman"/>
        </w:rPr>
        <w:t>1979)</w:t>
      </w:r>
      <w:r>
        <w:rPr>
          <w:rFonts w:ascii="Times New Roman" w:hAnsi="Times New Roman"/>
        </w:rPr>
        <w:t xml:space="preserve">. </w:t>
      </w:r>
      <w:r w:rsidRPr="00FB12B9">
        <w:rPr>
          <w:rFonts w:ascii="Times New Roman" w:eastAsia="Calibri" w:hAnsi="Times New Roman"/>
          <w:lang w:val="en-US"/>
        </w:rPr>
        <w:t xml:space="preserve"> Each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performance is deeply structured and symbolically dense. </w:t>
      </w:r>
      <w:r w:rsidRPr="00B45258">
        <w:rPr>
          <w:rFonts w:ascii="Times New Roman" w:eastAsia="Calibri" w:hAnsi="Times New Roman"/>
        </w:rPr>
        <w:t xml:space="preserve">The costumes, face painting, and music act as transformative tools, similar to psychodrama techniques like "role </w:t>
      </w:r>
      <w:r w:rsidRPr="00B45258">
        <w:rPr>
          <w:rFonts w:ascii="Times New Roman" w:eastAsia="Calibri" w:hAnsi="Times New Roman"/>
        </w:rPr>
        <w:lastRenderedPageBreak/>
        <w:t>reversal" and the use of an "auxiliary ego."</w:t>
      </w:r>
      <w:r>
        <w:rPr>
          <w:rFonts w:ascii="Times New Roman" w:eastAsia="Calibri" w:hAnsi="Times New Roman"/>
        </w:rPr>
        <w:t xml:space="preserve"> </w:t>
      </w:r>
      <w:r w:rsidRPr="00FB12B9">
        <w:rPr>
          <w:rFonts w:ascii="Times New Roman" w:eastAsia="Calibri" w:hAnsi="Times New Roman"/>
          <w:lang w:val="en-US"/>
        </w:rPr>
        <w:t>The audience does not merely observe but interacts with the performer-as-deity, creating a therapeutic exchange where suppressed emotions, desires, and grievances are often expressed and resolved symbolically.</w:t>
      </w:r>
    </w:p>
    <w:p w14:paraId="3819463D" w14:textId="77777777" w:rsidR="0087449C" w:rsidRDefault="0087449C" w:rsidP="0087449C">
      <w:pPr>
        <w:spacing w:line="360" w:lineRule="auto"/>
        <w:jc w:val="both"/>
        <w:rPr>
          <w:rFonts w:ascii="Times New Roman" w:eastAsia="Calibri" w:hAnsi="Times New Roman"/>
          <w:lang w:val="en-US"/>
        </w:rPr>
      </w:pPr>
      <w:r w:rsidRPr="00C80F65">
        <w:rPr>
          <w:rFonts w:ascii="Times New Roman" w:eastAsia="Calibri" w:hAnsi="Times New Roman"/>
          <w:lang w:val="en-US"/>
        </w:rPr>
        <w:t>One of the core techniques in psychodrama is role reversal, where individuals act out roles other than their own to gain insight and empathy</w:t>
      </w:r>
      <w:r>
        <w:rPr>
          <w:rFonts w:ascii="Times New Roman" w:eastAsia="Calibri" w:hAnsi="Times New Roman"/>
          <w:lang w:val="en-US"/>
        </w:rPr>
        <w:t xml:space="preserve"> (</w:t>
      </w:r>
      <w:r w:rsidRPr="00B45258">
        <w:rPr>
          <w:rFonts w:ascii="Times New Roman" w:eastAsia="Calibri" w:hAnsi="Times New Roman"/>
          <w:lang w:val="en-US"/>
        </w:rPr>
        <w:t xml:space="preserve">Miranda Wu, Jacob </w:t>
      </w:r>
      <w:proofErr w:type="spellStart"/>
      <w:r w:rsidRPr="00B45258">
        <w:rPr>
          <w:rFonts w:ascii="Times New Roman" w:eastAsia="Calibri" w:hAnsi="Times New Roman"/>
          <w:lang w:val="en-US"/>
        </w:rPr>
        <w:t>Cameirao</w:t>
      </w:r>
      <w:proofErr w:type="spellEnd"/>
      <w:r w:rsidRPr="00B45258">
        <w:rPr>
          <w:rFonts w:ascii="Times New Roman" w:eastAsia="Calibri" w:hAnsi="Times New Roman"/>
          <w:lang w:val="en-US"/>
        </w:rPr>
        <w:t>, Steven Brown,</w:t>
      </w:r>
      <w:r>
        <w:rPr>
          <w:rFonts w:ascii="Times New Roman" w:eastAsia="Calibri" w:hAnsi="Times New Roman"/>
          <w:lang w:val="en-US"/>
        </w:rPr>
        <w:t xml:space="preserve"> 2025)</w:t>
      </w:r>
      <w:r w:rsidRPr="00C80F65">
        <w:rPr>
          <w:rFonts w:ascii="Times New Roman" w:eastAsia="Calibri" w:hAnsi="Times New Roman"/>
          <w:lang w:val="en-US"/>
        </w:rPr>
        <w:t xml:space="preserve">. </w:t>
      </w:r>
      <w:r w:rsidRPr="00FB12B9">
        <w:rPr>
          <w:rFonts w:ascii="Times New Roman" w:eastAsia="Calibri" w:hAnsi="Times New Roman"/>
          <w:lang w:val="en-US"/>
        </w:rPr>
        <w:t xml:space="preserve">The </w:t>
      </w:r>
      <w:proofErr w:type="spellStart"/>
      <w:r w:rsidRPr="00FB12B9">
        <w:rPr>
          <w:rFonts w:ascii="Times New Roman" w:eastAsia="Calibri" w:hAnsi="Times New Roman"/>
          <w:lang w:val="en-US"/>
        </w:rPr>
        <w:t>psychodramatic</w:t>
      </w:r>
      <w:proofErr w:type="spellEnd"/>
      <w:r w:rsidRPr="00FB12B9">
        <w:rPr>
          <w:rFonts w:ascii="Times New Roman" w:eastAsia="Calibri" w:hAnsi="Times New Roman"/>
          <w:lang w:val="en-US"/>
        </w:rPr>
        <w:t xml:space="preserve"> effect lies in fostering empathy and disrupting rigid social roles, even if momentarily. As in psychodrama, the group process in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helps individuals feel seen, heard, and supported, which contributes to psychological resilience and social cohesion. </w:t>
      </w:r>
      <w:r w:rsidRPr="00C80F65">
        <w:rPr>
          <w:rFonts w:ascii="Times New Roman" w:eastAsia="Calibri" w:hAnsi="Times New Roman"/>
          <w:lang w:val="en-US"/>
        </w:rPr>
        <w:t xml:space="preserve">Viewing </w:t>
      </w:r>
      <w:proofErr w:type="spellStart"/>
      <w:r w:rsidRPr="00C80F65">
        <w:rPr>
          <w:rFonts w:ascii="Times New Roman" w:eastAsia="Calibri" w:hAnsi="Times New Roman"/>
          <w:lang w:val="en-US"/>
        </w:rPr>
        <w:t>Theyyam</w:t>
      </w:r>
      <w:proofErr w:type="spellEnd"/>
      <w:r w:rsidRPr="00C80F65">
        <w:rPr>
          <w:rFonts w:ascii="Times New Roman" w:eastAsia="Calibri" w:hAnsi="Times New Roman"/>
          <w:lang w:val="en-US"/>
        </w:rPr>
        <w:t xml:space="preserve"> as psychodrama opens up new possibilities for understanding the psychological dimensions of ritual performance. As an indigenous form of psychodrama, </w:t>
      </w:r>
      <w:proofErr w:type="spellStart"/>
      <w:r w:rsidRPr="00C80F65">
        <w:rPr>
          <w:rFonts w:ascii="Times New Roman" w:eastAsia="Calibri" w:hAnsi="Times New Roman"/>
          <w:lang w:val="en-US"/>
        </w:rPr>
        <w:t>Theyyam</w:t>
      </w:r>
      <w:proofErr w:type="spellEnd"/>
      <w:r w:rsidRPr="00C80F65">
        <w:rPr>
          <w:rFonts w:ascii="Times New Roman" w:eastAsia="Calibri" w:hAnsi="Times New Roman"/>
          <w:lang w:val="en-US"/>
        </w:rPr>
        <w:t xml:space="preserve"> offers a culturally resonant framework for emotional expression, role exploration, and communal healing.</w:t>
      </w:r>
    </w:p>
    <w:p w14:paraId="17825162" w14:textId="77777777" w:rsidR="00D36120" w:rsidRPr="002C32AB" w:rsidRDefault="00D36120" w:rsidP="0087449C">
      <w:pPr>
        <w:spacing w:line="360" w:lineRule="auto"/>
        <w:jc w:val="both"/>
        <w:rPr>
          <w:rFonts w:ascii="Times New Roman" w:eastAsia="Calibri" w:hAnsi="Times New Roman"/>
          <w:lang w:val="en-US"/>
        </w:rPr>
      </w:pPr>
    </w:p>
    <w:p w14:paraId="3CA850E0" w14:textId="77777777" w:rsidR="0087449C" w:rsidRPr="00C3725A" w:rsidRDefault="0087449C" w:rsidP="0087449C">
      <w:pPr>
        <w:spacing w:line="360" w:lineRule="auto"/>
        <w:jc w:val="both"/>
        <w:rPr>
          <w:rFonts w:ascii="Times New Roman" w:eastAsia="Calibri" w:hAnsi="Times New Roman"/>
          <w:b/>
          <w:bCs/>
          <w:lang w:val="en-US"/>
        </w:rPr>
      </w:pPr>
      <w:r>
        <w:rPr>
          <w:rFonts w:ascii="Times New Roman" w:eastAsia="Calibri" w:hAnsi="Times New Roman"/>
          <w:b/>
          <w:bCs/>
          <w:lang w:val="en-US"/>
        </w:rPr>
        <w:t xml:space="preserve">4.2 </w:t>
      </w:r>
      <w:r w:rsidRPr="00C3725A">
        <w:rPr>
          <w:rFonts w:ascii="Times New Roman" w:eastAsia="Calibri" w:hAnsi="Times New Roman"/>
          <w:b/>
          <w:bCs/>
          <w:lang w:val="en-US"/>
        </w:rPr>
        <w:t xml:space="preserve">Expressive Arts Therapy and the Visual Elements of </w:t>
      </w:r>
      <w:proofErr w:type="spellStart"/>
      <w:r w:rsidRPr="00C3725A">
        <w:rPr>
          <w:rFonts w:ascii="Times New Roman" w:eastAsia="Calibri" w:hAnsi="Times New Roman"/>
          <w:b/>
          <w:bCs/>
          <w:lang w:val="en-US"/>
        </w:rPr>
        <w:t>Theyyam</w:t>
      </w:r>
      <w:proofErr w:type="spellEnd"/>
    </w:p>
    <w:p w14:paraId="20337C7D" w14:textId="77777777" w:rsidR="0087449C" w:rsidRDefault="0087449C" w:rsidP="0087449C">
      <w:pPr>
        <w:spacing w:line="360" w:lineRule="auto"/>
        <w:jc w:val="both"/>
        <w:rPr>
          <w:rFonts w:ascii="Times New Roman" w:eastAsia="Calibri" w:hAnsi="Times New Roman"/>
          <w:lang w:val="en-US"/>
        </w:rPr>
      </w:pPr>
      <w:r w:rsidRPr="00A4270A">
        <w:rPr>
          <w:rFonts w:ascii="Times New Roman" w:eastAsia="Calibri" w:hAnsi="Times New Roman"/>
        </w:rPr>
        <w:t>Expressive Arts Therapy combines creative activities such as art, music, and movement to facilitate emotional expression and healing. It helps individuals explore their inner experiences and promotes personal growth through non-verbal communication</w:t>
      </w:r>
      <w:r>
        <w:rPr>
          <w:rFonts w:ascii="Times New Roman" w:eastAsia="Calibri" w:hAnsi="Times New Roman"/>
        </w:rPr>
        <w:t xml:space="preserve"> (</w:t>
      </w:r>
      <w:r w:rsidRPr="006F54CE">
        <w:rPr>
          <w:rFonts w:ascii="Times New Roman" w:hAnsi="Times New Roman"/>
        </w:rPr>
        <w:t>Dunphy, K., Mullane, S., &amp; Jacobsson, M.</w:t>
      </w:r>
      <w:r>
        <w:rPr>
          <w:rFonts w:ascii="Times New Roman" w:hAnsi="Times New Roman"/>
        </w:rPr>
        <w:t xml:space="preserve">, </w:t>
      </w:r>
      <w:r w:rsidRPr="006F54CE">
        <w:rPr>
          <w:rFonts w:ascii="Times New Roman" w:hAnsi="Times New Roman"/>
        </w:rPr>
        <w:t>2014)</w:t>
      </w:r>
      <w:r w:rsidRPr="00A4270A">
        <w:rPr>
          <w:rFonts w:ascii="Times New Roman" w:eastAsia="Calibri" w:hAnsi="Times New Roman"/>
        </w:rPr>
        <w:t>.</w:t>
      </w:r>
      <w:r>
        <w:rPr>
          <w:rFonts w:ascii="Times New Roman" w:eastAsia="Calibri" w:hAnsi="Times New Roman"/>
        </w:rPr>
        <w:t xml:space="preserve">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with its visual and performance-based aspects, is similar to this type of therapy. The ritual's multi-sensory experience</w:t>
      </w:r>
      <w:r>
        <w:rPr>
          <w:rFonts w:ascii="Times New Roman" w:eastAsia="Calibri" w:hAnsi="Times New Roman"/>
          <w:lang w:val="en-US"/>
        </w:rPr>
        <w:t xml:space="preserve"> </w:t>
      </w:r>
      <w:r w:rsidRPr="00FB12B9">
        <w:rPr>
          <w:rFonts w:ascii="Times New Roman" w:eastAsia="Calibri" w:hAnsi="Times New Roman"/>
          <w:lang w:val="en-US"/>
        </w:rPr>
        <w:t>such as detailed face painting, elaborate costumes, symbolic weapons, rhythmic drumming, and dance</w:t>
      </w:r>
      <w:r>
        <w:rPr>
          <w:rFonts w:ascii="Times New Roman" w:eastAsia="Calibri" w:hAnsi="Times New Roman"/>
          <w:lang w:val="en-US"/>
        </w:rPr>
        <w:t xml:space="preserve"> </w:t>
      </w:r>
      <w:r w:rsidRPr="00FB12B9">
        <w:rPr>
          <w:rFonts w:ascii="Times New Roman" w:eastAsia="Calibri" w:hAnsi="Times New Roman"/>
          <w:lang w:val="en-US"/>
        </w:rPr>
        <w:t xml:space="preserve">tells stories of mythology, identity, and social justice. The process in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where the performer becomes a deity or ancestral spirit, is similar to the emotional release found in expressive arts therapy. Through this transformation, the performer expresses their emotions and struggles, offering a strong outlet for psychological relief. In expressive arts therapy, creating or performing helps people explore emotions they may find hard to express with words. Similarly, in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the performer channels deep fears, desires, and community concerns by embodying divine figures. This act of performance is not only about physical appearance but also about channeling a collective emotional experience. Just as expressive arts therapy helps people share their inner emotions through art,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uses </w:t>
      </w:r>
      <w:r w:rsidRPr="00FB12B9">
        <w:rPr>
          <w:rFonts w:ascii="Times New Roman" w:eastAsia="Calibri" w:hAnsi="Times New Roman"/>
          <w:lang w:val="en-US"/>
        </w:rPr>
        <w:lastRenderedPageBreak/>
        <w:t>visual, auditory, and performance elements to create a shared emotional journey for both the performer and the audience.</w:t>
      </w:r>
    </w:p>
    <w:p w14:paraId="723B9C73" w14:textId="01CFB6BA" w:rsidR="0087449C" w:rsidRDefault="00790540" w:rsidP="0087449C">
      <w:pPr>
        <w:spacing w:line="360" w:lineRule="auto"/>
        <w:jc w:val="center"/>
        <w:rPr>
          <w:rFonts w:ascii="Times New Roman" w:eastAsia="Calibri" w:hAnsi="Times New Roman"/>
          <w:lang w:val="en-US"/>
        </w:rPr>
      </w:pPr>
      <w:r>
        <w:rPr>
          <w:rFonts w:ascii="Times New Roman" w:eastAsia="Calibri" w:hAnsi="Times New Roman"/>
          <w:noProof/>
          <w:lang w:val="en-US"/>
          <w14:ligatures w14:val="standardContextual"/>
        </w:rPr>
        <mc:AlternateContent>
          <mc:Choice Requires="wps">
            <w:drawing>
              <wp:anchor distT="0" distB="0" distL="114300" distR="114300" simplePos="0" relativeHeight="251735040" behindDoc="0" locked="0" layoutInCell="1" allowOverlap="1" wp14:anchorId="18A1BAA4" wp14:editId="20EE5929">
                <wp:simplePos x="0" y="0"/>
                <wp:positionH relativeFrom="column">
                  <wp:posOffset>3700130</wp:posOffset>
                </wp:positionH>
                <wp:positionV relativeFrom="paragraph">
                  <wp:posOffset>1743740</wp:posOffset>
                </wp:positionV>
                <wp:extent cx="63796" cy="45719"/>
                <wp:effectExtent l="0" t="0" r="12700" b="12065"/>
                <wp:wrapNone/>
                <wp:docPr id="1580375724" name="Rectangle 5"/>
                <wp:cNvGraphicFramePr/>
                <a:graphic xmlns:a="http://schemas.openxmlformats.org/drawingml/2006/main">
                  <a:graphicData uri="http://schemas.microsoft.com/office/word/2010/wordprocessingShape">
                    <wps:wsp>
                      <wps:cNvSpPr/>
                      <wps:spPr>
                        <a:xfrm>
                          <a:off x="0" y="0"/>
                          <a:ext cx="63796"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FE8EE" id="Rectangle 5" o:spid="_x0000_s1026" style="position:absolute;margin-left:291.35pt;margin-top:137.3pt;width:5pt;height:3.6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" fillcolor="#4472c4 [3204]" strokecolor="#09101d [484]" strokeweight="1pt"/>
            </w:pict>
          </mc:Fallback>
        </mc:AlternateContent>
      </w:r>
      <w:r w:rsidR="0087449C" w:rsidRPr="007B6525">
        <w:rPr>
          <w:rFonts w:ascii="Times New Roman" w:eastAsia="Calibri" w:hAnsi="Times New Roman"/>
          <w:noProof/>
          <w:lang w:val="en-US"/>
        </w:rPr>
        <w:drawing>
          <wp:inline distT="0" distB="0" distL="0" distR="0" wp14:anchorId="2CE8370C" wp14:editId="4DB31C33">
            <wp:extent cx="3797027" cy="2479675"/>
            <wp:effectExtent l="0" t="8255" r="5080" b="5080"/>
            <wp:docPr id="8603678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3863629" cy="2523170"/>
                    </a:xfrm>
                    <a:prstGeom prst="rect">
                      <a:avLst/>
                    </a:prstGeom>
                    <a:noFill/>
                    <a:ln>
                      <a:noFill/>
                    </a:ln>
                  </pic:spPr>
                </pic:pic>
              </a:graphicData>
            </a:graphic>
          </wp:inline>
        </w:drawing>
      </w:r>
    </w:p>
    <w:p w14:paraId="7226693A" w14:textId="4E65571A" w:rsidR="005C244B" w:rsidRPr="005C244B" w:rsidRDefault="005C244B" w:rsidP="0087449C">
      <w:pPr>
        <w:spacing w:line="360" w:lineRule="auto"/>
        <w:jc w:val="center"/>
        <w:rPr>
          <w:rFonts w:ascii="Times New Roman" w:eastAsia="Calibri" w:hAnsi="Times New Roman"/>
          <w:b/>
          <w:bCs/>
          <w:lang w:val="en-US"/>
        </w:rPr>
      </w:pPr>
      <w:r w:rsidRPr="005C244B">
        <w:rPr>
          <w:rFonts w:ascii="Times New Roman" w:eastAsia="Calibri" w:hAnsi="Times New Roman"/>
          <w:b/>
          <w:bCs/>
        </w:rPr>
        <w:t xml:space="preserve">Figure 6: </w:t>
      </w:r>
      <w:proofErr w:type="spellStart"/>
      <w:r w:rsidRPr="005C244B">
        <w:rPr>
          <w:rFonts w:ascii="Times New Roman" w:eastAsia="Calibri" w:hAnsi="Times New Roman"/>
          <w:b/>
          <w:bCs/>
        </w:rPr>
        <w:t>Theyyam</w:t>
      </w:r>
      <w:proofErr w:type="spellEnd"/>
      <w:r w:rsidRPr="005C244B">
        <w:rPr>
          <w:rFonts w:ascii="Times New Roman" w:eastAsia="Calibri" w:hAnsi="Times New Roman"/>
          <w:b/>
          <w:bCs/>
        </w:rPr>
        <w:t xml:space="preserve"> as a Form of Expressive Arts Therapy</w:t>
      </w:r>
      <w:r w:rsidRPr="005C244B">
        <w:rPr>
          <w:rFonts w:ascii="Times New Roman" w:eastAsia="Calibri" w:hAnsi="Times New Roman"/>
        </w:rPr>
        <w:br/>
      </w:r>
      <w:r w:rsidRPr="005C244B">
        <w:rPr>
          <w:rFonts w:ascii="Times New Roman" w:eastAsia="Calibri" w:hAnsi="Times New Roman"/>
          <w:b/>
          <w:bCs/>
        </w:rPr>
        <w:t xml:space="preserve">A </w:t>
      </w:r>
      <w:proofErr w:type="spellStart"/>
      <w:r w:rsidRPr="005C244B">
        <w:rPr>
          <w:rFonts w:ascii="Times New Roman" w:eastAsia="Calibri" w:hAnsi="Times New Roman"/>
          <w:b/>
          <w:bCs/>
        </w:rPr>
        <w:t>Theyyam</w:t>
      </w:r>
      <w:proofErr w:type="spellEnd"/>
      <w:r w:rsidRPr="005C244B">
        <w:rPr>
          <w:rFonts w:ascii="Times New Roman" w:eastAsia="Calibri" w:hAnsi="Times New Roman"/>
          <w:b/>
          <w:bCs/>
        </w:rPr>
        <w:t xml:space="preserve"> performer adorned in intricate costume and holding fire torches embodies the fusion of visual art, dance, drama, and ritual.</w:t>
      </w:r>
    </w:p>
    <w:p w14:paraId="73EDEE32" w14:textId="77777777" w:rsidR="0087449C" w:rsidRPr="00FB12B9" w:rsidRDefault="0087449C" w:rsidP="0087449C">
      <w:pPr>
        <w:spacing w:line="360" w:lineRule="auto"/>
        <w:jc w:val="both"/>
        <w:rPr>
          <w:rFonts w:ascii="Times New Roman" w:eastAsia="Calibri" w:hAnsi="Times New Roman"/>
          <w:lang w:val="en-US"/>
        </w:rPr>
      </w:pPr>
    </w:p>
    <w:p w14:paraId="09D7EF46" w14:textId="77777777" w:rsidR="0087449C" w:rsidRPr="00C3725A" w:rsidRDefault="0087449C" w:rsidP="0087449C">
      <w:pPr>
        <w:spacing w:line="360" w:lineRule="auto"/>
        <w:jc w:val="both"/>
        <w:rPr>
          <w:rFonts w:ascii="Times New Roman" w:eastAsia="Calibri" w:hAnsi="Times New Roman"/>
          <w:b/>
          <w:bCs/>
          <w:lang w:val="en-US"/>
        </w:rPr>
      </w:pPr>
      <w:r>
        <w:rPr>
          <w:rFonts w:ascii="Times New Roman" w:eastAsia="Calibri" w:hAnsi="Times New Roman"/>
          <w:b/>
          <w:bCs/>
          <w:lang w:val="en-US"/>
        </w:rPr>
        <w:t xml:space="preserve">4.3 </w:t>
      </w:r>
      <w:r w:rsidRPr="00C3725A">
        <w:rPr>
          <w:rFonts w:ascii="Times New Roman" w:eastAsia="Calibri" w:hAnsi="Times New Roman"/>
          <w:b/>
          <w:bCs/>
          <w:lang w:val="en-US"/>
        </w:rPr>
        <w:t xml:space="preserve">Narrative Therapy and Mythological Storytelling in </w:t>
      </w:r>
      <w:proofErr w:type="spellStart"/>
      <w:r w:rsidRPr="00C3725A">
        <w:rPr>
          <w:rFonts w:ascii="Times New Roman" w:eastAsia="Calibri" w:hAnsi="Times New Roman"/>
          <w:b/>
          <w:bCs/>
          <w:lang w:val="en-US"/>
        </w:rPr>
        <w:t>Theyyam</w:t>
      </w:r>
      <w:proofErr w:type="spellEnd"/>
    </w:p>
    <w:p w14:paraId="3C0314B1" w14:textId="77777777" w:rsidR="0087449C" w:rsidRPr="00FB12B9" w:rsidRDefault="0087449C" w:rsidP="0087449C">
      <w:pPr>
        <w:spacing w:line="360" w:lineRule="auto"/>
        <w:jc w:val="both"/>
        <w:rPr>
          <w:rFonts w:ascii="Times New Roman" w:eastAsia="Calibri" w:hAnsi="Times New Roman"/>
          <w:lang w:val="en-US"/>
        </w:rPr>
      </w:pPr>
      <w:r w:rsidRPr="00386BC4">
        <w:rPr>
          <w:rFonts w:ascii="Times New Roman" w:eastAsia="Calibri" w:hAnsi="Times New Roman"/>
          <w:lang w:val="en-US"/>
        </w:rPr>
        <w:t>Narrative therapy focuses on the idea that people can rewrite their life stories, understanding that their identities are shaped by the stories they tell themselves. It believes that by changing their personal narrative, individuals can break free from limiting beliefs and behaviors.</w:t>
      </w:r>
      <w:r w:rsidRPr="00FB12B9">
        <w:rPr>
          <w:rFonts w:ascii="Times New Roman" w:eastAsia="Calibri" w:hAnsi="Times New Roman"/>
          <w:lang w:val="en-US"/>
        </w:rPr>
        <w:t xml:space="preserve"> </w:t>
      </w:r>
      <w:r w:rsidRPr="00386BC4">
        <w:rPr>
          <w:rFonts w:ascii="Times New Roman" w:eastAsia="Calibri" w:hAnsi="Times New Roman"/>
          <w:lang w:val="en-US"/>
        </w:rPr>
        <w:t xml:space="preserve">In a similar way, </w:t>
      </w:r>
      <w:proofErr w:type="spellStart"/>
      <w:r w:rsidRPr="00386BC4">
        <w:rPr>
          <w:rFonts w:ascii="Times New Roman" w:eastAsia="Calibri" w:hAnsi="Times New Roman"/>
          <w:lang w:val="en-US"/>
        </w:rPr>
        <w:t>Theyyam</w:t>
      </w:r>
      <w:proofErr w:type="spellEnd"/>
      <w:r w:rsidRPr="00386BC4">
        <w:rPr>
          <w:rFonts w:ascii="Times New Roman" w:eastAsia="Calibri" w:hAnsi="Times New Roman"/>
          <w:lang w:val="en-US"/>
        </w:rPr>
        <w:t xml:space="preserve"> uses mythological storytelling as a key part of its ritual. The performance often reenacts stories of gods, ancestors, and mythical heroes, dealing with themes like oppression, redemption, and justice. These stories help the community process historical pain and societal struggles, much </w:t>
      </w:r>
      <w:r w:rsidRPr="00386BC4">
        <w:rPr>
          <w:rFonts w:ascii="Times New Roman" w:eastAsia="Calibri" w:hAnsi="Times New Roman"/>
          <w:lang w:val="en-US"/>
        </w:rPr>
        <w:lastRenderedPageBreak/>
        <w:t xml:space="preserve">like how narrative therapy helps clients reshape their personal histories. In </w:t>
      </w:r>
      <w:proofErr w:type="spellStart"/>
      <w:r w:rsidRPr="00386BC4">
        <w:rPr>
          <w:rFonts w:ascii="Times New Roman" w:eastAsia="Calibri" w:hAnsi="Times New Roman"/>
          <w:lang w:val="en-US"/>
        </w:rPr>
        <w:t>Theyyam</w:t>
      </w:r>
      <w:proofErr w:type="spellEnd"/>
      <w:r w:rsidRPr="00386BC4">
        <w:rPr>
          <w:rFonts w:ascii="Times New Roman" w:eastAsia="Calibri" w:hAnsi="Times New Roman"/>
          <w:lang w:val="en-US"/>
        </w:rPr>
        <w:t>, the performer can be seen as "re-authoring" collective and individual histories, acting out both divine and human parts of the myth to restore balance and justice.</w:t>
      </w:r>
      <w:r w:rsidRPr="00FB12B9">
        <w:rPr>
          <w:rFonts w:ascii="Times New Roman" w:eastAsia="Calibri" w:hAnsi="Times New Roman"/>
          <w:lang w:val="en-US"/>
        </w:rPr>
        <w:t xml:space="preserve"> The act of retelling these myths through performance can be seen as a way of resolving past conflicts, offering emotional healing. Just as narrative therapy allows clients to rewrite their personal stories, </w:t>
      </w:r>
      <w:proofErr w:type="spellStart"/>
      <w:r w:rsidRPr="00FB12B9">
        <w:rPr>
          <w:rFonts w:ascii="Times New Roman" w:eastAsia="Calibri" w:hAnsi="Times New Roman"/>
          <w:lang w:val="en-US"/>
        </w:rPr>
        <w:t>Theyyam</w:t>
      </w:r>
      <w:proofErr w:type="spellEnd"/>
      <w:r w:rsidRPr="00FB12B9">
        <w:rPr>
          <w:rFonts w:ascii="Times New Roman" w:eastAsia="Calibri" w:hAnsi="Times New Roman"/>
          <w:lang w:val="en-US"/>
        </w:rPr>
        <w:t xml:space="preserve"> allows participants to reframe societal narratives, especially those related to caste oppression and injustice. This process creates a symbolic space for emotional healing, helping both the performer and the community reimagine their identities and roles in society.</w:t>
      </w:r>
    </w:p>
    <w:p w14:paraId="5D3D8FFC" w14:textId="77777777" w:rsidR="0087449C" w:rsidRPr="00C3725A" w:rsidRDefault="0087449C" w:rsidP="0087449C">
      <w:pPr>
        <w:spacing w:line="360" w:lineRule="auto"/>
        <w:jc w:val="both"/>
        <w:rPr>
          <w:rFonts w:ascii="Times New Roman" w:eastAsia="Calibri" w:hAnsi="Times New Roman"/>
          <w:b/>
          <w:bCs/>
          <w:lang w:val="en-US"/>
        </w:rPr>
      </w:pPr>
      <w:r>
        <w:rPr>
          <w:rFonts w:ascii="Times New Roman" w:eastAsia="Calibri" w:hAnsi="Times New Roman"/>
          <w:b/>
          <w:bCs/>
          <w:lang w:val="en-US"/>
        </w:rPr>
        <w:t xml:space="preserve">4.4 </w:t>
      </w:r>
      <w:r w:rsidRPr="00C3725A">
        <w:rPr>
          <w:rFonts w:ascii="Times New Roman" w:eastAsia="Calibri" w:hAnsi="Times New Roman"/>
          <w:b/>
          <w:bCs/>
          <w:lang w:val="en-US"/>
        </w:rPr>
        <w:t xml:space="preserve">Mindfulness, Meditation, and the Trance State in </w:t>
      </w:r>
      <w:proofErr w:type="spellStart"/>
      <w:r w:rsidRPr="00C3725A">
        <w:rPr>
          <w:rFonts w:ascii="Times New Roman" w:eastAsia="Calibri" w:hAnsi="Times New Roman"/>
          <w:b/>
          <w:bCs/>
          <w:lang w:val="en-US"/>
        </w:rPr>
        <w:t>Theyyam</w:t>
      </w:r>
      <w:proofErr w:type="spellEnd"/>
    </w:p>
    <w:p w14:paraId="1DC98D8B" w14:textId="77777777" w:rsidR="0087449C" w:rsidRDefault="0087449C" w:rsidP="0087449C">
      <w:pPr>
        <w:spacing w:line="360" w:lineRule="auto"/>
        <w:jc w:val="both"/>
        <w:rPr>
          <w:rFonts w:ascii="Times New Roman" w:eastAsia="Calibri" w:hAnsi="Times New Roman"/>
        </w:rPr>
      </w:pPr>
      <w:r w:rsidRPr="00386BC4">
        <w:rPr>
          <w:rFonts w:ascii="Times New Roman" w:eastAsia="Calibri" w:hAnsi="Times New Roman"/>
          <w:lang w:val="en-US"/>
        </w:rPr>
        <w:t xml:space="preserve">Mindfulness and meditation are well-known techniques in modern psychotherapy that help with mental clarity, emotional balance, and self-awareness. These practices encourage people to stay focused on the present moment, which helps them feel more aware and emotionally stable. In </w:t>
      </w:r>
      <w:proofErr w:type="spellStart"/>
      <w:r w:rsidRPr="00386BC4">
        <w:rPr>
          <w:rFonts w:ascii="Times New Roman" w:eastAsia="Calibri" w:hAnsi="Times New Roman"/>
          <w:lang w:val="en-US"/>
        </w:rPr>
        <w:t>Theyyam</w:t>
      </w:r>
      <w:proofErr w:type="spellEnd"/>
      <w:r w:rsidRPr="00386BC4">
        <w:rPr>
          <w:rFonts w:ascii="Times New Roman" w:eastAsia="Calibri" w:hAnsi="Times New Roman"/>
          <w:lang w:val="en-US"/>
        </w:rPr>
        <w:t>, the trance state created by rhythmic drumming, repetitive movements, and chants works in a similar way, helping the performer enter a focused, meditative state.</w:t>
      </w:r>
      <w:r w:rsidRPr="00FB12B9">
        <w:rPr>
          <w:rFonts w:ascii="Times New Roman" w:eastAsia="Calibri" w:hAnsi="Times New Roman"/>
          <w:lang w:val="en-US"/>
        </w:rPr>
        <w:t xml:space="preserve"> </w:t>
      </w:r>
      <w:r w:rsidRPr="00386BC4">
        <w:rPr>
          <w:rFonts w:ascii="Times New Roman" w:eastAsia="Calibri" w:hAnsi="Times New Roman"/>
          <w:lang w:val="en-US"/>
        </w:rPr>
        <w:t xml:space="preserve">In this trance, the performer disconnects from their personal identity and becomes a channel for divine energy, taking on the role of gods or spirits. This process is similar to the mental clarity and emotional balance that mindfulness aims to achieve. </w:t>
      </w:r>
      <w:r w:rsidRPr="00FB12B9">
        <w:rPr>
          <w:rFonts w:ascii="Times New Roman" w:eastAsia="Calibri" w:hAnsi="Times New Roman"/>
        </w:rPr>
        <w:t xml:space="preserve">The repetitive rituals and drumming in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create a calming effect similar to meditation. The rhythm helps both the performer and the audience stay focused on the present moment, promoting a shared emotional connection. Just like mindfulness practices help reduce anxiety and increase emotional awareness, the trance in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provides both performers and participants with emotional release and spiritual insight.</w:t>
      </w:r>
    </w:p>
    <w:p w14:paraId="5847BC8D" w14:textId="77777777" w:rsidR="0087449C" w:rsidRPr="00FB12B9" w:rsidRDefault="0087449C" w:rsidP="0087449C">
      <w:pPr>
        <w:spacing w:line="360" w:lineRule="auto"/>
        <w:jc w:val="both"/>
        <w:rPr>
          <w:rFonts w:ascii="Times New Roman" w:eastAsia="Calibri" w:hAnsi="Times New Roman"/>
        </w:rPr>
      </w:pPr>
      <w:r w:rsidRPr="00FB12B9">
        <w:rPr>
          <w:rFonts w:ascii="Times New Roman" w:eastAsia="Calibri" w:hAnsi="Times New Roman"/>
          <w:b/>
          <w:bCs/>
        </w:rPr>
        <w:t>Conclusion</w:t>
      </w:r>
      <w:r w:rsidRPr="00FB12B9">
        <w:rPr>
          <w:rFonts w:ascii="Times New Roman" w:eastAsia="Calibri" w:hAnsi="Times New Roman"/>
        </w:rPr>
        <w:t xml:space="preserve"> </w:t>
      </w:r>
    </w:p>
    <w:p w14:paraId="531949C2" w14:textId="77777777" w:rsidR="0087449C" w:rsidRPr="00FB12B9" w:rsidRDefault="0087449C" w:rsidP="0087449C">
      <w:pPr>
        <w:spacing w:line="360" w:lineRule="auto"/>
        <w:jc w:val="both"/>
        <w:rPr>
          <w:rFonts w:ascii="Times New Roman" w:eastAsia="Calibri" w:hAnsi="Times New Roman"/>
        </w:rPr>
      </w:pP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exists at the crossroads of culture and psychology, offering a distinctive perspective on human emotions, social dynamics, and spiritual experiences. It not only preserves cultural identity but also serves as a psychological outlet, making it a tradition with significant contemporary relevance. Examining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through both cultural and psychological lenses deepens our understanding of how art, ritual, and human consciousness intersect, highlighting the valuable psychological insights embedded in traditional practices. More than a cultural spectacle,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w:t>
      </w:r>
      <w:r w:rsidRPr="00FB12B9">
        <w:rPr>
          <w:rFonts w:ascii="Times New Roman" w:eastAsia="Calibri" w:hAnsi="Times New Roman"/>
        </w:rPr>
        <w:lastRenderedPageBreak/>
        <w:t xml:space="preserve">is a profound psychological experience that facilitates emotional expression, identity formation, and communal healing. Viewing it through a psychological framework reveals how art forms function as mechanisms for emotional and social well-being. Beyond its artistic and ritualistic aspects,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represents a psychological phenomenon that enables emotional release, strengthens social identity, and induces altered states of consciousness. Its therapeutic potential, coupled with its role in reinforcing collective consciousness, makes it a compelling subject for psychological inquiry. Future research could explore the neuropsychological dimensions of trance states in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and their potential applications in modern therapeutic practices.</w:t>
      </w:r>
    </w:p>
    <w:p w14:paraId="0C2F7DD5" w14:textId="77777777" w:rsidR="0087449C" w:rsidRDefault="0087449C" w:rsidP="0087449C">
      <w:pPr>
        <w:spacing w:line="360" w:lineRule="auto"/>
        <w:jc w:val="both"/>
        <w:rPr>
          <w:rFonts w:ascii="Times New Roman" w:eastAsia="Calibri" w:hAnsi="Times New Roman"/>
        </w:rPr>
      </w:pPr>
      <w:r w:rsidRPr="00FB12B9">
        <w:rPr>
          <w:rFonts w:ascii="Times New Roman" w:eastAsia="Calibri" w:hAnsi="Times New Roman"/>
        </w:rPr>
        <w:t xml:space="preserve">Although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has a strong psychological impact, it also reflects the complexities of social structures, especially caste hierarchies. This shows that rituals can both empower individuals and reinforce social norms. Still, the ability of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to go beyond personal and collective boundaries provides valuable lessons on how traditional rituals can help with modern psychological healing. In the end,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demonstrates the connection between culture, psychology, and spirituality, emphasizing how important ritual practices are in meeting the psychological needs of both individuals and communities.</w:t>
      </w:r>
      <w:r>
        <w:rPr>
          <w:rFonts w:ascii="Times New Roman" w:eastAsia="Calibri" w:hAnsi="Times New Roman"/>
        </w:rPr>
        <w:t xml:space="preserve">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continues to be an interesting topic for psychological research, showing the lasting importance of traditional practices in promoting emotional and social well-being.</w:t>
      </w:r>
      <w:r>
        <w:rPr>
          <w:rFonts w:ascii="Times New Roman" w:eastAsia="Calibri" w:hAnsi="Times New Roman"/>
        </w:rPr>
        <w:t xml:space="preserve"> </w:t>
      </w:r>
      <w:r w:rsidRPr="00FB12B9">
        <w:rPr>
          <w:rFonts w:ascii="Times New Roman" w:eastAsia="Calibri" w:hAnsi="Times New Roman"/>
        </w:rPr>
        <w:t>Future research c</w:t>
      </w:r>
      <w:r>
        <w:rPr>
          <w:rFonts w:ascii="Times New Roman" w:eastAsia="Calibri" w:hAnsi="Times New Roman"/>
        </w:rPr>
        <w:t xml:space="preserve">an focus on understanding </w:t>
      </w:r>
      <w:r w:rsidRPr="00FB12B9">
        <w:rPr>
          <w:rFonts w:ascii="Times New Roman" w:eastAsia="Calibri" w:hAnsi="Times New Roman"/>
        </w:rPr>
        <w:t xml:space="preserve">the neuropsychological aspects of trance states in </w:t>
      </w:r>
      <w:proofErr w:type="spellStart"/>
      <w:r w:rsidRPr="00FB12B9">
        <w:rPr>
          <w:rFonts w:ascii="Times New Roman" w:eastAsia="Calibri" w:hAnsi="Times New Roman"/>
        </w:rPr>
        <w:t>Theyyam</w:t>
      </w:r>
      <w:proofErr w:type="spellEnd"/>
      <w:r w:rsidRPr="00FB12B9">
        <w:rPr>
          <w:rFonts w:ascii="Times New Roman" w:eastAsia="Calibri" w:hAnsi="Times New Roman"/>
        </w:rPr>
        <w:t xml:space="preserve"> and their applications in modern therapeutic practices</w:t>
      </w:r>
      <w:r>
        <w:rPr>
          <w:rFonts w:ascii="Times New Roman" w:eastAsia="Calibri" w:hAnsi="Times New Roman"/>
        </w:rPr>
        <w:t xml:space="preserve">. This </w:t>
      </w:r>
      <w:r w:rsidRPr="00FB12B9">
        <w:rPr>
          <w:rFonts w:ascii="Times New Roman" w:eastAsia="Calibri" w:hAnsi="Times New Roman"/>
        </w:rPr>
        <w:t xml:space="preserve">could further enhance our understanding of its role in emotional and social healing. </w:t>
      </w:r>
    </w:p>
    <w:p w14:paraId="7E1B6635" w14:textId="77777777" w:rsidR="0087449C" w:rsidRPr="00B851AE" w:rsidRDefault="0087449C" w:rsidP="0087449C">
      <w:pPr>
        <w:spacing w:line="360" w:lineRule="auto"/>
        <w:jc w:val="both"/>
        <w:rPr>
          <w:rFonts w:ascii="Times New Roman" w:eastAsia="Calibri" w:hAnsi="Times New Roman"/>
          <w:lang w:val="en-US"/>
        </w:rPr>
      </w:pPr>
      <w:r w:rsidRPr="00B851AE">
        <w:rPr>
          <w:rFonts w:ascii="Times New Roman" w:eastAsia="Calibri" w:hAnsi="Times New Roman"/>
          <w:b/>
          <w:bCs/>
          <w:lang w:val="en-US"/>
        </w:rPr>
        <w:t>Significance</w:t>
      </w:r>
      <w:r>
        <w:rPr>
          <w:rFonts w:ascii="Times New Roman" w:eastAsia="Calibri" w:hAnsi="Times New Roman"/>
          <w:b/>
          <w:bCs/>
          <w:lang w:val="en-US"/>
        </w:rPr>
        <w:t xml:space="preserve"> of the paper:</w:t>
      </w:r>
    </w:p>
    <w:p w14:paraId="7C2D0C0A" w14:textId="77777777" w:rsidR="0087449C" w:rsidRDefault="0087449C" w:rsidP="0087449C">
      <w:pPr>
        <w:spacing w:line="360" w:lineRule="auto"/>
        <w:jc w:val="both"/>
        <w:rPr>
          <w:rFonts w:ascii="Times New Roman" w:eastAsia="Calibri" w:hAnsi="Times New Roman"/>
          <w:lang w:val="en-US"/>
        </w:rPr>
      </w:pPr>
      <w:r w:rsidRPr="00B851AE">
        <w:rPr>
          <w:rFonts w:ascii="Times New Roman" w:eastAsia="Calibri" w:hAnsi="Times New Roman"/>
          <w:lang w:val="en-US"/>
        </w:rPr>
        <w:t xml:space="preserve">This </w:t>
      </w:r>
      <w:r>
        <w:rPr>
          <w:rFonts w:ascii="Times New Roman" w:eastAsia="Calibri" w:hAnsi="Times New Roman"/>
          <w:lang w:val="en-US"/>
        </w:rPr>
        <w:t>paper</w:t>
      </w:r>
      <w:r w:rsidRPr="00B851AE">
        <w:rPr>
          <w:rFonts w:ascii="Times New Roman" w:eastAsia="Calibri" w:hAnsi="Times New Roman"/>
          <w:lang w:val="en-US"/>
        </w:rPr>
        <w:t xml:space="preserve"> </w:t>
      </w:r>
      <w:r>
        <w:rPr>
          <w:rFonts w:ascii="Times New Roman" w:eastAsia="Calibri" w:hAnsi="Times New Roman"/>
          <w:lang w:val="en-US"/>
        </w:rPr>
        <w:t>helps to</w:t>
      </w:r>
      <w:r w:rsidRPr="00B851AE">
        <w:rPr>
          <w:rFonts w:ascii="Times New Roman" w:eastAsia="Calibri" w:hAnsi="Times New Roman"/>
          <w:lang w:val="en-US"/>
        </w:rPr>
        <w:t xml:space="preserve"> deepen the understanding of </w:t>
      </w:r>
      <w:proofErr w:type="spellStart"/>
      <w:r w:rsidRPr="00B851AE">
        <w:rPr>
          <w:rFonts w:ascii="Times New Roman" w:eastAsia="Calibri" w:hAnsi="Times New Roman"/>
          <w:lang w:val="en-US"/>
        </w:rPr>
        <w:t>Theyyam</w:t>
      </w:r>
      <w:proofErr w:type="spellEnd"/>
      <w:r w:rsidRPr="00B851AE">
        <w:rPr>
          <w:rFonts w:ascii="Times New Roman" w:eastAsia="Calibri" w:hAnsi="Times New Roman"/>
          <w:lang w:val="en-US"/>
        </w:rPr>
        <w:t xml:space="preserve"> as a culturally significant ritual with significant psychological implications. It provide</w:t>
      </w:r>
      <w:r>
        <w:rPr>
          <w:rFonts w:ascii="Times New Roman" w:eastAsia="Calibri" w:hAnsi="Times New Roman"/>
          <w:lang w:val="en-US"/>
        </w:rPr>
        <w:t xml:space="preserve">s </w:t>
      </w:r>
      <w:r w:rsidRPr="00B851AE">
        <w:rPr>
          <w:rFonts w:ascii="Times New Roman" w:eastAsia="Calibri" w:hAnsi="Times New Roman"/>
          <w:lang w:val="en-US"/>
        </w:rPr>
        <w:t>insights into how traditional cultural practices can enhance contemporary psychological theories and therapeutic methods.</w:t>
      </w:r>
      <w:r>
        <w:rPr>
          <w:rFonts w:ascii="Times New Roman" w:eastAsia="Calibri" w:hAnsi="Times New Roman"/>
          <w:lang w:val="en-US"/>
        </w:rPr>
        <w:t xml:space="preserve"> T</w:t>
      </w:r>
      <w:r w:rsidRPr="00B851AE">
        <w:rPr>
          <w:rFonts w:ascii="Times New Roman" w:eastAsia="Calibri" w:hAnsi="Times New Roman"/>
          <w:lang w:val="en-US"/>
        </w:rPr>
        <w:t xml:space="preserve">he paper </w:t>
      </w:r>
      <w:r>
        <w:rPr>
          <w:rFonts w:ascii="Times New Roman" w:eastAsia="Calibri" w:hAnsi="Times New Roman"/>
          <w:lang w:val="en-US"/>
        </w:rPr>
        <w:t xml:space="preserve">further </w:t>
      </w:r>
      <w:r w:rsidRPr="00B851AE">
        <w:rPr>
          <w:rFonts w:ascii="Times New Roman" w:eastAsia="Calibri" w:hAnsi="Times New Roman"/>
          <w:lang w:val="en-US"/>
        </w:rPr>
        <w:t>emphasize</w:t>
      </w:r>
      <w:r>
        <w:rPr>
          <w:rFonts w:ascii="Times New Roman" w:eastAsia="Calibri" w:hAnsi="Times New Roman"/>
          <w:lang w:val="en-US"/>
        </w:rPr>
        <w:t>s</w:t>
      </w:r>
      <w:r w:rsidRPr="00B851AE">
        <w:rPr>
          <w:rFonts w:ascii="Times New Roman" w:eastAsia="Calibri" w:hAnsi="Times New Roman"/>
          <w:lang w:val="en-US"/>
        </w:rPr>
        <w:t xml:space="preserve"> the role of cultural rituals in promoting emotional expression, identity formation, and psychological healing, offering a model for integrating indigenous practices into modern psychological frameworks.</w:t>
      </w:r>
    </w:p>
    <w:p w14:paraId="6733E786" w14:textId="77777777" w:rsidR="0087449C" w:rsidRDefault="0087449C" w:rsidP="0087449C">
      <w:pPr>
        <w:spacing w:line="360" w:lineRule="auto"/>
        <w:jc w:val="both"/>
        <w:rPr>
          <w:rFonts w:ascii="Times New Roman" w:eastAsia="Calibri" w:hAnsi="Times New Roman"/>
        </w:rPr>
      </w:pPr>
      <w:r w:rsidRPr="00EB2B5B">
        <w:rPr>
          <w:rFonts w:ascii="Times New Roman" w:eastAsia="Calibri" w:hAnsi="Times New Roman"/>
          <w:b/>
          <w:bCs/>
        </w:rPr>
        <w:t>Limitations</w:t>
      </w:r>
      <w:r w:rsidRPr="00EB2B5B">
        <w:rPr>
          <w:rFonts w:ascii="Times New Roman" w:eastAsia="Calibri" w:hAnsi="Times New Roman"/>
        </w:rPr>
        <w:t>:</w:t>
      </w:r>
    </w:p>
    <w:p w14:paraId="4D45DE50" w14:textId="77777777" w:rsidR="0087449C" w:rsidRDefault="0087449C" w:rsidP="0087449C">
      <w:pPr>
        <w:spacing w:line="360" w:lineRule="auto"/>
        <w:jc w:val="both"/>
        <w:rPr>
          <w:rFonts w:ascii="Times New Roman" w:eastAsia="Calibri" w:hAnsi="Times New Roman"/>
        </w:rPr>
      </w:pPr>
      <w:r w:rsidRPr="00EB2B5B">
        <w:rPr>
          <w:rFonts w:ascii="Times New Roman" w:eastAsia="Calibri" w:hAnsi="Times New Roman"/>
        </w:rPr>
        <w:lastRenderedPageBreak/>
        <w:t xml:space="preserve">The theoretical study of the psychological aspects of </w:t>
      </w:r>
      <w:proofErr w:type="spellStart"/>
      <w:r w:rsidRPr="00EB2B5B">
        <w:rPr>
          <w:rFonts w:ascii="Times New Roman" w:eastAsia="Calibri" w:hAnsi="Times New Roman"/>
        </w:rPr>
        <w:t>Theyyam</w:t>
      </w:r>
      <w:proofErr w:type="spellEnd"/>
      <w:r w:rsidRPr="00EB2B5B">
        <w:rPr>
          <w:rFonts w:ascii="Times New Roman" w:eastAsia="Calibri" w:hAnsi="Times New Roman"/>
        </w:rPr>
        <w:t xml:space="preserve"> has limitations, such as relying on Western psychological theories that may not fully fit the cultural context of Kerala. There's also a lack of </w:t>
      </w:r>
      <w:r>
        <w:rPr>
          <w:rFonts w:ascii="Times New Roman" w:eastAsia="Calibri" w:hAnsi="Times New Roman"/>
        </w:rPr>
        <w:t>empirical</w:t>
      </w:r>
      <w:r w:rsidRPr="00EB2B5B">
        <w:rPr>
          <w:rFonts w:ascii="Times New Roman" w:eastAsia="Calibri" w:hAnsi="Times New Roman"/>
        </w:rPr>
        <w:t xml:space="preserve"> studies on the ritual's effects, and individual emotional experiences can vary widely. Social and historical changes are often ignored, and the focus on group healing might miss personal benefits. Additionally, caste hierarchies are not fully addressed, and the use of limited psychological theories may not capture the complexity of the ritual. Lastly, using Western frameworks can lead to cultural bias.</w:t>
      </w:r>
    </w:p>
    <w:p w14:paraId="64353EE5" w14:textId="6FDB6078" w:rsidR="0087449C" w:rsidRPr="007B6525" w:rsidRDefault="0087449C" w:rsidP="0087449C">
      <w:pPr>
        <w:spacing w:line="360" w:lineRule="auto"/>
        <w:jc w:val="both"/>
        <w:rPr>
          <w:rFonts w:ascii="Times New Roman" w:hAnsi="Times New Roman"/>
          <w:b/>
          <w:bCs/>
        </w:rPr>
      </w:pPr>
      <w:r w:rsidRPr="007B6525">
        <w:rPr>
          <w:rFonts w:ascii="Times New Roman" w:hAnsi="Times New Roman"/>
          <w:b/>
          <w:bCs/>
        </w:rPr>
        <w:t xml:space="preserve">Reference </w:t>
      </w:r>
    </w:p>
    <w:p w14:paraId="7C0810FE" w14:textId="77777777" w:rsidR="001B33C1" w:rsidRDefault="001B33C1" w:rsidP="0087449C">
      <w:pPr>
        <w:ind w:left="450" w:hanging="450"/>
        <w:jc w:val="both"/>
        <w:rPr>
          <w:rFonts w:ascii="Times New Roman" w:hAnsi="Times New Roman"/>
        </w:rPr>
      </w:pPr>
      <w:r w:rsidRPr="00C620E6">
        <w:rPr>
          <w:rFonts w:ascii="Times New Roman" w:hAnsi="Times New Roman"/>
        </w:rPr>
        <w:t xml:space="preserve">A., S. J., &amp; M., S. (2024). Upending the norms: the representation of </w:t>
      </w:r>
      <w:proofErr w:type="spellStart"/>
      <w:r w:rsidRPr="00C620E6">
        <w:rPr>
          <w:rFonts w:ascii="Times New Roman" w:hAnsi="Times New Roman"/>
        </w:rPr>
        <w:t>Theyyam</w:t>
      </w:r>
      <w:proofErr w:type="spellEnd"/>
      <w:r w:rsidRPr="00C620E6">
        <w:rPr>
          <w:rFonts w:ascii="Times New Roman" w:hAnsi="Times New Roman"/>
        </w:rPr>
        <w:t xml:space="preserve"> in Kerala’s popular culture. </w:t>
      </w:r>
      <w:r w:rsidRPr="00C620E6">
        <w:rPr>
          <w:rFonts w:ascii="Times New Roman" w:hAnsi="Times New Roman"/>
          <w:i/>
          <w:iCs/>
        </w:rPr>
        <w:t>Cogent Arts &amp; Humanities</w:t>
      </w:r>
      <w:r w:rsidRPr="00C620E6">
        <w:rPr>
          <w:rFonts w:ascii="Times New Roman" w:hAnsi="Times New Roman"/>
        </w:rPr>
        <w:t>, </w:t>
      </w:r>
      <w:r w:rsidRPr="00C620E6">
        <w:rPr>
          <w:rFonts w:ascii="Times New Roman" w:hAnsi="Times New Roman"/>
          <w:i/>
          <w:iCs/>
        </w:rPr>
        <w:t>11</w:t>
      </w:r>
      <w:r w:rsidRPr="00C620E6">
        <w:rPr>
          <w:rFonts w:ascii="Times New Roman" w:hAnsi="Times New Roman"/>
        </w:rPr>
        <w:t xml:space="preserve">(1). </w:t>
      </w:r>
      <w:hyperlink r:id="rId17" w:history="1">
        <w:r w:rsidRPr="00F8153A">
          <w:rPr>
            <w:rStyle w:val="Hyperlink"/>
            <w:rFonts w:ascii="Times New Roman" w:eastAsiaTheme="majorEastAsia" w:hAnsi="Times New Roman"/>
          </w:rPr>
          <w:t>https://doi.org/10.1080/23311983.2024.2438488</w:t>
        </w:r>
      </w:hyperlink>
    </w:p>
    <w:p w14:paraId="5C80CAAC" w14:textId="77777777" w:rsidR="001B33C1" w:rsidRDefault="001B33C1" w:rsidP="0087449C">
      <w:pPr>
        <w:ind w:left="450" w:hanging="450"/>
        <w:jc w:val="both"/>
        <w:rPr>
          <w:rFonts w:ascii="Times New Roman" w:hAnsi="Times New Roman"/>
        </w:rPr>
      </w:pPr>
      <w:r w:rsidRPr="004878F5">
        <w:rPr>
          <w:rFonts w:ascii="Times New Roman" w:hAnsi="Times New Roman"/>
        </w:rPr>
        <w:t xml:space="preserve">Boddy, J. (1994). Spirit Possession </w:t>
      </w:r>
      <w:proofErr w:type="gramStart"/>
      <w:r w:rsidRPr="004878F5">
        <w:rPr>
          <w:rFonts w:ascii="Times New Roman" w:hAnsi="Times New Roman"/>
        </w:rPr>
        <w:t>Revisited :</w:t>
      </w:r>
      <w:proofErr w:type="gramEnd"/>
      <w:r w:rsidRPr="004878F5">
        <w:rPr>
          <w:rFonts w:ascii="Times New Roman" w:hAnsi="Times New Roman"/>
        </w:rPr>
        <w:t xml:space="preserve"> Beyond Instrumentality. Annual Review of Anthropology, 23, 407–434. DOI: </w:t>
      </w:r>
      <w:hyperlink r:id="rId18" w:history="1">
        <w:r w:rsidRPr="004878F5">
          <w:rPr>
            <w:rStyle w:val="Hyperlink"/>
            <w:rFonts w:ascii="Times New Roman" w:eastAsiaTheme="majorEastAsia" w:hAnsi="Times New Roman"/>
          </w:rPr>
          <w:t>https://doi.org/10.1146/annurev.an.23.100194.002203</w:t>
        </w:r>
      </w:hyperlink>
    </w:p>
    <w:p w14:paraId="53EBFFA0" w14:textId="77777777" w:rsidR="001B33C1" w:rsidRDefault="001B33C1" w:rsidP="0087449C">
      <w:pPr>
        <w:ind w:left="450" w:hanging="450"/>
        <w:jc w:val="both"/>
        <w:rPr>
          <w:rFonts w:ascii="Times New Roman" w:hAnsi="Times New Roman"/>
        </w:rPr>
      </w:pPr>
      <w:r w:rsidRPr="004878F5">
        <w:rPr>
          <w:rFonts w:ascii="Times New Roman" w:hAnsi="Times New Roman"/>
        </w:rPr>
        <w:t xml:space="preserve">Bourguignon, E. (2004). Suffering and Healing, Subordination and </w:t>
      </w:r>
      <w:proofErr w:type="gramStart"/>
      <w:r w:rsidRPr="004878F5">
        <w:rPr>
          <w:rFonts w:ascii="Times New Roman" w:hAnsi="Times New Roman"/>
        </w:rPr>
        <w:t>Power :</w:t>
      </w:r>
      <w:proofErr w:type="gramEnd"/>
      <w:r w:rsidRPr="004878F5">
        <w:rPr>
          <w:rFonts w:ascii="Times New Roman" w:hAnsi="Times New Roman"/>
        </w:rPr>
        <w:t xml:space="preserve"> Women and Possession Trance. Ethos, 32(4), 559. DOI: </w:t>
      </w:r>
      <w:hyperlink r:id="rId19" w:history="1">
        <w:r w:rsidRPr="004878F5">
          <w:rPr>
            <w:rStyle w:val="Hyperlink"/>
            <w:rFonts w:ascii="Times New Roman" w:eastAsiaTheme="majorEastAsia" w:hAnsi="Times New Roman"/>
          </w:rPr>
          <w:t>https://doi.org/10.1525/eth.2004.32.4.557</w:t>
        </w:r>
      </w:hyperlink>
    </w:p>
    <w:p w14:paraId="1FBA807B" w14:textId="77777777" w:rsidR="001B33C1" w:rsidRDefault="001B33C1" w:rsidP="0087449C">
      <w:pPr>
        <w:ind w:left="450" w:hanging="450"/>
        <w:jc w:val="both"/>
        <w:rPr>
          <w:rFonts w:ascii="Times New Roman" w:hAnsi="Times New Roman"/>
        </w:rPr>
      </w:pPr>
      <w:proofErr w:type="spellStart"/>
      <w:r w:rsidRPr="005D1BAC">
        <w:rPr>
          <w:rFonts w:ascii="Times New Roman" w:hAnsi="Times New Roman"/>
        </w:rPr>
        <w:t>Chandera</w:t>
      </w:r>
      <w:proofErr w:type="spellEnd"/>
      <w:r w:rsidRPr="005D1BAC">
        <w:rPr>
          <w:rFonts w:ascii="Times New Roman" w:hAnsi="Times New Roman"/>
        </w:rPr>
        <w:t xml:space="preserve"> C M S (1978) </w:t>
      </w:r>
      <w:proofErr w:type="spellStart"/>
      <w:r w:rsidRPr="005D1BAC">
        <w:rPr>
          <w:rFonts w:ascii="Times New Roman" w:hAnsi="Times New Roman"/>
        </w:rPr>
        <w:t>Kaliyattam</w:t>
      </w:r>
      <w:proofErr w:type="spellEnd"/>
      <w:r w:rsidRPr="005D1BAC">
        <w:rPr>
          <w:rFonts w:ascii="Times New Roman" w:hAnsi="Times New Roman"/>
        </w:rPr>
        <w:t xml:space="preserve">, National Book Stall, Kottayam </w:t>
      </w:r>
    </w:p>
    <w:p w14:paraId="50DFC2FA" w14:textId="77777777" w:rsidR="001B33C1" w:rsidRDefault="001B33C1" w:rsidP="0087449C">
      <w:pPr>
        <w:ind w:left="450" w:hanging="450"/>
        <w:jc w:val="both"/>
        <w:rPr>
          <w:rFonts w:ascii="Times New Roman" w:hAnsi="Times New Roman"/>
        </w:rPr>
      </w:pPr>
      <w:r w:rsidRPr="004878F5">
        <w:rPr>
          <w:rFonts w:ascii="Times New Roman" w:hAnsi="Times New Roman"/>
        </w:rPr>
        <w:t xml:space="preserve">Chandran, S. M. (2016). ‘Myth as a Symbolic Narrative: A Study of the Selected Myths of Malabar </w:t>
      </w:r>
      <w:proofErr w:type="spellStart"/>
      <w:r w:rsidRPr="004878F5">
        <w:rPr>
          <w:rFonts w:ascii="Times New Roman" w:hAnsi="Times New Roman"/>
        </w:rPr>
        <w:t>Theyyam</w:t>
      </w:r>
      <w:proofErr w:type="spellEnd"/>
      <w:r w:rsidRPr="004878F5">
        <w:rPr>
          <w:rFonts w:ascii="Times New Roman" w:hAnsi="Times New Roman"/>
        </w:rPr>
        <w:t xml:space="preserve"> Cult’. Research Journal of English Language and Literature (RJELAL), 4(4).</w:t>
      </w:r>
    </w:p>
    <w:p w14:paraId="3347D7EC" w14:textId="77777777" w:rsidR="001B33C1" w:rsidRDefault="001B33C1" w:rsidP="0087449C">
      <w:pPr>
        <w:ind w:left="450" w:hanging="450"/>
        <w:jc w:val="both"/>
        <w:rPr>
          <w:rFonts w:ascii="Times New Roman" w:hAnsi="Times New Roman"/>
        </w:rPr>
      </w:pPr>
      <w:proofErr w:type="spellStart"/>
      <w:r w:rsidRPr="005D1BAC">
        <w:rPr>
          <w:rFonts w:ascii="Times New Roman" w:hAnsi="Times New Roman"/>
        </w:rPr>
        <w:t>Chendera</w:t>
      </w:r>
      <w:proofErr w:type="spellEnd"/>
      <w:r w:rsidRPr="005D1BAC">
        <w:rPr>
          <w:rFonts w:ascii="Times New Roman" w:hAnsi="Times New Roman"/>
        </w:rPr>
        <w:t xml:space="preserve">, C .M S., (2004) </w:t>
      </w:r>
      <w:proofErr w:type="spellStart"/>
      <w:r w:rsidRPr="005D1BAC">
        <w:rPr>
          <w:rFonts w:ascii="Times New Roman" w:hAnsi="Times New Roman"/>
        </w:rPr>
        <w:t>Theyyathinde</w:t>
      </w:r>
      <w:proofErr w:type="spellEnd"/>
      <w:r w:rsidRPr="005D1BAC">
        <w:rPr>
          <w:rFonts w:ascii="Times New Roman" w:hAnsi="Times New Roman"/>
        </w:rPr>
        <w:t xml:space="preserve"> Aadi Roopam. DC Books, Kottayam</w:t>
      </w:r>
    </w:p>
    <w:p w14:paraId="6633502C" w14:textId="77777777" w:rsidR="001B33C1" w:rsidRDefault="001B33C1" w:rsidP="0087449C">
      <w:pPr>
        <w:ind w:left="450" w:hanging="450"/>
        <w:jc w:val="both"/>
        <w:rPr>
          <w:rFonts w:ascii="Times New Roman" w:hAnsi="Times New Roman"/>
        </w:rPr>
      </w:pPr>
      <w:r w:rsidRPr="00E65EBB">
        <w:rPr>
          <w:rFonts w:ascii="Times New Roman" w:hAnsi="Times New Roman"/>
        </w:rPr>
        <w:t xml:space="preserve">Damodaran M P. (1998) The Malayan of North Malabar and Their </w:t>
      </w:r>
      <w:proofErr w:type="spellStart"/>
      <w:r w:rsidRPr="00E65EBB">
        <w:rPr>
          <w:rFonts w:ascii="Times New Roman" w:hAnsi="Times New Roman"/>
        </w:rPr>
        <w:t>Teyyam</w:t>
      </w:r>
      <w:proofErr w:type="spellEnd"/>
      <w:r w:rsidRPr="00E65EBB">
        <w:rPr>
          <w:rFonts w:ascii="Times New Roman" w:hAnsi="Times New Roman"/>
        </w:rPr>
        <w:t>. Kerala: Kannur University Press</w:t>
      </w:r>
    </w:p>
    <w:p w14:paraId="5997A736" w14:textId="77777777" w:rsidR="001B33C1" w:rsidRDefault="001B33C1" w:rsidP="0087449C">
      <w:pPr>
        <w:ind w:left="450" w:hanging="450"/>
        <w:jc w:val="both"/>
        <w:rPr>
          <w:rFonts w:ascii="Times New Roman" w:hAnsi="Times New Roman"/>
        </w:rPr>
      </w:pPr>
      <w:r w:rsidRPr="00CD0C66">
        <w:rPr>
          <w:rFonts w:ascii="Times New Roman" w:hAnsi="Times New Roman"/>
        </w:rPr>
        <w:t xml:space="preserve">Damodaran, M. (2008). </w:t>
      </w:r>
      <w:proofErr w:type="spellStart"/>
      <w:r w:rsidRPr="00CD0C66">
        <w:rPr>
          <w:rFonts w:ascii="Times New Roman" w:hAnsi="Times New Roman"/>
        </w:rPr>
        <w:t>Teyyam</w:t>
      </w:r>
      <w:proofErr w:type="spellEnd"/>
      <w:r w:rsidRPr="00CD0C66">
        <w:rPr>
          <w:rFonts w:ascii="Times New Roman" w:hAnsi="Times New Roman"/>
        </w:rPr>
        <w:t xml:space="preserve"> is the Best Tool for Reconstructing the History of North Malabar. The Anthropologist. 10. 10.1080/09720073.2008.11891063.</w:t>
      </w:r>
    </w:p>
    <w:p w14:paraId="774FA9FB" w14:textId="77777777" w:rsidR="001B33C1" w:rsidRDefault="001B33C1" w:rsidP="0087449C">
      <w:pPr>
        <w:ind w:left="450" w:hanging="450"/>
        <w:jc w:val="both"/>
        <w:rPr>
          <w:rFonts w:ascii="Times New Roman" w:hAnsi="Times New Roman"/>
        </w:rPr>
      </w:pPr>
      <w:r w:rsidRPr="00B91307">
        <w:rPr>
          <w:rFonts w:ascii="Times New Roman" w:hAnsi="Times New Roman"/>
        </w:rPr>
        <w:t xml:space="preserve">Dasan, M, (2012) </w:t>
      </w:r>
      <w:proofErr w:type="spellStart"/>
      <w:r w:rsidRPr="00B91307">
        <w:rPr>
          <w:rFonts w:ascii="Times New Roman" w:hAnsi="Times New Roman"/>
        </w:rPr>
        <w:t>Theyyam</w:t>
      </w:r>
      <w:proofErr w:type="spellEnd"/>
      <w:r w:rsidRPr="00B91307">
        <w:rPr>
          <w:rFonts w:ascii="Times New Roman" w:hAnsi="Times New Roman"/>
        </w:rPr>
        <w:t>: Patronage, Appropriation and Interpolation, Kannur University</w:t>
      </w:r>
    </w:p>
    <w:p w14:paraId="4638F1E7" w14:textId="77777777" w:rsidR="001B33C1" w:rsidRDefault="001B33C1" w:rsidP="0087449C">
      <w:pPr>
        <w:ind w:left="450" w:hanging="450"/>
        <w:jc w:val="both"/>
        <w:rPr>
          <w:rFonts w:ascii="Times New Roman" w:hAnsi="Times New Roman"/>
        </w:rPr>
      </w:pPr>
      <w:bookmarkStart w:id="5" w:name="_Hlk196229887"/>
      <w:r w:rsidRPr="006F54CE">
        <w:rPr>
          <w:rFonts w:ascii="Times New Roman" w:hAnsi="Times New Roman"/>
        </w:rPr>
        <w:t xml:space="preserve">Dunphy, K., Mullane, S., &amp; Jacobsson, M. (2014). </w:t>
      </w:r>
      <w:bookmarkEnd w:id="5"/>
      <w:r w:rsidRPr="006F54CE">
        <w:rPr>
          <w:rFonts w:ascii="Times New Roman" w:hAnsi="Times New Roman"/>
        </w:rPr>
        <w:t>The effectiveness of expressive arts therapies: A review of the literature. </w:t>
      </w:r>
      <w:r w:rsidRPr="006F54CE">
        <w:rPr>
          <w:rFonts w:ascii="Times New Roman" w:hAnsi="Times New Roman"/>
          <w:i/>
          <w:iCs/>
        </w:rPr>
        <w:t>Psychotherapy and counselling journal of Australia</w:t>
      </w:r>
      <w:r w:rsidRPr="006F54CE">
        <w:rPr>
          <w:rFonts w:ascii="Times New Roman" w:hAnsi="Times New Roman"/>
        </w:rPr>
        <w:t>, </w:t>
      </w:r>
      <w:r w:rsidRPr="006F54CE">
        <w:rPr>
          <w:rFonts w:ascii="Times New Roman" w:hAnsi="Times New Roman"/>
          <w:i/>
          <w:iCs/>
        </w:rPr>
        <w:t>2</w:t>
      </w:r>
      <w:r w:rsidRPr="006F54CE">
        <w:rPr>
          <w:rFonts w:ascii="Times New Roman" w:hAnsi="Times New Roman"/>
        </w:rPr>
        <w:t>(1).</w:t>
      </w:r>
    </w:p>
    <w:p w14:paraId="11A4FE2B" w14:textId="77777777" w:rsidR="001B33C1" w:rsidRDefault="001B33C1" w:rsidP="00837DDD">
      <w:pPr>
        <w:ind w:left="450" w:hanging="450"/>
        <w:jc w:val="both"/>
        <w:rPr>
          <w:rFonts w:ascii="Times New Roman" w:hAnsi="Times New Roman"/>
        </w:rPr>
      </w:pPr>
      <w:r w:rsidRPr="00837DDD">
        <w:rPr>
          <w:rFonts w:ascii="Times New Roman" w:hAnsi="Times New Roman"/>
        </w:rPr>
        <w:t>Fawcett, Fred (1901) ‘</w:t>
      </w:r>
      <w:proofErr w:type="spellStart"/>
      <w:r w:rsidRPr="00837DDD">
        <w:rPr>
          <w:rFonts w:ascii="Times New Roman" w:hAnsi="Times New Roman"/>
        </w:rPr>
        <w:t>Nâyars</w:t>
      </w:r>
      <w:proofErr w:type="spellEnd"/>
      <w:r w:rsidRPr="00837DDD">
        <w:rPr>
          <w:rFonts w:ascii="Times New Roman" w:hAnsi="Times New Roman"/>
        </w:rPr>
        <w:t xml:space="preserve"> of Malabar’, Madras Government Museum Bulletin, III</w:t>
      </w:r>
    </w:p>
    <w:p w14:paraId="01B76389" w14:textId="77777777" w:rsidR="001B33C1" w:rsidRDefault="001B33C1" w:rsidP="0087449C">
      <w:pPr>
        <w:ind w:left="450" w:hanging="450"/>
        <w:jc w:val="both"/>
        <w:rPr>
          <w:rFonts w:ascii="Times New Roman" w:hAnsi="Times New Roman"/>
        </w:rPr>
      </w:pPr>
      <w:r w:rsidRPr="00B03299">
        <w:rPr>
          <w:rFonts w:ascii="Times New Roman" w:hAnsi="Times New Roman"/>
        </w:rPr>
        <w:lastRenderedPageBreak/>
        <w:t>Freeman, John Richardson, Jr. (1999) Gods, Groves and the Culture of Nature in Kerala. Modern Asian Studies, 33(2):257-302.</w:t>
      </w:r>
    </w:p>
    <w:p w14:paraId="73721CD0" w14:textId="77777777" w:rsidR="001B33C1" w:rsidRPr="004878F5" w:rsidRDefault="001B33C1" w:rsidP="0087449C">
      <w:pPr>
        <w:ind w:left="450" w:hanging="450"/>
        <w:jc w:val="both"/>
        <w:rPr>
          <w:rFonts w:ascii="Times New Roman" w:hAnsi="Times New Roman"/>
          <w:lang w:val="en-US"/>
        </w:rPr>
      </w:pPr>
      <w:r w:rsidRPr="004878F5">
        <w:rPr>
          <w:rFonts w:ascii="Times New Roman" w:hAnsi="Times New Roman"/>
          <w:lang w:val="en-US"/>
        </w:rPr>
        <w:t>Gardner, J., and Maier, J. R. (1996). Masked Performance: The Play of Self and Other in Ritual and Theatre. Philadelphia: University of Pennsylvania Press.</w:t>
      </w:r>
    </w:p>
    <w:p w14:paraId="7BC8518B" w14:textId="77777777" w:rsidR="001B33C1" w:rsidRPr="004878F5" w:rsidRDefault="001B33C1" w:rsidP="0087449C">
      <w:pPr>
        <w:ind w:left="450" w:hanging="450"/>
        <w:jc w:val="both"/>
        <w:rPr>
          <w:rFonts w:ascii="Times New Roman" w:hAnsi="Times New Roman"/>
          <w:lang w:val="en-US"/>
        </w:rPr>
      </w:pPr>
      <w:r w:rsidRPr="004878F5">
        <w:rPr>
          <w:rFonts w:ascii="Times New Roman" w:hAnsi="Times New Roman"/>
          <w:lang w:val="en-US"/>
        </w:rPr>
        <w:t xml:space="preserve">Geetha, E. (2022). ‘The </w:t>
      </w:r>
      <w:proofErr w:type="spellStart"/>
      <w:r w:rsidRPr="004878F5">
        <w:rPr>
          <w:rFonts w:ascii="Times New Roman" w:hAnsi="Times New Roman"/>
          <w:lang w:val="en-US"/>
        </w:rPr>
        <w:t>Theyyams</w:t>
      </w:r>
      <w:proofErr w:type="spellEnd"/>
      <w:r w:rsidRPr="004878F5">
        <w:rPr>
          <w:rFonts w:ascii="Times New Roman" w:hAnsi="Times New Roman"/>
          <w:lang w:val="en-US"/>
        </w:rPr>
        <w:t xml:space="preserve"> of North Kerala: The Little Gods of Little Kingdom’ Quest Journals Journal of Research in Humanities and Social Science, 10(2), 16-20.</w:t>
      </w:r>
    </w:p>
    <w:p w14:paraId="4EED4DB0" w14:textId="77777777" w:rsidR="001B33C1" w:rsidRDefault="001B33C1" w:rsidP="0087449C">
      <w:pPr>
        <w:ind w:left="450" w:hanging="450"/>
        <w:jc w:val="both"/>
        <w:rPr>
          <w:rFonts w:ascii="Times New Roman" w:hAnsi="Times New Roman"/>
        </w:rPr>
      </w:pPr>
      <w:r w:rsidRPr="002246E4">
        <w:rPr>
          <w:rFonts w:ascii="Times New Roman" w:hAnsi="Times New Roman"/>
        </w:rPr>
        <w:t xml:space="preserve">Gopi, Anil. (2021). Gods and the Oppressed: A Study on </w:t>
      </w:r>
      <w:proofErr w:type="spellStart"/>
      <w:r w:rsidRPr="002246E4">
        <w:rPr>
          <w:rFonts w:ascii="Times New Roman" w:hAnsi="Times New Roman"/>
        </w:rPr>
        <w:t>Theyyam</w:t>
      </w:r>
      <w:proofErr w:type="spellEnd"/>
      <w:r w:rsidRPr="002246E4">
        <w:rPr>
          <w:rFonts w:ascii="Times New Roman" w:hAnsi="Times New Roman"/>
        </w:rPr>
        <w:t xml:space="preserve"> Performers of North Malabar. Contemporary Voice of Dalit. 13. 199-207. 10.1177/2455328X211008363.</w:t>
      </w:r>
    </w:p>
    <w:p w14:paraId="00CA2D16" w14:textId="77777777" w:rsidR="001B33C1" w:rsidRDefault="001B33C1" w:rsidP="0087449C">
      <w:pPr>
        <w:ind w:left="450" w:hanging="450"/>
        <w:jc w:val="both"/>
        <w:rPr>
          <w:rFonts w:ascii="Times New Roman" w:hAnsi="Times New Roman"/>
        </w:rPr>
      </w:pPr>
      <w:r w:rsidRPr="00074E4D">
        <w:rPr>
          <w:rFonts w:ascii="Times New Roman" w:hAnsi="Times New Roman"/>
        </w:rPr>
        <w:t>Gough, Kathleen, (1981) Rural Society in South East India, Cambridge University Press, Cambridge</w:t>
      </w:r>
    </w:p>
    <w:p w14:paraId="673057CB" w14:textId="77777777" w:rsidR="001B33C1" w:rsidRDefault="001B33C1" w:rsidP="0087449C">
      <w:pPr>
        <w:ind w:left="450" w:hanging="450"/>
        <w:jc w:val="both"/>
        <w:rPr>
          <w:rFonts w:ascii="Times New Roman" w:hAnsi="Times New Roman"/>
        </w:rPr>
      </w:pPr>
      <w:r w:rsidRPr="005D1BAC">
        <w:rPr>
          <w:rFonts w:ascii="Times New Roman" w:hAnsi="Times New Roman"/>
        </w:rPr>
        <w:t>Gundert, H. (1872). </w:t>
      </w:r>
      <w:r w:rsidRPr="005D1BAC">
        <w:rPr>
          <w:rFonts w:ascii="Times New Roman" w:hAnsi="Times New Roman"/>
          <w:i/>
          <w:iCs/>
        </w:rPr>
        <w:t>A Malayalam and English dictionary</w:t>
      </w:r>
      <w:r w:rsidRPr="005D1BAC">
        <w:rPr>
          <w:rFonts w:ascii="Times New Roman" w:hAnsi="Times New Roman"/>
        </w:rPr>
        <w:t>. Mangalore: C. Stolz. </w:t>
      </w:r>
    </w:p>
    <w:p w14:paraId="44A4E66E" w14:textId="2E4131CF" w:rsidR="001B33C1" w:rsidRDefault="001B33C1" w:rsidP="0087449C">
      <w:pPr>
        <w:ind w:left="450" w:hanging="450"/>
        <w:jc w:val="both"/>
        <w:rPr>
          <w:rFonts w:ascii="Times New Roman" w:hAnsi="Times New Roman"/>
        </w:rPr>
      </w:pPr>
      <w:r w:rsidRPr="009B4C82">
        <w:rPr>
          <w:rFonts w:ascii="Times New Roman" w:hAnsi="Times New Roman"/>
        </w:rPr>
        <w:t xml:space="preserve">Kannan, Y. V., (2015) </w:t>
      </w:r>
      <w:proofErr w:type="spellStart"/>
      <w:r w:rsidRPr="009B4C82">
        <w:rPr>
          <w:rFonts w:ascii="Times New Roman" w:hAnsi="Times New Roman"/>
        </w:rPr>
        <w:t>Kanaladimanas</w:t>
      </w:r>
      <w:proofErr w:type="spellEnd"/>
      <w:r w:rsidRPr="009B4C82">
        <w:rPr>
          <w:rFonts w:ascii="Times New Roman" w:hAnsi="Times New Roman"/>
        </w:rPr>
        <w:t xml:space="preserve">- </w:t>
      </w:r>
      <w:proofErr w:type="spellStart"/>
      <w:r w:rsidRPr="009B4C82">
        <w:rPr>
          <w:rFonts w:ascii="Times New Roman" w:hAnsi="Times New Roman"/>
        </w:rPr>
        <w:t>Theyya</w:t>
      </w:r>
      <w:proofErr w:type="spellEnd"/>
      <w:r w:rsidRPr="009B4C82">
        <w:rPr>
          <w:rFonts w:ascii="Times New Roman" w:hAnsi="Times New Roman"/>
        </w:rPr>
        <w:t xml:space="preserve"> </w:t>
      </w:r>
      <w:proofErr w:type="spellStart"/>
      <w:r w:rsidRPr="009B4C82">
        <w:rPr>
          <w:rFonts w:ascii="Times New Roman" w:hAnsi="Times New Roman"/>
        </w:rPr>
        <w:t>Prabandhangal</w:t>
      </w:r>
      <w:proofErr w:type="spellEnd"/>
      <w:r w:rsidRPr="009B4C82">
        <w:rPr>
          <w:rFonts w:ascii="Times New Roman" w:hAnsi="Times New Roman"/>
        </w:rPr>
        <w:t>, The State Institute of Languages, Kerala</w:t>
      </w:r>
    </w:p>
    <w:p w14:paraId="0E2DB056" w14:textId="77777777" w:rsidR="001B33C1" w:rsidRDefault="001B33C1" w:rsidP="0087449C">
      <w:pPr>
        <w:ind w:left="450" w:hanging="450"/>
        <w:jc w:val="both"/>
        <w:rPr>
          <w:rFonts w:ascii="Times New Roman" w:hAnsi="Times New Roman"/>
        </w:rPr>
      </w:pPr>
      <w:r w:rsidRPr="00982119">
        <w:rPr>
          <w:rFonts w:ascii="Times New Roman" w:hAnsi="Times New Roman"/>
        </w:rPr>
        <w:t xml:space="preserve">Kannan, Y.V., (1971) </w:t>
      </w:r>
      <w:proofErr w:type="spellStart"/>
      <w:r w:rsidRPr="00982119">
        <w:rPr>
          <w:rFonts w:ascii="Times New Roman" w:hAnsi="Times New Roman"/>
        </w:rPr>
        <w:t>Theyyangalum</w:t>
      </w:r>
      <w:proofErr w:type="spellEnd"/>
      <w:r w:rsidRPr="00982119">
        <w:rPr>
          <w:rFonts w:ascii="Times New Roman" w:hAnsi="Times New Roman"/>
        </w:rPr>
        <w:t xml:space="preserve"> </w:t>
      </w:r>
      <w:proofErr w:type="spellStart"/>
      <w:r w:rsidRPr="00982119">
        <w:rPr>
          <w:rFonts w:ascii="Times New Roman" w:hAnsi="Times New Roman"/>
        </w:rPr>
        <w:t>Anustanangalum</w:t>
      </w:r>
      <w:proofErr w:type="spellEnd"/>
      <w:r w:rsidRPr="00982119">
        <w:rPr>
          <w:rFonts w:ascii="Times New Roman" w:hAnsi="Times New Roman"/>
        </w:rPr>
        <w:t xml:space="preserve"> (Mal.) Kerala Bhasha Institute, </w:t>
      </w:r>
      <w:proofErr w:type="spellStart"/>
      <w:r w:rsidRPr="00982119">
        <w:rPr>
          <w:rFonts w:ascii="Times New Roman" w:hAnsi="Times New Roman"/>
        </w:rPr>
        <w:t>Thiruvanathapuram</w:t>
      </w:r>
      <w:proofErr w:type="spellEnd"/>
    </w:p>
    <w:p w14:paraId="09D2879F" w14:textId="77777777" w:rsidR="001B33C1" w:rsidRDefault="001B33C1" w:rsidP="0087449C">
      <w:pPr>
        <w:ind w:left="450" w:hanging="450"/>
        <w:jc w:val="both"/>
        <w:rPr>
          <w:rFonts w:ascii="Times New Roman" w:hAnsi="Times New Roman"/>
        </w:rPr>
      </w:pPr>
      <w:r w:rsidRPr="00E65EBB">
        <w:rPr>
          <w:rFonts w:ascii="Times New Roman" w:hAnsi="Times New Roman"/>
        </w:rPr>
        <w:t xml:space="preserve">Kurup K.K.N. (1996) </w:t>
      </w:r>
      <w:proofErr w:type="spellStart"/>
      <w:r w:rsidRPr="00E65EBB">
        <w:rPr>
          <w:rFonts w:ascii="Times New Roman" w:hAnsi="Times New Roman"/>
        </w:rPr>
        <w:t>Theyyam</w:t>
      </w:r>
      <w:proofErr w:type="spellEnd"/>
      <w:r w:rsidRPr="00E65EBB">
        <w:rPr>
          <w:rFonts w:ascii="Times New Roman" w:hAnsi="Times New Roman"/>
        </w:rPr>
        <w:t>- A Ritual Dance of Kerala, Thiruvananthapuram</w:t>
      </w:r>
    </w:p>
    <w:p w14:paraId="402B2208" w14:textId="77777777" w:rsidR="001B33C1" w:rsidRDefault="001B33C1" w:rsidP="0087449C">
      <w:pPr>
        <w:ind w:left="450" w:hanging="450"/>
        <w:jc w:val="both"/>
        <w:rPr>
          <w:rFonts w:ascii="Times New Roman" w:hAnsi="Times New Roman"/>
        </w:rPr>
      </w:pPr>
      <w:r w:rsidRPr="00B47A51">
        <w:rPr>
          <w:rFonts w:ascii="Times New Roman" w:hAnsi="Times New Roman"/>
        </w:rPr>
        <w:t xml:space="preserve">L, </w:t>
      </w:r>
      <w:proofErr w:type="spellStart"/>
      <w:r w:rsidRPr="00B47A51">
        <w:rPr>
          <w:rFonts w:ascii="Times New Roman" w:hAnsi="Times New Roman"/>
        </w:rPr>
        <w:t>Deleep</w:t>
      </w:r>
      <w:proofErr w:type="spellEnd"/>
      <w:r w:rsidRPr="00B47A51">
        <w:rPr>
          <w:rFonts w:ascii="Times New Roman" w:hAnsi="Times New Roman"/>
        </w:rPr>
        <w:t xml:space="preserve">. (2024). Rituals Of Resistance: Discourse Analysis of </w:t>
      </w:r>
      <w:proofErr w:type="spellStart"/>
      <w:r w:rsidRPr="00B47A51">
        <w:rPr>
          <w:rFonts w:ascii="Times New Roman" w:hAnsi="Times New Roman"/>
        </w:rPr>
        <w:t>Theyyam</w:t>
      </w:r>
      <w:proofErr w:type="spellEnd"/>
      <w:r w:rsidRPr="00B47A51">
        <w:rPr>
          <w:rFonts w:ascii="Times New Roman" w:hAnsi="Times New Roman"/>
        </w:rPr>
        <w:t xml:space="preserve"> in Kerala's Folk Traditions. </w:t>
      </w:r>
      <w:proofErr w:type="spellStart"/>
      <w:r w:rsidRPr="00B47A51">
        <w:rPr>
          <w:rFonts w:ascii="Times New Roman" w:hAnsi="Times New Roman"/>
        </w:rPr>
        <w:t>ShodhKosh</w:t>
      </w:r>
      <w:proofErr w:type="spellEnd"/>
      <w:r w:rsidRPr="00B47A51">
        <w:rPr>
          <w:rFonts w:ascii="Times New Roman" w:hAnsi="Times New Roman"/>
        </w:rPr>
        <w:t>: Journal of Visual and Performing Arts. 5. 10.29121/</w:t>
      </w:r>
      <w:proofErr w:type="spellStart"/>
      <w:r w:rsidRPr="00B47A51">
        <w:rPr>
          <w:rFonts w:ascii="Times New Roman" w:hAnsi="Times New Roman"/>
        </w:rPr>
        <w:t>shodhkosh</w:t>
      </w:r>
      <w:proofErr w:type="spellEnd"/>
      <w:r w:rsidRPr="00B47A51">
        <w:rPr>
          <w:rFonts w:ascii="Times New Roman" w:hAnsi="Times New Roman"/>
        </w:rPr>
        <w:t>. v5.i6.2024.3093.</w:t>
      </w:r>
    </w:p>
    <w:p w14:paraId="51C55FB4" w14:textId="77777777" w:rsidR="001B33C1" w:rsidRDefault="001B33C1" w:rsidP="0087449C">
      <w:pPr>
        <w:ind w:left="450" w:hanging="450"/>
        <w:jc w:val="both"/>
        <w:rPr>
          <w:rFonts w:ascii="Times New Roman" w:hAnsi="Times New Roman"/>
        </w:rPr>
      </w:pPr>
      <w:r w:rsidRPr="00FA0B03">
        <w:rPr>
          <w:rFonts w:ascii="Times New Roman" w:hAnsi="Times New Roman"/>
        </w:rPr>
        <w:t>López-González, M. A., Morales-</w:t>
      </w:r>
      <w:proofErr w:type="spellStart"/>
      <w:r w:rsidRPr="00FA0B03">
        <w:rPr>
          <w:rFonts w:ascii="Times New Roman" w:hAnsi="Times New Roman"/>
        </w:rPr>
        <w:t>Landazábal</w:t>
      </w:r>
      <w:proofErr w:type="spellEnd"/>
      <w:r w:rsidRPr="00FA0B03">
        <w:rPr>
          <w:rFonts w:ascii="Times New Roman" w:hAnsi="Times New Roman"/>
        </w:rPr>
        <w:t>, P., &amp; Topa, G. (2021). Psychodrama Group Therapy for Social Issues: A Systematic Review of Controlled Clinical Trials. </w:t>
      </w:r>
      <w:r w:rsidRPr="00FA0B03">
        <w:rPr>
          <w:rFonts w:ascii="Times New Roman" w:hAnsi="Times New Roman"/>
          <w:i/>
          <w:iCs/>
        </w:rPr>
        <w:t>International journal of environmental research and public health</w:t>
      </w:r>
      <w:r w:rsidRPr="00FA0B03">
        <w:rPr>
          <w:rFonts w:ascii="Times New Roman" w:hAnsi="Times New Roman"/>
        </w:rPr>
        <w:t>, </w:t>
      </w:r>
      <w:r w:rsidRPr="00FA0B03">
        <w:rPr>
          <w:rFonts w:ascii="Times New Roman" w:hAnsi="Times New Roman"/>
          <w:i/>
          <w:iCs/>
        </w:rPr>
        <w:t>18</w:t>
      </w:r>
      <w:r w:rsidRPr="00FA0B03">
        <w:rPr>
          <w:rFonts w:ascii="Times New Roman" w:hAnsi="Times New Roman"/>
        </w:rPr>
        <w:t xml:space="preserve">(9), 4442. </w:t>
      </w:r>
      <w:hyperlink r:id="rId20" w:history="1">
        <w:r w:rsidRPr="00F8153A">
          <w:rPr>
            <w:rStyle w:val="Hyperlink"/>
            <w:rFonts w:ascii="Times New Roman" w:eastAsiaTheme="majorEastAsia" w:hAnsi="Times New Roman"/>
          </w:rPr>
          <w:t>https://doi.org/10.3390/ijerph18094442</w:t>
        </w:r>
      </w:hyperlink>
    </w:p>
    <w:p w14:paraId="1BF54B38" w14:textId="77777777" w:rsidR="001B33C1" w:rsidRDefault="001B33C1" w:rsidP="0087449C">
      <w:pPr>
        <w:ind w:left="450" w:hanging="450"/>
        <w:jc w:val="both"/>
        <w:rPr>
          <w:rFonts w:ascii="Times New Roman" w:hAnsi="Times New Roman"/>
        </w:rPr>
      </w:pPr>
      <w:r w:rsidRPr="00B91307">
        <w:rPr>
          <w:rFonts w:ascii="Times New Roman" w:hAnsi="Times New Roman"/>
        </w:rPr>
        <w:t xml:space="preserve">Menon, Dileep, (1993) The Moral Community of the </w:t>
      </w:r>
      <w:proofErr w:type="spellStart"/>
      <w:r w:rsidRPr="00B91307">
        <w:rPr>
          <w:rFonts w:ascii="Times New Roman" w:hAnsi="Times New Roman"/>
        </w:rPr>
        <w:t>Teyyattam</w:t>
      </w:r>
      <w:proofErr w:type="spellEnd"/>
      <w:r w:rsidRPr="00B91307">
        <w:rPr>
          <w:rFonts w:ascii="Times New Roman" w:hAnsi="Times New Roman"/>
        </w:rPr>
        <w:t xml:space="preserve">: Popular Culture in Late Colonial Malabar, Studies in History, 9, 2, </w:t>
      </w:r>
      <w:proofErr w:type="spellStart"/>
      <w:r w:rsidRPr="00B91307">
        <w:rPr>
          <w:rFonts w:ascii="Times New Roman" w:hAnsi="Times New Roman"/>
        </w:rPr>
        <w:t>n.s</w:t>
      </w:r>
      <w:proofErr w:type="spellEnd"/>
      <w:r w:rsidRPr="00B91307">
        <w:rPr>
          <w:rFonts w:ascii="Times New Roman" w:hAnsi="Times New Roman"/>
        </w:rPr>
        <w:t>, Sage Publications New Delhi/Thousand Oaks/London</w:t>
      </w:r>
    </w:p>
    <w:p w14:paraId="2C535A1E" w14:textId="77777777" w:rsidR="001B33C1" w:rsidRDefault="001B33C1" w:rsidP="0087449C">
      <w:pPr>
        <w:ind w:left="450" w:hanging="450"/>
        <w:jc w:val="both"/>
        <w:rPr>
          <w:rFonts w:ascii="Times New Roman" w:hAnsi="Times New Roman"/>
        </w:rPr>
      </w:pPr>
      <w:r w:rsidRPr="004878F5">
        <w:rPr>
          <w:rFonts w:ascii="Times New Roman" w:hAnsi="Times New Roman"/>
        </w:rPr>
        <w:t>Miller, J. E. (1954). Caste and territory in Malabar. American Anthropologist, 56(3), 410–420.</w:t>
      </w:r>
    </w:p>
    <w:p w14:paraId="14B50246" w14:textId="77777777" w:rsidR="001B33C1" w:rsidRDefault="001B33C1" w:rsidP="0087449C">
      <w:pPr>
        <w:ind w:left="450" w:hanging="450"/>
        <w:jc w:val="both"/>
        <w:rPr>
          <w:rFonts w:ascii="Times New Roman" w:hAnsi="Times New Roman"/>
        </w:rPr>
      </w:pPr>
      <w:r w:rsidRPr="004878F5">
        <w:rPr>
          <w:rFonts w:ascii="Times New Roman" w:hAnsi="Times New Roman"/>
        </w:rPr>
        <w:t xml:space="preserve">Nambiar, A. K. (1997). “The Process of Deification and the Role of Masks in </w:t>
      </w:r>
      <w:proofErr w:type="spellStart"/>
      <w:r w:rsidRPr="004878F5">
        <w:rPr>
          <w:rFonts w:ascii="Times New Roman" w:hAnsi="Times New Roman"/>
        </w:rPr>
        <w:t>Theyyam</w:t>
      </w:r>
      <w:proofErr w:type="spellEnd"/>
      <w:r w:rsidRPr="004878F5">
        <w:rPr>
          <w:rFonts w:ascii="Times New Roman" w:hAnsi="Times New Roman"/>
        </w:rPr>
        <w:t>.” Malayalam Literary Survey, 19(1), 71-74.</w:t>
      </w:r>
    </w:p>
    <w:p w14:paraId="7F24F4F1" w14:textId="77777777" w:rsidR="001B33C1" w:rsidRDefault="001B33C1" w:rsidP="0087449C">
      <w:pPr>
        <w:ind w:left="450" w:hanging="450"/>
        <w:jc w:val="both"/>
        <w:rPr>
          <w:rFonts w:ascii="Times New Roman" w:hAnsi="Times New Roman"/>
        </w:rPr>
      </w:pPr>
      <w:r w:rsidRPr="004878F5">
        <w:rPr>
          <w:rFonts w:ascii="Times New Roman" w:hAnsi="Times New Roman"/>
        </w:rPr>
        <w:lastRenderedPageBreak/>
        <w:t>Namboodiri, V. M. V. (2012). Folklore: Identity of Culture. Kerala: Department of Information and Public Relations, 47.</w:t>
      </w:r>
    </w:p>
    <w:p w14:paraId="47D5C6A0" w14:textId="77777777" w:rsidR="001B33C1" w:rsidRDefault="001B33C1" w:rsidP="00837DDD">
      <w:pPr>
        <w:ind w:left="450" w:hanging="450"/>
        <w:jc w:val="both"/>
        <w:rPr>
          <w:rFonts w:ascii="Times New Roman" w:hAnsi="Times New Roman"/>
        </w:rPr>
      </w:pPr>
      <w:r w:rsidRPr="00837DDD">
        <w:rPr>
          <w:rFonts w:ascii="Times New Roman" w:hAnsi="Times New Roman"/>
        </w:rPr>
        <w:t xml:space="preserve">Namboodiri. Vishnu, (1990) M.V., </w:t>
      </w:r>
      <w:proofErr w:type="spellStart"/>
      <w:r w:rsidRPr="00837DDD">
        <w:rPr>
          <w:rFonts w:ascii="Times New Roman" w:hAnsi="Times New Roman"/>
        </w:rPr>
        <w:t>Thottampattukal</w:t>
      </w:r>
      <w:proofErr w:type="spellEnd"/>
      <w:r w:rsidRPr="00837DDD">
        <w:rPr>
          <w:rFonts w:ascii="Times New Roman" w:hAnsi="Times New Roman"/>
        </w:rPr>
        <w:t xml:space="preserve"> </w:t>
      </w:r>
      <w:proofErr w:type="spellStart"/>
      <w:r w:rsidRPr="00837DDD">
        <w:rPr>
          <w:rFonts w:ascii="Times New Roman" w:hAnsi="Times New Roman"/>
        </w:rPr>
        <w:t>Oru</w:t>
      </w:r>
      <w:proofErr w:type="spellEnd"/>
      <w:r w:rsidRPr="00837DDD">
        <w:rPr>
          <w:rFonts w:ascii="Times New Roman" w:hAnsi="Times New Roman"/>
        </w:rPr>
        <w:t xml:space="preserve"> </w:t>
      </w:r>
      <w:proofErr w:type="spellStart"/>
      <w:r w:rsidRPr="00837DDD">
        <w:rPr>
          <w:rFonts w:ascii="Times New Roman" w:hAnsi="Times New Roman"/>
        </w:rPr>
        <w:t>Patanam</w:t>
      </w:r>
      <w:proofErr w:type="spellEnd"/>
      <w:r w:rsidRPr="00837DDD">
        <w:rPr>
          <w:rFonts w:ascii="Times New Roman" w:hAnsi="Times New Roman"/>
        </w:rPr>
        <w:t>, National Bookstall, Kottayam</w:t>
      </w:r>
    </w:p>
    <w:p w14:paraId="6F31B260" w14:textId="77777777" w:rsidR="001B33C1" w:rsidRDefault="001B33C1" w:rsidP="0087449C">
      <w:pPr>
        <w:ind w:left="450" w:hanging="450"/>
        <w:jc w:val="both"/>
        <w:rPr>
          <w:rFonts w:ascii="Times New Roman" w:hAnsi="Times New Roman"/>
        </w:rPr>
      </w:pPr>
      <w:r w:rsidRPr="00044BCA">
        <w:rPr>
          <w:rFonts w:ascii="Times New Roman" w:hAnsi="Times New Roman"/>
        </w:rPr>
        <w:t>Narayanan, M.T., (2003) Agrarian Relations in Late Medieval Malabar, Northern Book Centre, New Delhi</w:t>
      </w:r>
    </w:p>
    <w:p w14:paraId="438E03D7" w14:textId="16B48B64" w:rsidR="003B398A" w:rsidRDefault="003B398A" w:rsidP="003B398A">
      <w:pPr>
        <w:ind w:left="450" w:hanging="450"/>
        <w:jc w:val="both"/>
        <w:rPr>
          <w:rFonts w:ascii="Times New Roman" w:hAnsi="Times New Roman"/>
        </w:rPr>
      </w:pPr>
      <w:r w:rsidRPr="003B398A">
        <w:rPr>
          <w:rFonts w:ascii="Times New Roman" w:hAnsi="Times New Roman"/>
        </w:rPr>
        <w:t xml:space="preserve">OpenAI. (2023). </w:t>
      </w:r>
      <w:r w:rsidRPr="003B398A">
        <w:rPr>
          <w:rFonts w:ascii="Times New Roman" w:hAnsi="Times New Roman"/>
          <w:i/>
          <w:iCs/>
        </w:rPr>
        <w:t>ChatGPT</w:t>
      </w:r>
      <w:r w:rsidRPr="003B398A">
        <w:rPr>
          <w:rFonts w:ascii="Times New Roman" w:hAnsi="Times New Roman"/>
        </w:rPr>
        <w:t xml:space="preserve"> (Nov 2023 version) [Large language model]. </w:t>
      </w:r>
      <w:hyperlink r:id="rId21" w:tgtFrame="_new" w:history="1">
        <w:r w:rsidRPr="003B398A">
          <w:rPr>
            <w:rStyle w:val="Hyperlink"/>
            <w:rFonts w:ascii="Times New Roman" w:hAnsi="Times New Roman"/>
          </w:rPr>
          <w:t>https://chat.openai.com/</w:t>
        </w:r>
      </w:hyperlink>
    </w:p>
    <w:p w14:paraId="60950D4D" w14:textId="77777777" w:rsidR="001B33C1" w:rsidRDefault="001B33C1" w:rsidP="00837DDD">
      <w:pPr>
        <w:ind w:left="450" w:hanging="450"/>
        <w:jc w:val="both"/>
        <w:rPr>
          <w:rFonts w:ascii="Times New Roman" w:hAnsi="Times New Roman"/>
        </w:rPr>
      </w:pPr>
      <w:proofErr w:type="spellStart"/>
      <w:r w:rsidRPr="00837DDD">
        <w:rPr>
          <w:rFonts w:ascii="Times New Roman" w:hAnsi="Times New Roman"/>
        </w:rPr>
        <w:t>Payyanad</w:t>
      </w:r>
      <w:proofErr w:type="spellEnd"/>
      <w:r w:rsidRPr="00837DDD">
        <w:rPr>
          <w:rFonts w:ascii="Times New Roman" w:hAnsi="Times New Roman"/>
        </w:rPr>
        <w:t xml:space="preserve">, Raghavan, (1998) </w:t>
      </w:r>
      <w:proofErr w:type="spellStart"/>
      <w:r w:rsidRPr="00837DDD">
        <w:rPr>
          <w:rFonts w:ascii="Times New Roman" w:hAnsi="Times New Roman"/>
        </w:rPr>
        <w:t>Folklorinu</w:t>
      </w:r>
      <w:proofErr w:type="spellEnd"/>
      <w:r w:rsidRPr="00837DDD">
        <w:rPr>
          <w:rFonts w:ascii="Times New Roman" w:hAnsi="Times New Roman"/>
        </w:rPr>
        <w:t xml:space="preserve"> </w:t>
      </w:r>
      <w:proofErr w:type="spellStart"/>
      <w:r w:rsidRPr="00837DDD">
        <w:rPr>
          <w:rFonts w:ascii="Times New Roman" w:hAnsi="Times New Roman"/>
        </w:rPr>
        <w:t>oru</w:t>
      </w:r>
      <w:proofErr w:type="spellEnd"/>
      <w:r w:rsidRPr="00837DDD">
        <w:rPr>
          <w:rFonts w:ascii="Times New Roman" w:hAnsi="Times New Roman"/>
        </w:rPr>
        <w:t xml:space="preserve"> </w:t>
      </w:r>
      <w:proofErr w:type="spellStart"/>
      <w:proofErr w:type="gramStart"/>
      <w:r w:rsidRPr="00837DDD">
        <w:rPr>
          <w:rFonts w:ascii="Times New Roman" w:hAnsi="Times New Roman"/>
        </w:rPr>
        <w:t>Padanapaddati</w:t>
      </w:r>
      <w:proofErr w:type="spellEnd"/>
      <w:r w:rsidRPr="00837DDD">
        <w:rPr>
          <w:rFonts w:ascii="Times New Roman" w:hAnsi="Times New Roman"/>
        </w:rPr>
        <w:t>,(</w:t>
      </w:r>
      <w:proofErr w:type="gramEnd"/>
      <w:r w:rsidRPr="00837DDD">
        <w:rPr>
          <w:rFonts w:ascii="Times New Roman" w:hAnsi="Times New Roman"/>
        </w:rPr>
        <w:t xml:space="preserve">Mal) Kerala Sahitya </w:t>
      </w:r>
      <w:proofErr w:type="spellStart"/>
      <w:proofErr w:type="gramStart"/>
      <w:r w:rsidRPr="00837DDD">
        <w:rPr>
          <w:rFonts w:ascii="Times New Roman" w:hAnsi="Times New Roman"/>
        </w:rPr>
        <w:t>Academi</w:t>
      </w:r>
      <w:proofErr w:type="spellEnd"/>
      <w:r w:rsidRPr="00837DDD">
        <w:rPr>
          <w:rFonts w:ascii="Times New Roman" w:hAnsi="Times New Roman"/>
        </w:rPr>
        <w:t>,.</w:t>
      </w:r>
      <w:proofErr w:type="gramEnd"/>
      <w:r w:rsidRPr="00837DDD">
        <w:rPr>
          <w:rFonts w:ascii="Times New Roman" w:hAnsi="Times New Roman"/>
        </w:rPr>
        <w:t xml:space="preserve"> Thrissur</w:t>
      </w:r>
    </w:p>
    <w:p w14:paraId="512C29B3" w14:textId="5A81B94F" w:rsidR="001B33C1" w:rsidRDefault="001B33C1" w:rsidP="0087449C">
      <w:pPr>
        <w:ind w:left="450" w:hanging="450"/>
        <w:jc w:val="both"/>
        <w:rPr>
          <w:rFonts w:ascii="Times New Roman" w:hAnsi="Times New Roman"/>
        </w:rPr>
      </w:pPr>
      <w:r w:rsidRPr="00982119">
        <w:rPr>
          <w:rFonts w:ascii="Times New Roman" w:hAnsi="Times New Roman"/>
        </w:rPr>
        <w:t>Sreedhara</w:t>
      </w:r>
      <w:r>
        <w:rPr>
          <w:rFonts w:ascii="Times New Roman" w:hAnsi="Times New Roman"/>
        </w:rPr>
        <w:t xml:space="preserve"> M</w:t>
      </w:r>
      <w:r w:rsidRPr="00982119">
        <w:rPr>
          <w:rFonts w:ascii="Times New Roman" w:hAnsi="Times New Roman"/>
        </w:rPr>
        <w:t xml:space="preserve">enon, A., </w:t>
      </w:r>
      <w:r>
        <w:rPr>
          <w:rFonts w:ascii="Times New Roman" w:hAnsi="Times New Roman"/>
        </w:rPr>
        <w:t>(</w:t>
      </w:r>
      <w:r w:rsidRPr="00982119">
        <w:rPr>
          <w:rFonts w:ascii="Times New Roman" w:hAnsi="Times New Roman"/>
        </w:rPr>
        <w:t xml:space="preserve">2017) Kerala </w:t>
      </w:r>
      <w:proofErr w:type="spellStart"/>
      <w:r w:rsidRPr="00982119">
        <w:rPr>
          <w:rFonts w:ascii="Times New Roman" w:hAnsi="Times New Roman"/>
        </w:rPr>
        <w:t>Samskaram</w:t>
      </w:r>
      <w:proofErr w:type="spellEnd"/>
      <w:r w:rsidRPr="00982119">
        <w:rPr>
          <w:rFonts w:ascii="Times New Roman" w:hAnsi="Times New Roman"/>
        </w:rPr>
        <w:t>, (in Mal.), D. C. Books</w:t>
      </w:r>
    </w:p>
    <w:p w14:paraId="264892FE" w14:textId="77777777" w:rsidR="001B33C1" w:rsidRDefault="001B33C1" w:rsidP="00837DDD">
      <w:pPr>
        <w:ind w:left="450" w:hanging="450"/>
        <w:jc w:val="both"/>
        <w:rPr>
          <w:rFonts w:ascii="Times New Roman" w:hAnsi="Times New Roman"/>
        </w:rPr>
      </w:pPr>
      <w:r w:rsidRPr="00837DDD">
        <w:rPr>
          <w:rFonts w:ascii="Times New Roman" w:hAnsi="Times New Roman"/>
        </w:rPr>
        <w:t xml:space="preserve">Sreedharan, </w:t>
      </w:r>
      <w:proofErr w:type="spellStart"/>
      <w:r w:rsidRPr="00837DDD">
        <w:rPr>
          <w:rFonts w:ascii="Times New Roman" w:hAnsi="Times New Roman"/>
        </w:rPr>
        <w:t>Kuttamatu</w:t>
      </w:r>
      <w:proofErr w:type="spellEnd"/>
      <w:r w:rsidRPr="00837DDD">
        <w:rPr>
          <w:rFonts w:ascii="Times New Roman" w:hAnsi="Times New Roman"/>
        </w:rPr>
        <w:t xml:space="preserve"> A., (1997), </w:t>
      </w:r>
      <w:proofErr w:type="spellStart"/>
      <w:r w:rsidRPr="00837DDD">
        <w:rPr>
          <w:rFonts w:ascii="Times New Roman" w:hAnsi="Times New Roman"/>
        </w:rPr>
        <w:t>Cilambitta</w:t>
      </w:r>
      <w:proofErr w:type="spellEnd"/>
      <w:r w:rsidRPr="00837DDD">
        <w:rPr>
          <w:rFonts w:ascii="Times New Roman" w:hAnsi="Times New Roman"/>
        </w:rPr>
        <w:t xml:space="preserve"> </w:t>
      </w:r>
      <w:proofErr w:type="spellStart"/>
      <w:r w:rsidRPr="00837DDD">
        <w:rPr>
          <w:rFonts w:ascii="Times New Roman" w:hAnsi="Times New Roman"/>
        </w:rPr>
        <w:t>Ormmakal</w:t>
      </w:r>
      <w:proofErr w:type="spellEnd"/>
      <w:r w:rsidRPr="00837DDD">
        <w:rPr>
          <w:rFonts w:ascii="Times New Roman" w:hAnsi="Times New Roman"/>
        </w:rPr>
        <w:t xml:space="preserve">: </w:t>
      </w:r>
      <w:proofErr w:type="spellStart"/>
      <w:r w:rsidRPr="00837DDD">
        <w:rPr>
          <w:rFonts w:ascii="Times New Roman" w:hAnsi="Times New Roman"/>
        </w:rPr>
        <w:t>Teyyakkarande</w:t>
      </w:r>
      <w:proofErr w:type="spellEnd"/>
      <w:r w:rsidRPr="00837DDD">
        <w:rPr>
          <w:rFonts w:ascii="Times New Roman" w:hAnsi="Times New Roman"/>
        </w:rPr>
        <w:t xml:space="preserve"> Katha </w:t>
      </w:r>
      <w:proofErr w:type="spellStart"/>
      <w:r w:rsidRPr="00837DDD">
        <w:rPr>
          <w:rFonts w:ascii="Times New Roman" w:hAnsi="Times New Roman"/>
        </w:rPr>
        <w:t>Teyyattindeyum</w:t>
      </w:r>
      <w:proofErr w:type="spellEnd"/>
      <w:r w:rsidRPr="00837DDD">
        <w:rPr>
          <w:rFonts w:ascii="Times New Roman" w:hAnsi="Times New Roman"/>
        </w:rPr>
        <w:t xml:space="preserve">. (in Mal.) </w:t>
      </w:r>
      <w:proofErr w:type="spellStart"/>
      <w:r w:rsidRPr="00837DDD">
        <w:rPr>
          <w:rFonts w:ascii="Times New Roman" w:hAnsi="Times New Roman"/>
        </w:rPr>
        <w:t>Kruksetra</w:t>
      </w:r>
      <w:proofErr w:type="spellEnd"/>
      <w:r w:rsidRPr="00837DDD">
        <w:rPr>
          <w:rFonts w:ascii="Times New Roman" w:hAnsi="Times New Roman"/>
        </w:rPr>
        <w:t xml:space="preserve"> </w:t>
      </w:r>
      <w:proofErr w:type="spellStart"/>
      <w:r w:rsidRPr="00837DDD">
        <w:rPr>
          <w:rFonts w:ascii="Times New Roman" w:hAnsi="Times New Roman"/>
        </w:rPr>
        <w:t>Prakasan</w:t>
      </w:r>
      <w:proofErr w:type="spellEnd"/>
      <w:r w:rsidRPr="00837DDD">
        <w:rPr>
          <w:rFonts w:ascii="Times New Roman" w:hAnsi="Times New Roman"/>
        </w:rPr>
        <w:t xml:space="preserve">., </w:t>
      </w:r>
      <w:proofErr w:type="spellStart"/>
      <w:r w:rsidRPr="00837DDD">
        <w:rPr>
          <w:rFonts w:ascii="Times New Roman" w:hAnsi="Times New Roman"/>
        </w:rPr>
        <w:t>Erunakulam</w:t>
      </w:r>
      <w:proofErr w:type="spellEnd"/>
    </w:p>
    <w:p w14:paraId="19422E8B" w14:textId="77777777" w:rsidR="001B33C1" w:rsidRDefault="001B33C1" w:rsidP="0087449C">
      <w:pPr>
        <w:ind w:left="450" w:hanging="450"/>
        <w:jc w:val="both"/>
        <w:rPr>
          <w:rFonts w:ascii="Times New Roman" w:hAnsi="Times New Roman"/>
        </w:rPr>
      </w:pPr>
      <w:proofErr w:type="spellStart"/>
      <w:r w:rsidRPr="00FA0B03">
        <w:rPr>
          <w:rFonts w:ascii="Times New Roman" w:hAnsi="Times New Roman"/>
        </w:rPr>
        <w:t>Tarabout</w:t>
      </w:r>
      <w:proofErr w:type="spellEnd"/>
      <w:r w:rsidRPr="00FA0B03">
        <w:rPr>
          <w:rFonts w:ascii="Times New Roman" w:hAnsi="Times New Roman"/>
        </w:rPr>
        <w:t>, Gilles. (2005). Malabar Gods, Nation-Building and World Culture: On Perceptions of the Local and the Global. 10.7135/UPO9781843313823.009.</w:t>
      </w:r>
    </w:p>
    <w:p w14:paraId="1B0037FB" w14:textId="77777777" w:rsidR="001B33C1" w:rsidRDefault="001B33C1" w:rsidP="0087449C">
      <w:pPr>
        <w:ind w:left="450" w:hanging="450"/>
        <w:jc w:val="both"/>
        <w:rPr>
          <w:rFonts w:ascii="Times New Roman" w:hAnsi="Times New Roman"/>
        </w:rPr>
      </w:pPr>
      <w:bookmarkStart w:id="6" w:name="_Hlk196226394"/>
      <w:r w:rsidRPr="003C73AD">
        <w:rPr>
          <w:rFonts w:ascii="Times New Roman" w:hAnsi="Times New Roman"/>
        </w:rPr>
        <w:t xml:space="preserve">Tarzian, M., </w:t>
      </w:r>
      <w:proofErr w:type="spellStart"/>
      <w:r w:rsidRPr="003C73AD">
        <w:rPr>
          <w:rFonts w:ascii="Times New Roman" w:hAnsi="Times New Roman"/>
        </w:rPr>
        <w:t>Ndrio</w:t>
      </w:r>
      <w:proofErr w:type="spellEnd"/>
      <w:r w:rsidRPr="003C73AD">
        <w:rPr>
          <w:rFonts w:ascii="Times New Roman" w:hAnsi="Times New Roman"/>
        </w:rPr>
        <w:t xml:space="preserve">, M., &amp; </w:t>
      </w:r>
      <w:proofErr w:type="spellStart"/>
      <w:r w:rsidRPr="003C73AD">
        <w:rPr>
          <w:rFonts w:ascii="Times New Roman" w:hAnsi="Times New Roman"/>
        </w:rPr>
        <w:t>Fakoya</w:t>
      </w:r>
      <w:proofErr w:type="spellEnd"/>
      <w:r w:rsidRPr="003C73AD">
        <w:rPr>
          <w:rFonts w:ascii="Times New Roman" w:hAnsi="Times New Roman"/>
        </w:rPr>
        <w:t xml:space="preserve">, A. O. (2023). </w:t>
      </w:r>
      <w:bookmarkEnd w:id="6"/>
      <w:r w:rsidRPr="003C73AD">
        <w:rPr>
          <w:rFonts w:ascii="Times New Roman" w:hAnsi="Times New Roman"/>
        </w:rPr>
        <w:t>An Introduction and Brief Overview of Psychoanalysis. </w:t>
      </w:r>
      <w:r w:rsidRPr="003C73AD">
        <w:rPr>
          <w:rFonts w:ascii="Times New Roman" w:hAnsi="Times New Roman"/>
          <w:i/>
          <w:iCs/>
        </w:rPr>
        <w:t>Cureus</w:t>
      </w:r>
      <w:r w:rsidRPr="003C73AD">
        <w:rPr>
          <w:rFonts w:ascii="Times New Roman" w:hAnsi="Times New Roman"/>
        </w:rPr>
        <w:t>, </w:t>
      </w:r>
      <w:r w:rsidRPr="003C73AD">
        <w:rPr>
          <w:rFonts w:ascii="Times New Roman" w:hAnsi="Times New Roman"/>
          <w:i/>
          <w:iCs/>
        </w:rPr>
        <w:t>15</w:t>
      </w:r>
      <w:r w:rsidRPr="003C73AD">
        <w:rPr>
          <w:rFonts w:ascii="Times New Roman" w:hAnsi="Times New Roman"/>
        </w:rPr>
        <w:t xml:space="preserve">(9), e45171. </w:t>
      </w:r>
      <w:hyperlink r:id="rId22" w:history="1">
        <w:r w:rsidRPr="00446E9C">
          <w:rPr>
            <w:rStyle w:val="Hyperlink"/>
            <w:rFonts w:ascii="Times New Roman" w:eastAsiaTheme="majorEastAsia" w:hAnsi="Times New Roman"/>
          </w:rPr>
          <w:t>https://doi.org/10.7759/cureus.45171</w:t>
        </w:r>
      </w:hyperlink>
    </w:p>
    <w:p w14:paraId="72705579" w14:textId="3C2AA518" w:rsidR="001B33C1" w:rsidRDefault="001B33C1" w:rsidP="0087449C">
      <w:pPr>
        <w:ind w:left="450" w:hanging="450"/>
        <w:jc w:val="both"/>
        <w:rPr>
          <w:rFonts w:ascii="Times New Roman" w:hAnsi="Times New Roman"/>
        </w:rPr>
      </w:pPr>
      <w:r w:rsidRPr="00074E4D">
        <w:rPr>
          <w:rFonts w:ascii="Times New Roman" w:hAnsi="Times New Roman"/>
        </w:rPr>
        <w:t xml:space="preserve">Thurston, E., (1970) Castes and Tribes of Southern India. </w:t>
      </w:r>
      <w:r>
        <w:rPr>
          <w:rFonts w:ascii="Times New Roman" w:hAnsi="Times New Roman"/>
        </w:rPr>
        <w:t xml:space="preserve">Vol. V. </w:t>
      </w:r>
      <w:r w:rsidRPr="00074E4D">
        <w:rPr>
          <w:rFonts w:ascii="Times New Roman" w:hAnsi="Times New Roman"/>
        </w:rPr>
        <w:t>Cosmo Publications, New Delhi</w:t>
      </w:r>
    </w:p>
    <w:p w14:paraId="45FAE951" w14:textId="77777777" w:rsidR="001B33C1" w:rsidRDefault="001B33C1" w:rsidP="0087449C">
      <w:pPr>
        <w:ind w:left="450" w:hanging="450"/>
        <w:jc w:val="both"/>
        <w:rPr>
          <w:rFonts w:ascii="Times New Roman" w:hAnsi="Times New Roman"/>
        </w:rPr>
      </w:pPr>
      <w:r w:rsidRPr="00317789">
        <w:rPr>
          <w:rFonts w:ascii="Times New Roman" w:hAnsi="Times New Roman"/>
        </w:rPr>
        <w:t>Turner, V. (1979). Dramatic Ritual/Ritual Drama: Performative and Reflexive Anthropology. The Kenyon Review, 1(3), 80–93.</w:t>
      </w:r>
    </w:p>
    <w:p w14:paraId="45D5A855" w14:textId="77777777" w:rsidR="001B33C1" w:rsidRDefault="001B33C1" w:rsidP="0087449C">
      <w:pPr>
        <w:ind w:left="450" w:hanging="450"/>
        <w:jc w:val="both"/>
        <w:rPr>
          <w:rFonts w:ascii="Times New Roman" w:hAnsi="Times New Roman"/>
        </w:rPr>
      </w:pPr>
      <w:r w:rsidRPr="00CD0C66">
        <w:rPr>
          <w:rFonts w:ascii="Times New Roman" w:hAnsi="Times New Roman"/>
        </w:rPr>
        <w:t xml:space="preserve">V.R., Reshma &amp; Sheeja, S. (2023). </w:t>
      </w:r>
      <w:proofErr w:type="spellStart"/>
      <w:r w:rsidRPr="00CD0C66">
        <w:rPr>
          <w:rFonts w:ascii="Times New Roman" w:hAnsi="Times New Roman"/>
        </w:rPr>
        <w:t>Theyyam</w:t>
      </w:r>
      <w:proofErr w:type="spellEnd"/>
      <w:r w:rsidRPr="00CD0C66">
        <w:rPr>
          <w:rFonts w:ascii="Times New Roman" w:hAnsi="Times New Roman"/>
        </w:rPr>
        <w:t xml:space="preserve">: A Performer’s Journey of Transformation from Man to God. </w:t>
      </w:r>
      <w:proofErr w:type="spellStart"/>
      <w:r w:rsidRPr="00CD0C66">
        <w:rPr>
          <w:rFonts w:ascii="Times New Roman" w:hAnsi="Times New Roman"/>
        </w:rPr>
        <w:t>ShodhKosh</w:t>
      </w:r>
      <w:proofErr w:type="spellEnd"/>
      <w:r w:rsidRPr="00CD0C66">
        <w:rPr>
          <w:rFonts w:ascii="Times New Roman" w:hAnsi="Times New Roman"/>
        </w:rPr>
        <w:t>: Journal of Visual and Performing Arts. 4. 10.29121/</w:t>
      </w:r>
      <w:proofErr w:type="spellStart"/>
      <w:r w:rsidRPr="00CD0C66">
        <w:rPr>
          <w:rFonts w:ascii="Times New Roman" w:hAnsi="Times New Roman"/>
        </w:rPr>
        <w:t>shodhkosh</w:t>
      </w:r>
      <w:proofErr w:type="spellEnd"/>
      <w:r w:rsidRPr="00CD0C66">
        <w:rPr>
          <w:rFonts w:ascii="Times New Roman" w:hAnsi="Times New Roman"/>
        </w:rPr>
        <w:t>. v4.i2.2023.541.</w:t>
      </w:r>
    </w:p>
    <w:p w14:paraId="30A7B1E7" w14:textId="77777777" w:rsidR="001B33C1" w:rsidRDefault="001B33C1" w:rsidP="0087449C">
      <w:pPr>
        <w:ind w:left="450" w:hanging="450"/>
        <w:jc w:val="both"/>
        <w:rPr>
          <w:rFonts w:ascii="Times New Roman" w:hAnsi="Times New Roman"/>
        </w:rPr>
      </w:pPr>
      <w:proofErr w:type="spellStart"/>
      <w:r w:rsidRPr="00982119">
        <w:rPr>
          <w:rFonts w:ascii="Times New Roman" w:hAnsi="Times New Roman"/>
        </w:rPr>
        <w:t>Veluthat</w:t>
      </w:r>
      <w:proofErr w:type="spellEnd"/>
      <w:r w:rsidRPr="00982119">
        <w:rPr>
          <w:rFonts w:ascii="Times New Roman" w:hAnsi="Times New Roman"/>
        </w:rPr>
        <w:t>, Kesavan, (1978) Brahmin Settlements in Kerala: Historical Studies, Sandhya Publications, Calicut University</w:t>
      </w:r>
    </w:p>
    <w:p w14:paraId="2C60A969" w14:textId="77777777" w:rsidR="001B33C1" w:rsidRDefault="001B33C1" w:rsidP="0087449C">
      <w:pPr>
        <w:ind w:left="450" w:hanging="450"/>
        <w:jc w:val="both"/>
        <w:rPr>
          <w:rFonts w:ascii="Times New Roman" w:hAnsi="Times New Roman"/>
        </w:rPr>
      </w:pPr>
      <w:bookmarkStart w:id="7" w:name="_Hlk196225664"/>
      <w:r w:rsidRPr="00F90CE6">
        <w:rPr>
          <w:rFonts w:ascii="Times New Roman" w:hAnsi="Times New Roman"/>
        </w:rPr>
        <w:t xml:space="preserve">Verrier, Monique. (2021). </w:t>
      </w:r>
      <w:bookmarkEnd w:id="7"/>
      <w:r w:rsidRPr="00F90CE6">
        <w:rPr>
          <w:rFonts w:ascii="Times New Roman" w:hAnsi="Times New Roman"/>
        </w:rPr>
        <w:t>A Psychospiritual Exploration of the Transpersonal Self as the Ground of Healing. Religions. 12. 725. 10.3390/rel12090725.</w:t>
      </w:r>
    </w:p>
    <w:p w14:paraId="134FE75B" w14:textId="77777777" w:rsidR="001B33C1" w:rsidRDefault="001B33C1" w:rsidP="0087449C">
      <w:pPr>
        <w:ind w:left="450" w:hanging="450"/>
        <w:jc w:val="both"/>
        <w:rPr>
          <w:rFonts w:ascii="Times New Roman" w:hAnsi="Times New Roman"/>
        </w:rPr>
      </w:pPr>
      <w:proofErr w:type="spellStart"/>
      <w:r w:rsidRPr="002246E4">
        <w:rPr>
          <w:rFonts w:ascii="Times New Roman" w:hAnsi="Times New Roman"/>
        </w:rPr>
        <w:t>Vibhute</w:t>
      </w:r>
      <w:proofErr w:type="spellEnd"/>
      <w:r w:rsidRPr="002246E4">
        <w:rPr>
          <w:rFonts w:ascii="Times New Roman" w:hAnsi="Times New Roman"/>
        </w:rPr>
        <w:t xml:space="preserve">, S.J. &amp; Suresh, K.B. (2024). </w:t>
      </w:r>
      <w:proofErr w:type="spellStart"/>
      <w:r w:rsidRPr="002246E4">
        <w:rPr>
          <w:rFonts w:ascii="Times New Roman" w:hAnsi="Times New Roman"/>
        </w:rPr>
        <w:t>Unraveling</w:t>
      </w:r>
      <w:proofErr w:type="spellEnd"/>
      <w:r w:rsidRPr="002246E4">
        <w:rPr>
          <w:rFonts w:ascii="Times New Roman" w:hAnsi="Times New Roman"/>
        </w:rPr>
        <w:t xml:space="preserve"> the Depths of the Psyche: A Review of Carl Jung's Analytical Psychology. International Journal of Indian Psychology, 12(1), 628-642. DIP:18.01.059.20241201, DOI:10.25215/1201.059</w:t>
      </w:r>
    </w:p>
    <w:p w14:paraId="7B6B4919" w14:textId="77777777" w:rsidR="001B33C1" w:rsidRDefault="001B33C1" w:rsidP="0087449C">
      <w:pPr>
        <w:ind w:left="450" w:hanging="450"/>
        <w:jc w:val="both"/>
        <w:rPr>
          <w:rFonts w:ascii="Times New Roman" w:hAnsi="Times New Roman"/>
        </w:rPr>
      </w:pPr>
      <w:r w:rsidRPr="0071717E">
        <w:rPr>
          <w:rFonts w:ascii="Times New Roman" w:hAnsi="Times New Roman"/>
        </w:rPr>
        <w:lastRenderedPageBreak/>
        <w:t xml:space="preserve">Vishwakarma, Deepak. (2023). Exploring the Cultural Significance and Artistry of </w:t>
      </w:r>
      <w:proofErr w:type="spellStart"/>
      <w:r w:rsidRPr="0071717E">
        <w:rPr>
          <w:rFonts w:ascii="Times New Roman" w:hAnsi="Times New Roman"/>
        </w:rPr>
        <w:t>Theyyam's</w:t>
      </w:r>
      <w:proofErr w:type="spellEnd"/>
      <w:r w:rsidRPr="0071717E">
        <w:rPr>
          <w:rFonts w:ascii="Times New Roman" w:hAnsi="Times New Roman"/>
        </w:rPr>
        <w:t xml:space="preserve"> Elaborate Headgear: An In-depth Study of Craftsmanship and Symbolism.". 10.13140/RG.2.2.19191.19366.</w:t>
      </w:r>
    </w:p>
    <w:p w14:paraId="5DE04961" w14:textId="77777777" w:rsidR="001B33C1" w:rsidRDefault="001B33C1" w:rsidP="0087449C">
      <w:pPr>
        <w:ind w:left="450" w:hanging="450"/>
        <w:jc w:val="both"/>
        <w:rPr>
          <w:rFonts w:ascii="Times New Roman" w:hAnsi="Times New Roman"/>
        </w:rPr>
      </w:pPr>
      <w:r w:rsidRPr="008F702D">
        <w:rPr>
          <w:rFonts w:ascii="Times New Roman" w:hAnsi="Times New Roman"/>
        </w:rPr>
        <w:t xml:space="preserve">Wu, Miranda &amp; </w:t>
      </w:r>
      <w:proofErr w:type="spellStart"/>
      <w:r w:rsidRPr="008F702D">
        <w:rPr>
          <w:rFonts w:ascii="Times New Roman" w:hAnsi="Times New Roman"/>
        </w:rPr>
        <w:t>Cameirao</w:t>
      </w:r>
      <w:proofErr w:type="spellEnd"/>
      <w:r w:rsidRPr="008F702D">
        <w:rPr>
          <w:rFonts w:ascii="Times New Roman" w:hAnsi="Times New Roman"/>
        </w:rPr>
        <w:t>, Jacob &amp; Brown, Steven. (2025). Role reversal enhances an understanding of the other, but not of the self. The Arts in Psychotherapy. 93. 102288. 10.1016/j.aip.2025.102288.</w:t>
      </w:r>
    </w:p>
    <w:p w14:paraId="54281195" w14:textId="77777777" w:rsidR="001B33C1" w:rsidRDefault="001B33C1" w:rsidP="00837DDD">
      <w:pPr>
        <w:ind w:left="450" w:hanging="450"/>
        <w:jc w:val="both"/>
        <w:rPr>
          <w:rFonts w:ascii="Times New Roman" w:hAnsi="Times New Roman"/>
        </w:rPr>
      </w:pPr>
    </w:p>
    <w:p w14:paraId="0A3DED55" w14:textId="77777777" w:rsidR="0087449C" w:rsidRDefault="0087449C" w:rsidP="0087449C">
      <w:pPr>
        <w:jc w:val="both"/>
        <w:rPr>
          <w:rFonts w:ascii="Times New Roman" w:hAnsi="Times New Roman"/>
        </w:rPr>
      </w:pPr>
    </w:p>
    <w:p w14:paraId="04C6852A" w14:textId="77777777" w:rsidR="0087449C" w:rsidRPr="00FB12B9" w:rsidRDefault="0087449C" w:rsidP="0087449C">
      <w:pPr>
        <w:jc w:val="both"/>
        <w:rPr>
          <w:rFonts w:ascii="Times New Roman" w:hAnsi="Times New Roman"/>
        </w:rPr>
      </w:pPr>
    </w:p>
    <w:p w14:paraId="4EEF40F9" w14:textId="77777777" w:rsidR="0087449C" w:rsidRDefault="0087449C" w:rsidP="0087449C"/>
    <w:p w14:paraId="4B9C6A72" w14:textId="77777777" w:rsidR="0087449C" w:rsidRPr="00FB12B9" w:rsidRDefault="0087449C" w:rsidP="0087449C">
      <w:pPr>
        <w:spacing w:line="360" w:lineRule="auto"/>
        <w:jc w:val="both"/>
        <w:rPr>
          <w:rFonts w:ascii="Times New Roman" w:hAnsi="Times New Roman"/>
        </w:rPr>
      </w:pPr>
    </w:p>
    <w:p w14:paraId="6D9EF2F4" w14:textId="77777777" w:rsidR="00315EFF" w:rsidRDefault="00315EFF"/>
    <w:sectPr w:rsidR="00315EFF" w:rsidSect="0087449C">
      <w:headerReference w:type="even" r:id="rId23"/>
      <w:headerReference w:type="default" r:id="rId24"/>
      <w:footerReference w:type="even" r:id="rId25"/>
      <w:footerReference w:type="default" r:id="rId26"/>
      <w:headerReference w:type="first" r:id="rId27"/>
      <w:footerReference w:type="first" r:id="rId28"/>
      <w:pgSz w:w="12240" w:h="15840" w:code="1"/>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lijah Yusuf" w:date="2025-06-16T07:35:00Z" w:initials="EY">
    <w:p w14:paraId="50EF5AB7" w14:textId="60C90B90" w:rsidR="00C52189" w:rsidRDefault="00C52189">
      <w:pPr>
        <w:pStyle w:val="CommentText"/>
      </w:pPr>
      <w:r>
        <w:rPr>
          <w:rStyle w:val="CommentReference"/>
        </w:rPr>
        <w:annotationRef/>
      </w:r>
      <w:r>
        <w:t>The author(s) should organise their abstract to capture: (1) Main argument of the paper (2) Objectives of the paper (3) Methodology (4) Findings (5) Concluding thoughts</w:t>
      </w:r>
    </w:p>
  </w:comment>
  <w:comment w:id="1" w:author="Elijah Yusuf" w:date="2025-06-16T07:31:00Z" w:initials="EY">
    <w:p w14:paraId="08B31773" w14:textId="50E7E0D1" w:rsidR="00C52189" w:rsidRDefault="00C52189">
      <w:pPr>
        <w:pStyle w:val="CommentText"/>
      </w:pPr>
      <w:r>
        <w:rPr>
          <w:rStyle w:val="CommentReference"/>
        </w:rPr>
        <w:annotationRef/>
      </w:r>
      <w:r>
        <w:t>Remove one</w:t>
      </w:r>
    </w:p>
  </w:comment>
  <w:comment w:id="2" w:author="Elijah Yusuf" w:date="2025-06-16T07:44:00Z" w:initials="EY">
    <w:p w14:paraId="3712B062" w14:textId="048B1887" w:rsidR="004D082C" w:rsidRDefault="004D082C">
      <w:pPr>
        <w:pStyle w:val="CommentText"/>
      </w:pPr>
      <w:r>
        <w:rPr>
          <w:rStyle w:val="CommentReference"/>
        </w:rPr>
        <w:annotationRef/>
      </w:r>
      <w:r>
        <w:t xml:space="preserve">A good introduction. From the body of literature, it seems much has been discussed. Out of the extent literature the author(s) tried to bring to fore the psychological gap, but this should be explained strongly, in order to give direction to the gap to be filled. </w:t>
      </w:r>
    </w:p>
  </w:comment>
  <w:comment w:id="3" w:author="Elijah Yusuf" w:date="2025-06-16T07:51:00Z" w:initials="EY">
    <w:p w14:paraId="5E257568" w14:textId="2CF5B2CB" w:rsidR="00734653" w:rsidRDefault="00734653">
      <w:pPr>
        <w:pStyle w:val="CommentText"/>
      </w:pPr>
      <w:r>
        <w:rPr>
          <w:rStyle w:val="CommentReference"/>
        </w:rPr>
        <w:annotationRef/>
      </w:r>
      <w:r>
        <w:t>Table should serve as appendix in order to give flow to the reading. Aside providing an empirical review, I don’t see the need of mentioning literature in the body of work.</w:t>
      </w:r>
    </w:p>
  </w:comment>
  <w:comment w:id="4" w:author="Elijah Yusuf" w:date="2025-06-16T07:59:00Z" w:initials="EY">
    <w:p w14:paraId="1C56BDE1" w14:textId="77777777" w:rsidR="00734653" w:rsidRDefault="00734653">
      <w:pPr>
        <w:pStyle w:val="CommentText"/>
        <w:rPr>
          <w:rFonts w:ascii="Times New Roman" w:eastAsia="Calibri" w:hAnsi="Times New Roman"/>
          <w:lang w:val="en-US"/>
        </w:rPr>
      </w:pPr>
      <w:r>
        <w:rPr>
          <w:rStyle w:val="CommentReference"/>
        </w:rPr>
        <w:annotationRef/>
      </w:r>
      <w:r>
        <w:t>The author(s)</w:t>
      </w:r>
      <w:r w:rsidR="004E0EAF">
        <w:t xml:space="preserve"> argued that </w:t>
      </w:r>
      <w:proofErr w:type="spellStart"/>
      <w:r w:rsidR="004E0EAF">
        <w:t>Theyyam</w:t>
      </w:r>
      <w:proofErr w:type="spellEnd"/>
      <w:r>
        <w:t xml:space="preserve"> </w:t>
      </w:r>
      <w:r w:rsidRPr="00FB12B9">
        <w:rPr>
          <w:rFonts w:ascii="Times New Roman" w:eastAsia="Calibri" w:hAnsi="Times New Roman"/>
          <w:lang w:val="en-US"/>
        </w:rPr>
        <w:t xml:space="preserve">is an ancient ritualistic </w:t>
      </w:r>
      <w:r w:rsidR="004E0EAF">
        <w:rPr>
          <w:rFonts w:ascii="Times New Roman" w:eastAsia="Calibri" w:hAnsi="Times New Roman"/>
          <w:lang w:val="en-US"/>
        </w:rPr>
        <w:t xml:space="preserve">art from the introduction of this work. I was all eyes to see how the practice of </w:t>
      </w:r>
      <w:proofErr w:type="spellStart"/>
      <w:r w:rsidR="004E0EAF">
        <w:rPr>
          <w:rFonts w:ascii="Times New Roman" w:eastAsia="Calibri" w:hAnsi="Times New Roman"/>
          <w:lang w:val="en-US"/>
        </w:rPr>
        <w:t>Theyyam</w:t>
      </w:r>
      <w:proofErr w:type="spellEnd"/>
      <w:r w:rsidR="004E0EAF">
        <w:rPr>
          <w:rFonts w:ascii="Times New Roman" w:eastAsia="Calibri" w:hAnsi="Times New Roman"/>
          <w:lang w:val="en-US"/>
        </w:rPr>
        <w:t xml:space="preserve"> from ancient society to present. The historical trajectory of </w:t>
      </w:r>
      <w:proofErr w:type="spellStart"/>
      <w:r w:rsidR="004E0EAF">
        <w:rPr>
          <w:rFonts w:ascii="Times New Roman" w:eastAsia="Calibri" w:hAnsi="Times New Roman"/>
          <w:lang w:val="en-US"/>
        </w:rPr>
        <w:t>Theyyam</w:t>
      </w:r>
      <w:proofErr w:type="spellEnd"/>
      <w:r w:rsidR="004E0EAF">
        <w:rPr>
          <w:rFonts w:ascii="Times New Roman" w:eastAsia="Calibri" w:hAnsi="Times New Roman"/>
          <w:lang w:val="en-US"/>
        </w:rPr>
        <w:t xml:space="preserve"> is inadequate to show the processes that time has taken to bring it to its recent form.</w:t>
      </w:r>
    </w:p>
    <w:p w14:paraId="68D8E3F8" w14:textId="645C9608" w:rsidR="004E0EAF" w:rsidRDefault="004E0EAF">
      <w:pPr>
        <w:pStyle w:val="CommentText"/>
      </w:pPr>
      <w:r>
        <w:t>Author(s) should look into this to the digestion of non-geographical readers.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EF5AB7" w15:done="0"/>
  <w15:commentEx w15:paraId="08B31773" w15:done="0"/>
  <w15:commentEx w15:paraId="3712B062" w15:done="0"/>
  <w15:commentEx w15:paraId="5E257568" w15:done="0"/>
  <w15:commentEx w15:paraId="68D8E3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08DECB2" w16cex:dateUtc="2025-06-16T14:35:00Z"/>
  <w16cex:commentExtensible w16cex:durableId="50F72740" w16cex:dateUtc="2025-06-16T14:31:00Z"/>
  <w16cex:commentExtensible w16cex:durableId="49EA70B0" w16cex:dateUtc="2025-06-16T14:44:00Z"/>
  <w16cex:commentExtensible w16cex:durableId="6381805D" w16cex:dateUtc="2025-06-16T14:51:00Z"/>
  <w16cex:commentExtensible w16cex:durableId="59EC0405" w16cex:dateUtc="2025-06-16T14: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EF5AB7" w16cid:durableId="508DECB2"/>
  <w16cid:commentId w16cid:paraId="08B31773" w16cid:durableId="50F72740"/>
  <w16cid:commentId w16cid:paraId="3712B062" w16cid:durableId="49EA70B0"/>
  <w16cid:commentId w16cid:paraId="5E257568" w16cid:durableId="6381805D"/>
  <w16cid:commentId w16cid:paraId="68D8E3F8" w16cid:durableId="59EC04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2D1EC" w14:textId="77777777" w:rsidR="00C408AE" w:rsidRDefault="00C408AE" w:rsidP="00047C62">
      <w:pPr>
        <w:spacing w:before="0" w:after="0" w:line="240" w:lineRule="auto"/>
      </w:pPr>
      <w:r>
        <w:separator/>
      </w:r>
    </w:p>
  </w:endnote>
  <w:endnote w:type="continuationSeparator" w:id="0">
    <w:p w14:paraId="325A90C5" w14:textId="77777777" w:rsidR="00C408AE" w:rsidRDefault="00C408AE" w:rsidP="00047C6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F3895" w14:textId="77777777" w:rsidR="00047C62" w:rsidRDefault="00047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F297" w14:textId="77777777" w:rsidR="00047C62" w:rsidRDefault="00047C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258CF" w14:textId="77777777" w:rsidR="00047C62" w:rsidRDefault="00047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88E52" w14:textId="77777777" w:rsidR="00C408AE" w:rsidRDefault="00C408AE" w:rsidP="00047C62">
      <w:pPr>
        <w:spacing w:before="0" w:after="0" w:line="240" w:lineRule="auto"/>
      </w:pPr>
      <w:r>
        <w:separator/>
      </w:r>
    </w:p>
  </w:footnote>
  <w:footnote w:type="continuationSeparator" w:id="0">
    <w:p w14:paraId="416C4853" w14:textId="77777777" w:rsidR="00C408AE" w:rsidRDefault="00C408AE" w:rsidP="00047C6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B147" w14:textId="38793275" w:rsidR="00047C62" w:rsidRDefault="00000000">
    <w:pPr>
      <w:pStyle w:val="Header"/>
    </w:pPr>
    <w:r>
      <w:rPr>
        <w:noProof/>
      </w:rPr>
      <w:pict w14:anchorId="56488D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8145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C2891" w14:textId="74AD7278" w:rsidR="00047C62" w:rsidRDefault="00000000">
    <w:pPr>
      <w:pStyle w:val="Header"/>
    </w:pPr>
    <w:r>
      <w:rPr>
        <w:noProof/>
      </w:rPr>
      <w:pict w14:anchorId="3860C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8145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98052" w14:textId="20C92CC4" w:rsidR="00047C62" w:rsidRDefault="00000000">
    <w:pPr>
      <w:pStyle w:val="Header"/>
    </w:pPr>
    <w:r>
      <w:rPr>
        <w:noProof/>
      </w:rPr>
      <w:pict w14:anchorId="6BEDE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08145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F0BF9"/>
    <w:multiLevelType w:val="hybridMultilevel"/>
    <w:tmpl w:val="F4D0501A"/>
    <w:lvl w:ilvl="0" w:tplc="5746AC2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0E69B9"/>
    <w:multiLevelType w:val="multilevel"/>
    <w:tmpl w:val="A96C08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57440697">
    <w:abstractNumId w:val="0"/>
  </w:num>
  <w:num w:numId="2" w16cid:durableId="40823485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ijah Yusuf">
    <w15:presenceInfo w15:providerId="Windows Live" w15:userId="c021334464f324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49C"/>
    <w:rsid w:val="00044BCA"/>
    <w:rsid w:val="00047C62"/>
    <w:rsid w:val="00052554"/>
    <w:rsid w:val="00074E4D"/>
    <w:rsid w:val="001A7C7E"/>
    <w:rsid w:val="001B2BE2"/>
    <w:rsid w:val="001B33C1"/>
    <w:rsid w:val="001C66E3"/>
    <w:rsid w:val="00234D1D"/>
    <w:rsid w:val="00287047"/>
    <w:rsid w:val="002B305F"/>
    <w:rsid w:val="002B35DB"/>
    <w:rsid w:val="00315EFF"/>
    <w:rsid w:val="003516C5"/>
    <w:rsid w:val="003922C1"/>
    <w:rsid w:val="003A03BE"/>
    <w:rsid w:val="003B398A"/>
    <w:rsid w:val="004D082C"/>
    <w:rsid w:val="004D7DDC"/>
    <w:rsid w:val="004E0EAF"/>
    <w:rsid w:val="00500669"/>
    <w:rsid w:val="005B1458"/>
    <w:rsid w:val="005C244B"/>
    <w:rsid w:val="005D1BAC"/>
    <w:rsid w:val="0062364A"/>
    <w:rsid w:val="006A3AE9"/>
    <w:rsid w:val="006D11A2"/>
    <w:rsid w:val="006D7C14"/>
    <w:rsid w:val="006E5EA9"/>
    <w:rsid w:val="00734653"/>
    <w:rsid w:val="00790540"/>
    <w:rsid w:val="007D2D5C"/>
    <w:rsid w:val="00837DDD"/>
    <w:rsid w:val="0087449C"/>
    <w:rsid w:val="00886453"/>
    <w:rsid w:val="00982119"/>
    <w:rsid w:val="00984E6A"/>
    <w:rsid w:val="009B4C82"/>
    <w:rsid w:val="009B7D43"/>
    <w:rsid w:val="009E0134"/>
    <w:rsid w:val="009F3EC7"/>
    <w:rsid w:val="00A23067"/>
    <w:rsid w:val="00A57A56"/>
    <w:rsid w:val="00A82D1E"/>
    <w:rsid w:val="00AE4470"/>
    <w:rsid w:val="00B03299"/>
    <w:rsid w:val="00B57DDC"/>
    <w:rsid w:val="00B836E1"/>
    <w:rsid w:val="00B91307"/>
    <w:rsid w:val="00BE7BBA"/>
    <w:rsid w:val="00C408AE"/>
    <w:rsid w:val="00C51249"/>
    <w:rsid w:val="00C52189"/>
    <w:rsid w:val="00D36120"/>
    <w:rsid w:val="00D77716"/>
    <w:rsid w:val="00E041A7"/>
    <w:rsid w:val="00E06C99"/>
    <w:rsid w:val="00E4477A"/>
    <w:rsid w:val="00E65EBB"/>
    <w:rsid w:val="00E84339"/>
    <w:rsid w:val="00EB2F9B"/>
    <w:rsid w:val="00FC5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A9BC6D"/>
  <w15:chartTrackingRefBased/>
  <w15:docId w15:val="{8E7F3D9A-DFDD-4C5C-9103-6A87C6BD4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49C"/>
    <w:pPr>
      <w:spacing w:before="100" w:beforeAutospacing="1" w:line="276" w:lineRule="auto"/>
    </w:pPr>
    <w:rPr>
      <w:rFonts w:ascii="Calibri" w:eastAsia="Times New Roman" w:hAnsi="Calibri" w:cs="Times New Roman"/>
      <w:lang w:val="en-IN" w:eastAsia="en-IN"/>
      <w14:ligatures w14:val="none"/>
    </w:rPr>
  </w:style>
  <w:style w:type="paragraph" w:styleId="Heading1">
    <w:name w:val="heading 1"/>
    <w:basedOn w:val="Normal"/>
    <w:next w:val="Normal"/>
    <w:link w:val="Heading1Char"/>
    <w:uiPriority w:val="9"/>
    <w:qFormat/>
    <w:rsid w:val="008744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449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449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449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449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44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4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4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4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4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44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449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449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449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44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4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4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49C"/>
    <w:rPr>
      <w:rFonts w:eastAsiaTheme="majorEastAsia" w:cstheme="majorBidi"/>
      <w:color w:val="272727" w:themeColor="text1" w:themeTint="D8"/>
    </w:rPr>
  </w:style>
  <w:style w:type="paragraph" w:styleId="Title">
    <w:name w:val="Title"/>
    <w:basedOn w:val="Normal"/>
    <w:next w:val="Normal"/>
    <w:link w:val="TitleChar"/>
    <w:uiPriority w:val="10"/>
    <w:qFormat/>
    <w:rsid w:val="008744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4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4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4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49C"/>
    <w:pPr>
      <w:spacing w:before="160"/>
      <w:jc w:val="center"/>
    </w:pPr>
    <w:rPr>
      <w:i/>
      <w:iCs/>
      <w:color w:val="404040" w:themeColor="text1" w:themeTint="BF"/>
    </w:rPr>
  </w:style>
  <w:style w:type="character" w:customStyle="1" w:styleId="QuoteChar">
    <w:name w:val="Quote Char"/>
    <w:basedOn w:val="DefaultParagraphFont"/>
    <w:link w:val="Quote"/>
    <w:uiPriority w:val="29"/>
    <w:rsid w:val="0087449C"/>
    <w:rPr>
      <w:i/>
      <w:iCs/>
      <w:color w:val="404040" w:themeColor="text1" w:themeTint="BF"/>
    </w:rPr>
  </w:style>
  <w:style w:type="paragraph" w:styleId="ListParagraph">
    <w:name w:val="List Paragraph"/>
    <w:basedOn w:val="Normal"/>
    <w:uiPriority w:val="99"/>
    <w:qFormat/>
    <w:rsid w:val="0087449C"/>
    <w:pPr>
      <w:ind w:left="720"/>
      <w:contextualSpacing/>
    </w:pPr>
  </w:style>
  <w:style w:type="character" w:styleId="IntenseEmphasis">
    <w:name w:val="Intense Emphasis"/>
    <w:basedOn w:val="DefaultParagraphFont"/>
    <w:uiPriority w:val="21"/>
    <w:qFormat/>
    <w:rsid w:val="0087449C"/>
    <w:rPr>
      <w:i/>
      <w:iCs/>
      <w:color w:val="2F5496" w:themeColor="accent1" w:themeShade="BF"/>
    </w:rPr>
  </w:style>
  <w:style w:type="paragraph" w:styleId="IntenseQuote">
    <w:name w:val="Intense Quote"/>
    <w:basedOn w:val="Normal"/>
    <w:next w:val="Normal"/>
    <w:link w:val="IntenseQuoteChar"/>
    <w:uiPriority w:val="30"/>
    <w:qFormat/>
    <w:rsid w:val="008744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449C"/>
    <w:rPr>
      <w:i/>
      <w:iCs/>
      <w:color w:val="2F5496" w:themeColor="accent1" w:themeShade="BF"/>
    </w:rPr>
  </w:style>
  <w:style w:type="character" w:styleId="IntenseReference">
    <w:name w:val="Intense Reference"/>
    <w:basedOn w:val="DefaultParagraphFont"/>
    <w:uiPriority w:val="32"/>
    <w:qFormat/>
    <w:rsid w:val="0087449C"/>
    <w:rPr>
      <w:b/>
      <w:bCs/>
      <w:smallCaps/>
      <w:color w:val="2F5496" w:themeColor="accent1" w:themeShade="BF"/>
      <w:spacing w:val="5"/>
    </w:rPr>
  </w:style>
  <w:style w:type="character" w:customStyle="1" w:styleId="15">
    <w:name w:val="15"/>
    <w:basedOn w:val="DefaultParagraphFont"/>
    <w:rsid w:val="0087449C"/>
    <w:rPr>
      <w:rFonts w:ascii="Calibri" w:hAnsi="Calibri" w:cs="Calibri" w:hint="default"/>
      <w:color w:val="0563C1"/>
      <w:u w:val="single"/>
    </w:rPr>
  </w:style>
  <w:style w:type="character" w:styleId="Hyperlink">
    <w:name w:val="Hyperlink"/>
    <w:basedOn w:val="DefaultParagraphFont"/>
    <w:uiPriority w:val="99"/>
    <w:unhideWhenUsed/>
    <w:rsid w:val="0087449C"/>
    <w:rPr>
      <w:color w:val="0563C1" w:themeColor="hyperlink"/>
      <w:u w:val="single"/>
    </w:rPr>
  </w:style>
  <w:style w:type="character" w:styleId="UnresolvedMention">
    <w:name w:val="Unresolved Mention"/>
    <w:basedOn w:val="DefaultParagraphFont"/>
    <w:uiPriority w:val="99"/>
    <w:semiHidden/>
    <w:unhideWhenUsed/>
    <w:rsid w:val="003B398A"/>
    <w:rPr>
      <w:color w:val="605E5C"/>
      <w:shd w:val="clear" w:color="auto" w:fill="E1DFDD"/>
    </w:rPr>
  </w:style>
  <w:style w:type="paragraph" w:styleId="Header">
    <w:name w:val="header"/>
    <w:basedOn w:val="Normal"/>
    <w:link w:val="HeaderChar"/>
    <w:uiPriority w:val="99"/>
    <w:unhideWhenUsed/>
    <w:rsid w:val="00047C6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47C62"/>
    <w:rPr>
      <w:rFonts w:ascii="Calibri" w:eastAsia="Times New Roman" w:hAnsi="Calibri" w:cs="Times New Roman"/>
      <w:lang w:val="en-IN" w:eastAsia="en-IN"/>
      <w14:ligatures w14:val="none"/>
    </w:rPr>
  </w:style>
  <w:style w:type="paragraph" w:styleId="Footer">
    <w:name w:val="footer"/>
    <w:basedOn w:val="Normal"/>
    <w:link w:val="FooterChar"/>
    <w:uiPriority w:val="99"/>
    <w:unhideWhenUsed/>
    <w:rsid w:val="00047C6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47C62"/>
    <w:rPr>
      <w:rFonts w:ascii="Calibri" w:eastAsia="Times New Roman" w:hAnsi="Calibri" w:cs="Times New Roman"/>
      <w:lang w:val="en-IN" w:eastAsia="en-IN"/>
      <w14:ligatures w14:val="none"/>
    </w:rPr>
  </w:style>
  <w:style w:type="character" w:styleId="CommentReference">
    <w:name w:val="annotation reference"/>
    <w:basedOn w:val="DefaultParagraphFont"/>
    <w:uiPriority w:val="99"/>
    <w:semiHidden/>
    <w:unhideWhenUsed/>
    <w:rsid w:val="00C52189"/>
    <w:rPr>
      <w:sz w:val="16"/>
      <w:szCs w:val="16"/>
    </w:rPr>
  </w:style>
  <w:style w:type="paragraph" w:styleId="CommentText">
    <w:name w:val="annotation text"/>
    <w:basedOn w:val="Normal"/>
    <w:link w:val="CommentTextChar"/>
    <w:uiPriority w:val="99"/>
    <w:semiHidden/>
    <w:unhideWhenUsed/>
    <w:rsid w:val="00C52189"/>
    <w:pPr>
      <w:spacing w:line="240" w:lineRule="auto"/>
    </w:pPr>
    <w:rPr>
      <w:sz w:val="20"/>
      <w:szCs w:val="20"/>
    </w:rPr>
  </w:style>
  <w:style w:type="character" w:customStyle="1" w:styleId="CommentTextChar">
    <w:name w:val="Comment Text Char"/>
    <w:basedOn w:val="DefaultParagraphFont"/>
    <w:link w:val="CommentText"/>
    <w:uiPriority w:val="99"/>
    <w:semiHidden/>
    <w:rsid w:val="00C52189"/>
    <w:rPr>
      <w:rFonts w:ascii="Calibri" w:eastAsia="Times New Roman" w:hAnsi="Calibri" w:cs="Times New Roman"/>
      <w:sz w:val="20"/>
      <w:szCs w:val="20"/>
      <w:lang w:val="en-IN" w:eastAsia="en-IN"/>
      <w14:ligatures w14:val="none"/>
    </w:rPr>
  </w:style>
  <w:style w:type="paragraph" w:styleId="CommentSubject">
    <w:name w:val="annotation subject"/>
    <w:basedOn w:val="CommentText"/>
    <w:next w:val="CommentText"/>
    <w:link w:val="CommentSubjectChar"/>
    <w:uiPriority w:val="99"/>
    <w:semiHidden/>
    <w:unhideWhenUsed/>
    <w:rsid w:val="00C52189"/>
    <w:rPr>
      <w:b/>
      <w:bCs/>
    </w:rPr>
  </w:style>
  <w:style w:type="character" w:customStyle="1" w:styleId="CommentSubjectChar">
    <w:name w:val="Comment Subject Char"/>
    <w:basedOn w:val="CommentTextChar"/>
    <w:link w:val="CommentSubject"/>
    <w:uiPriority w:val="99"/>
    <w:semiHidden/>
    <w:rsid w:val="00C52189"/>
    <w:rPr>
      <w:rFonts w:ascii="Calibri" w:eastAsia="Times New Roman" w:hAnsi="Calibri" w:cs="Times New Roman"/>
      <w:b/>
      <w:bCs/>
      <w:sz w:val="20"/>
      <w:szCs w:val="20"/>
      <w:lang w:val="en-IN"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15079">
      <w:bodyDiv w:val="1"/>
      <w:marLeft w:val="0"/>
      <w:marRight w:val="0"/>
      <w:marTop w:val="0"/>
      <w:marBottom w:val="0"/>
      <w:divBdr>
        <w:top w:val="none" w:sz="0" w:space="0" w:color="auto"/>
        <w:left w:val="none" w:sz="0" w:space="0" w:color="auto"/>
        <w:bottom w:val="none" w:sz="0" w:space="0" w:color="auto"/>
        <w:right w:val="none" w:sz="0" w:space="0" w:color="auto"/>
      </w:divBdr>
    </w:div>
    <w:div w:id="551118319">
      <w:bodyDiv w:val="1"/>
      <w:marLeft w:val="0"/>
      <w:marRight w:val="0"/>
      <w:marTop w:val="0"/>
      <w:marBottom w:val="0"/>
      <w:divBdr>
        <w:top w:val="none" w:sz="0" w:space="0" w:color="auto"/>
        <w:left w:val="none" w:sz="0" w:space="0" w:color="auto"/>
        <w:bottom w:val="none" w:sz="0" w:space="0" w:color="auto"/>
        <w:right w:val="none" w:sz="0" w:space="0" w:color="auto"/>
      </w:divBdr>
    </w:div>
    <w:div w:id="909269288">
      <w:bodyDiv w:val="1"/>
      <w:marLeft w:val="0"/>
      <w:marRight w:val="0"/>
      <w:marTop w:val="0"/>
      <w:marBottom w:val="0"/>
      <w:divBdr>
        <w:top w:val="none" w:sz="0" w:space="0" w:color="auto"/>
        <w:left w:val="none" w:sz="0" w:space="0" w:color="auto"/>
        <w:bottom w:val="none" w:sz="0" w:space="0" w:color="auto"/>
        <w:right w:val="none" w:sz="0" w:space="0" w:color="auto"/>
      </w:divBdr>
    </w:div>
    <w:div w:id="961377211">
      <w:bodyDiv w:val="1"/>
      <w:marLeft w:val="0"/>
      <w:marRight w:val="0"/>
      <w:marTop w:val="0"/>
      <w:marBottom w:val="0"/>
      <w:divBdr>
        <w:top w:val="none" w:sz="0" w:space="0" w:color="auto"/>
        <w:left w:val="none" w:sz="0" w:space="0" w:color="auto"/>
        <w:bottom w:val="none" w:sz="0" w:space="0" w:color="auto"/>
        <w:right w:val="none" w:sz="0" w:space="0" w:color="auto"/>
      </w:divBdr>
      <w:divsChild>
        <w:div w:id="10956319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957889">
      <w:bodyDiv w:val="1"/>
      <w:marLeft w:val="0"/>
      <w:marRight w:val="0"/>
      <w:marTop w:val="0"/>
      <w:marBottom w:val="0"/>
      <w:divBdr>
        <w:top w:val="none" w:sz="0" w:space="0" w:color="auto"/>
        <w:left w:val="none" w:sz="0" w:space="0" w:color="auto"/>
        <w:bottom w:val="none" w:sz="0" w:space="0" w:color="auto"/>
        <w:right w:val="none" w:sz="0" w:space="0" w:color="auto"/>
      </w:divBdr>
      <w:divsChild>
        <w:div w:id="1467360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6990727">
      <w:bodyDiv w:val="1"/>
      <w:marLeft w:val="0"/>
      <w:marRight w:val="0"/>
      <w:marTop w:val="0"/>
      <w:marBottom w:val="0"/>
      <w:divBdr>
        <w:top w:val="none" w:sz="0" w:space="0" w:color="auto"/>
        <w:left w:val="none" w:sz="0" w:space="0" w:color="auto"/>
        <w:bottom w:val="none" w:sz="0" w:space="0" w:color="auto"/>
        <w:right w:val="none" w:sz="0" w:space="0" w:color="auto"/>
      </w:divBdr>
    </w:div>
    <w:div w:id="1345014126">
      <w:bodyDiv w:val="1"/>
      <w:marLeft w:val="0"/>
      <w:marRight w:val="0"/>
      <w:marTop w:val="0"/>
      <w:marBottom w:val="0"/>
      <w:divBdr>
        <w:top w:val="none" w:sz="0" w:space="0" w:color="auto"/>
        <w:left w:val="none" w:sz="0" w:space="0" w:color="auto"/>
        <w:bottom w:val="none" w:sz="0" w:space="0" w:color="auto"/>
        <w:right w:val="none" w:sz="0" w:space="0" w:color="auto"/>
      </w:divBdr>
    </w:div>
    <w:div w:id="1587764176">
      <w:bodyDiv w:val="1"/>
      <w:marLeft w:val="0"/>
      <w:marRight w:val="0"/>
      <w:marTop w:val="0"/>
      <w:marBottom w:val="0"/>
      <w:divBdr>
        <w:top w:val="none" w:sz="0" w:space="0" w:color="auto"/>
        <w:left w:val="none" w:sz="0" w:space="0" w:color="auto"/>
        <w:bottom w:val="none" w:sz="0" w:space="0" w:color="auto"/>
        <w:right w:val="none" w:sz="0" w:space="0" w:color="auto"/>
      </w:divBdr>
    </w:div>
    <w:div w:id="1719893716">
      <w:bodyDiv w:val="1"/>
      <w:marLeft w:val="0"/>
      <w:marRight w:val="0"/>
      <w:marTop w:val="0"/>
      <w:marBottom w:val="0"/>
      <w:divBdr>
        <w:top w:val="none" w:sz="0" w:space="0" w:color="auto"/>
        <w:left w:val="none" w:sz="0" w:space="0" w:color="auto"/>
        <w:bottom w:val="none" w:sz="0" w:space="0" w:color="auto"/>
        <w:right w:val="none" w:sz="0" w:space="0" w:color="auto"/>
      </w:divBdr>
    </w:div>
    <w:div w:id="179027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hyperlink" Target="https://doi.org/10.1146/annurev.an.23.100194.002203"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chat.openai.com/" TargetMode="Externa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yperlink" Target="https://doi.org/10.1080/23311983.2024.2438488"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doi.org/10.3390/ijerph1809444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yperlink" Target="https://doi.org/10.1525/eth.2004.32.4.557" TargetMode="External"/><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yperlink" Target="https://doi.org/10.7759/cureus.45171" TargetMode="External"/><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25</Pages>
  <Words>6982</Words>
  <Characters>42735</Characters>
  <Application>Microsoft Office Word</Application>
  <DocSecurity>0</DocSecurity>
  <Lines>749</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Deepika Nambiar</dc:creator>
  <cp:keywords/>
  <dc:description/>
  <cp:lastModifiedBy>Elijah Yusuf</cp:lastModifiedBy>
  <cp:revision>23</cp:revision>
  <dcterms:created xsi:type="dcterms:W3CDTF">2025-04-22T15:16:00Z</dcterms:created>
  <dcterms:modified xsi:type="dcterms:W3CDTF">2025-06-16T15:09:00Z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d4be0cea-6cf2-4295-92c1-182bf27098ce</vt:lpwstr>
  </property>
</Properties>
</file>