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D0C8B" w14:textId="77777777" w:rsidR="008C3E4A" w:rsidRPr="008C3E4A" w:rsidRDefault="008C3E4A" w:rsidP="008C3E4A">
      <w:pPr>
        <w:jc w:val="center"/>
        <w:rPr>
          <w:rFonts w:asciiTheme="minorBidi" w:hAnsiTheme="minorBidi" w:cstheme="minorBidi"/>
          <w:b/>
          <w:bCs/>
          <w:sz w:val="28"/>
          <w:szCs w:val="28"/>
        </w:rPr>
      </w:pPr>
      <w:r w:rsidRPr="008C3E4A">
        <w:rPr>
          <w:rFonts w:asciiTheme="minorBidi" w:hAnsiTheme="minorBidi" w:cstheme="minorBidi"/>
          <w:b/>
          <w:bCs/>
          <w:sz w:val="28"/>
          <w:szCs w:val="28"/>
        </w:rPr>
        <w:t>NUTRITIONAL, ANTIDIABETIC, and ANTILIPIDEMIC STUDIES of ETHANOLIC EXTRACT of P. TUBER-REGIUM in HIGH-FAT-STREPTOZOTOCIN-INDUCED DIABETIC MALE WISTAR ALBINO RATS.</w:t>
      </w:r>
    </w:p>
    <w:p w14:paraId="154DF358" w14:textId="77777777" w:rsidR="00754C9A" w:rsidRPr="008C3E4A" w:rsidRDefault="00754C9A" w:rsidP="00441B6F">
      <w:pPr>
        <w:pStyle w:val="Title"/>
        <w:spacing w:after="0"/>
        <w:jc w:val="both"/>
        <w:rPr>
          <w:rFonts w:asciiTheme="minorBidi" w:hAnsiTheme="minorBidi" w:cstheme="minorBidi"/>
          <w:sz w:val="28"/>
          <w:szCs w:val="28"/>
        </w:rPr>
      </w:pPr>
    </w:p>
    <w:p w14:paraId="6269FFB3" w14:textId="77777777" w:rsidR="00A258C3" w:rsidRPr="00790ADA" w:rsidRDefault="00A258C3" w:rsidP="00441B6F">
      <w:pPr>
        <w:pStyle w:val="Author"/>
        <w:spacing w:line="240" w:lineRule="auto"/>
        <w:jc w:val="both"/>
        <w:rPr>
          <w:rFonts w:ascii="Arial" w:hAnsi="Arial" w:cs="Arial"/>
          <w:sz w:val="36"/>
        </w:rPr>
      </w:pPr>
    </w:p>
    <w:p w14:paraId="622DF6E0" w14:textId="32B12988" w:rsidR="00B01FCD" w:rsidRPr="00FB3A86" w:rsidRDefault="00631CF1" w:rsidP="00441B6F">
      <w:pPr>
        <w:pStyle w:val="Copyright"/>
        <w:spacing w:after="0" w:line="240" w:lineRule="auto"/>
        <w:jc w:val="both"/>
        <w:rPr>
          <w:rFonts w:ascii="Arial" w:hAnsi="Arial" w:cs="Arial"/>
        </w:rPr>
        <w:sectPr w:rsidR="00B01FCD" w:rsidRPr="00FB3A86" w:rsidSect="00F75E6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77BC11B" wp14:editId="1AAE7AFE">
                <wp:extent cx="5303520" cy="635"/>
                <wp:effectExtent l="17145" t="15875" r="13335" b="12700"/>
                <wp:docPr id="13858249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972F74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864DA4D" w14:textId="3D4CD84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017772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02289DF" w14:textId="77777777" w:rsidTr="001E44FE">
        <w:tc>
          <w:tcPr>
            <w:tcW w:w="9576" w:type="dxa"/>
            <w:shd w:val="clear" w:color="auto" w:fill="F2F2F2"/>
          </w:tcPr>
          <w:p w14:paraId="72DAD967" w14:textId="7EA1D146" w:rsidR="0089420D" w:rsidRPr="0089420D" w:rsidRDefault="0089420D" w:rsidP="0089420D">
            <w:pPr>
              <w:pStyle w:val="Body"/>
              <w:rPr>
                <w:rFonts w:ascii="Arial" w:eastAsia="Calibri" w:hAnsi="Arial" w:cs="Arial"/>
                <w:szCs w:val="22"/>
              </w:rPr>
            </w:pPr>
            <w:r w:rsidRPr="0089420D">
              <w:rPr>
                <w:rFonts w:ascii="Arial" w:eastAsia="Calibri" w:hAnsi="Arial" w:cs="Arial"/>
                <w:i/>
                <w:iCs/>
                <w:szCs w:val="22"/>
              </w:rPr>
              <w:t>Pleurotus tuber-regium</w:t>
            </w:r>
            <w:r w:rsidRPr="0089420D">
              <w:rPr>
                <w:rFonts w:ascii="Arial" w:eastAsia="Calibri" w:hAnsi="Arial" w:cs="Arial"/>
                <w:szCs w:val="22"/>
              </w:rPr>
              <w:t xml:space="preserve">, a nutritionally dense and bioactive-rich edible mushroom prevalent in West Africa, is gaining attention for its potential role in functional foods and complementary strategies for managing metabolic diseases. This study investigated the nutritional composition and </w:t>
            </w:r>
            <w:commentRangeStart w:id="0"/>
            <w:r w:rsidRPr="0089420D">
              <w:rPr>
                <w:rFonts w:ascii="Arial" w:eastAsia="Calibri" w:hAnsi="Arial" w:cs="Arial"/>
                <w:szCs w:val="22"/>
              </w:rPr>
              <w:t>therapeutic</w:t>
            </w:r>
            <w:commentRangeEnd w:id="0"/>
            <w:r w:rsidR="003751B9">
              <w:rPr>
                <w:rStyle w:val="CommentReference"/>
                <w:rFonts w:ascii="Times New Roman" w:hAnsi="Times New Roman"/>
                <w:lang w:val="nb-NO" w:eastAsia="nb-NO"/>
              </w:rPr>
              <w:commentReference w:id="0"/>
            </w:r>
            <w:r w:rsidRPr="0089420D">
              <w:rPr>
                <w:rFonts w:ascii="Arial" w:eastAsia="Calibri" w:hAnsi="Arial" w:cs="Arial"/>
                <w:szCs w:val="22"/>
              </w:rPr>
              <w:t xml:space="preserve"> potential of </w:t>
            </w:r>
            <w:r w:rsidRPr="0089420D">
              <w:rPr>
                <w:rFonts w:ascii="Arial" w:eastAsia="Calibri" w:hAnsi="Arial" w:cs="Arial"/>
                <w:i/>
                <w:iCs/>
                <w:szCs w:val="22"/>
              </w:rPr>
              <w:t>P. tuber-regium</w:t>
            </w:r>
            <w:r w:rsidRPr="0089420D">
              <w:rPr>
                <w:rFonts w:ascii="Arial" w:eastAsia="Calibri" w:hAnsi="Arial" w:cs="Arial"/>
                <w:szCs w:val="22"/>
              </w:rPr>
              <w:t xml:space="preserve"> in high-fat diet and streptozotocin (STZ)-induced diabetic male Wistar albino rats. </w:t>
            </w:r>
            <w:commentRangeStart w:id="1"/>
            <w:r w:rsidRPr="0089420D">
              <w:rPr>
                <w:rFonts w:ascii="Arial" w:eastAsia="Calibri" w:hAnsi="Arial" w:cs="Arial"/>
                <w:szCs w:val="22"/>
              </w:rPr>
              <w:t>Proximate</w:t>
            </w:r>
            <w:commentRangeEnd w:id="1"/>
            <w:r w:rsidR="003751B9">
              <w:rPr>
                <w:rStyle w:val="CommentReference"/>
                <w:rFonts w:ascii="Times New Roman" w:hAnsi="Times New Roman"/>
                <w:lang w:val="nb-NO" w:eastAsia="nb-NO"/>
              </w:rPr>
              <w:commentReference w:id="1"/>
            </w:r>
            <w:r w:rsidRPr="0089420D">
              <w:rPr>
                <w:rFonts w:ascii="Arial" w:eastAsia="Calibri" w:hAnsi="Arial" w:cs="Arial"/>
                <w:szCs w:val="22"/>
              </w:rPr>
              <w:t xml:space="preserve"> analysis revealed the mushroom to be rich in carbohydrates (68.04%), crude protein (19.92%), and dietary fibre (5.44%), with low fat content (0.97%) and minimal moisture (2.20%), highlighting its suitability for hypocaloric diets. High-performance liquid chromatography (HPLC) analysis showed the presence of essential B-complex vitamins—thiamine (0.006 mg/g), riboflavin (0.003 mg/g), niacin (0.001 mg/g)—and vitamin C (0.008 mg/g), </w:t>
            </w:r>
            <w:commentRangeStart w:id="2"/>
            <w:r w:rsidRPr="0089420D">
              <w:rPr>
                <w:rFonts w:ascii="Arial" w:eastAsia="Calibri" w:hAnsi="Arial" w:cs="Arial"/>
                <w:szCs w:val="22"/>
              </w:rPr>
              <w:t xml:space="preserve">suggesting antioxidant </w:t>
            </w:r>
            <w:commentRangeEnd w:id="2"/>
            <w:r w:rsidR="003751B9">
              <w:rPr>
                <w:rStyle w:val="CommentReference"/>
                <w:rFonts w:ascii="Times New Roman" w:hAnsi="Times New Roman"/>
                <w:lang w:val="nb-NO" w:eastAsia="nb-NO"/>
              </w:rPr>
              <w:commentReference w:id="2"/>
            </w:r>
            <w:r w:rsidRPr="0089420D">
              <w:rPr>
                <w:rFonts w:ascii="Arial" w:eastAsia="Calibri" w:hAnsi="Arial" w:cs="Arial"/>
                <w:szCs w:val="22"/>
              </w:rPr>
              <w:t>and metabolic support roles. Mineral profiling via inductively coupled plasma-optical emission spectroscopy (ICP-OES) further confirmed the presence of micronutrients essential for enzymatic functions and metabolic homeostasis.</w:t>
            </w:r>
          </w:p>
          <w:p w14:paraId="50D3455E" w14:textId="77777777" w:rsidR="0089420D" w:rsidRPr="0089420D" w:rsidRDefault="0089420D" w:rsidP="0089420D">
            <w:pPr>
              <w:pStyle w:val="Body"/>
              <w:spacing w:after="0"/>
              <w:rPr>
                <w:rFonts w:ascii="Arial" w:eastAsia="Calibri" w:hAnsi="Arial" w:cs="Arial"/>
                <w:szCs w:val="22"/>
              </w:rPr>
            </w:pPr>
            <w:r w:rsidRPr="0089420D">
              <w:rPr>
                <w:rFonts w:ascii="Arial" w:eastAsia="Calibri" w:hAnsi="Arial" w:cs="Arial"/>
                <w:szCs w:val="22"/>
              </w:rPr>
              <w:t xml:space="preserve">Following a 9-week oral administration of </w:t>
            </w:r>
            <w:r w:rsidRPr="0089420D">
              <w:rPr>
                <w:rFonts w:ascii="Arial" w:eastAsia="Calibri" w:hAnsi="Arial" w:cs="Arial"/>
                <w:i/>
                <w:iCs/>
                <w:szCs w:val="22"/>
              </w:rPr>
              <w:t>P. tuber-regium</w:t>
            </w:r>
            <w:r w:rsidRPr="0089420D">
              <w:rPr>
                <w:rFonts w:ascii="Arial" w:eastAsia="Calibri" w:hAnsi="Arial" w:cs="Arial"/>
                <w:szCs w:val="22"/>
              </w:rPr>
              <w:t xml:space="preserve"> ethanol extract at graded doses and metformin (200, 400, 800, 80 mg/kg respectively), diabetic rats demonstrated significant (p &lt; 0.05) improvements in fasting blood glucose, lipid profile (triglycerides, total cholesterol, High Density Lipoprotein, Low Density Lippprotein), and pancreatic amylase activity. The Histomorphology assessments of pancreatic tissues also revealed restoration of islet architecture in extract-treated groups. Acute oral toxicity testing indicated no mortality or observable toxicological symptoms up to 6000 mg/kg, confirming the safety of</w:t>
            </w:r>
            <w:r w:rsidRPr="0089420D">
              <w:rPr>
                <w:rFonts w:ascii="Arial" w:eastAsia="Calibri" w:hAnsi="Arial" w:cs="Arial"/>
                <w:i/>
                <w:iCs/>
                <w:szCs w:val="22"/>
              </w:rPr>
              <w:t xml:space="preserve"> P. tuber-regium </w:t>
            </w:r>
            <w:r w:rsidRPr="0089420D">
              <w:rPr>
                <w:rFonts w:ascii="Arial" w:eastAsia="Calibri" w:hAnsi="Arial" w:cs="Arial"/>
                <w:szCs w:val="22"/>
              </w:rPr>
              <w:t>extract.</w:t>
            </w:r>
          </w:p>
          <w:p w14:paraId="6349FAA8" w14:textId="77777777" w:rsidR="00961B44" w:rsidRDefault="0089420D" w:rsidP="00961B44">
            <w:pPr>
              <w:pStyle w:val="Body"/>
              <w:rPr>
                <w:rFonts w:asciiTheme="minorHAnsi" w:eastAsiaTheme="minorHAnsi" w:hAnsiTheme="minorHAnsi" w:cstheme="minorHAnsi"/>
                <w:b/>
                <w:bCs/>
                <w:kern w:val="2"/>
                <w:sz w:val="22"/>
                <w:szCs w:val="22"/>
                <w14:ligatures w14:val="standardContextual"/>
              </w:rPr>
            </w:pPr>
            <w:r w:rsidRPr="0089420D">
              <w:rPr>
                <w:rFonts w:ascii="Arial" w:eastAsia="Calibri" w:hAnsi="Arial" w:cs="Arial"/>
                <w:szCs w:val="22"/>
              </w:rPr>
              <w:t xml:space="preserve">The results suggest that </w:t>
            </w:r>
            <w:r w:rsidRPr="0089420D">
              <w:rPr>
                <w:rFonts w:ascii="Arial" w:eastAsia="Calibri" w:hAnsi="Arial" w:cs="Arial"/>
                <w:i/>
                <w:iCs/>
                <w:szCs w:val="22"/>
              </w:rPr>
              <w:t>P. tuber-regium</w:t>
            </w:r>
            <w:r w:rsidRPr="0089420D">
              <w:rPr>
                <w:rFonts w:ascii="Arial" w:eastAsia="Calibri" w:hAnsi="Arial" w:cs="Arial"/>
                <w:szCs w:val="22"/>
              </w:rPr>
              <w:t xml:space="preserve"> possesses promising antidiabetic and hypolipidemic properties, potentially mediated by its fibre content, micronutrients, and bioactive constituents. This supports its application as a nutraceutical in the dietary management of </w:t>
            </w:r>
            <w:commentRangeStart w:id="3"/>
            <w:r w:rsidRPr="0089420D">
              <w:rPr>
                <w:rFonts w:ascii="Arial" w:eastAsia="Calibri" w:hAnsi="Arial" w:cs="Arial"/>
                <w:szCs w:val="22"/>
              </w:rPr>
              <w:t>Type 2 Diabetes Mellitus</w:t>
            </w:r>
            <w:commentRangeEnd w:id="3"/>
            <w:r w:rsidR="003751B9">
              <w:rPr>
                <w:rStyle w:val="CommentReference"/>
                <w:rFonts w:ascii="Times New Roman" w:hAnsi="Times New Roman"/>
                <w:lang w:val="nb-NO" w:eastAsia="nb-NO"/>
              </w:rPr>
              <w:commentReference w:id="3"/>
            </w:r>
            <w:commentRangeStart w:id="4"/>
            <w:r w:rsidRPr="0089420D">
              <w:rPr>
                <w:rFonts w:ascii="Arial" w:eastAsia="Calibri" w:hAnsi="Arial" w:cs="Arial"/>
                <w:szCs w:val="22"/>
              </w:rPr>
              <w:t>. Further mechanistic and clinical studies are warranted to elucidate the pathways involved and to validate translational applicability in human populations.</w:t>
            </w:r>
            <w:r w:rsidR="00961B44" w:rsidRPr="00961B44">
              <w:rPr>
                <w:rFonts w:asciiTheme="minorHAnsi" w:eastAsiaTheme="minorHAnsi" w:hAnsiTheme="minorHAnsi" w:cstheme="minorHAnsi"/>
                <w:b/>
                <w:bCs/>
                <w:kern w:val="2"/>
                <w:sz w:val="22"/>
                <w:szCs w:val="22"/>
                <w14:ligatures w14:val="standardContextual"/>
              </w:rPr>
              <w:t xml:space="preserve"> </w:t>
            </w:r>
            <w:commentRangeEnd w:id="4"/>
            <w:r w:rsidR="003751B9">
              <w:rPr>
                <w:rStyle w:val="CommentReference"/>
                <w:rFonts w:ascii="Times New Roman" w:hAnsi="Times New Roman"/>
                <w:lang w:val="nb-NO" w:eastAsia="nb-NO"/>
              </w:rPr>
              <w:commentReference w:id="4"/>
            </w:r>
          </w:p>
          <w:p w14:paraId="69A48FFA" w14:textId="2C1A5757" w:rsidR="00A03B96" w:rsidRDefault="00961B44" w:rsidP="00A4187D">
            <w:pPr>
              <w:pStyle w:val="Body"/>
              <w:rPr>
                <w:rFonts w:ascii="Arial" w:eastAsia="Calibri" w:hAnsi="Arial" w:cs="Arial"/>
                <w:szCs w:val="22"/>
              </w:rPr>
            </w:pPr>
            <w:r w:rsidRPr="00961B44">
              <w:rPr>
                <w:rFonts w:ascii="Arial" w:eastAsia="Calibri" w:hAnsi="Arial" w:cs="Arial"/>
                <w:b/>
                <w:bCs/>
                <w:szCs w:val="22"/>
              </w:rPr>
              <w:t>Keywords:</w:t>
            </w:r>
            <w:r w:rsidRPr="00961B44">
              <w:rPr>
                <w:rFonts w:ascii="Arial" w:eastAsia="Calibri" w:hAnsi="Arial" w:cs="Arial"/>
                <w:szCs w:val="22"/>
              </w:rPr>
              <w:t xml:space="preserve"> P. </w:t>
            </w:r>
            <w:r w:rsidRPr="00961B44">
              <w:rPr>
                <w:rFonts w:ascii="Arial" w:eastAsia="Calibri" w:hAnsi="Arial" w:cs="Arial"/>
                <w:i/>
                <w:iCs/>
                <w:szCs w:val="22"/>
              </w:rPr>
              <w:t>tuber-regium,</w:t>
            </w:r>
            <w:r w:rsidRPr="00961B44">
              <w:rPr>
                <w:rFonts w:ascii="Arial" w:eastAsia="Calibri" w:hAnsi="Arial" w:cs="Arial"/>
                <w:szCs w:val="22"/>
              </w:rPr>
              <w:t xml:space="preserve"> </w:t>
            </w:r>
            <w:commentRangeStart w:id="5"/>
            <w:r w:rsidRPr="00961B44">
              <w:rPr>
                <w:rFonts w:ascii="Arial" w:eastAsia="Calibri" w:hAnsi="Arial" w:cs="Arial"/>
                <w:szCs w:val="22"/>
              </w:rPr>
              <w:t>Type 2 Diabetes Mellitus</w:t>
            </w:r>
            <w:commentRangeEnd w:id="5"/>
            <w:r w:rsidR="003751B9">
              <w:rPr>
                <w:rStyle w:val="CommentReference"/>
                <w:rFonts w:ascii="Times New Roman" w:hAnsi="Times New Roman"/>
                <w:lang w:val="nb-NO" w:eastAsia="nb-NO"/>
              </w:rPr>
              <w:commentReference w:id="5"/>
            </w:r>
            <w:r w:rsidRPr="00961B44">
              <w:rPr>
                <w:rFonts w:ascii="Arial" w:eastAsia="Calibri" w:hAnsi="Arial" w:cs="Arial"/>
                <w:szCs w:val="22"/>
              </w:rPr>
              <w:t>, nutraceutical, Antidiabetic effect, lipid profile.</w:t>
            </w:r>
          </w:p>
          <w:p w14:paraId="192F8C35" w14:textId="5E054D71" w:rsidR="00505F06" w:rsidRPr="00BA1B01" w:rsidRDefault="00505F06" w:rsidP="00A4187D">
            <w:pPr>
              <w:pStyle w:val="Body"/>
              <w:spacing w:after="0"/>
              <w:rPr>
                <w:rFonts w:ascii="Arial" w:eastAsia="Calibri" w:hAnsi="Arial" w:cs="Arial"/>
                <w:szCs w:val="22"/>
              </w:rPr>
            </w:pPr>
          </w:p>
        </w:tc>
      </w:tr>
    </w:tbl>
    <w:p w14:paraId="581007D4" w14:textId="77777777" w:rsidR="00636EB2" w:rsidRDefault="00636EB2" w:rsidP="00441B6F">
      <w:pPr>
        <w:pStyle w:val="Body"/>
        <w:spacing w:after="0"/>
        <w:rPr>
          <w:rFonts w:ascii="Arial" w:hAnsi="Arial" w:cs="Arial"/>
          <w:i/>
        </w:rPr>
      </w:pPr>
    </w:p>
    <w:p w14:paraId="7FE5B419" w14:textId="77777777" w:rsidR="00505F06" w:rsidRPr="00A24E7E" w:rsidRDefault="00505F06" w:rsidP="00441B6F">
      <w:pPr>
        <w:pStyle w:val="Body"/>
        <w:spacing w:after="0"/>
        <w:rPr>
          <w:rFonts w:ascii="Arial" w:hAnsi="Arial" w:cs="Arial"/>
          <w:i/>
        </w:rPr>
      </w:pPr>
    </w:p>
    <w:p w14:paraId="3BA583BF" w14:textId="1A106D2A" w:rsidR="00790ADA" w:rsidRDefault="00B01FCD" w:rsidP="00560AB7">
      <w:pPr>
        <w:pStyle w:val="AbstHead"/>
        <w:numPr>
          <w:ilvl w:val="0"/>
          <w:numId w:val="31"/>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324E2A3E" w14:textId="77777777" w:rsidR="00560AB7" w:rsidRPr="00560AB7" w:rsidRDefault="00560AB7" w:rsidP="00560AB7">
      <w:pPr>
        <w:pStyle w:val="AbstHead"/>
        <w:spacing w:after="0"/>
        <w:jc w:val="both"/>
        <w:rPr>
          <w:rFonts w:ascii="Arial" w:hAnsi="Arial" w:cs="Arial"/>
        </w:rPr>
      </w:pPr>
    </w:p>
    <w:p w14:paraId="47DEF8C3" w14:textId="5E75F723" w:rsidR="00560AB7" w:rsidRPr="00560AB7" w:rsidRDefault="00560AB7" w:rsidP="00560AB7">
      <w:pPr>
        <w:pStyle w:val="Body"/>
        <w:rPr>
          <w:rFonts w:ascii="Arial" w:hAnsi="Arial" w:cs="Arial"/>
        </w:rPr>
      </w:pPr>
      <w:commentRangeStart w:id="6"/>
      <w:r w:rsidRPr="00560AB7">
        <w:rPr>
          <w:rFonts w:ascii="Arial" w:hAnsi="Arial" w:cs="Arial"/>
        </w:rPr>
        <w:t xml:space="preserve">Edible mushrooms are increasingly being investigated for their nutritional and health benefits. The oyster mushroom (Pleurotus spp.) is one of the most widely cultivated edible mushrooms and is well-known for its therapeutic properties, culinary applications, and uses in </w:t>
      </w:r>
      <w:r w:rsidRPr="00560AB7">
        <w:rPr>
          <w:rFonts w:ascii="Arial" w:hAnsi="Arial" w:cs="Arial"/>
        </w:rPr>
        <w:lastRenderedPageBreak/>
        <w:t xml:space="preserve">biotechnology, environmental management, and pharmaceuticals (Rathod </w:t>
      </w:r>
      <w:r w:rsidRPr="00560AB7">
        <w:rPr>
          <w:rFonts w:ascii="Arial" w:hAnsi="Arial" w:cs="Arial"/>
          <w:i/>
          <w:iCs/>
        </w:rPr>
        <w:t>et al</w:t>
      </w:r>
      <w:r w:rsidRPr="00560AB7">
        <w:rPr>
          <w:rFonts w:ascii="Arial" w:hAnsi="Arial" w:cs="Arial"/>
        </w:rPr>
        <w:t xml:space="preserve">., 2021; El-Ramady </w:t>
      </w:r>
      <w:r w:rsidRPr="00560AB7">
        <w:rPr>
          <w:rFonts w:ascii="Arial" w:hAnsi="Arial" w:cs="Arial"/>
          <w:i/>
          <w:iCs/>
        </w:rPr>
        <w:t>et al</w:t>
      </w:r>
      <w:r w:rsidRPr="00560AB7">
        <w:rPr>
          <w:rFonts w:ascii="Arial" w:hAnsi="Arial" w:cs="Arial"/>
        </w:rPr>
        <w:t xml:space="preserve">., 2022; Assemie &amp; Abaya, 2022). These remarkable fungi also grow in the wild, serving as food for both animals and humans (Amara &amp; El-Baky, 2023; Case </w:t>
      </w:r>
      <w:r w:rsidRPr="00560AB7">
        <w:rPr>
          <w:rFonts w:ascii="Arial" w:hAnsi="Arial" w:cs="Arial"/>
          <w:i/>
          <w:iCs/>
        </w:rPr>
        <w:t>et al</w:t>
      </w:r>
      <w:r w:rsidRPr="00560AB7">
        <w:rPr>
          <w:rFonts w:ascii="Arial" w:hAnsi="Arial" w:cs="Arial"/>
        </w:rPr>
        <w:t xml:space="preserve">., 2022). They are crucial in maintaining ecosystem balance, act as raw materials for various industries, and serve as ingredients in traditional medicines (Bell </w:t>
      </w:r>
      <w:r w:rsidRPr="00560AB7">
        <w:rPr>
          <w:rFonts w:ascii="Arial" w:hAnsi="Arial" w:cs="Arial"/>
          <w:i/>
          <w:iCs/>
        </w:rPr>
        <w:t>et al</w:t>
      </w:r>
      <w:r w:rsidRPr="00560AB7">
        <w:rPr>
          <w:rFonts w:ascii="Arial" w:hAnsi="Arial" w:cs="Arial"/>
        </w:rPr>
        <w:t xml:space="preserve">., 2022; Panda </w:t>
      </w:r>
      <w:r w:rsidRPr="00560AB7">
        <w:rPr>
          <w:rFonts w:ascii="Arial" w:hAnsi="Arial" w:cs="Arial"/>
          <w:i/>
          <w:iCs/>
        </w:rPr>
        <w:t>et al</w:t>
      </w:r>
      <w:r w:rsidRPr="00560AB7">
        <w:rPr>
          <w:rFonts w:ascii="Arial" w:hAnsi="Arial" w:cs="Arial"/>
        </w:rPr>
        <w:t xml:space="preserve">., 2024; Ogwu </w:t>
      </w:r>
      <w:r w:rsidRPr="00560AB7">
        <w:rPr>
          <w:rFonts w:ascii="Arial" w:hAnsi="Arial" w:cs="Arial"/>
          <w:i/>
          <w:iCs/>
        </w:rPr>
        <w:t>et al</w:t>
      </w:r>
      <w:r w:rsidRPr="00560AB7">
        <w:rPr>
          <w:rFonts w:ascii="Arial" w:hAnsi="Arial" w:cs="Arial"/>
        </w:rPr>
        <w:t xml:space="preserve">., 2025). Törős </w:t>
      </w:r>
      <w:r w:rsidRPr="00560AB7">
        <w:rPr>
          <w:rFonts w:ascii="Arial" w:hAnsi="Arial" w:cs="Arial"/>
          <w:i/>
          <w:iCs/>
        </w:rPr>
        <w:t>et al.,</w:t>
      </w:r>
      <w:r w:rsidRPr="00560AB7">
        <w:rPr>
          <w:rFonts w:ascii="Arial" w:hAnsi="Arial" w:cs="Arial"/>
        </w:rPr>
        <w:t xml:space="preserve"> 2022; Carrasco </w:t>
      </w:r>
      <w:r w:rsidRPr="00560AB7">
        <w:rPr>
          <w:rFonts w:ascii="Arial" w:hAnsi="Arial" w:cs="Arial"/>
          <w:i/>
          <w:iCs/>
        </w:rPr>
        <w:t xml:space="preserve">et al., </w:t>
      </w:r>
      <w:r w:rsidRPr="00560AB7">
        <w:rPr>
          <w:rFonts w:ascii="Arial" w:hAnsi="Arial" w:cs="Arial"/>
        </w:rPr>
        <w:t xml:space="preserve">2021; Adedokun </w:t>
      </w:r>
      <w:r w:rsidRPr="00560AB7">
        <w:rPr>
          <w:rFonts w:ascii="Arial" w:hAnsi="Arial" w:cs="Arial"/>
          <w:i/>
          <w:iCs/>
        </w:rPr>
        <w:t>et al</w:t>
      </w:r>
      <w:r w:rsidRPr="00560AB7">
        <w:rPr>
          <w:rFonts w:ascii="Arial" w:hAnsi="Arial" w:cs="Arial"/>
        </w:rPr>
        <w:t>., 2022 reported that oyster mushrooms are the most commercially cultivated globally.</w:t>
      </w:r>
    </w:p>
    <w:p w14:paraId="4FFA1F24" w14:textId="3E202A32" w:rsidR="00560AB7" w:rsidRPr="00560AB7" w:rsidRDefault="00560AB7" w:rsidP="00560AB7">
      <w:pPr>
        <w:pStyle w:val="Body"/>
        <w:spacing w:after="0"/>
        <w:rPr>
          <w:rFonts w:ascii="Arial" w:hAnsi="Arial" w:cs="Arial"/>
        </w:rPr>
      </w:pPr>
      <w:r w:rsidRPr="00560AB7">
        <w:rPr>
          <w:rFonts w:ascii="Arial" w:hAnsi="Arial" w:cs="Arial"/>
        </w:rPr>
        <w:t>In Nigeria, among the numerous Pleurotus species, P. tuber-regium</w:t>
      </w:r>
      <w:r w:rsidR="0002215A">
        <w:rPr>
          <w:rFonts w:ascii="Arial" w:hAnsi="Arial" w:cs="Arial"/>
        </w:rPr>
        <w:t xml:space="preserve"> </w:t>
      </w:r>
      <w:r w:rsidRPr="00560AB7">
        <w:rPr>
          <w:rFonts w:ascii="Arial" w:hAnsi="Arial" w:cs="Arial"/>
        </w:rPr>
        <w:t xml:space="preserve">commonly known as the tiger milk mushroom—holds a special place in traditional diets, local snacks, as a soup thickener, meat substitute, and bulking agent (Kumar &amp; Netam </w:t>
      </w:r>
      <w:r w:rsidRPr="00560AB7">
        <w:rPr>
          <w:rFonts w:ascii="Arial" w:hAnsi="Arial" w:cs="Arial"/>
          <w:i/>
          <w:iCs/>
        </w:rPr>
        <w:t>et al., 2022</w:t>
      </w:r>
      <w:r w:rsidRPr="00560AB7">
        <w:rPr>
          <w:rFonts w:ascii="Arial" w:hAnsi="Arial" w:cs="Arial"/>
        </w:rPr>
        <w:t xml:space="preserve">; Afolabi </w:t>
      </w:r>
      <w:r w:rsidRPr="00560AB7">
        <w:rPr>
          <w:rFonts w:ascii="Arial" w:hAnsi="Arial" w:cs="Arial"/>
          <w:i/>
          <w:iCs/>
        </w:rPr>
        <w:t>et al</w:t>
      </w:r>
      <w:r w:rsidRPr="00560AB7">
        <w:rPr>
          <w:rFonts w:ascii="Arial" w:hAnsi="Arial" w:cs="Arial"/>
        </w:rPr>
        <w:t xml:space="preserve">., 2024; Abdullah </w:t>
      </w:r>
      <w:r w:rsidRPr="00560AB7">
        <w:rPr>
          <w:rFonts w:ascii="Arial" w:hAnsi="Arial" w:cs="Arial"/>
          <w:i/>
          <w:iCs/>
        </w:rPr>
        <w:t>et al.,</w:t>
      </w:r>
      <w:r w:rsidRPr="00560AB7">
        <w:rPr>
          <w:rFonts w:ascii="Arial" w:hAnsi="Arial" w:cs="Arial"/>
        </w:rPr>
        <w:t xml:space="preserve"> 2024). This fungus has gained increasing recognition in recent years, accounting for over 25% of all commercially grown edible mushrooms, due to its ability to grow on agro-waste and its rich nutritional profile (Raman</w:t>
      </w:r>
      <w:r w:rsidRPr="00560AB7">
        <w:rPr>
          <w:rFonts w:ascii="Arial" w:hAnsi="Arial" w:cs="Arial"/>
          <w:i/>
          <w:iCs/>
        </w:rPr>
        <w:t xml:space="preserve"> et al.,2021;</w:t>
      </w:r>
      <w:r w:rsidRPr="00560AB7">
        <w:rPr>
          <w:rFonts w:ascii="Arial" w:hAnsi="Arial" w:cs="Arial"/>
        </w:rPr>
        <w:t xml:space="preserve"> Ghafoor, Niazi</w:t>
      </w:r>
      <w:r w:rsidRPr="00560AB7">
        <w:rPr>
          <w:rFonts w:ascii="Arial" w:hAnsi="Arial" w:cs="Arial"/>
          <w:i/>
          <w:iCs/>
        </w:rPr>
        <w:t xml:space="preserve"> et al</w:t>
      </w:r>
      <w:r w:rsidRPr="00560AB7">
        <w:rPr>
          <w:rFonts w:ascii="Arial" w:hAnsi="Arial" w:cs="Arial"/>
        </w:rPr>
        <w:t xml:space="preserve">.,2024) P. tuber-regium is regarded as a valuable source of essential amino acids, fat- and water-soluble vitamins, carbohydrates, proteins, dietary fiber, and minerals (Kolawole </w:t>
      </w:r>
      <w:r w:rsidRPr="00560AB7">
        <w:rPr>
          <w:rFonts w:ascii="Arial" w:hAnsi="Arial" w:cs="Arial"/>
          <w:i/>
          <w:iCs/>
        </w:rPr>
        <w:t xml:space="preserve">et al., 2021; </w:t>
      </w:r>
      <w:r w:rsidRPr="00560AB7">
        <w:rPr>
          <w:rFonts w:ascii="Arial" w:hAnsi="Arial" w:cs="Arial"/>
        </w:rPr>
        <w:t>Raman</w:t>
      </w:r>
      <w:r w:rsidRPr="00560AB7">
        <w:rPr>
          <w:rFonts w:ascii="Arial" w:hAnsi="Arial" w:cs="Arial"/>
          <w:i/>
          <w:iCs/>
        </w:rPr>
        <w:t xml:space="preserve"> et al.,2021)</w:t>
      </w:r>
      <w:r w:rsidRPr="00560AB7">
        <w:rPr>
          <w:rFonts w:ascii="Arial" w:hAnsi="Arial" w:cs="Arial"/>
        </w:rPr>
        <w:t>.</w:t>
      </w:r>
    </w:p>
    <w:p w14:paraId="49897ACC" w14:textId="77777777" w:rsidR="00560AB7" w:rsidRPr="00560AB7" w:rsidRDefault="00560AB7" w:rsidP="00560AB7">
      <w:pPr>
        <w:pStyle w:val="Body"/>
        <w:spacing w:after="0"/>
        <w:rPr>
          <w:rFonts w:ascii="Arial" w:hAnsi="Arial" w:cs="Arial"/>
        </w:rPr>
      </w:pPr>
      <w:r w:rsidRPr="00560AB7">
        <w:rPr>
          <w:rFonts w:ascii="Arial" w:hAnsi="Arial" w:cs="Arial"/>
        </w:rPr>
        <w:t xml:space="preserve">Studies have shown that </w:t>
      </w:r>
      <w:r w:rsidRPr="00560AB7">
        <w:rPr>
          <w:rFonts w:ascii="Arial" w:hAnsi="Arial" w:cs="Arial"/>
          <w:i/>
          <w:iCs/>
        </w:rPr>
        <w:t>P. tuber-regium</w:t>
      </w:r>
      <w:r w:rsidRPr="00560AB7">
        <w:rPr>
          <w:rFonts w:ascii="Arial" w:hAnsi="Arial" w:cs="Arial"/>
        </w:rPr>
        <w:t xml:space="preserve"> is a reservoir of both micro- and macronutrients (Igbokwe</w:t>
      </w:r>
      <w:r w:rsidRPr="00560AB7">
        <w:rPr>
          <w:rFonts w:ascii="Arial" w:hAnsi="Arial" w:cs="Arial"/>
          <w:i/>
          <w:iCs/>
        </w:rPr>
        <w:t xml:space="preserve"> et al.,2015;</w:t>
      </w:r>
      <w:r w:rsidRPr="00560AB7">
        <w:rPr>
          <w:rFonts w:ascii="Arial" w:hAnsi="Arial" w:cs="Arial"/>
        </w:rPr>
        <w:t xml:space="preserve"> Lin </w:t>
      </w:r>
      <w:r w:rsidRPr="00560AB7">
        <w:rPr>
          <w:rFonts w:ascii="Arial" w:hAnsi="Arial" w:cs="Arial"/>
          <w:i/>
          <w:iCs/>
        </w:rPr>
        <w:t>et al., 2020; Ekute</w:t>
      </w:r>
      <w:r w:rsidRPr="00560AB7">
        <w:rPr>
          <w:rFonts w:ascii="Arial" w:hAnsi="Arial" w:cs="Arial"/>
        </w:rPr>
        <w:t xml:space="preserve"> &amp; Nwokocha, 2021). Its amino acid profile, low fat content, vitamin composition, and high dietary fibre make it suitable for managing metabolic disorders such as diabetes, hypertension, and cardiovascular diseases (Adeyi </w:t>
      </w:r>
      <w:r w:rsidRPr="00560AB7">
        <w:rPr>
          <w:rFonts w:ascii="Arial" w:hAnsi="Arial" w:cs="Arial"/>
          <w:i/>
          <w:iCs/>
        </w:rPr>
        <w:t>et al</w:t>
      </w:r>
      <w:r w:rsidRPr="00560AB7">
        <w:rPr>
          <w:rFonts w:ascii="Arial" w:hAnsi="Arial" w:cs="Arial"/>
        </w:rPr>
        <w:t xml:space="preserve">., 2021). This natural resource is also rich in essential minerals such as calcium, phosphorus, potassium, magnesium, iron, and zinc, which serve as cofactors for enzymes involved in various metabolic processes and immune modulation. It plays a role in blood glucose and lipid regulation as well as the maintenance of cellular function (Ijeh </w:t>
      </w:r>
      <w:r w:rsidRPr="00560AB7">
        <w:rPr>
          <w:rFonts w:ascii="Arial" w:hAnsi="Arial" w:cs="Arial"/>
          <w:i/>
          <w:iCs/>
        </w:rPr>
        <w:t>et al</w:t>
      </w:r>
      <w:r w:rsidRPr="00560AB7">
        <w:rPr>
          <w:rFonts w:ascii="Arial" w:hAnsi="Arial" w:cs="Arial"/>
        </w:rPr>
        <w:t xml:space="preserve">.,2009; Adeyi </w:t>
      </w:r>
      <w:r w:rsidRPr="00560AB7">
        <w:rPr>
          <w:rFonts w:ascii="Arial" w:hAnsi="Arial" w:cs="Arial"/>
          <w:i/>
          <w:iCs/>
        </w:rPr>
        <w:t>et al</w:t>
      </w:r>
      <w:r w:rsidRPr="00560AB7">
        <w:rPr>
          <w:rFonts w:ascii="Arial" w:hAnsi="Arial" w:cs="Arial"/>
        </w:rPr>
        <w:t>., 2021).</w:t>
      </w:r>
    </w:p>
    <w:p w14:paraId="3A38D254" w14:textId="77777777" w:rsidR="00560AB7" w:rsidRPr="00560AB7" w:rsidRDefault="00560AB7" w:rsidP="00560AB7">
      <w:pPr>
        <w:pStyle w:val="Body"/>
        <w:spacing w:after="0"/>
        <w:rPr>
          <w:rFonts w:ascii="Arial" w:hAnsi="Arial" w:cs="Arial"/>
        </w:rPr>
      </w:pPr>
      <w:r w:rsidRPr="00560AB7">
        <w:rPr>
          <w:rFonts w:ascii="Arial" w:hAnsi="Arial" w:cs="Arial"/>
        </w:rPr>
        <w:t xml:space="preserve">Furthermore, P. tuber-regium contains a wide variety of bioactive compounds, including β-glucans, terpenoids, steroids, and phenolics, which exhibit antimicrobial, immunomodulatory, and antioxidant Properties (Nworu </w:t>
      </w:r>
      <w:r w:rsidRPr="00560AB7">
        <w:rPr>
          <w:rFonts w:ascii="Arial" w:hAnsi="Arial" w:cs="Arial"/>
          <w:i/>
          <w:iCs/>
        </w:rPr>
        <w:t xml:space="preserve">et al., 2015; </w:t>
      </w:r>
      <w:r w:rsidRPr="00560AB7">
        <w:rPr>
          <w:rFonts w:ascii="Arial" w:hAnsi="Arial" w:cs="Arial"/>
        </w:rPr>
        <w:t xml:space="preserve">Alaribe </w:t>
      </w:r>
      <w:r w:rsidRPr="00560AB7">
        <w:rPr>
          <w:rFonts w:ascii="Arial" w:hAnsi="Arial" w:cs="Arial"/>
          <w:i/>
          <w:iCs/>
        </w:rPr>
        <w:t xml:space="preserve">et al.,2018; </w:t>
      </w:r>
      <w:commentRangeStart w:id="7"/>
      <w:r w:rsidRPr="00560AB7">
        <w:rPr>
          <w:rFonts w:ascii="Arial" w:hAnsi="Arial" w:cs="Arial"/>
        </w:rPr>
        <w:t>Lin</w:t>
      </w:r>
      <w:commentRangeEnd w:id="7"/>
      <w:r w:rsidR="003751B9">
        <w:rPr>
          <w:rStyle w:val="CommentReference"/>
          <w:rFonts w:ascii="Times New Roman" w:hAnsi="Times New Roman"/>
          <w:lang w:val="nb-NO" w:eastAsia="nb-NO"/>
        </w:rPr>
        <w:commentReference w:id="7"/>
      </w:r>
      <w:r w:rsidRPr="00560AB7">
        <w:rPr>
          <w:rFonts w:ascii="Arial" w:hAnsi="Arial" w:cs="Arial"/>
        </w:rPr>
        <w:t xml:space="preserve"> </w:t>
      </w:r>
      <w:r w:rsidRPr="00560AB7">
        <w:rPr>
          <w:rFonts w:ascii="Arial" w:hAnsi="Arial" w:cs="Arial"/>
          <w:i/>
          <w:iCs/>
        </w:rPr>
        <w:t>et al., 2020)</w:t>
      </w:r>
      <w:r w:rsidRPr="00560AB7">
        <w:rPr>
          <w:rFonts w:ascii="Arial" w:hAnsi="Arial" w:cs="Arial"/>
        </w:rPr>
        <w:t xml:space="preserve">. Recently, there has been a growing interest in sustainable, non-animal-based nutrition. With its dense nutritional content, P. tuber-regium presents a promising alternative source of nutrition and a potential functional food ingredient (Lin </w:t>
      </w:r>
      <w:r w:rsidRPr="00560AB7">
        <w:rPr>
          <w:rFonts w:ascii="Arial" w:hAnsi="Arial" w:cs="Arial"/>
          <w:i/>
          <w:iCs/>
        </w:rPr>
        <w:t xml:space="preserve">et al., 2020; </w:t>
      </w:r>
      <w:r w:rsidRPr="00560AB7">
        <w:rPr>
          <w:rFonts w:ascii="Arial" w:hAnsi="Arial" w:cs="Arial"/>
        </w:rPr>
        <w:t xml:space="preserve">Adeyi </w:t>
      </w:r>
      <w:r w:rsidRPr="00560AB7">
        <w:rPr>
          <w:rFonts w:ascii="Arial" w:hAnsi="Arial" w:cs="Arial"/>
          <w:i/>
          <w:iCs/>
        </w:rPr>
        <w:t>et al</w:t>
      </w:r>
      <w:r w:rsidRPr="00560AB7">
        <w:rPr>
          <w:rFonts w:ascii="Arial" w:hAnsi="Arial" w:cs="Arial"/>
        </w:rPr>
        <w:t xml:space="preserve">., 2021; Aswathy </w:t>
      </w:r>
      <w:r w:rsidRPr="00560AB7">
        <w:rPr>
          <w:rFonts w:ascii="Arial" w:hAnsi="Arial" w:cs="Arial"/>
          <w:i/>
          <w:iCs/>
        </w:rPr>
        <w:t>et al., 2024)</w:t>
      </w:r>
      <w:r w:rsidRPr="00560AB7">
        <w:rPr>
          <w:rFonts w:ascii="Arial" w:hAnsi="Arial" w:cs="Arial"/>
        </w:rPr>
        <w:t>.</w:t>
      </w:r>
    </w:p>
    <w:p w14:paraId="30E9C1C6" w14:textId="77777777" w:rsidR="00560AB7" w:rsidRPr="00560AB7" w:rsidRDefault="00560AB7" w:rsidP="00560AB7">
      <w:pPr>
        <w:pStyle w:val="Body"/>
        <w:spacing w:after="0"/>
        <w:rPr>
          <w:rFonts w:ascii="Arial" w:hAnsi="Arial" w:cs="Arial"/>
        </w:rPr>
      </w:pPr>
      <w:r w:rsidRPr="00560AB7">
        <w:rPr>
          <w:rFonts w:ascii="Arial" w:hAnsi="Arial" w:cs="Arial"/>
        </w:rPr>
        <w:t xml:space="preserve">This study explores the nutritional and bioactive profile of </w:t>
      </w:r>
      <w:r w:rsidRPr="00560AB7">
        <w:rPr>
          <w:rFonts w:ascii="Arial" w:hAnsi="Arial" w:cs="Arial"/>
          <w:i/>
          <w:iCs/>
        </w:rPr>
        <w:t>P. tuber-regium</w:t>
      </w:r>
      <w:r w:rsidRPr="00560AB7">
        <w:rPr>
          <w:rFonts w:ascii="Arial" w:hAnsi="Arial" w:cs="Arial"/>
        </w:rPr>
        <w:t xml:space="preserve"> and its effects on blood glucose levels, lipid profile, pancreatic amylase activity, and pancreatic histomorphology in high-fat-streptozotocin-induced diabetic Wistar albino rats. The findings are expected to contribute to the </w:t>
      </w:r>
      <w:commentRangeStart w:id="8"/>
      <w:commentRangeStart w:id="9"/>
      <w:r w:rsidRPr="00560AB7">
        <w:rPr>
          <w:rFonts w:ascii="Arial" w:hAnsi="Arial" w:cs="Arial"/>
        </w:rPr>
        <w:t>scientific</w:t>
      </w:r>
      <w:commentRangeEnd w:id="8"/>
      <w:r w:rsidR="003751B9">
        <w:rPr>
          <w:rStyle w:val="CommentReference"/>
          <w:rFonts w:ascii="Times New Roman" w:hAnsi="Times New Roman"/>
          <w:lang w:val="nb-NO" w:eastAsia="nb-NO"/>
        </w:rPr>
        <w:commentReference w:id="8"/>
      </w:r>
      <w:commentRangeEnd w:id="9"/>
      <w:r w:rsidR="003751B9">
        <w:rPr>
          <w:rStyle w:val="CommentReference"/>
          <w:rFonts w:ascii="Times New Roman" w:hAnsi="Times New Roman"/>
          <w:lang w:val="nb-NO" w:eastAsia="nb-NO"/>
        </w:rPr>
        <w:commentReference w:id="9"/>
      </w:r>
      <w:r w:rsidRPr="00560AB7">
        <w:rPr>
          <w:rFonts w:ascii="Arial" w:hAnsi="Arial" w:cs="Arial"/>
        </w:rPr>
        <w:t xml:space="preserve"> validation of </w:t>
      </w:r>
      <w:r w:rsidRPr="00560AB7">
        <w:rPr>
          <w:rFonts w:ascii="Arial" w:hAnsi="Arial" w:cs="Arial"/>
          <w:i/>
          <w:iCs/>
        </w:rPr>
        <w:t>P. tuber-regium</w:t>
      </w:r>
      <w:r w:rsidRPr="00560AB7">
        <w:rPr>
          <w:rFonts w:ascii="Arial" w:hAnsi="Arial" w:cs="Arial"/>
        </w:rPr>
        <w:t xml:space="preserve"> as a functional food in the dietary management of diabetes.</w:t>
      </w:r>
      <w:commentRangeEnd w:id="6"/>
      <w:r w:rsidR="003751B9">
        <w:rPr>
          <w:rStyle w:val="CommentReference"/>
          <w:rFonts w:ascii="Times New Roman" w:hAnsi="Times New Roman"/>
          <w:lang w:val="nb-NO" w:eastAsia="nb-NO"/>
        </w:rPr>
        <w:commentReference w:id="6"/>
      </w:r>
    </w:p>
    <w:p w14:paraId="12BB99EE" w14:textId="77777777" w:rsidR="00560AB7" w:rsidRPr="00560AB7" w:rsidRDefault="00560AB7" w:rsidP="00560AB7">
      <w:pPr>
        <w:pStyle w:val="Body"/>
        <w:spacing w:after="0"/>
        <w:rPr>
          <w:rFonts w:ascii="Arial" w:hAnsi="Arial" w:cs="Arial"/>
          <w:b/>
          <w:bCs/>
        </w:rPr>
      </w:pPr>
    </w:p>
    <w:p w14:paraId="309A8FB4" w14:textId="77777777" w:rsidR="00790ADA" w:rsidRPr="00FB3A86" w:rsidRDefault="00790ADA" w:rsidP="00441B6F">
      <w:pPr>
        <w:pStyle w:val="Body"/>
        <w:spacing w:after="0"/>
        <w:rPr>
          <w:rFonts w:ascii="Arial" w:hAnsi="Arial" w:cs="Arial"/>
        </w:rPr>
      </w:pPr>
    </w:p>
    <w:p w14:paraId="370FDE9F" w14:textId="71FCBE16" w:rsidR="00560AB7" w:rsidRPr="00816354" w:rsidRDefault="00902823" w:rsidP="00683227">
      <w:pPr>
        <w:pStyle w:val="AbstHead"/>
        <w:numPr>
          <w:ilvl w:val="0"/>
          <w:numId w:val="31"/>
        </w:numPr>
        <w:spacing w:after="0"/>
        <w:jc w:val="both"/>
        <w:rPr>
          <w:rFonts w:ascii="Arial" w:hAnsi="Arial" w:cs="Arial"/>
        </w:rPr>
      </w:pPr>
      <w:r w:rsidRPr="00816354">
        <w:rPr>
          <w:rFonts w:ascii="Arial" w:hAnsi="Arial" w:cs="Arial"/>
        </w:rPr>
        <w:t>material and method</w:t>
      </w:r>
      <w:r w:rsidR="00000F8F" w:rsidRPr="00816354">
        <w:rPr>
          <w:rFonts w:ascii="Arial" w:hAnsi="Arial" w:cs="Arial"/>
        </w:rPr>
        <w:t xml:space="preserve">s </w:t>
      </w:r>
    </w:p>
    <w:p w14:paraId="5390E7DC" w14:textId="77777777" w:rsidR="00790ADA" w:rsidRPr="00FB3A86" w:rsidRDefault="00790ADA" w:rsidP="00441B6F">
      <w:pPr>
        <w:pStyle w:val="AbstHead"/>
        <w:spacing w:after="0"/>
        <w:jc w:val="both"/>
        <w:rPr>
          <w:rFonts w:ascii="Arial" w:hAnsi="Arial" w:cs="Arial"/>
        </w:rPr>
      </w:pPr>
    </w:p>
    <w:p w14:paraId="043E7E62" w14:textId="1C7F9438" w:rsidR="00560AB7" w:rsidRPr="00560AB7" w:rsidRDefault="00560AB7" w:rsidP="002E6987">
      <w:pPr>
        <w:pStyle w:val="Body"/>
        <w:numPr>
          <w:ilvl w:val="1"/>
          <w:numId w:val="31"/>
        </w:numPr>
        <w:spacing w:after="0"/>
        <w:rPr>
          <w:rFonts w:ascii="Arial" w:hAnsi="Arial" w:cs="Arial"/>
          <w:b/>
          <w:bCs/>
        </w:rPr>
      </w:pPr>
      <w:commentRangeStart w:id="10"/>
      <w:r w:rsidRPr="00560AB7">
        <w:rPr>
          <w:rFonts w:ascii="Arial" w:hAnsi="Arial" w:cs="Arial"/>
          <w:b/>
          <w:bCs/>
        </w:rPr>
        <w:t xml:space="preserve">Collection </w:t>
      </w:r>
      <w:commentRangeEnd w:id="10"/>
      <w:r w:rsidR="00525A18">
        <w:rPr>
          <w:rStyle w:val="CommentReference"/>
          <w:rFonts w:ascii="Times New Roman" w:hAnsi="Times New Roman"/>
          <w:lang w:val="nb-NO" w:eastAsia="nb-NO"/>
        </w:rPr>
        <w:commentReference w:id="10"/>
      </w:r>
      <w:r w:rsidRPr="00560AB7">
        <w:rPr>
          <w:rFonts w:ascii="Arial" w:hAnsi="Arial" w:cs="Arial"/>
          <w:b/>
          <w:bCs/>
        </w:rPr>
        <w:t xml:space="preserve">of mushrooms </w:t>
      </w:r>
    </w:p>
    <w:p w14:paraId="6C831FA2" w14:textId="77777777" w:rsidR="00560AB7" w:rsidRPr="00560AB7" w:rsidRDefault="00560AB7" w:rsidP="00560AB7">
      <w:pPr>
        <w:pStyle w:val="Body"/>
        <w:spacing w:after="0"/>
        <w:rPr>
          <w:rFonts w:ascii="Arial" w:hAnsi="Arial" w:cs="Arial"/>
          <w:b/>
          <w:iCs/>
        </w:rPr>
      </w:pPr>
      <w:bookmarkStart w:id="11" w:name="_Hlk197795028"/>
      <w:commentRangeStart w:id="12"/>
      <w:r w:rsidRPr="00560AB7">
        <w:rPr>
          <w:rFonts w:ascii="Arial" w:hAnsi="Arial" w:cs="Arial"/>
          <w:bCs/>
          <w:iCs/>
        </w:rPr>
        <w:t xml:space="preserve">This was done using the modified method as described by Okorie et al. 2021. </w:t>
      </w:r>
      <w:r w:rsidRPr="00560AB7">
        <w:rPr>
          <w:rFonts w:ascii="Arial" w:hAnsi="Arial" w:cs="Arial"/>
          <w:bCs/>
          <w:i/>
        </w:rPr>
        <w:t>P. tuber-regium</w:t>
      </w:r>
      <w:r w:rsidRPr="00560AB7">
        <w:rPr>
          <w:rFonts w:ascii="Arial" w:hAnsi="Arial" w:cs="Arial"/>
          <w:bCs/>
          <w:iCs/>
        </w:rPr>
        <w:t xml:space="preserve"> is one of the most popular edible mushrooms and can be easily cultivated on various agricultural wastes such as straw, sawdust, coffee grounds, cotton waste, and other lignocellulosic substrates. Composed substrates made from a mix of sawdust and rice bran (9:1) were placed into polyethylene bags, which were sterilized in an automated autoclave at 121°C to eliminate competing microorganisms. These substrates were allowed to cool to ambient temperature before being inoculated with the spawns of </w:t>
      </w:r>
      <w:r w:rsidRPr="00560AB7">
        <w:rPr>
          <w:rFonts w:ascii="Arial" w:hAnsi="Arial" w:cs="Arial"/>
          <w:bCs/>
          <w:i/>
        </w:rPr>
        <w:t>P. tuber-regium</w:t>
      </w:r>
      <w:r w:rsidRPr="00560AB7">
        <w:rPr>
          <w:rFonts w:ascii="Arial" w:hAnsi="Arial" w:cs="Arial"/>
          <w:bCs/>
          <w:iCs/>
        </w:rPr>
        <w:t xml:space="preserve"> cultivated in the mushroom centre of the Federal Institute of Industrial Research, Oshodi. Inoculation was performed under aseptic conditions. The incubation stage was conducted in darkness to enable mycelium growth through the substrate, forming a network. Fully ramified substrates (17-22 days) were exposed to appropriate environmental conditions (light, humidity, </w:t>
      </w:r>
      <w:commentRangeEnd w:id="12"/>
      <w:r w:rsidR="00525A18">
        <w:rPr>
          <w:rStyle w:val="CommentReference"/>
          <w:rFonts w:ascii="Times New Roman" w:hAnsi="Times New Roman"/>
          <w:lang w:val="nb-NO" w:eastAsia="nb-NO"/>
        </w:rPr>
        <w:lastRenderedPageBreak/>
        <w:commentReference w:id="12"/>
      </w:r>
      <w:r w:rsidRPr="00560AB7">
        <w:rPr>
          <w:rFonts w:ascii="Arial" w:hAnsi="Arial" w:cs="Arial"/>
          <w:bCs/>
          <w:iCs/>
        </w:rPr>
        <w:t xml:space="preserve">temperature) to induce fruiting and the development of mushroom caps. The mature oyster mushrooms were harvested by cutting clusters at the base of the stem. </w:t>
      </w:r>
    </w:p>
    <w:p w14:paraId="7D61863B" w14:textId="0BD00AD4" w:rsidR="00560AB7" w:rsidRPr="00560AB7" w:rsidRDefault="002E6987" w:rsidP="002E6987">
      <w:pPr>
        <w:pStyle w:val="Body"/>
        <w:spacing w:after="0"/>
        <w:rPr>
          <w:rFonts w:ascii="Arial" w:hAnsi="Arial" w:cs="Arial"/>
          <w:b/>
          <w:iCs/>
        </w:rPr>
      </w:pPr>
      <w:r>
        <w:rPr>
          <w:rFonts w:ascii="Arial" w:hAnsi="Arial" w:cs="Arial"/>
          <w:b/>
          <w:iCs/>
        </w:rPr>
        <w:t xml:space="preserve">2.2 </w:t>
      </w:r>
      <w:r w:rsidR="00560AB7" w:rsidRPr="00560AB7">
        <w:rPr>
          <w:rFonts w:ascii="Arial" w:hAnsi="Arial" w:cs="Arial"/>
          <w:b/>
          <w:iCs/>
        </w:rPr>
        <w:t xml:space="preserve">Nutritional compositions </w:t>
      </w:r>
    </w:p>
    <w:p w14:paraId="2167735B" w14:textId="77777777" w:rsidR="00560AB7" w:rsidRPr="00560AB7" w:rsidRDefault="00560AB7" w:rsidP="00560AB7">
      <w:pPr>
        <w:pStyle w:val="Body"/>
        <w:spacing w:after="0"/>
        <w:rPr>
          <w:rFonts w:ascii="Arial" w:hAnsi="Arial" w:cs="Arial"/>
          <w:bCs/>
          <w:iCs/>
        </w:rPr>
      </w:pPr>
      <w:r w:rsidRPr="00560AB7">
        <w:rPr>
          <w:rFonts w:ascii="Arial" w:hAnsi="Arial" w:cs="Arial"/>
          <w:bCs/>
          <w:iCs/>
        </w:rPr>
        <w:t xml:space="preserve">The nutritional composition of </w:t>
      </w:r>
      <w:r w:rsidRPr="00560AB7">
        <w:rPr>
          <w:rFonts w:ascii="Arial" w:hAnsi="Arial" w:cs="Arial"/>
          <w:bCs/>
          <w:i/>
        </w:rPr>
        <w:t>P. tuber-regium</w:t>
      </w:r>
      <w:r w:rsidRPr="00560AB7">
        <w:rPr>
          <w:rFonts w:ascii="Arial" w:hAnsi="Arial" w:cs="Arial"/>
          <w:bCs/>
          <w:iCs/>
        </w:rPr>
        <w:t xml:space="preserve"> was evaluated in this study. The Proximate analysis, vitamins, and mineral elements.</w:t>
      </w:r>
    </w:p>
    <w:p w14:paraId="18C12F85" w14:textId="490DA60B" w:rsidR="00560AB7" w:rsidRPr="00560AB7" w:rsidRDefault="002E6987" w:rsidP="00560AB7">
      <w:pPr>
        <w:pStyle w:val="Body"/>
        <w:spacing w:after="0"/>
        <w:rPr>
          <w:rFonts w:ascii="Arial" w:hAnsi="Arial" w:cs="Arial"/>
          <w:b/>
          <w:iCs/>
        </w:rPr>
      </w:pPr>
      <w:r>
        <w:rPr>
          <w:rFonts w:ascii="Arial" w:hAnsi="Arial" w:cs="Arial"/>
          <w:b/>
          <w:iCs/>
        </w:rPr>
        <w:t xml:space="preserve">2.2.1 </w:t>
      </w:r>
      <w:r w:rsidR="00560AB7" w:rsidRPr="00560AB7">
        <w:rPr>
          <w:rFonts w:ascii="Arial" w:hAnsi="Arial" w:cs="Arial"/>
          <w:b/>
          <w:iCs/>
        </w:rPr>
        <w:t>Proximate analysis</w:t>
      </w:r>
    </w:p>
    <w:p w14:paraId="4648C367" w14:textId="77777777" w:rsidR="00560AB7" w:rsidRPr="00560AB7" w:rsidRDefault="00560AB7" w:rsidP="00560AB7">
      <w:pPr>
        <w:pStyle w:val="Body"/>
        <w:spacing w:after="0"/>
        <w:rPr>
          <w:rFonts w:ascii="Arial" w:hAnsi="Arial" w:cs="Arial"/>
        </w:rPr>
      </w:pPr>
      <w:r w:rsidRPr="00560AB7">
        <w:rPr>
          <w:rFonts w:ascii="Arial" w:hAnsi="Arial" w:cs="Arial"/>
        </w:rPr>
        <w:t>Proximate analysis plays a vital role in determining the nutritive values of various food substances. It serves as a foundational tool for the development of new food products, assessment of animal feeds, research and development activities, quality assurance, and compliance with regulatory standards. This analytical method is widely applied in the food industry, animal nutrition sector, and research institutions to investigate the properties and behaviour of different materials. It facilitates the optimization of food processing, enhances product safety, and supports accurate nutritional labelling. In this study, proximate composition analysis was performed to quantify the moisture, ash, crude protein, crude fat, and fibre contents, following the procedures outlined by the Association of Official Analytical Chemists (AOAC,</w:t>
      </w:r>
      <w:commentRangeStart w:id="13"/>
      <w:r w:rsidRPr="00560AB7">
        <w:rPr>
          <w:rFonts w:ascii="Arial" w:hAnsi="Arial" w:cs="Arial"/>
        </w:rPr>
        <w:t xml:space="preserve"> 2005</w:t>
      </w:r>
      <w:commentRangeEnd w:id="13"/>
      <w:r w:rsidR="0002215A">
        <w:rPr>
          <w:rStyle w:val="CommentReference"/>
          <w:rFonts w:ascii="Times New Roman" w:hAnsi="Times New Roman"/>
          <w:lang w:val="nb-NO" w:eastAsia="nb-NO"/>
        </w:rPr>
        <w:commentReference w:id="13"/>
      </w:r>
      <w:r w:rsidRPr="00560AB7">
        <w:rPr>
          <w:rFonts w:ascii="Arial" w:hAnsi="Arial" w:cs="Arial"/>
        </w:rPr>
        <w:t>).</w:t>
      </w:r>
    </w:p>
    <w:p w14:paraId="707D2832" w14:textId="0DAC5623" w:rsidR="00560AB7" w:rsidRPr="00560AB7" w:rsidRDefault="00560AB7" w:rsidP="002E6987">
      <w:pPr>
        <w:pStyle w:val="Body"/>
        <w:numPr>
          <w:ilvl w:val="2"/>
          <w:numId w:val="34"/>
        </w:numPr>
        <w:spacing w:after="0"/>
        <w:rPr>
          <w:rFonts w:ascii="Arial" w:hAnsi="Arial" w:cs="Arial"/>
          <w:iCs/>
        </w:rPr>
      </w:pPr>
      <w:r w:rsidRPr="00560AB7">
        <w:rPr>
          <w:rFonts w:ascii="Arial" w:hAnsi="Arial" w:cs="Arial"/>
          <w:b/>
          <w:bCs/>
          <w:iCs/>
        </w:rPr>
        <w:t>Determination of Crude Protein</w:t>
      </w:r>
    </w:p>
    <w:p w14:paraId="0C7C07F1" w14:textId="77777777" w:rsidR="00560AB7" w:rsidRPr="00560AB7" w:rsidRDefault="00560AB7" w:rsidP="00560AB7">
      <w:pPr>
        <w:pStyle w:val="Body"/>
        <w:spacing w:after="0"/>
        <w:rPr>
          <w:rFonts w:ascii="Arial" w:hAnsi="Arial" w:cs="Arial"/>
          <w:iCs/>
        </w:rPr>
      </w:pPr>
      <w:r w:rsidRPr="00560AB7">
        <w:rPr>
          <w:rFonts w:ascii="Arial" w:hAnsi="Arial" w:cs="Arial"/>
          <w:iCs/>
        </w:rPr>
        <w:t>The Kjeldahl method</w:t>
      </w:r>
      <w:commentRangeStart w:id="14"/>
      <w:r w:rsidRPr="00560AB7">
        <w:rPr>
          <w:rFonts w:ascii="Arial" w:hAnsi="Arial" w:cs="Arial"/>
          <w:iCs/>
        </w:rPr>
        <w:t xml:space="preserve"> (1965) </w:t>
      </w:r>
      <w:commentRangeEnd w:id="14"/>
      <w:r w:rsidR="0002215A">
        <w:rPr>
          <w:rStyle w:val="CommentReference"/>
          <w:rFonts w:ascii="Times New Roman" w:hAnsi="Times New Roman"/>
          <w:lang w:val="nb-NO" w:eastAsia="nb-NO"/>
        </w:rPr>
        <w:commentReference w:id="14"/>
      </w:r>
      <w:r w:rsidRPr="00560AB7">
        <w:rPr>
          <w:rFonts w:ascii="Arial" w:hAnsi="Arial" w:cs="Arial"/>
          <w:iCs/>
        </w:rPr>
        <w:t>was used to determine the crude protein content of the edible mushroom sample due to its accuracy and aptness for nitrogen analysis. In this procedure, the mushroom sample was digested with concentrated sulfuric acid (H</w:t>
      </w:r>
      <w:r w:rsidRPr="00560AB7">
        <w:rPr>
          <w:rFonts w:ascii="Cambria Math" w:hAnsi="Cambria Math" w:cs="Cambria Math"/>
          <w:iCs/>
        </w:rPr>
        <w:t>₂</w:t>
      </w:r>
      <w:r w:rsidRPr="00560AB7">
        <w:rPr>
          <w:rFonts w:ascii="Arial" w:hAnsi="Arial" w:cs="Arial"/>
          <w:iCs/>
        </w:rPr>
        <w:t>SO</w:t>
      </w:r>
      <w:r w:rsidRPr="00560AB7">
        <w:rPr>
          <w:rFonts w:ascii="Cambria Math" w:hAnsi="Cambria Math" w:cs="Cambria Math"/>
          <w:iCs/>
        </w:rPr>
        <w:t>₄</w:t>
      </w:r>
      <w:r w:rsidRPr="00560AB7">
        <w:rPr>
          <w:rFonts w:ascii="Arial" w:hAnsi="Arial" w:cs="Arial"/>
          <w:iCs/>
        </w:rPr>
        <w:t>), which decomposed the organic matter and converted nitrogen-containing compounds into ammonium sulfate. The digest was subsequently neutralized with sodium hydroxide (NaOH), releasing ammonia gas (NH</w:t>
      </w:r>
      <w:r w:rsidRPr="00560AB7">
        <w:rPr>
          <w:rFonts w:ascii="Cambria Math" w:hAnsi="Cambria Math" w:cs="Cambria Math"/>
          <w:iCs/>
        </w:rPr>
        <w:t>₃</w:t>
      </w:r>
      <w:r w:rsidRPr="00560AB7">
        <w:rPr>
          <w:rFonts w:ascii="Arial" w:hAnsi="Arial" w:cs="Arial"/>
          <w:iCs/>
        </w:rPr>
        <w:t>) during steam distillation. The liberated ammonia was captured in a known volume of boric acid solution. The amount of ammonia absorbed was then quantified by titration with a standardized hydrochloric acid (HCl) solution. The nitrogen content thus obtained was converted to crude protein using a standard conversion factor of 6.25, applicable to most organic materials.</w:t>
      </w:r>
    </w:p>
    <w:p w14:paraId="0D49731C" w14:textId="293143C8" w:rsidR="00560AB7" w:rsidRPr="00560AB7" w:rsidRDefault="00560AB7" w:rsidP="002E6987">
      <w:pPr>
        <w:pStyle w:val="Body"/>
        <w:numPr>
          <w:ilvl w:val="2"/>
          <w:numId w:val="34"/>
        </w:numPr>
        <w:spacing w:after="0"/>
        <w:rPr>
          <w:rFonts w:ascii="Arial" w:hAnsi="Arial" w:cs="Arial"/>
          <w:iCs/>
        </w:rPr>
      </w:pPr>
      <w:r w:rsidRPr="00560AB7">
        <w:rPr>
          <w:rFonts w:ascii="Arial" w:hAnsi="Arial" w:cs="Arial"/>
          <w:b/>
          <w:bCs/>
          <w:iCs/>
        </w:rPr>
        <w:t>Determination of Crude fibre</w:t>
      </w:r>
    </w:p>
    <w:p w14:paraId="55D1A262" w14:textId="77777777" w:rsidR="00560AB7" w:rsidRPr="00560AB7" w:rsidRDefault="00560AB7" w:rsidP="00560AB7">
      <w:pPr>
        <w:pStyle w:val="Body"/>
        <w:spacing w:after="0"/>
        <w:rPr>
          <w:rFonts w:ascii="Arial" w:hAnsi="Arial" w:cs="Arial"/>
          <w:i/>
        </w:rPr>
      </w:pPr>
      <w:r w:rsidRPr="00560AB7">
        <w:rPr>
          <w:rFonts w:ascii="Arial" w:hAnsi="Arial" w:cs="Arial"/>
          <w:iCs/>
        </w:rPr>
        <w:t>The FOSS Fibertec-2010 apparatus was employed to analyse crude fibre in mushroom samples. The equipment is automated and standardizes the process, ensuring the accuracy and reproducibility of the results obtained</w:t>
      </w:r>
      <w:r w:rsidRPr="00560AB7">
        <w:rPr>
          <w:rFonts w:ascii="Arial" w:hAnsi="Arial" w:cs="Arial"/>
          <w:i/>
        </w:rPr>
        <w:t>. This process involves a systematic and sequential extraction of fibre components from a sample using chemical treatments, filtration, washing, drying, and weighing to determine the crude fibre content.</w:t>
      </w:r>
    </w:p>
    <w:p w14:paraId="664F5FB1" w14:textId="66541D3D" w:rsidR="00560AB7" w:rsidRPr="00560AB7" w:rsidRDefault="00560AB7" w:rsidP="002E6987">
      <w:pPr>
        <w:pStyle w:val="Body"/>
        <w:numPr>
          <w:ilvl w:val="2"/>
          <w:numId w:val="34"/>
        </w:numPr>
        <w:spacing w:after="0"/>
        <w:rPr>
          <w:rFonts w:ascii="Arial" w:hAnsi="Arial" w:cs="Arial"/>
          <w:iCs/>
        </w:rPr>
      </w:pPr>
      <w:r w:rsidRPr="00560AB7">
        <w:rPr>
          <w:rFonts w:ascii="Arial" w:hAnsi="Arial" w:cs="Arial"/>
          <w:b/>
          <w:bCs/>
          <w:iCs/>
        </w:rPr>
        <w:t>Evaluation of Moisture Content</w:t>
      </w:r>
    </w:p>
    <w:p w14:paraId="0E16FE31" w14:textId="77777777" w:rsidR="00560AB7" w:rsidRPr="00560AB7" w:rsidRDefault="00560AB7" w:rsidP="00560AB7">
      <w:pPr>
        <w:pStyle w:val="Body"/>
        <w:spacing w:after="0"/>
        <w:rPr>
          <w:rFonts w:ascii="Arial" w:hAnsi="Arial" w:cs="Arial"/>
          <w:iCs/>
        </w:rPr>
      </w:pPr>
      <w:r w:rsidRPr="00560AB7">
        <w:rPr>
          <w:rFonts w:ascii="Arial" w:hAnsi="Arial" w:cs="Arial"/>
          <w:iCs/>
        </w:rPr>
        <w:t>The AND-MS70 moisture analyser was utilized to measure the moisture content of the dehydrated mushroom samples. This parameter is essential for maintaining quality control in processed food products and for complying with standards. This method involves evaporating moisture from a sample using halogen heating, resulting in weight loss in the analysed sample. The weight change is expressed as a percentage of the initial weight to determine the moisture content.</w:t>
      </w:r>
    </w:p>
    <w:p w14:paraId="23225F11" w14:textId="3108DE33" w:rsidR="00560AB7" w:rsidRPr="00560AB7" w:rsidRDefault="00560AB7" w:rsidP="002E6987">
      <w:pPr>
        <w:pStyle w:val="Body"/>
        <w:numPr>
          <w:ilvl w:val="2"/>
          <w:numId w:val="34"/>
        </w:numPr>
        <w:spacing w:after="0"/>
        <w:rPr>
          <w:rFonts w:ascii="Arial" w:hAnsi="Arial" w:cs="Arial"/>
          <w:iCs/>
        </w:rPr>
      </w:pPr>
      <w:r w:rsidRPr="00560AB7">
        <w:rPr>
          <w:rFonts w:ascii="Arial" w:hAnsi="Arial" w:cs="Arial"/>
          <w:b/>
          <w:bCs/>
          <w:iCs/>
        </w:rPr>
        <w:t>Determination of Fat</w:t>
      </w:r>
      <w:r w:rsidRPr="00560AB7">
        <w:rPr>
          <w:rFonts w:ascii="Arial" w:hAnsi="Arial" w:cs="Arial"/>
          <w:iCs/>
        </w:rPr>
        <w:t xml:space="preserve"> </w:t>
      </w:r>
    </w:p>
    <w:p w14:paraId="78A5CAAA" w14:textId="77777777" w:rsidR="00560AB7" w:rsidRPr="00560AB7" w:rsidRDefault="00560AB7" w:rsidP="00560AB7">
      <w:pPr>
        <w:pStyle w:val="Body"/>
        <w:spacing w:after="0"/>
        <w:rPr>
          <w:rFonts w:ascii="Arial" w:hAnsi="Arial" w:cs="Arial"/>
          <w:iCs/>
        </w:rPr>
      </w:pPr>
      <w:r w:rsidRPr="00560AB7">
        <w:rPr>
          <w:rFonts w:ascii="Arial" w:hAnsi="Arial" w:cs="Arial"/>
          <w:iCs/>
        </w:rPr>
        <w:t>The Soxhlet extraction method is a reliable and efficient approach for fat analysis in specified samples. A thimble made of glass or cellulose is used to hold the sample, and a suitable organic solvent such as petroleum ether or hexane is selected based on its ability to effectively dissolve lipids. Additionally, the boiling point of the solvent must be low.</w:t>
      </w:r>
    </w:p>
    <w:p w14:paraId="0B5CE481" w14:textId="05EBD085" w:rsidR="00560AB7" w:rsidRPr="00560AB7" w:rsidRDefault="00560AB7" w:rsidP="002E6987">
      <w:pPr>
        <w:pStyle w:val="Body"/>
        <w:numPr>
          <w:ilvl w:val="2"/>
          <w:numId w:val="34"/>
        </w:numPr>
        <w:spacing w:after="0"/>
        <w:rPr>
          <w:rFonts w:ascii="Arial" w:hAnsi="Arial" w:cs="Arial"/>
          <w:iCs/>
        </w:rPr>
      </w:pPr>
      <w:r w:rsidRPr="00560AB7">
        <w:rPr>
          <w:rFonts w:ascii="Arial" w:hAnsi="Arial" w:cs="Arial"/>
          <w:b/>
          <w:bCs/>
          <w:iCs/>
        </w:rPr>
        <w:t>Determination of Ash Content</w:t>
      </w:r>
      <w:r w:rsidRPr="00560AB7">
        <w:rPr>
          <w:rFonts w:ascii="Arial" w:hAnsi="Arial" w:cs="Arial"/>
          <w:iCs/>
        </w:rPr>
        <w:t xml:space="preserve"> </w:t>
      </w:r>
    </w:p>
    <w:p w14:paraId="05B6EF60" w14:textId="77777777" w:rsidR="00560AB7" w:rsidRPr="00560AB7" w:rsidRDefault="00560AB7" w:rsidP="00560AB7">
      <w:pPr>
        <w:pStyle w:val="Body"/>
        <w:spacing w:after="0"/>
        <w:rPr>
          <w:rFonts w:ascii="Arial" w:hAnsi="Arial" w:cs="Arial"/>
        </w:rPr>
      </w:pPr>
      <w:r w:rsidRPr="00560AB7">
        <w:rPr>
          <w:rFonts w:ascii="Arial" w:hAnsi="Arial" w:cs="Arial"/>
          <w:iCs/>
        </w:rPr>
        <w:t>The Carbolyte-AAF1100 furnace was used to determine the ash content. This was achieved by heating the dried sample to a temperature between 500-600°C, which incinerates all organic matter and leaves only the inorganic ash. After cooling the inorganic material in a desiccator, it is weighed to calculate the percentage of ash.</w:t>
      </w:r>
    </w:p>
    <w:p w14:paraId="5609E66D" w14:textId="3E7FC523" w:rsidR="00560AB7" w:rsidRPr="00560AB7" w:rsidRDefault="002E6987" w:rsidP="002E6987">
      <w:pPr>
        <w:pStyle w:val="Body"/>
        <w:numPr>
          <w:ilvl w:val="1"/>
          <w:numId w:val="34"/>
        </w:numPr>
        <w:spacing w:after="0"/>
        <w:rPr>
          <w:rFonts w:ascii="Arial" w:hAnsi="Arial" w:cs="Arial"/>
          <w:iCs/>
        </w:rPr>
      </w:pPr>
      <w:r w:rsidRPr="00560AB7">
        <w:rPr>
          <w:rFonts w:ascii="Arial" w:hAnsi="Arial" w:cs="Arial"/>
          <w:b/>
          <w:bCs/>
          <w:iCs/>
        </w:rPr>
        <w:t>Determination Of Minerals</w:t>
      </w:r>
      <w:r w:rsidRPr="00560AB7">
        <w:rPr>
          <w:rFonts w:ascii="Arial" w:hAnsi="Arial" w:cs="Arial"/>
          <w:iCs/>
        </w:rPr>
        <w:t xml:space="preserve"> </w:t>
      </w:r>
    </w:p>
    <w:p w14:paraId="54D9D869" w14:textId="77777777" w:rsidR="00560AB7" w:rsidRPr="00560AB7" w:rsidRDefault="00560AB7" w:rsidP="00560AB7">
      <w:pPr>
        <w:pStyle w:val="Body"/>
        <w:spacing w:after="0"/>
        <w:rPr>
          <w:rFonts w:ascii="Arial" w:hAnsi="Arial" w:cs="Arial"/>
          <w:iCs/>
        </w:rPr>
      </w:pPr>
      <w:r w:rsidRPr="00560AB7">
        <w:rPr>
          <w:rFonts w:ascii="Arial" w:hAnsi="Arial" w:cs="Arial"/>
          <w:iCs/>
        </w:rPr>
        <w:t xml:space="preserve">Inductively coupled plasma (ICP) was employed to evaluate the mineral content in the mushroom samples. This approach allows for multi-element analysis, showcasing high </w:t>
      </w:r>
      <w:r w:rsidRPr="00560AB7">
        <w:rPr>
          <w:rFonts w:ascii="Arial" w:hAnsi="Arial" w:cs="Arial"/>
          <w:iCs/>
        </w:rPr>
        <w:lastRenderedPageBreak/>
        <w:t>sensitivity and accuracy in elemental detection. The Agilent 5800 VDV ICP-OES [Agilent Technologies USA] was equipped with a Sea-Spray nebulizer, a double-pass glass cyclonic spray chamber, and a semi-demountable dual view (DV) injector torch with a 1.8 mm inner diameter. The Agilent SPS 4 autosampler facilitated the rapid and automated sample delivery to the ICP-OES, as outlined in the method of US EPA 200.7.</w:t>
      </w:r>
    </w:p>
    <w:p w14:paraId="445014CD" w14:textId="2F69307F" w:rsidR="00560AB7" w:rsidRPr="00560AB7" w:rsidRDefault="002E6987" w:rsidP="002E6987">
      <w:pPr>
        <w:pStyle w:val="Body"/>
        <w:numPr>
          <w:ilvl w:val="1"/>
          <w:numId w:val="34"/>
        </w:numPr>
        <w:spacing w:after="0"/>
        <w:rPr>
          <w:rFonts w:ascii="Arial" w:hAnsi="Arial" w:cs="Arial"/>
          <w:b/>
          <w:bCs/>
          <w:iCs/>
        </w:rPr>
      </w:pPr>
      <w:r w:rsidRPr="00560AB7">
        <w:rPr>
          <w:rFonts w:ascii="Arial" w:hAnsi="Arial" w:cs="Arial"/>
          <w:b/>
          <w:bCs/>
          <w:iCs/>
        </w:rPr>
        <w:t xml:space="preserve">Vitamin Analysis </w:t>
      </w:r>
    </w:p>
    <w:p w14:paraId="4F3AE273" w14:textId="77777777" w:rsidR="00560AB7" w:rsidRPr="00560AB7" w:rsidRDefault="00560AB7" w:rsidP="00560AB7">
      <w:pPr>
        <w:pStyle w:val="Body"/>
        <w:spacing w:after="0"/>
        <w:rPr>
          <w:rFonts w:ascii="Arial" w:hAnsi="Arial" w:cs="Arial"/>
          <w:iCs/>
        </w:rPr>
      </w:pPr>
      <w:r w:rsidRPr="00560AB7">
        <w:rPr>
          <w:rFonts w:ascii="Arial" w:hAnsi="Arial" w:cs="Arial"/>
          <w:iCs/>
        </w:rPr>
        <w:t>High Performance Liquid Chromatography (HPLC) is a common method for analysing a range of compounds, including vitamins. The HPLC system requires an appropriate column, detector, mobile phase, and pumps, which manage the flow rate of the solvent containing the analytes. Before injection, analytes must be concentrated to eliminate possible interfering substances, typically involving processes like extraction, filtration, and dilution. Generally, HPLC techniques for vitamin analysis guarantee accurate, precise, specific, and valid results. Different concentrations of these standards were tested under the same chromatographic conditions as the target compounds, resulting in a calibration curve for each standard.</w:t>
      </w:r>
    </w:p>
    <w:bookmarkEnd w:id="11"/>
    <w:p w14:paraId="210E37C9" w14:textId="7B09D11A" w:rsidR="00560AB7" w:rsidRPr="00560AB7" w:rsidRDefault="002E6987" w:rsidP="002E6987">
      <w:pPr>
        <w:pStyle w:val="Body"/>
        <w:numPr>
          <w:ilvl w:val="1"/>
          <w:numId w:val="34"/>
        </w:numPr>
        <w:spacing w:after="0"/>
        <w:rPr>
          <w:rFonts w:ascii="Arial" w:hAnsi="Arial" w:cs="Arial"/>
          <w:b/>
          <w:bCs/>
          <w:iCs/>
        </w:rPr>
      </w:pPr>
      <w:r w:rsidRPr="00560AB7">
        <w:rPr>
          <w:rFonts w:ascii="Arial" w:hAnsi="Arial" w:cs="Arial"/>
          <w:b/>
          <w:bCs/>
          <w:iCs/>
        </w:rPr>
        <w:t xml:space="preserve">Mushroom Collection </w:t>
      </w:r>
      <w:r>
        <w:rPr>
          <w:rFonts w:ascii="Arial" w:hAnsi="Arial" w:cs="Arial"/>
          <w:b/>
          <w:bCs/>
          <w:iCs/>
        </w:rPr>
        <w:t>a</w:t>
      </w:r>
      <w:r w:rsidRPr="00560AB7">
        <w:rPr>
          <w:rFonts w:ascii="Arial" w:hAnsi="Arial" w:cs="Arial"/>
          <w:b/>
          <w:bCs/>
          <w:iCs/>
        </w:rPr>
        <w:t>nd Drying</w:t>
      </w:r>
    </w:p>
    <w:p w14:paraId="397EE3F9" w14:textId="77777777" w:rsidR="00560AB7" w:rsidRPr="00560AB7" w:rsidRDefault="00560AB7" w:rsidP="00560AB7">
      <w:pPr>
        <w:pStyle w:val="Body"/>
        <w:spacing w:after="0"/>
        <w:rPr>
          <w:rFonts w:ascii="Arial" w:hAnsi="Arial" w:cs="Arial"/>
        </w:rPr>
      </w:pPr>
      <w:r w:rsidRPr="00560AB7">
        <w:rPr>
          <w:rFonts w:ascii="Arial" w:hAnsi="Arial" w:cs="Arial"/>
        </w:rPr>
        <w:t>Mushroom samples were collected from the biotechnology department of the Federal Institute of Industrial Research Oshodi, Lagos, where oyster mushrooms are cultivated.  Mushrooms were dehydrated using a stainless dehydrator (ST-02, 220- 240V, 50Hz, 1500W) at a temperature of 45°C to a constant weight and pulverized with an electric blender (Kenwood blender 3.0L, 8500W, KC-241B, UK-SPEC) and packed with zip-lock bags for further applications.</w:t>
      </w:r>
    </w:p>
    <w:p w14:paraId="53FCAC03" w14:textId="19A345AB" w:rsidR="00560AB7" w:rsidRPr="00560AB7" w:rsidRDefault="002E6987" w:rsidP="002E6987">
      <w:pPr>
        <w:pStyle w:val="Body"/>
        <w:numPr>
          <w:ilvl w:val="1"/>
          <w:numId w:val="34"/>
        </w:numPr>
        <w:spacing w:after="0"/>
        <w:rPr>
          <w:rFonts w:ascii="Arial" w:hAnsi="Arial" w:cs="Arial"/>
          <w:b/>
          <w:bCs/>
        </w:rPr>
      </w:pPr>
      <w:r w:rsidRPr="00560AB7">
        <w:rPr>
          <w:rFonts w:ascii="Arial" w:hAnsi="Arial" w:cs="Arial"/>
          <w:b/>
          <w:bCs/>
        </w:rPr>
        <w:t xml:space="preserve">Extraction Of Mushroom </w:t>
      </w:r>
    </w:p>
    <w:p w14:paraId="1F5FBFCA" w14:textId="77777777" w:rsidR="00560AB7" w:rsidRPr="00560AB7" w:rsidRDefault="00560AB7" w:rsidP="00560AB7">
      <w:pPr>
        <w:pStyle w:val="Body"/>
        <w:spacing w:after="0"/>
        <w:rPr>
          <w:rFonts w:ascii="Arial" w:hAnsi="Arial" w:cs="Arial"/>
        </w:rPr>
      </w:pPr>
      <w:r w:rsidRPr="00560AB7">
        <w:rPr>
          <w:rFonts w:ascii="Arial" w:hAnsi="Arial" w:cs="Arial"/>
        </w:rPr>
        <w:t xml:space="preserve">The extract preparation was performed using a modified method described by Soares </w:t>
      </w:r>
      <w:commentRangeStart w:id="15"/>
      <w:r w:rsidRPr="00560AB7">
        <w:rPr>
          <w:rFonts w:ascii="Arial" w:hAnsi="Arial" w:cs="Arial"/>
        </w:rPr>
        <w:t xml:space="preserve">et al. </w:t>
      </w:r>
      <w:commentRangeEnd w:id="15"/>
      <w:r w:rsidR="0002215A">
        <w:rPr>
          <w:rStyle w:val="CommentReference"/>
          <w:rFonts w:ascii="Times New Roman" w:hAnsi="Times New Roman"/>
          <w:lang w:val="nb-NO" w:eastAsia="nb-NO"/>
        </w:rPr>
        <w:commentReference w:id="15"/>
      </w:r>
      <w:commentRangeStart w:id="16"/>
      <w:r w:rsidRPr="00560AB7">
        <w:rPr>
          <w:rFonts w:ascii="Arial" w:hAnsi="Arial" w:cs="Arial"/>
        </w:rPr>
        <w:t xml:space="preserve">(2009). </w:t>
      </w:r>
      <w:commentRangeEnd w:id="16"/>
      <w:r w:rsidR="0002215A">
        <w:rPr>
          <w:rStyle w:val="CommentReference"/>
          <w:rFonts w:ascii="Times New Roman" w:hAnsi="Times New Roman"/>
          <w:lang w:val="nb-NO" w:eastAsia="nb-NO"/>
        </w:rPr>
        <w:commentReference w:id="16"/>
      </w:r>
      <w:r w:rsidRPr="00560AB7">
        <w:rPr>
          <w:rFonts w:ascii="Arial" w:hAnsi="Arial" w:cs="Arial"/>
        </w:rPr>
        <w:t>The powdered mushroom sample (500g) was macerated in 2.5 L of absolute ethanol (98.9%) for four days. The resulting mixture was filtered through a clean white muslin cloth, and the filtrate was concentrated at 40°C using a rotary evaporator. The final yield of the extract was 40 g, corresponding to a percentage yield of 12%.</w:t>
      </w:r>
    </w:p>
    <w:p w14:paraId="374D73E9" w14:textId="6C699D01" w:rsidR="00560AB7" w:rsidRPr="00560AB7" w:rsidRDefault="00D014D6" w:rsidP="00D014D6">
      <w:pPr>
        <w:pStyle w:val="Body"/>
        <w:numPr>
          <w:ilvl w:val="1"/>
          <w:numId w:val="34"/>
        </w:numPr>
        <w:spacing w:after="0"/>
        <w:rPr>
          <w:rFonts w:ascii="Arial" w:hAnsi="Arial" w:cs="Arial"/>
          <w:b/>
          <w:bCs/>
        </w:rPr>
      </w:pPr>
      <w:r w:rsidRPr="00560AB7">
        <w:rPr>
          <w:rFonts w:ascii="Arial" w:hAnsi="Arial" w:cs="Arial"/>
          <w:b/>
          <w:bCs/>
        </w:rPr>
        <w:t xml:space="preserve">Toxicity Study </w:t>
      </w:r>
      <w:r>
        <w:rPr>
          <w:rFonts w:ascii="Arial" w:hAnsi="Arial" w:cs="Arial"/>
          <w:b/>
          <w:bCs/>
        </w:rPr>
        <w:t>o</w:t>
      </w:r>
      <w:r w:rsidRPr="00560AB7">
        <w:rPr>
          <w:rFonts w:ascii="Arial" w:hAnsi="Arial" w:cs="Arial"/>
          <w:b/>
          <w:bCs/>
        </w:rPr>
        <w:t xml:space="preserve">f Mushroom Extract </w:t>
      </w:r>
      <w:r w:rsidR="00560AB7" w:rsidRPr="00560AB7">
        <w:rPr>
          <w:rFonts w:ascii="Arial" w:hAnsi="Arial" w:cs="Arial"/>
          <w:b/>
          <w:bCs/>
        </w:rPr>
        <w:t>(LD</w:t>
      </w:r>
      <w:r w:rsidR="00560AB7" w:rsidRPr="00560AB7">
        <w:rPr>
          <w:rFonts w:ascii="Arial" w:hAnsi="Arial" w:cs="Arial"/>
          <w:b/>
          <w:bCs/>
          <w:vertAlign w:val="subscript"/>
        </w:rPr>
        <w:t>50</w:t>
      </w:r>
      <w:r w:rsidR="00560AB7" w:rsidRPr="00560AB7">
        <w:rPr>
          <w:rFonts w:ascii="Arial" w:hAnsi="Arial" w:cs="Arial"/>
          <w:b/>
          <w:bCs/>
        </w:rPr>
        <w:t>)</w:t>
      </w:r>
    </w:p>
    <w:p w14:paraId="31648F15" w14:textId="77777777" w:rsidR="00560AB7" w:rsidRPr="00560AB7" w:rsidRDefault="00560AB7" w:rsidP="00560AB7">
      <w:pPr>
        <w:pStyle w:val="Body"/>
        <w:spacing w:after="0"/>
        <w:rPr>
          <w:rFonts w:ascii="Arial" w:hAnsi="Arial" w:cs="Arial"/>
        </w:rPr>
      </w:pPr>
      <w:r w:rsidRPr="00560AB7">
        <w:rPr>
          <w:rFonts w:ascii="Arial" w:hAnsi="Arial" w:cs="Arial"/>
        </w:rPr>
        <w:t>An acute oral toxicity study (LD</w:t>
      </w:r>
      <w:r w:rsidRPr="00560AB7">
        <w:rPr>
          <w:rFonts w:ascii="Cambria Math" w:hAnsi="Cambria Math" w:cs="Cambria Math"/>
        </w:rPr>
        <w:t>₅₀</w:t>
      </w:r>
      <w:r w:rsidRPr="00560AB7">
        <w:rPr>
          <w:rFonts w:ascii="Arial" w:hAnsi="Arial" w:cs="Arial"/>
        </w:rPr>
        <w:t xml:space="preserve">) was conducted following the method described by Obode </w:t>
      </w:r>
      <w:commentRangeStart w:id="17"/>
      <w:r w:rsidRPr="00560AB7">
        <w:rPr>
          <w:rFonts w:ascii="Arial" w:hAnsi="Arial" w:cs="Arial"/>
        </w:rPr>
        <w:t>et al</w:t>
      </w:r>
      <w:commentRangeEnd w:id="17"/>
      <w:r w:rsidR="0002215A">
        <w:rPr>
          <w:rStyle w:val="CommentReference"/>
          <w:rFonts w:ascii="Times New Roman" w:hAnsi="Times New Roman"/>
          <w:lang w:val="nb-NO" w:eastAsia="nb-NO"/>
        </w:rPr>
        <w:commentReference w:id="17"/>
      </w:r>
      <w:r w:rsidRPr="00560AB7">
        <w:rPr>
          <w:rFonts w:ascii="Arial" w:hAnsi="Arial" w:cs="Arial"/>
        </w:rPr>
        <w:t xml:space="preserve">. (2021). Groups of eight Wistar rats were administered extract doses of 1500, 3000, and 6000 mg/kg body weight, respectively. </w:t>
      </w:r>
      <w:commentRangeStart w:id="18"/>
      <w:r w:rsidRPr="00560AB7">
        <w:rPr>
          <w:rFonts w:ascii="Arial" w:hAnsi="Arial" w:cs="Arial"/>
        </w:rPr>
        <w:t>No mortality or observable signs of toxicity were recorded during the study, indicating that the extract was non-toxic at the administered doses</w:t>
      </w:r>
      <w:commentRangeEnd w:id="18"/>
      <w:r w:rsidR="0002215A">
        <w:rPr>
          <w:rStyle w:val="CommentReference"/>
          <w:rFonts w:ascii="Times New Roman" w:hAnsi="Times New Roman"/>
          <w:lang w:val="nb-NO" w:eastAsia="nb-NO"/>
        </w:rPr>
        <w:commentReference w:id="18"/>
      </w:r>
      <w:r w:rsidRPr="00560AB7">
        <w:rPr>
          <w:rFonts w:ascii="Arial" w:hAnsi="Arial" w:cs="Arial"/>
        </w:rPr>
        <w:t>.</w:t>
      </w:r>
    </w:p>
    <w:p w14:paraId="3F9FDED5" w14:textId="5BBEC28B" w:rsidR="00560AB7" w:rsidRPr="00560AB7" w:rsidRDefault="00560AB7" w:rsidP="00D014D6">
      <w:pPr>
        <w:pStyle w:val="Body"/>
        <w:numPr>
          <w:ilvl w:val="1"/>
          <w:numId w:val="34"/>
        </w:numPr>
        <w:spacing w:after="0"/>
        <w:rPr>
          <w:rFonts w:ascii="Arial" w:hAnsi="Arial" w:cs="Arial"/>
          <w:b/>
          <w:bCs/>
        </w:rPr>
      </w:pPr>
      <w:r w:rsidRPr="00560AB7">
        <w:rPr>
          <w:rFonts w:ascii="Arial" w:hAnsi="Arial" w:cs="Arial"/>
          <w:b/>
          <w:bCs/>
        </w:rPr>
        <w:t xml:space="preserve"> </w:t>
      </w:r>
      <w:r w:rsidR="00D014D6" w:rsidRPr="00560AB7">
        <w:rPr>
          <w:rFonts w:ascii="Arial" w:hAnsi="Arial" w:cs="Arial"/>
          <w:b/>
          <w:bCs/>
        </w:rPr>
        <w:t xml:space="preserve">Animals Used </w:t>
      </w:r>
      <w:r w:rsidR="00D014D6">
        <w:rPr>
          <w:rFonts w:ascii="Arial" w:hAnsi="Arial" w:cs="Arial"/>
          <w:b/>
          <w:bCs/>
        </w:rPr>
        <w:t>i</w:t>
      </w:r>
      <w:r w:rsidR="00D014D6" w:rsidRPr="00560AB7">
        <w:rPr>
          <w:rFonts w:ascii="Arial" w:hAnsi="Arial" w:cs="Arial"/>
          <w:b/>
          <w:bCs/>
        </w:rPr>
        <w:t>n Experiment</w:t>
      </w:r>
    </w:p>
    <w:p w14:paraId="73345483" w14:textId="306009D7" w:rsidR="00560AB7" w:rsidRPr="00560AB7" w:rsidRDefault="00560AB7" w:rsidP="00560AB7">
      <w:pPr>
        <w:pStyle w:val="Body"/>
        <w:spacing w:after="0"/>
        <w:rPr>
          <w:rFonts w:ascii="Arial" w:hAnsi="Arial" w:cs="Arial"/>
          <w:bCs/>
          <w:iCs/>
        </w:rPr>
      </w:pPr>
      <w:r w:rsidRPr="00560AB7">
        <w:rPr>
          <w:rFonts w:ascii="Arial" w:hAnsi="Arial" w:cs="Arial"/>
        </w:rPr>
        <w:t>Healthy male albino Wistar rats</w:t>
      </w:r>
      <w:r w:rsidR="00107228">
        <w:rPr>
          <w:rFonts w:ascii="Arial" w:hAnsi="Arial" w:cs="Arial"/>
        </w:rPr>
        <w:t xml:space="preserve"> </w:t>
      </w:r>
      <w:r w:rsidRPr="00560AB7">
        <w:rPr>
          <w:rFonts w:ascii="Arial" w:hAnsi="Arial" w:cs="Arial"/>
        </w:rPr>
        <w:t xml:space="preserve">were housed under standard laboratory conditions at an ambient temperature and maintained on a 12-hour light/dark cycle. During a 72-hour acclimatization period, the rats were fed standardized laboratory chow obtained from Ojuoye Market, Mushin, Lagos, and provided with water </w:t>
      </w:r>
      <w:commentRangeStart w:id="19"/>
      <w:r w:rsidRPr="00560AB7">
        <w:rPr>
          <w:rFonts w:ascii="Arial" w:hAnsi="Arial" w:cs="Arial"/>
        </w:rPr>
        <w:t>ad libitum</w:t>
      </w:r>
      <w:commentRangeEnd w:id="19"/>
      <w:r w:rsidR="003E1A36">
        <w:rPr>
          <w:rStyle w:val="CommentReference"/>
          <w:rFonts w:ascii="Times New Roman" w:hAnsi="Times New Roman"/>
          <w:lang w:val="nb-NO" w:eastAsia="nb-NO"/>
        </w:rPr>
        <w:commentReference w:id="19"/>
      </w:r>
      <w:r w:rsidRPr="00560AB7">
        <w:rPr>
          <w:rFonts w:ascii="Arial" w:hAnsi="Arial" w:cs="Arial"/>
        </w:rPr>
        <w:t>.</w:t>
      </w:r>
      <w:commentRangeStart w:id="20"/>
      <w:r w:rsidRPr="00560AB7">
        <w:rPr>
          <w:rFonts w:ascii="Arial" w:hAnsi="Arial" w:cs="Arial"/>
        </w:rPr>
        <w:t xml:space="preserve"> The study was carried out with the guidelines approved for the Care and Use of Laboratory Animals by Rhema University, Aba, Abia State.</w:t>
      </w:r>
      <w:r w:rsidRPr="00560AB7">
        <w:rPr>
          <w:rFonts w:ascii="Arial" w:hAnsi="Arial" w:cs="Arial"/>
          <w:bCs/>
          <w:iCs/>
        </w:rPr>
        <w:t xml:space="preserve"> </w:t>
      </w:r>
    </w:p>
    <w:p w14:paraId="399B1C34" w14:textId="4C1D7AEE" w:rsidR="00560AB7" w:rsidRPr="00560AB7" w:rsidRDefault="00D014D6" w:rsidP="00D014D6">
      <w:pPr>
        <w:pStyle w:val="Body"/>
        <w:numPr>
          <w:ilvl w:val="1"/>
          <w:numId w:val="34"/>
        </w:numPr>
        <w:spacing w:after="0"/>
        <w:rPr>
          <w:rFonts w:ascii="Arial" w:hAnsi="Arial" w:cs="Arial"/>
          <w:b/>
          <w:iCs/>
        </w:rPr>
      </w:pPr>
      <w:r w:rsidRPr="00560AB7">
        <w:rPr>
          <w:rFonts w:ascii="Arial" w:hAnsi="Arial" w:cs="Arial"/>
          <w:b/>
          <w:iCs/>
        </w:rPr>
        <w:t xml:space="preserve">Induction </w:t>
      </w:r>
      <w:commentRangeEnd w:id="20"/>
      <w:r w:rsidR="003E1A36">
        <w:rPr>
          <w:rStyle w:val="CommentReference"/>
          <w:rFonts w:ascii="Times New Roman" w:hAnsi="Times New Roman"/>
          <w:lang w:val="nb-NO" w:eastAsia="nb-NO"/>
        </w:rPr>
        <w:commentReference w:id="20"/>
      </w:r>
      <w:r w:rsidRPr="00560AB7">
        <w:rPr>
          <w:rFonts w:ascii="Arial" w:hAnsi="Arial" w:cs="Arial"/>
          <w:b/>
          <w:iCs/>
        </w:rPr>
        <w:t>Of Diabetes</w:t>
      </w:r>
    </w:p>
    <w:p w14:paraId="0E95BF0D" w14:textId="77777777" w:rsidR="00560AB7" w:rsidRPr="00560AB7" w:rsidRDefault="00560AB7" w:rsidP="00560AB7">
      <w:pPr>
        <w:pStyle w:val="Body"/>
        <w:spacing w:after="0"/>
        <w:rPr>
          <w:rFonts w:ascii="Arial" w:hAnsi="Arial" w:cs="Arial"/>
          <w:bCs/>
          <w:iCs/>
        </w:rPr>
      </w:pPr>
      <w:r w:rsidRPr="00560AB7">
        <w:rPr>
          <w:rFonts w:ascii="Arial" w:hAnsi="Arial" w:cs="Arial"/>
          <w:bCs/>
          <w:iCs/>
        </w:rPr>
        <w:t>Diabetic conditions were induced by a single intraperitoneal injection (i.p) of 40mg/kg of streptozotocin in about 6 mL of citrate buffer (pH 4.5) and monitored. After 48 hours of streptozotocin injection, some physiological observations were seen, such as frequent u</w:t>
      </w:r>
      <w:commentRangeStart w:id="21"/>
      <w:r w:rsidRPr="00560AB7">
        <w:rPr>
          <w:rFonts w:ascii="Arial" w:hAnsi="Arial" w:cs="Arial"/>
          <w:bCs/>
          <w:iCs/>
        </w:rPr>
        <w:t>rination of experimental animals as reported by</w:t>
      </w:r>
      <w:r w:rsidRPr="00560AB7">
        <w:rPr>
          <w:rFonts w:ascii="Arial" w:hAnsi="Arial" w:cs="Arial"/>
        </w:rPr>
        <w:t xml:space="preserve"> Longhurst &amp; Belis.,1986; Akbarzadeh </w:t>
      </w:r>
      <w:r w:rsidRPr="00560AB7">
        <w:rPr>
          <w:rFonts w:ascii="Arial" w:hAnsi="Arial" w:cs="Arial"/>
          <w:i/>
          <w:iCs/>
        </w:rPr>
        <w:t>et al</w:t>
      </w:r>
      <w:r w:rsidRPr="00560AB7">
        <w:rPr>
          <w:rFonts w:ascii="Arial" w:hAnsi="Arial" w:cs="Arial"/>
        </w:rPr>
        <w:t>.,2007</w:t>
      </w:r>
      <w:r w:rsidRPr="00560AB7">
        <w:rPr>
          <w:rFonts w:ascii="Arial" w:hAnsi="Arial" w:cs="Arial"/>
          <w:bCs/>
          <w:iCs/>
        </w:rPr>
        <w:t xml:space="preserve">. Then an </w:t>
      </w:r>
      <w:r w:rsidRPr="00560AB7">
        <w:rPr>
          <w:rFonts w:ascii="Arial" w:hAnsi="Arial" w:cs="Arial"/>
          <w:i/>
          <w:iCs/>
        </w:rPr>
        <w:t xml:space="preserve">On Call® Plus II </w:t>
      </w:r>
      <w:r w:rsidRPr="00560AB7">
        <w:rPr>
          <w:rFonts w:ascii="Arial" w:hAnsi="Arial" w:cs="Arial"/>
        </w:rPr>
        <w:t>glucometer with blood glucose test strips (Acon Laboratories</w:t>
      </w:r>
      <w:commentRangeEnd w:id="21"/>
      <w:r w:rsidR="003E1A36">
        <w:rPr>
          <w:rStyle w:val="CommentReference"/>
          <w:rFonts w:ascii="Times New Roman" w:hAnsi="Times New Roman"/>
          <w:lang w:val="nb-NO" w:eastAsia="nb-NO"/>
        </w:rPr>
        <w:commentReference w:id="21"/>
      </w:r>
      <w:r w:rsidRPr="00560AB7">
        <w:rPr>
          <w:rFonts w:ascii="Arial" w:hAnsi="Arial" w:cs="Arial"/>
        </w:rPr>
        <w:t xml:space="preserve">, San Diego, USA) were used to check the blood glucose of STZ-induced animals, with serum glucose levels above 200mg/dl considered as diabetic and separated and grouped for treatment. </w:t>
      </w:r>
    </w:p>
    <w:p w14:paraId="21CF0621" w14:textId="18509103" w:rsidR="00560AB7" w:rsidRPr="00560AB7" w:rsidRDefault="00D014D6" w:rsidP="00D014D6">
      <w:pPr>
        <w:pStyle w:val="Body"/>
        <w:numPr>
          <w:ilvl w:val="1"/>
          <w:numId w:val="34"/>
        </w:numPr>
        <w:spacing w:after="0"/>
        <w:rPr>
          <w:rFonts w:ascii="Arial" w:hAnsi="Arial" w:cs="Arial"/>
          <w:b/>
          <w:bCs/>
        </w:rPr>
      </w:pPr>
      <w:r w:rsidRPr="00560AB7">
        <w:rPr>
          <w:rFonts w:ascii="Arial" w:hAnsi="Arial" w:cs="Arial"/>
          <w:b/>
          <w:bCs/>
        </w:rPr>
        <w:t xml:space="preserve">Experimental Design </w:t>
      </w:r>
      <w:r>
        <w:rPr>
          <w:rFonts w:ascii="Arial" w:hAnsi="Arial" w:cs="Arial"/>
          <w:b/>
          <w:bCs/>
        </w:rPr>
        <w:t>f</w:t>
      </w:r>
      <w:r w:rsidRPr="00560AB7">
        <w:rPr>
          <w:rFonts w:ascii="Arial" w:hAnsi="Arial" w:cs="Arial"/>
          <w:b/>
          <w:bCs/>
        </w:rPr>
        <w:t>or Study</w:t>
      </w:r>
    </w:p>
    <w:p w14:paraId="1E2AE081" w14:textId="77777777" w:rsidR="00560AB7" w:rsidRPr="00560AB7" w:rsidRDefault="00560AB7" w:rsidP="00560AB7">
      <w:pPr>
        <w:pStyle w:val="Body"/>
        <w:spacing w:after="0"/>
        <w:rPr>
          <w:rFonts w:ascii="Arial" w:hAnsi="Arial" w:cs="Arial"/>
        </w:rPr>
      </w:pPr>
      <w:r w:rsidRPr="00560AB7">
        <w:rPr>
          <w:rFonts w:ascii="Arial" w:hAnsi="Arial" w:cs="Arial"/>
        </w:rPr>
        <w:t>Following acclimatization, the animals designated for diabetes induction were fed a high-fat diet and high-fructose syrup for 18 days to promote insulin resistance.  The diabetic rats were randomized into five treatment groups (n = 10 per group), and a sixth group served as the normal control. The experimental groups were as follows:</w:t>
      </w:r>
    </w:p>
    <w:p w14:paraId="6DF37766" w14:textId="77777777" w:rsidR="00560AB7" w:rsidRPr="00560AB7" w:rsidRDefault="00560AB7" w:rsidP="00560AB7">
      <w:pPr>
        <w:pStyle w:val="Body"/>
        <w:numPr>
          <w:ilvl w:val="0"/>
          <w:numId w:val="32"/>
        </w:numPr>
        <w:spacing w:after="0"/>
        <w:rPr>
          <w:rFonts w:ascii="Arial" w:hAnsi="Arial" w:cs="Arial"/>
        </w:rPr>
      </w:pPr>
      <w:r w:rsidRPr="00560AB7">
        <w:rPr>
          <w:rFonts w:ascii="Arial" w:hAnsi="Arial" w:cs="Arial"/>
          <w:b/>
          <w:bCs/>
        </w:rPr>
        <w:lastRenderedPageBreak/>
        <w:t>Group 1 (Normal Control, NC):</w:t>
      </w:r>
      <w:r w:rsidRPr="00560AB7">
        <w:rPr>
          <w:rFonts w:ascii="Arial" w:hAnsi="Arial" w:cs="Arial"/>
        </w:rPr>
        <w:t xml:space="preserve"> Non-diabetic rats fed standard rat chow and water </w:t>
      </w:r>
      <w:r w:rsidRPr="00560AB7">
        <w:rPr>
          <w:rFonts w:ascii="Arial" w:hAnsi="Arial" w:cs="Arial"/>
          <w:i/>
          <w:iCs/>
        </w:rPr>
        <w:t>ad libitum</w:t>
      </w:r>
    </w:p>
    <w:p w14:paraId="30386949" w14:textId="77777777" w:rsidR="00560AB7" w:rsidRPr="00560AB7" w:rsidRDefault="00560AB7" w:rsidP="00560AB7">
      <w:pPr>
        <w:pStyle w:val="Body"/>
        <w:numPr>
          <w:ilvl w:val="0"/>
          <w:numId w:val="32"/>
        </w:numPr>
        <w:spacing w:after="0"/>
        <w:rPr>
          <w:rFonts w:ascii="Arial" w:hAnsi="Arial" w:cs="Arial"/>
        </w:rPr>
      </w:pPr>
      <w:r w:rsidRPr="00560AB7">
        <w:rPr>
          <w:rFonts w:ascii="Arial" w:hAnsi="Arial" w:cs="Arial"/>
          <w:b/>
          <w:bCs/>
        </w:rPr>
        <w:t>Group 2 (Diabetic Control, DC):</w:t>
      </w:r>
      <w:r w:rsidRPr="00560AB7">
        <w:rPr>
          <w:rFonts w:ascii="Arial" w:hAnsi="Arial" w:cs="Arial"/>
        </w:rPr>
        <w:t xml:space="preserve"> Diabetic rats receiving no treatment</w:t>
      </w:r>
    </w:p>
    <w:p w14:paraId="7F2BD847" w14:textId="77777777" w:rsidR="00560AB7" w:rsidRPr="00560AB7" w:rsidRDefault="00560AB7" w:rsidP="00560AB7">
      <w:pPr>
        <w:pStyle w:val="Body"/>
        <w:numPr>
          <w:ilvl w:val="0"/>
          <w:numId w:val="32"/>
        </w:numPr>
        <w:spacing w:after="0"/>
        <w:rPr>
          <w:rFonts w:ascii="Arial" w:hAnsi="Arial" w:cs="Arial"/>
        </w:rPr>
      </w:pPr>
      <w:r w:rsidRPr="00560AB7">
        <w:rPr>
          <w:rFonts w:ascii="Arial" w:hAnsi="Arial" w:cs="Arial"/>
          <w:b/>
          <w:bCs/>
        </w:rPr>
        <w:t>Group 3 (PTE):</w:t>
      </w:r>
      <w:r w:rsidRPr="00560AB7">
        <w:rPr>
          <w:rFonts w:ascii="Arial" w:hAnsi="Arial" w:cs="Arial"/>
        </w:rPr>
        <w:t xml:space="preserve"> Diabetic rats treated with 200 mg/kg of </w:t>
      </w:r>
      <w:r w:rsidRPr="00560AB7">
        <w:rPr>
          <w:rFonts w:ascii="Arial" w:hAnsi="Arial" w:cs="Arial"/>
          <w:i/>
          <w:iCs/>
        </w:rPr>
        <w:t>Pleurotus tuber-regium</w:t>
      </w:r>
      <w:r w:rsidRPr="00560AB7">
        <w:rPr>
          <w:rFonts w:ascii="Arial" w:hAnsi="Arial" w:cs="Arial"/>
        </w:rPr>
        <w:t xml:space="preserve"> extract</w:t>
      </w:r>
    </w:p>
    <w:p w14:paraId="501515ED" w14:textId="77777777" w:rsidR="00560AB7" w:rsidRPr="00560AB7" w:rsidRDefault="00560AB7" w:rsidP="00560AB7">
      <w:pPr>
        <w:pStyle w:val="Body"/>
        <w:numPr>
          <w:ilvl w:val="0"/>
          <w:numId w:val="32"/>
        </w:numPr>
        <w:spacing w:after="0"/>
        <w:rPr>
          <w:rFonts w:ascii="Arial" w:hAnsi="Arial" w:cs="Arial"/>
        </w:rPr>
      </w:pPr>
      <w:r w:rsidRPr="00560AB7">
        <w:rPr>
          <w:rFonts w:ascii="Arial" w:hAnsi="Arial" w:cs="Arial"/>
          <w:b/>
          <w:bCs/>
        </w:rPr>
        <w:t>Group 4 (PTM):</w:t>
      </w:r>
      <w:r w:rsidRPr="00560AB7">
        <w:rPr>
          <w:rFonts w:ascii="Arial" w:hAnsi="Arial" w:cs="Arial"/>
        </w:rPr>
        <w:t xml:space="preserve"> Diabetic rats treated with 400 mg/kg of </w:t>
      </w:r>
      <w:r w:rsidRPr="00560AB7">
        <w:rPr>
          <w:rFonts w:ascii="Arial" w:hAnsi="Arial" w:cs="Arial"/>
          <w:i/>
          <w:iCs/>
        </w:rPr>
        <w:t>Pleurotus tuber-regium</w:t>
      </w:r>
      <w:r w:rsidRPr="00560AB7">
        <w:rPr>
          <w:rFonts w:ascii="Arial" w:hAnsi="Arial" w:cs="Arial"/>
        </w:rPr>
        <w:t xml:space="preserve"> extract </w:t>
      </w:r>
    </w:p>
    <w:p w14:paraId="53F701EF" w14:textId="77777777" w:rsidR="00560AB7" w:rsidRPr="00560AB7" w:rsidRDefault="00560AB7" w:rsidP="00560AB7">
      <w:pPr>
        <w:pStyle w:val="Body"/>
        <w:numPr>
          <w:ilvl w:val="0"/>
          <w:numId w:val="32"/>
        </w:numPr>
        <w:spacing w:after="0"/>
        <w:rPr>
          <w:rFonts w:ascii="Arial" w:hAnsi="Arial" w:cs="Arial"/>
        </w:rPr>
      </w:pPr>
      <w:r w:rsidRPr="00560AB7">
        <w:rPr>
          <w:rFonts w:ascii="Arial" w:hAnsi="Arial" w:cs="Arial"/>
          <w:b/>
          <w:bCs/>
        </w:rPr>
        <w:t>Group 5 (PTH):</w:t>
      </w:r>
      <w:r w:rsidRPr="00560AB7">
        <w:rPr>
          <w:rFonts w:ascii="Arial" w:hAnsi="Arial" w:cs="Arial"/>
        </w:rPr>
        <w:t xml:space="preserve"> Diabetic rats treated with 800mg/kg of</w:t>
      </w:r>
      <w:r w:rsidRPr="00560AB7">
        <w:rPr>
          <w:rFonts w:ascii="Arial" w:hAnsi="Arial" w:cs="Arial"/>
          <w:i/>
          <w:iCs/>
        </w:rPr>
        <w:t xml:space="preserve"> Pleurotus tuber-regium</w:t>
      </w:r>
      <w:r w:rsidRPr="00560AB7">
        <w:rPr>
          <w:rFonts w:ascii="Arial" w:hAnsi="Arial" w:cs="Arial"/>
        </w:rPr>
        <w:t xml:space="preserve"> extract</w:t>
      </w:r>
    </w:p>
    <w:p w14:paraId="461209B0" w14:textId="77777777" w:rsidR="00560AB7" w:rsidRPr="00560AB7" w:rsidRDefault="00560AB7" w:rsidP="00560AB7">
      <w:pPr>
        <w:pStyle w:val="Body"/>
        <w:numPr>
          <w:ilvl w:val="0"/>
          <w:numId w:val="32"/>
        </w:numPr>
        <w:spacing w:after="0"/>
        <w:rPr>
          <w:rFonts w:ascii="Arial" w:hAnsi="Arial" w:cs="Arial"/>
        </w:rPr>
      </w:pPr>
      <w:r w:rsidRPr="00560AB7">
        <w:rPr>
          <w:rFonts w:ascii="Arial" w:hAnsi="Arial" w:cs="Arial"/>
          <w:b/>
          <w:bCs/>
        </w:rPr>
        <w:t xml:space="preserve">Group 6 (STD): </w:t>
      </w:r>
      <w:r w:rsidRPr="00560AB7">
        <w:rPr>
          <w:rFonts w:ascii="Arial" w:hAnsi="Arial" w:cs="Arial"/>
        </w:rPr>
        <w:t>Diabetic rats treated with 80mg/kg of Metformin</w:t>
      </w:r>
    </w:p>
    <w:p w14:paraId="3D0A72F0" w14:textId="77777777" w:rsidR="00560AB7" w:rsidRPr="00560AB7" w:rsidRDefault="00560AB7" w:rsidP="00560AB7">
      <w:pPr>
        <w:pStyle w:val="Body"/>
        <w:spacing w:after="0"/>
        <w:rPr>
          <w:rFonts w:ascii="Arial" w:hAnsi="Arial" w:cs="Arial"/>
          <w:bCs/>
          <w:iCs/>
        </w:rPr>
      </w:pPr>
      <w:r w:rsidRPr="00560AB7">
        <w:rPr>
          <w:rFonts w:ascii="Arial" w:hAnsi="Arial" w:cs="Arial"/>
        </w:rPr>
        <w:t>Treatments were administered orally once daily for 9 weeks (63 days). All rats had continuous access to standard chow and water throughout the study. Body weight and fasting blood glucose levels were monitored regularly during the experimental period</w:t>
      </w:r>
      <w:bookmarkStart w:id="22" w:name="_Hlk198031257"/>
      <w:r w:rsidRPr="00560AB7">
        <w:rPr>
          <w:rFonts w:ascii="Arial" w:hAnsi="Arial" w:cs="Arial"/>
        </w:rPr>
        <w:t>.</w:t>
      </w:r>
      <w:r w:rsidRPr="00560AB7">
        <w:rPr>
          <w:rFonts w:ascii="Arial" w:hAnsi="Arial" w:cs="Arial"/>
          <w:bCs/>
          <w:iCs/>
        </w:rPr>
        <w:t xml:space="preserve"> </w:t>
      </w:r>
    </w:p>
    <w:bookmarkEnd w:id="22"/>
    <w:p w14:paraId="54E83E66" w14:textId="0254C2F3" w:rsidR="00560AB7" w:rsidRPr="00560AB7" w:rsidRDefault="00107228" w:rsidP="002E6987">
      <w:pPr>
        <w:pStyle w:val="Body"/>
        <w:numPr>
          <w:ilvl w:val="1"/>
          <w:numId w:val="34"/>
        </w:numPr>
        <w:spacing w:after="0"/>
        <w:rPr>
          <w:rFonts w:ascii="Arial" w:hAnsi="Arial" w:cs="Arial"/>
          <w:b/>
          <w:bCs/>
        </w:rPr>
      </w:pPr>
      <w:r w:rsidRPr="00560AB7">
        <w:rPr>
          <w:rFonts w:ascii="Arial" w:hAnsi="Arial" w:cs="Arial"/>
          <w:b/>
          <w:bCs/>
        </w:rPr>
        <w:t xml:space="preserve">Determination </w:t>
      </w:r>
      <w:r>
        <w:rPr>
          <w:rFonts w:ascii="Arial" w:hAnsi="Arial" w:cs="Arial"/>
          <w:b/>
          <w:bCs/>
        </w:rPr>
        <w:t>o</w:t>
      </w:r>
      <w:r w:rsidRPr="00560AB7">
        <w:rPr>
          <w:rFonts w:ascii="Arial" w:hAnsi="Arial" w:cs="Arial"/>
          <w:b/>
          <w:bCs/>
        </w:rPr>
        <w:t>f Fasting Blood Glucose</w:t>
      </w:r>
    </w:p>
    <w:p w14:paraId="6CAEA765" w14:textId="77777777" w:rsidR="00560AB7" w:rsidRPr="00560AB7" w:rsidRDefault="00560AB7" w:rsidP="00560AB7">
      <w:pPr>
        <w:pStyle w:val="Body"/>
        <w:spacing w:after="0"/>
        <w:rPr>
          <w:rFonts w:ascii="Arial" w:hAnsi="Arial" w:cs="Arial"/>
          <w:b/>
          <w:bCs/>
        </w:rPr>
      </w:pPr>
      <w:r w:rsidRPr="00560AB7">
        <w:rPr>
          <w:rFonts w:ascii="Arial" w:hAnsi="Arial" w:cs="Arial"/>
        </w:rPr>
        <w:t xml:space="preserve">Fasting blood glucose levels were determined after a 12-hour overnight fast. A small puncture was made at the tip of each rat’s tail, and blood samples were collected using </w:t>
      </w:r>
      <w:r w:rsidRPr="00560AB7">
        <w:rPr>
          <w:rFonts w:ascii="Arial" w:hAnsi="Arial" w:cs="Arial"/>
          <w:i/>
          <w:iCs/>
        </w:rPr>
        <w:t>On Call® Plus II</w:t>
      </w:r>
      <w:r w:rsidRPr="00560AB7">
        <w:rPr>
          <w:rFonts w:ascii="Arial" w:hAnsi="Arial" w:cs="Arial"/>
        </w:rPr>
        <w:t xml:space="preserve"> blood glucose test strips (Acon Laboratories, San Diego, USA). The strips were inserted into the </w:t>
      </w:r>
      <w:r w:rsidRPr="00560AB7">
        <w:rPr>
          <w:rFonts w:ascii="Arial" w:hAnsi="Arial" w:cs="Arial"/>
          <w:i/>
          <w:iCs/>
        </w:rPr>
        <w:t>On Call® Plus II</w:t>
      </w:r>
      <w:r w:rsidRPr="00560AB7">
        <w:rPr>
          <w:rFonts w:ascii="Arial" w:hAnsi="Arial" w:cs="Arial"/>
        </w:rPr>
        <w:t xml:space="preserve"> glucometer to obtain glucose readings, following the method described by Jarald </w:t>
      </w:r>
      <w:commentRangeStart w:id="23"/>
      <w:r w:rsidRPr="00560AB7">
        <w:rPr>
          <w:rFonts w:ascii="Arial" w:hAnsi="Arial" w:cs="Arial"/>
        </w:rPr>
        <w:t xml:space="preserve">et al. </w:t>
      </w:r>
      <w:commentRangeEnd w:id="23"/>
      <w:r w:rsidR="003E1A36">
        <w:rPr>
          <w:rStyle w:val="CommentReference"/>
          <w:rFonts w:ascii="Times New Roman" w:hAnsi="Times New Roman"/>
          <w:lang w:val="nb-NO" w:eastAsia="nb-NO"/>
        </w:rPr>
        <w:commentReference w:id="23"/>
      </w:r>
      <w:r w:rsidRPr="00560AB7">
        <w:rPr>
          <w:rFonts w:ascii="Arial" w:hAnsi="Arial" w:cs="Arial"/>
        </w:rPr>
        <w:t>(2013). Blood glucose measurements were taken before the commencement of treatment and subsequently at 7-day intervals throughout the experiment. Following 48 hours of streptozotocin (40 mg/kg) administration, blood samples were collected for serum assay, and the pancreas was harvested for further biochemical and histological analyses.</w:t>
      </w:r>
    </w:p>
    <w:p w14:paraId="0358AD74" w14:textId="466FA557" w:rsidR="00560AB7" w:rsidRPr="00560AB7" w:rsidRDefault="00107228" w:rsidP="00107228">
      <w:pPr>
        <w:pStyle w:val="Body"/>
        <w:numPr>
          <w:ilvl w:val="1"/>
          <w:numId w:val="34"/>
        </w:numPr>
        <w:spacing w:after="0"/>
        <w:rPr>
          <w:rFonts w:ascii="Arial" w:hAnsi="Arial" w:cs="Arial"/>
        </w:rPr>
      </w:pPr>
      <w:r w:rsidRPr="00560AB7">
        <w:rPr>
          <w:rFonts w:ascii="Arial" w:hAnsi="Arial" w:cs="Arial"/>
          <w:b/>
          <w:bCs/>
        </w:rPr>
        <w:t xml:space="preserve">Determination </w:t>
      </w:r>
      <w:r>
        <w:rPr>
          <w:rFonts w:ascii="Arial" w:hAnsi="Arial" w:cs="Arial"/>
          <w:b/>
          <w:bCs/>
        </w:rPr>
        <w:t>o</w:t>
      </w:r>
      <w:r w:rsidRPr="00560AB7">
        <w:rPr>
          <w:rFonts w:ascii="Arial" w:hAnsi="Arial" w:cs="Arial"/>
          <w:b/>
          <w:bCs/>
        </w:rPr>
        <w:t>f Blood Lipid Profile</w:t>
      </w:r>
    </w:p>
    <w:p w14:paraId="7C02F402" w14:textId="77777777" w:rsidR="00560AB7" w:rsidRPr="00560AB7" w:rsidRDefault="00560AB7" w:rsidP="00560AB7">
      <w:pPr>
        <w:pStyle w:val="Body"/>
        <w:spacing w:after="0"/>
        <w:rPr>
          <w:rFonts w:ascii="Arial" w:hAnsi="Arial" w:cs="Arial"/>
        </w:rPr>
      </w:pPr>
      <w:r w:rsidRPr="00560AB7">
        <w:rPr>
          <w:rFonts w:ascii="Arial" w:hAnsi="Arial" w:cs="Arial"/>
        </w:rPr>
        <w:t>Blood samples were collected from the rats via the retro-orbital plexus under light anaesthesia. The samples were allowed to clot at room temperature and subsequently centrifuged at 3000 rpm for 15 minutes to separate the serum. Lipid profile analysis was conducted using the serum obtained. Triglycerides (TG), total cholesterol (TC), and high-density lipoprotein cholesterol (HDL-C) levels were determined using a Biolab assay kit with an automated chemistry analyser (SFRI, BSA, France), following the procedure described by Gebrie et al. (2018), with slight modifications in the analyser model employed. Low-density lipoprotein cholesterol (LDL-C) was calculated using the Friedewald equation (</w:t>
      </w:r>
      <w:commentRangeStart w:id="24"/>
      <w:r w:rsidRPr="00560AB7">
        <w:rPr>
          <w:rFonts w:ascii="Arial" w:hAnsi="Arial" w:cs="Arial"/>
        </w:rPr>
        <w:t>Friedewald &amp; Levy, 1972)</w:t>
      </w:r>
      <w:commentRangeEnd w:id="24"/>
      <w:r w:rsidR="00663A4F">
        <w:rPr>
          <w:rStyle w:val="CommentReference"/>
          <w:rFonts w:ascii="Times New Roman" w:hAnsi="Times New Roman"/>
          <w:lang w:val="nb-NO" w:eastAsia="nb-NO"/>
        </w:rPr>
        <w:commentReference w:id="24"/>
      </w:r>
    </w:p>
    <w:p w14:paraId="1857EBC3" w14:textId="77777777" w:rsidR="00560AB7" w:rsidRPr="00560AB7" w:rsidRDefault="00560AB7" w:rsidP="00560AB7">
      <w:pPr>
        <w:pStyle w:val="Body"/>
        <w:spacing w:after="0"/>
        <w:rPr>
          <w:rFonts w:ascii="Arial" w:hAnsi="Arial" w:cs="Arial"/>
        </w:rPr>
      </w:pPr>
      <w:r w:rsidRPr="00560AB7">
        <w:rPr>
          <w:rFonts w:ascii="Arial" w:hAnsi="Arial" w:cs="Arial"/>
        </w:rPr>
        <w:t xml:space="preserve">LDL Cholesterol = </w:t>
      </w:r>
      <w:r w:rsidRPr="00560AB7">
        <w:rPr>
          <w:rFonts w:ascii="Arial" w:hAnsi="Arial" w:cs="Arial"/>
          <w:u w:val="single"/>
        </w:rPr>
        <w:t>Total Cholesterol – Triglyceride – HDL Cholesterol</w:t>
      </w:r>
    </w:p>
    <w:p w14:paraId="7FFC5534" w14:textId="77777777" w:rsidR="00560AB7" w:rsidRPr="00560AB7" w:rsidRDefault="00560AB7" w:rsidP="00560AB7">
      <w:pPr>
        <w:pStyle w:val="Body"/>
        <w:spacing w:after="0"/>
        <w:rPr>
          <w:rFonts w:ascii="Arial" w:hAnsi="Arial" w:cs="Arial"/>
        </w:rPr>
      </w:pPr>
      <w:r w:rsidRPr="00560AB7">
        <w:rPr>
          <w:rFonts w:ascii="Arial" w:hAnsi="Arial" w:cs="Arial"/>
        </w:rPr>
        <w:tab/>
      </w:r>
      <w:r w:rsidRPr="00560AB7">
        <w:rPr>
          <w:rFonts w:ascii="Arial" w:hAnsi="Arial" w:cs="Arial"/>
        </w:rPr>
        <w:tab/>
      </w:r>
      <w:r w:rsidRPr="00560AB7">
        <w:rPr>
          <w:rFonts w:ascii="Arial" w:hAnsi="Arial" w:cs="Arial"/>
        </w:rPr>
        <w:tab/>
      </w:r>
      <w:r w:rsidRPr="00560AB7">
        <w:rPr>
          <w:rFonts w:ascii="Arial" w:hAnsi="Arial" w:cs="Arial"/>
        </w:rPr>
        <w:tab/>
      </w:r>
      <w:r w:rsidRPr="00560AB7">
        <w:rPr>
          <w:rFonts w:ascii="Arial" w:hAnsi="Arial" w:cs="Arial"/>
        </w:rPr>
        <w:tab/>
        <w:t>5</w:t>
      </w:r>
    </w:p>
    <w:p w14:paraId="0E5DA308" w14:textId="57ABFAD3" w:rsidR="00560AB7" w:rsidRPr="00560AB7" w:rsidRDefault="00107228" w:rsidP="00107228">
      <w:pPr>
        <w:pStyle w:val="Body"/>
        <w:numPr>
          <w:ilvl w:val="1"/>
          <w:numId w:val="34"/>
        </w:numPr>
        <w:spacing w:after="0"/>
        <w:rPr>
          <w:rFonts w:ascii="Arial" w:hAnsi="Arial" w:cs="Arial"/>
          <w:b/>
          <w:bCs/>
        </w:rPr>
      </w:pPr>
      <w:r w:rsidRPr="00560AB7">
        <w:rPr>
          <w:rFonts w:ascii="Arial" w:hAnsi="Arial" w:cs="Arial"/>
          <w:b/>
          <w:bCs/>
        </w:rPr>
        <w:t xml:space="preserve">Determination </w:t>
      </w:r>
      <w:r>
        <w:rPr>
          <w:rFonts w:ascii="Arial" w:hAnsi="Arial" w:cs="Arial"/>
          <w:b/>
          <w:bCs/>
        </w:rPr>
        <w:t>o</w:t>
      </w:r>
      <w:r w:rsidRPr="00560AB7">
        <w:rPr>
          <w:rFonts w:ascii="Arial" w:hAnsi="Arial" w:cs="Arial"/>
          <w:b/>
          <w:bCs/>
        </w:rPr>
        <w:t>f Pancreatic Amylase Activity</w:t>
      </w:r>
    </w:p>
    <w:p w14:paraId="39441631" w14:textId="77777777" w:rsidR="00560AB7" w:rsidRPr="00560AB7" w:rsidRDefault="00560AB7" w:rsidP="00560AB7">
      <w:pPr>
        <w:pStyle w:val="Body"/>
        <w:spacing w:after="0"/>
        <w:rPr>
          <w:rFonts w:ascii="Arial" w:hAnsi="Arial" w:cs="Arial"/>
        </w:rPr>
      </w:pPr>
      <w:r w:rsidRPr="00560AB7">
        <w:rPr>
          <w:rFonts w:ascii="Arial" w:hAnsi="Arial" w:cs="Arial"/>
        </w:rPr>
        <w:t xml:space="preserve">Pancreatic amylase is an enzyme secreted by the pancreas that plays a vital role in the digestion of carbohydrates. Blood samples were collected from the animals in EDTA-treated tubes and centrifuged to separate the plasma from the serum. Pancreatic amylase was subsequently extracted using appropriate methods, such as ultracentrifugation, gel filtration, or affinity chromatography, as described by Stiefel and </w:t>
      </w:r>
      <w:commentRangeStart w:id="25"/>
      <w:r w:rsidRPr="00560AB7">
        <w:rPr>
          <w:rFonts w:ascii="Arial" w:hAnsi="Arial" w:cs="Arial"/>
        </w:rPr>
        <w:t>Keller (1973).</w:t>
      </w:r>
      <w:commentRangeEnd w:id="25"/>
      <w:r w:rsidR="00663A4F">
        <w:rPr>
          <w:rStyle w:val="CommentReference"/>
          <w:rFonts w:ascii="Times New Roman" w:hAnsi="Times New Roman"/>
          <w:lang w:val="nb-NO" w:eastAsia="nb-NO"/>
        </w:rPr>
        <w:commentReference w:id="25"/>
      </w:r>
    </w:p>
    <w:p w14:paraId="041416B1" w14:textId="0426BB54" w:rsidR="00560AB7" w:rsidRPr="00560AB7" w:rsidRDefault="00107228" w:rsidP="00107228">
      <w:pPr>
        <w:pStyle w:val="Body"/>
        <w:numPr>
          <w:ilvl w:val="1"/>
          <w:numId w:val="34"/>
        </w:numPr>
        <w:spacing w:after="0"/>
        <w:rPr>
          <w:rFonts w:ascii="Arial" w:hAnsi="Arial" w:cs="Arial"/>
          <w:b/>
          <w:bCs/>
        </w:rPr>
      </w:pPr>
      <w:r w:rsidRPr="00560AB7">
        <w:rPr>
          <w:rFonts w:ascii="Arial" w:hAnsi="Arial" w:cs="Arial"/>
          <w:b/>
          <w:bCs/>
        </w:rPr>
        <w:t>Statistical Analysis</w:t>
      </w:r>
    </w:p>
    <w:p w14:paraId="11B74352" w14:textId="0878D982" w:rsidR="00560AB7" w:rsidRPr="00560AB7" w:rsidRDefault="00560AB7" w:rsidP="00560AB7">
      <w:pPr>
        <w:pStyle w:val="Body"/>
        <w:spacing w:after="0"/>
        <w:rPr>
          <w:rFonts w:ascii="Arial" w:hAnsi="Arial" w:cs="Arial"/>
        </w:rPr>
      </w:pPr>
      <w:r w:rsidRPr="00560AB7">
        <w:rPr>
          <w:rFonts w:ascii="Arial" w:hAnsi="Arial" w:cs="Arial"/>
        </w:rPr>
        <w:t xml:space="preserve">Statistical analysis was performed using GraphPad Prism version 5.0d (GraphPad Software, San Diego, CA, USA). Differences between the mean values of the experimental groups were evaluated using one-way analysis of variance (ANOVA), followed by Tukey’s post hoc multiple comparison test. Data are presented as mean ± standard error of the mean (SEM). A </w:t>
      </w:r>
      <w:r w:rsidRPr="00560AB7">
        <w:rPr>
          <w:rFonts w:ascii="Arial" w:hAnsi="Arial" w:cs="Arial"/>
          <w:i/>
          <w:iCs/>
        </w:rPr>
        <w:t>p</w:t>
      </w:r>
      <w:r w:rsidRPr="00560AB7">
        <w:rPr>
          <w:rFonts w:ascii="Arial" w:hAnsi="Arial" w:cs="Arial"/>
        </w:rPr>
        <w:t>-value</w:t>
      </w:r>
      <w:r w:rsidR="00107228">
        <w:rPr>
          <w:rFonts w:ascii="Arial" w:hAnsi="Arial" w:cs="Arial"/>
        </w:rPr>
        <w:t>=</w:t>
      </w:r>
      <w:r w:rsidRPr="00560AB7">
        <w:rPr>
          <w:rFonts w:ascii="Arial" w:hAnsi="Arial" w:cs="Arial"/>
        </w:rPr>
        <w:t>0.05 was considered statistically significant.</w:t>
      </w:r>
    </w:p>
    <w:p w14:paraId="3AF1164F" w14:textId="77777777" w:rsidR="00790ADA" w:rsidRDefault="00790ADA" w:rsidP="00441B6F">
      <w:pPr>
        <w:pStyle w:val="Body"/>
        <w:spacing w:after="0"/>
        <w:rPr>
          <w:rFonts w:ascii="Arial" w:hAnsi="Arial" w:cs="Arial"/>
        </w:rPr>
      </w:pPr>
    </w:p>
    <w:p w14:paraId="758D79B7" w14:textId="77777777" w:rsidR="00790ADA" w:rsidRPr="00FB3A86" w:rsidRDefault="00790ADA" w:rsidP="00441B6F">
      <w:pPr>
        <w:pStyle w:val="Body"/>
        <w:spacing w:after="0"/>
        <w:rPr>
          <w:rFonts w:ascii="Arial" w:hAnsi="Arial" w:cs="Arial"/>
        </w:rPr>
      </w:pPr>
    </w:p>
    <w:p w14:paraId="4F83575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CBA9A2A" w14:textId="77777777" w:rsidR="00790ADA" w:rsidRPr="00FB3A86" w:rsidRDefault="00790ADA" w:rsidP="00441B6F">
      <w:pPr>
        <w:pStyle w:val="Head1"/>
        <w:spacing w:after="0"/>
        <w:jc w:val="both"/>
        <w:rPr>
          <w:rFonts w:ascii="Arial" w:hAnsi="Arial" w:cs="Arial"/>
        </w:rPr>
      </w:pPr>
    </w:p>
    <w:p w14:paraId="27FEF5EB" w14:textId="77777777" w:rsidR="00AF50B8" w:rsidRPr="00AF50B8" w:rsidRDefault="00AF50B8" w:rsidP="00AF50B8">
      <w:pPr>
        <w:pStyle w:val="Body"/>
        <w:spacing w:after="0"/>
        <w:rPr>
          <w:rFonts w:ascii="Arial" w:hAnsi="Arial" w:cs="Arial"/>
        </w:rPr>
      </w:pPr>
      <w:r w:rsidRPr="00AF50B8">
        <w:rPr>
          <w:rFonts w:ascii="Arial" w:hAnsi="Arial" w:cs="Arial"/>
          <w:b/>
          <w:bCs/>
        </w:rPr>
        <w:t>3.0. RESULTS</w:t>
      </w:r>
      <w:r w:rsidRPr="00AF50B8">
        <w:rPr>
          <w:rFonts w:ascii="Arial" w:hAnsi="Arial" w:cs="Arial"/>
        </w:rPr>
        <w:t xml:space="preserve"> </w:t>
      </w:r>
    </w:p>
    <w:p w14:paraId="7B2D02C6" w14:textId="77777777" w:rsidR="00AF50B8" w:rsidRPr="00AF50B8" w:rsidRDefault="00AF50B8" w:rsidP="00AF50B8">
      <w:pPr>
        <w:pStyle w:val="Body"/>
        <w:spacing w:after="0"/>
        <w:rPr>
          <w:rFonts w:ascii="Arial" w:hAnsi="Arial" w:cs="Arial"/>
          <w:b/>
          <w:bCs/>
        </w:rPr>
      </w:pPr>
      <w:r w:rsidRPr="00AF50B8">
        <w:rPr>
          <w:rFonts w:ascii="Arial" w:hAnsi="Arial" w:cs="Arial"/>
          <w:b/>
          <w:bCs/>
        </w:rPr>
        <w:t>3.1. PROXIMATE ANALYSIS</w:t>
      </w:r>
    </w:p>
    <w:p w14:paraId="08D04DEF" w14:textId="77777777" w:rsidR="00AF50B8" w:rsidRPr="00AF50B8" w:rsidRDefault="00AF50B8" w:rsidP="00AF50B8">
      <w:pPr>
        <w:pStyle w:val="Body"/>
        <w:spacing w:after="0"/>
        <w:rPr>
          <w:rFonts w:ascii="Arial" w:hAnsi="Arial" w:cs="Arial"/>
        </w:rPr>
      </w:pPr>
      <w:r w:rsidRPr="00AF50B8">
        <w:rPr>
          <w:rFonts w:ascii="Arial" w:hAnsi="Arial" w:cs="Arial"/>
          <w:b/>
          <w:bCs/>
        </w:rPr>
        <w:t xml:space="preserve">Table1: Proximate composition of </w:t>
      </w:r>
      <w:r w:rsidRPr="00AF50B8">
        <w:rPr>
          <w:rFonts w:ascii="Arial" w:hAnsi="Arial" w:cs="Arial"/>
          <w:b/>
          <w:bCs/>
          <w:i/>
          <w:iCs/>
        </w:rPr>
        <w:t>Pleurotus tuber-regium</w:t>
      </w:r>
      <w:r w:rsidRPr="00AF50B8">
        <w:rPr>
          <w:rFonts w:ascii="Arial" w:hAnsi="Arial" w:cs="Arial"/>
          <w:b/>
          <w:bCs/>
        </w:rPr>
        <w:t xml:space="preserve"> (% dry weight basis)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1038"/>
        <w:gridCol w:w="1243"/>
        <w:gridCol w:w="1140"/>
        <w:gridCol w:w="1038"/>
        <w:gridCol w:w="1038"/>
        <w:gridCol w:w="1418"/>
      </w:tblGrid>
      <w:tr w:rsidR="00AF50B8" w:rsidRPr="00AF50B8" w14:paraId="092765B9" w14:textId="77777777" w:rsidTr="00816354">
        <w:tc>
          <w:tcPr>
            <w:tcW w:w="899" w:type="pct"/>
            <w:tcBorders>
              <w:top w:val="single" w:sz="4" w:space="0" w:color="auto"/>
              <w:bottom w:val="single" w:sz="4" w:space="0" w:color="auto"/>
            </w:tcBorders>
          </w:tcPr>
          <w:p w14:paraId="3A4A81CC" w14:textId="77777777" w:rsidR="00AF50B8" w:rsidRPr="00AF50B8" w:rsidRDefault="00AF50B8" w:rsidP="00AF50B8">
            <w:pPr>
              <w:pStyle w:val="Body"/>
              <w:rPr>
                <w:rFonts w:ascii="Arial" w:hAnsi="Arial" w:cs="Arial"/>
                <w:b/>
                <w:bCs/>
                <w:sz w:val="20"/>
              </w:rPr>
            </w:pPr>
            <w:bookmarkStart w:id="26" w:name="_Hlk198211718"/>
            <w:commentRangeStart w:id="27"/>
            <w:r w:rsidRPr="00AF50B8">
              <w:rPr>
                <w:rFonts w:ascii="Arial" w:hAnsi="Arial" w:cs="Arial"/>
                <w:b/>
                <w:bCs/>
                <w:sz w:val="20"/>
              </w:rPr>
              <w:t>Component</w:t>
            </w:r>
          </w:p>
          <w:p w14:paraId="57623CE2" w14:textId="77777777" w:rsidR="00AF50B8" w:rsidRPr="00AF50B8" w:rsidRDefault="00AF50B8" w:rsidP="00AF50B8">
            <w:pPr>
              <w:pStyle w:val="Body"/>
              <w:rPr>
                <w:rFonts w:ascii="Arial" w:hAnsi="Arial" w:cs="Arial"/>
                <w:b/>
                <w:bCs/>
                <w:sz w:val="20"/>
              </w:rPr>
            </w:pPr>
          </w:p>
        </w:tc>
        <w:tc>
          <w:tcPr>
            <w:tcW w:w="603" w:type="pct"/>
            <w:tcBorders>
              <w:top w:val="single" w:sz="4" w:space="0" w:color="auto"/>
              <w:bottom w:val="single" w:sz="4" w:space="0" w:color="auto"/>
            </w:tcBorders>
          </w:tcPr>
          <w:p w14:paraId="6EC698C5" w14:textId="77777777" w:rsidR="00AF50B8" w:rsidRPr="00AF50B8" w:rsidRDefault="00AF50B8" w:rsidP="00AF50B8">
            <w:pPr>
              <w:pStyle w:val="Body"/>
              <w:rPr>
                <w:rFonts w:ascii="Arial" w:hAnsi="Arial" w:cs="Arial"/>
                <w:b/>
                <w:bCs/>
                <w:sz w:val="20"/>
              </w:rPr>
            </w:pPr>
            <w:r w:rsidRPr="00AF50B8">
              <w:rPr>
                <w:rFonts w:ascii="Arial" w:hAnsi="Arial" w:cs="Arial"/>
                <w:b/>
                <w:bCs/>
                <w:sz w:val="20"/>
              </w:rPr>
              <w:lastRenderedPageBreak/>
              <w:t>Moisture</w:t>
            </w:r>
          </w:p>
        </w:tc>
        <w:tc>
          <w:tcPr>
            <w:tcW w:w="696" w:type="pct"/>
            <w:tcBorders>
              <w:top w:val="single" w:sz="4" w:space="0" w:color="auto"/>
              <w:bottom w:val="single" w:sz="4" w:space="0" w:color="auto"/>
            </w:tcBorders>
          </w:tcPr>
          <w:p w14:paraId="53DFA245" w14:textId="77777777" w:rsidR="00AF50B8" w:rsidRPr="00AF50B8" w:rsidRDefault="00AF50B8" w:rsidP="00AF50B8">
            <w:pPr>
              <w:pStyle w:val="Body"/>
              <w:rPr>
                <w:rFonts w:ascii="Arial" w:hAnsi="Arial" w:cs="Arial"/>
                <w:b/>
                <w:bCs/>
                <w:sz w:val="20"/>
              </w:rPr>
            </w:pPr>
            <w:r w:rsidRPr="00AF50B8">
              <w:rPr>
                <w:rFonts w:ascii="Arial" w:hAnsi="Arial" w:cs="Arial"/>
                <w:b/>
                <w:bCs/>
                <w:sz w:val="20"/>
              </w:rPr>
              <w:t>Crude protein</w:t>
            </w:r>
          </w:p>
        </w:tc>
        <w:tc>
          <w:tcPr>
            <w:tcW w:w="688" w:type="pct"/>
            <w:tcBorders>
              <w:top w:val="single" w:sz="4" w:space="0" w:color="auto"/>
              <w:bottom w:val="single" w:sz="4" w:space="0" w:color="auto"/>
            </w:tcBorders>
          </w:tcPr>
          <w:p w14:paraId="45610FB3" w14:textId="77777777" w:rsidR="00AF50B8" w:rsidRPr="00AF50B8" w:rsidRDefault="00AF50B8" w:rsidP="00AF50B8">
            <w:pPr>
              <w:pStyle w:val="Body"/>
              <w:rPr>
                <w:rFonts w:ascii="Arial" w:hAnsi="Arial" w:cs="Arial"/>
                <w:b/>
                <w:bCs/>
                <w:sz w:val="20"/>
              </w:rPr>
            </w:pPr>
            <w:r w:rsidRPr="00AF50B8">
              <w:rPr>
                <w:rFonts w:ascii="Arial" w:hAnsi="Arial" w:cs="Arial"/>
                <w:b/>
                <w:bCs/>
                <w:sz w:val="20"/>
              </w:rPr>
              <w:t>Crude fibre</w:t>
            </w:r>
          </w:p>
        </w:tc>
        <w:tc>
          <w:tcPr>
            <w:tcW w:w="680" w:type="pct"/>
            <w:tcBorders>
              <w:top w:val="single" w:sz="4" w:space="0" w:color="auto"/>
              <w:bottom w:val="single" w:sz="4" w:space="0" w:color="auto"/>
            </w:tcBorders>
          </w:tcPr>
          <w:p w14:paraId="37A42FAD" w14:textId="77777777" w:rsidR="00AF50B8" w:rsidRPr="00AF50B8" w:rsidRDefault="00AF50B8" w:rsidP="00AF50B8">
            <w:pPr>
              <w:pStyle w:val="Body"/>
              <w:rPr>
                <w:rFonts w:ascii="Arial" w:hAnsi="Arial" w:cs="Arial"/>
                <w:b/>
                <w:bCs/>
                <w:sz w:val="20"/>
              </w:rPr>
            </w:pPr>
            <w:r w:rsidRPr="00AF50B8">
              <w:rPr>
                <w:rFonts w:ascii="Arial" w:hAnsi="Arial" w:cs="Arial"/>
                <w:b/>
                <w:bCs/>
                <w:sz w:val="20"/>
              </w:rPr>
              <w:t>Crude fat</w:t>
            </w:r>
          </w:p>
        </w:tc>
        <w:tc>
          <w:tcPr>
            <w:tcW w:w="680" w:type="pct"/>
            <w:tcBorders>
              <w:top w:val="single" w:sz="4" w:space="0" w:color="auto"/>
              <w:bottom w:val="single" w:sz="4" w:space="0" w:color="auto"/>
            </w:tcBorders>
          </w:tcPr>
          <w:p w14:paraId="30C5DE09" w14:textId="77777777" w:rsidR="00AF50B8" w:rsidRPr="00AF50B8" w:rsidRDefault="00AF50B8" w:rsidP="00AF50B8">
            <w:pPr>
              <w:pStyle w:val="Body"/>
              <w:rPr>
                <w:rFonts w:ascii="Arial" w:hAnsi="Arial" w:cs="Arial"/>
                <w:b/>
                <w:bCs/>
                <w:sz w:val="20"/>
              </w:rPr>
            </w:pPr>
            <w:r w:rsidRPr="00AF50B8">
              <w:rPr>
                <w:rFonts w:ascii="Arial" w:hAnsi="Arial" w:cs="Arial"/>
                <w:b/>
                <w:bCs/>
                <w:sz w:val="20"/>
              </w:rPr>
              <w:t>Ash</w:t>
            </w:r>
          </w:p>
        </w:tc>
        <w:tc>
          <w:tcPr>
            <w:tcW w:w="754" w:type="pct"/>
            <w:tcBorders>
              <w:top w:val="single" w:sz="4" w:space="0" w:color="auto"/>
              <w:bottom w:val="single" w:sz="4" w:space="0" w:color="auto"/>
            </w:tcBorders>
          </w:tcPr>
          <w:p w14:paraId="31E3BF1C" w14:textId="77777777" w:rsidR="00AF50B8" w:rsidRPr="00AF50B8" w:rsidRDefault="00AF50B8" w:rsidP="00AF50B8">
            <w:pPr>
              <w:pStyle w:val="Body"/>
              <w:rPr>
                <w:rFonts w:ascii="Arial" w:hAnsi="Arial" w:cs="Arial"/>
                <w:b/>
                <w:bCs/>
                <w:sz w:val="20"/>
              </w:rPr>
            </w:pPr>
            <w:r w:rsidRPr="00AF50B8">
              <w:rPr>
                <w:rFonts w:ascii="Arial" w:hAnsi="Arial" w:cs="Arial"/>
                <w:b/>
                <w:bCs/>
                <w:sz w:val="20"/>
              </w:rPr>
              <w:t>Carbohydrate</w:t>
            </w:r>
          </w:p>
        </w:tc>
      </w:tr>
      <w:tr w:rsidR="00AF50B8" w:rsidRPr="00AF50B8" w14:paraId="5912507C" w14:textId="77777777" w:rsidTr="00816354">
        <w:tc>
          <w:tcPr>
            <w:tcW w:w="899" w:type="pct"/>
            <w:tcBorders>
              <w:top w:val="single" w:sz="4" w:space="0" w:color="auto"/>
            </w:tcBorders>
          </w:tcPr>
          <w:p w14:paraId="477627CC" w14:textId="77777777" w:rsidR="00AF50B8" w:rsidRPr="00AF50B8" w:rsidRDefault="00AF50B8" w:rsidP="00AF50B8">
            <w:pPr>
              <w:pStyle w:val="Body"/>
              <w:rPr>
                <w:rFonts w:ascii="Arial" w:hAnsi="Arial" w:cs="Arial"/>
                <w:b/>
                <w:bCs/>
                <w:sz w:val="20"/>
              </w:rPr>
            </w:pPr>
            <w:r w:rsidRPr="00AF50B8">
              <w:rPr>
                <w:rFonts w:ascii="Arial" w:hAnsi="Arial" w:cs="Arial"/>
                <w:b/>
                <w:bCs/>
                <w:i/>
                <w:iCs/>
                <w:sz w:val="20"/>
              </w:rPr>
              <w:t>P. tuberregium</w:t>
            </w:r>
            <w:r w:rsidRPr="00AF50B8">
              <w:rPr>
                <w:rFonts w:ascii="Arial" w:hAnsi="Arial" w:cs="Arial"/>
                <w:b/>
                <w:bCs/>
                <w:sz w:val="20"/>
              </w:rPr>
              <w:t xml:space="preserve"> (%)</w:t>
            </w:r>
          </w:p>
        </w:tc>
        <w:tc>
          <w:tcPr>
            <w:tcW w:w="603" w:type="pct"/>
            <w:tcBorders>
              <w:top w:val="single" w:sz="4" w:space="0" w:color="auto"/>
            </w:tcBorders>
          </w:tcPr>
          <w:p w14:paraId="1AE1A2CA" w14:textId="77777777" w:rsidR="00AF50B8" w:rsidRPr="00AF50B8" w:rsidRDefault="00AF50B8" w:rsidP="00AF50B8">
            <w:pPr>
              <w:pStyle w:val="Body"/>
              <w:rPr>
                <w:rFonts w:ascii="Arial" w:hAnsi="Arial" w:cs="Arial"/>
                <w:sz w:val="20"/>
              </w:rPr>
            </w:pPr>
            <w:r w:rsidRPr="00AF50B8">
              <w:rPr>
                <w:rFonts w:ascii="Arial" w:hAnsi="Arial" w:cs="Arial"/>
                <w:sz w:val="20"/>
              </w:rPr>
              <w:t>2.20±0.03</w:t>
            </w:r>
          </w:p>
          <w:p w14:paraId="5D2EE584" w14:textId="77777777" w:rsidR="00AF50B8" w:rsidRPr="00AF50B8" w:rsidRDefault="00AF50B8" w:rsidP="00AF50B8">
            <w:pPr>
              <w:pStyle w:val="Body"/>
              <w:rPr>
                <w:rFonts w:ascii="Arial" w:hAnsi="Arial" w:cs="Arial"/>
                <w:sz w:val="20"/>
              </w:rPr>
            </w:pPr>
          </w:p>
        </w:tc>
        <w:tc>
          <w:tcPr>
            <w:tcW w:w="696" w:type="pct"/>
            <w:tcBorders>
              <w:top w:val="single" w:sz="4" w:space="0" w:color="auto"/>
            </w:tcBorders>
          </w:tcPr>
          <w:p w14:paraId="6B27D364" w14:textId="77777777" w:rsidR="00AF50B8" w:rsidRPr="00AF50B8" w:rsidRDefault="00AF50B8" w:rsidP="00AF50B8">
            <w:pPr>
              <w:pStyle w:val="Body"/>
              <w:rPr>
                <w:rFonts w:ascii="Arial" w:hAnsi="Arial" w:cs="Arial"/>
                <w:sz w:val="20"/>
              </w:rPr>
            </w:pPr>
            <w:r w:rsidRPr="00AF50B8">
              <w:rPr>
                <w:rFonts w:ascii="Arial" w:hAnsi="Arial" w:cs="Arial"/>
                <w:sz w:val="20"/>
              </w:rPr>
              <w:t>19.923</w:t>
            </w:r>
            <w:r w:rsidRPr="00AF50B8">
              <w:rPr>
                <w:rFonts w:ascii="Arial" w:hAnsi="Arial" w:cs="Arial"/>
                <w:bCs/>
                <w:iCs/>
                <w:sz w:val="20"/>
              </w:rPr>
              <w:t>±0.06</w:t>
            </w:r>
          </w:p>
        </w:tc>
        <w:tc>
          <w:tcPr>
            <w:tcW w:w="688" w:type="pct"/>
            <w:tcBorders>
              <w:top w:val="single" w:sz="4" w:space="0" w:color="auto"/>
            </w:tcBorders>
          </w:tcPr>
          <w:p w14:paraId="71E58661" w14:textId="77777777" w:rsidR="00AF50B8" w:rsidRPr="00AF50B8" w:rsidRDefault="00AF50B8" w:rsidP="00AF50B8">
            <w:pPr>
              <w:pStyle w:val="Body"/>
              <w:rPr>
                <w:rFonts w:ascii="Arial" w:hAnsi="Arial" w:cs="Arial"/>
                <w:b/>
                <w:sz w:val="20"/>
              </w:rPr>
            </w:pPr>
            <w:r w:rsidRPr="00AF50B8">
              <w:rPr>
                <w:rFonts w:ascii="Arial" w:hAnsi="Arial" w:cs="Arial"/>
                <w:bCs/>
                <w:iCs/>
                <w:sz w:val="20"/>
              </w:rPr>
              <w:t>5.44±0.003</w:t>
            </w:r>
          </w:p>
        </w:tc>
        <w:tc>
          <w:tcPr>
            <w:tcW w:w="680" w:type="pct"/>
            <w:tcBorders>
              <w:top w:val="single" w:sz="4" w:space="0" w:color="auto"/>
            </w:tcBorders>
          </w:tcPr>
          <w:p w14:paraId="0D613C8A" w14:textId="77777777" w:rsidR="00AF50B8" w:rsidRPr="00AF50B8" w:rsidRDefault="00AF50B8" w:rsidP="00AF50B8">
            <w:pPr>
              <w:pStyle w:val="Body"/>
              <w:rPr>
                <w:rFonts w:ascii="Arial" w:hAnsi="Arial" w:cs="Arial"/>
                <w:sz w:val="20"/>
              </w:rPr>
            </w:pPr>
            <w:r w:rsidRPr="00AF50B8">
              <w:rPr>
                <w:rFonts w:ascii="Arial" w:hAnsi="Arial" w:cs="Arial"/>
                <w:bCs/>
                <w:iCs/>
                <w:sz w:val="20"/>
              </w:rPr>
              <w:t>0.97±0.03</w:t>
            </w:r>
          </w:p>
        </w:tc>
        <w:tc>
          <w:tcPr>
            <w:tcW w:w="680" w:type="pct"/>
            <w:tcBorders>
              <w:top w:val="single" w:sz="4" w:space="0" w:color="auto"/>
            </w:tcBorders>
          </w:tcPr>
          <w:p w14:paraId="665C3300" w14:textId="77777777" w:rsidR="00AF50B8" w:rsidRPr="00AF50B8" w:rsidRDefault="00AF50B8" w:rsidP="00AF50B8">
            <w:pPr>
              <w:pStyle w:val="Body"/>
              <w:rPr>
                <w:rFonts w:ascii="Arial" w:hAnsi="Arial" w:cs="Arial"/>
                <w:sz w:val="20"/>
              </w:rPr>
            </w:pPr>
            <w:r w:rsidRPr="00AF50B8">
              <w:rPr>
                <w:rFonts w:ascii="Arial" w:hAnsi="Arial" w:cs="Arial"/>
                <w:bCs/>
                <w:iCs/>
                <w:sz w:val="20"/>
              </w:rPr>
              <w:t>3.44±0.02</w:t>
            </w:r>
          </w:p>
        </w:tc>
        <w:tc>
          <w:tcPr>
            <w:tcW w:w="754" w:type="pct"/>
            <w:tcBorders>
              <w:top w:val="single" w:sz="4" w:space="0" w:color="auto"/>
            </w:tcBorders>
          </w:tcPr>
          <w:p w14:paraId="7A1D8207" w14:textId="77777777" w:rsidR="00AF50B8" w:rsidRPr="00AF50B8" w:rsidRDefault="00AF50B8" w:rsidP="00AF50B8">
            <w:pPr>
              <w:pStyle w:val="Body"/>
              <w:rPr>
                <w:rFonts w:ascii="Arial" w:hAnsi="Arial" w:cs="Arial"/>
                <w:sz w:val="20"/>
              </w:rPr>
            </w:pPr>
            <w:r w:rsidRPr="00AF50B8">
              <w:rPr>
                <w:rFonts w:ascii="Arial" w:hAnsi="Arial" w:cs="Arial"/>
                <w:bCs/>
                <w:iCs/>
                <w:sz w:val="20"/>
              </w:rPr>
              <w:t>68.04±0.012</w:t>
            </w:r>
          </w:p>
        </w:tc>
      </w:tr>
      <w:tr w:rsidR="00AF50B8" w:rsidRPr="00AF50B8" w14:paraId="41DDC943" w14:textId="77777777" w:rsidTr="00816354">
        <w:tc>
          <w:tcPr>
            <w:tcW w:w="899" w:type="pct"/>
            <w:tcBorders>
              <w:bottom w:val="single" w:sz="4" w:space="0" w:color="auto"/>
            </w:tcBorders>
          </w:tcPr>
          <w:p w14:paraId="2EA68E53" w14:textId="77777777" w:rsidR="00AF50B8" w:rsidRPr="00AF50B8" w:rsidRDefault="00AF50B8" w:rsidP="00AF50B8">
            <w:pPr>
              <w:pStyle w:val="Body"/>
              <w:rPr>
                <w:rFonts w:ascii="Arial" w:hAnsi="Arial" w:cs="Arial"/>
                <w:b/>
                <w:bCs/>
                <w:sz w:val="20"/>
              </w:rPr>
            </w:pPr>
            <w:r w:rsidRPr="00AF50B8">
              <w:rPr>
                <w:rFonts w:ascii="Arial" w:hAnsi="Arial" w:cs="Arial"/>
                <w:b/>
                <w:bCs/>
                <w:sz w:val="20"/>
              </w:rPr>
              <w:t>Method Used (AOAC 2005)</w:t>
            </w:r>
          </w:p>
        </w:tc>
        <w:tc>
          <w:tcPr>
            <w:tcW w:w="603" w:type="pct"/>
            <w:tcBorders>
              <w:bottom w:val="single" w:sz="4" w:space="0" w:color="auto"/>
            </w:tcBorders>
          </w:tcPr>
          <w:p w14:paraId="46AEC17F" w14:textId="77777777" w:rsidR="00AF50B8" w:rsidRPr="00AF50B8" w:rsidRDefault="00AF50B8" w:rsidP="00AF50B8">
            <w:pPr>
              <w:pStyle w:val="Body"/>
              <w:rPr>
                <w:rFonts w:ascii="Arial" w:hAnsi="Arial" w:cs="Arial"/>
                <w:sz w:val="20"/>
              </w:rPr>
            </w:pPr>
            <w:r w:rsidRPr="00AF50B8">
              <w:rPr>
                <w:rFonts w:ascii="Arial" w:hAnsi="Arial" w:cs="Arial"/>
                <w:sz w:val="20"/>
              </w:rPr>
              <w:t>AOAC 925.10</w:t>
            </w:r>
          </w:p>
        </w:tc>
        <w:tc>
          <w:tcPr>
            <w:tcW w:w="696" w:type="pct"/>
            <w:tcBorders>
              <w:bottom w:val="single" w:sz="4" w:space="0" w:color="auto"/>
            </w:tcBorders>
          </w:tcPr>
          <w:p w14:paraId="3941F995" w14:textId="77777777" w:rsidR="00AF50B8" w:rsidRPr="00AF50B8" w:rsidRDefault="00AF50B8" w:rsidP="00AF50B8">
            <w:pPr>
              <w:pStyle w:val="Body"/>
              <w:rPr>
                <w:rFonts w:ascii="Arial" w:hAnsi="Arial" w:cs="Arial"/>
                <w:sz w:val="20"/>
              </w:rPr>
            </w:pPr>
            <w:r w:rsidRPr="00AF50B8">
              <w:rPr>
                <w:rFonts w:ascii="Arial" w:hAnsi="Arial" w:cs="Arial"/>
                <w:sz w:val="20"/>
              </w:rPr>
              <w:t>AOAC 920.87</w:t>
            </w:r>
          </w:p>
        </w:tc>
        <w:tc>
          <w:tcPr>
            <w:tcW w:w="688" w:type="pct"/>
            <w:tcBorders>
              <w:bottom w:val="single" w:sz="4" w:space="0" w:color="auto"/>
            </w:tcBorders>
          </w:tcPr>
          <w:p w14:paraId="331097CE" w14:textId="77777777" w:rsidR="00AF50B8" w:rsidRPr="00AF50B8" w:rsidRDefault="00AF50B8" w:rsidP="00AF50B8">
            <w:pPr>
              <w:pStyle w:val="Body"/>
              <w:rPr>
                <w:rFonts w:ascii="Arial" w:hAnsi="Arial" w:cs="Arial"/>
                <w:sz w:val="20"/>
              </w:rPr>
            </w:pPr>
            <w:r w:rsidRPr="00AF50B8">
              <w:rPr>
                <w:rFonts w:ascii="Arial" w:hAnsi="Arial" w:cs="Arial"/>
                <w:sz w:val="20"/>
              </w:rPr>
              <w:t>AOAC 991.43</w:t>
            </w:r>
          </w:p>
        </w:tc>
        <w:tc>
          <w:tcPr>
            <w:tcW w:w="680" w:type="pct"/>
            <w:tcBorders>
              <w:bottom w:val="single" w:sz="4" w:space="0" w:color="auto"/>
            </w:tcBorders>
          </w:tcPr>
          <w:p w14:paraId="1E9C890A" w14:textId="77777777" w:rsidR="00AF50B8" w:rsidRPr="00AF50B8" w:rsidRDefault="00AF50B8" w:rsidP="00AF50B8">
            <w:pPr>
              <w:pStyle w:val="Body"/>
              <w:rPr>
                <w:rFonts w:ascii="Arial" w:hAnsi="Arial" w:cs="Arial"/>
                <w:sz w:val="20"/>
              </w:rPr>
            </w:pPr>
            <w:r w:rsidRPr="00AF50B8">
              <w:rPr>
                <w:rFonts w:ascii="Arial" w:hAnsi="Arial" w:cs="Arial"/>
                <w:sz w:val="20"/>
              </w:rPr>
              <w:t>AOAC 991.36</w:t>
            </w:r>
          </w:p>
        </w:tc>
        <w:tc>
          <w:tcPr>
            <w:tcW w:w="680" w:type="pct"/>
            <w:tcBorders>
              <w:bottom w:val="single" w:sz="4" w:space="0" w:color="auto"/>
            </w:tcBorders>
          </w:tcPr>
          <w:p w14:paraId="7641F7E1" w14:textId="77777777" w:rsidR="00AF50B8" w:rsidRPr="00AF50B8" w:rsidRDefault="00AF50B8" w:rsidP="00AF50B8">
            <w:pPr>
              <w:pStyle w:val="Body"/>
              <w:rPr>
                <w:rFonts w:ascii="Arial" w:hAnsi="Arial" w:cs="Arial"/>
                <w:sz w:val="20"/>
              </w:rPr>
            </w:pPr>
            <w:r w:rsidRPr="00AF50B8">
              <w:rPr>
                <w:rFonts w:ascii="Arial" w:hAnsi="Arial" w:cs="Arial"/>
                <w:sz w:val="20"/>
              </w:rPr>
              <w:t>AOAC 923.03</w:t>
            </w:r>
          </w:p>
        </w:tc>
        <w:tc>
          <w:tcPr>
            <w:tcW w:w="754" w:type="pct"/>
            <w:tcBorders>
              <w:bottom w:val="single" w:sz="4" w:space="0" w:color="auto"/>
            </w:tcBorders>
          </w:tcPr>
          <w:p w14:paraId="5BCF7C3B" w14:textId="77777777" w:rsidR="00AF50B8" w:rsidRPr="00AF50B8" w:rsidRDefault="00AF50B8" w:rsidP="00AF50B8">
            <w:pPr>
              <w:pStyle w:val="Body"/>
              <w:rPr>
                <w:rFonts w:ascii="Arial" w:hAnsi="Arial" w:cs="Arial"/>
                <w:sz w:val="20"/>
              </w:rPr>
            </w:pPr>
            <w:r w:rsidRPr="00AF50B8">
              <w:rPr>
                <w:rFonts w:ascii="Arial" w:hAnsi="Arial" w:cs="Arial"/>
                <w:sz w:val="20"/>
              </w:rPr>
              <w:t>By difference</w:t>
            </w:r>
            <w:commentRangeEnd w:id="27"/>
            <w:r w:rsidR="00663A4F">
              <w:rPr>
                <w:rStyle w:val="CommentReference"/>
                <w:rFonts w:ascii="Times New Roman" w:eastAsia="Times New Roman" w:hAnsi="Times New Roman"/>
                <w:lang w:val="nb-NO" w:eastAsia="nb-NO"/>
              </w:rPr>
              <w:commentReference w:id="27"/>
            </w:r>
          </w:p>
        </w:tc>
      </w:tr>
    </w:tbl>
    <w:bookmarkEnd w:id="26"/>
    <w:p w14:paraId="747EE368" w14:textId="77777777" w:rsidR="00AF50B8" w:rsidRPr="00AF50B8" w:rsidRDefault="00AF50B8" w:rsidP="00AF50B8">
      <w:pPr>
        <w:pStyle w:val="Body"/>
        <w:spacing w:after="0"/>
        <w:rPr>
          <w:rFonts w:ascii="Arial" w:hAnsi="Arial" w:cs="Arial"/>
          <w:i/>
          <w:iCs/>
        </w:rPr>
      </w:pPr>
      <w:r w:rsidRPr="00AF50B8">
        <w:rPr>
          <w:rFonts w:ascii="Arial" w:hAnsi="Arial" w:cs="Arial"/>
        </w:rPr>
        <w:t>*</w:t>
      </w:r>
      <w:commentRangeStart w:id="28"/>
      <w:r w:rsidRPr="00AF50B8">
        <w:rPr>
          <w:rFonts w:ascii="Arial" w:hAnsi="Arial" w:cs="Arial"/>
        </w:rPr>
        <w:t xml:space="preserve">Values are mean ± standard deviation of triplicate determinations. </w:t>
      </w:r>
      <w:r w:rsidRPr="00AF50B8">
        <w:rPr>
          <w:rFonts w:ascii="Arial" w:hAnsi="Arial" w:cs="Arial"/>
          <w:i/>
          <w:iCs/>
        </w:rPr>
        <w:t>Carbohydrate calculated by difference: 100 - (protein + fat + fibre + ash + moisture).</w:t>
      </w:r>
      <w:commentRangeEnd w:id="28"/>
      <w:r w:rsidR="00663A4F">
        <w:rPr>
          <w:rStyle w:val="CommentReference"/>
          <w:rFonts w:ascii="Times New Roman" w:hAnsi="Times New Roman"/>
          <w:lang w:val="nb-NO" w:eastAsia="nb-NO"/>
        </w:rPr>
        <w:commentReference w:id="28"/>
      </w:r>
    </w:p>
    <w:p w14:paraId="42E70557" w14:textId="77777777" w:rsidR="00AF50B8" w:rsidRPr="00AF50B8" w:rsidRDefault="00AF50B8" w:rsidP="00AF50B8">
      <w:pPr>
        <w:pStyle w:val="Body"/>
        <w:spacing w:after="0"/>
        <w:rPr>
          <w:rFonts w:ascii="Arial" w:hAnsi="Arial" w:cs="Arial"/>
        </w:rPr>
      </w:pPr>
      <w:r w:rsidRPr="00AF50B8">
        <w:rPr>
          <w:rFonts w:ascii="Arial" w:hAnsi="Arial" w:cs="Arial"/>
          <w:b/>
          <w:bCs/>
        </w:rPr>
        <w:t>3.2. VITAMIN ANALYSIS</w:t>
      </w:r>
    </w:p>
    <w:p w14:paraId="33C4BE7C" w14:textId="77777777" w:rsidR="00AF50B8" w:rsidRPr="00AF50B8" w:rsidRDefault="00AF50B8" w:rsidP="00AF50B8">
      <w:pPr>
        <w:pStyle w:val="Body"/>
        <w:spacing w:after="0"/>
        <w:rPr>
          <w:rFonts w:ascii="Arial" w:hAnsi="Arial" w:cs="Arial"/>
          <w:b/>
          <w:bCs/>
        </w:rPr>
      </w:pPr>
      <w:r w:rsidRPr="00AF50B8">
        <w:rPr>
          <w:rFonts w:ascii="Arial" w:hAnsi="Arial" w:cs="Arial"/>
          <w:b/>
          <w:bCs/>
        </w:rPr>
        <w:t xml:space="preserve">Table 2: Vitamin Content of </w:t>
      </w:r>
      <w:r w:rsidRPr="00AF50B8">
        <w:rPr>
          <w:rFonts w:ascii="Arial" w:hAnsi="Arial" w:cs="Arial"/>
          <w:b/>
          <w:bCs/>
          <w:i/>
          <w:iCs/>
        </w:rPr>
        <w:t>Pleurotus tuber-regium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7"/>
        <w:gridCol w:w="1094"/>
        <w:gridCol w:w="717"/>
        <w:gridCol w:w="683"/>
        <w:gridCol w:w="3397"/>
      </w:tblGrid>
      <w:tr w:rsidR="00AF50B8" w:rsidRPr="00AF50B8" w14:paraId="10BBDC14" w14:textId="77777777" w:rsidTr="00816354">
        <w:trPr>
          <w:trHeight w:val="259"/>
        </w:trPr>
        <w:tc>
          <w:tcPr>
            <w:tcW w:w="1111" w:type="pct"/>
            <w:tcBorders>
              <w:top w:val="single" w:sz="4" w:space="0" w:color="auto"/>
              <w:bottom w:val="single" w:sz="4" w:space="0" w:color="auto"/>
            </w:tcBorders>
          </w:tcPr>
          <w:p w14:paraId="1DCC79C2" w14:textId="77777777" w:rsidR="00AF50B8" w:rsidRPr="00AF50B8" w:rsidRDefault="00AF50B8" w:rsidP="00AF50B8">
            <w:pPr>
              <w:pStyle w:val="Body"/>
              <w:rPr>
                <w:rFonts w:ascii="Arial" w:hAnsi="Arial" w:cs="Arial"/>
                <w:b/>
                <w:bCs/>
                <w:sz w:val="20"/>
              </w:rPr>
            </w:pPr>
            <w:commentRangeStart w:id="29"/>
            <w:r w:rsidRPr="00AF50B8">
              <w:rPr>
                <w:rFonts w:ascii="Arial" w:hAnsi="Arial" w:cs="Arial"/>
                <w:b/>
                <w:bCs/>
                <w:sz w:val="20"/>
              </w:rPr>
              <w:t>VITAMIN</w:t>
            </w:r>
          </w:p>
        </w:tc>
        <w:tc>
          <w:tcPr>
            <w:tcW w:w="632" w:type="pct"/>
            <w:tcBorders>
              <w:top w:val="single" w:sz="4" w:space="0" w:color="auto"/>
              <w:bottom w:val="single" w:sz="4" w:space="0" w:color="auto"/>
            </w:tcBorders>
          </w:tcPr>
          <w:p w14:paraId="4867D1BB" w14:textId="77777777" w:rsidR="00AF50B8" w:rsidRPr="00AF50B8" w:rsidRDefault="00AF50B8" w:rsidP="00AF50B8">
            <w:pPr>
              <w:pStyle w:val="Body"/>
              <w:rPr>
                <w:rFonts w:ascii="Arial" w:hAnsi="Arial" w:cs="Arial"/>
                <w:b/>
                <w:bCs/>
                <w:sz w:val="20"/>
              </w:rPr>
            </w:pPr>
            <w:r w:rsidRPr="00AF50B8">
              <w:rPr>
                <w:rFonts w:ascii="Arial" w:hAnsi="Arial" w:cs="Arial"/>
                <w:b/>
                <w:bCs/>
                <w:sz w:val="20"/>
              </w:rPr>
              <w:t>AMOUNT</w:t>
            </w:r>
          </w:p>
        </w:tc>
        <w:tc>
          <w:tcPr>
            <w:tcW w:w="504" w:type="pct"/>
            <w:tcBorders>
              <w:top w:val="single" w:sz="4" w:space="0" w:color="auto"/>
              <w:bottom w:val="single" w:sz="4" w:space="0" w:color="auto"/>
            </w:tcBorders>
          </w:tcPr>
          <w:p w14:paraId="51E5CCFF" w14:textId="77777777" w:rsidR="00AF50B8" w:rsidRPr="00AF50B8" w:rsidRDefault="00AF50B8" w:rsidP="00AF50B8">
            <w:pPr>
              <w:pStyle w:val="Body"/>
              <w:rPr>
                <w:rFonts w:ascii="Arial" w:hAnsi="Arial" w:cs="Arial"/>
                <w:b/>
                <w:bCs/>
                <w:sz w:val="20"/>
              </w:rPr>
            </w:pPr>
            <w:r w:rsidRPr="00AF50B8">
              <w:rPr>
                <w:rFonts w:ascii="Arial" w:hAnsi="Arial" w:cs="Arial"/>
                <w:b/>
                <w:bCs/>
                <w:sz w:val="20"/>
              </w:rPr>
              <w:t>RDI</w:t>
            </w:r>
          </w:p>
        </w:tc>
        <w:tc>
          <w:tcPr>
            <w:tcW w:w="565" w:type="pct"/>
            <w:tcBorders>
              <w:top w:val="single" w:sz="4" w:space="0" w:color="auto"/>
              <w:bottom w:val="single" w:sz="4" w:space="0" w:color="auto"/>
            </w:tcBorders>
          </w:tcPr>
          <w:p w14:paraId="77F63936" w14:textId="77777777" w:rsidR="00AF50B8" w:rsidRPr="00AF50B8" w:rsidRDefault="00AF50B8" w:rsidP="00AF50B8">
            <w:pPr>
              <w:pStyle w:val="Body"/>
              <w:rPr>
                <w:rFonts w:ascii="Arial" w:hAnsi="Arial" w:cs="Arial"/>
                <w:b/>
                <w:bCs/>
                <w:sz w:val="20"/>
              </w:rPr>
            </w:pPr>
            <w:r w:rsidRPr="00AF50B8">
              <w:rPr>
                <w:rFonts w:ascii="Arial" w:hAnsi="Arial" w:cs="Arial"/>
                <w:b/>
                <w:bCs/>
                <w:sz w:val="20"/>
              </w:rPr>
              <w:t>UNIT</w:t>
            </w:r>
          </w:p>
        </w:tc>
        <w:tc>
          <w:tcPr>
            <w:tcW w:w="2189" w:type="pct"/>
            <w:tcBorders>
              <w:top w:val="single" w:sz="4" w:space="0" w:color="auto"/>
              <w:bottom w:val="single" w:sz="4" w:space="0" w:color="auto"/>
            </w:tcBorders>
          </w:tcPr>
          <w:p w14:paraId="3BFDC002" w14:textId="77777777" w:rsidR="00AF50B8" w:rsidRPr="00AF50B8" w:rsidRDefault="00AF50B8" w:rsidP="00AF50B8">
            <w:pPr>
              <w:pStyle w:val="Body"/>
              <w:rPr>
                <w:rFonts w:ascii="Arial" w:hAnsi="Arial" w:cs="Arial"/>
                <w:b/>
                <w:bCs/>
                <w:sz w:val="20"/>
              </w:rPr>
            </w:pPr>
            <w:r w:rsidRPr="00AF50B8">
              <w:rPr>
                <w:rFonts w:ascii="Arial" w:hAnsi="Arial" w:cs="Arial"/>
                <w:b/>
                <w:bCs/>
                <w:sz w:val="20"/>
              </w:rPr>
              <w:t>METHOD OF ANALYSIS</w:t>
            </w:r>
          </w:p>
        </w:tc>
      </w:tr>
      <w:tr w:rsidR="00AF50B8" w:rsidRPr="00AF50B8" w14:paraId="7F8126B9" w14:textId="77777777" w:rsidTr="00816354">
        <w:trPr>
          <w:trHeight w:val="259"/>
        </w:trPr>
        <w:tc>
          <w:tcPr>
            <w:tcW w:w="1111" w:type="pct"/>
            <w:tcBorders>
              <w:top w:val="single" w:sz="4" w:space="0" w:color="auto"/>
            </w:tcBorders>
          </w:tcPr>
          <w:p w14:paraId="11F6AC75"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A(Retinol)</w:t>
            </w:r>
          </w:p>
        </w:tc>
        <w:tc>
          <w:tcPr>
            <w:tcW w:w="632" w:type="pct"/>
            <w:tcBorders>
              <w:top w:val="single" w:sz="4" w:space="0" w:color="auto"/>
            </w:tcBorders>
          </w:tcPr>
          <w:p w14:paraId="3F42B907" w14:textId="77777777" w:rsidR="00AF50B8" w:rsidRPr="00AF50B8" w:rsidRDefault="00AF50B8" w:rsidP="00AF50B8">
            <w:pPr>
              <w:pStyle w:val="Body"/>
              <w:rPr>
                <w:rFonts w:ascii="Arial" w:hAnsi="Arial" w:cs="Arial"/>
                <w:sz w:val="20"/>
              </w:rPr>
            </w:pPr>
            <w:r w:rsidRPr="00AF50B8">
              <w:rPr>
                <w:rFonts w:ascii="Arial" w:hAnsi="Arial" w:cs="Arial"/>
                <w:sz w:val="20"/>
              </w:rPr>
              <w:t>ND</w:t>
            </w:r>
          </w:p>
        </w:tc>
        <w:tc>
          <w:tcPr>
            <w:tcW w:w="504" w:type="pct"/>
            <w:tcBorders>
              <w:top w:val="single" w:sz="4" w:space="0" w:color="auto"/>
            </w:tcBorders>
          </w:tcPr>
          <w:p w14:paraId="7DC1280B" w14:textId="77777777" w:rsidR="00AF50B8" w:rsidRPr="00AF50B8" w:rsidRDefault="00AF50B8" w:rsidP="00AF50B8">
            <w:pPr>
              <w:pStyle w:val="Body"/>
              <w:rPr>
                <w:rFonts w:ascii="Arial" w:hAnsi="Arial" w:cs="Arial"/>
                <w:sz w:val="20"/>
              </w:rPr>
            </w:pPr>
            <w:r w:rsidRPr="00AF50B8">
              <w:rPr>
                <w:rFonts w:ascii="Arial" w:hAnsi="Arial" w:cs="Arial"/>
                <w:sz w:val="20"/>
              </w:rPr>
              <w:t>0.99</w:t>
            </w:r>
          </w:p>
        </w:tc>
        <w:tc>
          <w:tcPr>
            <w:tcW w:w="565" w:type="pct"/>
            <w:tcBorders>
              <w:top w:val="single" w:sz="4" w:space="0" w:color="auto"/>
            </w:tcBorders>
          </w:tcPr>
          <w:p w14:paraId="762A1A6A"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Borders>
              <w:top w:val="single" w:sz="4" w:space="0" w:color="auto"/>
            </w:tcBorders>
          </w:tcPr>
          <w:p w14:paraId="48444E6A" w14:textId="77777777" w:rsidR="00AF50B8" w:rsidRPr="00AF50B8" w:rsidRDefault="00AF50B8" w:rsidP="00AF50B8">
            <w:pPr>
              <w:pStyle w:val="Body"/>
              <w:rPr>
                <w:rFonts w:ascii="Arial" w:hAnsi="Arial" w:cs="Arial"/>
                <w:b/>
                <w:bCs/>
                <w:sz w:val="20"/>
              </w:rPr>
            </w:pPr>
            <w:r w:rsidRPr="00AF50B8">
              <w:rPr>
                <w:rFonts w:ascii="Arial" w:hAnsi="Arial" w:cs="Arial"/>
                <w:b/>
                <w:bCs/>
                <w:sz w:val="20"/>
              </w:rPr>
              <w:t xml:space="preserve">Agilent 1100 HPLC (Van Wayenbergh </w:t>
            </w:r>
            <w:r w:rsidRPr="00AF50B8">
              <w:rPr>
                <w:rFonts w:ascii="Arial" w:hAnsi="Arial" w:cs="Arial"/>
                <w:b/>
                <w:bCs/>
                <w:i/>
                <w:iCs/>
                <w:sz w:val="20"/>
              </w:rPr>
              <w:t>et al 2020</w:t>
            </w:r>
            <w:r w:rsidRPr="00AF50B8">
              <w:rPr>
                <w:rFonts w:ascii="Arial" w:hAnsi="Arial" w:cs="Arial"/>
                <w:b/>
                <w:bCs/>
                <w:sz w:val="20"/>
              </w:rPr>
              <w:t>)</w:t>
            </w:r>
          </w:p>
        </w:tc>
      </w:tr>
      <w:tr w:rsidR="00AF50B8" w:rsidRPr="00AF50B8" w14:paraId="45E3DB8F" w14:textId="77777777" w:rsidTr="00816354">
        <w:trPr>
          <w:trHeight w:val="245"/>
        </w:trPr>
        <w:tc>
          <w:tcPr>
            <w:tcW w:w="1111" w:type="pct"/>
          </w:tcPr>
          <w:p w14:paraId="18B78ED4"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B1(Thiamine)</w:t>
            </w:r>
          </w:p>
        </w:tc>
        <w:tc>
          <w:tcPr>
            <w:tcW w:w="632" w:type="pct"/>
          </w:tcPr>
          <w:p w14:paraId="54EF2C29" w14:textId="77777777" w:rsidR="00AF50B8" w:rsidRPr="00AF50B8" w:rsidRDefault="00AF50B8" w:rsidP="00AF50B8">
            <w:pPr>
              <w:pStyle w:val="Body"/>
              <w:rPr>
                <w:rFonts w:ascii="Arial" w:hAnsi="Arial" w:cs="Arial"/>
                <w:sz w:val="20"/>
              </w:rPr>
            </w:pPr>
            <w:r w:rsidRPr="00AF50B8">
              <w:rPr>
                <w:rFonts w:ascii="Arial" w:hAnsi="Arial" w:cs="Arial"/>
                <w:sz w:val="20"/>
              </w:rPr>
              <w:t>0.006</w:t>
            </w:r>
          </w:p>
        </w:tc>
        <w:tc>
          <w:tcPr>
            <w:tcW w:w="504" w:type="pct"/>
          </w:tcPr>
          <w:p w14:paraId="767E163B" w14:textId="77777777" w:rsidR="00AF50B8" w:rsidRPr="00AF50B8" w:rsidRDefault="00AF50B8" w:rsidP="00AF50B8">
            <w:pPr>
              <w:pStyle w:val="Body"/>
              <w:rPr>
                <w:rFonts w:ascii="Arial" w:hAnsi="Arial" w:cs="Arial"/>
                <w:sz w:val="20"/>
              </w:rPr>
            </w:pPr>
            <w:r w:rsidRPr="00AF50B8">
              <w:rPr>
                <w:rFonts w:ascii="Arial" w:hAnsi="Arial" w:cs="Arial"/>
                <w:sz w:val="20"/>
              </w:rPr>
              <w:t>1.2</w:t>
            </w:r>
          </w:p>
        </w:tc>
        <w:tc>
          <w:tcPr>
            <w:tcW w:w="565" w:type="pct"/>
          </w:tcPr>
          <w:p w14:paraId="5E27C081"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3611046F" w14:textId="77777777" w:rsidR="00AF50B8" w:rsidRPr="00AF50B8" w:rsidRDefault="00AF50B8" w:rsidP="00AF50B8">
            <w:pPr>
              <w:pStyle w:val="Body"/>
              <w:rPr>
                <w:rFonts w:ascii="Arial" w:hAnsi="Arial" w:cs="Arial"/>
                <w:b/>
                <w:bCs/>
                <w:iCs/>
                <w:sz w:val="20"/>
              </w:rPr>
            </w:pPr>
            <w:r w:rsidRPr="00AF50B8">
              <w:rPr>
                <w:rFonts w:ascii="Arial" w:hAnsi="Arial" w:cs="Arial"/>
                <w:b/>
                <w:bCs/>
                <w:sz w:val="20"/>
              </w:rPr>
              <w:t>Agilent 1100 HPLC</w:t>
            </w:r>
            <w:r w:rsidRPr="00AF50B8">
              <w:rPr>
                <w:rFonts w:ascii="Arial" w:hAnsi="Arial" w:cs="Arial"/>
                <w:b/>
                <w:bCs/>
                <w:iCs/>
                <w:sz w:val="20"/>
              </w:rPr>
              <w:t xml:space="preserve"> (Patle </w:t>
            </w:r>
            <w:r w:rsidRPr="00AF50B8">
              <w:rPr>
                <w:rFonts w:ascii="Arial" w:hAnsi="Arial" w:cs="Arial"/>
                <w:b/>
                <w:bCs/>
                <w:i/>
                <w:sz w:val="20"/>
              </w:rPr>
              <w:t>et al 2022</w:t>
            </w:r>
            <w:r w:rsidRPr="00AF50B8">
              <w:rPr>
                <w:rFonts w:ascii="Arial" w:hAnsi="Arial" w:cs="Arial"/>
                <w:b/>
                <w:bCs/>
                <w:iCs/>
                <w:sz w:val="20"/>
              </w:rPr>
              <w:t>)</w:t>
            </w:r>
          </w:p>
        </w:tc>
      </w:tr>
      <w:tr w:rsidR="00AF50B8" w:rsidRPr="00AF50B8" w14:paraId="38BF31DF" w14:textId="77777777" w:rsidTr="00816354">
        <w:trPr>
          <w:trHeight w:val="259"/>
        </w:trPr>
        <w:tc>
          <w:tcPr>
            <w:tcW w:w="1111" w:type="pct"/>
          </w:tcPr>
          <w:p w14:paraId="516AD07E"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VitaminB2 (Riboflavin)</w:t>
            </w:r>
          </w:p>
        </w:tc>
        <w:tc>
          <w:tcPr>
            <w:tcW w:w="632" w:type="pct"/>
          </w:tcPr>
          <w:p w14:paraId="09CD5FEC" w14:textId="77777777" w:rsidR="00AF50B8" w:rsidRPr="00AF50B8" w:rsidRDefault="00AF50B8" w:rsidP="00AF50B8">
            <w:pPr>
              <w:pStyle w:val="Body"/>
              <w:rPr>
                <w:rFonts w:ascii="Arial" w:hAnsi="Arial" w:cs="Arial"/>
                <w:sz w:val="20"/>
              </w:rPr>
            </w:pPr>
            <w:r w:rsidRPr="00AF50B8">
              <w:rPr>
                <w:rFonts w:ascii="Arial" w:hAnsi="Arial" w:cs="Arial"/>
                <w:sz w:val="20"/>
              </w:rPr>
              <w:t>0.003</w:t>
            </w:r>
          </w:p>
        </w:tc>
        <w:tc>
          <w:tcPr>
            <w:tcW w:w="504" w:type="pct"/>
          </w:tcPr>
          <w:p w14:paraId="26E594A9" w14:textId="77777777" w:rsidR="00AF50B8" w:rsidRPr="00AF50B8" w:rsidRDefault="00AF50B8" w:rsidP="00AF50B8">
            <w:pPr>
              <w:pStyle w:val="Body"/>
              <w:rPr>
                <w:rFonts w:ascii="Arial" w:hAnsi="Arial" w:cs="Arial"/>
                <w:sz w:val="20"/>
              </w:rPr>
            </w:pPr>
            <w:r w:rsidRPr="00AF50B8">
              <w:rPr>
                <w:rFonts w:ascii="Arial" w:hAnsi="Arial" w:cs="Arial"/>
                <w:sz w:val="20"/>
              </w:rPr>
              <w:t>1.3</w:t>
            </w:r>
          </w:p>
        </w:tc>
        <w:tc>
          <w:tcPr>
            <w:tcW w:w="565" w:type="pct"/>
          </w:tcPr>
          <w:p w14:paraId="5084EC83"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1672449E" w14:textId="77777777" w:rsidR="00AF50B8" w:rsidRPr="00AF50B8" w:rsidRDefault="00AF50B8" w:rsidP="00AF50B8">
            <w:pPr>
              <w:pStyle w:val="Body"/>
              <w:rPr>
                <w:rFonts w:ascii="Arial" w:hAnsi="Arial" w:cs="Arial"/>
                <w:b/>
                <w:bCs/>
                <w:sz w:val="20"/>
              </w:rPr>
            </w:pPr>
            <w:r w:rsidRPr="00AF50B8">
              <w:rPr>
                <w:rFonts w:ascii="Arial" w:hAnsi="Arial" w:cs="Arial"/>
                <w:b/>
                <w:bCs/>
                <w:sz w:val="20"/>
              </w:rPr>
              <w:t>Agilent 1100 HPLC</w:t>
            </w:r>
            <w:r w:rsidRPr="00AF50B8">
              <w:rPr>
                <w:rFonts w:ascii="Arial" w:hAnsi="Arial" w:cs="Arial"/>
                <w:b/>
                <w:bCs/>
                <w:iCs/>
                <w:sz w:val="20"/>
              </w:rPr>
              <w:t xml:space="preserve"> (</w:t>
            </w:r>
            <w:r w:rsidRPr="00AF50B8">
              <w:rPr>
                <w:rFonts w:ascii="Arial" w:hAnsi="Arial" w:cs="Arial"/>
                <w:sz w:val="20"/>
              </w:rPr>
              <w:t>AOAC 2019 and Ph. Eur 2017)</w:t>
            </w:r>
          </w:p>
        </w:tc>
      </w:tr>
      <w:tr w:rsidR="00AF50B8" w:rsidRPr="00AF50B8" w14:paraId="60364DA3" w14:textId="77777777" w:rsidTr="00816354">
        <w:trPr>
          <w:trHeight w:val="245"/>
        </w:trPr>
        <w:tc>
          <w:tcPr>
            <w:tcW w:w="1111" w:type="pct"/>
          </w:tcPr>
          <w:p w14:paraId="19E91500"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B3(Niacin)</w:t>
            </w:r>
          </w:p>
        </w:tc>
        <w:tc>
          <w:tcPr>
            <w:tcW w:w="632" w:type="pct"/>
          </w:tcPr>
          <w:p w14:paraId="1DD76470" w14:textId="77777777" w:rsidR="00AF50B8" w:rsidRPr="00AF50B8" w:rsidRDefault="00AF50B8" w:rsidP="00AF50B8">
            <w:pPr>
              <w:pStyle w:val="Body"/>
              <w:rPr>
                <w:rFonts w:ascii="Arial" w:hAnsi="Arial" w:cs="Arial"/>
                <w:sz w:val="20"/>
              </w:rPr>
            </w:pPr>
            <w:r w:rsidRPr="00AF50B8">
              <w:rPr>
                <w:rFonts w:ascii="Arial" w:hAnsi="Arial" w:cs="Arial"/>
                <w:sz w:val="20"/>
              </w:rPr>
              <w:t>0.001</w:t>
            </w:r>
          </w:p>
        </w:tc>
        <w:tc>
          <w:tcPr>
            <w:tcW w:w="504" w:type="pct"/>
          </w:tcPr>
          <w:p w14:paraId="6B34E272" w14:textId="77777777" w:rsidR="00AF50B8" w:rsidRPr="00AF50B8" w:rsidRDefault="00AF50B8" w:rsidP="00AF50B8">
            <w:pPr>
              <w:pStyle w:val="Body"/>
              <w:rPr>
                <w:rFonts w:ascii="Arial" w:hAnsi="Arial" w:cs="Arial"/>
                <w:sz w:val="20"/>
              </w:rPr>
            </w:pPr>
            <w:r w:rsidRPr="00AF50B8">
              <w:rPr>
                <w:rFonts w:ascii="Arial" w:hAnsi="Arial" w:cs="Arial"/>
                <w:sz w:val="20"/>
              </w:rPr>
              <w:t>15</w:t>
            </w:r>
          </w:p>
        </w:tc>
        <w:tc>
          <w:tcPr>
            <w:tcW w:w="565" w:type="pct"/>
          </w:tcPr>
          <w:p w14:paraId="66E00D5F"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3C6DED53" w14:textId="77777777" w:rsidR="00AF50B8" w:rsidRPr="00AF50B8" w:rsidRDefault="00AF50B8" w:rsidP="00AF50B8">
            <w:pPr>
              <w:pStyle w:val="Body"/>
              <w:rPr>
                <w:rFonts w:ascii="Arial" w:hAnsi="Arial" w:cs="Arial"/>
                <w:b/>
                <w:bCs/>
                <w:sz w:val="20"/>
              </w:rPr>
            </w:pPr>
            <w:r w:rsidRPr="00AF50B8">
              <w:rPr>
                <w:rFonts w:ascii="Arial" w:hAnsi="Arial" w:cs="Arial"/>
                <w:b/>
                <w:bCs/>
                <w:sz w:val="20"/>
              </w:rPr>
              <w:t>Agilent 1100 HPLC</w:t>
            </w:r>
            <w:r w:rsidRPr="00AF50B8">
              <w:rPr>
                <w:rFonts w:ascii="Arial" w:hAnsi="Arial" w:cs="Arial"/>
                <w:b/>
                <w:bCs/>
                <w:iCs/>
                <w:sz w:val="20"/>
              </w:rPr>
              <w:t xml:space="preserve"> (Patle </w:t>
            </w:r>
            <w:r w:rsidRPr="00AF50B8">
              <w:rPr>
                <w:rFonts w:ascii="Arial" w:hAnsi="Arial" w:cs="Arial"/>
                <w:b/>
                <w:bCs/>
                <w:i/>
                <w:sz w:val="20"/>
              </w:rPr>
              <w:t>et al 2022</w:t>
            </w:r>
            <w:r w:rsidRPr="00AF50B8">
              <w:rPr>
                <w:rFonts w:ascii="Arial" w:hAnsi="Arial" w:cs="Arial"/>
                <w:b/>
                <w:bCs/>
                <w:iCs/>
                <w:sz w:val="20"/>
              </w:rPr>
              <w:t>)</w:t>
            </w:r>
          </w:p>
        </w:tc>
      </w:tr>
      <w:tr w:rsidR="00AF50B8" w:rsidRPr="00AF50B8" w14:paraId="116D2708" w14:textId="77777777" w:rsidTr="00816354">
        <w:trPr>
          <w:trHeight w:val="519"/>
        </w:trPr>
        <w:tc>
          <w:tcPr>
            <w:tcW w:w="1111" w:type="pct"/>
          </w:tcPr>
          <w:p w14:paraId="1E4D40CE"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B5(Pantothenic acid)</w:t>
            </w:r>
          </w:p>
        </w:tc>
        <w:tc>
          <w:tcPr>
            <w:tcW w:w="632" w:type="pct"/>
          </w:tcPr>
          <w:p w14:paraId="14BBE978" w14:textId="77777777" w:rsidR="00AF50B8" w:rsidRPr="00AF50B8" w:rsidRDefault="00AF50B8" w:rsidP="00AF50B8">
            <w:pPr>
              <w:pStyle w:val="Body"/>
              <w:rPr>
                <w:rFonts w:ascii="Arial" w:hAnsi="Arial" w:cs="Arial"/>
                <w:sz w:val="20"/>
              </w:rPr>
            </w:pPr>
            <w:r w:rsidRPr="00AF50B8">
              <w:rPr>
                <w:rFonts w:ascii="Arial" w:hAnsi="Arial" w:cs="Arial"/>
                <w:sz w:val="20"/>
              </w:rPr>
              <w:t>ND</w:t>
            </w:r>
          </w:p>
        </w:tc>
        <w:tc>
          <w:tcPr>
            <w:tcW w:w="504" w:type="pct"/>
          </w:tcPr>
          <w:p w14:paraId="07F850C7" w14:textId="77777777" w:rsidR="00AF50B8" w:rsidRPr="00AF50B8" w:rsidRDefault="00AF50B8" w:rsidP="00AF50B8">
            <w:pPr>
              <w:pStyle w:val="Body"/>
              <w:rPr>
                <w:rFonts w:ascii="Arial" w:hAnsi="Arial" w:cs="Arial"/>
                <w:sz w:val="20"/>
              </w:rPr>
            </w:pPr>
            <w:r w:rsidRPr="00AF50B8">
              <w:rPr>
                <w:rFonts w:ascii="Arial" w:hAnsi="Arial" w:cs="Arial"/>
                <w:sz w:val="20"/>
              </w:rPr>
              <w:t>5</w:t>
            </w:r>
          </w:p>
        </w:tc>
        <w:tc>
          <w:tcPr>
            <w:tcW w:w="565" w:type="pct"/>
          </w:tcPr>
          <w:p w14:paraId="5C3F8DE6"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0D33A5D2" w14:textId="77777777" w:rsidR="00AF50B8" w:rsidRPr="00AF50B8" w:rsidRDefault="00AF50B8" w:rsidP="00AF50B8">
            <w:pPr>
              <w:pStyle w:val="Body"/>
              <w:rPr>
                <w:rFonts w:ascii="Arial" w:hAnsi="Arial" w:cs="Arial"/>
                <w:b/>
                <w:bCs/>
                <w:sz w:val="20"/>
              </w:rPr>
            </w:pPr>
            <w:r w:rsidRPr="00AF50B8">
              <w:rPr>
                <w:rFonts w:ascii="Arial" w:hAnsi="Arial" w:cs="Arial"/>
                <w:b/>
                <w:bCs/>
                <w:sz w:val="20"/>
              </w:rPr>
              <w:t>Agilent 1100 HPLC</w:t>
            </w:r>
            <w:r w:rsidRPr="00AF50B8">
              <w:rPr>
                <w:rFonts w:ascii="Arial" w:hAnsi="Arial" w:cs="Arial"/>
                <w:b/>
                <w:bCs/>
                <w:iCs/>
                <w:sz w:val="20"/>
              </w:rPr>
              <w:t xml:space="preserve"> (</w:t>
            </w:r>
            <w:r w:rsidRPr="00AF50B8">
              <w:rPr>
                <w:rFonts w:ascii="Arial" w:hAnsi="Arial" w:cs="Arial"/>
                <w:sz w:val="20"/>
              </w:rPr>
              <w:t>AOAC 2019 and Ph. Eur 2017)</w:t>
            </w:r>
          </w:p>
        </w:tc>
      </w:tr>
      <w:tr w:rsidR="00AF50B8" w:rsidRPr="00AF50B8" w14:paraId="06C8EC8D" w14:textId="77777777" w:rsidTr="00816354">
        <w:trPr>
          <w:trHeight w:val="245"/>
        </w:trPr>
        <w:tc>
          <w:tcPr>
            <w:tcW w:w="1111" w:type="pct"/>
          </w:tcPr>
          <w:p w14:paraId="237F2B29"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B6 (Pyridoxine)</w:t>
            </w:r>
          </w:p>
        </w:tc>
        <w:tc>
          <w:tcPr>
            <w:tcW w:w="632" w:type="pct"/>
          </w:tcPr>
          <w:p w14:paraId="60A781C9" w14:textId="77777777" w:rsidR="00AF50B8" w:rsidRPr="00AF50B8" w:rsidRDefault="00AF50B8" w:rsidP="00AF50B8">
            <w:pPr>
              <w:pStyle w:val="Body"/>
              <w:rPr>
                <w:rFonts w:ascii="Arial" w:hAnsi="Arial" w:cs="Arial"/>
                <w:sz w:val="20"/>
              </w:rPr>
            </w:pPr>
            <w:r w:rsidRPr="00AF50B8">
              <w:rPr>
                <w:rFonts w:ascii="Arial" w:hAnsi="Arial" w:cs="Arial"/>
                <w:sz w:val="20"/>
              </w:rPr>
              <w:t>ND</w:t>
            </w:r>
          </w:p>
        </w:tc>
        <w:tc>
          <w:tcPr>
            <w:tcW w:w="504" w:type="pct"/>
          </w:tcPr>
          <w:p w14:paraId="152AD736" w14:textId="77777777" w:rsidR="00AF50B8" w:rsidRPr="00AF50B8" w:rsidRDefault="00AF50B8" w:rsidP="00AF50B8">
            <w:pPr>
              <w:pStyle w:val="Body"/>
              <w:rPr>
                <w:rFonts w:ascii="Arial" w:hAnsi="Arial" w:cs="Arial"/>
                <w:sz w:val="20"/>
              </w:rPr>
            </w:pPr>
            <w:r w:rsidRPr="00AF50B8">
              <w:rPr>
                <w:rFonts w:ascii="Arial" w:hAnsi="Arial" w:cs="Arial"/>
                <w:sz w:val="20"/>
              </w:rPr>
              <w:t>1.3</w:t>
            </w:r>
          </w:p>
        </w:tc>
        <w:tc>
          <w:tcPr>
            <w:tcW w:w="565" w:type="pct"/>
          </w:tcPr>
          <w:p w14:paraId="278EE845"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307154A4" w14:textId="77777777" w:rsidR="00AF50B8" w:rsidRPr="00AF50B8" w:rsidRDefault="00AF50B8" w:rsidP="00AF50B8">
            <w:pPr>
              <w:pStyle w:val="Body"/>
              <w:rPr>
                <w:rFonts w:ascii="Arial" w:hAnsi="Arial" w:cs="Arial"/>
                <w:b/>
                <w:bCs/>
                <w:sz w:val="20"/>
              </w:rPr>
            </w:pPr>
            <w:r w:rsidRPr="00AF50B8">
              <w:rPr>
                <w:rFonts w:ascii="Arial" w:hAnsi="Arial" w:cs="Arial"/>
                <w:b/>
                <w:bCs/>
                <w:sz w:val="20"/>
              </w:rPr>
              <w:t>Agilent 1100 HPLC</w:t>
            </w:r>
            <w:r w:rsidRPr="00AF50B8">
              <w:rPr>
                <w:rFonts w:ascii="Arial" w:hAnsi="Arial" w:cs="Arial"/>
                <w:b/>
                <w:bCs/>
                <w:iCs/>
                <w:sz w:val="20"/>
              </w:rPr>
              <w:t xml:space="preserve"> (Patle </w:t>
            </w:r>
            <w:r w:rsidRPr="00AF50B8">
              <w:rPr>
                <w:rFonts w:ascii="Arial" w:hAnsi="Arial" w:cs="Arial"/>
                <w:b/>
                <w:bCs/>
                <w:i/>
                <w:sz w:val="20"/>
              </w:rPr>
              <w:t>et al 2022</w:t>
            </w:r>
            <w:r w:rsidRPr="00AF50B8">
              <w:rPr>
                <w:rFonts w:ascii="Arial" w:hAnsi="Arial" w:cs="Arial"/>
                <w:b/>
                <w:bCs/>
                <w:iCs/>
                <w:sz w:val="20"/>
              </w:rPr>
              <w:t>)</w:t>
            </w:r>
          </w:p>
        </w:tc>
      </w:tr>
      <w:tr w:rsidR="00AF50B8" w:rsidRPr="00AF50B8" w14:paraId="09EBC1A9" w14:textId="77777777" w:rsidTr="00816354">
        <w:trPr>
          <w:trHeight w:val="259"/>
        </w:trPr>
        <w:tc>
          <w:tcPr>
            <w:tcW w:w="1111" w:type="pct"/>
          </w:tcPr>
          <w:p w14:paraId="65278FF2"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B9 (Folate)</w:t>
            </w:r>
          </w:p>
        </w:tc>
        <w:tc>
          <w:tcPr>
            <w:tcW w:w="632" w:type="pct"/>
          </w:tcPr>
          <w:p w14:paraId="39CA35FE" w14:textId="77777777" w:rsidR="00AF50B8" w:rsidRPr="00AF50B8" w:rsidRDefault="00AF50B8" w:rsidP="00AF50B8">
            <w:pPr>
              <w:pStyle w:val="Body"/>
              <w:rPr>
                <w:rFonts w:ascii="Arial" w:hAnsi="Arial" w:cs="Arial"/>
                <w:sz w:val="20"/>
              </w:rPr>
            </w:pPr>
            <w:r w:rsidRPr="00AF50B8">
              <w:rPr>
                <w:rFonts w:ascii="Arial" w:hAnsi="Arial" w:cs="Arial"/>
                <w:sz w:val="20"/>
              </w:rPr>
              <w:t>ND</w:t>
            </w:r>
          </w:p>
        </w:tc>
        <w:tc>
          <w:tcPr>
            <w:tcW w:w="504" w:type="pct"/>
          </w:tcPr>
          <w:p w14:paraId="1D862D83" w14:textId="77777777" w:rsidR="00AF50B8" w:rsidRPr="00AF50B8" w:rsidRDefault="00AF50B8" w:rsidP="00AF50B8">
            <w:pPr>
              <w:pStyle w:val="Body"/>
              <w:rPr>
                <w:rFonts w:ascii="Arial" w:hAnsi="Arial" w:cs="Arial"/>
                <w:sz w:val="20"/>
              </w:rPr>
            </w:pPr>
            <w:r w:rsidRPr="00AF50B8">
              <w:rPr>
                <w:rFonts w:ascii="Arial" w:hAnsi="Arial" w:cs="Arial"/>
                <w:sz w:val="20"/>
              </w:rPr>
              <w:t>0.5</w:t>
            </w:r>
          </w:p>
        </w:tc>
        <w:tc>
          <w:tcPr>
            <w:tcW w:w="565" w:type="pct"/>
          </w:tcPr>
          <w:p w14:paraId="3F8CC512"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16710C26" w14:textId="77777777" w:rsidR="00AF50B8" w:rsidRPr="00AF50B8" w:rsidRDefault="00AF50B8" w:rsidP="00AF50B8">
            <w:pPr>
              <w:pStyle w:val="Body"/>
              <w:rPr>
                <w:rFonts w:ascii="Arial" w:hAnsi="Arial" w:cs="Arial"/>
                <w:b/>
                <w:bCs/>
                <w:sz w:val="20"/>
              </w:rPr>
            </w:pPr>
            <w:r w:rsidRPr="00AF50B8">
              <w:rPr>
                <w:rFonts w:ascii="Arial" w:hAnsi="Arial" w:cs="Arial"/>
                <w:b/>
                <w:bCs/>
                <w:sz w:val="20"/>
              </w:rPr>
              <w:t>Agilent 1100 HPLC</w:t>
            </w:r>
            <w:r w:rsidRPr="00AF50B8">
              <w:rPr>
                <w:rFonts w:ascii="Arial" w:hAnsi="Arial" w:cs="Arial"/>
                <w:b/>
                <w:bCs/>
                <w:iCs/>
                <w:sz w:val="20"/>
              </w:rPr>
              <w:t xml:space="preserve"> (</w:t>
            </w:r>
            <w:r w:rsidRPr="00AF50B8">
              <w:rPr>
                <w:rFonts w:ascii="Arial" w:hAnsi="Arial" w:cs="Arial"/>
                <w:sz w:val="20"/>
              </w:rPr>
              <w:t>AOAC 2019 and Ph. Eur 2017)</w:t>
            </w:r>
          </w:p>
        </w:tc>
      </w:tr>
      <w:tr w:rsidR="00AF50B8" w:rsidRPr="00AF50B8" w14:paraId="50FC72CF" w14:textId="77777777" w:rsidTr="00816354">
        <w:trPr>
          <w:trHeight w:val="505"/>
        </w:trPr>
        <w:tc>
          <w:tcPr>
            <w:tcW w:w="1111" w:type="pct"/>
          </w:tcPr>
          <w:p w14:paraId="3471182F"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B12(Cyanocobalamin)</w:t>
            </w:r>
          </w:p>
        </w:tc>
        <w:tc>
          <w:tcPr>
            <w:tcW w:w="632" w:type="pct"/>
          </w:tcPr>
          <w:p w14:paraId="71B987DB" w14:textId="77777777" w:rsidR="00AF50B8" w:rsidRPr="00AF50B8" w:rsidRDefault="00AF50B8" w:rsidP="00AF50B8">
            <w:pPr>
              <w:pStyle w:val="Body"/>
              <w:rPr>
                <w:rFonts w:ascii="Arial" w:hAnsi="Arial" w:cs="Arial"/>
                <w:sz w:val="20"/>
              </w:rPr>
            </w:pPr>
            <w:r w:rsidRPr="00AF50B8">
              <w:rPr>
                <w:rFonts w:ascii="Arial" w:hAnsi="Arial" w:cs="Arial"/>
                <w:sz w:val="20"/>
              </w:rPr>
              <w:t>ND</w:t>
            </w:r>
          </w:p>
        </w:tc>
        <w:tc>
          <w:tcPr>
            <w:tcW w:w="504" w:type="pct"/>
          </w:tcPr>
          <w:p w14:paraId="759DD304" w14:textId="77777777" w:rsidR="00AF50B8" w:rsidRPr="00AF50B8" w:rsidRDefault="00AF50B8" w:rsidP="00AF50B8">
            <w:pPr>
              <w:pStyle w:val="Body"/>
              <w:rPr>
                <w:rFonts w:ascii="Arial" w:hAnsi="Arial" w:cs="Arial"/>
                <w:sz w:val="20"/>
              </w:rPr>
            </w:pPr>
            <w:r w:rsidRPr="00AF50B8">
              <w:rPr>
                <w:rFonts w:ascii="Arial" w:hAnsi="Arial" w:cs="Arial"/>
                <w:sz w:val="20"/>
              </w:rPr>
              <w:t>0.002</w:t>
            </w:r>
          </w:p>
        </w:tc>
        <w:tc>
          <w:tcPr>
            <w:tcW w:w="565" w:type="pct"/>
          </w:tcPr>
          <w:p w14:paraId="42B54766"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3F80F324" w14:textId="77777777" w:rsidR="00AF50B8" w:rsidRPr="00AF50B8" w:rsidRDefault="00AF50B8" w:rsidP="00AF50B8">
            <w:pPr>
              <w:pStyle w:val="Body"/>
              <w:rPr>
                <w:rFonts w:ascii="Arial" w:hAnsi="Arial" w:cs="Arial"/>
                <w:b/>
                <w:bCs/>
                <w:sz w:val="20"/>
              </w:rPr>
            </w:pPr>
            <w:r w:rsidRPr="00AF50B8">
              <w:rPr>
                <w:rFonts w:ascii="Arial" w:hAnsi="Arial" w:cs="Arial"/>
                <w:b/>
                <w:bCs/>
                <w:sz w:val="20"/>
              </w:rPr>
              <w:t>Agilent 1100 HPLC</w:t>
            </w:r>
            <w:r w:rsidRPr="00AF50B8">
              <w:rPr>
                <w:rFonts w:ascii="Arial" w:hAnsi="Arial" w:cs="Arial"/>
                <w:b/>
                <w:bCs/>
                <w:iCs/>
                <w:sz w:val="20"/>
              </w:rPr>
              <w:t xml:space="preserve"> (</w:t>
            </w:r>
            <w:r w:rsidRPr="00AF50B8">
              <w:rPr>
                <w:rFonts w:ascii="Arial" w:hAnsi="Arial" w:cs="Arial"/>
                <w:sz w:val="20"/>
              </w:rPr>
              <w:t>AOAC 2019)</w:t>
            </w:r>
          </w:p>
        </w:tc>
      </w:tr>
      <w:tr w:rsidR="00AF50B8" w:rsidRPr="00AF50B8" w14:paraId="054F454B" w14:textId="77777777" w:rsidTr="00816354">
        <w:trPr>
          <w:trHeight w:val="519"/>
        </w:trPr>
        <w:tc>
          <w:tcPr>
            <w:tcW w:w="1111" w:type="pct"/>
          </w:tcPr>
          <w:p w14:paraId="7FCD5B04"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C (Ascorbic acid)</w:t>
            </w:r>
          </w:p>
        </w:tc>
        <w:tc>
          <w:tcPr>
            <w:tcW w:w="632" w:type="pct"/>
          </w:tcPr>
          <w:p w14:paraId="0429B745" w14:textId="77777777" w:rsidR="00AF50B8" w:rsidRPr="00AF50B8" w:rsidRDefault="00AF50B8" w:rsidP="00AF50B8">
            <w:pPr>
              <w:pStyle w:val="Body"/>
              <w:rPr>
                <w:rFonts w:ascii="Arial" w:hAnsi="Arial" w:cs="Arial"/>
                <w:sz w:val="20"/>
              </w:rPr>
            </w:pPr>
            <w:r w:rsidRPr="00AF50B8">
              <w:rPr>
                <w:rFonts w:ascii="Arial" w:hAnsi="Arial" w:cs="Arial"/>
                <w:sz w:val="20"/>
              </w:rPr>
              <w:t>0.008</w:t>
            </w:r>
          </w:p>
        </w:tc>
        <w:tc>
          <w:tcPr>
            <w:tcW w:w="504" w:type="pct"/>
          </w:tcPr>
          <w:p w14:paraId="4F688DA2" w14:textId="77777777" w:rsidR="00AF50B8" w:rsidRPr="00AF50B8" w:rsidRDefault="00AF50B8" w:rsidP="00AF50B8">
            <w:pPr>
              <w:pStyle w:val="Body"/>
              <w:rPr>
                <w:rFonts w:ascii="Arial" w:hAnsi="Arial" w:cs="Arial"/>
                <w:sz w:val="20"/>
              </w:rPr>
            </w:pPr>
            <w:r w:rsidRPr="00AF50B8">
              <w:rPr>
                <w:rFonts w:ascii="Arial" w:hAnsi="Arial" w:cs="Arial"/>
                <w:sz w:val="20"/>
              </w:rPr>
              <w:t>90</w:t>
            </w:r>
          </w:p>
        </w:tc>
        <w:tc>
          <w:tcPr>
            <w:tcW w:w="565" w:type="pct"/>
          </w:tcPr>
          <w:p w14:paraId="790E6933"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38E6B234" w14:textId="77777777" w:rsidR="00AF50B8" w:rsidRPr="00AF50B8" w:rsidRDefault="00AF50B8" w:rsidP="00AF50B8">
            <w:pPr>
              <w:pStyle w:val="Body"/>
              <w:rPr>
                <w:rFonts w:ascii="Arial" w:hAnsi="Arial" w:cs="Arial"/>
                <w:b/>
                <w:bCs/>
                <w:iCs/>
                <w:sz w:val="20"/>
              </w:rPr>
            </w:pPr>
            <w:r w:rsidRPr="00AF50B8">
              <w:rPr>
                <w:rFonts w:ascii="Arial" w:hAnsi="Arial" w:cs="Arial"/>
                <w:b/>
                <w:bCs/>
                <w:sz w:val="20"/>
              </w:rPr>
              <w:t>Agilent 1100 HPLC</w:t>
            </w:r>
            <w:r w:rsidRPr="00AF50B8">
              <w:rPr>
                <w:rFonts w:ascii="Arial" w:hAnsi="Arial" w:cs="Arial"/>
                <w:b/>
                <w:bCs/>
                <w:iCs/>
                <w:sz w:val="20"/>
              </w:rPr>
              <w:t xml:space="preserve"> (Patle </w:t>
            </w:r>
            <w:r w:rsidRPr="00AF50B8">
              <w:rPr>
                <w:rFonts w:ascii="Arial" w:hAnsi="Arial" w:cs="Arial"/>
                <w:b/>
                <w:bCs/>
                <w:i/>
                <w:sz w:val="20"/>
              </w:rPr>
              <w:t>et al 2022</w:t>
            </w:r>
            <w:r w:rsidRPr="00AF50B8">
              <w:rPr>
                <w:rFonts w:ascii="Arial" w:hAnsi="Arial" w:cs="Arial"/>
                <w:b/>
                <w:bCs/>
                <w:iCs/>
                <w:sz w:val="20"/>
              </w:rPr>
              <w:t>)</w:t>
            </w:r>
          </w:p>
        </w:tc>
      </w:tr>
      <w:tr w:rsidR="00AF50B8" w:rsidRPr="00AF50B8" w14:paraId="777CF4EA" w14:textId="77777777" w:rsidTr="00816354">
        <w:trPr>
          <w:trHeight w:val="505"/>
        </w:trPr>
        <w:tc>
          <w:tcPr>
            <w:tcW w:w="1111" w:type="pct"/>
          </w:tcPr>
          <w:p w14:paraId="4D21FDE6"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D (Cholecalciferol)</w:t>
            </w:r>
          </w:p>
        </w:tc>
        <w:tc>
          <w:tcPr>
            <w:tcW w:w="632" w:type="pct"/>
          </w:tcPr>
          <w:p w14:paraId="2C164E7A" w14:textId="77777777" w:rsidR="00AF50B8" w:rsidRPr="00AF50B8" w:rsidRDefault="00AF50B8" w:rsidP="00AF50B8">
            <w:pPr>
              <w:pStyle w:val="Body"/>
              <w:rPr>
                <w:rFonts w:ascii="Arial" w:hAnsi="Arial" w:cs="Arial"/>
                <w:sz w:val="20"/>
              </w:rPr>
            </w:pPr>
            <w:r w:rsidRPr="00AF50B8">
              <w:rPr>
                <w:rFonts w:ascii="Arial" w:hAnsi="Arial" w:cs="Arial"/>
                <w:sz w:val="20"/>
              </w:rPr>
              <w:t>0.07</w:t>
            </w:r>
          </w:p>
        </w:tc>
        <w:tc>
          <w:tcPr>
            <w:tcW w:w="504" w:type="pct"/>
          </w:tcPr>
          <w:p w14:paraId="6ECD63B4" w14:textId="77777777" w:rsidR="00AF50B8" w:rsidRPr="00AF50B8" w:rsidRDefault="00AF50B8" w:rsidP="00AF50B8">
            <w:pPr>
              <w:pStyle w:val="Body"/>
              <w:rPr>
                <w:rFonts w:ascii="Arial" w:hAnsi="Arial" w:cs="Arial"/>
                <w:sz w:val="20"/>
              </w:rPr>
            </w:pPr>
            <w:r w:rsidRPr="00AF50B8">
              <w:rPr>
                <w:rFonts w:ascii="Arial" w:hAnsi="Arial" w:cs="Arial"/>
                <w:sz w:val="20"/>
              </w:rPr>
              <w:t>0.21</w:t>
            </w:r>
          </w:p>
        </w:tc>
        <w:tc>
          <w:tcPr>
            <w:tcW w:w="565" w:type="pct"/>
          </w:tcPr>
          <w:p w14:paraId="5876D1DF"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615E3DFD" w14:textId="77777777" w:rsidR="00AF50B8" w:rsidRPr="00AF50B8" w:rsidRDefault="00AF50B8" w:rsidP="00AF50B8">
            <w:pPr>
              <w:pStyle w:val="Body"/>
              <w:rPr>
                <w:rFonts w:ascii="Arial" w:hAnsi="Arial" w:cs="Arial"/>
                <w:b/>
                <w:bCs/>
                <w:sz w:val="20"/>
              </w:rPr>
            </w:pPr>
            <w:r w:rsidRPr="00AF50B8">
              <w:rPr>
                <w:rFonts w:ascii="Arial" w:hAnsi="Arial" w:cs="Arial"/>
                <w:b/>
                <w:bCs/>
                <w:sz w:val="20"/>
              </w:rPr>
              <w:t>Agilent 1100 HPLC (</w:t>
            </w:r>
            <w:r w:rsidRPr="00AF50B8">
              <w:rPr>
                <w:rFonts w:ascii="Arial" w:hAnsi="Arial" w:cs="Arial"/>
                <w:sz w:val="20"/>
              </w:rPr>
              <w:t>AOAC 2019)</w:t>
            </w:r>
          </w:p>
        </w:tc>
      </w:tr>
      <w:tr w:rsidR="00AF50B8" w:rsidRPr="00AF50B8" w14:paraId="4598CF33" w14:textId="77777777" w:rsidTr="00816354">
        <w:trPr>
          <w:trHeight w:val="259"/>
        </w:trPr>
        <w:tc>
          <w:tcPr>
            <w:tcW w:w="1111" w:type="pct"/>
            <w:tcBorders>
              <w:bottom w:val="single" w:sz="4" w:space="0" w:color="auto"/>
            </w:tcBorders>
          </w:tcPr>
          <w:p w14:paraId="0FCCA554"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E (Tocopherol)</w:t>
            </w:r>
          </w:p>
        </w:tc>
        <w:tc>
          <w:tcPr>
            <w:tcW w:w="632" w:type="pct"/>
            <w:tcBorders>
              <w:bottom w:val="single" w:sz="4" w:space="0" w:color="auto"/>
            </w:tcBorders>
          </w:tcPr>
          <w:p w14:paraId="38EF45C8" w14:textId="77777777" w:rsidR="00AF50B8" w:rsidRPr="00AF50B8" w:rsidRDefault="00AF50B8" w:rsidP="00AF50B8">
            <w:pPr>
              <w:pStyle w:val="Body"/>
              <w:rPr>
                <w:rFonts w:ascii="Arial" w:hAnsi="Arial" w:cs="Arial"/>
                <w:sz w:val="20"/>
              </w:rPr>
            </w:pPr>
            <w:r w:rsidRPr="00AF50B8">
              <w:rPr>
                <w:rFonts w:ascii="Arial" w:hAnsi="Arial" w:cs="Arial"/>
                <w:sz w:val="20"/>
              </w:rPr>
              <w:t>0.013</w:t>
            </w:r>
          </w:p>
        </w:tc>
        <w:tc>
          <w:tcPr>
            <w:tcW w:w="504" w:type="pct"/>
            <w:tcBorders>
              <w:bottom w:val="single" w:sz="4" w:space="0" w:color="auto"/>
            </w:tcBorders>
          </w:tcPr>
          <w:p w14:paraId="4E54E152" w14:textId="77777777" w:rsidR="00AF50B8" w:rsidRPr="00AF50B8" w:rsidRDefault="00AF50B8" w:rsidP="00AF50B8">
            <w:pPr>
              <w:pStyle w:val="Body"/>
              <w:rPr>
                <w:rFonts w:ascii="Arial" w:hAnsi="Arial" w:cs="Arial"/>
                <w:sz w:val="20"/>
              </w:rPr>
            </w:pPr>
            <w:r w:rsidRPr="00AF50B8">
              <w:rPr>
                <w:rFonts w:ascii="Arial" w:hAnsi="Arial" w:cs="Arial"/>
                <w:sz w:val="20"/>
              </w:rPr>
              <w:t>15</w:t>
            </w:r>
          </w:p>
        </w:tc>
        <w:tc>
          <w:tcPr>
            <w:tcW w:w="565" w:type="pct"/>
            <w:tcBorders>
              <w:bottom w:val="single" w:sz="4" w:space="0" w:color="auto"/>
            </w:tcBorders>
          </w:tcPr>
          <w:p w14:paraId="2954F490"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Borders>
              <w:bottom w:val="single" w:sz="4" w:space="0" w:color="auto"/>
            </w:tcBorders>
          </w:tcPr>
          <w:p w14:paraId="3B36EFC3" w14:textId="77777777" w:rsidR="00AF50B8" w:rsidRPr="00AF50B8" w:rsidRDefault="00AF50B8" w:rsidP="00AF50B8">
            <w:pPr>
              <w:pStyle w:val="Body"/>
              <w:rPr>
                <w:rFonts w:ascii="Arial" w:hAnsi="Arial" w:cs="Arial"/>
                <w:b/>
                <w:bCs/>
                <w:sz w:val="20"/>
              </w:rPr>
            </w:pPr>
            <w:r w:rsidRPr="00AF50B8">
              <w:rPr>
                <w:rFonts w:ascii="Arial" w:hAnsi="Arial" w:cs="Arial"/>
                <w:b/>
                <w:bCs/>
                <w:sz w:val="20"/>
              </w:rPr>
              <w:t>Agilent 1100 HPLC (</w:t>
            </w:r>
            <w:r w:rsidRPr="00AF50B8">
              <w:rPr>
                <w:rFonts w:ascii="Arial" w:hAnsi="Arial" w:cs="Arial"/>
                <w:sz w:val="20"/>
              </w:rPr>
              <w:t>AOAC 2019)</w:t>
            </w:r>
            <w:commentRangeEnd w:id="29"/>
            <w:r w:rsidR="00663A4F">
              <w:rPr>
                <w:rStyle w:val="CommentReference"/>
                <w:rFonts w:ascii="Times New Roman" w:eastAsia="Times New Roman" w:hAnsi="Times New Roman"/>
                <w:lang w:val="nb-NO" w:eastAsia="nb-NO"/>
              </w:rPr>
              <w:commentReference w:id="29"/>
            </w:r>
          </w:p>
        </w:tc>
      </w:tr>
    </w:tbl>
    <w:p w14:paraId="1251BCAF" w14:textId="77777777" w:rsidR="00AF50B8" w:rsidRPr="00AF50B8" w:rsidRDefault="00AF50B8" w:rsidP="00AF50B8">
      <w:pPr>
        <w:pStyle w:val="Body"/>
        <w:spacing w:after="0"/>
        <w:rPr>
          <w:rFonts w:ascii="Arial" w:hAnsi="Arial" w:cs="Arial"/>
          <w:b/>
          <w:bCs/>
        </w:rPr>
      </w:pPr>
      <w:commentRangeStart w:id="30"/>
      <w:r w:rsidRPr="00AF50B8">
        <w:rPr>
          <w:rFonts w:ascii="Arial" w:hAnsi="Arial" w:cs="Arial"/>
          <w:b/>
          <w:bCs/>
        </w:rPr>
        <w:lastRenderedPageBreak/>
        <w:t>Recommended daily intake (RDI), the unit represents the values per day, Sources- FAO., 2023; CODEX reference standards</w:t>
      </w:r>
      <w:commentRangeEnd w:id="30"/>
      <w:r w:rsidR="00663A4F">
        <w:rPr>
          <w:rStyle w:val="CommentReference"/>
          <w:rFonts w:ascii="Times New Roman" w:hAnsi="Times New Roman"/>
          <w:lang w:val="nb-NO" w:eastAsia="nb-NO"/>
        </w:rPr>
        <w:commentReference w:id="30"/>
      </w:r>
    </w:p>
    <w:p w14:paraId="64C0414A" w14:textId="77777777" w:rsidR="00AF50B8" w:rsidRPr="00AF50B8" w:rsidRDefault="00AF50B8" w:rsidP="00AF50B8">
      <w:pPr>
        <w:pStyle w:val="Body"/>
        <w:spacing w:after="0"/>
        <w:rPr>
          <w:rFonts w:ascii="Arial" w:hAnsi="Arial" w:cs="Arial"/>
        </w:rPr>
      </w:pPr>
    </w:p>
    <w:p w14:paraId="3E95AB2B" w14:textId="77777777" w:rsidR="00AF50B8" w:rsidRDefault="00AF50B8" w:rsidP="00AF50B8">
      <w:pPr>
        <w:pStyle w:val="Body"/>
        <w:spacing w:after="0"/>
        <w:rPr>
          <w:rFonts w:ascii="Arial" w:hAnsi="Arial" w:cs="Arial"/>
          <w:b/>
          <w:bCs/>
        </w:rPr>
      </w:pPr>
      <w:r w:rsidRPr="00AF50B8">
        <w:rPr>
          <w:rFonts w:ascii="Arial" w:hAnsi="Arial" w:cs="Arial"/>
          <w:b/>
          <w:bCs/>
        </w:rPr>
        <w:t>3.3. MINERAL ANALYSIS</w:t>
      </w:r>
    </w:p>
    <w:p w14:paraId="181B7C3E" w14:textId="77777777" w:rsidR="00816354" w:rsidRDefault="00816354" w:rsidP="00AF50B8">
      <w:pPr>
        <w:pStyle w:val="Body"/>
        <w:spacing w:after="0"/>
        <w:rPr>
          <w:rFonts w:ascii="Arial" w:hAnsi="Arial" w:cs="Arial"/>
          <w:b/>
          <w:bCs/>
        </w:rPr>
      </w:pPr>
    </w:p>
    <w:p w14:paraId="13C41C4A" w14:textId="77777777" w:rsidR="00816354" w:rsidRDefault="00816354" w:rsidP="00AF50B8">
      <w:pPr>
        <w:pStyle w:val="Body"/>
        <w:spacing w:after="0"/>
        <w:rPr>
          <w:rFonts w:ascii="Arial" w:hAnsi="Arial" w:cs="Arial"/>
          <w:b/>
          <w:bCs/>
        </w:rPr>
      </w:pPr>
    </w:p>
    <w:p w14:paraId="3BDA534A" w14:textId="77777777" w:rsidR="00816354" w:rsidRDefault="00816354" w:rsidP="00AF50B8">
      <w:pPr>
        <w:pStyle w:val="Body"/>
        <w:spacing w:after="0"/>
        <w:rPr>
          <w:rFonts w:ascii="Arial" w:hAnsi="Arial" w:cs="Arial"/>
          <w:b/>
          <w:bCs/>
        </w:rPr>
      </w:pPr>
    </w:p>
    <w:p w14:paraId="6F8039E4" w14:textId="77777777" w:rsidR="00816354" w:rsidRDefault="00816354" w:rsidP="00AF50B8">
      <w:pPr>
        <w:pStyle w:val="Body"/>
        <w:spacing w:after="0"/>
        <w:rPr>
          <w:rFonts w:ascii="Arial" w:hAnsi="Arial" w:cs="Arial"/>
          <w:b/>
          <w:bCs/>
        </w:rPr>
      </w:pPr>
    </w:p>
    <w:p w14:paraId="57A41EEB" w14:textId="77777777" w:rsidR="00816354" w:rsidRDefault="00816354" w:rsidP="00AF50B8">
      <w:pPr>
        <w:pStyle w:val="Body"/>
        <w:spacing w:after="0"/>
        <w:rPr>
          <w:rFonts w:ascii="Arial" w:hAnsi="Arial" w:cs="Arial"/>
          <w:b/>
          <w:bCs/>
        </w:rPr>
      </w:pPr>
    </w:p>
    <w:p w14:paraId="13C2B95C" w14:textId="7D9F094A" w:rsidR="00816354" w:rsidRDefault="00816354" w:rsidP="00AF50B8">
      <w:pPr>
        <w:pStyle w:val="Body"/>
        <w:spacing w:after="0"/>
        <w:rPr>
          <w:rFonts w:ascii="Arial" w:hAnsi="Arial" w:cs="Arial"/>
          <w:b/>
          <w:bCs/>
        </w:rPr>
      </w:pPr>
      <w:r>
        <w:rPr>
          <w:rFonts w:ascii="Arial" w:hAnsi="Arial" w:cs="Arial"/>
          <w:b/>
          <w:bCs/>
        </w:rPr>
        <w:t xml:space="preserve">Table 3 : </w:t>
      </w:r>
      <w:r w:rsidR="00115893">
        <w:rPr>
          <w:rFonts w:ascii="Arial" w:hAnsi="Arial" w:cs="Arial"/>
          <w:b/>
          <w:bCs/>
        </w:rPr>
        <w:t xml:space="preserve">Mineral analysis of </w:t>
      </w:r>
      <w:r w:rsidR="00115893" w:rsidRPr="00115893">
        <w:rPr>
          <w:rFonts w:ascii="Arial" w:hAnsi="Arial" w:cs="Arial"/>
          <w:b/>
          <w:bCs/>
          <w:i/>
        </w:rPr>
        <w:t>P. tuberregium</w:t>
      </w:r>
    </w:p>
    <w:p w14:paraId="17F9B85A" w14:textId="77777777" w:rsidR="00816354" w:rsidRPr="00AF50B8" w:rsidRDefault="00816354" w:rsidP="00AF50B8">
      <w:pPr>
        <w:pStyle w:val="Body"/>
        <w:spacing w:after="0"/>
        <w:rPr>
          <w:rFonts w:ascii="Arial" w:hAnsi="Arial" w:cs="Arial"/>
          <w:b/>
          <w:bCs/>
        </w:rPr>
      </w:pPr>
    </w:p>
    <w:tbl>
      <w:tblPr>
        <w:tblStyle w:val="TableGrid"/>
        <w:tblW w:w="9493" w:type="dxa"/>
        <w:tblLook w:val="04A0" w:firstRow="1" w:lastRow="0" w:firstColumn="1" w:lastColumn="0" w:noHBand="0" w:noVBand="1"/>
      </w:tblPr>
      <w:tblGrid>
        <w:gridCol w:w="1830"/>
        <w:gridCol w:w="995"/>
        <w:gridCol w:w="1317"/>
        <w:gridCol w:w="1228"/>
        <w:gridCol w:w="854"/>
        <w:gridCol w:w="931"/>
        <w:gridCol w:w="1032"/>
        <w:gridCol w:w="1306"/>
      </w:tblGrid>
      <w:tr w:rsidR="00AF50B8" w:rsidRPr="00AF50B8" w14:paraId="16CD8180" w14:textId="77777777" w:rsidTr="004C70AB">
        <w:trPr>
          <w:trHeight w:val="555"/>
        </w:trPr>
        <w:tc>
          <w:tcPr>
            <w:tcW w:w="1852" w:type="dxa"/>
          </w:tcPr>
          <w:p w14:paraId="0ED4710F" w14:textId="77777777" w:rsidR="00AF50B8" w:rsidRPr="00AF50B8" w:rsidRDefault="00AF50B8" w:rsidP="00AF50B8">
            <w:pPr>
              <w:pStyle w:val="Body"/>
              <w:rPr>
                <w:rFonts w:ascii="Arial" w:hAnsi="Arial" w:cs="Arial"/>
                <w:b/>
                <w:bCs/>
                <w:sz w:val="20"/>
              </w:rPr>
            </w:pPr>
            <w:commentRangeStart w:id="31"/>
            <w:r w:rsidRPr="00AF50B8">
              <w:rPr>
                <w:rFonts w:ascii="Arial" w:hAnsi="Arial" w:cs="Arial"/>
                <w:b/>
                <w:bCs/>
                <w:sz w:val="20"/>
              </w:rPr>
              <w:t>Component</w:t>
            </w:r>
          </w:p>
          <w:p w14:paraId="0701F72A" w14:textId="77777777" w:rsidR="00AF50B8" w:rsidRPr="00AF50B8" w:rsidRDefault="00AF50B8" w:rsidP="00AF50B8">
            <w:pPr>
              <w:pStyle w:val="Body"/>
              <w:rPr>
                <w:rFonts w:ascii="Arial" w:hAnsi="Arial" w:cs="Arial"/>
                <w:b/>
                <w:bCs/>
                <w:sz w:val="20"/>
              </w:rPr>
            </w:pPr>
          </w:p>
        </w:tc>
        <w:tc>
          <w:tcPr>
            <w:tcW w:w="879" w:type="dxa"/>
          </w:tcPr>
          <w:p w14:paraId="7173A7E6" w14:textId="77777777" w:rsidR="00AF50B8" w:rsidRPr="00AF50B8" w:rsidRDefault="00AF50B8" w:rsidP="00AF50B8">
            <w:pPr>
              <w:pStyle w:val="Body"/>
              <w:rPr>
                <w:rFonts w:ascii="Arial" w:hAnsi="Arial" w:cs="Arial"/>
                <w:b/>
                <w:bCs/>
                <w:sz w:val="20"/>
              </w:rPr>
            </w:pPr>
            <w:r w:rsidRPr="00AF50B8">
              <w:rPr>
                <w:rFonts w:ascii="Arial" w:hAnsi="Arial" w:cs="Arial"/>
                <w:b/>
                <w:bCs/>
                <w:sz w:val="20"/>
              </w:rPr>
              <w:t>Calcium</w:t>
            </w:r>
          </w:p>
        </w:tc>
        <w:tc>
          <w:tcPr>
            <w:tcW w:w="1262" w:type="dxa"/>
          </w:tcPr>
          <w:p w14:paraId="7CFD11BF" w14:textId="77777777" w:rsidR="00AF50B8" w:rsidRPr="00AF50B8" w:rsidRDefault="00AF50B8" w:rsidP="00AF50B8">
            <w:pPr>
              <w:pStyle w:val="Body"/>
              <w:rPr>
                <w:rFonts w:ascii="Arial" w:hAnsi="Arial" w:cs="Arial"/>
                <w:b/>
                <w:bCs/>
                <w:sz w:val="20"/>
              </w:rPr>
            </w:pPr>
            <w:r w:rsidRPr="00AF50B8">
              <w:rPr>
                <w:rFonts w:ascii="Arial" w:hAnsi="Arial" w:cs="Arial"/>
                <w:b/>
                <w:bCs/>
                <w:sz w:val="20"/>
              </w:rPr>
              <w:t>Magnesium</w:t>
            </w:r>
          </w:p>
        </w:tc>
        <w:tc>
          <w:tcPr>
            <w:tcW w:w="1123" w:type="dxa"/>
          </w:tcPr>
          <w:p w14:paraId="139EBB82" w14:textId="77777777" w:rsidR="00AF50B8" w:rsidRPr="00AF50B8" w:rsidRDefault="00AF50B8" w:rsidP="00AF50B8">
            <w:pPr>
              <w:pStyle w:val="Body"/>
              <w:rPr>
                <w:rFonts w:ascii="Arial" w:hAnsi="Arial" w:cs="Arial"/>
                <w:b/>
                <w:bCs/>
                <w:sz w:val="20"/>
              </w:rPr>
            </w:pPr>
            <w:r w:rsidRPr="00AF50B8">
              <w:rPr>
                <w:rFonts w:ascii="Arial" w:hAnsi="Arial" w:cs="Arial"/>
                <w:b/>
                <w:bCs/>
                <w:sz w:val="20"/>
              </w:rPr>
              <w:t>Potassium</w:t>
            </w:r>
          </w:p>
        </w:tc>
        <w:tc>
          <w:tcPr>
            <w:tcW w:w="944" w:type="dxa"/>
          </w:tcPr>
          <w:p w14:paraId="4B8C2C17" w14:textId="77777777" w:rsidR="00AF50B8" w:rsidRPr="00AF50B8" w:rsidRDefault="00AF50B8" w:rsidP="00AF50B8">
            <w:pPr>
              <w:pStyle w:val="Body"/>
              <w:rPr>
                <w:rFonts w:ascii="Arial" w:hAnsi="Arial" w:cs="Arial"/>
                <w:b/>
                <w:bCs/>
                <w:sz w:val="20"/>
              </w:rPr>
            </w:pPr>
            <w:r w:rsidRPr="00AF50B8">
              <w:rPr>
                <w:rFonts w:ascii="Arial" w:hAnsi="Arial" w:cs="Arial"/>
                <w:b/>
                <w:bCs/>
                <w:sz w:val="20"/>
              </w:rPr>
              <w:t>Iron</w:t>
            </w:r>
          </w:p>
        </w:tc>
        <w:tc>
          <w:tcPr>
            <w:tcW w:w="1071" w:type="dxa"/>
          </w:tcPr>
          <w:p w14:paraId="5B843B3B" w14:textId="77777777" w:rsidR="00AF50B8" w:rsidRPr="00AF50B8" w:rsidRDefault="00AF50B8" w:rsidP="00AF50B8">
            <w:pPr>
              <w:pStyle w:val="Body"/>
              <w:rPr>
                <w:rFonts w:ascii="Arial" w:hAnsi="Arial" w:cs="Arial"/>
                <w:b/>
                <w:bCs/>
                <w:sz w:val="20"/>
              </w:rPr>
            </w:pPr>
            <w:r w:rsidRPr="00AF50B8">
              <w:rPr>
                <w:rFonts w:ascii="Arial" w:hAnsi="Arial" w:cs="Arial"/>
                <w:b/>
                <w:bCs/>
                <w:sz w:val="20"/>
              </w:rPr>
              <w:t>Zinc</w:t>
            </w:r>
          </w:p>
        </w:tc>
        <w:tc>
          <w:tcPr>
            <w:tcW w:w="1086" w:type="dxa"/>
          </w:tcPr>
          <w:p w14:paraId="7AE12E35" w14:textId="77777777" w:rsidR="00AF50B8" w:rsidRPr="00AF50B8" w:rsidRDefault="00AF50B8" w:rsidP="00AF50B8">
            <w:pPr>
              <w:pStyle w:val="Body"/>
              <w:rPr>
                <w:rFonts w:ascii="Arial" w:hAnsi="Arial" w:cs="Arial"/>
                <w:b/>
                <w:bCs/>
                <w:sz w:val="20"/>
              </w:rPr>
            </w:pPr>
            <w:r w:rsidRPr="00AF50B8">
              <w:rPr>
                <w:rFonts w:ascii="Arial" w:hAnsi="Arial" w:cs="Arial"/>
                <w:b/>
                <w:bCs/>
                <w:sz w:val="20"/>
              </w:rPr>
              <w:t>Sodium</w:t>
            </w:r>
          </w:p>
        </w:tc>
        <w:tc>
          <w:tcPr>
            <w:tcW w:w="1276" w:type="dxa"/>
          </w:tcPr>
          <w:p w14:paraId="2BB6970C" w14:textId="77777777" w:rsidR="00AF50B8" w:rsidRPr="00AF50B8" w:rsidRDefault="00AF50B8" w:rsidP="00AF50B8">
            <w:pPr>
              <w:pStyle w:val="Body"/>
              <w:rPr>
                <w:rFonts w:ascii="Arial" w:hAnsi="Arial" w:cs="Arial"/>
                <w:b/>
                <w:bCs/>
                <w:sz w:val="20"/>
              </w:rPr>
            </w:pPr>
            <w:r w:rsidRPr="00AF50B8">
              <w:rPr>
                <w:rFonts w:ascii="Arial" w:hAnsi="Arial" w:cs="Arial"/>
                <w:b/>
                <w:bCs/>
                <w:sz w:val="20"/>
              </w:rPr>
              <w:t>Manganese</w:t>
            </w:r>
          </w:p>
        </w:tc>
      </w:tr>
      <w:tr w:rsidR="00AF50B8" w:rsidRPr="00AF50B8" w14:paraId="3DB22167" w14:textId="77777777" w:rsidTr="004C70AB">
        <w:trPr>
          <w:trHeight w:val="780"/>
        </w:trPr>
        <w:tc>
          <w:tcPr>
            <w:tcW w:w="1852" w:type="dxa"/>
          </w:tcPr>
          <w:p w14:paraId="64EDD2AE" w14:textId="77777777" w:rsidR="00AF50B8" w:rsidRPr="00AF50B8" w:rsidRDefault="00AF50B8" w:rsidP="00AF50B8">
            <w:pPr>
              <w:pStyle w:val="Body"/>
              <w:rPr>
                <w:rFonts w:ascii="Arial" w:hAnsi="Arial" w:cs="Arial"/>
                <w:b/>
                <w:bCs/>
                <w:sz w:val="20"/>
              </w:rPr>
            </w:pPr>
            <w:r w:rsidRPr="00AF50B8">
              <w:rPr>
                <w:rFonts w:ascii="Arial" w:hAnsi="Arial" w:cs="Arial"/>
                <w:b/>
                <w:bCs/>
                <w:i/>
                <w:iCs/>
                <w:sz w:val="20"/>
              </w:rPr>
              <w:t>P. tuberregium</w:t>
            </w:r>
            <w:r w:rsidRPr="00AF50B8">
              <w:rPr>
                <w:rFonts w:ascii="Arial" w:hAnsi="Arial" w:cs="Arial"/>
                <w:b/>
                <w:bCs/>
                <w:sz w:val="20"/>
              </w:rPr>
              <w:t xml:space="preserve"> (%)</w:t>
            </w:r>
          </w:p>
        </w:tc>
        <w:tc>
          <w:tcPr>
            <w:tcW w:w="879" w:type="dxa"/>
          </w:tcPr>
          <w:p w14:paraId="12B84C7C" w14:textId="77777777" w:rsidR="00AF50B8" w:rsidRPr="00AF50B8" w:rsidRDefault="00AF50B8" w:rsidP="00AF50B8">
            <w:pPr>
              <w:pStyle w:val="Body"/>
              <w:rPr>
                <w:rFonts w:ascii="Arial" w:hAnsi="Arial" w:cs="Arial"/>
                <w:sz w:val="20"/>
              </w:rPr>
            </w:pPr>
            <w:r w:rsidRPr="00AF50B8">
              <w:rPr>
                <w:rFonts w:ascii="Arial" w:hAnsi="Arial" w:cs="Arial"/>
                <w:sz w:val="20"/>
              </w:rPr>
              <w:t>797.75</w:t>
            </w:r>
          </w:p>
          <w:p w14:paraId="435ADA68" w14:textId="77777777" w:rsidR="00AF50B8" w:rsidRPr="00AF50B8" w:rsidRDefault="00AF50B8" w:rsidP="00AF50B8">
            <w:pPr>
              <w:pStyle w:val="Body"/>
              <w:rPr>
                <w:rFonts w:ascii="Arial" w:hAnsi="Arial" w:cs="Arial"/>
                <w:sz w:val="20"/>
              </w:rPr>
            </w:pPr>
            <w:r w:rsidRPr="00AF50B8">
              <w:rPr>
                <w:rFonts w:ascii="Arial" w:hAnsi="Arial" w:cs="Arial"/>
                <w:sz w:val="20"/>
              </w:rPr>
              <w:t>±5.25</w:t>
            </w:r>
          </w:p>
          <w:p w14:paraId="0F79ABD0" w14:textId="77777777" w:rsidR="00AF50B8" w:rsidRPr="00AF50B8" w:rsidRDefault="00AF50B8" w:rsidP="00AF50B8">
            <w:pPr>
              <w:pStyle w:val="Body"/>
              <w:rPr>
                <w:rFonts w:ascii="Arial" w:hAnsi="Arial" w:cs="Arial"/>
                <w:sz w:val="20"/>
              </w:rPr>
            </w:pPr>
          </w:p>
        </w:tc>
        <w:tc>
          <w:tcPr>
            <w:tcW w:w="1262" w:type="dxa"/>
          </w:tcPr>
          <w:tbl>
            <w:tblPr>
              <w:tblW w:w="960" w:type="dxa"/>
              <w:tblLook w:val="04A0" w:firstRow="1" w:lastRow="0" w:firstColumn="1" w:lastColumn="0" w:noHBand="0" w:noVBand="1"/>
            </w:tblPr>
            <w:tblGrid>
              <w:gridCol w:w="960"/>
            </w:tblGrid>
            <w:tr w:rsidR="00AF50B8" w:rsidRPr="00AF50B8" w14:paraId="14693749" w14:textId="77777777" w:rsidTr="004C70AB">
              <w:trPr>
                <w:trHeight w:val="300"/>
              </w:trPr>
              <w:tc>
                <w:tcPr>
                  <w:tcW w:w="960" w:type="dxa"/>
                  <w:tcBorders>
                    <w:top w:val="nil"/>
                    <w:left w:val="nil"/>
                    <w:bottom w:val="nil"/>
                    <w:right w:val="nil"/>
                  </w:tcBorders>
                  <w:shd w:val="clear" w:color="auto" w:fill="auto"/>
                  <w:noWrap/>
                  <w:vAlign w:val="bottom"/>
                  <w:hideMark/>
                </w:tcPr>
                <w:p w14:paraId="49C110D8" w14:textId="77777777" w:rsidR="00AF50B8" w:rsidRPr="00AF50B8" w:rsidRDefault="00AF50B8" w:rsidP="00AF50B8">
                  <w:pPr>
                    <w:pStyle w:val="Body"/>
                    <w:rPr>
                      <w:rFonts w:ascii="Arial" w:hAnsi="Arial" w:cs="Arial"/>
                    </w:rPr>
                  </w:pPr>
                  <w:r w:rsidRPr="00AF50B8">
                    <w:rPr>
                      <w:rFonts w:ascii="Arial" w:hAnsi="Arial" w:cs="Arial"/>
                    </w:rPr>
                    <w:t>151.18</w:t>
                  </w:r>
                </w:p>
                <w:p w14:paraId="0EB016D9" w14:textId="77777777" w:rsidR="00AF50B8" w:rsidRPr="00AF50B8" w:rsidRDefault="00AF50B8" w:rsidP="00AF50B8">
                  <w:pPr>
                    <w:pStyle w:val="Body"/>
                    <w:rPr>
                      <w:rFonts w:ascii="Arial" w:hAnsi="Arial" w:cs="Arial"/>
                    </w:rPr>
                  </w:pPr>
                  <w:r w:rsidRPr="00AF50B8">
                    <w:rPr>
                      <w:rFonts w:ascii="Arial" w:hAnsi="Arial" w:cs="Arial"/>
                    </w:rPr>
                    <w:t>±5.18</w:t>
                  </w:r>
                </w:p>
              </w:tc>
            </w:tr>
            <w:tr w:rsidR="00AF50B8" w:rsidRPr="00AF50B8" w14:paraId="4E9E5DFE" w14:textId="77777777" w:rsidTr="004C70AB">
              <w:trPr>
                <w:trHeight w:val="300"/>
              </w:trPr>
              <w:tc>
                <w:tcPr>
                  <w:tcW w:w="960" w:type="dxa"/>
                  <w:tcBorders>
                    <w:top w:val="nil"/>
                    <w:left w:val="nil"/>
                    <w:bottom w:val="nil"/>
                    <w:right w:val="nil"/>
                  </w:tcBorders>
                  <w:shd w:val="clear" w:color="auto" w:fill="auto"/>
                  <w:noWrap/>
                  <w:vAlign w:val="bottom"/>
                  <w:hideMark/>
                </w:tcPr>
                <w:p w14:paraId="237AA4B1" w14:textId="77777777" w:rsidR="00AF50B8" w:rsidRPr="00AF50B8" w:rsidRDefault="00AF50B8" w:rsidP="00AF50B8">
                  <w:pPr>
                    <w:pStyle w:val="Body"/>
                    <w:rPr>
                      <w:rFonts w:ascii="Arial" w:hAnsi="Arial" w:cs="Arial"/>
                    </w:rPr>
                  </w:pPr>
                </w:p>
                <w:p w14:paraId="330CE47B" w14:textId="77777777" w:rsidR="00AF50B8" w:rsidRPr="00AF50B8" w:rsidRDefault="00AF50B8" w:rsidP="00AF50B8">
                  <w:pPr>
                    <w:pStyle w:val="Body"/>
                    <w:rPr>
                      <w:rFonts w:ascii="Arial" w:hAnsi="Arial" w:cs="Arial"/>
                    </w:rPr>
                  </w:pPr>
                </w:p>
                <w:p w14:paraId="10A615C8" w14:textId="77777777" w:rsidR="00AF50B8" w:rsidRPr="00AF50B8" w:rsidRDefault="00AF50B8" w:rsidP="00AF50B8">
                  <w:pPr>
                    <w:pStyle w:val="Body"/>
                    <w:rPr>
                      <w:rFonts w:ascii="Arial" w:hAnsi="Arial" w:cs="Arial"/>
                    </w:rPr>
                  </w:pPr>
                </w:p>
              </w:tc>
            </w:tr>
          </w:tbl>
          <w:p w14:paraId="2C88A5ED" w14:textId="77777777" w:rsidR="00AF50B8" w:rsidRPr="00AF50B8" w:rsidRDefault="00AF50B8" w:rsidP="00AF50B8">
            <w:pPr>
              <w:pStyle w:val="Body"/>
              <w:rPr>
                <w:rFonts w:ascii="Arial" w:hAnsi="Arial" w:cs="Arial"/>
                <w:sz w:val="20"/>
              </w:rPr>
            </w:pPr>
          </w:p>
        </w:tc>
        <w:tc>
          <w:tcPr>
            <w:tcW w:w="1123" w:type="dxa"/>
          </w:tcPr>
          <w:p w14:paraId="115247F9" w14:textId="77777777" w:rsidR="00AF50B8" w:rsidRPr="00AF50B8" w:rsidRDefault="00AF50B8" w:rsidP="00AF50B8">
            <w:pPr>
              <w:pStyle w:val="Body"/>
              <w:rPr>
                <w:rFonts w:ascii="Arial" w:hAnsi="Arial" w:cs="Arial"/>
                <w:sz w:val="20"/>
              </w:rPr>
            </w:pPr>
            <w:r w:rsidRPr="00AF50B8">
              <w:rPr>
                <w:rFonts w:ascii="Arial" w:hAnsi="Arial" w:cs="Arial"/>
                <w:sz w:val="20"/>
              </w:rPr>
              <w:t>3826.86</w:t>
            </w:r>
          </w:p>
          <w:p w14:paraId="1C9FCAE4" w14:textId="77777777" w:rsidR="00AF50B8" w:rsidRPr="00AF50B8" w:rsidRDefault="00AF50B8" w:rsidP="00AF50B8">
            <w:pPr>
              <w:pStyle w:val="Body"/>
              <w:rPr>
                <w:rFonts w:ascii="Arial" w:hAnsi="Arial" w:cs="Arial"/>
                <w:sz w:val="20"/>
              </w:rPr>
            </w:pPr>
            <w:r w:rsidRPr="00AF50B8">
              <w:rPr>
                <w:rFonts w:ascii="Arial" w:hAnsi="Arial" w:cs="Arial"/>
                <w:sz w:val="20"/>
              </w:rPr>
              <w:t>±9.51</w:t>
            </w:r>
          </w:p>
          <w:p w14:paraId="39373F7B" w14:textId="77777777" w:rsidR="00AF50B8" w:rsidRPr="00AF50B8" w:rsidRDefault="00AF50B8" w:rsidP="00AF50B8">
            <w:pPr>
              <w:pStyle w:val="Body"/>
              <w:rPr>
                <w:rFonts w:ascii="Arial" w:hAnsi="Arial" w:cs="Arial"/>
                <w:b/>
                <w:sz w:val="20"/>
              </w:rPr>
            </w:pPr>
          </w:p>
        </w:tc>
        <w:tc>
          <w:tcPr>
            <w:tcW w:w="944" w:type="dxa"/>
          </w:tcPr>
          <w:p w14:paraId="178B236F" w14:textId="77777777" w:rsidR="00AF50B8" w:rsidRPr="00AF50B8" w:rsidRDefault="00AF50B8" w:rsidP="00AF50B8">
            <w:pPr>
              <w:pStyle w:val="Body"/>
              <w:rPr>
                <w:rFonts w:ascii="Arial" w:hAnsi="Arial" w:cs="Arial"/>
                <w:sz w:val="20"/>
              </w:rPr>
            </w:pPr>
            <w:r w:rsidRPr="00AF50B8">
              <w:rPr>
                <w:rFonts w:ascii="Arial" w:hAnsi="Arial" w:cs="Arial"/>
                <w:sz w:val="20"/>
              </w:rPr>
              <w:t>2.70</w:t>
            </w:r>
          </w:p>
          <w:p w14:paraId="4FDB1351" w14:textId="77777777" w:rsidR="00AF50B8" w:rsidRPr="00AF50B8" w:rsidRDefault="00AF50B8" w:rsidP="00AF50B8">
            <w:pPr>
              <w:pStyle w:val="Body"/>
              <w:rPr>
                <w:rFonts w:ascii="Arial" w:hAnsi="Arial" w:cs="Arial"/>
                <w:sz w:val="20"/>
              </w:rPr>
            </w:pPr>
            <w:r w:rsidRPr="00AF50B8">
              <w:rPr>
                <w:rFonts w:ascii="Arial" w:hAnsi="Arial" w:cs="Arial"/>
                <w:sz w:val="20"/>
              </w:rPr>
              <w:t>±0.10</w:t>
            </w:r>
          </w:p>
        </w:tc>
        <w:tc>
          <w:tcPr>
            <w:tcW w:w="1071" w:type="dxa"/>
          </w:tcPr>
          <w:p w14:paraId="2280FAE5" w14:textId="77777777" w:rsidR="00AF50B8" w:rsidRPr="00AF50B8" w:rsidRDefault="00AF50B8" w:rsidP="00AF50B8">
            <w:pPr>
              <w:pStyle w:val="Body"/>
              <w:rPr>
                <w:rFonts w:ascii="Arial" w:hAnsi="Arial" w:cs="Arial"/>
                <w:sz w:val="20"/>
              </w:rPr>
            </w:pPr>
            <w:r w:rsidRPr="00AF50B8">
              <w:rPr>
                <w:rFonts w:ascii="Arial" w:hAnsi="Arial" w:cs="Arial"/>
                <w:sz w:val="20"/>
              </w:rPr>
              <w:t>1.88</w:t>
            </w:r>
          </w:p>
          <w:p w14:paraId="4925EF51" w14:textId="77777777" w:rsidR="00AF50B8" w:rsidRPr="00AF50B8" w:rsidRDefault="00AF50B8" w:rsidP="00AF50B8">
            <w:pPr>
              <w:pStyle w:val="Body"/>
              <w:rPr>
                <w:rFonts w:ascii="Arial" w:hAnsi="Arial" w:cs="Arial"/>
                <w:sz w:val="20"/>
              </w:rPr>
            </w:pPr>
            <w:r w:rsidRPr="00AF50B8">
              <w:rPr>
                <w:rFonts w:ascii="Arial" w:hAnsi="Arial" w:cs="Arial"/>
                <w:sz w:val="20"/>
              </w:rPr>
              <w:t>±0.06</w:t>
            </w:r>
          </w:p>
        </w:tc>
        <w:tc>
          <w:tcPr>
            <w:tcW w:w="1086" w:type="dxa"/>
          </w:tcPr>
          <w:p w14:paraId="4F5AE53E" w14:textId="77777777" w:rsidR="00AF50B8" w:rsidRPr="00AF50B8" w:rsidRDefault="00AF50B8" w:rsidP="00AF50B8">
            <w:pPr>
              <w:pStyle w:val="Body"/>
              <w:rPr>
                <w:rFonts w:ascii="Arial" w:hAnsi="Arial" w:cs="Arial"/>
                <w:sz w:val="20"/>
              </w:rPr>
            </w:pPr>
            <w:r w:rsidRPr="00AF50B8">
              <w:rPr>
                <w:rFonts w:ascii="Arial" w:hAnsi="Arial" w:cs="Arial"/>
                <w:sz w:val="20"/>
              </w:rPr>
              <w:t>156.8</w:t>
            </w:r>
          </w:p>
          <w:p w14:paraId="6D196E29" w14:textId="77777777" w:rsidR="00AF50B8" w:rsidRPr="00AF50B8" w:rsidRDefault="00AF50B8" w:rsidP="00AF50B8">
            <w:pPr>
              <w:pStyle w:val="Body"/>
              <w:rPr>
                <w:rFonts w:ascii="Arial" w:hAnsi="Arial" w:cs="Arial"/>
                <w:sz w:val="20"/>
              </w:rPr>
            </w:pPr>
            <w:r w:rsidRPr="00AF50B8">
              <w:rPr>
                <w:rFonts w:ascii="Arial" w:hAnsi="Arial" w:cs="Arial"/>
                <w:sz w:val="20"/>
              </w:rPr>
              <w:t>±3.34</w:t>
            </w:r>
          </w:p>
        </w:tc>
        <w:tc>
          <w:tcPr>
            <w:tcW w:w="1276" w:type="dxa"/>
          </w:tcPr>
          <w:p w14:paraId="03A417A7" w14:textId="77777777" w:rsidR="00AF50B8" w:rsidRPr="00AF50B8" w:rsidRDefault="00AF50B8" w:rsidP="00AF50B8">
            <w:pPr>
              <w:pStyle w:val="Body"/>
              <w:rPr>
                <w:rFonts w:ascii="Arial" w:hAnsi="Arial" w:cs="Arial"/>
                <w:sz w:val="20"/>
              </w:rPr>
            </w:pPr>
            <w:r w:rsidRPr="00AF50B8">
              <w:rPr>
                <w:rFonts w:ascii="Arial" w:hAnsi="Arial" w:cs="Arial"/>
                <w:sz w:val="20"/>
              </w:rPr>
              <w:t>0.16</w:t>
            </w:r>
          </w:p>
          <w:p w14:paraId="492C25C7" w14:textId="77777777" w:rsidR="00AF50B8" w:rsidRPr="00AF50B8" w:rsidRDefault="00AF50B8" w:rsidP="00AF50B8">
            <w:pPr>
              <w:pStyle w:val="Body"/>
              <w:rPr>
                <w:rFonts w:ascii="Arial" w:hAnsi="Arial" w:cs="Arial"/>
                <w:sz w:val="20"/>
              </w:rPr>
            </w:pPr>
            <w:r w:rsidRPr="00AF50B8">
              <w:rPr>
                <w:rFonts w:ascii="Arial" w:hAnsi="Arial" w:cs="Arial"/>
                <w:sz w:val="20"/>
              </w:rPr>
              <w:t>±0.07</w:t>
            </w:r>
          </w:p>
        </w:tc>
      </w:tr>
      <w:tr w:rsidR="00AF50B8" w:rsidRPr="00AF50B8" w14:paraId="086E38FA" w14:textId="77777777" w:rsidTr="004C70AB">
        <w:trPr>
          <w:trHeight w:val="525"/>
        </w:trPr>
        <w:tc>
          <w:tcPr>
            <w:tcW w:w="1852" w:type="dxa"/>
          </w:tcPr>
          <w:p w14:paraId="75B84BA6" w14:textId="77777777" w:rsidR="00AF50B8" w:rsidRPr="00AF50B8" w:rsidRDefault="00AF50B8" w:rsidP="00AF50B8">
            <w:pPr>
              <w:pStyle w:val="Body"/>
              <w:rPr>
                <w:rFonts w:ascii="Arial" w:hAnsi="Arial" w:cs="Arial"/>
                <w:b/>
                <w:bCs/>
                <w:sz w:val="20"/>
              </w:rPr>
            </w:pPr>
            <w:r w:rsidRPr="00AF50B8">
              <w:rPr>
                <w:rFonts w:ascii="Arial" w:hAnsi="Arial" w:cs="Arial"/>
                <w:b/>
                <w:bCs/>
                <w:sz w:val="20"/>
              </w:rPr>
              <w:t xml:space="preserve">Method Used/Instrument </w:t>
            </w:r>
          </w:p>
        </w:tc>
        <w:tc>
          <w:tcPr>
            <w:tcW w:w="7641" w:type="dxa"/>
            <w:gridSpan w:val="7"/>
          </w:tcPr>
          <w:p w14:paraId="3A3B1A56" w14:textId="77777777" w:rsidR="00AF50B8" w:rsidRPr="00AF50B8" w:rsidRDefault="00AF50B8" w:rsidP="00AF50B8">
            <w:pPr>
              <w:pStyle w:val="Body"/>
              <w:rPr>
                <w:rFonts w:ascii="Arial" w:hAnsi="Arial" w:cs="Arial"/>
                <w:b/>
                <w:bCs/>
                <w:sz w:val="20"/>
              </w:rPr>
            </w:pPr>
            <w:r w:rsidRPr="00AF50B8">
              <w:rPr>
                <w:rFonts w:ascii="Arial" w:hAnsi="Arial" w:cs="Arial"/>
                <w:b/>
                <w:bCs/>
                <w:sz w:val="20"/>
              </w:rPr>
              <w:t>ICP instrumentation/The Agilent 5800 VDV ICP-OES</w:t>
            </w:r>
            <w:commentRangeEnd w:id="31"/>
            <w:r w:rsidR="00663A4F">
              <w:rPr>
                <w:rStyle w:val="CommentReference"/>
                <w:rFonts w:ascii="Times New Roman" w:eastAsia="Times New Roman" w:hAnsi="Times New Roman"/>
                <w:lang w:val="nb-NO" w:eastAsia="nb-NO"/>
              </w:rPr>
              <w:commentReference w:id="31"/>
            </w:r>
          </w:p>
        </w:tc>
      </w:tr>
    </w:tbl>
    <w:p w14:paraId="078C793C" w14:textId="77777777" w:rsidR="00AF50B8" w:rsidRPr="00AF50B8" w:rsidRDefault="00AF50B8" w:rsidP="00AF50B8">
      <w:pPr>
        <w:pStyle w:val="Body"/>
        <w:spacing w:after="0"/>
        <w:rPr>
          <w:rFonts w:ascii="Arial" w:hAnsi="Arial" w:cs="Arial"/>
        </w:rPr>
      </w:pPr>
    </w:p>
    <w:p w14:paraId="33139EEE" w14:textId="77777777" w:rsidR="00AF50B8" w:rsidRPr="00AF50B8" w:rsidRDefault="00AF50B8" w:rsidP="00AF50B8">
      <w:pPr>
        <w:pStyle w:val="Body"/>
        <w:spacing w:after="0"/>
        <w:rPr>
          <w:rFonts w:ascii="Arial" w:hAnsi="Arial" w:cs="Arial"/>
          <w:b/>
          <w:bCs/>
          <w:i/>
          <w:iCs/>
        </w:rPr>
      </w:pPr>
      <w:r w:rsidRPr="00AF50B8">
        <w:rPr>
          <w:rFonts w:ascii="Arial" w:hAnsi="Arial" w:cs="Arial"/>
          <w:b/>
          <w:bCs/>
        </w:rPr>
        <w:t xml:space="preserve">3.4. HYPOGLYCEMIC EFFECTS OF ETHANOLIC EXTRACT OF </w:t>
      </w:r>
      <w:r w:rsidRPr="00AF50B8">
        <w:rPr>
          <w:rFonts w:ascii="Arial" w:hAnsi="Arial" w:cs="Arial"/>
          <w:b/>
          <w:bCs/>
          <w:i/>
          <w:iCs/>
        </w:rPr>
        <w:t>P. tuberrigium</w:t>
      </w:r>
    </w:p>
    <w:p w14:paraId="12C4E9C7" w14:textId="77777777" w:rsidR="00AF50B8" w:rsidRPr="00AF50B8" w:rsidRDefault="00AF50B8" w:rsidP="00AF50B8">
      <w:pPr>
        <w:pStyle w:val="Body"/>
        <w:spacing w:after="0"/>
        <w:rPr>
          <w:rFonts w:ascii="Arial" w:hAnsi="Arial" w:cs="Arial"/>
          <w:b/>
          <w:bCs/>
        </w:rPr>
      </w:pPr>
      <w:r w:rsidRPr="00AF50B8">
        <w:rPr>
          <w:rFonts w:ascii="Arial" w:hAnsi="Arial" w:cs="Arial"/>
          <w:b/>
          <w:bCs/>
        </w:rPr>
        <w:t>3.4.1. Change in Body Weights</w:t>
      </w:r>
    </w:p>
    <w:p w14:paraId="27493E8D" w14:textId="77777777" w:rsidR="00AF50B8" w:rsidRPr="00AF50B8" w:rsidRDefault="00AF50B8" w:rsidP="00AF50B8">
      <w:pPr>
        <w:pStyle w:val="Body"/>
        <w:spacing w:after="0"/>
        <w:rPr>
          <w:rFonts w:ascii="Arial" w:hAnsi="Arial" w:cs="Arial"/>
        </w:rPr>
      </w:pPr>
      <w:commentRangeStart w:id="32"/>
      <w:r w:rsidRPr="00AF50B8">
        <w:rPr>
          <w:rFonts w:ascii="Arial" w:hAnsi="Arial" w:cs="Arial"/>
        </w:rPr>
        <w:t xml:space="preserve">The effect of different doses of the ethanolic fraction of </w:t>
      </w:r>
      <w:r w:rsidRPr="00AF50B8">
        <w:rPr>
          <w:rFonts w:ascii="Arial" w:hAnsi="Arial" w:cs="Arial"/>
          <w:i/>
          <w:iCs/>
        </w:rPr>
        <w:t xml:space="preserve">P. tuberigium </w:t>
      </w:r>
      <w:r w:rsidRPr="00AF50B8">
        <w:rPr>
          <w:rFonts w:ascii="Arial" w:hAnsi="Arial" w:cs="Arial"/>
        </w:rPr>
        <w:t>on the body weight of normoglycemic and STZ-diabetic rats was observed for a period of 9 weeks, to ascertain a long-term effect of treatment on the body weight of experimental animals. Figure 1 and 2 shows the body weight changes in experimental animals for 28 days and 63 days.</w:t>
      </w:r>
      <w:commentRangeEnd w:id="32"/>
      <w:r w:rsidR="00663A4F">
        <w:rPr>
          <w:rStyle w:val="CommentReference"/>
          <w:rFonts w:ascii="Times New Roman" w:hAnsi="Times New Roman"/>
          <w:lang w:val="nb-NO" w:eastAsia="nb-NO"/>
        </w:rPr>
        <w:commentReference w:id="32"/>
      </w:r>
    </w:p>
    <w:p w14:paraId="3FF17719" w14:textId="20749984" w:rsidR="00AF50B8" w:rsidRDefault="004C0556" w:rsidP="00AF50B8">
      <w:pPr>
        <w:pStyle w:val="Body"/>
        <w:spacing w:after="0"/>
        <w:rPr>
          <w:rFonts w:ascii="Arial" w:hAnsi="Arial" w:cs="Arial"/>
          <w:noProof/>
        </w:rPr>
      </w:pPr>
      <w:r w:rsidRPr="00AF50B8">
        <w:rPr>
          <w:rFonts w:ascii="Arial" w:hAnsi="Arial" w:cs="Arial"/>
          <w:noProof/>
        </w:rPr>
        <w:object w:dxaOrig="7483" w:dyaOrig="5783" w14:anchorId="3DB01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36.5pt" o:ole="">
            <v:imagedata r:id="rId18" o:title=""/>
          </v:shape>
          <o:OLEObject Type="Embed" ProgID="Prism5.Document" ShapeID="_x0000_i1025" DrawAspect="Content" ObjectID="_1810823454" r:id="rId19"/>
        </w:object>
      </w:r>
      <w:r w:rsidRPr="00AF50B8">
        <w:rPr>
          <w:rFonts w:ascii="Arial" w:hAnsi="Arial" w:cs="Arial"/>
          <w:noProof/>
        </w:rPr>
        <w:object w:dxaOrig="7427" w:dyaOrig="5556" w14:anchorId="276AE6F2">
          <v:shape id="_x0000_i1026" type="#_x0000_t75" style="width:184.5pt;height:133.5pt" o:ole="">
            <v:imagedata r:id="rId20" o:title=""/>
          </v:shape>
          <o:OLEObject Type="Embed" ProgID="Prism5.Document" ShapeID="_x0000_i1026" DrawAspect="Content" ObjectID="_1810823455" r:id="rId21"/>
        </w:object>
      </w:r>
    </w:p>
    <w:p w14:paraId="0585A79B" w14:textId="252C8084" w:rsidR="00816354" w:rsidRDefault="00816354" w:rsidP="00AF50B8">
      <w:pPr>
        <w:pStyle w:val="Body"/>
        <w:spacing w:after="0"/>
        <w:rPr>
          <w:rFonts w:ascii="Arial" w:hAnsi="Arial" w:cs="Arial"/>
          <w:noProof/>
        </w:rPr>
      </w:pPr>
      <w:r>
        <w:rPr>
          <w:rFonts w:ascii="Arial" w:hAnsi="Arial" w:cs="Arial"/>
          <w:noProof/>
        </w:rPr>
        <w:t>Fig .1</w:t>
      </w:r>
      <w:r w:rsidR="00115893">
        <w:rPr>
          <w:rFonts w:ascii="Arial" w:hAnsi="Arial" w:cs="Arial"/>
          <w:noProof/>
        </w:rPr>
        <w:t>,2.</w:t>
      </w:r>
      <w:r w:rsidR="00115893" w:rsidRPr="00115893">
        <w:t xml:space="preserve"> </w:t>
      </w:r>
      <w:r w:rsidR="00115893" w:rsidRPr="00115893">
        <w:rPr>
          <w:rFonts w:ascii="Arial" w:hAnsi="Arial" w:cs="Arial"/>
          <w:noProof/>
        </w:rPr>
        <w:t xml:space="preserve">Change in Body Weights </w:t>
      </w:r>
      <w:r w:rsidR="00115893">
        <w:rPr>
          <w:rFonts w:ascii="Arial" w:hAnsi="Arial" w:cs="Arial"/>
          <w:noProof/>
        </w:rPr>
        <w:t xml:space="preserve">in </w:t>
      </w:r>
      <w:r w:rsidR="00115893" w:rsidRPr="00115893">
        <w:rPr>
          <w:rFonts w:ascii="Arial" w:hAnsi="Arial" w:cs="Arial"/>
          <w:i/>
          <w:noProof/>
        </w:rPr>
        <w:t>P. tuberrigium</w:t>
      </w:r>
    </w:p>
    <w:p w14:paraId="374B1A26" w14:textId="77777777" w:rsidR="00115893" w:rsidRDefault="00115893" w:rsidP="00AF50B8">
      <w:pPr>
        <w:pStyle w:val="Body"/>
        <w:spacing w:after="0"/>
        <w:rPr>
          <w:rFonts w:ascii="Arial" w:hAnsi="Arial" w:cs="Arial"/>
          <w:noProof/>
        </w:rPr>
      </w:pPr>
    </w:p>
    <w:p w14:paraId="2D72C5B0" w14:textId="77777777" w:rsidR="00AF50B8" w:rsidRPr="00AF50B8" w:rsidRDefault="00AF50B8" w:rsidP="00AF50B8">
      <w:pPr>
        <w:pStyle w:val="Body"/>
        <w:spacing w:after="0"/>
        <w:rPr>
          <w:rFonts w:ascii="Arial" w:hAnsi="Arial" w:cs="Arial"/>
        </w:rPr>
      </w:pPr>
      <w:r w:rsidRPr="00AF50B8">
        <w:rPr>
          <w:rFonts w:ascii="Arial" w:hAnsi="Arial" w:cs="Arial"/>
          <w:b/>
          <w:bCs/>
        </w:rPr>
        <w:t>3.4.2. FASTING BLOOD SUGAR</w:t>
      </w:r>
    </w:p>
    <w:p w14:paraId="2716AEFB" w14:textId="77777777" w:rsidR="00AF50B8" w:rsidRPr="00AF50B8" w:rsidRDefault="00AF50B8" w:rsidP="00AF50B8">
      <w:pPr>
        <w:pStyle w:val="Body"/>
        <w:spacing w:after="0"/>
        <w:rPr>
          <w:rFonts w:ascii="Arial" w:hAnsi="Arial" w:cs="Arial"/>
        </w:rPr>
      </w:pPr>
      <w:commentRangeStart w:id="33"/>
      <w:r w:rsidRPr="00AF50B8">
        <w:rPr>
          <w:rFonts w:ascii="Arial" w:hAnsi="Arial" w:cs="Arial"/>
        </w:rPr>
        <w:t xml:space="preserve">The fasting blood glucose in the normoglycemic and diabetic rats were evaluated and showed a significant decrease in the glucose levels, after 9 weeks(63days) of the experiments. The PTE-78.2%, PTM-88.4%, PTH-79.0% and STD-79.37%. </w:t>
      </w:r>
      <w:commentRangeEnd w:id="33"/>
      <w:r w:rsidR="002E20C4">
        <w:rPr>
          <w:rStyle w:val="CommentReference"/>
          <w:rFonts w:ascii="Times New Roman" w:hAnsi="Times New Roman"/>
          <w:lang w:val="nb-NO" w:eastAsia="nb-NO"/>
        </w:rPr>
        <w:commentReference w:id="33"/>
      </w:r>
    </w:p>
    <w:p w14:paraId="2C4395F2" w14:textId="0EBE48EA" w:rsidR="00AF50B8" w:rsidRPr="00AF50B8" w:rsidRDefault="004C0556" w:rsidP="00AF50B8">
      <w:pPr>
        <w:pStyle w:val="Body"/>
        <w:spacing w:after="0"/>
        <w:rPr>
          <w:rFonts w:ascii="Arial" w:hAnsi="Arial" w:cs="Arial"/>
        </w:rPr>
      </w:pPr>
      <w:r w:rsidRPr="00AF50B8">
        <w:rPr>
          <w:rFonts w:ascii="Arial" w:hAnsi="Arial" w:cs="Arial"/>
          <w:noProof/>
        </w:rPr>
        <w:object w:dxaOrig="7654" w:dyaOrig="5613" w14:anchorId="4B2A9BA5">
          <v:shape id="_x0000_i1027" type="#_x0000_t75" style="width:189pt;height:152.25pt" o:ole="">
            <v:imagedata r:id="rId22" o:title=""/>
          </v:shape>
          <o:OLEObject Type="Embed" ProgID="Prism5.Document" ShapeID="_x0000_i1027" DrawAspect="Content" ObjectID="_1810823456" r:id="rId23"/>
        </w:object>
      </w:r>
      <w:r w:rsidR="00AF50B8" w:rsidRPr="00AF50B8">
        <w:rPr>
          <w:rFonts w:ascii="Arial" w:hAnsi="Arial" w:cs="Arial"/>
        </w:rPr>
        <w:t xml:space="preserve">        </w:t>
      </w:r>
      <w:r w:rsidRPr="00AF50B8">
        <w:rPr>
          <w:rFonts w:ascii="Arial" w:hAnsi="Arial" w:cs="Arial"/>
          <w:noProof/>
        </w:rPr>
        <w:object w:dxaOrig="9694" w:dyaOrig="7540" w14:anchorId="3CA1D897">
          <v:shape id="_x0000_i1028" type="#_x0000_t75" style="width:192.75pt;height:151.5pt" o:ole="">
            <v:imagedata r:id="rId24" o:title=""/>
          </v:shape>
          <o:OLEObject Type="Embed" ProgID="Prism5.Document" ShapeID="_x0000_i1028" DrawAspect="Content" ObjectID="_1810823457" r:id="rId25"/>
        </w:object>
      </w:r>
    </w:p>
    <w:p w14:paraId="786D396B" w14:textId="1AAA64CC" w:rsidR="009417BE" w:rsidRDefault="009417BE" w:rsidP="00AF50B8">
      <w:pPr>
        <w:pStyle w:val="Body"/>
        <w:spacing w:after="0"/>
        <w:rPr>
          <w:rFonts w:ascii="Arial" w:hAnsi="Arial" w:cs="Arial"/>
          <w:b/>
          <w:bCs/>
        </w:rPr>
      </w:pPr>
      <w:r>
        <w:rPr>
          <w:rFonts w:ascii="Arial" w:hAnsi="Arial" w:cs="Arial"/>
          <w:b/>
          <w:bCs/>
        </w:rPr>
        <w:t>Fig.3</w:t>
      </w:r>
      <w:r w:rsidR="00115893">
        <w:rPr>
          <w:rFonts w:ascii="Arial" w:hAnsi="Arial" w:cs="Arial"/>
          <w:b/>
          <w:bCs/>
        </w:rPr>
        <w:t xml:space="preserve">,4.  Bar graph showing </w:t>
      </w:r>
      <w:r w:rsidR="00115893" w:rsidRPr="00115893">
        <w:rPr>
          <w:rFonts w:ascii="Arial" w:hAnsi="Arial" w:cs="Arial"/>
          <w:b/>
          <w:bCs/>
        </w:rPr>
        <w:t>fasting blood sugar</w:t>
      </w:r>
      <w:r w:rsidR="00115893">
        <w:rPr>
          <w:rFonts w:ascii="Arial" w:hAnsi="Arial" w:cs="Arial"/>
          <w:b/>
          <w:bCs/>
        </w:rPr>
        <w:t xml:space="preserve"> concentration</w:t>
      </w:r>
    </w:p>
    <w:p w14:paraId="486779C9" w14:textId="77777777" w:rsidR="00115893" w:rsidRDefault="00115893" w:rsidP="00AF50B8">
      <w:pPr>
        <w:pStyle w:val="Body"/>
        <w:spacing w:after="0"/>
        <w:rPr>
          <w:rFonts w:ascii="Arial" w:hAnsi="Arial" w:cs="Arial"/>
          <w:b/>
          <w:bCs/>
        </w:rPr>
      </w:pPr>
    </w:p>
    <w:p w14:paraId="37DC38AF" w14:textId="51EE9218" w:rsidR="00AF50B8" w:rsidRPr="00AF50B8" w:rsidRDefault="00AF50B8" w:rsidP="00AF50B8">
      <w:pPr>
        <w:pStyle w:val="Body"/>
        <w:spacing w:after="0"/>
        <w:rPr>
          <w:rFonts w:ascii="Arial" w:hAnsi="Arial" w:cs="Arial"/>
        </w:rPr>
      </w:pPr>
      <w:r w:rsidRPr="00AF50B8">
        <w:rPr>
          <w:rFonts w:ascii="Arial" w:hAnsi="Arial" w:cs="Arial"/>
          <w:b/>
          <w:bCs/>
        </w:rPr>
        <w:t>3.4.3. PANCREATIC AMYLASE</w:t>
      </w:r>
    </w:p>
    <w:p w14:paraId="16776E43" w14:textId="77777777" w:rsidR="00AF50B8" w:rsidRPr="00AF50B8" w:rsidRDefault="00AF50B8" w:rsidP="00AF50B8">
      <w:pPr>
        <w:pStyle w:val="Body"/>
        <w:spacing w:after="0"/>
        <w:rPr>
          <w:rFonts w:ascii="Arial" w:hAnsi="Arial" w:cs="Arial"/>
        </w:rPr>
      </w:pPr>
      <w:commentRangeStart w:id="34"/>
      <w:r w:rsidRPr="00AF50B8">
        <w:rPr>
          <w:rFonts w:ascii="Arial" w:hAnsi="Arial" w:cs="Arial"/>
        </w:rPr>
        <w:t>Pancreatic amylase is an enzyme produced in the pancreas that catalyses the breakdown of carbohydrates into smaller simple sugars like maltose and dextrin. In the study of diabetes, pancreatic amylase is of interest owing to its effect on postprandial glucose levels which may indicate an underlying pancreatic dysfunction. Monitoring the pancreatic amylase levels can provide insight for therapeutic interventions aimed in diabetic management. In this study pancreatic amylase was evaluated in normoglycemic and the STZ-induced experimental animals. From figures below, it was observed that at 28 day, groups PTE (200mg/kg), PTM (400mg/kg) and STD (80mg/kg) had increased pancreatic amylase production while PTH (800mg/kg) was slightly significantly decreased compared to the normoglycemic animals. Furthermore, extended treatment for 63days, regulated the release of pancreatic amylase from the pancreas, therefore regulating the absorption of glucose to the cells, as could be related with the blood glucose values seen on the glucometer.</w:t>
      </w:r>
      <w:commentRangeEnd w:id="34"/>
      <w:r w:rsidR="002E20C4">
        <w:rPr>
          <w:rStyle w:val="CommentReference"/>
          <w:rFonts w:ascii="Times New Roman" w:hAnsi="Times New Roman"/>
          <w:lang w:val="nb-NO" w:eastAsia="nb-NO"/>
        </w:rPr>
        <w:commentReference w:id="34"/>
      </w:r>
    </w:p>
    <w:p w14:paraId="212FF7F0" w14:textId="36D66D7E" w:rsidR="00AF50B8" w:rsidRPr="00AF50B8" w:rsidRDefault="004C0556" w:rsidP="00AF50B8">
      <w:pPr>
        <w:pStyle w:val="Body"/>
        <w:spacing w:after="0"/>
        <w:rPr>
          <w:rFonts w:ascii="Arial" w:hAnsi="Arial" w:cs="Arial"/>
        </w:rPr>
      </w:pPr>
      <w:r w:rsidRPr="00AF50B8">
        <w:rPr>
          <w:rFonts w:ascii="Arial" w:hAnsi="Arial" w:cs="Arial"/>
          <w:noProof/>
        </w:rPr>
        <w:object w:dxaOrig="4876" w:dyaOrig="3969" w14:anchorId="26B0AC33">
          <v:shape id="_x0000_i1029" type="#_x0000_t75" style="width:177pt;height:192pt" o:ole="">
            <v:imagedata r:id="rId26" o:title=""/>
          </v:shape>
          <o:OLEObject Type="Embed" ProgID="Prism5.Document" ShapeID="_x0000_i1029" DrawAspect="Content" ObjectID="_1810823458" r:id="rId27"/>
        </w:object>
      </w:r>
      <w:r w:rsidR="00AF50B8" w:rsidRPr="00AF50B8">
        <w:rPr>
          <w:rFonts w:ascii="Arial" w:hAnsi="Arial" w:cs="Arial"/>
        </w:rPr>
        <w:t xml:space="preserve">                        </w:t>
      </w:r>
      <w:r w:rsidRPr="00AF50B8">
        <w:rPr>
          <w:rFonts w:ascii="Arial" w:hAnsi="Arial" w:cs="Arial"/>
          <w:noProof/>
        </w:rPr>
        <w:object w:dxaOrig="4762" w:dyaOrig="4252" w14:anchorId="62CAF798">
          <v:shape id="_x0000_i1030" type="#_x0000_t75" style="width:173.25pt;height:182.25pt" o:ole="">
            <v:imagedata r:id="rId28" o:title=""/>
          </v:shape>
          <o:OLEObject Type="Embed" ProgID="Prism5.Document" ShapeID="_x0000_i1030" DrawAspect="Content" ObjectID="_1810823459" r:id="rId29"/>
        </w:object>
      </w:r>
    </w:p>
    <w:p w14:paraId="0A9A4743" w14:textId="0059D539" w:rsidR="009417BE" w:rsidRDefault="009417BE" w:rsidP="00AF50B8">
      <w:pPr>
        <w:pStyle w:val="Body"/>
        <w:spacing w:after="0"/>
        <w:rPr>
          <w:rFonts w:ascii="Arial" w:hAnsi="Arial" w:cs="Arial"/>
          <w:b/>
          <w:bCs/>
        </w:rPr>
      </w:pPr>
      <w:r>
        <w:rPr>
          <w:rFonts w:ascii="Arial" w:hAnsi="Arial" w:cs="Arial"/>
          <w:b/>
          <w:bCs/>
        </w:rPr>
        <w:t>Fig.5</w:t>
      </w:r>
      <w:r w:rsidR="00115893">
        <w:rPr>
          <w:rFonts w:ascii="Arial" w:hAnsi="Arial" w:cs="Arial"/>
          <w:b/>
          <w:bCs/>
        </w:rPr>
        <w:t xml:space="preserve">,6. </w:t>
      </w:r>
      <w:r>
        <w:rPr>
          <w:rFonts w:ascii="Arial" w:hAnsi="Arial" w:cs="Arial"/>
          <w:b/>
          <w:bCs/>
        </w:rPr>
        <w:t xml:space="preserve"> </w:t>
      </w:r>
      <w:r w:rsidR="00115893">
        <w:rPr>
          <w:rFonts w:ascii="Arial" w:hAnsi="Arial" w:cs="Arial"/>
          <w:b/>
          <w:bCs/>
        </w:rPr>
        <w:t xml:space="preserve">Bar graph showing </w:t>
      </w:r>
      <w:r w:rsidR="00115893" w:rsidRPr="00115893">
        <w:rPr>
          <w:rFonts w:ascii="Arial" w:hAnsi="Arial" w:cs="Arial"/>
          <w:b/>
          <w:bCs/>
        </w:rPr>
        <w:t>pancreatic amylase</w:t>
      </w:r>
      <w:r w:rsidR="00115893">
        <w:rPr>
          <w:rFonts w:ascii="Arial" w:hAnsi="Arial" w:cs="Arial"/>
          <w:b/>
          <w:bCs/>
        </w:rPr>
        <w:t xml:space="preserve"> activity</w:t>
      </w:r>
    </w:p>
    <w:p w14:paraId="1A5F8FBF" w14:textId="77777777" w:rsidR="00115893" w:rsidRDefault="00115893" w:rsidP="00AF50B8">
      <w:pPr>
        <w:pStyle w:val="Body"/>
        <w:spacing w:after="0"/>
        <w:rPr>
          <w:rFonts w:ascii="Arial" w:hAnsi="Arial" w:cs="Arial"/>
          <w:b/>
          <w:bCs/>
        </w:rPr>
      </w:pPr>
    </w:p>
    <w:p w14:paraId="484766DD" w14:textId="3B2EB9CA" w:rsidR="00AF50B8" w:rsidRPr="00AF50B8" w:rsidRDefault="00AF50B8" w:rsidP="00AF50B8">
      <w:pPr>
        <w:pStyle w:val="Body"/>
        <w:spacing w:after="0"/>
        <w:rPr>
          <w:rFonts w:ascii="Arial" w:hAnsi="Arial" w:cs="Arial"/>
          <w:b/>
          <w:bCs/>
        </w:rPr>
      </w:pPr>
      <w:r w:rsidRPr="00AF50B8">
        <w:rPr>
          <w:rFonts w:ascii="Arial" w:hAnsi="Arial" w:cs="Arial"/>
          <w:b/>
          <w:bCs/>
        </w:rPr>
        <w:t>3.5. CHOLESTEROL DETERMINATION</w:t>
      </w:r>
    </w:p>
    <w:p w14:paraId="7641FA5C" w14:textId="77777777" w:rsidR="00AF50B8" w:rsidRPr="00AF50B8" w:rsidRDefault="00AF50B8" w:rsidP="00AF50B8">
      <w:pPr>
        <w:pStyle w:val="Body"/>
        <w:spacing w:after="0"/>
        <w:rPr>
          <w:rFonts w:ascii="Arial" w:hAnsi="Arial" w:cs="Arial"/>
        </w:rPr>
      </w:pPr>
      <w:r w:rsidRPr="00AF50B8">
        <w:rPr>
          <w:rFonts w:ascii="Arial" w:hAnsi="Arial" w:cs="Arial"/>
        </w:rPr>
        <w:t xml:space="preserve">The blood cholesterol (mg/gl) of the treatment groups is presented in Figures 7 and 8. It was observed that at 28 days, there was no significant difference in NC, PTE, and PTH, while there was a decrease in total cholesterol(P&lt;0.01) in all treatment groups of varied doses of ethanolic extract and standard drug (STD)- metformin when compared to NC. </w:t>
      </w:r>
    </w:p>
    <w:p w14:paraId="5C2E7F9A" w14:textId="301BC9C6" w:rsidR="00AF50B8" w:rsidRDefault="00AF50B8" w:rsidP="00AF50B8">
      <w:pPr>
        <w:pStyle w:val="Body"/>
        <w:spacing w:after="0"/>
        <w:rPr>
          <w:rFonts w:ascii="Arial" w:hAnsi="Arial" w:cs="Arial"/>
          <w:noProof/>
        </w:rPr>
      </w:pPr>
      <w:r w:rsidRPr="00AF50B8">
        <w:rPr>
          <w:rFonts w:ascii="Arial" w:hAnsi="Arial" w:cs="Arial"/>
        </w:rPr>
        <w:lastRenderedPageBreak/>
        <w:t xml:space="preserve">  </w:t>
      </w:r>
      <w:r w:rsidR="004C0556" w:rsidRPr="00AF50B8">
        <w:rPr>
          <w:rFonts w:ascii="Arial" w:hAnsi="Arial" w:cs="Arial"/>
          <w:noProof/>
        </w:rPr>
        <w:object w:dxaOrig="6180" w:dyaOrig="5102" w14:anchorId="1F895E9C">
          <v:shape id="_x0000_i1031" type="#_x0000_t75" style="width:168pt;height:155.25pt" o:ole="">
            <v:imagedata r:id="rId30" o:title=""/>
          </v:shape>
          <o:OLEObject Type="Embed" ProgID="Prism5.Document" ShapeID="_x0000_i1031" DrawAspect="Content" ObjectID="_1810823460" r:id="rId31"/>
        </w:object>
      </w:r>
      <w:r w:rsidR="004C0556" w:rsidRPr="00AF50B8">
        <w:rPr>
          <w:rFonts w:ascii="Arial" w:hAnsi="Arial" w:cs="Arial"/>
          <w:noProof/>
        </w:rPr>
        <w:object w:dxaOrig="6406" w:dyaOrig="5102" w14:anchorId="73FF38B9">
          <v:shape id="_x0000_i1032" type="#_x0000_t75" style="width:186.75pt;height:157.5pt" o:ole="">
            <v:imagedata r:id="rId32" o:title=""/>
          </v:shape>
          <o:OLEObject Type="Embed" ProgID="Prism5.Document" ShapeID="_x0000_i1032" DrawAspect="Content" ObjectID="_1810823461" r:id="rId33"/>
        </w:object>
      </w:r>
    </w:p>
    <w:p w14:paraId="1E948352" w14:textId="5D553C2F" w:rsidR="009417BE" w:rsidRDefault="009417BE" w:rsidP="00AF50B8">
      <w:pPr>
        <w:pStyle w:val="Body"/>
        <w:spacing w:after="0"/>
        <w:rPr>
          <w:rFonts w:ascii="Arial" w:hAnsi="Arial" w:cs="Arial"/>
          <w:noProof/>
        </w:rPr>
      </w:pPr>
      <w:r>
        <w:rPr>
          <w:rFonts w:ascii="Arial" w:hAnsi="Arial" w:cs="Arial"/>
          <w:noProof/>
        </w:rPr>
        <w:t>Fig.7</w:t>
      </w:r>
      <w:r w:rsidR="00115893">
        <w:rPr>
          <w:rFonts w:ascii="Arial" w:hAnsi="Arial" w:cs="Arial"/>
          <w:noProof/>
        </w:rPr>
        <w:t xml:space="preserve">,8. Bar graph showing </w:t>
      </w:r>
      <w:r w:rsidR="00115893" w:rsidRPr="00115893">
        <w:rPr>
          <w:rFonts w:ascii="Arial" w:hAnsi="Arial" w:cs="Arial"/>
          <w:noProof/>
        </w:rPr>
        <w:t>cholesterol determination</w:t>
      </w:r>
    </w:p>
    <w:p w14:paraId="7EE20B3C" w14:textId="77777777" w:rsidR="00AF50B8" w:rsidRPr="00AF50B8" w:rsidRDefault="00AF50B8" w:rsidP="00AF50B8">
      <w:pPr>
        <w:pStyle w:val="Body"/>
        <w:spacing w:after="0"/>
        <w:rPr>
          <w:rFonts w:ascii="Arial" w:hAnsi="Arial" w:cs="Arial"/>
        </w:rPr>
      </w:pPr>
      <w:r w:rsidRPr="00AF50B8">
        <w:rPr>
          <w:rFonts w:ascii="Arial" w:hAnsi="Arial" w:cs="Arial"/>
        </w:rPr>
        <w:t xml:space="preserve">                                                                                 </w:t>
      </w:r>
    </w:p>
    <w:p w14:paraId="28FBF57E" w14:textId="77777777" w:rsidR="00A46C8E" w:rsidRDefault="00AF50B8" w:rsidP="00AF50B8">
      <w:pPr>
        <w:pStyle w:val="Body"/>
        <w:spacing w:after="0"/>
        <w:rPr>
          <w:rFonts w:ascii="Arial" w:hAnsi="Arial" w:cs="Arial"/>
        </w:rPr>
      </w:pPr>
      <w:r w:rsidRPr="00AF50B8">
        <w:rPr>
          <w:rFonts w:ascii="Arial" w:hAnsi="Arial" w:cs="Arial"/>
        </w:rPr>
        <w:t>The HDL levels (mg/dl) of animals in the normal and treatment groups are presented in Figures 9 and 10. It shows that after 28 days of study, there was a significant difference(P&lt;0.05) in PTM, PTH, and STD compared to the normal control (NC). However, a 9-week study revealed a decrease in the HDL levels (P&lt;0.001) in PTH and STD, while PTE and PTM remained comparable to NC.</w:t>
      </w:r>
    </w:p>
    <w:p w14:paraId="6897401F" w14:textId="4648CA22" w:rsidR="00A46C8E" w:rsidRPr="00A46C8E" w:rsidRDefault="00AF50B8" w:rsidP="00A46C8E">
      <w:pPr>
        <w:pStyle w:val="Body"/>
        <w:rPr>
          <w:rFonts w:ascii="Arial" w:hAnsi="Arial" w:cs="Arial"/>
        </w:rPr>
      </w:pPr>
      <w:r w:rsidRPr="00AF50B8">
        <w:rPr>
          <w:rFonts w:ascii="Arial" w:hAnsi="Arial" w:cs="Arial"/>
        </w:rPr>
        <w:t xml:space="preserve">  </w:t>
      </w:r>
      <w:r w:rsidR="00A46C8E" w:rsidRPr="00A46C8E">
        <w:rPr>
          <w:rFonts w:ascii="Arial" w:hAnsi="Arial" w:cs="Arial"/>
        </w:rPr>
        <w:t xml:space="preserve"> </w:t>
      </w:r>
      <w:r w:rsidR="004C0556" w:rsidRPr="00A46C8E">
        <w:rPr>
          <w:rFonts w:ascii="Arial" w:hAnsi="Arial" w:cs="Arial"/>
          <w:noProof/>
        </w:rPr>
        <w:object w:dxaOrig="6690" w:dyaOrig="5102" w14:anchorId="4F041038">
          <v:shape id="_x0000_i1033" type="#_x0000_t75" style="width:168.75pt;height:149.25pt" o:ole="">
            <v:imagedata r:id="rId34" o:title=""/>
          </v:shape>
          <o:OLEObject Type="Embed" ProgID="Prism5.Document" ShapeID="_x0000_i1033" DrawAspect="Content" ObjectID="_1810823462" r:id="rId35"/>
        </w:object>
      </w:r>
      <w:r w:rsidR="00A46C8E" w:rsidRPr="00A46C8E">
        <w:rPr>
          <w:rFonts w:ascii="Arial" w:hAnsi="Arial" w:cs="Arial"/>
        </w:rPr>
        <w:t xml:space="preserve">              </w:t>
      </w:r>
      <w:r w:rsidR="004C0556" w:rsidRPr="00A46C8E">
        <w:rPr>
          <w:rFonts w:ascii="Arial" w:hAnsi="Arial" w:cs="Arial"/>
          <w:noProof/>
        </w:rPr>
        <w:object w:dxaOrig="4365" w:dyaOrig="4252" w14:anchorId="69EF141A">
          <v:shape id="_x0000_i1034" type="#_x0000_t75" style="width:140.25pt;height:104.25pt" o:ole="">
            <v:imagedata r:id="rId36" o:title=""/>
          </v:shape>
          <o:OLEObject Type="Embed" ProgID="Prism5.Document" ShapeID="_x0000_i1034" DrawAspect="Content" ObjectID="_1810823463" r:id="rId37"/>
        </w:object>
      </w:r>
    </w:p>
    <w:p w14:paraId="0D83E70A" w14:textId="63A763A1" w:rsidR="00A46C8E" w:rsidRDefault="00A46C8E" w:rsidP="00A46C8E">
      <w:pPr>
        <w:pStyle w:val="Body"/>
        <w:spacing w:after="0"/>
        <w:rPr>
          <w:rFonts w:ascii="Arial" w:hAnsi="Arial" w:cs="Arial"/>
        </w:rPr>
      </w:pPr>
      <w:r w:rsidRPr="00A46C8E">
        <w:rPr>
          <w:rFonts w:ascii="Arial" w:hAnsi="Arial" w:cs="Arial"/>
        </w:rPr>
        <w:t xml:space="preserve"> </w:t>
      </w:r>
      <w:r w:rsidR="002E6B58">
        <w:rPr>
          <w:rFonts w:ascii="Arial" w:hAnsi="Arial" w:cs="Arial"/>
        </w:rPr>
        <w:t>Fig.9</w:t>
      </w:r>
      <w:r w:rsidR="00115893">
        <w:rPr>
          <w:rFonts w:ascii="Arial" w:hAnsi="Arial" w:cs="Arial"/>
        </w:rPr>
        <w:t xml:space="preserve">,10. Bar graph showing </w:t>
      </w:r>
      <w:r w:rsidR="00115893" w:rsidRPr="00115893">
        <w:rPr>
          <w:rFonts w:ascii="Arial" w:hAnsi="Arial" w:cs="Arial"/>
        </w:rPr>
        <w:t>HDL levels</w:t>
      </w:r>
    </w:p>
    <w:p w14:paraId="24C0AC0C" w14:textId="77777777" w:rsidR="00115893" w:rsidRDefault="00115893" w:rsidP="00A46C8E">
      <w:pPr>
        <w:pStyle w:val="Body"/>
        <w:spacing w:after="0"/>
        <w:rPr>
          <w:rFonts w:ascii="Arial" w:hAnsi="Arial" w:cs="Arial"/>
        </w:rPr>
      </w:pPr>
    </w:p>
    <w:p w14:paraId="18433530" w14:textId="77777777" w:rsidR="00A46C8E" w:rsidRPr="00A46C8E" w:rsidRDefault="00A46C8E" w:rsidP="00A46C8E">
      <w:pPr>
        <w:pStyle w:val="Body"/>
        <w:spacing w:after="0"/>
        <w:rPr>
          <w:rFonts w:ascii="Arial" w:hAnsi="Arial" w:cs="Arial"/>
        </w:rPr>
      </w:pPr>
      <w:r w:rsidRPr="00A46C8E">
        <w:rPr>
          <w:rFonts w:ascii="Arial" w:hAnsi="Arial" w:cs="Arial"/>
        </w:rPr>
        <w:t>The triglyceride levels (mg/dl) of animals in the normal and treatment groups are presented in Figures 11 and 12. Groups NC, PTE, and PTH were comparable, while there was a significant decrease (P&lt;0.01) in group PTM and STD. At 63 days of the study, there was an increase in PTH, then PTE, PTM, and STD was comparable to the normal control.</w:t>
      </w:r>
    </w:p>
    <w:p w14:paraId="655C4202" w14:textId="6F36F87F" w:rsidR="00A46C8E" w:rsidRPr="00A46C8E" w:rsidRDefault="00A46C8E" w:rsidP="00A46C8E">
      <w:pPr>
        <w:pStyle w:val="Body"/>
        <w:spacing w:after="0"/>
        <w:rPr>
          <w:rFonts w:ascii="Arial" w:hAnsi="Arial" w:cs="Arial"/>
        </w:rPr>
      </w:pPr>
      <w:r w:rsidRPr="00A46C8E">
        <w:rPr>
          <w:rFonts w:ascii="Arial" w:hAnsi="Arial" w:cs="Arial"/>
        </w:rPr>
        <w:t xml:space="preserve">  </w:t>
      </w:r>
      <w:r w:rsidR="004C0556" w:rsidRPr="00A46C8E">
        <w:rPr>
          <w:rFonts w:ascii="Arial" w:hAnsi="Arial" w:cs="Arial"/>
          <w:noProof/>
        </w:rPr>
        <w:object w:dxaOrig="6463" w:dyaOrig="5102" w14:anchorId="13E30888">
          <v:shape id="_x0000_i1035" type="#_x0000_t75" style="width:165pt;height:141pt" o:ole="">
            <v:imagedata r:id="rId38" o:title=""/>
          </v:shape>
          <o:OLEObject Type="Embed" ProgID="Prism5.Document" ShapeID="_x0000_i1035" DrawAspect="Content" ObjectID="_1810823464" r:id="rId39"/>
        </w:object>
      </w:r>
      <w:r w:rsidRPr="00A46C8E">
        <w:rPr>
          <w:rFonts w:ascii="Arial" w:hAnsi="Arial" w:cs="Arial"/>
        </w:rPr>
        <w:t xml:space="preserve">     </w:t>
      </w:r>
      <w:r w:rsidR="004C0556" w:rsidRPr="00A46C8E">
        <w:rPr>
          <w:rFonts w:ascii="Arial" w:hAnsi="Arial" w:cs="Arial"/>
          <w:noProof/>
        </w:rPr>
        <w:object w:dxaOrig="6576" w:dyaOrig="5102" w14:anchorId="07CB1024">
          <v:shape id="_x0000_i1036" type="#_x0000_t75" style="width:173.25pt;height:143.25pt" o:ole="">
            <v:imagedata r:id="rId40" o:title=""/>
          </v:shape>
          <o:OLEObject Type="Embed" ProgID="Prism5.Document" ShapeID="_x0000_i1036" DrawAspect="Content" ObjectID="_1810823465" r:id="rId41"/>
        </w:object>
      </w:r>
    </w:p>
    <w:p w14:paraId="1F5D432F" w14:textId="77777777" w:rsidR="00A46C8E" w:rsidRPr="00A46C8E" w:rsidRDefault="00A46C8E" w:rsidP="00A46C8E">
      <w:pPr>
        <w:pStyle w:val="Body"/>
        <w:spacing w:after="0"/>
        <w:rPr>
          <w:rFonts w:ascii="Arial" w:hAnsi="Arial" w:cs="Arial"/>
        </w:rPr>
      </w:pPr>
      <w:r w:rsidRPr="00A46C8E">
        <w:rPr>
          <w:rFonts w:ascii="Arial" w:hAnsi="Arial" w:cs="Arial"/>
        </w:rPr>
        <w:lastRenderedPageBreak/>
        <w:t xml:space="preserve">                                                                                     </w:t>
      </w:r>
    </w:p>
    <w:p w14:paraId="1FA7AFCF" w14:textId="4471AE45" w:rsidR="002E6B58" w:rsidRDefault="002E6B58" w:rsidP="00A46C8E">
      <w:pPr>
        <w:pStyle w:val="Body"/>
        <w:spacing w:after="0"/>
        <w:rPr>
          <w:rFonts w:ascii="Arial" w:hAnsi="Arial" w:cs="Arial"/>
        </w:rPr>
      </w:pPr>
      <w:r w:rsidRPr="002E6B58">
        <w:rPr>
          <w:rFonts w:ascii="Arial" w:hAnsi="Arial" w:cs="Arial"/>
        </w:rPr>
        <w:t>Fig.</w:t>
      </w:r>
      <w:r>
        <w:rPr>
          <w:rFonts w:ascii="Arial" w:hAnsi="Arial" w:cs="Arial"/>
        </w:rPr>
        <w:t>11</w:t>
      </w:r>
      <w:r w:rsidR="00115893">
        <w:rPr>
          <w:rFonts w:ascii="Arial" w:hAnsi="Arial" w:cs="Arial"/>
        </w:rPr>
        <w:t xml:space="preserve">,12. Bar graph showing </w:t>
      </w:r>
      <w:r w:rsidR="00115893" w:rsidRPr="00115893">
        <w:rPr>
          <w:rFonts w:ascii="Arial" w:hAnsi="Arial" w:cs="Arial"/>
        </w:rPr>
        <w:t>triglyceride levels</w:t>
      </w:r>
    </w:p>
    <w:p w14:paraId="05AD2384" w14:textId="77777777" w:rsidR="002E6B58" w:rsidRDefault="002E6B58" w:rsidP="00A46C8E">
      <w:pPr>
        <w:pStyle w:val="Body"/>
        <w:spacing w:after="0"/>
        <w:rPr>
          <w:rFonts w:ascii="Arial" w:hAnsi="Arial" w:cs="Arial"/>
        </w:rPr>
      </w:pPr>
    </w:p>
    <w:p w14:paraId="57E73099" w14:textId="5BDBF089" w:rsidR="00A46C8E" w:rsidRPr="00A46C8E" w:rsidRDefault="00A46C8E" w:rsidP="00A46C8E">
      <w:pPr>
        <w:pStyle w:val="Body"/>
        <w:spacing w:after="0"/>
        <w:rPr>
          <w:rFonts w:ascii="Arial" w:hAnsi="Arial" w:cs="Arial"/>
        </w:rPr>
      </w:pPr>
      <w:r w:rsidRPr="00A46C8E">
        <w:rPr>
          <w:rFonts w:ascii="Arial" w:hAnsi="Arial" w:cs="Arial"/>
        </w:rPr>
        <w:t xml:space="preserve">Fig 13, LDL in group PTH increase significantly (p&lt;0.001) in PTH, while Fig 14 showed a decrease in PTH (P&lt;0.05) and STD (P&lt;0.01) compared to NC. </w:t>
      </w:r>
    </w:p>
    <w:p w14:paraId="5B404535" w14:textId="03F5507A" w:rsidR="00A46C8E" w:rsidRPr="00A46C8E" w:rsidRDefault="004C0556" w:rsidP="00A46C8E">
      <w:pPr>
        <w:pStyle w:val="Body"/>
        <w:spacing w:after="0"/>
        <w:rPr>
          <w:rFonts w:ascii="Arial" w:hAnsi="Arial" w:cs="Arial"/>
          <w:b/>
          <w:bCs/>
        </w:rPr>
      </w:pPr>
      <w:r w:rsidRPr="00A46C8E">
        <w:rPr>
          <w:rFonts w:ascii="Arial" w:hAnsi="Arial" w:cs="Arial"/>
          <w:noProof/>
        </w:rPr>
        <w:object w:dxaOrig="4422" w:dyaOrig="3969" w14:anchorId="1436FA8A">
          <v:shape id="_x0000_i1037" type="#_x0000_t75" style="width:150.75pt;height:147.75pt" o:ole="">
            <v:imagedata r:id="rId42" o:title=""/>
          </v:shape>
          <o:OLEObject Type="Embed" ProgID="Prism5.Document" ShapeID="_x0000_i1037" DrawAspect="Content" ObjectID="_1810823466" r:id="rId43"/>
        </w:object>
      </w:r>
      <w:r w:rsidR="00A46C8E" w:rsidRPr="00A46C8E">
        <w:rPr>
          <w:rFonts w:ascii="Arial" w:hAnsi="Arial" w:cs="Arial"/>
        </w:rPr>
        <w:t xml:space="preserve">                      </w:t>
      </w:r>
      <w:r w:rsidRPr="00A46C8E">
        <w:rPr>
          <w:rFonts w:ascii="Arial" w:hAnsi="Arial" w:cs="Arial"/>
          <w:noProof/>
        </w:rPr>
        <w:object w:dxaOrig="4365" w:dyaOrig="3969" w14:anchorId="1C364239">
          <v:shape id="_x0000_i1038" type="#_x0000_t75" style="width:162pt;height:155.25pt" o:ole="">
            <v:imagedata r:id="rId44" o:title=""/>
          </v:shape>
          <o:OLEObject Type="Embed" ProgID="Prism5.Document" ShapeID="_x0000_i1038" DrawAspect="Content" ObjectID="_1810823467" r:id="rId45"/>
        </w:object>
      </w:r>
    </w:p>
    <w:p w14:paraId="4DFDBA87" w14:textId="421F7548" w:rsidR="00790ADA" w:rsidRDefault="002E6B58" w:rsidP="00441B6F">
      <w:pPr>
        <w:pStyle w:val="Body"/>
        <w:spacing w:after="0"/>
        <w:rPr>
          <w:rFonts w:ascii="Arial" w:hAnsi="Arial" w:cs="Arial"/>
        </w:rPr>
      </w:pPr>
      <w:r w:rsidRPr="002E6B58">
        <w:rPr>
          <w:rFonts w:ascii="Arial" w:hAnsi="Arial" w:cs="Arial"/>
        </w:rPr>
        <w:t>Fig.</w:t>
      </w:r>
      <w:r>
        <w:rPr>
          <w:rFonts w:ascii="Arial" w:hAnsi="Arial" w:cs="Arial"/>
        </w:rPr>
        <w:t xml:space="preserve"> 13</w:t>
      </w:r>
      <w:r w:rsidR="00115893">
        <w:rPr>
          <w:rFonts w:ascii="Arial" w:hAnsi="Arial" w:cs="Arial"/>
        </w:rPr>
        <w:t xml:space="preserve">,14. Bar graph showing </w:t>
      </w:r>
      <w:r w:rsidR="00115893" w:rsidRPr="00115893">
        <w:rPr>
          <w:rFonts w:ascii="Arial" w:hAnsi="Arial" w:cs="Arial"/>
        </w:rPr>
        <w:t>LDL in group PTH</w:t>
      </w:r>
    </w:p>
    <w:p w14:paraId="66ED43E4" w14:textId="77777777" w:rsidR="002E6B58" w:rsidRPr="00AF50B8" w:rsidRDefault="002E6B58" w:rsidP="00441B6F">
      <w:pPr>
        <w:pStyle w:val="Body"/>
        <w:spacing w:after="0"/>
        <w:rPr>
          <w:rFonts w:ascii="Arial" w:hAnsi="Arial" w:cs="Arial"/>
        </w:rPr>
      </w:pPr>
    </w:p>
    <w:p w14:paraId="11288C07" w14:textId="6B605832" w:rsidR="00AA13BC" w:rsidRPr="00AA13BC" w:rsidRDefault="00AA13BC" w:rsidP="00AA13BC">
      <w:pPr>
        <w:rPr>
          <w:rFonts w:ascii="Arial" w:hAnsi="Arial" w:cs="Arial"/>
          <w:b/>
          <w:bCs/>
          <w:lang w:eastAsia="en-GB"/>
        </w:rPr>
      </w:pPr>
      <w:r w:rsidRPr="00AA13BC">
        <w:rPr>
          <w:rFonts w:ascii="Arial" w:hAnsi="Arial" w:cs="Arial"/>
          <w:b/>
          <w:bCs/>
          <w:lang w:eastAsia="en-GB"/>
        </w:rPr>
        <w:t>HISTOPATHOLOGY</w:t>
      </w:r>
    </w:p>
    <w:p w14:paraId="5B90AAA1" w14:textId="77777777" w:rsidR="00AA13BC" w:rsidRPr="00AA13BC" w:rsidRDefault="00AA13BC" w:rsidP="00AA13BC">
      <w:pPr>
        <w:rPr>
          <w:rFonts w:ascii="Arial" w:hAnsi="Arial" w:cs="Arial"/>
          <w:lang w:eastAsia="en-GB"/>
        </w:rPr>
      </w:pPr>
      <w:commentRangeStart w:id="35"/>
      <w:r w:rsidRPr="00AA13BC">
        <w:rPr>
          <w:rFonts w:ascii="Arial" w:hAnsi="Arial" w:cs="Arial"/>
          <w:lang w:eastAsia="en-GB"/>
        </w:rPr>
        <w:t>The pathology of the pancreas was investigated to assess the effects of the treatments on the integrity of the pancreas with a focus on potential tissue damage. This is to further corroborate the findings observed in lipid profiles, blood glucose levels, and pancreatic amylase assays. Figure 13 shows sections of the pancreatic tissues examined using hematoxylin and eosin (H&amp;E) staining at X100 magnification. The pancreatic tissue sections at 28 days showed a mild to moderate distortion of exocrine acini and islet of Langerhans with signs of cellular degeneration, necrosis, or inflammatory infiltration in PTE, PTM, and PTH. At 63 days, the morphology of tissues shows no abnormality or inflammation.</w:t>
      </w:r>
      <w:commentRangeEnd w:id="35"/>
      <w:r w:rsidR="00B65F9E">
        <w:rPr>
          <w:rStyle w:val="CommentReference"/>
          <w:rFonts w:ascii="Times New Roman" w:hAnsi="Times New Roman"/>
          <w:lang w:val="nb-NO" w:eastAsia="nb-NO"/>
        </w:rPr>
        <w:commentReference w:id="35"/>
      </w:r>
    </w:p>
    <w:p w14:paraId="57EEC445" w14:textId="77777777" w:rsidR="00AA13BC" w:rsidRDefault="00AA13BC" w:rsidP="00AA13BC">
      <w:pPr>
        <w:rPr>
          <w:rFonts w:ascii="Arial" w:hAnsi="Arial" w:cs="Arial"/>
          <w:lang w:eastAsia="en-GB"/>
        </w:rPr>
      </w:pPr>
      <w:r w:rsidRPr="00AA13BC">
        <w:rPr>
          <w:rFonts w:ascii="Arial" w:hAnsi="Arial" w:cs="Arial"/>
          <w:noProof/>
          <w:lang w:eastAsia="en-GB"/>
        </w:rPr>
        <w:lastRenderedPageBreak/>
        <w:drawing>
          <wp:inline distT="0" distB="0" distL="0" distR="0" wp14:anchorId="34C85619" wp14:editId="049BD73A">
            <wp:extent cx="5943600" cy="3889375"/>
            <wp:effectExtent l="0" t="0" r="0" b="0"/>
            <wp:docPr id="1217934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34119" name=""/>
                    <pic:cNvPicPr/>
                  </pic:nvPicPr>
                  <pic:blipFill>
                    <a:blip r:embed="rId46"/>
                    <a:stretch>
                      <a:fillRect/>
                    </a:stretch>
                  </pic:blipFill>
                  <pic:spPr>
                    <a:xfrm>
                      <a:off x="0" y="0"/>
                      <a:ext cx="5943600" cy="3889375"/>
                    </a:xfrm>
                    <a:prstGeom prst="rect">
                      <a:avLst/>
                    </a:prstGeom>
                  </pic:spPr>
                </pic:pic>
              </a:graphicData>
            </a:graphic>
          </wp:inline>
        </w:drawing>
      </w:r>
    </w:p>
    <w:p w14:paraId="77056E6A" w14:textId="06DC1DB4" w:rsidR="002E6B58" w:rsidRDefault="002E6B58" w:rsidP="00AA13BC">
      <w:pPr>
        <w:rPr>
          <w:rFonts w:ascii="Arial" w:hAnsi="Arial" w:cs="Arial"/>
          <w:lang w:eastAsia="en-GB"/>
        </w:rPr>
      </w:pPr>
      <w:commentRangeStart w:id="36"/>
      <w:r w:rsidRPr="002E6B58">
        <w:rPr>
          <w:rFonts w:ascii="Arial" w:hAnsi="Arial" w:cs="Arial"/>
          <w:lang w:eastAsia="en-GB"/>
        </w:rPr>
        <w:t>Fig.</w:t>
      </w:r>
      <w:r>
        <w:rPr>
          <w:rFonts w:ascii="Arial" w:hAnsi="Arial" w:cs="Arial"/>
          <w:lang w:eastAsia="en-GB"/>
        </w:rPr>
        <w:t xml:space="preserve"> .15</w:t>
      </w:r>
      <w:r w:rsidR="00115893">
        <w:rPr>
          <w:rFonts w:ascii="Arial" w:hAnsi="Arial" w:cs="Arial"/>
          <w:lang w:eastAsia="en-GB"/>
        </w:rPr>
        <w:t xml:space="preserve"> Histo</w:t>
      </w:r>
      <w:r w:rsidR="00115893" w:rsidRPr="00115893">
        <w:rPr>
          <w:rFonts w:ascii="Arial" w:hAnsi="Arial" w:cs="Arial"/>
          <w:lang w:eastAsia="en-GB"/>
        </w:rPr>
        <w:t>pathology of the pancreas</w:t>
      </w:r>
      <w:commentRangeEnd w:id="36"/>
      <w:r w:rsidR="00B65F9E">
        <w:rPr>
          <w:rStyle w:val="CommentReference"/>
          <w:rFonts w:ascii="Times New Roman" w:hAnsi="Times New Roman"/>
          <w:lang w:val="nb-NO" w:eastAsia="nb-NO"/>
        </w:rPr>
        <w:commentReference w:id="36"/>
      </w:r>
    </w:p>
    <w:p w14:paraId="3942FDDE" w14:textId="77777777" w:rsidR="002E6B58" w:rsidRPr="00AA13BC" w:rsidRDefault="002E6B58" w:rsidP="00AA13BC">
      <w:pPr>
        <w:rPr>
          <w:rFonts w:ascii="Arial" w:hAnsi="Arial" w:cs="Arial"/>
          <w:lang w:eastAsia="en-GB"/>
        </w:rPr>
      </w:pPr>
    </w:p>
    <w:p w14:paraId="7DEC667A" w14:textId="77777777" w:rsidR="00AA13BC" w:rsidRPr="00AA13BC" w:rsidRDefault="00AA13BC" w:rsidP="00AA13BC">
      <w:pPr>
        <w:rPr>
          <w:rFonts w:ascii="Arial" w:hAnsi="Arial" w:cs="Arial"/>
          <w:lang w:eastAsia="en-GB"/>
        </w:rPr>
      </w:pPr>
      <w:r w:rsidRPr="00AA13BC">
        <w:rPr>
          <w:rFonts w:ascii="Arial" w:hAnsi="Arial" w:cs="Arial"/>
          <w:b/>
          <w:bCs/>
          <w:lang w:eastAsia="en-GB"/>
        </w:rPr>
        <w:t>DISSCUSSIONS</w:t>
      </w:r>
      <w:r w:rsidRPr="00AA13BC">
        <w:rPr>
          <w:rFonts w:ascii="Arial" w:hAnsi="Arial" w:cs="Arial"/>
          <w:iCs/>
          <w:lang w:eastAsia="en-GB"/>
        </w:rPr>
        <w:t xml:space="preserve"> </w:t>
      </w:r>
    </w:p>
    <w:p w14:paraId="7124473C" w14:textId="77777777" w:rsidR="00AA13BC" w:rsidRPr="00AA13BC" w:rsidRDefault="00AA13BC" w:rsidP="00AA13BC">
      <w:pPr>
        <w:rPr>
          <w:rFonts w:ascii="Arial" w:hAnsi="Arial" w:cs="Arial"/>
          <w:iCs/>
          <w:lang w:eastAsia="en-GB"/>
        </w:rPr>
      </w:pPr>
      <w:commentRangeStart w:id="37"/>
      <w:r w:rsidRPr="00AA13BC">
        <w:rPr>
          <w:rFonts w:ascii="Arial" w:hAnsi="Arial" w:cs="Arial"/>
          <w:iCs/>
          <w:lang w:eastAsia="en-GB"/>
        </w:rPr>
        <w:t>The financial burden associated with treating conditions that impair pancreatic β-cell integrity remains a significant global concern (Abdalla, 2024; Saleem et al., 2024). In recent years, numerous studies have highlighted the therapeutic efficacy of natural products, often characterized by minimal adverse effects. This study evaluates the nutritional profile and health-promoting effects of an ethanolic extract of Pleurotus tuber-regium in high-fat diet and streptozotocin (STZ)-induced diabetic male Wistar rats. Emphasis is placed on its potential as a functional food with antidiabetic, cholesterol-lowering, and pancreatic enzyme-modulating properties. Proximate composition analysis indicated that P. tuber-regium is a nutrient-rich mushroom, comprising 68.04% carbohydrates, 19.92% crude protein, and 5.44% dietary fiber. These findings are consistent with previous literature affirming the mushroom’s nutritional value (Chen &amp; Cheung, 2014; Oranus et al., 2014; Igbokwe et al., 2015). These macronutrients play a critical role in energy metabolism, blood glucose regulation, and gut health (Lin et al., 2020; Mo et al., 2024). The composition also supports the mushroom’s traditional use as a meat alternative and bulking agent in local diets, especially within Nigerian communities (Oranus et al., 2014; Igbokwe et al., 2015). Vitamin analysis revealed the presence of both water- and fat-soluble vitamins in low concentrations. Detected vitamins included vitamin D (0.07 mg/g) and vitamin E (0.013 mg/g), with trace levels of thiamine (B1), riboflavin (B2), and ascorbic acid (vitamin C). Despite their low concentrations, these vitamins may act synergistically to support antioxidant defence and immune function (Boa, 2004; Jayachandran et al., 2017; Majesty et al., 2018). Mineral profiling showed high levels of potassium (3826.86 mg/100g), calcium (797.75 mg/100g), magnesium (151.18 mg/100g), and sodium (156.80 mg/100g), all of which are crucial in metabolic regulation, insulin signalling, neuronal function, and cardiovascular health (Tamura, 2021; Basir et al., 2023; Brecht et al., 2023). The hypoglycemic effects of P. tuber-</w:t>
      </w:r>
      <w:r w:rsidRPr="00AA13BC">
        <w:rPr>
          <w:rFonts w:ascii="Arial" w:hAnsi="Arial" w:cs="Arial"/>
          <w:iCs/>
          <w:lang w:eastAsia="en-GB"/>
        </w:rPr>
        <w:lastRenderedPageBreak/>
        <w:t xml:space="preserve">regium were evident in the diabetic rat model, reinforcing its potential role as a dietary adjunct for managing type 2 diabetes and related lipid disorders (Ganesan &amp; Xu, 2019; Shamim et al., 2023). All treatment groups (PTE, PTM, PTH, and STD) demonstrated a significant reduction in fasting blood glucose levels over nine weeks, with the PTM group (400 mg/kg) achieving the most pronounced effect (88.4% reduction). Earlier studies have shown that oyster mushrooms exhibit a non-linear, dose-dependent glycemic effect, likely mediated by bioactive compounds that influence insulin activity and glucose transport mechanisms (Asrafuzzaman et al., 2018; Gochhi et al., 2024; Huang et al., 2012). The ethanolic extract also significantly affected pancreatic amylase (PA) activity, a key enzyme in starch digestion. Elevated PA activity is often associated with increased postprandial glucose spikes (Monago &amp; Okonkwo, 2003; Debnath et al., 2020). After 28 days, enzyme activity increased in the lower-dose and STD-treated groups (200 mg/kg, 400 mg/kg, and 80 mg/kg, respectively), with the highest response observed in the STD group. Conversely, the high-dose group (800 mg/kg) displayed near-normal PA levels, indicating a dose-dependent, biphasic response (Kobayashi et al., 2021). By day 63, all treated groups exhibited a marked reduction in amylase activity—except PTM and STD—suggesting a restorative effect on pancreatic enzyme regulation over time, possibly linked to the extract’s antioxidant or anti-inflammatory actions (Kirk et al., 2006; Massani &amp; Stecca, 2022). The early spike in PA may reflect a compensatory response to STZ-induced pancreatic injury, while the subsequent decline signals functional recovery (Butterworth et al., 2011; Sales et al., 2011; Murtaugh &amp; Keefe, 2015). These enzyme-modulating effects were accompanied by improved glycemic control, particularly in the 400 mg/kg group. Given the relevance of lipid metabolism in diabetes management (Zhang et al., 2022; Bu et al., 2024), serum lipid profiles were also assessed. After 28 days, significant reductions in total cholesterol were recorded in the PTM and STD groups. By day 63, all treatment groups showed lowered total cholesterol compared to the normal control. However, changes in HDL cholesterol levels were more variable. At day 28, HDL levels decreased in PTM, PTH, and STD groups, with PTH and STD showing significant declines by day 63. This suggests that higher doses may not sustain HDL levels long-term and could reflect disrupted lipid transport under diabetic conditions (Femlak et al., 2017). Although the extract lowered overall cholesterol, it may not effectively promote reverse cholesterol transport at elevated doses (Marques et al., 2018; Ouimet et al., 2019). Triglyceride levels dropped significantly in PTM and STD at week 4 but later rose in PTH while continuing to decline in PTE, PTM, and STD by week 9. LDL cholesterol was significantly elevated in the PTH group at 28 days but dropped substantially across all treatment groups by day 63. Histopathological evaluation of the pancreas further validated the biochemical findings. The normoglycemic group showed no structural damage throughout the study, while treatment groups (PTE, PTM, PTH, and STD) exhibited mild to moderate regeneration of β-cell architecture within the islets of Langerhans (Retnakaran et al., 2023; Li et al., 2024). These observations affirm the restorative and protective potential of P. tuber-regium extract on pancreatic tissue, supporting its use as a safe and </w:t>
      </w:r>
      <w:commentRangeStart w:id="38"/>
      <w:r w:rsidRPr="00AA13BC">
        <w:rPr>
          <w:rFonts w:ascii="Arial" w:hAnsi="Arial" w:cs="Arial"/>
          <w:iCs/>
          <w:lang w:eastAsia="en-GB"/>
        </w:rPr>
        <w:t>effective</w:t>
      </w:r>
      <w:commentRangeEnd w:id="38"/>
      <w:r w:rsidR="0076338D">
        <w:rPr>
          <w:rStyle w:val="CommentReference"/>
          <w:rFonts w:ascii="Times New Roman" w:hAnsi="Times New Roman"/>
          <w:lang w:val="nb-NO" w:eastAsia="nb-NO"/>
        </w:rPr>
        <w:commentReference w:id="38"/>
      </w:r>
      <w:r w:rsidRPr="00AA13BC">
        <w:rPr>
          <w:rFonts w:ascii="Arial" w:hAnsi="Arial" w:cs="Arial"/>
          <w:iCs/>
          <w:lang w:eastAsia="en-GB"/>
        </w:rPr>
        <w:t xml:space="preserve"> therapeutic agent for long-term diabetes management (Huang et al., 2012; Adeyi et al., 2021).</w:t>
      </w:r>
    </w:p>
    <w:commentRangeEnd w:id="37"/>
    <w:p w14:paraId="250A16BF" w14:textId="77777777" w:rsidR="00790ADA" w:rsidRPr="00FB3A86" w:rsidRDefault="0076338D" w:rsidP="00441B6F">
      <w:pPr>
        <w:pStyle w:val="Body"/>
        <w:spacing w:after="0"/>
        <w:rPr>
          <w:rFonts w:ascii="Arial" w:hAnsi="Arial" w:cs="Arial"/>
        </w:rPr>
      </w:pPr>
      <w:r>
        <w:rPr>
          <w:rStyle w:val="CommentReference"/>
          <w:rFonts w:ascii="Times New Roman" w:hAnsi="Times New Roman"/>
          <w:lang w:val="nb-NO" w:eastAsia="nb-NO"/>
        </w:rPr>
        <w:commentReference w:id="37"/>
      </w:r>
    </w:p>
    <w:p w14:paraId="1179A6ED" w14:textId="0473FADD" w:rsidR="00790ADA" w:rsidRPr="00FB3A86" w:rsidRDefault="00000F8F" w:rsidP="00480F42">
      <w:pPr>
        <w:pStyle w:val="ConcHead"/>
        <w:spacing w:after="0"/>
        <w:jc w:val="both"/>
        <w:rPr>
          <w:rFonts w:ascii="Arial" w:hAnsi="Arial" w:cs="Arial"/>
        </w:rPr>
      </w:pPr>
      <w:r>
        <w:rPr>
          <w:rFonts w:ascii="Arial" w:hAnsi="Arial" w:cs="Arial"/>
        </w:rPr>
        <w:t xml:space="preserve">4. </w:t>
      </w:r>
      <w:r w:rsidR="00480F42" w:rsidRPr="00FB3A86">
        <w:rPr>
          <w:rFonts w:ascii="Arial" w:hAnsi="Arial" w:cs="Arial"/>
          <w:caps w:val="0"/>
        </w:rPr>
        <w:t>Conclusion</w:t>
      </w:r>
    </w:p>
    <w:p w14:paraId="26CE0F78" w14:textId="77777777" w:rsidR="00AA13BC" w:rsidRPr="00AA13BC" w:rsidRDefault="00AA13BC" w:rsidP="00AA13BC">
      <w:pPr>
        <w:pStyle w:val="Body"/>
        <w:rPr>
          <w:rFonts w:ascii="Arial" w:hAnsi="Arial" w:cs="Arial"/>
        </w:rPr>
      </w:pPr>
      <w:r w:rsidRPr="00AA13BC">
        <w:rPr>
          <w:rFonts w:ascii="Arial" w:hAnsi="Arial" w:cs="Arial"/>
        </w:rPr>
        <w:t xml:space="preserve">This study has shown persuasive evidence that the ethanolic extract of </w:t>
      </w:r>
      <w:r w:rsidRPr="00AA13BC">
        <w:rPr>
          <w:rFonts w:ascii="Arial" w:hAnsi="Arial" w:cs="Arial"/>
          <w:i/>
          <w:iCs/>
        </w:rPr>
        <w:t>P. tuber-regium</w:t>
      </w:r>
      <w:r w:rsidRPr="00AA13BC">
        <w:rPr>
          <w:rFonts w:ascii="Arial" w:hAnsi="Arial" w:cs="Arial"/>
        </w:rPr>
        <w:t xml:space="preserve"> is a potent candidate for improving nutritional, antidiabetic, hypocholesterolemic, and pancreatic-protective status in high-fat-streptozotocin-induced Wistar male albino rats. Amongst all treatment groups, the P. tuber-regium extract at 400 mg/kg effectively reduced fasting blood glucose and improved lipid profiles over 9 weeks (63 days). It also modulated pancreatic amylase activity in a dose-dependent biphasic manner and promoted regeneration of β-cells in the islets of Langerhans. </w:t>
      </w:r>
      <w:commentRangeStart w:id="39"/>
      <w:r w:rsidRPr="00AA13BC">
        <w:rPr>
          <w:rFonts w:ascii="Arial" w:hAnsi="Arial" w:cs="Arial"/>
        </w:rPr>
        <w:t xml:space="preserve">These findings highlight </w:t>
      </w:r>
      <w:r w:rsidRPr="00AA13BC">
        <w:rPr>
          <w:rFonts w:ascii="Arial" w:hAnsi="Arial" w:cs="Arial"/>
          <w:i/>
          <w:iCs/>
        </w:rPr>
        <w:t>P. tuber-regium</w:t>
      </w:r>
      <w:r w:rsidRPr="00AA13BC">
        <w:rPr>
          <w:rFonts w:ascii="Arial" w:hAnsi="Arial" w:cs="Arial"/>
        </w:rPr>
        <w:t xml:space="preserve"> as a nutritionally rich and potentially safe nutraceutical for managing type II diabetes and preserving pancreatic function.</w:t>
      </w:r>
      <w:commentRangeEnd w:id="39"/>
      <w:r w:rsidR="0076338D">
        <w:rPr>
          <w:rStyle w:val="CommentReference"/>
          <w:rFonts w:ascii="Times New Roman" w:hAnsi="Times New Roman"/>
          <w:lang w:val="nb-NO" w:eastAsia="nb-NO"/>
        </w:rPr>
        <w:commentReference w:id="39"/>
      </w:r>
    </w:p>
    <w:p w14:paraId="10794845" w14:textId="76739AD2" w:rsidR="00480F42" w:rsidRDefault="00480F42" w:rsidP="00480F42">
      <w:pPr>
        <w:pStyle w:val="ReferHead"/>
        <w:spacing w:after="0"/>
        <w:jc w:val="both"/>
        <w:rPr>
          <w:rFonts w:ascii="Arial" w:hAnsi="Arial" w:cs="Arial"/>
          <w:b w:val="0"/>
          <w:caps w:val="0"/>
          <w:sz w:val="20"/>
        </w:rPr>
      </w:pPr>
    </w:p>
    <w:p w14:paraId="2615DDB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FB472FE" w14:textId="77777777" w:rsidR="00480F42" w:rsidRPr="00480F42" w:rsidRDefault="00480F42" w:rsidP="00480F42">
      <w:pPr>
        <w:pStyle w:val="Body"/>
        <w:spacing w:after="0"/>
        <w:rPr>
          <w:rFonts w:ascii="Arial" w:hAnsi="Arial" w:cs="Arial"/>
        </w:rPr>
      </w:pPr>
      <w:commentRangeStart w:id="40"/>
      <w:r w:rsidRPr="00480F42">
        <w:rPr>
          <w:rFonts w:ascii="Arial" w:hAnsi="Arial" w:cs="Arial"/>
        </w:rPr>
        <w:t>Abdalla, M. M. I. (2024). Advancing diabetes management: Exploring pancreatic beta-cell restoration’s potential and challenges. </w:t>
      </w:r>
      <w:r w:rsidRPr="00480F42">
        <w:rPr>
          <w:rFonts w:ascii="Arial" w:hAnsi="Arial" w:cs="Arial"/>
          <w:i/>
          <w:iCs/>
        </w:rPr>
        <w:t>World Journal of Gastroenterology</w:t>
      </w:r>
      <w:r w:rsidRPr="00480F42">
        <w:rPr>
          <w:rFonts w:ascii="Arial" w:hAnsi="Arial" w:cs="Arial"/>
        </w:rPr>
        <w:t>, </w:t>
      </w:r>
      <w:r w:rsidRPr="00480F42">
        <w:rPr>
          <w:rFonts w:ascii="Arial" w:hAnsi="Arial" w:cs="Arial"/>
          <w:i/>
          <w:iCs/>
        </w:rPr>
        <w:t>30</w:t>
      </w:r>
      <w:r w:rsidRPr="00480F42">
        <w:rPr>
          <w:rFonts w:ascii="Arial" w:hAnsi="Arial" w:cs="Arial"/>
        </w:rPr>
        <w:t>(40), 4339.</w:t>
      </w:r>
    </w:p>
    <w:p w14:paraId="08AC5E15" w14:textId="77777777" w:rsidR="00480F42" w:rsidRPr="00480F42" w:rsidRDefault="00480F42" w:rsidP="00480F42">
      <w:pPr>
        <w:pStyle w:val="Body"/>
        <w:spacing w:after="0"/>
        <w:rPr>
          <w:rFonts w:ascii="Arial" w:hAnsi="Arial" w:cs="Arial"/>
        </w:rPr>
      </w:pPr>
      <w:r w:rsidRPr="00480F42">
        <w:rPr>
          <w:rFonts w:ascii="Arial" w:hAnsi="Arial" w:cs="Arial"/>
        </w:rPr>
        <w:t>Abdullah, E., Amirullah, N. A., Vijayan, H., Abd Rashid, N., Abdullah, N., &amp; Abidin, N. Z. (2024). Chemopreventive role of proteins and polysaccharides from Pleurotus tuber-regium. </w:t>
      </w:r>
      <w:r w:rsidRPr="00480F42">
        <w:rPr>
          <w:rFonts w:ascii="Arial" w:hAnsi="Arial" w:cs="Arial"/>
          <w:i/>
          <w:iCs/>
        </w:rPr>
        <w:t>Food Bioscience</w:t>
      </w:r>
      <w:r w:rsidRPr="00480F42">
        <w:rPr>
          <w:rFonts w:ascii="Arial" w:hAnsi="Arial" w:cs="Arial"/>
        </w:rPr>
        <w:t>, 104311.</w:t>
      </w:r>
    </w:p>
    <w:p w14:paraId="57A1FD01" w14:textId="77777777" w:rsidR="00480F42" w:rsidRPr="00480F42" w:rsidRDefault="00480F42" w:rsidP="00480F42">
      <w:pPr>
        <w:pStyle w:val="Body"/>
        <w:spacing w:after="0"/>
        <w:rPr>
          <w:rFonts w:ascii="Arial" w:hAnsi="Arial" w:cs="Arial"/>
        </w:rPr>
      </w:pPr>
      <w:r w:rsidRPr="00480F42">
        <w:rPr>
          <w:rFonts w:ascii="Arial" w:hAnsi="Arial" w:cs="Arial"/>
        </w:rPr>
        <w:t>Adedokun, O. M., Odiketa, J. K., Afieroho, O. E., &amp; Afieroho, M. C. (2022). Importance of mushrooms for food security in Africa. In </w:t>
      </w:r>
      <w:r w:rsidRPr="00480F42">
        <w:rPr>
          <w:rFonts w:ascii="Arial" w:hAnsi="Arial" w:cs="Arial"/>
          <w:i/>
          <w:iCs/>
        </w:rPr>
        <w:t>Food Security for African Smallholder Farmers</w:t>
      </w:r>
      <w:r w:rsidRPr="00480F42">
        <w:rPr>
          <w:rFonts w:ascii="Arial" w:hAnsi="Arial" w:cs="Arial"/>
        </w:rPr>
        <w:t> (pp. 343-360). Singapore: Springer Nature Singapore.</w:t>
      </w:r>
    </w:p>
    <w:p w14:paraId="7C740419" w14:textId="77777777" w:rsidR="00480F42" w:rsidRPr="00480F42" w:rsidRDefault="00480F42" w:rsidP="00480F42">
      <w:pPr>
        <w:pStyle w:val="Body"/>
        <w:spacing w:after="0"/>
        <w:rPr>
          <w:rFonts w:ascii="Arial" w:hAnsi="Arial" w:cs="Arial"/>
        </w:rPr>
      </w:pPr>
      <w:r w:rsidRPr="00480F42">
        <w:rPr>
          <w:rFonts w:ascii="Arial" w:hAnsi="Arial" w:cs="Arial"/>
        </w:rPr>
        <w:t>Adeyi, A. O., Adams, F. A., &amp; Adenipekun, C. O. (2021). Pleurotus tuber-regium inclusion in diet ameliorates dyslipidaemia in obese-type 2 diabetic rats. </w:t>
      </w:r>
      <w:r w:rsidRPr="00480F42">
        <w:rPr>
          <w:rFonts w:ascii="Arial" w:hAnsi="Arial" w:cs="Arial"/>
          <w:i/>
          <w:iCs/>
        </w:rPr>
        <w:t>Clinical Phytoscience</w:t>
      </w:r>
      <w:r w:rsidRPr="00480F42">
        <w:rPr>
          <w:rFonts w:ascii="Arial" w:hAnsi="Arial" w:cs="Arial"/>
        </w:rPr>
        <w:t>, </w:t>
      </w:r>
      <w:r w:rsidRPr="00480F42">
        <w:rPr>
          <w:rFonts w:ascii="Arial" w:hAnsi="Arial" w:cs="Arial"/>
          <w:i/>
          <w:iCs/>
        </w:rPr>
        <w:t>7</w:t>
      </w:r>
      <w:r w:rsidRPr="00480F42">
        <w:rPr>
          <w:rFonts w:ascii="Arial" w:hAnsi="Arial" w:cs="Arial"/>
        </w:rPr>
        <w:t>, 1-14.</w:t>
      </w:r>
    </w:p>
    <w:p w14:paraId="09CE3323" w14:textId="77777777" w:rsidR="00480F42" w:rsidRPr="00480F42" w:rsidRDefault="00480F42" w:rsidP="00480F42">
      <w:pPr>
        <w:pStyle w:val="Body"/>
        <w:spacing w:after="0"/>
        <w:rPr>
          <w:rFonts w:ascii="Arial" w:hAnsi="Arial" w:cs="Arial"/>
        </w:rPr>
      </w:pPr>
      <w:r w:rsidRPr="00480F42">
        <w:rPr>
          <w:rFonts w:ascii="Arial" w:hAnsi="Arial" w:cs="Arial"/>
        </w:rPr>
        <w:t>Akbarzadeh, A., Norouzian, D., Mehrabi, M. R., Jamshidi, S. H., Farhangi, A., Verdi, A. A., ... &amp; Rad, B. L. (2007). Induction of diabetes by streptozotocin in rats. </w:t>
      </w:r>
      <w:r w:rsidRPr="00480F42">
        <w:rPr>
          <w:rFonts w:ascii="Arial" w:hAnsi="Arial" w:cs="Arial"/>
          <w:i/>
          <w:iCs/>
        </w:rPr>
        <w:t>Indian Journal of Clinical Biochemistry</w:t>
      </w:r>
      <w:r w:rsidRPr="00480F42">
        <w:rPr>
          <w:rFonts w:ascii="Arial" w:hAnsi="Arial" w:cs="Arial"/>
        </w:rPr>
        <w:t>, </w:t>
      </w:r>
      <w:r w:rsidRPr="00480F42">
        <w:rPr>
          <w:rFonts w:ascii="Arial" w:hAnsi="Arial" w:cs="Arial"/>
          <w:i/>
          <w:iCs/>
        </w:rPr>
        <w:t>22</w:t>
      </w:r>
      <w:r w:rsidRPr="00480F42">
        <w:rPr>
          <w:rFonts w:ascii="Arial" w:hAnsi="Arial" w:cs="Arial"/>
        </w:rPr>
        <w:t>, 60-64.</w:t>
      </w:r>
    </w:p>
    <w:p w14:paraId="468C8986" w14:textId="77777777" w:rsidR="00480F42" w:rsidRPr="00480F42" w:rsidRDefault="00480F42" w:rsidP="00480F42">
      <w:pPr>
        <w:pStyle w:val="Body"/>
        <w:spacing w:after="0"/>
        <w:rPr>
          <w:rFonts w:ascii="Arial" w:hAnsi="Arial" w:cs="Arial"/>
        </w:rPr>
      </w:pPr>
      <w:r w:rsidRPr="00480F42">
        <w:rPr>
          <w:rFonts w:ascii="Arial" w:hAnsi="Arial" w:cs="Arial"/>
        </w:rPr>
        <w:t>Alaribe, C. S., Lawal, M., Momoh, R., Idaholo, U., Mudabai, P., &amp; Adejare, A. A. (2018). Phytochemical and Toxicological Properties of Sclerotium from the Edible Fungus-Pleurotus tuber-regium: doi. org/10.26538/tjnpr/v2i5. 6. </w:t>
      </w:r>
      <w:r w:rsidRPr="00480F42">
        <w:rPr>
          <w:rFonts w:ascii="Arial" w:hAnsi="Arial" w:cs="Arial"/>
          <w:i/>
          <w:iCs/>
        </w:rPr>
        <w:t>Tropical Journal of Natural Product Research (TJNPR)</w:t>
      </w:r>
      <w:r w:rsidRPr="00480F42">
        <w:rPr>
          <w:rFonts w:ascii="Arial" w:hAnsi="Arial" w:cs="Arial"/>
        </w:rPr>
        <w:t>, </w:t>
      </w:r>
      <w:r w:rsidRPr="00480F42">
        <w:rPr>
          <w:rFonts w:ascii="Arial" w:hAnsi="Arial" w:cs="Arial"/>
          <w:i/>
          <w:iCs/>
        </w:rPr>
        <w:t>2</w:t>
      </w:r>
      <w:r w:rsidRPr="00480F42">
        <w:rPr>
          <w:rFonts w:ascii="Arial" w:hAnsi="Arial" w:cs="Arial"/>
        </w:rPr>
        <w:t>(5), 235-239.</w:t>
      </w:r>
    </w:p>
    <w:p w14:paraId="1884C248" w14:textId="77777777" w:rsidR="00480F42" w:rsidRPr="00480F42" w:rsidRDefault="00480F42" w:rsidP="00480F42">
      <w:pPr>
        <w:pStyle w:val="Body"/>
        <w:spacing w:after="0"/>
        <w:rPr>
          <w:rFonts w:ascii="Arial" w:hAnsi="Arial" w:cs="Arial"/>
        </w:rPr>
      </w:pPr>
      <w:r w:rsidRPr="00480F42">
        <w:rPr>
          <w:rFonts w:ascii="Arial" w:hAnsi="Arial" w:cs="Arial"/>
        </w:rPr>
        <w:t>Amara, A. A., &amp; El-Baky, N. A. (2023). Fungi as a source of edible proteins and animal feed. </w:t>
      </w:r>
      <w:r w:rsidRPr="00480F42">
        <w:rPr>
          <w:rFonts w:ascii="Arial" w:hAnsi="Arial" w:cs="Arial"/>
          <w:i/>
          <w:iCs/>
        </w:rPr>
        <w:t>Journal of Fungi</w:t>
      </w:r>
      <w:r w:rsidRPr="00480F42">
        <w:rPr>
          <w:rFonts w:ascii="Arial" w:hAnsi="Arial" w:cs="Arial"/>
        </w:rPr>
        <w:t>, </w:t>
      </w:r>
      <w:r w:rsidRPr="00480F42">
        <w:rPr>
          <w:rFonts w:ascii="Arial" w:hAnsi="Arial" w:cs="Arial"/>
          <w:i/>
          <w:iCs/>
        </w:rPr>
        <w:t>9</w:t>
      </w:r>
      <w:r w:rsidRPr="00480F42">
        <w:rPr>
          <w:rFonts w:ascii="Arial" w:hAnsi="Arial" w:cs="Arial"/>
        </w:rPr>
        <w:t>(1), 73.</w:t>
      </w:r>
    </w:p>
    <w:p w14:paraId="381E0D83" w14:textId="77777777" w:rsidR="00480F42" w:rsidRPr="00480F42" w:rsidRDefault="00480F42" w:rsidP="00480F42">
      <w:pPr>
        <w:pStyle w:val="Body"/>
        <w:spacing w:after="0"/>
        <w:rPr>
          <w:rFonts w:ascii="Arial" w:hAnsi="Arial" w:cs="Arial"/>
        </w:rPr>
      </w:pPr>
      <w:r w:rsidRPr="00480F42">
        <w:rPr>
          <w:rFonts w:ascii="Arial" w:hAnsi="Arial" w:cs="Arial"/>
        </w:rPr>
        <w:t>Asrafuzzaman, M., Rahman, M. M., Mandal, M., Marjuque, M., Bhowmik, A., Rokeya, B., ... &amp; Faruque, M. O. (2018). Oyster mushroom functions as an anti-hyperglycaemic through phosphorylation of AMPK and increased expression of GLUT4 in type 2 diabetic model rats. </w:t>
      </w:r>
      <w:r w:rsidRPr="00480F42">
        <w:rPr>
          <w:rFonts w:ascii="Arial" w:hAnsi="Arial" w:cs="Arial"/>
          <w:i/>
          <w:iCs/>
        </w:rPr>
        <w:t>Journal of Taibah University medical sciences</w:t>
      </w:r>
      <w:r w:rsidRPr="00480F42">
        <w:rPr>
          <w:rFonts w:ascii="Arial" w:hAnsi="Arial" w:cs="Arial"/>
        </w:rPr>
        <w:t>, </w:t>
      </w:r>
      <w:r w:rsidRPr="00480F42">
        <w:rPr>
          <w:rFonts w:ascii="Arial" w:hAnsi="Arial" w:cs="Arial"/>
          <w:i/>
          <w:iCs/>
        </w:rPr>
        <w:t>13</w:t>
      </w:r>
      <w:r w:rsidRPr="00480F42">
        <w:rPr>
          <w:rFonts w:ascii="Arial" w:hAnsi="Arial" w:cs="Arial"/>
        </w:rPr>
        <w:t>(5), 465-471.</w:t>
      </w:r>
    </w:p>
    <w:p w14:paraId="73F92DC2" w14:textId="77777777" w:rsidR="00480F42" w:rsidRPr="00480F42" w:rsidRDefault="00480F42" w:rsidP="00480F42">
      <w:pPr>
        <w:pStyle w:val="Body"/>
        <w:spacing w:after="0"/>
        <w:rPr>
          <w:rFonts w:ascii="Arial" w:hAnsi="Arial" w:cs="Arial"/>
        </w:rPr>
      </w:pPr>
      <w:r w:rsidRPr="00480F42">
        <w:rPr>
          <w:rFonts w:ascii="Arial" w:hAnsi="Arial" w:cs="Arial"/>
        </w:rPr>
        <w:t>Assemie, A., &amp; Abaya, G. (2022). The effect of edible mushroom on health and their biochemistry. </w:t>
      </w:r>
      <w:r w:rsidRPr="00480F42">
        <w:rPr>
          <w:rFonts w:ascii="Arial" w:hAnsi="Arial" w:cs="Arial"/>
          <w:i/>
          <w:iCs/>
        </w:rPr>
        <w:t>International journal of microbiology</w:t>
      </w:r>
      <w:r w:rsidRPr="00480F42">
        <w:rPr>
          <w:rFonts w:ascii="Arial" w:hAnsi="Arial" w:cs="Arial"/>
        </w:rPr>
        <w:t>, </w:t>
      </w:r>
      <w:r w:rsidRPr="00480F42">
        <w:rPr>
          <w:rFonts w:ascii="Arial" w:hAnsi="Arial" w:cs="Arial"/>
          <w:i/>
          <w:iCs/>
        </w:rPr>
        <w:t>2022</w:t>
      </w:r>
      <w:r w:rsidRPr="00480F42">
        <w:rPr>
          <w:rFonts w:ascii="Arial" w:hAnsi="Arial" w:cs="Arial"/>
        </w:rPr>
        <w:t>(1), 8744788.</w:t>
      </w:r>
    </w:p>
    <w:p w14:paraId="395D5D25" w14:textId="77777777" w:rsidR="00480F42" w:rsidRPr="00480F42" w:rsidRDefault="00480F42" w:rsidP="00480F42">
      <w:pPr>
        <w:pStyle w:val="Body"/>
        <w:spacing w:after="0"/>
        <w:rPr>
          <w:rFonts w:ascii="Arial" w:hAnsi="Arial" w:cs="Arial"/>
        </w:rPr>
      </w:pPr>
      <w:r w:rsidRPr="00480F42">
        <w:rPr>
          <w:rFonts w:ascii="Arial" w:hAnsi="Arial" w:cs="Arial"/>
        </w:rPr>
        <w:t>Aswathy, S., Shyamalagowri, S., Hari, S., Kanimozhi, M., Meenambiga, S. S., Thenmozhi, M., ... &amp; Manjunathan, J. (2024). Comparative studies on the cultivation, yield, and nutritive value of an edible mushroom, Pleurotus tuber-regium (Rumph. ex Fr.) Singer, grown under different agro waste substrates. </w:t>
      </w:r>
      <w:r w:rsidRPr="00480F42">
        <w:rPr>
          <w:rFonts w:ascii="Arial" w:hAnsi="Arial" w:cs="Arial"/>
          <w:i/>
          <w:iCs/>
        </w:rPr>
        <w:t>3 Biotech</w:t>
      </w:r>
      <w:r w:rsidRPr="00480F42">
        <w:rPr>
          <w:rFonts w:ascii="Arial" w:hAnsi="Arial" w:cs="Arial"/>
        </w:rPr>
        <w:t>, </w:t>
      </w:r>
      <w:r w:rsidRPr="00480F42">
        <w:rPr>
          <w:rFonts w:ascii="Arial" w:hAnsi="Arial" w:cs="Arial"/>
          <w:i/>
          <w:iCs/>
        </w:rPr>
        <w:t>14</w:t>
      </w:r>
      <w:r w:rsidRPr="00480F42">
        <w:rPr>
          <w:rFonts w:ascii="Arial" w:hAnsi="Arial" w:cs="Arial"/>
        </w:rPr>
        <w:t>(4), 123.</w:t>
      </w:r>
    </w:p>
    <w:p w14:paraId="4DCB1D0C" w14:textId="77777777" w:rsidR="00480F42" w:rsidRPr="00480F42" w:rsidRDefault="00480F42" w:rsidP="00480F42">
      <w:pPr>
        <w:pStyle w:val="Body"/>
        <w:spacing w:after="0"/>
        <w:rPr>
          <w:rFonts w:ascii="Arial" w:hAnsi="Arial" w:cs="Arial"/>
        </w:rPr>
      </w:pPr>
      <w:r w:rsidRPr="00480F42">
        <w:rPr>
          <w:rFonts w:ascii="Arial" w:hAnsi="Arial" w:cs="Arial"/>
        </w:rPr>
        <w:t>Bamigboye, C. O., Oloke, J. K., &amp; Dames, J. F. (2019). Development of high yielding strain of Pleurotus tuber-regium: fructification, nutritional and phylogenetic studies. </w:t>
      </w:r>
      <w:r w:rsidRPr="00480F42">
        <w:rPr>
          <w:rFonts w:ascii="Arial" w:hAnsi="Arial" w:cs="Arial"/>
          <w:i/>
          <w:iCs/>
        </w:rPr>
        <w:t>Journal of Food Science and Technology</w:t>
      </w:r>
      <w:r w:rsidRPr="00480F42">
        <w:rPr>
          <w:rFonts w:ascii="Arial" w:hAnsi="Arial" w:cs="Arial"/>
        </w:rPr>
        <w:t>, </w:t>
      </w:r>
      <w:r w:rsidRPr="00480F42">
        <w:rPr>
          <w:rFonts w:ascii="Arial" w:hAnsi="Arial" w:cs="Arial"/>
          <w:i/>
          <w:iCs/>
        </w:rPr>
        <w:t>56</w:t>
      </w:r>
      <w:r w:rsidRPr="00480F42">
        <w:rPr>
          <w:rFonts w:ascii="Arial" w:hAnsi="Arial" w:cs="Arial"/>
        </w:rPr>
        <w:t>(8), 3597-3608.</w:t>
      </w:r>
    </w:p>
    <w:p w14:paraId="04262F94" w14:textId="77777777" w:rsidR="00480F42" w:rsidRPr="00480F42" w:rsidRDefault="00480F42" w:rsidP="00480F42">
      <w:pPr>
        <w:pStyle w:val="Body"/>
        <w:spacing w:after="0"/>
        <w:rPr>
          <w:rFonts w:ascii="Arial" w:hAnsi="Arial" w:cs="Arial"/>
        </w:rPr>
      </w:pPr>
      <w:r w:rsidRPr="00480F42">
        <w:rPr>
          <w:rFonts w:ascii="Arial" w:hAnsi="Arial" w:cs="Arial"/>
        </w:rPr>
        <w:t>Basiri, R., Seidu, B., &amp; Cheskin, L. J. (2023). Key Nutrients for Optimal Blood Glucose Control and Mental Health in Individuals with Diabetes: A Review of the Evidence. </w:t>
      </w:r>
      <w:r w:rsidRPr="00480F42">
        <w:rPr>
          <w:rFonts w:ascii="Arial" w:hAnsi="Arial" w:cs="Arial"/>
          <w:i/>
          <w:iCs/>
        </w:rPr>
        <w:t>Nutrients</w:t>
      </w:r>
      <w:r w:rsidRPr="00480F42">
        <w:rPr>
          <w:rFonts w:ascii="Arial" w:hAnsi="Arial" w:cs="Arial"/>
        </w:rPr>
        <w:t>, </w:t>
      </w:r>
      <w:r w:rsidRPr="00480F42">
        <w:rPr>
          <w:rFonts w:ascii="Arial" w:hAnsi="Arial" w:cs="Arial"/>
          <w:i/>
          <w:iCs/>
        </w:rPr>
        <w:t>15</w:t>
      </w:r>
      <w:r w:rsidRPr="00480F42">
        <w:rPr>
          <w:rFonts w:ascii="Arial" w:hAnsi="Arial" w:cs="Arial"/>
        </w:rPr>
        <w:t>(18), 3929. Basiri, R., Seidu, B., &amp; Cheskin, L. J. (2023). Key Nutrients for Optimal Blood Glucose Control and Mental Health in Individuals with Diabetes: A Review of the Evidence. </w:t>
      </w:r>
      <w:r w:rsidRPr="00480F42">
        <w:rPr>
          <w:rFonts w:ascii="Arial" w:hAnsi="Arial" w:cs="Arial"/>
          <w:i/>
          <w:iCs/>
        </w:rPr>
        <w:t>Nutrients</w:t>
      </w:r>
      <w:r w:rsidRPr="00480F42">
        <w:rPr>
          <w:rFonts w:ascii="Arial" w:hAnsi="Arial" w:cs="Arial"/>
        </w:rPr>
        <w:t>, </w:t>
      </w:r>
      <w:r w:rsidRPr="00480F42">
        <w:rPr>
          <w:rFonts w:ascii="Arial" w:hAnsi="Arial" w:cs="Arial"/>
          <w:i/>
          <w:iCs/>
        </w:rPr>
        <w:t>15</w:t>
      </w:r>
      <w:r w:rsidRPr="00480F42">
        <w:rPr>
          <w:rFonts w:ascii="Arial" w:hAnsi="Arial" w:cs="Arial"/>
        </w:rPr>
        <w:t>(18), 3929.</w:t>
      </w:r>
    </w:p>
    <w:p w14:paraId="47FBE88D" w14:textId="77777777" w:rsidR="00480F42" w:rsidRPr="00480F42" w:rsidRDefault="00480F42" w:rsidP="00480F42">
      <w:pPr>
        <w:pStyle w:val="Body"/>
        <w:spacing w:after="0"/>
        <w:rPr>
          <w:rFonts w:ascii="Arial" w:hAnsi="Arial" w:cs="Arial"/>
        </w:rPr>
      </w:pPr>
      <w:r w:rsidRPr="00480F42">
        <w:rPr>
          <w:rFonts w:ascii="Arial" w:hAnsi="Arial" w:cs="Arial"/>
        </w:rPr>
        <w:t>Bell, V., Silva, C. R. P. G., Guina, J., &amp; Fernandes, T. H. (2022). Mushrooms as future generation healthy foods. </w:t>
      </w:r>
      <w:r w:rsidRPr="00480F42">
        <w:rPr>
          <w:rFonts w:ascii="Arial" w:hAnsi="Arial" w:cs="Arial"/>
          <w:i/>
          <w:iCs/>
        </w:rPr>
        <w:t>Frontiers in Nutrition</w:t>
      </w:r>
      <w:r w:rsidRPr="00480F42">
        <w:rPr>
          <w:rFonts w:ascii="Arial" w:hAnsi="Arial" w:cs="Arial"/>
        </w:rPr>
        <w:t>, </w:t>
      </w:r>
      <w:r w:rsidRPr="00480F42">
        <w:rPr>
          <w:rFonts w:ascii="Arial" w:hAnsi="Arial" w:cs="Arial"/>
          <w:i/>
          <w:iCs/>
        </w:rPr>
        <w:t>9</w:t>
      </w:r>
      <w:r w:rsidRPr="00480F42">
        <w:rPr>
          <w:rFonts w:ascii="Arial" w:hAnsi="Arial" w:cs="Arial"/>
        </w:rPr>
        <w:t>, 1050099.</w:t>
      </w:r>
    </w:p>
    <w:p w14:paraId="2615545F" w14:textId="77777777" w:rsidR="00480F42" w:rsidRPr="00480F42" w:rsidRDefault="00480F42" w:rsidP="00480F42">
      <w:pPr>
        <w:pStyle w:val="Body"/>
        <w:spacing w:after="0"/>
        <w:rPr>
          <w:rFonts w:ascii="Arial" w:hAnsi="Arial" w:cs="Arial"/>
        </w:rPr>
      </w:pPr>
      <w:r w:rsidRPr="00480F42">
        <w:rPr>
          <w:rFonts w:ascii="Arial" w:hAnsi="Arial" w:cs="Arial"/>
        </w:rPr>
        <w:t>Boa, E. R. (2004). Wild edible fungi: a global overview of their use and importance to people.</w:t>
      </w:r>
    </w:p>
    <w:p w14:paraId="1B52909D" w14:textId="77777777" w:rsidR="00480F42" w:rsidRPr="00480F42" w:rsidRDefault="00480F42" w:rsidP="00480F42">
      <w:pPr>
        <w:pStyle w:val="Body"/>
        <w:spacing w:after="0"/>
        <w:rPr>
          <w:rFonts w:ascii="Arial" w:hAnsi="Arial" w:cs="Arial"/>
        </w:rPr>
      </w:pPr>
      <w:r w:rsidRPr="00480F42">
        <w:rPr>
          <w:rFonts w:ascii="Arial" w:hAnsi="Arial" w:cs="Arial"/>
        </w:rPr>
        <w:t>Brecht, P., Dring, J. C., Yanez, F., Styczeń, A., Mertowska, P., Mertowski, S., &amp; Grywalska, E. (2023). How do minerals, vitamins, and intestinal microbiota affect the development and progression of heart disease in adult and pediatric patients?. </w:t>
      </w:r>
      <w:r w:rsidRPr="00480F42">
        <w:rPr>
          <w:rFonts w:ascii="Arial" w:hAnsi="Arial" w:cs="Arial"/>
          <w:i/>
          <w:iCs/>
        </w:rPr>
        <w:t>Nutrients</w:t>
      </w:r>
      <w:r w:rsidRPr="00480F42">
        <w:rPr>
          <w:rFonts w:ascii="Arial" w:hAnsi="Arial" w:cs="Arial"/>
        </w:rPr>
        <w:t>, </w:t>
      </w:r>
      <w:r w:rsidRPr="00480F42">
        <w:rPr>
          <w:rFonts w:ascii="Arial" w:hAnsi="Arial" w:cs="Arial"/>
          <w:i/>
          <w:iCs/>
        </w:rPr>
        <w:t>15</w:t>
      </w:r>
      <w:r w:rsidRPr="00480F42">
        <w:rPr>
          <w:rFonts w:ascii="Arial" w:hAnsi="Arial" w:cs="Arial"/>
        </w:rPr>
        <w:t>(14), 3264.</w:t>
      </w:r>
    </w:p>
    <w:p w14:paraId="4982912E" w14:textId="77777777" w:rsidR="00480F42" w:rsidRPr="00480F42" w:rsidRDefault="00480F42" w:rsidP="00480F42">
      <w:pPr>
        <w:pStyle w:val="Body"/>
        <w:spacing w:after="0"/>
        <w:rPr>
          <w:rFonts w:ascii="Arial" w:hAnsi="Arial" w:cs="Arial"/>
        </w:rPr>
      </w:pPr>
      <w:r w:rsidRPr="00480F42">
        <w:rPr>
          <w:rFonts w:ascii="Arial" w:hAnsi="Arial" w:cs="Arial"/>
        </w:rPr>
        <w:t>Bu, T., Sun, Z., Pan, Y., Deng, X., &amp; Yuan, G. (2024). Glucagon-like peptide-1: new regulator in lipid metabolism. </w:t>
      </w:r>
      <w:r w:rsidRPr="00480F42">
        <w:rPr>
          <w:rFonts w:ascii="Arial" w:hAnsi="Arial" w:cs="Arial"/>
          <w:i/>
          <w:iCs/>
        </w:rPr>
        <w:t>Diabetes &amp; Metabolism Journal</w:t>
      </w:r>
      <w:r w:rsidRPr="00480F42">
        <w:rPr>
          <w:rFonts w:ascii="Arial" w:hAnsi="Arial" w:cs="Arial"/>
        </w:rPr>
        <w:t>, </w:t>
      </w:r>
      <w:r w:rsidRPr="00480F42">
        <w:rPr>
          <w:rFonts w:ascii="Arial" w:hAnsi="Arial" w:cs="Arial"/>
          <w:i/>
          <w:iCs/>
        </w:rPr>
        <w:t>48</w:t>
      </w:r>
      <w:r w:rsidRPr="00480F42">
        <w:rPr>
          <w:rFonts w:ascii="Arial" w:hAnsi="Arial" w:cs="Arial"/>
        </w:rPr>
        <w:t>(3), 354-372.</w:t>
      </w:r>
    </w:p>
    <w:p w14:paraId="310869C1" w14:textId="77777777" w:rsidR="00480F42" w:rsidRPr="00480F42" w:rsidRDefault="00480F42" w:rsidP="00480F42">
      <w:pPr>
        <w:pStyle w:val="Body"/>
        <w:spacing w:after="0"/>
        <w:rPr>
          <w:rFonts w:ascii="Arial" w:hAnsi="Arial" w:cs="Arial"/>
        </w:rPr>
      </w:pPr>
      <w:r w:rsidRPr="00480F42">
        <w:rPr>
          <w:rFonts w:ascii="Arial" w:hAnsi="Arial" w:cs="Arial"/>
        </w:rPr>
        <w:t>Butterworth, P. J., Warren, F. J., &amp; Ellis, P. R. (2011). Human α</w:t>
      </w:r>
      <w:r w:rsidRPr="00480F42">
        <w:rPr>
          <w:rFonts w:ascii="Cambria Math" w:hAnsi="Cambria Math" w:cs="Cambria Math"/>
        </w:rPr>
        <w:t>‐</w:t>
      </w:r>
      <w:r w:rsidRPr="00480F42">
        <w:rPr>
          <w:rFonts w:ascii="Arial" w:hAnsi="Arial" w:cs="Arial"/>
        </w:rPr>
        <w:t>amylase and starch digestion: An interesting marriage. </w:t>
      </w:r>
      <w:r w:rsidRPr="00480F42">
        <w:rPr>
          <w:rFonts w:ascii="Arial" w:hAnsi="Arial" w:cs="Arial"/>
          <w:i/>
          <w:iCs/>
        </w:rPr>
        <w:t>Starch</w:t>
      </w:r>
      <w:r w:rsidRPr="00480F42">
        <w:rPr>
          <w:rFonts w:ascii="Cambria Math" w:hAnsi="Cambria Math" w:cs="Cambria Math"/>
          <w:i/>
          <w:iCs/>
        </w:rPr>
        <w:t>‐</w:t>
      </w:r>
      <w:r w:rsidRPr="00480F42">
        <w:rPr>
          <w:rFonts w:ascii="Arial" w:hAnsi="Arial" w:cs="Arial"/>
          <w:i/>
          <w:iCs/>
        </w:rPr>
        <w:t>Stärke</w:t>
      </w:r>
      <w:r w:rsidRPr="00480F42">
        <w:rPr>
          <w:rFonts w:ascii="Arial" w:hAnsi="Arial" w:cs="Arial"/>
        </w:rPr>
        <w:t>, </w:t>
      </w:r>
      <w:r w:rsidRPr="00480F42">
        <w:rPr>
          <w:rFonts w:ascii="Arial" w:hAnsi="Arial" w:cs="Arial"/>
          <w:i/>
          <w:iCs/>
        </w:rPr>
        <w:t>63</w:t>
      </w:r>
      <w:r w:rsidRPr="00480F42">
        <w:rPr>
          <w:rFonts w:ascii="Arial" w:hAnsi="Arial" w:cs="Arial"/>
        </w:rPr>
        <w:t>(7), 395-405.</w:t>
      </w:r>
    </w:p>
    <w:p w14:paraId="2ACDD500" w14:textId="77777777" w:rsidR="00480F42" w:rsidRPr="00480F42" w:rsidRDefault="00480F42" w:rsidP="00480F42">
      <w:pPr>
        <w:pStyle w:val="Body"/>
        <w:spacing w:after="0"/>
        <w:rPr>
          <w:rFonts w:ascii="Arial" w:hAnsi="Arial" w:cs="Arial"/>
        </w:rPr>
      </w:pPr>
      <w:r w:rsidRPr="00480F42">
        <w:rPr>
          <w:rFonts w:ascii="Arial" w:hAnsi="Arial" w:cs="Arial"/>
        </w:rPr>
        <w:t>Carrasco, J., Zied, D. C., Navarro, M. J., Gea, F. J., &amp; Pardo-Giménez, A. (2021). Commercial cultivation techniques of mushrooms. In </w:t>
      </w:r>
      <w:r w:rsidRPr="00480F42">
        <w:rPr>
          <w:rFonts w:ascii="Arial" w:hAnsi="Arial" w:cs="Arial"/>
          <w:i/>
          <w:iCs/>
        </w:rPr>
        <w:t>Advances in Macrofungi</w:t>
      </w:r>
      <w:r w:rsidRPr="00480F42">
        <w:rPr>
          <w:rFonts w:ascii="Arial" w:hAnsi="Arial" w:cs="Arial"/>
        </w:rPr>
        <w:t> (pp. 11-40). CRC Press.</w:t>
      </w:r>
    </w:p>
    <w:p w14:paraId="35712A35" w14:textId="77777777" w:rsidR="00480F42" w:rsidRPr="00480F42" w:rsidRDefault="00480F42" w:rsidP="00480F42">
      <w:pPr>
        <w:pStyle w:val="Body"/>
        <w:spacing w:after="0"/>
        <w:rPr>
          <w:rFonts w:ascii="Arial" w:hAnsi="Arial" w:cs="Arial"/>
        </w:rPr>
      </w:pPr>
      <w:r w:rsidRPr="00480F42">
        <w:rPr>
          <w:rFonts w:ascii="Arial" w:hAnsi="Arial" w:cs="Arial"/>
        </w:rPr>
        <w:t>Case, N. T., Berman, J., Blehert, D. S., Cramer, R. A., Cuomo, C., Currie, C. R., ... &amp; Cowen, L. E. (2022). The future of fungi: threats and opportunities.</w:t>
      </w:r>
    </w:p>
    <w:p w14:paraId="516CF87D" w14:textId="77777777" w:rsidR="00480F42" w:rsidRPr="00480F42" w:rsidRDefault="00480F42" w:rsidP="00480F42">
      <w:pPr>
        <w:pStyle w:val="Body"/>
        <w:spacing w:after="0"/>
        <w:rPr>
          <w:rFonts w:ascii="Arial" w:hAnsi="Arial" w:cs="Arial"/>
        </w:rPr>
      </w:pPr>
      <w:r w:rsidRPr="00480F42">
        <w:rPr>
          <w:rFonts w:ascii="Arial" w:hAnsi="Arial" w:cs="Arial"/>
        </w:rPr>
        <w:lastRenderedPageBreak/>
        <w:t>Chen, L., &amp; Cheung, P. C. (2014). Mushroom dietary fiber from the fruiting body of Pleurotus tuber-regium: fractionation and structural elucidation of nondigestible cell wall components. </w:t>
      </w:r>
      <w:r w:rsidRPr="00480F42">
        <w:rPr>
          <w:rFonts w:ascii="Arial" w:hAnsi="Arial" w:cs="Arial"/>
          <w:i/>
          <w:iCs/>
        </w:rPr>
        <w:t>Journal of agricultural and food chemistry</w:t>
      </w:r>
      <w:r w:rsidRPr="00480F42">
        <w:rPr>
          <w:rFonts w:ascii="Arial" w:hAnsi="Arial" w:cs="Arial"/>
        </w:rPr>
        <w:t>, </w:t>
      </w:r>
      <w:r w:rsidRPr="00480F42">
        <w:rPr>
          <w:rFonts w:ascii="Arial" w:hAnsi="Arial" w:cs="Arial"/>
          <w:i/>
          <w:iCs/>
        </w:rPr>
        <w:t>62</w:t>
      </w:r>
      <w:r w:rsidRPr="00480F42">
        <w:rPr>
          <w:rFonts w:ascii="Arial" w:hAnsi="Arial" w:cs="Arial"/>
        </w:rPr>
        <w:t>(13), 2891-2899.</w:t>
      </w:r>
    </w:p>
    <w:p w14:paraId="5C85A6F4" w14:textId="77777777" w:rsidR="00480F42" w:rsidRPr="00480F42" w:rsidRDefault="00480F42" w:rsidP="00480F42">
      <w:pPr>
        <w:pStyle w:val="Body"/>
        <w:spacing w:after="0"/>
        <w:rPr>
          <w:rFonts w:ascii="Arial" w:hAnsi="Arial" w:cs="Arial"/>
        </w:rPr>
      </w:pPr>
      <w:r w:rsidRPr="00480F42">
        <w:rPr>
          <w:rFonts w:ascii="Arial" w:hAnsi="Arial" w:cs="Arial"/>
        </w:rPr>
        <w:t>Debnath, G., Das, P., &amp; Saha, A. K. (2020). Characterization, antimicrobial and α-amylase inhibitory activity of silver nanoparticles synthesized by using mushroom extract of lentinus tuber-regium. </w:t>
      </w:r>
      <w:r w:rsidRPr="00480F42">
        <w:rPr>
          <w:rFonts w:ascii="Arial" w:hAnsi="Arial" w:cs="Arial"/>
          <w:i/>
          <w:iCs/>
        </w:rPr>
        <w:t>Proceedings of the National Academy of Sciences, India Section B: Biological Sciences</w:t>
      </w:r>
      <w:r w:rsidRPr="00480F42">
        <w:rPr>
          <w:rFonts w:ascii="Arial" w:hAnsi="Arial" w:cs="Arial"/>
        </w:rPr>
        <w:t>, </w:t>
      </w:r>
      <w:r w:rsidRPr="00480F42">
        <w:rPr>
          <w:rFonts w:ascii="Arial" w:hAnsi="Arial" w:cs="Arial"/>
          <w:i/>
          <w:iCs/>
        </w:rPr>
        <w:t>90</w:t>
      </w:r>
      <w:r w:rsidRPr="00480F42">
        <w:rPr>
          <w:rFonts w:ascii="Arial" w:hAnsi="Arial" w:cs="Arial"/>
        </w:rPr>
        <w:t>, 37-45.</w:t>
      </w:r>
    </w:p>
    <w:p w14:paraId="0E62CCCA" w14:textId="77777777" w:rsidR="00480F42" w:rsidRPr="00480F42" w:rsidRDefault="00480F42" w:rsidP="00480F42">
      <w:pPr>
        <w:pStyle w:val="Body"/>
        <w:spacing w:after="0"/>
        <w:rPr>
          <w:rFonts w:ascii="Arial" w:hAnsi="Arial" w:cs="Arial"/>
        </w:rPr>
      </w:pPr>
      <w:r w:rsidRPr="00480F42">
        <w:rPr>
          <w:rFonts w:ascii="Arial" w:hAnsi="Arial" w:cs="Arial"/>
        </w:rPr>
        <w:t>Ekute, B. O., &amp; Nwokocha, L. M. (2021). Nutritive value of the sclerotia of Pleurotus tuberregium: a mushroom. </w:t>
      </w:r>
      <w:r w:rsidRPr="00480F42">
        <w:rPr>
          <w:rFonts w:ascii="Arial" w:hAnsi="Arial" w:cs="Arial"/>
          <w:i/>
          <w:iCs/>
        </w:rPr>
        <w:t>Science World Journal</w:t>
      </w:r>
      <w:r w:rsidRPr="00480F42">
        <w:rPr>
          <w:rFonts w:ascii="Arial" w:hAnsi="Arial" w:cs="Arial"/>
        </w:rPr>
        <w:t>, </w:t>
      </w:r>
      <w:r w:rsidRPr="00480F42">
        <w:rPr>
          <w:rFonts w:ascii="Arial" w:hAnsi="Arial" w:cs="Arial"/>
          <w:i/>
          <w:iCs/>
        </w:rPr>
        <w:t>16</w:t>
      </w:r>
      <w:r w:rsidRPr="00480F42">
        <w:rPr>
          <w:rFonts w:ascii="Arial" w:hAnsi="Arial" w:cs="Arial"/>
        </w:rPr>
        <w:t>(3), 256-258.</w:t>
      </w:r>
    </w:p>
    <w:p w14:paraId="7F57154E" w14:textId="77777777" w:rsidR="00480F42" w:rsidRPr="00480F42" w:rsidRDefault="00480F42" w:rsidP="00480F42">
      <w:pPr>
        <w:pStyle w:val="Body"/>
        <w:spacing w:after="0"/>
        <w:rPr>
          <w:rFonts w:ascii="Arial" w:hAnsi="Arial" w:cs="Arial"/>
        </w:rPr>
      </w:pPr>
      <w:r w:rsidRPr="00480F42">
        <w:rPr>
          <w:rFonts w:ascii="Arial" w:hAnsi="Arial" w:cs="Arial"/>
        </w:rPr>
        <w:t>El-Ramady, H., Abdalla, N., Badgar, K., Llanaj, X., Törős, G., Hajdú, P., ... &amp; Prokisch, J. (2022). Edible mushrooms for sustainable and healthy human food: nutritional and medicinal attributes. </w:t>
      </w:r>
      <w:r w:rsidRPr="00480F42">
        <w:rPr>
          <w:rFonts w:ascii="Arial" w:hAnsi="Arial" w:cs="Arial"/>
          <w:i/>
          <w:iCs/>
        </w:rPr>
        <w:t>Sustainability</w:t>
      </w:r>
      <w:r w:rsidRPr="00480F42">
        <w:rPr>
          <w:rFonts w:ascii="Arial" w:hAnsi="Arial" w:cs="Arial"/>
        </w:rPr>
        <w:t>, </w:t>
      </w:r>
      <w:r w:rsidRPr="00480F42">
        <w:rPr>
          <w:rFonts w:ascii="Arial" w:hAnsi="Arial" w:cs="Arial"/>
          <w:i/>
          <w:iCs/>
        </w:rPr>
        <w:t>14</w:t>
      </w:r>
      <w:r w:rsidRPr="00480F42">
        <w:rPr>
          <w:rFonts w:ascii="Arial" w:hAnsi="Arial" w:cs="Arial"/>
        </w:rPr>
        <w:t>(9), 4941.</w:t>
      </w:r>
    </w:p>
    <w:p w14:paraId="4AD94CD1" w14:textId="77777777" w:rsidR="00480F42" w:rsidRPr="00480F42" w:rsidRDefault="00480F42" w:rsidP="00480F42">
      <w:pPr>
        <w:pStyle w:val="Body"/>
        <w:rPr>
          <w:rFonts w:ascii="Arial" w:hAnsi="Arial" w:cs="Arial"/>
        </w:rPr>
      </w:pPr>
      <w:r w:rsidRPr="00480F42">
        <w:rPr>
          <w:rFonts w:ascii="Arial" w:hAnsi="Arial" w:cs="Arial"/>
        </w:rPr>
        <w:t>EPA METHOD 200.7 DETERMINATION OF METALS AND TRACE ELEMENTS IN WATER AND WASTES BY ICP-OES.</w:t>
      </w:r>
    </w:p>
    <w:p w14:paraId="0D64D4F5" w14:textId="77777777" w:rsidR="00480F42" w:rsidRPr="00480F42" w:rsidRDefault="00480F42" w:rsidP="00480F42">
      <w:pPr>
        <w:pStyle w:val="Body"/>
        <w:spacing w:after="0"/>
        <w:rPr>
          <w:rFonts w:ascii="Arial" w:hAnsi="Arial" w:cs="Arial"/>
        </w:rPr>
      </w:pPr>
      <w:r w:rsidRPr="00480F42">
        <w:rPr>
          <w:rFonts w:ascii="Arial" w:hAnsi="Arial" w:cs="Arial"/>
        </w:rPr>
        <w:t>Femlak, M., Gluba-Brzózka, A., Ciałkowska-Rysz, A., &amp; Rysz, J. (2017). The role and function of HDL in patients with diabetes mellitus and the related cardiovascular risk. </w:t>
      </w:r>
      <w:r w:rsidRPr="00480F42">
        <w:rPr>
          <w:rFonts w:ascii="Arial" w:hAnsi="Arial" w:cs="Arial"/>
          <w:i/>
          <w:iCs/>
        </w:rPr>
        <w:t>Lipids in health and disease</w:t>
      </w:r>
      <w:r w:rsidRPr="00480F42">
        <w:rPr>
          <w:rFonts w:ascii="Arial" w:hAnsi="Arial" w:cs="Arial"/>
        </w:rPr>
        <w:t>, </w:t>
      </w:r>
      <w:r w:rsidRPr="00480F42">
        <w:rPr>
          <w:rFonts w:ascii="Arial" w:hAnsi="Arial" w:cs="Arial"/>
          <w:i/>
          <w:iCs/>
        </w:rPr>
        <w:t>16</w:t>
      </w:r>
      <w:r w:rsidRPr="00480F42">
        <w:rPr>
          <w:rFonts w:ascii="Arial" w:hAnsi="Arial" w:cs="Arial"/>
        </w:rPr>
        <w:t>, 1-9.</w:t>
      </w:r>
    </w:p>
    <w:p w14:paraId="704A651C" w14:textId="77777777" w:rsidR="00480F42" w:rsidRPr="00480F42" w:rsidRDefault="00480F42" w:rsidP="00480F42">
      <w:pPr>
        <w:pStyle w:val="Body"/>
        <w:spacing w:after="0"/>
        <w:rPr>
          <w:rFonts w:ascii="Arial" w:hAnsi="Arial" w:cs="Arial"/>
        </w:rPr>
      </w:pPr>
      <w:r w:rsidRPr="00480F42">
        <w:rPr>
          <w:rFonts w:ascii="Arial" w:hAnsi="Arial" w:cs="Arial"/>
        </w:rPr>
        <w:t xml:space="preserve">Food and Agriculture Organization of the United Nations. (2023). </w:t>
      </w:r>
      <w:r w:rsidRPr="00480F42">
        <w:rPr>
          <w:rFonts w:ascii="Arial" w:hAnsi="Arial" w:cs="Arial"/>
          <w:i/>
          <w:iCs/>
        </w:rPr>
        <w:t>Codex nutrient reference values</w:t>
      </w:r>
      <w:r w:rsidRPr="00480F42">
        <w:rPr>
          <w:rFonts w:ascii="Arial" w:hAnsi="Arial" w:cs="Arial"/>
        </w:rPr>
        <w:t xml:space="preserve"> [Internet]. Retrieved from </w:t>
      </w:r>
      <w:hyperlink r:id="rId47" w:history="1">
        <w:r w:rsidRPr="00480F42">
          <w:rPr>
            <w:rStyle w:val="Hyperlink"/>
            <w:rFonts w:ascii="Arial" w:hAnsi="Arial" w:cs="Arial"/>
            <w:u w:val="none"/>
          </w:rPr>
          <w:t>https://www.fao.org/fao-who-codexalimentarius. Accessed on 14th may,2025</w:t>
        </w:r>
      </w:hyperlink>
      <w:r w:rsidRPr="00480F42">
        <w:rPr>
          <w:rFonts w:ascii="Arial" w:hAnsi="Arial" w:cs="Arial"/>
        </w:rPr>
        <w:t>.</w:t>
      </w:r>
    </w:p>
    <w:p w14:paraId="7115E685" w14:textId="77777777" w:rsidR="00480F42" w:rsidRPr="00480F42" w:rsidRDefault="00480F42" w:rsidP="00480F42">
      <w:pPr>
        <w:pStyle w:val="Body"/>
        <w:spacing w:after="0"/>
        <w:rPr>
          <w:rFonts w:ascii="Arial" w:hAnsi="Arial" w:cs="Arial"/>
        </w:rPr>
      </w:pPr>
      <w:r w:rsidRPr="00480F42">
        <w:rPr>
          <w:rFonts w:ascii="Arial" w:hAnsi="Arial" w:cs="Arial"/>
        </w:rPr>
        <w:t>Friedewald, W. T., Levy, R. I., &amp; Fredrickson, D. S. (1972). Estimation of the concentration of low-density lipoprotein cholesterol in plasma, without use of the preparative ultracentrifuge. </w:t>
      </w:r>
      <w:r w:rsidRPr="00480F42">
        <w:rPr>
          <w:rFonts w:ascii="Arial" w:hAnsi="Arial" w:cs="Arial"/>
          <w:i/>
          <w:iCs/>
        </w:rPr>
        <w:t>Clinical chemistry</w:t>
      </w:r>
      <w:r w:rsidRPr="00480F42">
        <w:rPr>
          <w:rFonts w:ascii="Arial" w:hAnsi="Arial" w:cs="Arial"/>
        </w:rPr>
        <w:t>, </w:t>
      </w:r>
      <w:r w:rsidRPr="00480F42">
        <w:rPr>
          <w:rFonts w:ascii="Arial" w:hAnsi="Arial" w:cs="Arial"/>
          <w:i/>
          <w:iCs/>
        </w:rPr>
        <w:t>18</w:t>
      </w:r>
      <w:r w:rsidRPr="00480F42">
        <w:rPr>
          <w:rFonts w:ascii="Arial" w:hAnsi="Arial" w:cs="Arial"/>
        </w:rPr>
        <w:t>(6), 499-502.</w:t>
      </w:r>
    </w:p>
    <w:p w14:paraId="70396630" w14:textId="77777777" w:rsidR="00480F42" w:rsidRPr="00480F42" w:rsidRDefault="00480F42" w:rsidP="00480F42">
      <w:pPr>
        <w:pStyle w:val="Body"/>
        <w:spacing w:after="0"/>
        <w:rPr>
          <w:rFonts w:ascii="Arial" w:hAnsi="Arial" w:cs="Arial"/>
        </w:rPr>
      </w:pPr>
      <w:r w:rsidRPr="00480F42">
        <w:rPr>
          <w:rFonts w:ascii="Arial" w:hAnsi="Arial" w:cs="Arial"/>
        </w:rPr>
        <w:t>Ganesan, K., &amp; Xu, B. (2019). Anti-diabetic effects and mechanisms of dietary polysaccharides. </w:t>
      </w:r>
      <w:r w:rsidRPr="00480F42">
        <w:rPr>
          <w:rFonts w:ascii="Arial" w:hAnsi="Arial" w:cs="Arial"/>
          <w:i/>
          <w:iCs/>
        </w:rPr>
        <w:t>Molecules</w:t>
      </w:r>
      <w:r w:rsidRPr="00480F42">
        <w:rPr>
          <w:rFonts w:ascii="Arial" w:hAnsi="Arial" w:cs="Arial"/>
        </w:rPr>
        <w:t>, </w:t>
      </w:r>
      <w:r w:rsidRPr="00480F42">
        <w:rPr>
          <w:rFonts w:ascii="Arial" w:hAnsi="Arial" w:cs="Arial"/>
          <w:i/>
          <w:iCs/>
        </w:rPr>
        <w:t>24</w:t>
      </w:r>
      <w:r w:rsidRPr="00480F42">
        <w:rPr>
          <w:rFonts w:ascii="Arial" w:hAnsi="Arial" w:cs="Arial"/>
        </w:rPr>
        <w:t>(14), 2556</w:t>
      </w:r>
    </w:p>
    <w:p w14:paraId="6512329A" w14:textId="77777777" w:rsidR="00480F42" w:rsidRPr="00480F42" w:rsidRDefault="00480F42" w:rsidP="00480F42">
      <w:pPr>
        <w:pStyle w:val="Body"/>
        <w:spacing w:after="0"/>
        <w:rPr>
          <w:rFonts w:ascii="Arial" w:hAnsi="Arial" w:cs="Arial"/>
        </w:rPr>
      </w:pPr>
      <w:r w:rsidRPr="00480F42">
        <w:rPr>
          <w:rFonts w:ascii="Arial" w:hAnsi="Arial" w:cs="Arial"/>
        </w:rPr>
        <w:t>Gebrie, A., Gnanasekaran, N., Menon, M., Sisay, M., &amp; Zegeye, A. (2018). Evaluation of lipid profiles and hematological parameters in hypertensive patients: Laboratory-based cross-sectional study. </w:t>
      </w:r>
      <w:r w:rsidRPr="00480F42">
        <w:rPr>
          <w:rFonts w:ascii="Arial" w:hAnsi="Arial" w:cs="Arial"/>
          <w:i/>
          <w:iCs/>
        </w:rPr>
        <w:t>SAGE open medicine</w:t>
      </w:r>
      <w:r w:rsidRPr="00480F42">
        <w:rPr>
          <w:rFonts w:ascii="Arial" w:hAnsi="Arial" w:cs="Arial"/>
        </w:rPr>
        <w:t>, </w:t>
      </w:r>
      <w:r w:rsidRPr="00480F42">
        <w:rPr>
          <w:rFonts w:ascii="Arial" w:hAnsi="Arial" w:cs="Arial"/>
          <w:i/>
          <w:iCs/>
        </w:rPr>
        <w:t>6</w:t>
      </w:r>
      <w:r w:rsidRPr="00480F42">
        <w:rPr>
          <w:rFonts w:ascii="Arial" w:hAnsi="Arial" w:cs="Arial"/>
        </w:rPr>
        <w:t>, 2050312118756663.</w:t>
      </w:r>
    </w:p>
    <w:p w14:paraId="062C1ED5" w14:textId="77777777" w:rsidR="00480F42" w:rsidRPr="00480F42" w:rsidRDefault="00480F42" w:rsidP="00480F42">
      <w:pPr>
        <w:pStyle w:val="Body"/>
        <w:spacing w:after="0"/>
        <w:rPr>
          <w:rFonts w:ascii="Arial" w:hAnsi="Arial" w:cs="Arial"/>
        </w:rPr>
      </w:pPr>
      <w:r w:rsidRPr="00480F42">
        <w:rPr>
          <w:rFonts w:ascii="Arial" w:hAnsi="Arial" w:cs="Arial"/>
        </w:rPr>
        <w:t>Ghafoor, A., &amp; Niazi, A. R. (2024). Pleurotus spp: an ultimate solution to the emerging calamities of the world. </w:t>
      </w:r>
      <w:r w:rsidRPr="00480F42">
        <w:rPr>
          <w:rFonts w:ascii="Arial" w:hAnsi="Arial" w:cs="Arial"/>
          <w:i/>
          <w:iCs/>
        </w:rPr>
        <w:t>New Zealand Journal of Botany</w:t>
      </w:r>
      <w:r w:rsidRPr="00480F42">
        <w:rPr>
          <w:rFonts w:ascii="Arial" w:hAnsi="Arial" w:cs="Arial"/>
        </w:rPr>
        <w:t>, 1-38.</w:t>
      </w:r>
    </w:p>
    <w:p w14:paraId="65A77F88" w14:textId="77777777" w:rsidR="00480F42" w:rsidRPr="00480F42" w:rsidRDefault="00480F42" w:rsidP="00480F42">
      <w:pPr>
        <w:pStyle w:val="Body"/>
        <w:spacing w:after="0"/>
        <w:rPr>
          <w:rFonts w:ascii="Arial" w:hAnsi="Arial" w:cs="Arial"/>
        </w:rPr>
      </w:pPr>
      <w:r w:rsidRPr="00480F42">
        <w:rPr>
          <w:rFonts w:ascii="Arial" w:hAnsi="Arial" w:cs="Arial"/>
        </w:rPr>
        <w:t>Gochhi, M., Kar, B., Pradhan, D., Halder, J., Dash, P., Das, C., ... &amp; Rath, G. (2024). A comprehensive review of edible mushrooms for the management of diabetes.</w:t>
      </w:r>
    </w:p>
    <w:p w14:paraId="65D48069" w14:textId="77777777" w:rsidR="00480F42" w:rsidRPr="00480F42" w:rsidRDefault="00480F42" w:rsidP="00480F42">
      <w:pPr>
        <w:pStyle w:val="Body"/>
        <w:spacing w:after="0"/>
        <w:rPr>
          <w:rFonts w:ascii="Arial" w:hAnsi="Arial" w:cs="Arial"/>
        </w:rPr>
      </w:pPr>
      <w:r w:rsidRPr="00480F42">
        <w:rPr>
          <w:rFonts w:ascii="Arial" w:hAnsi="Arial" w:cs="Arial"/>
        </w:rPr>
        <w:t>Huang, H. Y., Korivi, M., Chaing, Y. Y., Chien, T. Y., &amp; Tsai, Y. C. (2012). Pleurotus tuber-regium polysaccharides attenuate hyperglycemia and oxidative stress in experimental diabetic rats. </w:t>
      </w:r>
      <w:r w:rsidRPr="00480F42">
        <w:rPr>
          <w:rFonts w:ascii="Arial" w:hAnsi="Arial" w:cs="Arial"/>
          <w:i/>
          <w:iCs/>
        </w:rPr>
        <w:t>Evidence</w:t>
      </w:r>
      <w:r w:rsidRPr="00480F42">
        <w:rPr>
          <w:rFonts w:ascii="Cambria Math" w:hAnsi="Cambria Math" w:cs="Cambria Math"/>
          <w:i/>
          <w:iCs/>
        </w:rPr>
        <w:t>‐</w:t>
      </w:r>
      <w:r w:rsidRPr="00480F42">
        <w:rPr>
          <w:rFonts w:ascii="Arial" w:hAnsi="Arial" w:cs="Arial"/>
          <w:i/>
          <w:iCs/>
        </w:rPr>
        <w:t>Based Complementary and Alternative Medicine</w:t>
      </w:r>
      <w:r w:rsidRPr="00480F42">
        <w:rPr>
          <w:rFonts w:ascii="Arial" w:hAnsi="Arial" w:cs="Arial"/>
        </w:rPr>
        <w:t>, </w:t>
      </w:r>
      <w:r w:rsidRPr="00480F42">
        <w:rPr>
          <w:rFonts w:ascii="Arial" w:hAnsi="Arial" w:cs="Arial"/>
          <w:i/>
          <w:iCs/>
        </w:rPr>
        <w:t>2012</w:t>
      </w:r>
      <w:r w:rsidRPr="00480F42">
        <w:rPr>
          <w:rFonts w:ascii="Arial" w:hAnsi="Arial" w:cs="Arial"/>
        </w:rPr>
        <w:t>(1), 856381.</w:t>
      </w:r>
    </w:p>
    <w:p w14:paraId="244F2D97" w14:textId="77777777" w:rsidR="00480F42" w:rsidRPr="00480F42" w:rsidRDefault="00480F42" w:rsidP="00480F42">
      <w:pPr>
        <w:pStyle w:val="Body"/>
        <w:spacing w:after="0"/>
        <w:rPr>
          <w:rFonts w:ascii="Arial" w:hAnsi="Arial" w:cs="Arial"/>
        </w:rPr>
      </w:pPr>
      <w:r w:rsidRPr="00480F42">
        <w:rPr>
          <w:rFonts w:ascii="Arial" w:hAnsi="Arial" w:cs="Arial"/>
        </w:rPr>
        <w:t xml:space="preserve">Igbokwe, G. E., Nebo, T. L., Ezenwelu, C. O., Nwajiobi, O. J., &amp; Odili, C. L. (2015). Proximate Analysis and Mineral Composition of the Fruiting Body of </w:t>
      </w:r>
      <w:r w:rsidRPr="00480F42">
        <w:rPr>
          <w:rFonts w:ascii="Arial" w:hAnsi="Arial" w:cs="Arial"/>
          <w:i/>
          <w:iCs/>
        </w:rPr>
        <w:t>Pleurotus tuber-regium</w:t>
      </w:r>
      <w:r w:rsidRPr="00480F42">
        <w:rPr>
          <w:rFonts w:ascii="Arial" w:hAnsi="Arial" w:cs="Arial"/>
        </w:rPr>
        <w:t xml:space="preserve"> (Mushroom) Cultivars from South East Nigeria. </w:t>
      </w:r>
      <w:r w:rsidRPr="00480F42">
        <w:rPr>
          <w:rFonts w:ascii="Arial" w:hAnsi="Arial" w:cs="Arial"/>
          <w:i/>
          <w:iCs/>
        </w:rPr>
        <w:t>The Bioscientist Journal</w:t>
      </w:r>
      <w:r w:rsidRPr="00480F42">
        <w:rPr>
          <w:rFonts w:ascii="Arial" w:hAnsi="Arial" w:cs="Arial"/>
        </w:rPr>
        <w:t>, </w:t>
      </w:r>
      <w:r w:rsidRPr="00480F42">
        <w:rPr>
          <w:rFonts w:ascii="Arial" w:hAnsi="Arial" w:cs="Arial"/>
          <w:i/>
          <w:iCs/>
        </w:rPr>
        <w:t>3</w:t>
      </w:r>
      <w:r w:rsidRPr="00480F42">
        <w:rPr>
          <w:rFonts w:ascii="Arial" w:hAnsi="Arial" w:cs="Arial"/>
        </w:rPr>
        <w:t>(1), 88-92.</w:t>
      </w:r>
    </w:p>
    <w:p w14:paraId="0C94AD7C" w14:textId="77777777" w:rsidR="00480F42" w:rsidRPr="00480F42" w:rsidRDefault="00480F42" w:rsidP="00480F42">
      <w:pPr>
        <w:pStyle w:val="Body"/>
        <w:spacing w:after="0"/>
        <w:rPr>
          <w:rFonts w:ascii="Arial" w:hAnsi="Arial" w:cs="Arial"/>
        </w:rPr>
      </w:pPr>
      <w:r w:rsidRPr="00480F42">
        <w:rPr>
          <w:rFonts w:ascii="Arial" w:hAnsi="Arial" w:cs="Arial"/>
        </w:rPr>
        <w:t>Ijeh, I. I., Okwujiako, I. A., Nwosu, P. C., &amp; Nnodim, H. I. (2009). Phytochemical composition of Pleurotus tuber regium and effect of its dietary incorporation on body/organ weights and serum triacylglycerols in albino mice. </w:t>
      </w:r>
      <w:r w:rsidRPr="00480F42">
        <w:rPr>
          <w:rFonts w:ascii="Arial" w:hAnsi="Arial" w:cs="Arial"/>
          <w:i/>
          <w:iCs/>
        </w:rPr>
        <w:t>Journal of Medicinal Plants Research</w:t>
      </w:r>
      <w:r w:rsidRPr="00480F42">
        <w:rPr>
          <w:rFonts w:ascii="Arial" w:hAnsi="Arial" w:cs="Arial"/>
        </w:rPr>
        <w:t>, </w:t>
      </w:r>
      <w:r w:rsidRPr="00480F42">
        <w:rPr>
          <w:rFonts w:ascii="Arial" w:hAnsi="Arial" w:cs="Arial"/>
          <w:i/>
          <w:iCs/>
        </w:rPr>
        <w:t>3</w:t>
      </w:r>
      <w:r w:rsidRPr="00480F42">
        <w:rPr>
          <w:rFonts w:ascii="Arial" w:hAnsi="Arial" w:cs="Arial"/>
        </w:rPr>
        <w:t>(11), 939-943.</w:t>
      </w:r>
    </w:p>
    <w:p w14:paraId="3ED0274B" w14:textId="77777777" w:rsidR="00480F42" w:rsidRPr="00480F42" w:rsidRDefault="00480F42" w:rsidP="00480F42">
      <w:pPr>
        <w:pStyle w:val="Body"/>
        <w:spacing w:after="0"/>
        <w:rPr>
          <w:rFonts w:ascii="Arial" w:hAnsi="Arial" w:cs="Arial"/>
        </w:rPr>
      </w:pPr>
      <w:r w:rsidRPr="00480F42">
        <w:rPr>
          <w:rFonts w:ascii="Arial" w:hAnsi="Arial" w:cs="Arial"/>
        </w:rPr>
        <w:t>Jarald, E. E., Joshi, S. B., Jain, D. C., &amp; Edwin, S. (2013). Biochemical evaluation of the hypoglycemic effects of extract and fraction of Cassia fistula Linn. in alloxan-induced diabetic rats</w:t>
      </w:r>
      <w:r w:rsidRPr="00480F42">
        <w:rPr>
          <w:rFonts w:ascii="Arial" w:hAnsi="Arial" w:cs="Arial"/>
          <w:i/>
          <w:iCs/>
        </w:rPr>
        <w:t>. Indian journal of pharmaceutical sciences, 75(4), 427</w:t>
      </w:r>
      <w:r w:rsidRPr="00480F42">
        <w:rPr>
          <w:rFonts w:ascii="Arial" w:hAnsi="Arial" w:cs="Arial"/>
        </w:rPr>
        <w:t>.</w:t>
      </w:r>
    </w:p>
    <w:p w14:paraId="52803965" w14:textId="77777777" w:rsidR="00480F42" w:rsidRPr="00480F42" w:rsidRDefault="00480F42" w:rsidP="00480F42">
      <w:pPr>
        <w:pStyle w:val="Body"/>
        <w:spacing w:after="0"/>
        <w:rPr>
          <w:rFonts w:ascii="Arial" w:hAnsi="Arial" w:cs="Arial"/>
        </w:rPr>
      </w:pPr>
      <w:r w:rsidRPr="00480F42">
        <w:rPr>
          <w:rFonts w:ascii="Arial" w:hAnsi="Arial" w:cs="Arial"/>
        </w:rPr>
        <w:t>Jayachandran, M., Xiao, J., &amp; Xu, B. (2017). A critical review on health promoting benefits of edible mushrooms through gut microbiota. </w:t>
      </w:r>
      <w:r w:rsidRPr="00480F42">
        <w:rPr>
          <w:rFonts w:ascii="Arial" w:hAnsi="Arial" w:cs="Arial"/>
          <w:i/>
          <w:iCs/>
        </w:rPr>
        <w:t>International journal of molecular sciences</w:t>
      </w:r>
      <w:r w:rsidRPr="00480F42">
        <w:rPr>
          <w:rFonts w:ascii="Arial" w:hAnsi="Arial" w:cs="Arial"/>
        </w:rPr>
        <w:t>, </w:t>
      </w:r>
      <w:r w:rsidRPr="00480F42">
        <w:rPr>
          <w:rFonts w:ascii="Arial" w:hAnsi="Arial" w:cs="Arial"/>
          <w:i/>
          <w:iCs/>
        </w:rPr>
        <w:t>18</w:t>
      </w:r>
      <w:r w:rsidRPr="00480F42">
        <w:rPr>
          <w:rFonts w:ascii="Arial" w:hAnsi="Arial" w:cs="Arial"/>
        </w:rPr>
        <w:t>(9), 1934.</w:t>
      </w:r>
    </w:p>
    <w:p w14:paraId="1C26A6AB" w14:textId="77777777" w:rsidR="00480F42" w:rsidRPr="00480F42" w:rsidRDefault="00480F42" w:rsidP="00480F42">
      <w:pPr>
        <w:pStyle w:val="Body"/>
        <w:spacing w:after="0"/>
        <w:rPr>
          <w:rFonts w:ascii="Arial" w:hAnsi="Arial" w:cs="Arial"/>
        </w:rPr>
      </w:pPr>
      <w:r w:rsidRPr="00480F42">
        <w:rPr>
          <w:rFonts w:ascii="Arial" w:hAnsi="Arial" w:cs="Arial"/>
        </w:rPr>
        <w:t>Johnson Afolabi, F., Babafemi Babaniyi, R., Obagunwa, M., Onile, F. O., Ajagun, E. J., Oyedele, O. J., &amp; Adedayo Fasiku, S. (2024). Ethnomycology of Pleurotus tuber-regium and its use in food, medicine and bioremediation. </w:t>
      </w:r>
      <w:r w:rsidRPr="00480F42">
        <w:rPr>
          <w:rFonts w:ascii="Arial" w:hAnsi="Arial" w:cs="Arial"/>
          <w:i/>
          <w:iCs/>
        </w:rPr>
        <w:t>Botanica Lithuanica</w:t>
      </w:r>
      <w:r w:rsidRPr="00480F42">
        <w:rPr>
          <w:rFonts w:ascii="Arial" w:hAnsi="Arial" w:cs="Arial"/>
        </w:rPr>
        <w:t>, </w:t>
      </w:r>
      <w:r w:rsidRPr="00480F42">
        <w:rPr>
          <w:rFonts w:ascii="Arial" w:hAnsi="Arial" w:cs="Arial"/>
          <w:i/>
          <w:iCs/>
        </w:rPr>
        <w:t>30</w:t>
      </w:r>
      <w:r w:rsidRPr="00480F42">
        <w:rPr>
          <w:rFonts w:ascii="Arial" w:hAnsi="Arial" w:cs="Arial"/>
        </w:rPr>
        <w:t>(4).</w:t>
      </w:r>
    </w:p>
    <w:p w14:paraId="11D4B2D5" w14:textId="77777777" w:rsidR="00480F42" w:rsidRPr="00480F42" w:rsidRDefault="00480F42" w:rsidP="00480F42">
      <w:pPr>
        <w:pStyle w:val="Body"/>
        <w:spacing w:after="0"/>
        <w:rPr>
          <w:rFonts w:ascii="Arial" w:hAnsi="Arial" w:cs="Arial"/>
        </w:rPr>
      </w:pPr>
      <w:r w:rsidRPr="00480F42">
        <w:rPr>
          <w:rFonts w:ascii="Arial" w:hAnsi="Arial" w:cs="Arial"/>
        </w:rPr>
        <w:lastRenderedPageBreak/>
        <w:t>Kirk, G. R., White, J. S., McKie, L., Stevenson, M., Young, I., Clements, W. B., &amp; Rowlands, B. J. (2006). Combined antioxidant therapy reduces pain and improves quality of life in chronic pancreatitis. </w:t>
      </w:r>
      <w:r w:rsidRPr="00480F42">
        <w:rPr>
          <w:rFonts w:ascii="Arial" w:hAnsi="Arial" w:cs="Arial"/>
          <w:i/>
          <w:iCs/>
        </w:rPr>
        <w:t>Journal of gastrointestinal surgery</w:t>
      </w:r>
      <w:r w:rsidRPr="00480F42">
        <w:rPr>
          <w:rFonts w:ascii="Arial" w:hAnsi="Arial" w:cs="Arial"/>
        </w:rPr>
        <w:t>, </w:t>
      </w:r>
      <w:r w:rsidRPr="00480F42">
        <w:rPr>
          <w:rFonts w:ascii="Arial" w:hAnsi="Arial" w:cs="Arial"/>
          <w:i/>
          <w:iCs/>
        </w:rPr>
        <w:t>10</w:t>
      </w:r>
      <w:r w:rsidRPr="00480F42">
        <w:rPr>
          <w:rFonts w:ascii="Arial" w:hAnsi="Arial" w:cs="Arial"/>
        </w:rPr>
        <w:t>(4), 499-503.</w:t>
      </w:r>
    </w:p>
    <w:p w14:paraId="27DD5E83" w14:textId="77777777" w:rsidR="00480F42" w:rsidRPr="00480F42" w:rsidRDefault="00480F42" w:rsidP="00480F42">
      <w:pPr>
        <w:pStyle w:val="Body"/>
        <w:spacing w:after="0"/>
        <w:rPr>
          <w:rFonts w:ascii="Arial" w:hAnsi="Arial" w:cs="Arial"/>
        </w:rPr>
      </w:pPr>
      <w:r w:rsidRPr="00480F42">
        <w:rPr>
          <w:rFonts w:ascii="Arial" w:hAnsi="Arial" w:cs="Arial"/>
        </w:rPr>
        <w:t>Kobayashi, M., Akaki, J., Ninomiya, K., Yoshikawa, M., Muraoka, O., Morikawa, T., &amp; Odawara, M. (2021). Dose-dependent suppression of postprandial hyperglycemia and improvement of blood glucose parameters by Salacia chinensis extract: two randomized, double-blind, placebo-controlled studies. </w:t>
      </w:r>
      <w:r w:rsidRPr="00480F42">
        <w:rPr>
          <w:rFonts w:ascii="Arial" w:hAnsi="Arial" w:cs="Arial"/>
          <w:i/>
          <w:iCs/>
        </w:rPr>
        <w:t>Journal of Medicinal Food</w:t>
      </w:r>
      <w:r w:rsidRPr="00480F42">
        <w:rPr>
          <w:rFonts w:ascii="Arial" w:hAnsi="Arial" w:cs="Arial"/>
        </w:rPr>
        <w:t>, </w:t>
      </w:r>
      <w:r w:rsidRPr="00480F42">
        <w:rPr>
          <w:rFonts w:ascii="Arial" w:hAnsi="Arial" w:cs="Arial"/>
          <w:i/>
          <w:iCs/>
        </w:rPr>
        <w:t>24</w:t>
      </w:r>
      <w:r w:rsidRPr="00480F42">
        <w:rPr>
          <w:rFonts w:ascii="Arial" w:hAnsi="Arial" w:cs="Arial"/>
        </w:rPr>
        <w:t>(1), 10-17.</w:t>
      </w:r>
    </w:p>
    <w:p w14:paraId="727F85DA" w14:textId="77777777" w:rsidR="00480F42" w:rsidRPr="00480F42" w:rsidRDefault="00480F42" w:rsidP="00480F42">
      <w:pPr>
        <w:pStyle w:val="Body"/>
        <w:spacing w:after="0"/>
        <w:rPr>
          <w:rFonts w:ascii="Arial" w:hAnsi="Arial" w:cs="Arial"/>
        </w:rPr>
      </w:pPr>
      <w:r w:rsidRPr="00480F42">
        <w:rPr>
          <w:rFonts w:ascii="Arial" w:hAnsi="Arial" w:cs="Arial"/>
        </w:rPr>
        <w:t>Kolawole, F. L., Akinwande, B. A., ADE-OMOWAYE, B. O., Shakirah, O. A., &amp; Oyeyinka, S. A. (2021). Amino acid, phytochemicals, and antioxidant activities of gluten-free cookies from orange-fleshed sweet potato and Pleurotus tuber-regium sclerotium.</w:t>
      </w:r>
    </w:p>
    <w:p w14:paraId="213EFA3A" w14:textId="77777777" w:rsidR="00480F42" w:rsidRPr="00480F42" w:rsidRDefault="00480F42" w:rsidP="00480F42">
      <w:pPr>
        <w:pStyle w:val="Body"/>
        <w:spacing w:after="0"/>
        <w:rPr>
          <w:rFonts w:ascii="Arial" w:hAnsi="Arial" w:cs="Arial"/>
        </w:rPr>
      </w:pPr>
      <w:r w:rsidRPr="00480F42">
        <w:rPr>
          <w:rFonts w:ascii="Arial" w:hAnsi="Arial" w:cs="Arial"/>
        </w:rPr>
        <w:t>Kumar, S., &amp; Netam, B. (2022). Study of wild edible mushrooms for improving human health and livelihoods support in Bastar Plateau India. </w:t>
      </w:r>
      <w:r w:rsidRPr="00480F42">
        <w:rPr>
          <w:rFonts w:ascii="Arial" w:hAnsi="Arial" w:cs="Arial"/>
          <w:i/>
          <w:iCs/>
        </w:rPr>
        <w:t>Plant Archives (09725210)</w:t>
      </w:r>
      <w:r w:rsidRPr="00480F42">
        <w:rPr>
          <w:rFonts w:ascii="Arial" w:hAnsi="Arial" w:cs="Arial"/>
        </w:rPr>
        <w:t>, </w:t>
      </w:r>
      <w:r w:rsidRPr="00480F42">
        <w:rPr>
          <w:rFonts w:ascii="Arial" w:hAnsi="Arial" w:cs="Arial"/>
          <w:i/>
          <w:iCs/>
        </w:rPr>
        <w:t>22</w:t>
      </w:r>
      <w:r w:rsidRPr="00480F42">
        <w:rPr>
          <w:rFonts w:ascii="Arial" w:hAnsi="Arial" w:cs="Arial"/>
        </w:rPr>
        <w:t>(1).</w:t>
      </w:r>
    </w:p>
    <w:p w14:paraId="08124AA1" w14:textId="77777777" w:rsidR="00480F42" w:rsidRPr="00480F42" w:rsidRDefault="00480F42" w:rsidP="00480F42">
      <w:pPr>
        <w:pStyle w:val="Body"/>
        <w:spacing w:after="0"/>
        <w:rPr>
          <w:rFonts w:ascii="Arial" w:hAnsi="Arial" w:cs="Arial"/>
        </w:rPr>
      </w:pPr>
      <w:r w:rsidRPr="00480F42">
        <w:rPr>
          <w:rFonts w:ascii="Arial" w:hAnsi="Arial" w:cs="Arial"/>
        </w:rPr>
        <w:t>Lara-Arevalo, J. (2023). </w:t>
      </w:r>
      <w:r w:rsidRPr="00480F42">
        <w:rPr>
          <w:rFonts w:ascii="Arial" w:hAnsi="Arial" w:cs="Arial"/>
          <w:i/>
          <w:iCs/>
        </w:rPr>
        <w:t>Nutrient-Rich Foods in Western African Food Supply: Applying Nutrient Profiling Models to the FAO Food Composition Table for Western Africa (WAFCT 2019)</w:t>
      </w:r>
      <w:r w:rsidRPr="00480F42">
        <w:rPr>
          <w:rFonts w:ascii="Arial" w:hAnsi="Arial" w:cs="Arial"/>
        </w:rPr>
        <w:t>. University of Washington.</w:t>
      </w:r>
    </w:p>
    <w:p w14:paraId="40C5C7DF" w14:textId="77777777" w:rsidR="00480F42" w:rsidRPr="00480F42" w:rsidRDefault="00480F42" w:rsidP="00480F42">
      <w:pPr>
        <w:pStyle w:val="Body"/>
        <w:spacing w:after="0"/>
        <w:rPr>
          <w:rFonts w:ascii="Arial" w:hAnsi="Arial" w:cs="Arial"/>
        </w:rPr>
      </w:pPr>
      <w:r w:rsidRPr="00480F42">
        <w:rPr>
          <w:rFonts w:ascii="Arial" w:hAnsi="Arial" w:cs="Arial"/>
        </w:rPr>
        <w:t>Li, X., &amp; Cheung, P. C. K. (2019). Application of natural β-glucans as biocompatible functional nanomaterials. </w:t>
      </w:r>
      <w:r w:rsidRPr="00480F42">
        <w:rPr>
          <w:rFonts w:ascii="Arial" w:hAnsi="Arial" w:cs="Arial"/>
          <w:i/>
          <w:iCs/>
        </w:rPr>
        <w:t>Food Science and Human Wellness</w:t>
      </w:r>
      <w:r w:rsidRPr="00480F42">
        <w:rPr>
          <w:rFonts w:ascii="Arial" w:hAnsi="Arial" w:cs="Arial"/>
        </w:rPr>
        <w:t>, </w:t>
      </w:r>
      <w:r w:rsidRPr="00480F42">
        <w:rPr>
          <w:rFonts w:ascii="Arial" w:hAnsi="Arial" w:cs="Arial"/>
          <w:i/>
          <w:iCs/>
        </w:rPr>
        <w:t>8</w:t>
      </w:r>
      <w:r w:rsidRPr="00480F42">
        <w:rPr>
          <w:rFonts w:ascii="Arial" w:hAnsi="Arial" w:cs="Arial"/>
        </w:rPr>
        <w:t>(4), 315-319., P. C. K. (2019). Application of natural β-glucans as biocompatible functional nanomaterials. </w:t>
      </w:r>
      <w:r w:rsidRPr="00480F42">
        <w:rPr>
          <w:rFonts w:ascii="Arial" w:hAnsi="Arial" w:cs="Arial"/>
          <w:i/>
          <w:iCs/>
        </w:rPr>
        <w:t>Food Science and Human Wellness</w:t>
      </w:r>
      <w:r w:rsidRPr="00480F42">
        <w:rPr>
          <w:rFonts w:ascii="Arial" w:hAnsi="Arial" w:cs="Arial"/>
        </w:rPr>
        <w:t>, </w:t>
      </w:r>
      <w:r w:rsidRPr="00480F42">
        <w:rPr>
          <w:rFonts w:ascii="Arial" w:hAnsi="Arial" w:cs="Arial"/>
          <w:i/>
          <w:iCs/>
        </w:rPr>
        <w:t>8</w:t>
      </w:r>
      <w:r w:rsidRPr="00480F42">
        <w:rPr>
          <w:rFonts w:ascii="Arial" w:hAnsi="Arial" w:cs="Arial"/>
        </w:rPr>
        <w:t>(4), 315-319.</w:t>
      </w:r>
    </w:p>
    <w:p w14:paraId="7E91977D" w14:textId="77777777" w:rsidR="00480F42" w:rsidRPr="00480F42" w:rsidRDefault="00480F42" w:rsidP="00480F42">
      <w:pPr>
        <w:pStyle w:val="Body"/>
        <w:spacing w:after="0"/>
        <w:rPr>
          <w:rFonts w:ascii="Arial" w:hAnsi="Arial" w:cs="Arial"/>
        </w:rPr>
      </w:pPr>
      <w:r w:rsidRPr="00480F42">
        <w:rPr>
          <w:rFonts w:ascii="Arial" w:hAnsi="Arial" w:cs="Arial"/>
        </w:rPr>
        <w:t>Li, J., Jiang, Q., Wang, X., Hou, L., Wang, L., Lou, K., &amp; Pang, S. (2024). Metformin Preserves Insulin Secretion in Pancreatic β-cells through FGF21/Akt Pathway In vitro and In vivo. </w:t>
      </w:r>
      <w:r w:rsidRPr="00480F42">
        <w:rPr>
          <w:rFonts w:ascii="Arial" w:hAnsi="Arial" w:cs="Arial"/>
          <w:i/>
          <w:iCs/>
        </w:rPr>
        <w:t>Combinatorial Chemistry &amp; High Throughput Screening</w:t>
      </w:r>
      <w:r w:rsidRPr="00480F42">
        <w:rPr>
          <w:rFonts w:ascii="Arial" w:hAnsi="Arial" w:cs="Arial"/>
        </w:rPr>
        <w:t>, </w:t>
      </w:r>
      <w:r w:rsidRPr="00480F42">
        <w:rPr>
          <w:rFonts w:ascii="Arial" w:hAnsi="Arial" w:cs="Arial"/>
          <w:i/>
          <w:iCs/>
        </w:rPr>
        <w:t>27</w:t>
      </w:r>
      <w:r w:rsidRPr="00480F42">
        <w:rPr>
          <w:rFonts w:ascii="Arial" w:hAnsi="Arial" w:cs="Arial"/>
        </w:rPr>
        <w:t>(18), 2691-2698.</w:t>
      </w:r>
    </w:p>
    <w:p w14:paraId="326DA2AD" w14:textId="77777777" w:rsidR="00480F42" w:rsidRPr="00480F42" w:rsidRDefault="00480F42" w:rsidP="00480F42">
      <w:pPr>
        <w:pStyle w:val="Body"/>
        <w:spacing w:after="0"/>
        <w:rPr>
          <w:rFonts w:ascii="Arial" w:hAnsi="Arial" w:cs="Arial"/>
        </w:rPr>
      </w:pPr>
      <w:r w:rsidRPr="00480F42">
        <w:rPr>
          <w:rFonts w:ascii="Arial" w:hAnsi="Arial" w:cs="Arial"/>
        </w:rPr>
        <w:t>Lin, S., Wang, P., Lam, K. L., Hu, J., &amp; Cheung, P. C. (2020). Research on a specialty mushroom (Pleurotus tuber-regium) as a functional food: chemical composition and biological activities. </w:t>
      </w:r>
      <w:r w:rsidRPr="00480F42">
        <w:rPr>
          <w:rFonts w:ascii="Arial" w:hAnsi="Arial" w:cs="Arial"/>
          <w:i/>
          <w:iCs/>
        </w:rPr>
        <w:t>Journal of Agricultural and Food Chemistry</w:t>
      </w:r>
      <w:r w:rsidRPr="00480F42">
        <w:rPr>
          <w:rFonts w:ascii="Arial" w:hAnsi="Arial" w:cs="Arial"/>
        </w:rPr>
        <w:t>, </w:t>
      </w:r>
      <w:r w:rsidRPr="00480F42">
        <w:rPr>
          <w:rFonts w:ascii="Arial" w:hAnsi="Arial" w:cs="Arial"/>
          <w:i/>
          <w:iCs/>
        </w:rPr>
        <w:t>68</w:t>
      </w:r>
      <w:r w:rsidRPr="00480F42">
        <w:rPr>
          <w:rFonts w:ascii="Arial" w:hAnsi="Arial" w:cs="Arial"/>
        </w:rPr>
        <w:t>(35), 9277-9286.</w:t>
      </w:r>
    </w:p>
    <w:p w14:paraId="3306A1E3" w14:textId="77777777" w:rsidR="00480F42" w:rsidRPr="00480F42" w:rsidRDefault="00480F42" w:rsidP="00480F42">
      <w:pPr>
        <w:pStyle w:val="Body"/>
        <w:spacing w:after="0"/>
        <w:rPr>
          <w:rFonts w:ascii="Arial" w:hAnsi="Arial" w:cs="Arial"/>
        </w:rPr>
      </w:pPr>
      <w:r w:rsidRPr="00480F42">
        <w:rPr>
          <w:rFonts w:ascii="Arial" w:hAnsi="Arial" w:cs="Arial"/>
        </w:rPr>
        <w:t>Longhurst, P. A., &amp; Belis, J. A. (1986). Abnormalities of rat bladder contractility in streptozotocin-induced diabetes mellitus. </w:t>
      </w:r>
      <w:r w:rsidRPr="00480F42">
        <w:rPr>
          <w:rFonts w:ascii="Arial" w:hAnsi="Arial" w:cs="Arial"/>
          <w:i/>
          <w:iCs/>
        </w:rPr>
        <w:t>The Journal of Pharmacology and experimental therapeutics</w:t>
      </w:r>
      <w:r w:rsidRPr="00480F42">
        <w:rPr>
          <w:rFonts w:ascii="Arial" w:hAnsi="Arial" w:cs="Arial"/>
        </w:rPr>
        <w:t>, </w:t>
      </w:r>
      <w:r w:rsidRPr="00480F42">
        <w:rPr>
          <w:rFonts w:ascii="Arial" w:hAnsi="Arial" w:cs="Arial"/>
          <w:i/>
          <w:iCs/>
        </w:rPr>
        <w:t>238</w:t>
      </w:r>
      <w:r w:rsidRPr="00480F42">
        <w:rPr>
          <w:rFonts w:ascii="Arial" w:hAnsi="Arial" w:cs="Arial"/>
        </w:rPr>
        <w:t>(3), 773-777.</w:t>
      </w:r>
    </w:p>
    <w:p w14:paraId="207D4F8B" w14:textId="77777777" w:rsidR="00480F42" w:rsidRPr="00480F42" w:rsidRDefault="00480F42" w:rsidP="00480F42">
      <w:pPr>
        <w:pStyle w:val="Body"/>
        <w:spacing w:after="0"/>
        <w:rPr>
          <w:rFonts w:ascii="Arial" w:hAnsi="Arial" w:cs="Arial"/>
        </w:rPr>
      </w:pPr>
      <w:r w:rsidRPr="00480F42">
        <w:rPr>
          <w:rFonts w:ascii="Arial" w:hAnsi="Arial" w:cs="Arial"/>
        </w:rPr>
        <w:t>Majesty, D., Constance, N., Ahamefula, E., Caleb, N., Ijeoma, E., Prince, O., ... &amp; Chieme, C. (2018). Evaluation of nutritional, anti-nutritional and some biochemical studies on Pleurotus squarrosulus (Mont.) singer using rats. </w:t>
      </w:r>
      <w:r w:rsidRPr="00480F42">
        <w:rPr>
          <w:rFonts w:ascii="Arial" w:hAnsi="Arial" w:cs="Arial"/>
          <w:i/>
          <w:iCs/>
        </w:rPr>
        <w:t>African Journal of Biochemistry Research</w:t>
      </w:r>
      <w:r w:rsidRPr="00480F42">
        <w:rPr>
          <w:rFonts w:ascii="Arial" w:hAnsi="Arial" w:cs="Arial"/>
        </w:rPr>
        <w:t>, </w:t>
      </w:r>
      <w:r w:rsidRPr="00480F42">
        <w:rPr>
          <w:rFonts w:ascii="Arial" w:hAnsi="Arial" w:cs="Arial"/>
          <w:i/>
          <w:iCs/>
        </w:rPr>
        <w:t>12</w:t>
      </w:r>
      <w:r w:rsidRPr="00480F42">
        <w:rPr>
          <w:rFonts w:ascii="Arial" w:hAnsi="Arial" w:cs="Arial"/>
        </w:rPr>
        <w:t>(2), 7-27.</w:t>
      </w:r>
    </w:p>
    <w:p w14:paraId="02614551" w14:textId="77777777" w:rsidR="00480F42" w:rsidRPr="00480F42" w:rsidRDefault="00480F42" w:rsidP="00480F42">
      <w:pPr>
        <w:pStyle w:val="Body"/>
        <w:spacing w:after="0"/>
        <w:rPr>
          <w:rFonts w:ascii="Arial" w:hAnsi="Arial" w:cs="Arial"/>
        </w:rPr>
      </w:pPr>
      <w:r w:rsidRPr="00480F42">
        <w:rPr>
          <w:rFonts w:ascii="Arial" w:hAnsi="Arial" w:cs="Arial"/>
        </w:rPr>
        <w:t>Marques, L. R., Diniz, T. A., Antunes, B. M., Rossi, F. E., Caperuto, E. C., Lira, F. S., &amp; Gonçalves, D. C. (2018). Reverse cholesterol transport: molecular mechanisms and the non-medical approach to enhance HDL cholesterol. </w:t>
      </w:r>
      <w:r w:rsidRPr="00480F42">
        <w:rPr>
          <w:rFonts w:ascii="Arial" w:hAnsi="Arial" w:cs="Arial"/>
          <w:i/>
          <w:iCs/>
        </w:rPr>
        <w:t>Frontiers in physiology</w:t>
      </w:r>
      <w:r w:rsidRPr="00480F42">
        <w:rPr>
          <w:rFonts w:ascii="Arial" w:hAnsi="Arial" w:cs="Arial"/>
        </w:rPr>
        <w:t>, </w:t>
      </w:r>
      <w:r w:rsidRPr="00480F42">
        <w:rPr>
          <w:rFonts w:ascii="Arial" w:hAnsi="Arial" w:cs="Arial"/>
          <w:i/>
          <w:iCs/>
        </w:rPr>
        <w:t>9</w:t>
      </w:r>
      <w:r w:rsidRPr="00480F42">
        <w:rPr>
          <w:rFonts w:ascii="Arial" w:hAnsi="Arial" w:cs="Arial"/>
        </w:rPr>
        <w:t>, 526.</w:t>
      </w:r>
    </w:p>
    <w:p w14:paraId="68ACE248" w14:textId="77777777" w:rsidR="00480F42" w:rsidRPr="00480F42" w:rsidRDefault="00480F42" w:rsidP="00480F42">
      <w:pPr>
        <w:pStyle w:val="Body"/>
        <w:spacing w:after="0"/>
        <w:rPr>
          <w:rFonts w:ascii="Arial" w:hAnsi="Arial" w:cs="Arial"/>
        </w:rPr>
      </w:pPr>
      <w:r w:rsidRPr="00480F42">
        <w:rPr>
          <w:rFonts w:ascii="Arial" w:hAnsi="Arial" w:cs="Arial"/>
        </w:rPr>
        <w:t>Massani, M., &amp; Stecca, T. (Eds.). (2023). </w:t>
      </w:r>
      <w:r w:rsidRPr="00480F42">
        <w:rPr>
          <w:rFonts w:ascii="Arial" w:hAnsi="Arial" w:cs="Arial"/>
          <w:i/>
          <w:iCs/>
        </w:rPr>
        <w:t>Multidisciplinary Management of Acute and Chronic Pancreatitis</w:t>
      </w:r>
      <w:r w:rsidRPr="00480F42">
        <w:rPr>
          <w:rFonts w:ascii="Arial" w:hAnsi="Arial" w:cs="Arial"/>
        </w:rPr>
        <w:t>. BoD–Books on Demand.</w:t>
      </w:r>
    </w:p>
    <w:p w14:paraId="4B71C44B" w14:textId="77777777" w:rsidR="00480F42" w:rsidRPr="00480F42" w:rsidRDefault="00480F42" w:rsidP="00480F42">
      <w:pPr>
        <w:pStyle w:val="Body"/>
        <w:spacing w:after="0"/>
        <w:rPr>
          <w:rFonts w:ascii="Arial" w:hAnsi="Arial" w:cs="Arial"/>
        </w:rPr>
      </w:pPr>
      <w:r w:rsidRPr="00480F42">
        <w:rPr>
          <w:rFonts w:ascii="Arial" w:hAnsi="Arial" w:cs="Arial"/>
        </w:rPr>
        <w:t>Mo, C., Liu, R., Yang, Z., &amp; Ma, A. (2024). Polysaccharide from Pleurotus tuber-regium mycelium improves DSS-induced colitis in mice by regulating inflammatory cytokines, oxidative stress and gut microbiota. </w:t>
      </w:r>
      <w:r w:rsidRPr="00480F42">
        <w:rPr>
          <w:rFonts w:ascii="Arial" w:hAnsi="Arial" w:cs="Arial"/>
          <w:i/>
          <w:iCs/>
        </w:rPr>
        <w:t>Food &amp; Function</w:t>
      </w:r>
      <w:r w:rsidRPr="00480F42">
        <w:rPr>
          <w:rFonts w:ascii="Arial" w:hAnsi="Arial" w:cs="Arial"/>
        </w:rPr>
        <w:t>, </w:t>
      </w:r>
      <w:r w:rsidRPr="00480F42">
        <w:rPr>
          <w:rFonts w:ascii="Arial" w:hAnsi="Arial" w:cs="Arial"/>
          <w:i/>
          <w:iCs/>
        </w:rPr>
        <w:t>15</w:t>
      </w:r>
      <w:r w:rsidRPr="00480F42">
        <w:rPr>
          <w:rFonts w:ascii="Arial" w:hAnsi="Arial" w:cs="Arial"/>
        </w:rPr>
        <w:t>(7), 3731-3743.</w:t>
      </w:r>
    </w:p>
    <w:p w14:paraId="66843D72" w14:textId="77777777" w:rsidR="00480F42" w:rsidRPr="00480F42" w:rsidRDefault="00480F42" w:rsidP="00480F42">
      <w:pPr>
        <w:pStyle w:val="Body"/>
        <w:spacing w:after="0"/>
        <w:rPr>
          <w:rFonts w:ascii="Arial" w:hAnsi="Arial" w:cs="Arial"/>
        </w:rPr>
      </w:pPr>
      <w:r w:rsidRPr="00480F42">
        <w:rPr>
          <w:rFonts w:ascii="Arial" w:hAnsi="Arial" w:cs="Arial"/>
        </w:rPr>
        <w:t>Monago, C. C., &amp; Okonkwo, J. E. (2003). Amylolytic studies of pleurotus tuber-regium. </w:t>
      </w:r>
      <w:r w:rsidRPr="00480F42">
        <w:rPr>
          <w:rFonts w:ascii="Arial" w:hAnsi="Arial" w:cs="Arial"/>
          <w:i/>
          <w:iCs/>
        </w:rPr>
        <w:t>Global Journal of Pure and Applied Sciences</w:t>
      </w:r>
      <w:r w:rsidRPr="00480F42">
        <w:rPr>
          <w:rFonts w:ascii="Arial" w:hAnsi="Arial" w:cs="Arial"/>
        </w:rPr>
        <w:t>, </w:t>
      </w:r>
      <w:r w:rsidRPr="00480F42">
        <w:rPr>
          <w:rFonts w:ascii="Arial" w:hAnsi="Arial" w:cs="Arial"/>
          <w:i/>
          <w:iCs/>
        </w:rPr>
        <w:t>9</w:t>
      </w:r>
      <w:r w:rsidRPr="00480F42">
        <w:rPr>
          <w:rFonts w:ascii="Arial" w:hAnsi="Arial" w:cs="Arial"/>
        </w:rPr>
        <w:t>(1), 53-58.</w:t>
      </w:r>
    </w:p>
    <w:p w14:paraId="7A363433" w14:textId="77777777" w:rsidR="00480F42" w:rsidRPr="00480F42" w:rsidRDefault="00480F42" w:rsidP="00480F42">
      <w:pPr>
        <w:pStyle w:val="Body"/>
        <w:spacing w:after="0"/>
        <w:rPr>
          <w:rFonts w:ascii="Arial" w:hAnsi="Arial" w:cs="Arial"/>
        </w:rPr>
      </w:pPr>
      <w:r w:rsidRPr="00480F42">
        <w:rPr>
          <w:rFonts w:ascii="Arial" w:hAnsi="Arial" w:cs="Arial"/>
        </w:rPr>
        <w:t>Murtaugh, L. C., &amp; Keefe, M. D. (2015). Regeneration and repair of the exocrine pancreas. </w:t>
      </w:r>
      <w:r w:rsidRPr="00480F42">
        <w:rPr>
          <w:rFonts w:ascii="Arial" w:hAnsi="Arial" w:cs="Arial"/>
          <w:i/>
          <w:iCs/>
        </w:rPr>
        <w:t>Annual review of physiology</w:t>
      </w:r>
      <w:r w:rsidRPr="00480F42">
        <w:rPr>
          <w:rFonts w:ascii="Arial" w:hAnsi="Arial" w:cs="Arial"/>
        </w:rPr>
        <w:t>, </w:t>
      </w:r>
      <w:r w:rsidRPr="00480F42">
        <w:rPr>
          <w:rFonts w:ascii="Arial" w:hAnsi="Arial" w:cs="Arial"/>
          <w:i/>
          <w:iCs/>
        </w:rPr>
        <w:t>77</w:t>
      </w:r>
      <w:r w:rsidRPr="00480F42">
        <w:rPr>
          <w:rFonts w:ascii="Arial" w:hAnsi="Arial" w:cs="Arial"/>
        </w:rPr>
        <w:t>(1), 229-249.</w:t>
      </w:r>
    </w:p>
    <w:p w14:paraId="0C7D770D" w14:textId="77777777" w:rsidR="00480F42" w:rsidRPr="00480F42" w:rsidRDefault="00480F42" w:rsidP="00480F42">
      <w:pPr>
        <w:pStyle w:val="Body"/>
        <w:spacing w:after="0"/>
        <w:rPr>
          <w:rFonts w:ascii="Arial" w:hAnsi="Arial" w:cs="Arial"/>
        </w:rPr>
      </w:pPr>
      <w:r w:rsidRPr="00480F42">
        <w:rPr>
          <w:rFonts w:ascii="Arial" w:hAnsi="Arial" w:cs="Arial"/>
        </w:rPr>
        <w:t>Nworu, C. S., Ihim, S. A., Okoye, F. B., Esimone, C. O., Adikwu, M. U., &amp; Akah, P. A. (2015). Immunomodulatory and immunorestorative activities of β-d-glucan-rich extract and polysaccharide fraction of mushroom, Pleurutus tuberregium. </w:t>
      </w:r>
      <w:r w:rsidRPr="00480F42">
        <w:rPr>
          <w:rFonts w:ascii="Arial" w:hAnsi="Arial" w:cs="Arial"/>
          <w:i/>
          <w:iCs/>
        </w:rPr>
        <w:t>Pharmaceutical Biology</w:t>
      </w:r>
      <w:r w:rsidRPr="00480F42">
        <w:rPr>
          <w:rFonts w:ascii="Arial" w:hAnsi="Arial" w:cs="Arial"/>
        </w:rPr>
        <w:t>, </w:t>
      </w:r>
      <w:r w:rsidRPr="00480F42">
        <w:rPr>
          <w:rFonts w:ascii="Arial" w:hAnsi="Arial" w:cs="Arial"/>
          <w:i/>
          <w:iCs/>
        </w:rPr>
        <w:t>53</w:t>
      </w:r>
      <w:r w:rsidRPr="00480F42">
        <w:rPr>
          <w:rFonts w:ascii="Arial" w:hAnsi="Arial" w:cs="Arial"/>
        </w:rPr>
        <w:t>(11), 1555-1566.</w:t>
      </w:r>
    </w:p>
    <w:p w14:paraId="444CDE34" w14:textId="77777777" w:rsidR="00480F42" w:rsidRPr="00480F42" w:rsidRDefault="00480F42" w:rsidP="00480F42">
      <w:pPr>
        <w:pStyle w:val="Body"/>
        <w:spacing w:after="0"/>
        <w:rPr>
          <w:rFonts w:ascii="Arial" w:hAnsi="Arial" w:cs="Arial"/>
        </w:rPr>
      </w:pPr>
      <w:r w:rsidRPr="00480F42">
        <w:rPr>
          <w:rFonts w:ascii="Arial" w:hAnsi="Arial" w:cs="Arial"/>
        </w:rPr>
        <w:t>Obode, O. C., Adebayo, A. H., &amp; Li, C. (2021). Phytochemical and toxicological evaluations of Prosopis africana (GUILL. and PERR.) extract on albino wistar rats. </w:t>
      </w:r>
      <w:r w:rsidRPr="00480F42">
        <w:rPr>
          <w:rFonts w:ascii="Arial" w:hAnsi="Arial" w:cs="Arial"/>
          <w:i/>
          <w:iCs/>
        </w:rPr>
        <w:t>Toxicological research</w:t>
      </w:r>
      <w:r w:rsidRPr="00480F42">
        <w:rPr>
          <w:rFonts w:ascii="Arial" w:hAnsi="Arial" w:cs="Arial"/>
        </w:rPr>
        <w:t>, </w:t>
      </w:r>
      <w:r w:rsidRPr="00480F42">
        <w:rPr>
          <w:rFonts w:ascii="Arial" w:hAnsi="Arial" w:cs="Arial"/>
          <w:i/>
          <w:iCs/>
        </w:rPr>
        <w:t>37</w:t>
      </w:r>
      <w:r w:rsidRPr="00480F42">
        <w:rPr>
          <w:rFonts w:ascii="Arial" w:hAnsi="Arial" w:cs="Arial"/>
        </w:rPr>
        <w:t>, 183-195.</w:t>
      </w:r>
    </w:p>
    <w:p w14:paraId="53F5385F" w14:textId="77777777" w:rsidR="00480F42" w:rsidRPr="00480F42" w:rsidRDefault="00480F42" w:rsidP="00480F42">
      <w:pPr>
        <w:pStyle w:val="Body"/>
        <w:spacing w:after="0"/>
        <w:rPr>
          <w:rFonts w:ascii="Arial" w:hAnsi="Arial" w:cs="Arial"/>
        </w:rPr>
      </w:pPr>
      <w:r w:rsidRPr="00480F42">
        <w:rPr>
          <w:rFonts w:ascii="Arial" w:hAnsi="Arial" w:cs="Arial"/>
        </w:rPr>
        <w:t>Ogwu, M. C., Richard, G., Izah, S. C., Alimba, C. G., &amp; Wangboje, O. M. (2025). Environmental Roles of Edible Mushrooms. In </w:t>
      </w:r>
      <w:r w:rsidRPr="00480F42">
        <w:rPr>
          <w:rFonts w:ascii="Arial" w:hAnsi="Arial" w:cs="Arial"/>
          <w:i/>
          <w:iCs/>
        </w:rPr>
        <w:t>Bioactive Compounds in Edible Mushrooms: Sustainability and Health Applications</w:t>
      </w:r>
      <w:r w:rsidRPr="00480F42">
        <w:rPr>
          <w:rFonts w:ascii="Arial" w:hAnsi="Arial" w:cs="Arial"/>
        </w:rPr>
        <w:t> (pp. 1-24). Cham: Springer Nature Switzerland.</w:t>
      </w:r>
    </w:p>
    <w:p w14:paraId="0180794B" w14:textId="77777777" w:rsidR="00480F42" w:rsidRPr="00480F42" w:rsidRDefault="00480F42" w:rsidP="00480F42">
      <w:pPr>
        <w:pStyle w:val="Body"/>
        <w:spacing w:after="0"/>
        <w:rPr>
          <w:rFonts w:ascii="Arial" w:hAnsi="Arial" w:cs="Arial"/>
        </w:rPr>
      </w:pPr>
      <w:r w:rsidRPr="00480F42">
        <w:rPr>
          <w:rFonts w:ascii="Arial" w:hAnsi="Arial" w:cs="Arial"/>
        </w:rPr>
        <w:lastRenderedPageBreak/>
        <w:t>Oranusi, U. S., Ndukwe, C. U., &amp; Braide, W. (2014). Production of Pleurotus tuber-regium (Fr.) Sing Agar, chemical composition and microflora associated with sclerotium. </w:t>
      </w:r>
      <w:r w:rsidRPr="00480F42">
        <w:rPr>
          <w:rFonts w:ascii="Arial" w:hAnsi="Arial" w:cs="Arial"/>
          <w:i/>
          <w:iCs/>
        </w:rPr>
        <w:t>International Journal of Current Microbiology and Applied Sciences</w:t>
      </w:r>
      <w:r w:rsidRPr="00480F42">
        <w:rPr>
          <w:rFonts w:ascii="Arial" w:hAnsi="Arial" w:cs="Arial"/>
        </w:rPr>
        <w:t>, </w:t>
      </w:r>
      <w:r w:rsidRPr="00480F42">
        <w:rPr>
          <w:rFonts w:ascii="Arial" w:hAnsi="Arial" w:cs="Arial"/>
          <w:i/>
          <w:iCs/>
        </w:rPr>
        <w:t>3</w:t>
      </w:r>
      <w:r w:rsidRPr="00480F42">
        <w:rPr>
          <w:rFonts w:ascii="Arial" w:hAnsi="Arial" w:cs="Arial"/>
        </w:rPr>
        <w:t>(8), 115-126.</w:t>
      </w:r>
    </w:p>
    <w:p w14:paraId="38B9F17D" w14:textId="77777777" w:rsidR="00480F42" w:rsidRPr="00480F42" w:rsidRDefault="00480F42" w:rsidP="00480F42">
      <w:pPr>
        <w:pStyle w:val="Body"/>
        <w:spacing w:after="0"/>
        <w:rPr>
          <w:rFonts w:ascii="Arial" w:hAnsi="Arial" w:cs="Arial"/>
        </w:rPr>
      </w:pPr>
      <w:r w:rsidRPr="00480F42">
        <w:rPr>
          <w:rFonts w:ascii="Arial" w:hAnsi="Arial" w:cs="Arial"/>
        </w:rPr>
        <w:t>Ouimet, M., Barrett, T. J., &amp; Fisher, E. A. (2019). HDL and reverse cholesterol transport: Basic mechanisms and their roles in vascular health and disease. </w:t>
      </w:r>
      <w:r w:rsidRPr="00480F42">
        <w:rPr>
          <w:rFonts w:ascii="Arial" w:hAnsi="Arial" w:cs="Arial"/>
          <w:i/>
          <w:iCs/>
        </w:rPr>
        <w:t>Circulation research</w:t>
      </w:r>
      <w:r w:rsidRPr="00480F42">
        <w:rPr>
          <w:rFonts w:ascii="Arial" w:hAnsi="Arial" w:cs="Arial"/>
        </w:rPr>
        <w:t>, </w:t>
      </w:r>
      <w:r w:rsidRPr="00480F42">
        <w:rPr>
          <w:rFonts w:ascii="Arial" w:hAnsi="Arial" w:cs="Arial"/>
          <w:i/>
          <w:iCs/>
        </w:rPr>
        <w:t>124</w:t>
      </w:r>
      <w:r w:rsidRPr="00480F42">
        <w:rPr>
          <w:rFonts w:ascii="Arial" w:hAnsi="Arial" w:cs="Arial"/>
        </w:rPr>
        <w:t>(10), 1505-1518.</w:t>
      </w:r>
    </w:p>
    <w:p w14:paraId="50720793" w14:textId="77777777" w:rsidR="00480F42" w:rsidRPr="00480F42" w:rsidRDefault="00480F42" w:rsidP="00480F42">
      <w:pPr>
        <w:pStyle w:val="Body"/>
        <w:spacing w:after="0"/>
        <w:rPr>
          <w:rFonts w:ascii="Arial" w:hAnsi="Arial" w:cs="Arial"/>
        </w:rPr>
      </w:pPr>
      <w:r w:rsidRPr="00480F42">
        <w:rPr>
          <w:rFonts w:ascii="Arial" w:hAnsi="Arial" w:cs="Arial"/>
        </w:rPr>
        <w:t>Panda, J., Mishra, A. K., Nath, P. C., Mahanta, S., Sharma, M., Nayak, P. K., ... &amp; Sridhar, K. (2024). Wild edible mushrooms to achieve sustainable development goals: novel sources for food security, health, and well-being. </w:t>
      </w:r>
      <w:r w:rsidRPr="00480F42">
        <w:rPr>
          <w:rFonts w:ascii="Arial" w:hAnsi="Arial" w:cs="Arial"/>
          <w:i/>
          <w:iCs/>
        </w:rPr>
        <w:t>Food Bioscience</w:t>
      </w:r>
      <w:r w:rsidRPr="00480F42">
        <w:rPr>
          <w:rFonts w:ascii="Arial" w:hAnsi="Arial" w:cs="Arial"/>
        </w:rPr>
        <w:t>, 104277.</w:t>
      </w:r>
    </w:p>
    <w:p w14:paraId="41997C6D" w14:textId="77777777" w:rsidR="00480F42" w:rsidRPr="00480F42" w:rsidRDefault="00480F42" w:rsidP="00480F42">
      <w:pPr>
        <w:pStyle w:val="Body"/>
        <w:spacing w:after="0"/>
        <w:rPr>
          <w:rFonts w:ascii="Arial" w:hAnsi="Arial" w:cs="Arial"/>
        </w:rPr>
      </w:pPr>
      <w:r w:rsidRPr="00480F42">
        <w:rPr>
          <w:rFonts w:ascii="Arial" w:hAnsi="Arial" w:cs="Arial"/>
        </w:rPr>
        <w:t>Raman, J., Jang, K. Y., Oh, Y. L., Oh, M., Im, J. H., Lakshmanan, H., &amp; Sabaratnam, V. (2021). Cultivation and nutritional value of prominent Pleurotus spp.: an overview. </w:t>
      </w:r>
      <w:r w:rsidRPr="00480F42">
        <w:rPr>
          <w:rFonts w:ascii="Arial" w:hAnsi="Arial" w:cs="Arial"/>
          <w:i/>
          <w:iCs/>
        </w:rPr>
        <w:t>Mycobiology</w:t>
      </w:r>
      <w:r w:rsidRPr="00480F42">
        <w:rPr>
          <w:rFonts w:ascii="Arial" w:hAnsi="Arial" w:cs="Arial"/>
        </w:rPr>
        <w:t>, </w:t>
      </w:r>
      <w:r w:rsidRPr="00480F42">
        <w:rPr>
          <w:rFonts w:ascii="Arial" w:hAnsi="Arial" w:cs="Arial"/>
          <w:i/>
          <w:iCs/>
        </w:rPr>
        <w:t>49</w:t>
      </w:r>
      <w:r w:rsidRPr="00480F42">
        <w:rPr>
          <w:rFonts w:ascii="Arial" w:hAnsi="Arial" w:cs="Arial"/>
        </w:rPr>
        <w:t>(1), 1-14.</w:t>
      </w:r>
    </w:p>
    <w:p w14:paraId="38473C43" w14:textId="77777777" w:rsidR="00480F42" w:rsidRPr="00480F42" w:rsidRDefault="00480F42" w:rsidP="00480F42">
      <w:pPr>
        <w:pStyle w:val="Body"/>
        <w:spacing w:after="0"/>
        <w:rPr>
          <w:rFonts w:ascii="Arial" w:hAnsi="Arial" w:cs="Arial"/>
        </w:rPr>
      </w:pPr>
      <w:r w:rsidRPr="00480F42">
        <w:rPr>
          <w:rFonts w:ascii="Arial" w:hAnsi="Arial" w:cs="Arial"/>
        </w:rPr>
        <w:t>Rathod, M. G., Gadade, R. B., Thakur, G. M., &amp; Pathak, A. P. (2021). Oyster mushroom: cultivation, bioactive significance and commercial status. </w:t>
      </w:r>
      <w:r w:rsidRPr="00480F42">
        <w:rPr>
          <w:rFonts w:ascii="Arial" w:hAnsi="Arial" w:cs="Arial"/>
          <w:i/>
          <w:iCs/>
        </w:rPr>
        <w:t>Frontiers in life science</w:t>
      </w:r>
      <w:r w:rsidRPr="00480F42">
        <w:rPr>
          <w:rFonts w:ascii="Arial" w:hAnsi="Arial" w:cs="Arial"/>
        </w:rPr>
        <w:t>, </w:t>
      </w:r>
      <w:r w:rsidRPr="00480F42">
        <w:rPr>
          <w:rFonts w:ascii="Arial" w:hAnsi="Arial" w:cs="Arial"/>
          <w:i/>
          <w:iCs/>
        </w:rPr>
        <w:t>2</w:t>
      </w:r>
      <w:r w:rsidRPr="00480F42">
        <w:rPr>
          <w:rFonts w:ascii="Arial" w:hAnsi="Arial" w:cs="Arial"/>
        </w:rPr>
        <w:t>, 21.</w:t>
      </w:r>
    </w:p>
    <w:p w14:paraId="1FDFA7F0" w14:textId="77777777" w:rsidR="00480F42" w:rsidRPr="00480F42" w:rsidRDefault="00480F42" w:rsidP="00480F42">
      <w:pPr>
        <w:pStyle w:val="Body"/>
        <w:spacing w:after="0"/>
        <w:rPr>
          <w:rFonts w:ascii="Arial" w:hAnsi="Arial" w:cs="Arial"/>
        </w:rPr>
      </w:pPr>
      <w:r w:rsidRPr="00480F42">
        <w:rPr>
          <w:rFonts w:ascii="Arial" w:hAnsi="Arial" w:cs="Arial"/>
        </w:rPr>
        <w:t>Retnakaran, R., Pu, J., Emery, A., Harris, S. B., Reichert, S. M., Gerstein, H. C., ... &amp; Zinman, B. (2023). Determinants of sustained stabilization of beta-cell function following short-term insulin therapy in type 2 diabetes. </w:t>
      </w:r>
      <w:r w:rsidRPr="00480F42">
        <w:rPr>
          <w:rFonts w:ascii="Arial" w:hAnsi="Arial" w:cs="Arial"/>
          <w:i/>
          <w:iCs/>
        </w:rPr>
        <w:t>Nature communications</w:t>
      </w:r>
      <w:r w:rsidRPr="00480F42">
        <w:rPr>
          <w:rFonts w:ascii="Arial" w:hAnsi="Arial" w:cs="Arial"/>
        </w:rPr>
        <w:t>, </w:t>
      </w:r>
      <w:r w:rsidRPr="00480F42">
        <w:rPr>
          <w:rFonts w:ascii="Arial" w:hAnsi="Arial" w:cs="Arial"/>
          <w:i/>
          <w:iCs/>
        </w:rPr>
        <w:t>14</w:t>
      </w:r>
      <w:r w:rsidRPr="00480F42">
        <w:rPr>
          <w:rFonts w:ascii="Arial" w:hAnsi="Arial" w:cs="Arial"/>
        </w:rPr>
        <w:t>(1), 4514.</w:t>
      </w:r>
    </w:p>
    <w:p w14:paraId="623A749B" w14:textId="77777777" w:rsidR="00480F42" w:rsidRPr="00480F42" w:rsidRDefault="00480F42" w:rsidP="00480F42">
      <w:pPr>
        <w:pStyle w:val="Body"/>
        <w:spacing w:after="0"/>
        <w:rPr>
          <w:rFonts w:ascii="Arial" w:hAnsi="Arial" w:cs="Arial"/>
          <w:i/>
          <w:iCs/>
        </w:rPr>
      </w:pPr>
      <w:r w:rsidRPr="00480F42">
        <w:rPr>
          <w:rFonts w:ascii="Arial" w:hAnsi="Arial" w:cs="Arial"/>
        </w:rPr>
        <w:t>Saleem, B., Hussain, G., Rasul, A., Anwar, H., &amp; Hassan, M. (2024). Antidiabetic Potential of Mushroom</w:t>
      </w:r>
      <w:r w:rsidRPr="00480F42">
        <w:rPr>
          <w:rFonts w:ascii="Cambria Math" w:hAnsi="Cambria Math" w:cs="Cambria Math"/>
        </w:rPr>
        <w:t>‐</w:t>
      </w:r>
      <w:r w:rsidRPr="00480F42">
        <w:rPr>
          <w:rFonts w:ascii="Arial" w:hAnsi="Arial" w:cs="Arial"/>
        </w:rPr>
        <w:t>Based Herbal Formulation in Streptozotocin</w:t>
      </w:r>
      <w:r w:rsidRPr="00480F42">
        <w:rPr>
          <w:rFonts w:ascii="Cambria Math" w:hAnsi="Cambria Math" w:cs="Cambria Math"/>
        </w:rPr>
        <w:t>‐</w:t>
      </w:r>
      <w:r w:rsidRPr="00480F42">
        <w:rPr>
          <w:rFonts w:ascii="Arial" w:hAnsi="Arial" w:cs="Arial"/>
        </w:rPr>
        <w:t>Induced Diabetic Rats</w:t>
      </w:r>
      <w:r w:rsidRPr="00480F42">
        <w:rPr>
          <w:rFonts w:ascii="Arial" w:hAnsi="Arial" w:cs="Arial"/>
          <w:i/>
          <w:iCs/>
        </w:rPr>
        <w:t>. Scientifica, 2024(1), 7468975</w:t>
      </w:r>
    </w:p>
    <w:p w14:paraId="77985704" w14:textId="77777777" w:rsidR="00480F42" w:rsidRPr="00480F42" w:rsidRDefault="00480F42" w:rsidP="00480F42">
      <w:pPr>
        <w:pStyle w:val="Body"/>
        <w:spacing w:after="0"/>
        <w:rPr>
          <w:rFonts w:ascii="Arial" w:hAnsi="Arial" w:cs="Arial"/>
          <w:i/>
          <w:iCs/>
        </w:rPr>
      </w:pPr>
      <w:r w:rsidRPr="00480F42">
        <w:rPr>
          <w:rFonts w:ascii="Arial" w:hAnsi="Arial" w:cs="Arial"/>
          <w:i/>
          <w:iCs/>
        </w:rPr>
        <w:t>Sales, P. M. D., Souza, P. M. D., Simeoni, L. A., Batista, P. D. O. M. D., &amp; Silveira, D. (2012). α-Amylase inhibitors: a review of raw material and isolated compounds from plant source.</w:t>
      </w:r>
    </w:p>
    <w:p w14:paraId="2A4F2632" w14:textId="77777777" w:rsidR="00480F42" w:rsidRPr="00480F42" w:rsidRDefault="00480F42" w:rsidP="00480F42">
      <w:pPr>
        <w:pStyle w:val="Body"/>
        <w:spacing w:after="0"/>
        <w:rPr>
          <w:rFonts w:ascii="Arial" w:hAnsi="Arial" w:cs="Arial"/>
          <w:i/>
          <w:iCs/>
        </w:rPr>
      </w:pPr>
      <w:r w:rsidRPr="00480F42">
        <w:rPr>
          <w:rFonts w:ascii="Arial" w:hAnsi="Arial" w:cs="Arial"/>
        </w:rPr>
        <w:t>Shamim, M. Z., Mishra, A. K., Kausar, T., Mahanta, S., Sarma, B., Kumar, V., ... &amp; Mohanta, Y. K. (2023). Exploring edible mushrooms for diabetes: unveiling their role in prevention and treatment.</w:t>
      </w:r>
      <w:r w:rsidRPr="00480F42">
        <w:rPr>
          <w:rFonts w:ascii="Arial" w:hAnsi="Arial" w:cs="Arial"/>
          <w:i/>
          <w:iCs/>
        </w:rPr>
        <w:t> Molecules, 28(6), 2837.</w:t>
      </w:r>
    </w:p>
    <w:p w14:paraId="39791BD0" w14:textId="77777777" w:rsidR="00480F42" w:rsidRPr="00480F42" w:rsidRDefault="00480F42" w:rsidP="00480F42">
      <w:pPr>
        <w:pStyle w:val="Body"/>
        <w:spacing w:after="0"/>
        <w:rPr>
          <w:rFonts w:ascii="Arial" w:hAnsi="Arial" w:cs="Arial"/>
        </w:rPr>
      </w:pPr>
      <w:r w:rsidRPr="00480F42">
        <w:rPr>
          <w:rFonts w:ascii="Arial" w:hAnsi="Arial" w:cs="Arial"/>
        </w:rPr>
        <w:t>Soares, A. A., de Souza, C. G. M., Daniel, F. M., Ferrari, G. P., da Costa, S. M. G., &amp; Peralta, R. M. (2009). Antioxidant activity and total phenolic content of Agaricus brasiliensis (Agaricus blazei Murril) in two stages of maturity. </w:t>
      </w:r>
      <w:r w:rsidRPr="00480F42">
        <w:rPr>
          <w:rFonts w:ascii="Arial" w:hAnsi="Arial" w:cs="Arial"/>
          <w:i/>
          <w:iCs/>
        </w:rPr>
        <w:t>Food chemistry</w:t>
      </w:r>
      <w:r w:rsidRPr="00480F42">
        <w:rPr>
          <w:rFonts w:ascii="Arial" w:hAnsi="Arial" w:cs="Arial"/>
        </w:rPr>
        <w:t>, </w:t>
      </w:r>
      <w:r w:rsidRPr="00480F42">
        <w:rPr>
          <w:rFonts w:ascii="Arial" w:hAnsi="Arial" w:cs="Arial"/>
          <w:i/>
          <w:iCs/>
        </w:rPr>
        <w:t>112</w:t>
      </w:r>
      <w:r w:rsidRPr="00480F42">
        <w:rPr>
          <w:rFonts w:ascii="Arial" w:hAnsi="Arial" w:cs="Arial"/>
        </w:rPr>
        <w:t>(4), 775-781.</w:t>
      </w:r>
    </w:p>
    <w:p w14:paraId="762CD79F" w14:textId="77777777" w:rsidR="00480F42" w:rsidRPr="00480F42" w:rsidRDefault="00480F42" w:rsidP="00480F42">
      <w:pPr>
        <w:pStyle w:val="Body"/>
        <w:spacing w:after="0"/>
        <w:rPr>
          <w:rFonts w:ascii="Arial" w:hAnsi="Arial" w:cs="Arial"/>
        </w:rPr>
      </w:pPr>
      <w:r w:rsidRPr="00480F42">
        <w:rPr>
          <w:rFonts w:ascii="Arial" w:hAnsi="Arial" w:cs="Arial"/>
        </w:rPr>
        <w:t>Stiefel, D. J., &amp; Keller, P. J. (1973). Preparation and some properties of human pancreatic amylase including a comparison with human parotid amylase. </w:t>
      </w:r>
      <w:r w:rsidRPr="00480F42">
        <w:rPr>
          <w:rFonts w:ascii="Arial" w:hAnsi="Arial" w:cs="Arial"/>
          <w:i/>
          <w:iCs/>
        </w:rPr>
        <w:t>Biochimica et Biophysica Acta (BBA)-Enzymology</w:t>
      </w:r>
      <w:r w:rsidRPr="00480F42">
        <w:rPr>
          <w:rFonts w:ascii="Arial" w:hAnsi="Arial" w:cs="Arial"/>
        </w:rPr>
        <w:t>, </w:t>
      </w:r>
      <w:r w:rsidRPr="00480F42">
        <w:rPr>
          <w:rFonts w:ascii="Arial" w:hAnsi="Arial" w:cs="Arial"/>
          <w:i/>
          <w:iCs/>
        </w:rPr>
        <w:t>302</w:t>
      </w:r>
      <w:r w:rsidRPr="00480F42">
        <w:rPr>
          <w:rFonts w:ascii="Arial" w:hAnsi="Arial" w:cs="Arial"/>
        </w:rPr>
        <w:t>(2), 345-361.</w:t>
      </w:r>
    </w:p>
    <w:p w14:paraId="3158DF88" w14:textId="77777777" w:rsidR="00480F42" w:rsidRPr="00480F42" w:rsidRDefault="00480F42" w:rsidP="00480F42">
      <w:pPr>
        <w:pStyle w:val="Body"/>
        <w:spacing w:after="0"/>
        <w:rPr>
          <w:rFonts w:ascii="Arial" w:hAnsi="Arial" w:cs="Arial"/>
        </w:rPr>
      </w:pPr>
      <w:r w:rsidRPr="00480F42">
        <w:rPr>
          <w:rFonts w:ascii="Arial" w:hAnsi="Arial" w:cs="Arial"/>
        </w:rPr>
        <w:t>Tamura, Y. (2021). The role of zinc homeostasis in the prevention of diabetes mellitus and cardiovascular diseases. </w:t>
      </w:r>
      <w:r w:rsidRPr="00480F42">
        <w:rPr>
          <w:rFonts w:ascii="Arial" w:hAnsi="Arial" w:cs="Arial"/>
          <w:i/>
          <w:iCs/>
        </w:rPr>
        <w:t>Journal of Atherosclerosis and Thrombosis</w:t>
      </w:r>
      <w:r w:rsidRPr="00480F42">
        <w:rPr>
          <w:rFonts w:ascii="Arial" w:hAnsi="Arial" w:cs="Arial"/>
        </w:rPr>
        <w:t>, </w:t>
      </w:r>
      <w:r w:rsidRPr="00480F42">
        <w:rPr>
          <w:rFonts w:ascii="Arial" w:hAnsi="Arial" w:cs="Arial"/>
          <w:i/>
          <w:iCs/>
        </w:rPr>
        <w:t>28</w:t>
      </w:r>
      <w:r w:rsidRPr="00480F42">
        <w:rPr>
          <w:rFonts w:ascii="Arial" w:hAnsi="Arial" w:cs="Arial"/>
        </w:rPr>
        <w:t>(11), 1109-1122.</w:t>
      </w:r>
    </w:p>
    <w:p w14:paraId="3984261E" w14:textId="77777777" w:rsidR="00480F42" w:rsidRPr="00480F42" w:rsidRDefault="00480F42" w:rsidP="00480F42">
      <w:pPr>
        <w:pStyle w:val="Body"/>
        <w:spacing w:after="0"/>
        <w:rPr>
          <w:rFonts w:ascii="Arial" w:hAnsi="Arial" w:cs="Arial"/>
        </w:rPr>
      </w:pPr>
      <w:r w:rsidRPr="00480F42">
        <w:rPr>
          <w:rFonts w:ascii="Arial" w:hAnsi="Arial" w:cs="Arial"/>
        </w:rPr>
        <w:t>Törős, G. H., El-Ramady, H., &amp; Prokisch, J. (2022). Edible mushroom of Pleurotus spp.: a case study of oyster mushroom (Pleurotus ostreatus L.). </w:t>
      </w:r>
      <w:r w:rsidRPr="00480F42">
        <w:rPr>
          <w:rFonts w:ascii="Arial" w:hAnsi="Arial" w:cs="Arial"/>
          <w:i/>
          <w:iCs/>
        </w:rPr>
        <w:t>Environment, Biodiversity and Soil Security</w:t>
      </w:r>
      <w:r w:rsidRPr="00480F42">
        <w:rPr>
          <w:rFonts w:ascii="Arial" w:hAnsi="Arial" w:cs="Arial"/>
        </w:rPr>
        <w:t>, </w:t>
      </w:r>
      <w:r w:rsidRPr="00480F42">
        <w:rPr>
          <w:rFonts w:ascii="Arial" w:hAnsi="Arial" w:cs="Arial"/>
          <w:i/>
          <w:iCs/>
        </w:rPr>
        <w:t>6</w:t>
      </w:r>
      <w:r w:rsidRPr="00480F42">
        <w:rPr>
          <w:rFonts w:ascii="Arial" w:hAnsi="Arial" w:cs="Arial"/>
        </w:rPr>
        <w:t>(2022), 51-59.</w:t>
      </w:r>
    </w:p>
    <w:p w14:paraId="1DB73234" w14:textId="77777777" w:rsidR="00480F42" w:rsidRPr="00480F42" w:rsidRDefault="00480F42" w:rsidP="00480F42">
      <w:pPr>
        <w:pStyle w:val="Body"/>
        <w:spacing w:after="0"/>
        <w:rPr>
          <w:rFonts w:ascii="Arial" w:hAnsi="Arial" w:cs="Arial"/>
          <w:bCs/>
          <w:iCs/>
        </w:rPr>
      </w:pPr>
      <w:r w:rsidRPr="00480F42">
        <w:rPr>
          <w:rFonts w:ascii="Arial" w:hAnsi="Arial" w:cs="Arial"/>
        </w:rPr>
        <w:t>Zhang, J., Xiao, Y., Hu, J., Liu, S., Zhou, Z., &amp; Xie, L. (2022). Lipid metabolism in type 1 diabetes mellitus: Pathogenetic and therapeutic implications. </w:t>
      </w:r>
      <w:r w:rsidRPr="00480F42">
        <w:rPr>
          <w:rFonts w:ascii="Arial" w:hAnsi="Arial" w:cs="Arial"/>
          <w:i/>
          <w:iCs/>
        </w:rPr>
        <w:t>Frontiers in Immunology</w:t>
      </w:r>
      <w:r w:rsidRPr="00480F42">
        <w:rPr>
          <w:rFonts w:ascii="Arial" w:hAnsi="Arial" w:cs="Arial"/>
        </w:rPr>
        <w:t>, </w:t>
      </w:r>
      <w:r w:rsidRPr="00480F42">
        <w:rPr>
          <w:rFonts w:ascii="Arial" w:hAnsi="Arial" w:cs="Arial"/>
          <w:i/>
          <w:iCs/>
        </w:rPr>
        <w:t>13</w:t>
      </w:r>
      <w:r w:rsidRPr="00480F42">
        <w:rPr>
          <w:rFonts w:ascii="Arial" w:hAnsi="Arial" w:cs="Arial"/>
        </w:rPr>
        <w:t xml:space="preserve">, </w:t>
      </w:r>
      <w:commentRangeStart w:id="41"/>
      <w:r w:rsidRPr="00480F42">
        <w:rPr>
          <w:rFonts w:ascii="Arial" w:hAnsi="Arial" w:cs="Arial"/>
        </w:rPr>
        <w:t>999108</w:t>
      </w:r>
      <w:commentRangeEnd w:id="41"/>
      <w:r w:rsidR="0076338D">
        <w:rPr>
          <w:rStyle w:val="CommentReference"/>
          <w:rFonts w:ascii="Times New Roman" w:hAnsi="Times New Roman"/>
          <w:lang w:val="nb-NO" w:eastAsia="nb-NO"/>
        </w:rPr>
        <w:commentReference w:id="41"/>
      </w:r>
      <w:r w:rsidRPr="00480F42">
        <w:rPr>
          <w:rFonts w:ascii="Arial" w:hAnsi="Arial" w:cs="Arial"/>
        </w:rPr>
        <w:t>.</w:t>
      </w:r>
    </w:p>
    <w:p w14:paraId="180DBE8C" w14:textId="77777777" w:rsidR="00480F42" w:rsidRPr="00480F42" w:rsidRDefault="00480F42" w:rsidP="00480F42">
      <w:pPr>
        <w:pStyle w:val="Body"/>
        <w:spacing w:after="0"/>
        <w:rPr>
          <w:rFonts w:ascii="Arial" w:hAnsi="Arial" w:cs="Arial"/>
          <w:bCs/>
          <w:iCs/>
        </w:rPr>
      </w:pPr>
    </w:p>
    <w:p w14:paraId="6253C98A" w14:textId="77777777" w:rsidR="00480F42" w:rsidRPr="00480F42" w:rsidRDefault="00480F42" w:rsidP="00480F42">
      <w:pPr>
        <w:pStyle w:val="Body"/>
        <w:spacing w:after="0"/>
        <w:rPr>
          <w:rFonts w:ascii="Arial" w:hAnsi="Arial" w:cs="Arial"/>
        </w:rPr>
      </w:pPr>
      <w:r w:rsidRPr="00480F42">
        <w:rPr>
          <w:rFonts w:ascii="Arial" w:hAnsi="Arial" w:cs="Arial"/>
        </w:rPr>
        <w:t xml:space="preserve"> </w:t>
      </w:r>
    </w:p>
    <w:commentRangeEnd w:id="40"/>
    <w:p w14:paraId="43679451" w14:textId="77777777" w:rsidR="00480F42" w:rsidRPr="00480F42" w:rsidRDefault="0076338D" w:rsidP="00480F42">
      <w:pPr>
        <w:pStyle w:val="Body"/>
        <w:spacing w:after="0"/>
        <w:rPr>
          <w:rFonts w:ascii="Arial" w:hAnsi="Arial" w:cs="Arial"/>
        </w:rPr>
      </w:pPr>
      <w:r>
        <w:rPr>
          <w:rStyle w:val="CommentReference"/>
          <w:rFonts w:ascii="Times New Roman" w:hAnsi="Times New Roman"/>
          <w:lang w:val="nb-NO" w:eastAsia="nb-NO"/>
        </w:rPr>
        <w:commentReference w:id="40"/>
      </w:r>
    </w:p>
    <w:p w14:paraId="1BC48504" w14:textId="77777777" w:rsidR="008B459E" w:rsidRPr="002C57D2" w:rsidRDefault="008B459E" w:rsidP="00441B6F">
      <w:pPr>
        <w:pStyle w:val="Body"/>
        <w:spacing w:after="0"/>
        <w:rPr>
          <w:rFonts w:ascii="Arial" w:hAnsi="Arial" w:cs="Arial"/>
        </w:rPr>
      </w:pPr>
    </w:p>
    <w:sectPr w:rsidR="008B459E" w:rsidRPr="002C57D2" w:rsidSect="00F75E6E">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P" w:date="2025-06-07T17:28:00Z" w:initials="H">
    <w:p w14:paraId="43701493" w14:textId="30DBB219" w:rsidR="003751B9" w:rsidRDefault="003751B9">
      <w:pPr>
        <w:pStyle w:val="CommentText"/>
      </w:pPr>
      <w:r>
        <w:rPr>
          <w:rStyle w:val="CommentReference"/>
        </w:rPr>
        <w:annotationRef/>
      </w:r>
      <w:r>
        <w:t>Some therapeutic</w:t>
      </w:r>
    </w:p>
  </w:comment>
  <w:comment w:id="1" w:author="HP" w:date="2025-06-07T17:30:00Z" w:initials="H">
    <w:p w14:paraId="71197685" w14:textId="4021DB7C" w:rsidR="003751B9" w:rsidRDefault="003751B9">
      <w:pPr>
        <w:pStyle w:val="CommentText"/>
      </w:pPr>
      <w:r>
        <w:rPr>
          <w:rStyle w:val="CommentReference"/>
        </w:rPr>
        <w:annotationRef/>
      </w:r>
      <w:r>
        <w:t>The methodology of the work is missing</w:t>
      </w:r>
    </w:p>
  </w:comment>
  <w:comment w:id="2" w:author="HP" w:date="2025-06-07T17:31:00Z" w:initials="H">
    <w:p w14:paraId="4034E0D9" w14:textId="641E208D" w:rsidR="003751B9" w:rsidRDefault="003751B9">
      <w:pPr>
        <w:pStyle w:val="CommentText"/>
      </w:pPr>
      <w:r>
        <w:rPr>
          <w:rStyle w:val="CommentReference"/>
        </w:rPr>
        <w:annotationRef/>
      </w:r>
      <w:r>
        <w:t>This was not part of the study</w:t>
      </w:r>
    </w:p>
  </w:comment>
  <w:comment w:id="3" w:author="HP" w:date="2025-06-07T17:33:00Z" w:initials="H">
    <w:p w14:paraId="3285F8BC" w14:textId="30FE015F" w:rsidR="003751B9" w:rsidRDefault="003751B9">
      <w:pPr>
        <w:pStyle w:val="CommentText"/>
      </w:pPr>
      <w:r>
        <w:rPr>
          <w:rStyle w:val="CommentReference"/>
        </w:rPr>
        <w:annotationRef/>
      </w:r>
      <w:r>
        <w:t>Did you work on type 2 diabetes mellitus?</w:t>
      </w:r>
    </w:p>
  </w:comment>
  <w:comment w:id="4" w:author="HP" w:date="2025-06-07T17:34:00Z" w:initials="H">
    <w:p w14:paraId="5F199E27" w14:textId="01B5B767" w:rsidR="003751B9" w:rsidRDefault="003751B9">
      <w:pPr>
        <w:pStyle w:val="CommentText"/>
      </w:pPr>
      <w:r>
        <w:rPr>
          <w:rStyle w:val="CommentReference"/>
        </w:rPr>
        <w:annotationRef/>
      </w:r>
      <w:r>
        <w:t>This is not clear</w:t>
      </w:r>
    </w:p>
  </w:comment>
  <w:comment w:id="5" w:author="HP" w:date="2025-06-07T17:35:00Z" w:initials="H">
    <w:p w14:paraId="77458C60" w14:textId="20323A82" w:rsidR="003751B9" w:rsidRDefault="003751B9">
      <w:pPr>
        <w:pStyle w:val="CommentText"/>
      </w:pPr>
      <w:r>
        <w:rPr>
          <w:rStyle w:val="CommentReference"/>
        </w:rPr>
        <w:annotationRef/>
      </w:r>
      <w:r>
        <w:t>This should be removed</w:t>
      </w:r>
    </w:p>
  </w:comment>
  <w:comment w:id="7" w:author="HP" w:date="2025-06-07T17:37:00Z" w:initials="H">
    <w:p w14:paraId="0B79EEF2" w14:textId="5FD07063" w:rsidR="003751B9" w:rsidRDefault="003751B9">
      <w:pPr>
        <w:pStyle w:val="CommentText"/>
      </w:pPr>
      <w:r>
        <w:rPr>
          <w:rStyle w:val="CommentReference"/>
        </w:rPr>
        <w:annotationRef/>
      </w:r>
    </w:p>
  </w:comment>
  <w:comment w:id="8" w:author="HP" w:date="2025-06-07T17:37:00Z" w:initials="H">
    <w:p w14:paraId="213A9134" w14:textId="5EE14A3C" w:rsidR="003751B9" w:rsidRDefault="003751B9">
      <w:pPr>
        <w:pStyle w:val="CommentText"/>
      </w:pPr>
      <w:r>
        <w:rPr>
          <w:rStyle w:val="CommentReference"/>
        </w:rPr>
        <w:annotationRef/>
      </w:r>
    </w:p>
  </w:comment>
  <w:comment w:id="9" w:author="HP" w:date="2025-06-07T17:37:00Z" w:initials="H">
    <w:p w14:paraId="34971B86" w14:textId="3D85BCE9" w:rsidR="003751B9" w:rsidRDefault="003751B9">
      <w:pPr>
        <w:pStyle w:val="CommentText"/>
      </w:pPr>
      <w:r>
        <w:rPr>
          <w:rStyle w:val="CommentReference"/>
        </w:rPr>
        <w:annotationRef/>
      </w:r>
      <w:r>
        <w:t>Italize the names of the organisms in the write up</w:t>
      </w:r>
      <w:r w:rsidR="00525A18">
        <w:t>. You did not say anything about diabetes, antilipidemic, and nutrition</w:t>
      </w:r>
    </w:p>
  </w:comment>
  <w:comment w:id="6" w:author="HP" w:date="2025-06-07T17:37:00Z" w:initials="H">
    <w:p w14:paraId="145D739E" w14:textId="60293057" w:rsidR="003751B9" w:rsidRDefault="003751B9">
      <w:pPr>
        <w:pStyle w:val="CommentText"/>
      </w:pPr>
      <w:r>
        <w:rPr>
          <w:rStyle w:val="CommentReference"/>
        </w:rPr>
        <w:annotationRef/>
      </w:r>
    </w:p>
  </w:comment>
  <w:comment w:id="10" w:author="HP" w:date="2025-06-07T17:43:00Z" w:initials="H">
    <w:p w14:paraId="389CCACA" w14:textId="490430FD" w:rsidR="00525A18" w:rsidRDefault="00525A18">
      <w:pPr>
        <w:pStyle w:val="CommentText"/>
      </w:pPr>
      <w:r>
        <w:rPr>
          <w:rStyle w:val="CommentReference"/>
        </w:rPr>
        <w:annotationRef/>
      </w:r>
      <w:r>
        <w:t>THIS SHOULD BE CHANGED TO CULTIVATION</w:t>
      </w:r>
    </w:p>
  </w:comment>
  <w:comment w:id="12" w:author="HP" w:date="2025-06-07T17:41:00Z" w:initials="H">
    <w:p w14:paraId="6A2E5A95" w14:textId="56454A58" w:rsidR="00525A18" w:rsidRDefault="00525A18">
      <w:pPr>
        <w:pStyle w:val="CommentText"/>
      </w:pPr>
      <w:r>
        <w:rPr>
          <w:rStyle w:val="CommentReference"/>
        </w:rPr>
        <w:annotationRef/>
      </w:r>
      <w:r>
        <w:t xml:space="preserve">How did you identify the mushroom? Nothing shows that. </w:t>
      </w:r>
    </w:p>
  </w:comment>
  <w:comment w:id="13" w:author="HP" w:date="2025-06-07T13:01:00Z" w:initials="H">
    <w:p w14:paraId="72FF9295" w14:textId="48FF1A9C" w:rsidR="0002215A" w:rsidRDefault="0002215A">
      <w:pPr>
        <w:pStyle w:val="CommentText"/>
      </w:pPr>
      <w:r>
        <w:rPr>
          <w:rStyle w:val="CommentReference"/>
        </w:rPr>
        <w:annotationRef/>
      </w:r>
      <w:r>
        <w:t>Look for a corrent citation</w:t>
      </w:r>
    </w:p>
  </w:comment>
  <w:comment w:id="14" w:author="HP" w:date="2025-06-07T13:02:00Z" w:initials="H">
    <w:p w14:paraId="52F0F9EA" w14:textId="68CA29A6" w:rsidR="0002215A" w:rsidRDefault="0002215A">
      <w:pPr>
        <w:pStyle w:val="CommentText"/>
      </w:pPr>
      <w:r>
        <w:rPr>
          <w:rStyle w:val="CommentReference"/>
        </w:rPr>
        <w:annotationRef/>
      </w:r>
      <w:r>
        <w:t>Old citation</w:t>
      </w:r>
    </w:p>
  </w:comment>
  <w:comment w:id="15" w:author="HP" w:date="2025-06-07T13:05:00Z" w:initials="H">
    <w:p w14:paraId="51C60896" w14:textId="66AC528D" w:rsidR="0002215A" w:rsidRDefault="0002215A">
      <w:pPr>
        <w:pStyle w:val="CommentText"/>
      </w:pPr>
      <w:r>
        <w:rPr>
          <w:rStyle w:val="CommentReference"/>
        </w:rPr>
        <w:annotationRef/>
      </w:r>
      <w:r>
        <w:t>italize</w:t>
      </w:r>
    </w:p>
  </w:comment>
  <w:comment w:id="16" w:author="HP" w:date="2025-06-07T13:06:00Z" w:initials="H">
    <w:p w14:paraId="013458B7" w14:textId="2DED5774" w:rsidR="0002215A" w:rsidRDefault="0002215A">
      <w:pPr>
        <w:pStyle w:val="CommentText"/>
      </w:pPr>
      <w:r>
        <w:rPr>
          <w:rStyle w:val="CommentReference"/>
        </w:rPr>
        <w:annotationRef/>
      </w:r>
      <w:r>
        <w:t xml:space="preserve"> current citation will be better</w:t>
      </w:r>
    </w:p>
  </w:comment>
  <w:comment w:id="17" w:author="HP" w:date="2025-06-07T13:07:00Z" w:initials="H">
    <w:p w14:paraId="20B7A31B" w14:textId="6BA1F355" w:rsidR="0002215A" w:rsidRDefault="0002215A">
      <w:pPr>
        <w:pStyle w:val="CommentText"/>
      </w:pPr>
      <w:r>
        <w:rPr>
          <w:rStyle w:val="CommentReference"/>
        </w:rPr>
        <w:annotationRef/>
      </w:r>
      <w:r>
        <w:t>italize</w:t>
      </w:r>
    </w:p>
  </w:comment>
  <w:comment w:id="18" w:author="HP" w:date="2025-06-07T13:07:00Z" w:initials="H">
    <w:p w14:paraId="66DA7D46" w14:textId="319F59A5" w:rsidR="0002215A" w:rsidRDefault="0002215A">
      <w:pPr>
        <w:pStyle w:val="CommentText"/>
      </w:pPr>
      <w:r>
        <w:rPr>
          <w:rStyle w:val="CommentReference"/>
        </w:rPr>
        <w:annotationRef/>
      </w:r>
      <w:r>
        <w:t>this is not enough for a toxicity study. You need to check the effect on the liver and kidneys through serum biochemistry</w:t>
      </w:r>
    </w:p>
  </w:comment>
  <w:comment w:id="19" w:author="HP" w:date="2025-06-07T13:10:00Z" w:initials="H">
    <w:p w14:paraId="4C0393D8" w14:textId="37CC0885" w:rsidR="003E1A36" w:rsidRDefault="003E1A36">
      <w:pPr>
        <w:pStyle w:val="CommentText"/>
      </w:pPr>
      <w:r>
        <w:rPr>
          <w:rStyle w:val="CommentReference"/>
        </w:rPr>
        <w:annotationRef/>
      </w:r>
      <w:r>
        <w:t>italize</w:t>
      </w:r>
    </w:p>
  </w:comment>
  <w:comment w:id="20" w:author="HP" w:date="2025-06-07T13:11:00Z" w:initials="H">
    <w:p w14:paraId="47DAA835" w14:textId="54C17E35" w:rsidR="003E1A36" w:rsidRDefault="003E1A36">
      <w:pPr>
        <w:pStyle w:val="CommentText"/>
      </w:pPr>
      <w:r>
        <w:rPr>
          <w:rStyle w:val="CommentReference"/>
        </w:rPr>
        <w:annotationRef/>
      </w:r>
      <w:r>
        <w:rPr>
          <w:rStyle w:val="CommentReference"/>
        </w:rPr>
        <w:t>Ethical approval number should be included here.</w:t>
      </w:r>
    </w:p>
  </w:comment>
  <w:comment w:id="21" w:author="HP" w:date="2025-06-07T13:13:00Z" w:initials="H">
    <w:p w14:paraId="5D4D9286" w14:textId="21D9BAF3" w:rsidR="003E1A36" w:rsidRDefault="003E1A36">
      <w:pPr>
        <w:pStyle w:val="CommentText"/>
      </w:pPr>
      <w:r>
        <w:rPr>
          <w:rStyle w:val="CommentReference"/>
        </w:rPr>
        <w:annotationRef/>
      </w:r>
      <w:r>
        <w:t>Use current citation pls</w:t>
      </w:r>
    </w:p>
  </w:comment>
  <w:comment w:id="23" w:author="HP" w:date="2025-06-07T13:20:00Z" w:initials="H">
    <w:p w14:paraId="49AB2714" w14:textId="7D3EA8E0" w:rsidR="003E1A36" w:rsidRDefault="003E1A36">
      <w:pPr>
        <w:pStyle w:val="CommentText"/>
      </w:pPr>
      <w:r>
        <w:rPr>
          <w:rStyle w:val="CommentReference"/>
        </w:rPr>
        <w:annotationRef/>
      </w:r>
      <w:r>
        <w:t>italize</w:t>
      </w:r>
    </w:p>
  </w:comment>
  <w:comment w:id="24" w:author="HP" w:date="2025-06-07T13:20:00Z" w:initials="H">
    <w:p w14:paraId="53806419" w14:textId="157756AF" w:rsidR="00663A4F" w:rsidRDefault="00663A4F">
      <w:pPr>
        <w:pStyle w:val="CommentText"/>
      </w:pPr>
      <w:r>
        <w:rPr>
          <w:rStyle w:val="CommentReference"/>
        </w:rPr>
        <w:annotationRef/>
      </w:r>
      <w:r>
        <w:t>old citation</w:t>
      </w:r>
    </w:p>
  </w:comment>
  <w:comment w:id="25" w:author="HP" w:date="2025-06-07T13:21:00Z" w:initials="H">
    <w:p w14:paraId="78E31A14" w14:textId="308FF850" w:rsidR="00663A4F" w:rsidRDefault="00663A4F">
      <w:pPr>
        <w:pStyle w:val="CommentText"/>
      </w:pPr>
      <w:r>
        <w:rPr>
          <w:rStyle w:val="CommentReference"/>
        </w:rPr>
        <w:annotationRef/>
      </w:r>
      <w:r>
        <w:t>old citation</w:t>
      </w:r>
    </w:p>
  </w:comment>
  <w:comment w:id="27" w:author="HP" w:date="2025-06-07T13:25:00Z" w:initials="H">
    <w:p w14:paraId="2D09468B" w14:textId="2B4BB400" w:rsidR="00663A4F" w:rsidRDefault="00663A4F">
      <w:pPr>
        <w:pStyle w:val="CommentText"/>
      </w:pPr>
      <w:r>
        <w:rPr>
          <w:rStyle w:val="CommentReference"/>
        </w:rPr>
        <w:annotationRef/>
      </w:r>
      <w:r>
        <w:t>no description about the table. This is very important</w:t>
      </w:r>
    </w:p>
  </w:comment>
  <w:comment w:id="28" w:author="HP" w:date="2025-06-07T13:26:00Z" w:initials="H">
    <w:p w14:paraId="1245408A" w14:textId="4221CE8C" w:rsidR="00663A4F" w:rsidRDefault="00663A4F">
      <w:pPr>
        <w:pStyle w:val="CommentText"/>
      </w:pPr>
      <w:r>
        <w:rPr>
          <w:rStyle w:val="CommentReference"/>
        </w:rPr>
        <w:annotationRef/>
      </w:r>
      <w:r>
        <w:t>rephrase for better understanding</w:t>
      </w:r>
    </w:p>
  </w:comment>
  <w:comment w:id="29" w:author="HP" w:date="2025-06-07T13:22:00Z" w:initials="H">
    <w:p w14:paraId="5D5E2EE3" w14:textId="7518B760" w:rsidR="00663A4F" w:rsidRDefault="00663A4F">
      <w:pPr>
        <w:pStyle w:val="CommentText"/>
      </w:pPr>
      <w:r>
        <w:rPr>
          <w:rStyle w:val="CommentReference"/>
        </w:rPr>
        <w:annotationRef/>
      </w:r>
      <w:r>
        <w:t>table can be better represented. No description on the table.</w:t>
      </w:r>
    </w:p>
  </w:comment>
  <w:comment w:id="30" w:author="HP" w:date="2025-06-07T13:28:00Z" w:initials="H">
    <w:p w14:paraId="767A9BE0" w14:textId="5F97B054" w:rsidR="00663A4F" w:rsidRDefault="00663A4F">
      <w:pPr>
        <w:pStyle w:val="CommentText"/>
      </w:pPr>
      <w:r>
        <w:rPr>
          <w:rStyle w:val="CommentReference"/>
        </w:rPr>
        <w:annotationRef/>
      </w:r>
      <w:r>
        <w:t>Recast to reflect scientific writing</w:t>
      </w:r>
    </w:p>
  </w:comment>
  <w:comment w:id="31" w:author="HP" w:date="2025-06-07T13:29:00Z" w:initials="H">
    <w:p w14:paraId="63715E7D" w14:textId="7B4F2DCD" w:rsidR="00663A4F" w:rsidRDefault="00663A4F">
      <w:pPr>
        <w:pStyle w:val="CommentText"/>
      </w:pPr>
      <w:r>
        <w:rPr>
          <w:rStyle w:val="CommentReference"/>
        </w:rPr>
        <w:annotationRef/>
      </w:r>
      <w:r>
        <w:t>No description of the table</w:t>
      </w:r>
    </w:p>
  </w:comment>
  <w:comment w:id="32" w:author="HP" w:date="2025-06-07T13:30:00Z" w:initials="H">
    <w:p w14:paraId="523CA7E2" w14:textId="1D0E6907" w:rsidR="00663A4F" w:rsidRDefault="00663A4F">
      <w:pPr>
        <w:pStyle w:val="CommentText"/>
      </w:pPr>
      <w:r>
        <w:rPr>
          <w:rStyle w:val="CommentReference"/>
        </w:rPr>
        <w:annotationRef/>
      </w:r>
      <w:r>
        <w:t>Description is not reflective of the table</w:t>
      </w:r>
    </w:p>
  </w:comment>
  <w:comment w:id="33" w:author="HP" w:date="2025-06-07T13:31:00Z" w:initials="H">
    <w:p w14:paraId="2C7063AA" w14:textId="35C559D9" w:rsidR="002E20C4" w:rsidRDefault="002E20C4">
      <w:pPr>
        <w:pStyle w:val="CommentText"/>
      </w:pPr>
      <w:r>
        <w:rPr>
          <w:rStyle w:val="CommentReference"/>
        </w:rPr>
        <w:annotationRef/>
      </w:r>
      <w:r>
        <w:t>No good description of the table. You need to explain here.</w:t>
      </w:r>
    </w:p>
  </w:comment>
  <w:comment w:id="34" w:author="HP" w:date="2025-06-07T13:33:00Z" w:initials="H">
    <w:p w14:paraId="2A997F57" w14:textId="19CE469B" w:rsidR="002E20C4" w:rsidRDefault="002E20C4">
      <w:pPr>
        <w:pStyle w:val="CommentText"/>
      </w:pPr>
      <w:r>
        <w:rPr>
          <w:rStyle w:val="CommentReference"/>
        </w:rPr>
        <w:annotationRef/>
      </w:r>
      <w:r>
        <w:t>This is not descussion,the result should be fully explained here.</w:t>
      </w:r>
    </w:p>
  </w:comment>
  <w:comment w:id="35" w:author="HP" w:date="2025-06-07T13:43:00Z" w:initials="H">
    <w:p w14:paraId="1297DBBF" w14:textId="74219660" w:rsidR="00B65F9E" w:rsidRDefault="00B65F9E">
      <w:pPr>
        <w:pStyle w:val="CommentText"/>
      </w:pPr>
      <w:r>
        <w:rPr>
          <w:rStyle w:val="CommentReference"/>
        </w:rPr>
        <w:annotationRef/>
      </w:r>
      <w:r>
        <w:t>Justify the write up</w:t>
      </w:r>
    </w:p>
  </w:comment>
  <w:comment w:id="36" w:author="HP" w:date="2025-06-07T13:47:00Z" w:initials="H">
    <w:p w14:paraId="65CB4EBF" w14:textId="2E3A6F24" w:rsidR="00B65F9E" w:rsidRDefault="00B65F9E">
      <w:pPr>
        <w:pStyle w:val="CommentText"/>
      </w:pPr>
      <w:r>
        <w:rPr>
          <w:rStyle w:val="CommentReference"/>
        </w:rPr>
        <w:annotationRef/>
      </w:r>
      <w:r>
        <w:t>Is this a figure or plate? No report about it from the pathologist.</w:t>
      </w:r>
    </w:p>
  </w:comment>
  <w:comment w:id="38" w:author="HP" w:date="2025-06-07T13:52:00Z" w:initials="H">
    <w:p w14:paraId="264EADA8" w14:textId="5E98D2B9" w:rsidR="0076338D" w:rsidRDefault="0076338D">
      <w:pPr>
        <w:pStyle w:val="CommentText"/>
      </w:pPr>
      <w:r>
        <w:rPr>
          <w:rStyle w:val="CommentReference"/>
        </w:rPr>
        <w:annotationRef/>
      </w:r>
      <w:r>
        <w:t>The results were not well discussed, apart from relating the results to other findings, the results were not discussed on why the mushroom exhibited the findings. Kindly discuss your results properly to reflect the results. Italize your citations and also justify the whole right up</w:t>
      </w:r>
    </w:p>
  </w:comment>
  <w:comment w:id="37" w:author="HP" w:date="2025-06-07T13:52:00Z" w:initials="H">
    <w:p w14:paraId="3510FE03" w14:textId="67ED9540" w:rsidR="0076338D" w:rsidRDefault="0076338D">
      <w:pPr>
        <w:pStyle w:val="CommentText"/>
      </w:pPr>
      <w:r>
        <w:rPr>
          <w:rStyle w:val="CommentReference"/>
        </w:rPr>
        <w:annotationRef/>
      </w:r>
    </w:p>
  </w:comment>
  <w:comment w:id="39" w:author="HP" w:date="2025-06-07T13:58:00Z" w:initials="H">
    <w:p w14:paraId="30B7212E" w14:textId="6A8EFAE9" w:rsidR="0076338D" w:rsidRDefault="0076338D">
      <w:pPr>
        <w:pStyle w:val="CommentText"/>
      </w:pPr>
      <w:r>
        <w:rPr>
          <w:rStyle w:val="CommentReference"/>
        </w:rPr>
        <w:annotationRef/>
      </w:r>
      <w:r>
        <w:t>No toxicity test to confirm this.</w:t>
      </w:r>
    </w:p>
  </w:comment>
  <w:comment w:id="41" w:author="HP" w:date="2025-06-07T14:00:00Z" w:initials="H">
    <w:p w14:paraId="5AD47C96" w14:textId="0F6DF568" w:rsidR="0076338D" w:rsidRDefault="0076338D">
      <w:pPr>
        <w:pStyle w:val="CommentText"/>
      </w:pPr>
      <w:r>
        <w:rPr>
          <w:rStyle w:val="CommentReference"/>
        </w:rPr>
        <w:annotationRef/>
      </w:r>
      <w:r>
        <w:t>Work on your refrences. Take your ti</w:t>
      </w:r>
      <w:r w:rsidR="00612155">
        <w:t>me to review the refrences.</w:t>
      </w:r>
    </w:p>
  </w:comment>
  <w:comment w:id="40" w:author="HP" w:date="2025-06-07T14:00:00Z" w:initials="H">
    <w:p w14:paraId="2777357F" w14:textId="234C0EF9" w:rsidR="0076338D" w:rsidRDefault="0076338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701493" w15:done="0"/>
  <w15:commentEx w15:paraId="71197685" w15:done="0"/>
  <w15:commentEx w15:paraId="4034E0D9" w15:done="0"/>
  <w15:commentEx w15:paraId="3285F8BC" w15:done="0"/>
  <w15:commentEx w15:paraId="5F199E27" w15:done="0"/>
  <w15:commentEx w15:paraId="77458C60" w15:done="0"/>
  <w15:commentEx w15:paraId="0B79EEF2" w15:done="0"/>
  <w15:commentEx w15:paraId="213A9134" w15:done="0"/>
  <w15:commentEx w15:paraId="34971B86" w15:paraIdParent="213A9134" w15:done="0"/>
  <w15:commentEx w15:paraId="145D739E" w15:done="0"/>
  <w15:commentEx w15:paraId="389CCACA" w15:done="0"/>
  <w15:commentEx w15:paraId="6A2E5A95" w15:done="0"/>
  <w15:commentEx w15:paraId="72FF9295" w15:done="0"/>
  <w15:commentEx w15:paraId="52F0F9EA" w15:done="0"/>
  <w15:commentEx w15:paraId="51C60896" w15:done="0"/>
  <w15:commentEx w15:paraId="013458B7" w15:done="0"/>
  <w15:commentEx w15:paraId="20B7A31B" w15:done="0"/>
  <w15:commentEx w15:paraId="66DA7D46" w15:done="0"/>
  <w15:commentEx w15:paraId="4C0393D8" w15:done="0"/>
  <w15:commentEx w15:paraId="47DAA835" w15:done="0"/>
  <w15:commentEx w15:paraId="5D4D9286" w15:done="0"/>
  <w15:commentEx w15:paraId="49AB2714" w15:done="0"/>
  <w15:commentEx w15:paraId="53806419" w15:done="0"/>
  <w15:commentEx w15:paraId="78E31A14" w15:done="0"/>
  <w15:commentEx w15:paraId="2D09468B" w15:done="0"/>
  <w15:commentEx w15:paraId="1245408A" w15:done="0"/>
  <w15:commentEx w15:paraId="5D5E2EE3" w15:done="0"/>
  <w15:commentEx w15:paraId="767A9BE0" w15:done="0"/>
  <w15:commentEx w15:paraId="63715E7D" w15:done="0"/>
  <w15:commentEx w15:paraId="523CA7E2" w15:done="0"/>
  <w15:commentEx w15:paraId="2C7063AA" w15:done="0"/>
  <w15:commentEx w15:paraId="2A997F57" w15:done="0"/>
  <w15:commentEx w15:paraId="1297DBBF" w15:done="0"/>
  <w15:commentEx w15:paraId="65CB4EBF" w15:done="0"/>
  <w15:commentEx w15:paraId="264EADA8" w15:done="0"/>
  <w15:commentEx w15:paraId="3510FE03" w15:done="0"/>
  <w15:commentEx w15:paraId="30B7212E" w15:done="0"/>
  <w15:commentEx w15:paraId="5AD47C96" w15:done="0"/>
  <w15:commentEx w15:paraId="277735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CDDA02" w16cex:dateUtc="2025-06-07T16:28:00Z"/>
  <w16cex:commentExtensible w16cex:durableId="00EDE34F" w16cex:dateUtc="2025-06-07T16:30:00Z"/>
  <w16cex:commentExtensible w16cex:durableId="3AFEB752" w16cex:dateUtc="2025-06-07T16:31:00Z"/>
  <w16cex:commentExtensible w16cex:durableId="1EDD7A03" w16cex:dateUtc="2025-06-07T16:33:00Z"/>
  <w16cex:commentExtensible w16cex:durableId="72F7C253" w16cex:dateUtc="2025-06-07T16:34:00Z"/>
  <w16cex:commentExtensible w16cex:durableId="50B9FB34" w16cex:dateUtc="2025-06-07T16:35:00Z"/>
  <w16cex:commentExtensible w16cex:durableId="73B0A330" w16cex:dateUtc="2025-06-07T16:37:00Z"/>
  <w16cex:commentExtensible w16cex:durableId="391EC732" w16cex:dateUtc="2025-06-07T16:37:00Z"/>
  <w16cex:commentExtensible w16cex:durableId="5E263191" w16cex:dateUtc="2025-06-07T16:37:00Z"/>
  <w16cex:commentExtensible w16cex:durableId="1B6BEECD" w16cex:dateUtc="2025-06-07T16:37:00Z"/>
  <w16cex:commentExtensible w16cex:durableId="16E602F4" w16cex:dateUtc="2025-06-07T16:43:00Z"/>
  <w16cex:commentExtensible w16cex:durableId="48757199" w16cex:dateUtc="2025-06-07T16:41:00Z"/>
  <w16cex:commentExtensible w16cex:durableId="3DF9A4B1" w16cex:dateUtc="2025-06-07T12:01:00Z"/>
  <w16cex:commentExtensible w16cex:durableId="7DECFDA8" w16cex:dateUtc="2025-06-07T12:02:00Z"/>
  <w16cex:commentExtensible w16cex:durableId="53A4FF44" w16cex:dateUtc="2025-06-07T12:05:00Z"/>
  <w16cex:commentExtensible w16cex:durableId="4DA6AB9F" w16cex:dateUtc="2025-06-07T12:06:00Z"/>
  <w16cex:commentExtensible w16cex:durableId="01071695" w16cex:dateUtc="2025-06-07T12:07:00Z"/>
  <w16cex:commentExtensible w16cex:durableId="0E4314E0" w16cex:dateUtc="2025-06-07T12:07:00Z"/>
  <w16cex:commentExtensible w16cex:durableId="1BD2004F" w16cex:dateUtc="2025-06-07T12:10:00Z"/>
  <w16cex:commentExtensible w16cex:durableId="4452A924" w16cex:dateUtc="2025-06-07T12:11:00Z"/>
  <w16cex:commentExtensible w16cex:durableId="273B519D" w16cex:dateUtc="2025-06-07T12:13:00Z"/>
  <w16cex:commentExtensible w16cex:durableId="0BCAC66D" w16cex:dateUtc="2025-06-07T12:20:00Z"/>
  <w16cex:commentExtensible w16cex:durableId="10DCAC17" w16cex:dateUtc="2025-06-07T12:20:00Z"/>
  <w16cex:commentExtensible w16cex:durableId="2918A3F9" w16cex:dateUtc="2025-06-07T12:21:00Z"/>
  <w16cex:commentExtensible w16cex:durableId="33C51BD9" w16cex:dateUtc="2025-06-07T12:25:00Z"/>
  <w16cex:commentExtensible w16cex:durableId="098279A6" w16cex:dateUtc="2025-06-07T12:26:00Z"/>
  <w16cex:commentExtensible w16cex:durableId="5C34BDE4" w16cex:dateUtc="2025-06-07T12:22:00Z"/>
  <w16cex:commentExtensible w16cex:durableId="1B40230D" w16cex:dateUtc="2025-06-07T12:28:00Z"/>
  <w16cex:commentExtensible w16cex:durableId="2D18F0F2" w16cex:dateUtc="2025-06-07T12:29:00Z"/>
  <w16cex:commentExtensible w16cex:durableId="37FBD219" w16cex:dateUtc="2025-06-07T12:30:00Z"/>
  <w16cex:commentExtensible w16cex:durableId="29A24CC9" w16cex:dateUtc="2025-06-07T12:31:00Z"/>
  <w16cex:commentExtensible w16cex:durableId="6767957D" w16cex:dateUtc="2025-06-07T12:33:00Z"/>
  <w16cex:commentExtensible w16cex:durableId="3F242364" w16cex:dateUtc="2025-06-07T12:43:00Z"/>
  <w16cex:commentExtensible w16cex:durableId="5469D2F9" w16cex:dateUtc="2025-06-07T12:47:00Z"/>
  <w16cex:commentExtensible w16cex:durableId="3DD735E0" w16cex:dateUtc="2025-06-07T12:52:00Z"/>
  <w16cex:commentExtensible w16cex:durableId="6B970E95" w16cex:dateUtc="2025-06-07T12:52:00Z"/>
  <w16cex:commentExtensible w16cex:durableId="6A0AC121" w16cex:dateUtc="2025-06-07T12:58:00Z"/>
  <w16cex:commentExtensible w16cex:durableId="4CB43ECF" w16cex:dateUtc="2025-06-07T13:00:00Z"/>
  <w16cex:commentExtensible w16cex:durableId="4E1C514C" w16cex:dateUtc="2025-06-07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701493" w16cid:durableId="1CCDDA02"/>
  <w16cid:commentId w16cid:paraId="71197685" w16cid:durableId="00EDE34F"/>
  <w16cid:commentId w16cid:paraId="4034E0D9" w16cid:durableId="3AFEB752"/>
  <w16cid:commentId w16cid:paraId="3285F8BC" w16cid:durableId="1EDD7A03"/>
  <w16cid:commentId w16cid:paraId="5F199E27" w16cid:durableId="72F7C253"/>
  <w16cid:commentId w16cid:paraId="77458C60" w16cid:durableId="50B9FB34"/>
  <w16cid:commentId w16cid:paraId="0B79EEF2" w16cid:durableId="73B0A330"/>
  <w16cid:commentId w16cid:paraId="213A9134" w16cid:durableId="391EC732"/>
  <w16cid:commentId w16cid:paraId="34971B86" w16cid:durableId="5E263191"/>
  <w16cid:commentId w16cid:paraId="145D739E" w16cid:durableId="1B6BEECD"/>
  <w16cid:commentId w16cid:paraId="389CCACA" w16cid:durableId="16E602F4"/>
  <w16cid:commentId w16cid:paraId="6A2E5A95" w16cid:durableId="48757199"/>
  <w16cid:commentId w16cid:paraId="72FF9295" w16cid:durableId="3DF9A4B1"/>
  <w16cid:commentId w16cid:paraId="52F0F9EA" w16cid:durableId="7DECFDA8"/>
  <w16cid:commentId w16cid:paraId="51C60896" w16cid:durableId="53A4FF44"/>
  <w16cid:commentId w16cid:paraId="013458B7" w16cid:durableId="4DA6AB9F"/>
  <w16cid:commentId w16cid:paraId="20B7A31B" w16cid:durableId="01071695"/>
  <w16cid:commentId w16cid:paraId="66DA7D46" w16cid:durableId="0E4314E0"/>
  <w16cid:commentId w16cid:paraId="4C0393D8" w16cid:durableId="1BD2004F"/>
  <w16cid:commentId w16cid:paraId="47DAA835" w16cid:durableId="4452A924"/>
  <w16cid:commentId w16cid:paraId="5D4D9286" w16cid:durableId="273B519D"/>
  <w16cid:commentId w16cid:paraId="49AB2714" w16cid:durableId="0BCAC66D"/>
  <w16cid:commentId w16cid:paraId="53806419" w16cid:durableId="10DCAC17"/>
  <w16cid:commentId w16cid:paraId="78E31A14" w16cid:durableId="2918A3F9"/>
  <w16cid:commentId w16cid:paraId="2D09468B" w16cid:durableId="33C51BD9"/>
  <w16cid:commentId w16cid:paraId="1245408A" w16cid:durableId="098279A6"/>
  <w16cid:commentId w16cid:paraId="5D5E2EE3" w16cid:durableId="5C34BDE4"/>
  <w16cid:commentId w16cid:paraId="767A9BE0" w16cid:durableId="1B40230D"/>
  <w16cid:commentId w16cid:paraId="63715E7D" w16cid:durableId="2D18F0F2"/>
  <w16cid:commentId w16cid:paraId="523CA7E2" w16cid:durableId="37FBD219"/>
  <w16cid:commentId w16cid:paraId="2C7063AA" w16cid:durableId="29A24CC9"/>
  <w16cid:commentId w16cid:paraId="2A997F57" w16cid:durableId="6767957D"/>
  <w16cid:commentId w16cid:paraId="1297DBBF" w16cid:durableId="3F242364"/>
  <w16cid:commentId w16cid:paraId="65CB4EBF" w16cid:durableId="5469D2F9"/>
  <w16cid:commentId w16cid:paraId="264EADA8" w16cid:durableId="3DD735E0"/>
  <w16cid:commentId w16cid:paraId="3510FE03" w16cid:durableId="6B970E95"/>
  <w16cid:commentId w16cid:paraId="30B7212E" w16cid:durableId="6A0AC121"/>
  <w16cid:commentId w16cid:paraId="5AD47C96" w16cid:durableId="4CB43ECF"/>
  <w16cid:commentId w16cid:paraId="2777357F" w16cid:durableId="4E1C51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01271" w14:textId="77777777" w:rsidR="00C57876" w:rsidRDefault="00C57876" w:rsidP="00C37E61">
      <w:r>
        <w:separator/>
      </w:r>
    </w:p>
  </w:endnote>
  <w:endnote w:type="continuationSeparator" w:id="0">
    <w:p w14:paraId="7ACF4915" w14:textId="77777777" w:rsidR="00C57876" w:rsidRDefault="00C5787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C3021" w14:textId="77777777" w:rsidR="00536398" w:rsidRDefault="00536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8D62C" w14:textId="77777777" w:rsidR="00536398" w:rsidRDefault="00536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F0647" w14:textId="77777777" w:rsidR="009E048A" w:rsidRDefault="009E048A">
    <w:pPr>
      <w:pStyle w:val="Footer"/>
      <w:rPr>
        <w:rFonts w:ascii="Arial" w:hAnsi="Arial" w:cs="Arial"/>
        <w:sz w:val="16"/>
      </w:rPr>
    </w:pPr>
  </w:p>
  <w:p w14:paraId="48E0D16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3CDF66A" w14:textId="77777777" w:rsidR="009E048A" w:rsidRDefault="009E048A">
    <w:pPr>
      <w:pStyle w:val="Footer"/>
      <w:rPr>
        <w:rFonts w:ascii="Arial" w:hAnsi="Arial" w:cs="Arial"/>
        <w:sz w:val="16"/>
      </w:rPr>
    </w:pPr>
  </w:p>
  <w:p w14:paraId="3F7341D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D2709" w14:textId="77777777" w:rsidR="00C57876" w:rsidRDefault="00C57876" w:rsidP="00C37E61">
      <w:r>
        <w:separator/>
      </w:r>
    </w:p>
  </w:footnote>
  <w:footnote w:type="continuationSeparator" w:id="0">
    <w:p w14:paraId="20ED66E3" w14:textId="77777777" w:rsidR="00C57876" w:rsidRDefault="00C5787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8093F" w14:textId="3E980BEF" w:rsidR="00536398" w:rsidRDefault="00000000">
    <w:pPr>
      <w:pStyle w:val="Header"/>
    </w:pPr>
    <w:r>
      <w:rPr>
        <w:noProof/>
      </w:rPr>
      <w:pict w14:anchorId="1C608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24600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81647" w14:textId="65ACA5DC" w:rsidR="00536398" w:rsidRDefault="00000000">
    <w:pPr>
      <w:pStyle w:val="Header"/>
    </w:pPr>
    <w:r>
      <w:rPr>
        <w:noProof/>
      </w:rPr>
      <w:pict w14:anchorId="56D93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24600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9AAA8" w14:textId="21E20871" w:rsidR="00296529" w:rsidRPr="00296529" w:rsidRDefault="00000000" w:rsidP="00296529">
    <w:pPr>
      <w:ind w:left="2160"/>
      <w:jc w:val="center"/>
      <w:rPr>
        <w:rFonts w:ascii="Times New Roman" w:eastAsia="Calibri" w:hAnsi="Times New Roman"/>
        <w:i/>
        <w:sz w:val="18"/>
        <w:szCs w:val="22"/>
      </w:rPr>
    </w:pPr>
    <w:r>
      <w:rPr>
        <w:noProof/>
      </w:rPr>
      <w:pict w14:anchorId="12CEC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24600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C84C73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CDBA78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1B6CD5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CF17B7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71B83A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595EF96"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FB0569"/>
    <w:multiLevelType w:val="multilevel"/>
    <w:tmpl w:val="8200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2277E8"/>
    <w:multiLevelType w:val="multilevel"/>
    <w:tmpl w:val="A43E7A9C"/>
    <w:lvl w:ilvl="0">
      <w:start w:val="2"/>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D4F4711"/>
    <w:multiLevelType w:val="multilevel"/>
    <w:tmpl w:val="E76E2EC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bCs/>
      </w:rPr>
    </w:lvl>
    <w:lvl w:ilvl="2">
      <w:start w:val="1"/>
      <w:numFmt w:val="decimal"/>
      <w:isLgl/>
      <w:lvlText w:val="%1.%2.%3."/>
      <w:lvlJc w:val="left"/>
      <w:pPr>
        <w:ind w:left="1145"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C1E50B0"/>
    <w:multiLevelType w:val="multilevel"/>
    <w:tmpl w:val="A18E36F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13440116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75202132">
    <w:abstractNumId w:val="18"/>
  </w:num>
  <w:num w:numId="3" w16cid:durableId="1995834780">
    <w:abstractNumId w:val="27"/>
  </w:num>
  <w:num w:numId="4" w16cid:durableId="148420367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64697737">
    <w:abstractNumId w:val="8"/>
  </w:num>
  <w:num w:numId="6" w16cid:durableId="168450258">
    <w:abstractNumId w:val="7"/>
  </w:num>
  <w:num w:numId="7" w16cid:durableId="1910578131">
    <w:abstractNumId w:val="1"/>
  </w:num>
  <w:num w:numId="8" w16cid:durableId="877208839">
    <w:abstractNumId w:val="14"/>
  </w:num>
  <w:num w:numId="9" w16cid:durableId="336275508">
    <w:abstractNumId w:val="29"/>
  </w:num>
  <w:num w:numId="10" w16cid:durableId="667555790">
    <w:abstractNumId w:val="2"/>
  </w:num>
  <w:num w:numId="11" w16cid:durableId="345209075">
    <w:abstractNumId w:val="22"/>
  </w:num>
  <w:num w:numId="12" w16cid:durableId="1900095508">
    <w:abstractNumId w:val="4"/>
  </w:num>
  <w:num w:numId="13" w16cid:durableId="963392810">
    <w:abstractNumId w:val="21"/>
  </w:num>
  <w:num w:numId="14" w16cid:durableId="1376081093">
    <w:abstractNumId w:val="9"/>
  </w:num>
  <w:num w:numId="15" w16cid:durableId="1791971553">
    <w:abstractNumId w:val="25"/>
  </w:num>
  <w:num w:numId="16" w16cid:durableId="1754936468">
    <w:abstractNumId w:val="6"/>
  </w:num>
  <w:num w:numId="17" w16cid:durableId="1181236379">
    <w:abstractNumId w:val="26"/>
  </w:num>
  <w:num w:numId="18" w16cid:durableId="2041320558">
    <w:abstractNumId w:val="16"/>
  </w:num>
  <w:num w:numId="19" w16cid:durableId="1724210171">
    <w:abstractNumId w:val="32"/>
  </w:num>
  <w:num w:numId="20" w16cid:durableId="200560573">
    <w:abstractNumId w:val="13"/>
  </w:num>
  <w:num w:numId="21" w16cid:durableId="976187020">
    <w:abstractNumId w:val="10"/>
  </w:num>
  <w:num w:numId="22" w16cid:durableId="1824004892">
    <w:abstractNumId w:val="15"/>
  </w:num>
  <w:num w:numId="23" w16cid:durableId="1315455098">
    <w:abstractNumId w:val="23"/>
  </w:num>
  <w:num w:numId="24" w16cid:durableId="973144374">
    <w:abstractNumId w:val="30"/>
  </w:num>
  <w:num w:numId="25" w16cid:durableId="905140317">
    <w:abstractNumId w:val="5"/>
  </w:num>
  <w:num w:numId="26" w16cid:durableId="220404959">
    <w:abstractNumId w:val="20"/>
  </w:num>
  <w:num w:numId="27" w16cid:durableId="890967254">
    <w:abstractNumId w:val="24"/>
  </w:num>
  <w:num w:numId="28" w16cid:durableId="1407144614">
    <w:abstractNumId w:val="31"/>
  </w:num>
  <w:num w:numId="29" w16cid:durableId="643195703">
    <w:abstractNumId w:val="28"/>
  </w:num>
  <w:num w:numId="30" w16cid:durableId="1137840045">
    <w:abstractNumId w:val="11"/>
  </w:num>
  <w:num w:numId="31" w16cid:durableId="198472413">
    <w:abstractNumId w:val="19"/>
  </w:num>
  <w:num w:numId="32" w16cid:durableId="403381020">
    <w:abstractNumId w:val="3"/>
  </w:num>
  <w:num w:numId="33" w16cid:durableId="1839804082">
    <w:abstractNumId w:val="17"/>
  </w:num>
  <w:num w:numId="34" w16cid:durableId="7028275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215A"/>
    <w:rsid w:val="00030174"/>
    <w:rsid w:val="0004579C"/>
    <w:rsid w:val="00090E53"/>
    <w:rsid w:val="000A47FA"/>
    <w:rsid w:val="000A65D3"/>
    <w:rsid w:val="000B1E33"/>
    <w:rsid w:val="000D689F"/>
    <w:rsid w:val="000E7B7B"/>
    <w:rsid w:val="000E7D62"/>
    <w:rsid w:val="00103357"/>
    <w:rsid w:val="00107228"/>
    <w:rsid w:val="00115893"/>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77C0"/>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20C4"/>
    <w:rsid w:val="002E6987"/>
    <w:rsid w:val="002E6B58"/>
    <w:rsid w:val="00301C9E"/>
    <w:rsid w:val="00301D52"/>
    <w:rsid w:val="00315186"/>
    <w:rsid w:val="00320776"/>
    <w:rsid w:val="0033125A"/>
    <w:rsid w:val="0033343E"/>
    <w:rsid w:val="003512C2"/>
    <w:rsid w:val="00362B04"/>
    <w:rsid w:val="0036493B"/>
    <w:rsid w:val="00371FB6"/>
    <w:rsid w:val="003751B9"/>
    <w:rsid w:val="003763C1"/>
    <w:rsid w:val="00376BBE"/>
    <w:rsid w:val="0039224F"/>
    <w:rsid w:val="003A43A4"/>
    <w:rsid w:val="003A46EB"/>
    <w:rsid w:val="003A7E18"/>
    <w:rsid w:val="003C4C86"/>
    <w:rsid w:val="003C6258"/>
    <w:rsid w:val="003E1A36"/>
    <w:rsid w:val="003E2904"/>
    <w:rsid w:val="00401927"/>
    <w:rsid w:val="0041027F"/>
    <w:rsid w:val="00412475"/>
    <w:rsid w:val="00423789"/>
    <w:rsid w:val="00440F43"/>
    <w:rsid w:val="00441B6F"/>
    <w:rsid w:val="004425B7"/>
    <w:rsid w:val="00446221"/>
    <w:rsid w:val="00450E62"/>
    <w:rsid w:val="004539DB"/>
    <w:rsid w:val="00471A80"/>
    <w:rsid w:val="00480F42"/>
    <w:rsid w:val="0048674D"/>
    <w:rsid w:val="004C0556"/>
    <w:rsid w:val="004D305E"/>
    <w:rsid w:val="004D4277"/>
    <w:rsid w:val="00502516"/>
    <w:rsid w:val="00505F06"/>
    <w:rsid w:val="00506828"/>
    <w:rsid w:val="00525A18"/>
    <w:rsid w:val="0053056E"/>
    <w:rsid w:val="0053269A"/>
    <w:rsid w:val="00536398"/>
    <w:rsid w:val="00554FDA"/>
    <w:rsid w:val="00560AB7"/>
    <w:rsid w:val="005C784C"/>
    <w:rsid w:val="005D17F6"/>
    <w:rsid w:val="005D66D7"/>
    <w:rsid w:val="005E5539"/>
    <w:rsid w:val="00602BF5"/>
    <w:rsid w:val="00612155"/>
    <w:rsid w:val="00617FDD"/>
    <w:rsid w:val="00631CF1"/>
    <w:rsid w:val="00633614"/>
    <w:rsid w:val="00633F68"/>
    <w:rsid w:val="00636EB2"/>
    <w:rsid w:val="006375B8"/>
    <w:rsid w:val="00646FE7"/>
    <w:rsid w:val="00663A4F"/>
    <w:rsid w:val="0066510A"/>
    <w:rsid w:val="006717CE"/>
    <w:rsid w:val="00673F9F"/>
    <w:rsid w:val="00686953"/>
    <w:rsid w:val="00687DEA"/>
    <w:rsid w:val="00687E67"/>
    <w:rsid w:val="006967F7"/>
    <w:rsid w:val="006A250C"/>
    <w:rsid w:val="006B21D3"/>
    <w:rsid w:val="006B57D0"/>
    <w:rsid w:val="006B57D7"/>
    <w:rsid w:val="006D30FF"/>
    <w:rsid w:val="006D6940"/>
    <w:rsid w:val="006F11EC"/>
    <w:rsid w:val="0070082C"/>
    <w:rsid w:val="007369E6"/>
    <w:rsid w:val="00737415"/>
    <w:rsid w:val="00746E59"/>
    <w:rsid w:val="00754C9A"/>
    <w:rsid w:val="0075599A"/>
    <w:rsid w:val="00761D52"/>
    <w:rsid w:val="0076338D"/>
    <w:rsid w:val="0077749E"/>
    <w:rsid w:val="00790ADA"/>
    <w:rsid w:val="007B5B21"/>
    <w:rsid w:val="007D2288"/>
    <w:rsid w:val="007E088F"/>
    <w:rsid w:val="007F7B32"/>
    <w:rsid w:val="00804BC2"/>
    <w:rsid w:val="0081431A"/>
    <w:rsid w:val="00816354"/>
    <w:rsid w:val="0083216F"/>
    <w:rsid w:val="00860000"/>
    <w:rsid w:val="00863BD3"/>
    <w:rsid w:val="008641ED"/>
    <w:rsid w:val="00866D66"/>
    <w:rsid w:val="008671C6"/>
    <w:rsid w:val="00875803"/>
    <w:rsid w:val="008769C8"/>
    <w:rsid w:val="0089420D"/>
    <w:rsid w:val="008B459E"/>
    <w:rsid w:val="008C3E4A"/>
    <w:rsid w:val="008E13AE"/>
    <w:rsid w:val="008E1506"/>
    <w:rsid w:val="008E40DD"/>
    <w:rsid w:val="008E710C"/>
    <w:rsid w:val="008F69D6"/>
    <w:rsid w:val="00902823"/>
    <w:rsid w:val="00915CA6"/>
    <w:rsid w:val="00927834"/>
    <w:rsid w:val="009417BE"/>
    <w:rsid w:val="009500A6"/>
    <w:rsid w:val="00957C18"/>
    <w:rsid w:val="00961B44"/>
    <w:rsid w:val="009659BA"/>
    <w:rsid w:val="00983040"/>
    <w:rsid w:val="009B3FB9"/>
    <w:rsid w:val="009C2465"/>
    <w:rsid w:val="009D35A0"/>
    <w:rsid w:val="009D7EB7"/>
    <w:rsid w:val="009E048A"/>
    <w:rsid w:val="009E08E9"/>
    <w:rsid w:val="009E2C62"/>
    <w:rsid w:val="009E3DB9"/>
    <w:rsid w:val="009E6E35"/>
    <w:rsid w:val="009F0EDA"/>
    <w:rsid w:val="00A03B96"/>
    <w:rsid w:val="00A05B19"/>
    <w:rsid w:val="00A1134E"/>
    <w:rsid w:val="00A24E7E"/>
    <w:rsid w:val="00A258C3"/>
    <w:rsid w:val="00A347C0"/>
    <w:rsid w:val="00A4187D"/>
    <w:rsid w:val="00A46C8E"/>
    <w:rsid w:val="00A51431"/>
    <w:rsid w:val="00A539AD"/>
    <w:rsid w:val="00A94063"/>
    <w:rsid w:val="00AA13BC"/>
    <w:rsid w:val="00AA6219"/>
    <w:rsid w:val="00AA74E0"/>
    <w:rsid w:val="00AB703F"/>
    <w:rsid w:val="00AC6BB8"/>
    <w:rsid w:val="00AE008F"/>
    <w:rsid w:val="00AE2E27"/>
    <w:rsid w:val="00AF50B8"/>
    <w:rsid w:val="00B01FCD"/>
    <w:rsid w:val="00B1776C"/>
    <w:rsid w:val="00B52583"/>
    <w:rsid w:val="00B52896"/>
    <w:rsid w:val="00B65F9E"/>
    <w:rsid w:val="00B95236"/>
    <w:rsid w:val="00B96BD9"/>
    <w:rsid w:val="00BA1B01"/>
    <w:rsid w:val="00BA2641"/>
    <w:rsid w:val="00BB37AA"/>
    <w:rsid w:val="00BC53A0"/>
    <w:rsid w:val="00BE62AD"/>
    <w:rsid w:val="00BF121F"/>
    <w:rsid w:val="00BF1F80"/>
    <w:rsid w:val="00C166EF"/>
    <w:rsid w:val="00C17EB0"/>
    <w:rsid w:val="00C27F5F"/>
    <w:rsid w:val="00C30A0F"/>
    <w:rsid w:val="00C3543B"/>
    <w:rsid w:val="00C37E61"/>
    <w:rsid w:val="00C553C2"/>
    <w:rsid w:val="00C57876"/>
    <w:rsid w:val="00C70F1B"/>
    <w:rsid w:val="00C71A47"/>
    <w:rsid w:val="00C7464C"/>
    <w:rsid w:val="00C85588"/>
    <w:rsid w:val="00CB4675"/>
    <w:rsid w:val="00CD6755"/>
    <w:rsid w:val="00CD6856"/>
    <w:rsid w:val="00CE0089"/>
    <w:rsid w:val="00CE793C"/>
    <w:rsid w:val="00CF193C"/>
    <w:rsid w:val="00D014D6"/>
    <w:rsid w:val="00D173F1"/>
    <w:rsid w:val="00D74CB0"/>
    <w:rsid w:val="00D8295D"/>
    <w:rsid w:val="00D90314"/>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7B03"/>
    <w:rsid w:val="00EA012C"/>
    <w:rsid w:val="00EA2523"/>
    <w:rsid w:val="00EC6A55"/>
    <w:rsid w:val="00ED0288"/>
    <w:rsid w:val="00EE52CB"/>
    <w:rsid w:val="00EF581D"/>
    <w:rsid w:val="00EF7FD8"/>
    <w:rsid w:val="00F06F59"/>
    <w:rsid w:val="00F17988"/>
    <w:rsid w:val="00F469F0"/>
    <w:rsid w:val="00F53273"/>
    <w:rsid w:val="00F755E4"/>
    <w:rsid w:val="00F75E6E"/>
    <w:rsid w:val="00F77D02"/>
    <w:rsid w:val="00FB3A86"/>
    <w:rsid w:val="00FD36C8"/>
    <w:rsid w:val="00FF0E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A022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02215A"/>
    <w:rPr>
      <w:rFonts w:ascii="Helvetica" w:hAnsi="Helvetica"/>
      <w:b/>
      <w:bCs/>
      <w:lang w:val="en-US" w:eastAsia="en-US"/>
    </w:rPr>
  </w:style>
  <w:style w:type="character" w:customStyle="1" w:styleId="CommentSubjectChar">
    <w:name w:val="Comment Subject Char"/>
    <w:basedOn w:val="CommentTextChar"/>
    <w:link w:val="CommentSubject"/>
    <w:semiHidden/>
    <w:rsid w:val="0002215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emf"/><Relationship Id="rId26" Type="http://schemas.openxmlformats.org/officeDocument/2006/relationships/image" Target="media/image5.e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9.emf"/><Relationship Id="rId42" Type="http://schemas.openxmlformats.org/officeDocument/2006/relationships/image" Target="media/image13.emf"/><Relationship Id="rId47" Type="http://schemas.openxmlformats.org/officeDocument/2006/relationships/hyperlink" Target="https://www.fao.org/fao-who-codexalimentarius.%20Accessed%20on%2014th%20may,2025"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oleObject" Target="embeddings/oleObject6.bin"/><Relationship Id="rId11" Type="http://schemas.openxmlformats.org/officeDocument/2006/relationships/footer" Target="footer2.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oleObject" Target="embeddings/oleObject10.bin"/><Relationship Id="rId40" Type="http://schemas.openxmlformats.org/officeDocument/2006/relationships/image" Target="media/image12.emf"/><Relationship Id="rId45" Type="http://schemas.openxmlformats.org/officeDocument/2006/relationships/oleObject" Target="embeddings/oleObject14.bin"/><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image" Target="media/image6.emf"/><Relationship Id="rId36" Type="http://schemas.openxmlformats.org/officeDocument/2006/relationships/image" Target="media/image10.emf"/><Relationship Id="rId49" Type="http://schemas.microsoft.com/office/2011/relationships/people" Target="people.xml"/><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oleObject" Target="embeddings/oleObject5.bin"/><Relationship Id="rId30" Type="http://schemas.openxmlformats.org/officeDocument/2006/relationships/image" Target="media/image7.e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emf"/><Relationship Id="rId46" Type="http://schemas.openxmlformats.org/officeDocument/2006/relationships/image" Target="media/image15.png"/><Relationship Id="rId20" Type="http://schemas.openxmlformats.org/officeDocument/2006/relationships/image" Target="media/image2.emf"/><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5F693-5B9E-487A-9ADD-87239D51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107</TotalTime>
  <Pages>16</Pages>
  <Words>6802</Words>
  <Characters>39725</Characters>
  <Application>Microsoft Office Word</Application>
  <DocSecurity>0</DocSecurity>
  <Lines>794</Lines>
  <Paragraphs>325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46202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22</cp:revision>
  <cp:lastPrinted>1999-07-06T11:00:00Z</cp:lastPrinted>
  <dcterms:created xsi:type="dcterms:W3CDTF">2025-06-04T20:13:00Z</dcterms:created>
  <dcterms:modified xsi:type="dcterms:W3CDTF">2025-06-07T16:43:00Z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0ff0b689-ab17-4764-aa2c-148e567e8e75</vt:lpwstr>
  </property>
</Properties>
</file>