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27B" w:rsidRPr="00515572" w:rsidRDefault="003D327B" w:rsidP="00DD5F77">
      <w:pPr>
        <w:spacing w:after="0" w:line="360" w:lineRule="auto"/>
        <w:contextualSpacing/>
        <w:jc w:val="center"/>
        <w:rPr>
          <w:rFonts w:ascii="Times New Roman" w:eastAsia="Calibri" w:hAnsi="Times New Roman" w:cs="Times New Roman"/>
          <w:b/>
          <w:bCs/>
          <w:sz w:val="24"/>
          <w:szCs w:val="24"/>
        </w:rPr>
      </w:pPr>
      <w:r w:rsidRPr="00515572">
        <w:rPr>
          <w:rFonts w:ascii="Times New Roman" w:eastAsia="Calibri" w:hAnsi="Times New Roman" w:cs="Times New Roman"/>
          <w:b/>
          <w:bCs/>
          <w:sz w:val="24"/>
          <w:szCs w:val="24"/>
        </w:rPr>
        <w:t xml:space="preserve">Population dynamics of </w:t>
      </w:r>
      <w:r w:rsidRPr="00515572">
        <w:rPr>
          <w:rFonts w:ascii="Times New Roman" w:eastAsia="Calibri" w:hAnsi="Times New Roman" w:cs="Times New Roman"/>
          <w:b/>
          <w:bCs/>
          <w:i/>
          <w:iCs/>
          <w:sz w:val="24"/>
          <w:szCs w:val="24"/>
        </w:rPr>
        <w:t>Hydrocynus forskahlii</w:t>
      </w:r>
      <w:r w:rsidRPr="00515572">
        <w:rPr>
          <w:rFonts w:ascii="Times New Roman" w:eastAsia="Calibri" w:hAnsi="Times New Roman" w:cs="Times New Roman"/>
          <w:b/>
          <w:bCs/>
          <w:sz w:val="24"/>
          <w:szCs w:val="24"/>
        </w:rPr>
        <w:t xml:space="preserve"> (Cuvier, 1819) from Rose</w:t>
      </w:r>
      <w:r w:rsidR="00174396">
        <w:rPr>
          <w:rFonts w:ascii="Times New Roman" w:eastAsia="Calibri" w:hAnsi="Times New Roman" w:cs="Times New Roman"/>
          <w:b/>
          <w:bCs/>
          <w:sz w:val="24"/>
          <w:szCs w:val="24"/>
        </w:rPr>
        <w:t>ir</w:t>
      </w:r>
      <w:r w:rsidRPr="00515572">
        <w:rPr>
          <w:rFonts w:ascii="Times New Roman" w:eastAsia="Calibri" w:hAnsi="Times New Roman" w:cs="Times New Roman"/>
          <w:b/>
          <w:bCs/>
          <w:sz w:val="24"/>
          <w:szCs w:val="24"/>
        </w:rPr>
        <w:t>es Reservoir, Sudan</w:t>
      </w:r>
      <w:r w:rsidR="00FC3256">
        <w:rPr>
          <w:rFonts w:ascii="Times New Roman" w:eastAsia="Calibri" w:hAnsi="Times New Roman" w:cs="Times New Roman"/>
          <w:b/>
          <w:bCs/>
          <w:sz w:val="24"/>
          <w:szCs w:val="24"/>
        </w:rPr>
        <w:t>.</w:t>
      </w:r>
    </w:p>
    <w:p w:rsidR="00D160C0" w:rsidRDefault="00D160C0" w:rsidP="00DD5F77">
      <w:pPr>
        <w:spacing w:after="0" w:line="360" w:lineRule="auto"/>
        <w:contextualSpacing/>
        <w:jc w:val="both"/>
        <w:outlineLvl w:val="2"/>
        <w:rPr>
          <w:rFonts w:ascii="Times New Roman" w:eastAsia="Times New Roman" w:hAnsi="Times New Roman" w:cs="Times New Roman"/>
          <w:b/>
          <w:bCs/>
          <w:sz w:val="24"/>
          <w:szCs w:val="24"/>
        </w:rPr>
      </w:pPr>
    </w:p>
    <w:p w:rsidR="003D327B" w:rsidRDefault="003D327B" w:rsidP="00DD5F77">
      <w:pPr>
        <w:spacing w:after="0" w:line="360" w:lineRule="auto"/>
        <w:contextualSpacing/>
        <w:jc w:val="both"/>
        <w:outlineLvl w:val="2"/>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Abstract</w:t>
      </w:r>
    </w:p>
    <w:p w:rsidR="003D327B" w:rsidRPr="00515572" w:rsidRDefault="00072EA6" w:rsidP="00DD5F77">
      <w:pPr>
        <w:spacing w:after="0" w:line="360" w:lineRule="auto"/>
        <w:contextualSpacing/>
        <w:jc w:val="both"/>
        <w:outlineLvl w:val="2"/>
        <w:rPr>
          <w:rFonts w:ascii="Times New Roman" w:eastAsia="Times New Roman" w:hAnsi="Times New Roman" w:cs="Times New Roman"/>
          <w:sz w:val="24"/>
          <w:szCs w:val="24"/>
        </w:rPr>
      </w:pPr>
      <w:r w:rsidRPr="00072EA6">
        <w:rPr>
          <w:rFonts w:ascii="Times New Roman" w:eastAsia="Times New Roman" w:hAnsi="Times New Roman" w:cs="Times New Roman"/>
          <w:sz w:val="24"/>
          <w:szCs w:val="24"/>
        </w:rPr>
        <w:t>This study examines the growth, mortality, and recruitment patterns of </w:t>
      </w:r>
      <w:r w:rsidRPr="00072EA6">
        <w:rPr>
          <w:rFonts w:ascii="Times New Roman" w:eastAsia="Times New Roman" w:hAnsi="Times New Roman" w:cs="Times New Roman"/>
          <w:i/>
          <w:iCs/>
          <w:sz w:val="24"/>
          <w:szCs w:val="24"/>
        </w:rPr>
        <w:t>H. forskahlii</w:t>
      </w:r>
      <w:r w:rsidRPr="00072EA6">
        <w:rPr>
          <w:rFonts w:ascii="Times New Roman" w:eastAsia="Times New Roman" w:hAnsi="Times New Roman" w:cs="Times New Roman"/>
          <w:sz w:val="24"/>
          <w:szCs w:val="24"/>
        </w:rPr>
        <w:t> in Sudan's Roseires Reservoir. From November 2021 to November 2022, 675 specimens were collected, with total lengths ranging from 14.3 cm to 57 cm and an average length of 30.599 ± 10.167 cm. Growth parameters, derived from the Von Bertalanffy equation, yielded an asymptotic length of 58.8 cm and a growth coefficient of 0.260 year⁻¹. Mortality analysis showed a total mortality rate of 0.69 year⁻¹ (natural mortality: 0.58 year⁻¹; fishing mortality: 0.11 year⁻¹). Two recruitment peaks were identified in March and October. The exploitation rate (0.17 year⁻¹) indicate</w:t>
      </w:r>
      <w:r>
        <w:rPr>
          <w:rFonts w:ascii="Times New Roman" w:eastAsia="Times New Roman" w:hAnsi="Times New Roman" w:cs="Times New Roman"/>
          <w:sz w:val="24"/>
          <w:szCs w:val="24"/>
        </w:rPr>
        <w:t xml:space="preserve">s </w:t>
      </w:r>
      <w:r w:rsidR="00D40EB9">
        <w:rPr>
          <w:rFonts w:ascii="Times New Roman" w:eastAsia="Times New Roman" w:hAnsi="Times New Roman" w:cs="Times New Roman"/>
          <w:sz w:val="24"/>
          <w:szCs w:val="24"/>
        </w:rPr>
        <w:t xml:space="preserve">under-exploitation at </w:t>
      </w:r>
      <w:r>
        <w:rPr>
          <w:rFonts w:ascii="Times New Roman" w:eastAsia="Times New Roman" w:hAnsi="Times New Roman" w:cs="Times New Roman"/>
          <w:sz w:val="24"/>
          <w:szCs w:val="24"/>
        </w:rPr>
        <w:t>sustainable fishing pressure</w:t>
      </w:r>
      <w:r w:rsidRPr="00072EA6">
        <w:rPr>
          <w:rFonts w:ascii="Times New Roman" w:eastAsia="Times New Roman" w:hAnsi="Times New Roman" w:cs="Times New Roman"/>
          <w:sz w:val="24"/>
          <w:szCs w:val="24"/>
        </w:rPr>
        <w:t>. The length-weight relationship revea</w:t>
      </w:r>
      <w:r w:rsidR="00D40EB9">
        <w:rPr>
          <w:rFonts w:ascii="Times New Roman" w:eastAsia="Times New Roman" w:hAnsi="Times New Roman" w:cs="Times New Roman"/>
          <w:sz w:val="24"/>
          <w:szCs w:val="24"/>
        </w:rPr>
        <w:t xml:space="preserve">led negative allometric growth. </w:t>
      </w:r>
      <w:r w:rsidRPr="00072EA6">
        <w:rPr>
          <w:rFonts w:ascii="Times New Roman" w:eastAsia="Times New Roman" w:hAnsi="Times New Roman" w:cs="Times New Roman"/>
          <w:sz w:val="24"/>
          <w:szCs w:val="24"/>
        </w:rPr>
        <w:t>Measures for improved fishery practices</w:t>
      </w:r>
      <w:r w:rsidR="00D40EB9">
        <w:rPr>
          <w:rFonts w:ascii="Times New Roman" w:eastAsia="Times New Roman" w:hAnsi="Times New Roman" w:cs="Times New Roman"/>
          <w:sz w:val="24"/>
          <w:szCs w:val="24"/>
        </w:rPr>
        <w:t xml:space="preserve"> based on the findings of the studywe</w:t>
      </w:r>
      <w:r w:rsidRPr="00072EA6">
        <w:rPr>
          <w:rFonts w:ascii="Times New Roman" w:eastAsia="Times New Roman" w:hAnsi="Times New Roman" w:cs="Times New Roman"/>
          <w:sz w:val="24"/>
          <w:szCs w:val="24"/>
        </w:rPr>
        <w:t>re recommended.</w:t>
      </w:r>
    </w:p>
    <w:p w:rsidR="003D327B" w:rsidRPr="00515572" w:rsidRDefault="00DD5F77" w:rsidP="00DD5F77">
      <w:pPr>
        <w:spacing w:after="0" w:line="360" w:lineRule="auto"/>
        <w:contextualSpacing/>
        <w:jc w:val="both"/>
        <w:outlineLvl w:val="2"/>
        <w:rPr>
          <w:rFonts w:ascii="Times New Roman" w:eastAsia="Times New Roman" w:hAnsi="Times New Roman" w:cs="Times New Roman"/>
          <w:b/>
          <w:bCs/>
          <w:sz w:val="24"/>
          <w:szCs w:val="24"/>
          <w:highlight w:val="green"/>
        </w:rPr>
      </w:pPr>
      <w:r>
        <w:rPr>
          <w:rFonts w:ascii="Times New Roman" w:eastAsia="Times New Roman" w:hAnsi="Times New Roman" w:cs="Times New Roman"/>
          <w:b/>
          <w:bCs/>
          <w:sz w:val="24"/>
          <w:szCs w:val="24"/>
        </w:rPr>
        <w:t>Keywords</w:t>
      </w:r>
      <w:r w:rsidR="003D327B" w:rsidRPr="00515572">
        <w:rPr>
          <w:rFonts w:ascii="Times New Roman" w:eastAsia="Times New Roman" w:hAnsi="Times New Roman" w:cs="Times New Roman"/>
          <w:b/>
          <w:bCs/>
          <w:sz w:val="24"/>
          <w:szCs w:val="24"/>
        </w:rPr>
        <w:t xml:space="preserve">: </w:t>
      </w:r>
      <w:r w:rsidR="003D327B" w:rsidRPr="00515572">
        <w:rPr>
          <w:rFonts w:ascii="Times New Roman" w:eastAsia="Times New Roman" w:hAnsi="Times New Roman" w:cs="Times New Roman"/>
          <w:i/>
          <w:iCs/>
          <w:sz w:val="24"/>
          <w:szCs w:val="24"/>
        </w:rPr>
        <w:t>Hydrocynus forskahlii</w:t>
      </w:r>
      <w:r w:rsidR="003D327B" w:rsidRPr="00515572">
        <w:rPr>
          <w:rFonts w:ascii="Times New Roman" w:eastAsia="Times New Roman" w:hAnsi="Times New Roman" w:cs="Times New Roman"/>
          <w:sz w:val="24"/>
          <w:szCs w:val="24"/>
        </w:rPr>
        <w:t xml:space="preserve">, population dynamics, length, mortality-weight relationship, </w:t>
      </w:r>
      <w:r w:rsidR="00515572" w:rsidRPr="00515572">
        <w:rPr>
          <w:rFonts w:ascii="Times New Roman" w:eastAsia="Times New Roman" w:hAnsi="Times New Roman" w:cs="Times New Roman"/>
          <w:sz w:val="24"/>
          <w:szCs w:val="24"/>
        </w:rPr>
        <w:t>recruitment, fishery</w:t>
      </w:r>
      <w:r w:rsidR="003D327B" w:rsidRPr="00515572">
        <w:rPr>
          <w:rFonts w:ascii="Times New Roman" w:eastAsia="Times New Roman" w:hAnsi="Times New Roman" w:cs="Times New Roman"/>
          <w:sz w:val="24"/>
          <w:szCs w:val="24"/>
        </w:rPr>
        <w:t xml:space="preserve"> management. </w:t>
      </w:r>
    </w:p>
    <w:p w:rsidR="003D327B" w:rsidRPr="00515572" w:rsidRDefault="003D327B" w:rsidP="00DD5F77">
      <w:pPr>
        <w:autoSpaceDE w:val="0"/>
        <w:autoSpaceDN w:val="0"/>
        <w:adjustRightInd w:val="0"/>
        <w:spacing w:after="0" w:line="360" w:lineRule="auto"/>
        <w:contextualSpacing/>
        <w:jc w:val="both"/>
        <w:rPr>
          <w:rFonts w:ascii="Times New Roman" w:eastAsia="SimSun" w:hAnsi="Times New Roman" w:cs="Times New Roman"/>
          <w:sz w:val="24"/>
          <w:szCs w:val="24"/>
        </w:rPr>
      </w:pPr>
      <w:r w:rsidRPr="00515572">
        <w:rPr>
          <w:rFonts w:ascii="Times New Roman" w:eastAsia="Calibri" w:hAnsi="Times New Roman" w:cs="Times New Roman"/>
          <w:b/>
          <w:bCs/>
          <w:sz w:val="24"/>
          <w:szCs w:val="24"/>
        </w:rPr>
        <w:t>I</w:t>
      </w:r>
      <w:r w:rsidRPr="00515572">
        <w:rPr>
          <w:rFonts w:ascii="Times New Roman" w:eastAsia="SimSun" w:hAnsi="Times New Roman" w:cs="Times New Roman"/>
          <w:b/>
          <w:bCs/>
          <w:sz w:val="24"/>
          <w:szCs w:val="24"/>
        </w:rPr>
        <w:t>ntroduction</w:t>
      </w:r>
    </w:p>
    <w:p w:rsidR="003D327B" w:rsidRPr="00583CC4" w:rsidRDefault="003D327B" w:rsidP="00EC03CD">
      <w:pPr>
        <w:autoSpaceDE w:val="0"/>
        <w:autoSpaceDN w:val="0"/>
        <w:adjustRightInd w:val="0"/>
        <w:spacing w:after="0" w:line="360" w:lineRule="auto"/>
        <w:contextualSpacing/>
        <w:jc w:val="both"/>
        <w:rPr>
          <w:rFonts w:ascii="Times New Roman" w:eastAsia="SimSun" w:hAnsi="Times New Roman" w:cs="Times New Roman"/>
          <w:color w:val="FF0000"/>
          <w:sz w:val="24"/>
          <w:szCs w:val="24"/>
        </w:rPr>
      </w:pPr>
      <w:r w:rsidRPr="00515572">
        <w:rPr>
          <w:rFonts w:ascii="Times New Roman" w:eastAsia="SimSun" w:hAnsi="Times New Roman" w:cs="Times New Roman"/>
          <w:sz w:val="24"/>
          <w:szCs w:val="24"/>
        </w:rPr>
        <w:t xml:space="preserve">The Characidae family represents one of the most diverse groups of freshwater </w:t>
      </w:r>
      <w:r w:rsidR="00DD5F77">
        <w:rPr>
          <w:rFonts w:ascii="Times New Roman" w:eastAsia="SimSun" w:hAnsi="Times New Roman" w:cs="Times New Roman"/>
          <w:sz w:val="24"/>
          <w:szCs w:val="24"/>
        </w:rPr>
        <w:t>teleosts</w:t>
      </w:r>
      <w:r w:rsidRPr="00515572">
        <w:rPr>
          <w:rFonts w:ascii="Times New Roman" w:eastAsia="SimSun" w:hAnsi="Times New Roman" w:cs="Times New Roman"/>
          <w:sz w:val="24"/>
          <w:szCs w:val="24"/>
        </w:rPr>
        <w:t xml:space="preserve">, with global distribution across tropical and neotropical basins </w:t>
      </w:r>
      <w:r w:rsidRPr="00583CC4">
        <w:rPr>
          <w:rFonts w:ascii="Times New Roman" w:eastAsia="SimSun" w:hAnsi="Times New Roman" w:cs="Times New Roman"/>
          <w:color w:val="FF0000"/>
          <w:sz w:val="24"/>
          <w:szCs w:val="24"/>
        </w:rPr>
        <w:t>(van der Laan, 2019</w:t>
      </w:r>
      <w:r w:rsidR="00EC03CD" w:rsidRPr="00583CC4">
        <w:rPr>
          <w:rFonts w:ascii="Times New Roman" w:eastAsia="SimSun" w:hAnsi="Times New Roman" w:cs="Times New Roman"/>
          <w:color w:val="FF0000"/>
          <w:sz w:val="24"/>
          <w:szCs w:val="24"/>
        </w:rPr>
        <w:t>&amp;</w:t>
      </w:r>
      <w:r w:rsidR="00EC03CD" w:rsidRPr="00583CC4">
        <w:rPr>
          <w:rFonts w:ascii="Times New Roman" w:eastAsia="Calibri" w:hAnsi="Times New Roman" w:cs="Times New Roman"/>
          <w:color w:val="FF0000"/>
          <w:sz w:val="24"/>
          <w:szCs w:val="24"/>
        </w:rPr>
        <w:t>Cesar</w:t>
      </w:r>
      <w:r w:rsidR="00EC03CD" w:rsidRPr="00583CC4">
        <w:rPr>
          <w:rFonts w:ascii="Times New Roman" w:eastAsia="Calibri" w:hAnsi="Times New Roman" w:cs="Times New Roman"/>
          <w:i/>
          <w:iCs/>
          <w:color w:val="FF0000"/>
          <w:sz w:val="24"/>
          <w:szCs w:val="24"/>
        </w:rPr>
        <w:t>et. al.,</w:t>
      </w:r>
      <w:r w:rsidR="00EC03CD" w:rsidRPr="00583CC4">
        <w:rPr>
          <w:rFonts w:ascii="Times New Roman" w:eastAsia="Calibri" w:hAnsi="Times New Roman" w:cs="Times New Roman"/>
          <w:color w:val="FF0000"/>
          <w:sz w:val="24"/>
          <w:szCs w:val="24"/>
        </w:rPr>
        <w:t xml:space="preserve"> 2004</w:t>
      </w:r>
      <w:r w:rsidRPr="00583CC4">
        <w:rPr>
          <w:rFonts w:ascii="Times New Roman" w:eastAsia="SimSun" w:hAnsi="Times New Roman" w:cs="Times New Roman"/>
          <w:color w:val="FF0000"/>
          <w:sz w:val="24"/>
          <w:szCs w:val="24"/>
        </w:rPr>
        <w:t xml:space="preserve">). </w:t>
      </w:r>
      <w:r w:rsidRPr="00515572">
        <w:rPr>
          <w:rFonts w:ascii="Times New Roman" w:eastAsia="SimSun" w:hAnsi="Times New Roman" w:cs="Times New Roman"/>
          <w:sz w:val="24"/>
          <w:szCs w:val="24"/>
        </w:rPr>
        <w:t xml:space="preserve">Within this family, the genus </w:t>
      </w:r>
      <w:r w:rsidRPr="00515572">
        <w:rPr>
          <w:rFonts w:ascii="Times New Roman" w:eastAsia="SimSun" w:hAnsi="Times New Roman" w:cs="Times New Roman"/>
          <w:i/>
          <w:iCs/>
          <w:sz w:val="24"/>
          <w:szCs w:val="24"/>
        </w:rPr>
        <w:t>Hydrocynus</w:t>
      </w:r>
      <w:r w:rsidRPr="00515572">
        <w:rPr>
          <w:rFonts w:ascii="Times New Roman" w:eastAsia="SimSun" w:hAnsi="Times New Roman" w:cs="Times New Roman"/>
          <w:sz w:val="24"/>
          <w:szCs w:val="24"/>
        </w:rPr>
        <w:t xml:space="preserve"> includes three species in Sudanese waters: </w:t>
      </w:r>
      <w:r w:rsidRPr="00515572">
        <w:rPr>
          <w:rFonts w:ascii="Times New Roman" w:eastAsia="SimSun" w:hAnsi="Times New Roman" w:cs="Times New Roman"/>
          <w:i/>
          <w:iCs/>
          <w:sz w:val="24"/>
          <w:szCs w:val="24"/>
        </w:rPr>
        <w:t>H. brevis</w:t>
      </w:r>
      <w:r w:rsidRPr="00515572">
        <w:rPr>
          <w:rFonts w:ascii="Times New Roman" w:eastAsia="SimSun" w:hAnsi="Times New Roman" w:cs="Times New Roman"/>
          <w:sz w:val="24"/>
          <w:szCs w:val="24"/>
        </w:rPr>
        <w:t xml:space="preserve">, </w:t>
      </w:r>
      <w:r w:rsidRPr="00515572">
        <w:rPr>
          <w:rFonts w:ascii="Times New Roman" w:eastAsia="SimSun" w:hAnsi="Times New Roman" w:cs="Times New Roman"/>
          <w:i/>
          <w:iCs/>
          <w:sz w:val="24"/>
          <w:szCs w:val="24"/>
        </w:rPr>
        <w:t>H. vittatus</w:t>
      </w:r>
      <w:r w:rsidRPr="00515572">
        <w:rPr>
          <w:rFonts w:ascii="Times New Roman" w:eastAsia="SimSun" w:hAnsi="Times New Roman" w:cs="Times New Roman"/>
          <w:sz w:val="24"/>
          <w:szCs w:val="24"/>
        </w:rPr>
        <w:t>, and</w:t>
      </w:r>
      <w:r w:rsidRPr="00515572">
        <w:rPr>
          <w:rFonts w:ascii="Times New Roman" w:eastAsia="SimSun" w:hAnsi="Times New Roman" w:cs="Times New Roman"/>
          <w:i/>
          <w:iCs/>
          <w:sz w:val="24"/>
          <w:szCs w:val="24"/>
        </w:rPr>
        <w:t xml:space="preserve"> H. forskahlii</w:t>
      </w:r>
      <w:r w:rsidRPr="00515572">
        <w:rPr>
          <w:rFonts w:ascii="Times New Roman" w:eastAsia="SimSun" w:hAnsi="Times New Roman" w:cs="Times New Roman"/>
          <w:sz w:val="24"/>
          <w:szCs w:val="24"/>
        </w:rPr>
        <w:t xml:space="preserve"> </w:t>
      </w:r>
      <w:r w:rsidRPr="00583CC4">
        <w:rPr>
          <w:rFonts w:ascii="Times New Roman" w:eastAsia="SimSun" w:hAnsi="Times New Roman" w:cs="Times New Roman"/>
          <w:color w:val="FF0000"/>
          <w:sz w:val="24"/>
          <w:szCs w:val="24"/>
        </w:rPr>
        <w:t>(</w:t>
      </w:r>
      <w:r w:rsidR="00EC03CD" w:rsidRPr="00583CC4">
        <w:rPr>
          <w:rFonts w:ascii="Times New Roman" w:eastAsia="SimSun" w:hAnsi="Times New Roman" w:cs="Times New Roman"/>
          <w:color w:val="FF0000"/>
          <w:sz w:val="24"/>
          <w:szCs w:val="24"/>
        </w:rPr>
        <w:t xml:space="preserve">Mahmoud </w:t>
      </w:r>
      <w:r w:rsidR="00EC03CD" w:rsidRPr="00583CC4">
        <w:rPr>
          <w:rFonts w:ascii="Times New Roman" w:eastAsia="SimSun" w:hAnsi="Times New Roman" w:cs="Times New Roman"/>
          <w:i/>
          <w:iCs/>
          <w:color w:val="FF0000"/>
          <w:sz w:val="24"/>
          <w:szCs w:val="24"/>
        </w:rPr>
        <w:t>et. al.</w:t>
      </w:r>
      <w:r w:rsidR="00EC03CD" w:rsidRPr="00583CC4">
        <w:rPr>
          <w:rFonts w:ascii="Times New Roman" w:eastAsia="SimSun" w:hAnsi="Times New Roman" w:cs="Times New Roman"/>
          <w:color w:val="FF0000"/>
          <w:sz w:val="24"/>
          <w:szCs w:val="24"/>
        </w:rPr>
        <w:t xml:space="preserve">, 2024; </w:t>
      </w:r>
      <w:r w:rsidRPr="00583CC4">
        <w:rPr>
          <w:rFonts w:ascii="Times New Roman" w:eastAsia="SimSun" w:hAnsi="Times New Roman" w:cs="Times New Roman"/>
          <w:color w:val="FF0000"/>
          <w:sz w:val="24"/>
          <w:szCs w:val="24"/>
        </w:rPr>
        <w:t>Abdalla and Adam, 2024</w:t>
      </w:r>
      <w:r w:rsidR="00EC03CD" w:rsidRPr="00583CC4">
        <w:rPr>
          <w:rFonts w:ascii="Times New Roman" w:eastAsia="SimSun" w:hAnsi="Times New Roman" w:cs="Times New Roman"/>
          <w:color w:val="FF0000"/>
          <w:sz w:val="24"/>
          <w:szCs w:val="24"/>
        </w:rPr>
        <w:t>&amp;</w:t>
      </w:r>
      <w:r w:rsidRPr="00583CC4">
        <w:rPr>
          <w:rFonts w:ascii="Times New Roman" w:eastAsia="SimSun" w:hAnsi="Times New Roman" w:cs="Times New Roman"/>
          <w:color w:val="FF0000"/>
          <w:sz w:val="24"/>
          <w:szCs w:val="24"/>
        </w:rPr>
        <w:t xml:space="preserve"> Bailey, 1994),</w:t>
      </w:r>
      <w:r w:rsidRPr="00515572">
        <w:rPr>
          <w:rFonts w:ascii="Times New Roman" w:eastAsia="SimSun" w:hAnsi="Times New Roman" w:cs="Times New Roman"/>
          <w:sz w:val="24"/>
          <w:szCs w:val="24"/>
        </w:rPr>
        <w:t xml:space="preserve"> though some surveys report only </w:t>
      </w:r>
      <w:r w:rsidRPr="00515572">
        <w:rPr>
          <w:rFonts w:ascii="Times New Roman" w:eastAsia="SimSun" w:hAnsi="Times New Roman" w:cs="Times New Roman"/>
          <w:i/>
          <w:iCs/>
          <w:sz w:val="24"/>
          <w:szCs w:val="24"/>
        </w:rPr>
        <w:t>H.brevis</w:t>
      </w:r>
      <w:r w:rsidRPr="00515572">
        <w:rPr>
          <w:rFonts w:ascii="Times New Roman" w:eastAsia="SimSun" w:hAnsi="Times New Roman" w:cs="Times New Roman"/>
          <w:sz w:val="24"/>
          <w:szCs w:val="24"/>
        </w:rPr>
        <w:t xml:space="preserve"> and </w:t>
      </w:r>
      <w:r w:rsidRPr="00515572">
        <w:rPr>
          <w:rFonts w:ascii="Times New Roman" w:eastAsia="SimSun" w:hAnsi="Times New Roman" w:cs="Times New Roman"/>
          <w:i/>
          <w:iCs/>
          <w:sz w:val="24"/>
          <w:szCs w:val="24"/>
        </w:rPr>
        <w:t>H. forskahlii</w:t>
      </w:r>
      <w:r w:rsidRPr="00515572">
        <w:rPr>
          <w:rFonts w:ascii="Times New Roman" w:eastAsia="SimSun" w:hAnsi="Times New Roman" w:cs="Times New Roman"/>
          <w:sz w:val="24"/>
          <w:szCs w:val="24"/>
        </w:rPr>
        <w:t xml:space="preserve"> </w:t>
      </w:r>
      <w:r w:rsidRPr="00583CC4">
        <w:rPr>
          <w:rFonts w:ascii="Times New Roman" w:eastAsia="SimSun" w:hAnsi="Times New Roman" w:cs="Times New Roman"/>
          <w:color w:val="FF0000"/>
          <w:sz w:val="24"/>
          <w:szCs w:val="24"/>
        </w:rPr>
        <w:t xml:space="preserve">(Neumann </w:t>
      </w:r>
      <w:r w:rsidRPr="00583CC4">
        <w:rPr>
          <w:rFonts w:ascii="Times New Roman" w:eastAsia="SimSun" w:hAnsi="Times New Roman" w:cs="Times New Roman"/>
          <w:i/>
          <w:iCs/>
          <w:color w:val="FF0000"/>
          <w:sz w:val="24"/>
          <w:szCs w:val="24"/>
        </w:rPr>
        <w:t>et</w:t>
      </w:r>
      <w:r w:rsidR="00FC3256" w:rsidRPr="00583CC4">
        <w:rPr>
          <w:rFonts w:ascii="Times New Roman" w:eastAsia="SimSun" w:hAnsi="Times New Roman" w:cs="Times New Roman"/>
          <w:i/>
          <w:iCs/>
          <w:color w:val="FF0000"/>
          <w:sz w:val="24"/>
          <w:szCs w:val="24"/>
        </w:rPr>
        <w:t>.</w:t>
      </w:r>
      <w:r w:rsidRPr="00583CC4">
        <w:rPr>
          <w:rFonts w:ascii="Times New Roman" w:eastAsia="SimSun" w:hAnsi="Times New Roman" w:cs="Times New Roman"/>
          <w:i/>
          <w:iCs/>
          <w:color w:val="FF0000"/>
          <w:sz w:val="24"/>
          <w:szCs w:val="24"/>
        </w:rPr>
        <w:t xml:space="preserve"> al</w:t>
      </w:r>
      <w:r w:rsidRPr="00583CC4">
        <w:rPr>
          <w:rFonts w:ascii="Times New Roman" w:eastAsia="SimSun" w:hAnsi="Times New Roman" w:cs="Times New Roman"/>
          <w:color w:val="FF0000"/>
          <w:sz w:val="24"/>
          <w:szCs w:val="24"/>
        </w:rPr>
        <w:t>., 2016).</w:t>
      </w:r>
    </w:p>
    <w:p w:rsidR="006E46EF" w:rsidRDefault="00F569A5" w:rsidP="00651041">
      <w:pPr>
        <w:spacing w:after="0" w:line="360" w:lineRule="auto"/>
        <w:contextualSpacing/>
        <w:jc w:val="both"/>
        <w:rPr>
          <w:rFonts w:ascii="Times New Roman" w:eastAsia="Times New Roman" w:hAnsi="Times New Roman" w:cs="Times New Roman"/>
          <w:sz w:val="24"/>
          <w:szCs w:val="24"/>
        </w:rPr>
      </w:pPr>
      <w:r w:rsidRPr="00F569A5">
        <w:rPr>
          <w:rFonts w:ascii="Times New Roman" w:eastAsia="Times New Roman" w:hAnsi="Times New Roman" w:cs="Times New Roman"/>
          <w:sz w:val="24"/>
          <w:szCs w:val="24"/>
        </w:rPr>
        <w:t xml:space="preserve">Globally, Hydrocynus </w:t>
      </w:r>
      <w:r w:rsidRPr="00F569A5">
        <w:rPr>
          <w:rFonts w:ascii="Times New Roman" w:eastAsia="SimSun" w:hAnsi="Times New Roman" w:cs="Times New Roman"/>
          <w:sz w:val="24"/>
          <w:szCs w:val="24"/>
        </w:rPr>
        <w:t xml:space="preserve">forskahlii (African tigerfish) supports artisanal and commercial fisheries, contributing to food security and livelihoods across African river basins </w:t>
      </w:r>
      <w:r w:rsidRPr="00583CC4">
        <w:rPr>
          <w:rFonts w:ascii="Times New Roman" w:eastAsia="SimSun" w:hAnsi="Times New Roman" w:cs="Times New Roman"/>
          <w:color w:val="FF0000"/>
          <w:sz w:val="24"/>
          <w:szCs w:val="24"/>
        </w:rPr>
        <w:t xml:space="preserve">(Tsvenda </w:t>
      </w:r>
      <w:r w:rsidRPr="00583CC4">
        <w:rPr>
          <w:rFonts w:ascii="Times New Roman" w:eastAsia="SimSun" w:hAnsi="Times New Roman" w:cs="Times New Roman"/>
          <w:i/>
          <w:color w:val="FF0000"/>
          <w:sz w:val="24"/>
          <w:szCs w:val="24"/>
        </w:rPr>
        <w:t>etal</w:t>
      </w:r>
      <w:r w:rsidRPr="00583CC4">
        <w:rPr>
          <w:rFonts w:ascii="Times New Roman" w:eastAsia="SimSun" w:hAnsi="Times New Roman" w:cs="Times New Roman"/>
          <w:color w:val="FF0000"/>
          <w:sz w:val="24"/>
          <w:szCs w:val="24"/>
        </w:rPr>
        <w:t>., 2024).</w:t>
      </w:r>
      <w:r w:rsidRPr="00F569A5">
        <w:rPr>
          <w:rFonts w:ascii="Times New Roman" w:eastAsia="SimSun" w:hAnsi="Times New Roman" w:cs="Times New Roman"/>
          <w:sz w:val="24"/>
          <w:szCs w:val="24"/>
        </w:rPr>
        <w:t xml:space="preserve"> </w:t>
      </w:r>
      <w:r w:rsidR="00651041">
        <w:rPr>
          <w:rFonts w:ascii="Times New Roman" w:eastAsia="SimSun" w:hAnsi="Times New Roman" w:cs="Times New Roman"/>
          <w:sz w:val="24"/>
          <w:szCs w:val="24"/>
        </w:rPr>
        <w:t>It is a key species in the Roseires Reservoir and Nile tributaries in Sudan</w:t>
      </w:r>
      <w:r w:rsidRPr="00F569A5">
        <w:rPr>
          <w:rFonts w:ascii="Times New Roman" w:eastAsia="SimSun" w:hAnsi="Times New Roman" w:cs="Times New Roman"/>
          <w:sz w:val="24"/>
          <w:szCs w:val="24"/>
        </w:rPr>
        <w:t>, providing protein and income for local communities (</w:t>
      </w:r>
      <w:r w:rsidR="00651041">
        <w:rPr>
          <w:rFonts w:ascii="Times New Roman" w:eastAsia="SimSun" w:hAnsi="Times New Roman" w:cs="Times New Roman"/>
          <w:sz w:val="24"/>
          <w:szCs w:val="24"/>
        </w:rPr>
        <w:t>Hamza, 2014</w:t>
      </w:r>
      <w:r w:rsidRPr="00F569A5">
        <w:rPr>
          <w:rFonts w:ascii="Times New Roman" w:eastAsia="SimSun" w:hAnsi="Times New Roman" w:cs="Times New Roman"/>
          <w:sz w:val="24"/>
          <w:szCs w:val="24"/>
        </w:rPr>
        <w:t xml:space="preserve">). Its ecological role as </w:t>
      </w:r>
      <w:r w:rsidR="00651041">
        <w:rPr>
          <w:rFonts w:ascii="Times New Roman" w:eastAsia="SimSun" w:hAnsi="Times New Roman" w:cs="Times New Roman"/>
          <w:sz w:val="24"/>
          <w:szCs w:val="24"/>
        </w:rPr>
        <w:t>an</w:t>
      </w:r>
      <w:r w:rsidRPr="00F569A5">
        <w:rPr>
          <w:rFonts w:ascii="Times New Roman" w:eastAsia="SimSun" w:hAnsi="Times New Roman" w:cs="Times New Roman"/>
          <w:sz w:val="24"/>
          <w:szCs w:val="24"/>
        </w:rPr>
        <w:t xml:space="preserve"> apex predator also helps maintain aquatic ecosystem balance </w:t>
      </w:r>
      <w:r w:rsidRPr="00583CC4">
        <w:rPr>
          <w:rFonts w:ascii="Times New Roman" w:eastAsia="SimSun" w:hAnsi="Times New Roman" w:cs="Times New Roman"/>
          <w:color w:val="FF0000"/>
          <w:sz w:val="24"/>
          <w:szCs w:val="24"/>
        </w:rPr>
        <w:t>(Olaosebikan &amp; Raji, 2013).</w:t>
      </w:r>
      <w:r w:rsidRPr="00F569A5">
        <w:rPr>
          <w:rFonts w:ascii="Times New Roman" w:eastAsia="SimSun" w:hAnsi="Times New Roman" w:cs="Times New Roman"/>
          <w:sz w:val="24"/>
          <w:szCs w:val="24"/>
        </w:rPr>
        <w:t xml:space="preserve"> Sustainable </w:t>
      </w:r>
      <w:r w:rsidR="00DD5F77">
        <w:rPr>
          <w:rFonts w:ascii="Times New Roman" w:eastAsia="SimSun" w:hAnsi="Times New Roman" w:cs="Times New Roman"/>
          <w:sz w:val="24"/>
          <w:szCs w:val="24"/>
        </w:rPr>
        <w:t>fishery management is critical for</w:t>
      </w:r>
      <w:r w:rsidRPr="00F569A5">
        <w:rPr>
          <w:rFonts w:ascii="Times New Roman" w:eastAsia="SimSun" w:hAnsi="Times New Roman" w:cs="Times New Roman"/>
          <w:sz w:val="24"/>
          <w:szCs w:val="24"/>
        </w:rPr>
        <w:t xml:space="preserve"> economic stability and biodiversity conservation in the region </w:t>
      </w:r>
      <w:r w:rsidRPr="00583CC4">
        <w:rPr>
          <w:rFonts w:ascii="Times New Roman" w:eastAsia="SimSun" w:hAnsi="Times New Roman" w:cs="Times New Roman"/>
          <w:color w:val="FF0000"/>
          <w:sz w:val="24"/>
          <w:szCs w:val="24"/>
        </w:rPr>
        <w:t>(FAO, 2022</w:t>
      </w:r>
      <w:r w:rsidRPr="00583CC4">
        <w:rPr>
          <w:rFonts w:ascii="Times New Roman" w:eastAsia="Times New Roman" w:hAnsi="Times New Roman" w:cs="Times New Roman"/>
          <w:color w:val="FF0000"/>
          <w:sz w:val="24"/>
          <w:szCs w:val="24"/>
        </w:rPr>
        <w:t>).</w:t>
      </w:r>
    </w:p>
    <w:p w:rsidR="003D327B" w:rsidRPr="00583CC4" w:rsidRDefault="003D327B" w:rsidP="00DD5F77">
      <w:pPr>
        <w:spacing w:after="0" w:line="360" w:lineRule="auto"/>
        <w:contextualSpacing/>
        <w:jc w:val="both"/>
        <w:rPr>
          <w:rFonts w:ascii="Times New Roman" w:eastAsia="Times New Roman" w:hAnsi="Times New Roman" w:cs="Times New Roman"/>
          <w:color w:val="FF0000"/>
          <w:sz w:val="24"/>
          <w:szCs w:val="24"/>
        </w:rPr>
      </w:pPr>
      <w:r w:rsidRPr="00515572">
        <w:rPr>
          <w:rFonts w:ascii="Times New Roman" w:eastAsia="SimSun" w:hAnsi="Times New Roman" w:cs="Times New Roman"/>
          <w:sz w:val="24"/>
          <w:szCs w:val="24"/>
        </w:rPr>
        <w:t xml:space="preserve">As an apex predator, </w:t>
      </w:r>
      <w:r w:rsidRPr="00515572">
        <w:rPr>
          <w:rFonts w:ascii="Times New Roman" w:eastAsia="SimSun" w:hAnsi="Times New Roman" w:cs="Times New Roman"/>
          <w:i/>
          <w:iCs/>
          <w:sz w:val="24"/>
          <w:szCs w:val="24"/>
        </w:rPr>
        <w:t xml:space="preserve">H. forskahlii </w:t>
      </w:r>
      <w:r w:rsidRPr="00515572">
        <w:rPr>
          <w:rFonts w:ascii="Times New Roman" w:eastAsia="SimSun" w:hAnsi="Times New Roman" w:cs="Times New Roman"/>
          <w:sz w:val="24"/>
          <w:szCs w:val="24"/>
        </w:rPr>
        <w:t xml:space="preserve">exhibits consistent piscivorous feeding patterns across its range, primarily consuming fish (particularly </w:t>
      </w:r>
      <w:r w:rsidRPr="007C3AF6">
        <w:rPr>
          <w:rFonts w:ascii="Times New Roman" w:eastAsia="SimSun" w:hAnsi="Times New Roman" w:cs="Times New Roman"/>
          <w:i/>
          <w:iCs/>
          <w:sz w:val="24"/>
          <w:szCs w:val="24"/>
        </w:rPr>
        <w:t>Alestes spp</w:t>
      </w:r>
      <w:r w:rsidRPr="00515572">
        <w:rPr>
          <w:rFonts w:ascii="Times New Roman" w:eastAsia="SimSun" w:hAnsi="Times New Roman" w:cs="Times New Roman"/>
          <w:sz w:val="24"/>
          <w:szCs w:val="24"/>
        </w:rPr>
        <w:t xml:space="preserve">.) with occasional crustaceans and insects </w:t>
      </w:r>
      <w:r w:rsidRPr="00583CC4">
        <w:rPr>
          <w:rFonts w:ascii="Times New Roman" w:eastAsia="SimSun" w:hAnsi="Times New Roman" w:cs="Times New Roman"/>
          <w:color w:val="FF0000"/>
          <w:sz w:val="24"/>
          <w:szCs w:val="24"/>
        </w:rPr>
        <w:t xml:space="preserve">(Dalu </w:t>
      </w:r>
      <w:r w:rsidRPr="00583CC4">
        <w:rPr>
          <w:rFonts w:ascii="Times New Roman" w:eastAsia="SimSun" w:hAnsi="Times New Roman" w:cs="Times New Roman"/>
          <w:i/>
          <w:iCs/>
          <w:color w:val="FF0000"/>
          <w:sz w:val="24"/>
          <w:szCs w:val="24"/>
        </w:rPr>
        <w:t>et al.</w:t>
      </w:r>
      <w:r w:rsidRPr="00583CC4">
        <w:rPr>
          <w:rFonts w:ascii="Times New Roman" w:eastAsia="SimSun" w:hAnsi="Times New Roman" w:cs="Times New Roman"/>
          <w:color w:val="FF0000"/>
          <w:sz w:val="24"/>
          <w:szCs w:val="24"/>
        </w:rPr>
        <w:t>, 2012; Hagar, 2019).</w:t>
      </w:r>
      <w:r w:rsidRPr="00515572">
        <w:rPr>
          <w:rFonts w:ascii="Times New Roman" w:eastAsia="SimSun" w:hAnsi="Times New Roman" w:cs="Times New Roman"/>
          <w:sz w:val="24"/>
          <w:szCs w:val="24"/>
        </w:rPr>
        <w:t xml:space="preserve"> While its feeding ecology is well-documented in </w:t>
      </w:r>
      <w:r w:rsidRPr="00515572">
        <w:rPr>
          <w:rFonts w:ascii="Times New Roman" w:eastAsia="SimSun" w:hAnsi="Times New Roman" w:cs="Times New Roman"/>
          <w:sz w:val="24"/>
          <w:szCs w:val="24"/>
        </w:rPr>
        <w:lastRenderedPageBreak/>
        <w:t xml:space="preserve">other African regions </w:t>
      </w:r>
      <w:r w:rsidRPr="00583CC4">
        <w:rPr>
          <w:rFonts w:ascii="Times New Roman" w:eastAsia="SimSun" w:hAnsi="Times New Roman" w:cs="Times New Roman"/>
          <w:color w:val="FF0000"/>
          <w:sz w:val="24"/>
          <w:szCs w:val="24"/>
        </w:rPr>
        <w:t xml:space="preserve">(Dadebo and Mengistou, 2008; Olojo </w:t>
      </w:r>
      <w:r w:rsidRPr="00583CC4">
        <w:rPr>
          <w:rFonts w:ascii="Times New Roman" w:eastAsia="SimSun" w:hAnsi="Times New Roman" w:cs="Times New Roman"/>
          <w:i/>
          <w:iCs/>
          <w:color w:val="FF0000"/>
          <w:sz w:val="24"/>
          <w:szCs w:val="24"/>
        </w:rPr>
        <w:t>et al</w:t>
      </w:r>
      <w:r w:rsidRPr="00583CC4">
        <w:rPr>
          <w:rFonts w:ascii="Times New Roman" w:eastAsia="SimSun" w:hAnsi="Times New Roman" w:cs="Times New Roman"/>
          <w:color w:val="FF0000"/>
          <w:sz w:val="24"/>
          <w:szCs w:val="24"/>
        </w:rPr>
        <w:t>., 2003),</w:t>
      </w:r>
      <w:r w:rsidRPr="00515572">
        <w:rPr>
          <w:rFonts w:ascii="Times New Roman" w:eastAsia="SimSun" w:hAnsi="Times New Roman" w:cs="Times New Roman"/>
          <w:sz w:val="24"/>
          <w:szCs w:val="24"/>
        </w:rPr>
        <w:t xml:space="preserve"> Sudanese populations remain understudied except for localized reports </w:t>
      </w:r>
      <w:r w:rsidRPr="00583CC4">
        <w:rPr>
          <w:rFonts w:ascii="Times New Roman" w:eastAsia="SimSun" w:hAnsi="Times New Roman" w:cs="Times New Roman"/>
          <w:color w:val="FF0000"/>
          <w:sz w:val="24"/>
          <w:szCs w:val="24"/>
        </w:rPr>
        <w:t>(Hagar, 2019; Pekkola, 1919).</w:t>
      </w:r>
    </w:p>
    <w:p w:rsidR="00F569A5" w:rsidRPr="00F569A5" w:rsidRDefault="00F569A5" w:rsidP="00583CC4">
      <w:pPr>
        <w:autoSpaceDE w:val="0"/>
        <w:autoSpaceDN w:val="0"/>
        <w:adjustRightInd w:val="0"/>
        <w:spacing w:beforeLines="75" w:after="0" w:line="360" w:lineRule="auto"/>
        <w:contextualSpacing/>
        <w:jc w:val="both"/>
        <w:rPr>
          <w:rFonts w:ascii="Times New Roman" w:eastAsia="Times New Roman" w:hAnsi="Times New Roman" w:cs="Times New Roman"/>
          <w:sz w:val="24"/>
          <w:szCs w:val="24"/>
        </w:rPr>
      </w:pPr>
      <w:r w:rsidRPr="00F569A5">
        <w:rPr>
          <w:rFonts w:ascii="Times New Roman" w:eastAsia="Times New Roman" w:hAnsi="Times New Roman" w:cs="Times New Roman"/>
          <w:sz w:val="24"/>
          <w:szCs w:val="24"/>
        </w:rPr>
        <w:t>Population dynamics provides critical data on growth, mortality, and reproduction, helping assess fish stock health and sustainability.Understanding recruitment patterns ensures fishing regulations align with breeding cycles, preventing overexploitation.</w:t>
      </w:r>
      <w:r w:rsidRPr="00F569A5">
        <w:rPr>
          <w:rFonts w:ascii="Times New Roman" w:eastAsia="SimSun" w:hAnsi="Times New Roman" w:cs="Times New Roman"/>
          <w:sz w:val="24"/>
          <w:szCs w:val="24"/>
        </w:rPr>
        <w:t>Estimating</w:t>
      </w:r>
      <w:r w:rsidRPr="00F569A5">
        <w:rPr>
          <w:rFonts w:ascii="Times New Roman" w:eastAsia="Times New Roman" w:hAnsi="Times New Roman" w:cs="Times New Roman"/>
          <w:sz w:val="24"/>
          <w:szCs w:val="24"/>
        </w:rPr>
        <w:t xml:space="preserve"> mortality rates (natural vs. fishing-induced) guides harvest limits to maintain balanced ecosystems.Analyzing size and age structure supports science-based quotas, ensuring long-term fishery productivity and food security.</w:t>
      </w:r>
    </w:p>
    <w:p w:rsidR="00CA3122" w:rsidRDefault="00CA3122" w:rsidP="00583CC4">
      <w:pPr>
        <w:autoSpaceDE w:val="0"/>
        <w:autoSpaceDN w:val="0"/>
        <w:adjustRightInd w:val="0"/>
        <w:spacing w:beforeLines="75" w:after="0" w:line="360" w:lineRule="auto"/>
        <w:contextualSpacing/>
        <w:jc w:val="both"/>
        <w:rPr>
          <w:rFonts w:ascii="Segoe UI" w:hAnsi="Segoe UI" w:cs="Segoe UI"/>
          <w:color w:val="F8FAFF"/>
          <w:shd w:val="clear" w:color="auto" w:fill="292A2D"/>
        </w:rPr>
      </w:pPr>
      <w:r w:rsidRPr="00CA3122">
        <w:rPr>
          <w:rFonts w:ascii="Times New Roman" w:eastAsia="SimSun" w:hAnsi="Times New Roman" w:cs="Times New Roman"/>
          <w:sz w:val="24"/>
          <w:szCs w:val="24"/>
        </w:rPr>
        <w:t xml:space="preserve">Growth parameters </w:t>
      </w:r>
      <w:r w:rsidR="00F569A5">
        <w:rPr>
          <w:rFonts w:ascii="Times New Roman" w:eastAsia="SimSun" w:hAnsi="Times New Roman" w:cs="Times New Roman"/>
          <w:sz w:val="24"/>
          <w:szCs w:val="24"/>
        </w:rPr>
        <w:t xml:space="preserve">of </w:t>
      </w:r>
      <w:r w:rsidR="00F569A5" w:rsidRPr="00515572">
        <w:rPr>
          <w:rFonts w:ascii="Times New Roman" w:eastAsia="SimSun" w:hAnsi="Times New Roman" w:cs="Times New Roman"/>
          <w:i/>
          <w:iCs/>
          <w:sz w:val="24"/>
          <w:szCs w:val="24"/>
        </w:rPr>
        <w:t>H. forskahlii</w:t>
      </w:r>
      <w:r w:rsidRPr="00CA3122">
        <w:rPr>
          <w:rFonts w:ascii="Times New Roman" w:eastAsia="SimSun" w:hAnsi="Times New Roman" w:cs="Times New Roman"/>
          <w:sz w:val="24"/>
          <w:szCs w:val="24"/>
        </w:rPr>
        <w:t>from the von Bertalanffy model varied across regions: asymptotic length (</w:t>
      </w:r>
      <w:r w:rsidRPr="00795502">
        <w:rPr>
          <w:rFonts w:ascii="Times New Roman" w:eastAsia="SimSun" w:hAnsi="Times New Roman" w:cs="Times New Roman"/>
          <w:i/>
          <w:iCs/>
          <w:sz w:val="24"/>
          <w:szCs w:val="24"/>
        </w:rPr>
        <w:t>L</w:t>
      </w:r>
      <w:r w:rsidRPr="00795502">
        <w:rPr>
          <w:rFonts w:ascii="Times New Roman" w:eastAsia="SimSun" w:hAnsi="Times New Roman" w:cs="Times New Roman"/>
          <w:sz w:val="24"/>
          <w:szCs w:val="24"/>
          <w:vertAlign w:val="subscript"/>
        </w:rPr>
        <w:t>∞</w:t>
      </w:r>
      <w:r w:rsidRPr="00CA3122">
        <w:rPr>
          <w:rFonts w:ascii="Times New Roman" w:eastAsia="SimSun" w:hAnsi="Times New Roman" w:cs="Times New Roman"/>
          <w:sz w:val="24"/>
          <w:szCs w:val="24"/>
        </w:rPr>
        <w:t>) ranged from 52–65 cm, while the growth coefficient (</w:t>
      </w:r>
      <w:r w:rsidRPr="00795502">
        <w:rPr>
          <w:rFonts w:ascii="Times New Roman" w:eastAsia="SimSun" w:hAnsi="Times New Roman" w:cs="Times New Roman"/>
          <w:i/>
          <w:iCs/>
          <w:sz w:val="24"/>
          <w:szCs w:val="24"/>
        </w:rPr>
        <w:t>K</w:t>
      </w:r>
      <w:r w:rsidRPr="00CA3122">
        <w:rPr>
          <w:rFonts w:ascii="Times New Roman" w:eastAsia="SimSun" w:hAnsi="Times New Roman" w:cs="Times New Roman"/>
          <w:sz w:val="24"/>
          <w:szCs w:val="24"/>
        </w:rPr>
        <w:t xml:space="preserve">) was 0.2–0.38 </w:t>
      </w:r>
      <w:r w:rsidR="00651041">
        <w:rPr>
          <w:rFonts w:ascii="Times New Roman" w:eastAsia="SimSun" w:hAnsi="Times New Roman" w:cs="Times New Roman"/>
          <w:sz w:val="24"/>
          <w:szCs w:val="24"/>
        </w:rPr>
        <w:t>year¹</w:t>
      </w:r>
      <w:r w:rsidRPr="00CA3122">
        <w:rPr>
          <w:rFonts w:ascii="Times New Roman" w:eastAsia="SimSun" w:hAnsi="Times New Roman" w:cs="Times New Roman"/>
          <w:sz w:val="24"/>
          <w:szCs w:val="24"/>
        </w:rPr>
        <w:t> (Ethiopia and Zambezi Basin: </w:t>
      </w:r>
      <w:r w:rsidRPr="00CA3122">
        <w:rPr>
          <w:rFonts w:ascii="Times New Roman" w:eastAsia="SimSun" w:hAnsi="Times New Roman" w:cs="Times New Roman"/>
          <w:iCs/>
          <w:sz w:val="24"/>
          <w:szCs w:val="24"/>
        </w:rPr>
        <w:t>Dadebo and Mengistou, 2008; Tsvenda</w:t>
      </w:r>
      <w:r w:rsidRPr="00CA3122">
        <w:rPr>
          <w:rFonts w:ascii="Times New Roman" w:eastAsia="SimSun" w:hAnsi="Times New Roman" w:cs="Times New Roman"/>
          <w:i/>
          <w:iCs/>
          <w:sz w:val="24"/>
          <w:szCs w:val="24"/>
        </w:rPr>
        <w:t xml:space="preserve"> et al., </w:t>
      </w:r>
      <w:r w:rsidRPr="00201F15">
        <w:rPr>
          <w:rFonts w:ascii="Times New Roman" w:eastAsia="SimSun" w:hAnsi="Times New Roman" w:cs="Times New Roman"/>
          <w:sz w:val="24"/>
          <w:szCs w:val="24"/>
        </w:rPr>
        <w:t>2024</w:t>
      </w:r>
      <w:r w:rsidRPr="00CA3122">
        <w:rPr>
          <w:rFonts w:ascii="Times New Roman" w:eastAsia="SimSun" w:hAnsi="Times New Roman" w:cs="Times New Roman"/>
          <w:sz w:val="24"/>
          <w:szCs w:val="24"/>
        </w:rPr>
        <w:t>). Mortality rates in Lake Turkana, Kenya, included a total mortality (</w:t>
      </w:r>
      <w:r w:rsidRPr="00CA3122">
        <w:rPr>
          <w:rFonts w:ascii="Times New Roman" w:eastAsia="SimSun" w:hAnsi="Times New Roman" w:cs="Times New Roman"/>
          <w:i/>
          <w:iCs/>
          <w:sz w:val="24"/>
          <w:szCs w:val="24"/>
        </w:rPr>
        <w:t>Z</w:t>
      </w:r>
      <w:r w:rsidRPr="00CA3122">
        <w:rPr>
          <w:rFonts w:ascii="Times New Roman" w:eastAsia="SimSun" w:hAnsi="Times New Roman" w:cs="Times New Roman"/>
          <w:sz w:val="24"/>
          <w:szCs w:val="24"/>
        </w:rPr>
        <w:t>) of </w:t>
      </w:r>
      <w:r w:rsidRPr="00CA3122">
        <w:rPr>
          <w:rFonts w:ascii="Times New Roman" w:eastAsia="SimSun" w:hAnsi="Times New Roman" w:cs="Times New Roman"/>
          <w:bCs/>
          <w:sz w:val="24"/>
          <w:szCs w:val="24"/>
        </w:rPr>
        <w:t>0.73 year⁻¹</w:t>
      </w:r>
      <w:r w:rsidRPr="00CA3122">
        <w:rPr>
          <w:rFonts w:ascii="Times New Roman" w:eastAsia="SimSun" w:hAnsi="Times New Roman" w:cs="Times New Roman"/>
          <w:sz w:val="24"/>
          <w:szCs w:val="24"/>
        </w:rPr>
        <w:t> and fishing mortality (</w:t>
      </w:r>
      <w:r w:rsidRPr="00CA3122">
        <w:rPr>
          <w:rFonts w:ascii="Times New Roman" w:eastAsia="SimSun" w:hAnsi="Times New Roman" w:cs="Times New Roman"/>
          <w:iCs/>
          <w:sz w:val="24"/>
          <w:szCs w:val="24"/>
        </w:rPr>
        <w:t>F</w:t>
      </w:r>
      <w:r w:rsidRPr="00CA3122">
        <w:rPr>
          <w:rFonts w:ascii="Times New Roman" w:eastAsia="SimSun" w:hAnsi="Times New Roman" w:cs="Times New Roman"/>
          <w:sz w:val="24"/>
          <w:szCs w:val="24"/>
        </w:rPr>
        <w:t>) of </w:t>
      </w:r>
      <w:r w:rsidRPr="00CA3122">
        <w:rPr>
          <w:rFonts w:ascii="Times New Roman" w:eastAsia="SimSun" w:hAnsi="Times New Roman" w:cs="Times New Roman"/>
          <w:bCs/>
          <w:sz w:val="24"/>
          <w:szCs w:val="24"/>
        </w:rPr>
        <w:t>0.11 year⁻¹</w:t>
      </w:r>
      <w:r w:rsidRPr="00CA3122">
        <w:rPr>
          <w:rFonts w:ascii="Times New Roman" w:eastAsia="SimSun" w:hAnsi="Times New Roman" w:cs="Times New Roman"/>
          <w:sz w:val="24"/>
          <w:szCs w:val="24"/>
        </w:rPr>
        <w:t> (</w:t>
      </w:r>
      <w:r w:rsidRPr="00795502">
        <w:rPr>
          <w:rFonts w:ascii="Times New Roman" w:eastAsia="SimSun" w:hAnsi="Times New Roman" w:cs="Times New Roman"/>
          <w:sz w:val="24"/>
          <w:szCs w:val="24"/>
        </w:rPr>
        <w:t xml:space="preserve">Sarah </w:t>
      </w:r>
      <w:r w:rsidRPr="00CA3122">
        <w:rPr>
          <w:rFonts w:ascii="Times New Roman" w:eastAsia="SimSun" w:hAnsi="Times New Roman" w:cs="Times New Roman"/>
          <w:i/>
          <w:iCs/>
          <w:sz w:val="24"/>
          <w:szCs w:val="24"/>
        </w:rPr>
        <w:t xml:space="preserve">et al., </w:t>
      </w:r>
      <w:r w:rsidRPr="00795502">
        <w:rPr>
          <w:rFonts w:ascii="Times New Roman" w:eastAsia="SimSun" w:hAnsi="Times New Roman" w:cs="Times New Roman"/>
          <w:sz w:val="24"/>
          <w:szCs w:val="24"/>
        </w:rPr>
        <w:t>2011</w:t>
      </w:r>
      <w:r w:rsidRPr="00CA3122">
        <w:rPr>
          <w:rFonts w:ascii="Times New Roman" w:eastAsia="SimSun" w:hAnsi="Times New Roman" w:cs="Times New Roman"/>
          <w:sz w:val="24"/>
          <w:szCs w:val="24"/>
        </w:rPr>
        <w:t>). The length-weight relationship consistently indicated </w:t>
      </w:r>
      <w:r w:rsidRPr="00CA3122">
        <w:rPr>
          <w:rFonts w:ascii="Times New Roman" w:eastAsia="SimSun" w:hAnsi="Times New Roman" w:cs="Times New Roman"/>
          <w:bCs/>
          <w:sz w:val="24"/>
          <w:szCs w:val="24"/>
        </w:rPr>
        <w:t>negative allometry</w:t>
      </w:r>
      <w:r w:rsidRPr="00CA3122">
        <w:rPr>
          <w:rFonts w:ascii="Times New Roman" w:eastAsia="SimSun" w:hAnsi="Times New Roman" w:cs="Times New Roman"/>
          <w:sz w:val="24"/>
          <w:szCs w:val="24"/>
        </w:rPr>
        <w:t> (</w:t>
      </w:r>
      <w:r w:rsidRPr="00795502">
        <w:rPr>
          <w:rFonts w:ascii="Times New Roman" w:eastAsia="SimSun" w:hAnsi="Times New Roman" w:cs="Times New Roman"/>
          <w:i/>
          <w:iCs/>
          <w:sz w:val="24"/>
          <w:szCs w:val="24"/>
        </w:rPr>
        <w:t>b</w:t>
      </w:r>
      <w:r w:rsidRPr="00CA3122">
        <w:rPr>
          <w:rFonts w:ascii="Times New Roman" w:eastAsia="SimSun" w:hAnsi="Times New Roman" w:cs="Times New Roman"/>
          <w:sz w:val="24"/>
          <w:szCs w:val="24"/>
        </w:rPr>
        <w:t> &lt; 3), with b = </w:t>
      </w:r>
      <w:r w:rsidRPr="00CA3122">
        <w:rPr>
          <w:rFonts w:ascii="Times New Roman" w:eastAsia="SimSun" w:hAnsi="Times New Roman" w:cs="Times New Roman"/>
          <w:bCs/>
          <w:sz w:val="24"/>
          <w:szCs w:val="24"/>
        </w:rPr>
        <w:t>2.8</w:t>
      </w:r>
      <w:r w:rsidRPr="00CA3122">
        <w:rPr>
          <w:rFonts w:ascii="Times New Roman" w:eastAsia="SimSun" w:hAnsi="Times New Roman" w:cs="Times New Roman"/>
          <w:sz w:val="24"/>
          <w:szCs w:val="24"/>
        </w:rPr>
        <w:t xml:space="preserve"> in Ethiopia </w:t>
      </w:r>
      <w:r w:rsidRPr="00583CC4">
        <w:rPr>
          <w:rFonts w:ascii="Times New Roman" w:eastAsia="SimSun" w:hAnsi="Times New Roman" w:cs="Times New Roman"/>
          <w:color w:val="FF0000"/>
          <w:sz w:val="24"/>
          <w:szCs w:val="24"/>
        </w:rPr>
        <w:t>(</w:t>
      </w:r>
      <w:r w:rsidRPr="00583CC4">
        <w:rPr>
          <w:rFonts w:ascii="Times New Roman" w:eastAsia="SimSun" w:hAnsi="Times New Roman" w:cs="Times New Roman"/>
          <w:iCs/>
          <w:color w:val="FF0000"/>
          <w:sz w:val="24"/>
          <w:szCs w:val="24"/>
        </w:rPr>
        <w:t>Dadebo &amp; Mengistou, 2008</w:t>
      </w:r>
      <w:r w:rsidRPr="00583CC4">
        <w:rPr>
          <w:rFonts w:ascii="Times New Roman" w:eastAsia="SimSun" w:hAnsi="Times New Roman" w:cs="Times New Roman"/>
          <w:color w:val="FF0000"/>
          <w:sz w:val="24"/>
          <w:szCs w:val="24"/>
        </w:rPr>
        <w:t>)</w:t>
      </w:r>
      <w:r w:rsidRPr="00CA3122">
        <w:rPr>
          <w:rFonts w:ascii="Times New Roman" w:eastAsia="SimSun" w:hAnsi="Times New Roman" w:cs="Times New Roman"/>
          <w:sz w:val="24"/>
          <w:szCs w:val="24"/>
        </w:rPr>
        <w:t xml:space="preserve"> and </w:t>
      </w:r>
      <w:r w:rsidRPr="00CA3122">
        <w:rPr>
          <w:rFonts w:ascii="Times New Roman" w:eastAsia="SimSun" w:hAnsi="Times New Roman" w:cs="Times New Roman"/>
          <w:bCs/>
          <w:sz w:val="24"/>
          <w:szCs w:val="24"/>
        </w:rPr>
        <w:t>2.7–2.9</w:t>
      </w:r>
      <w:r w:rsidRPr="00CA3122">
        <w:rPr>
          <w:rFonts w:ascii="Times New Roman" w:eastAsia="SimSun" w:hAnsi="Times New Roman" w:cs="Times New Roman"/>
          <w:sz w:val="24"/>
          <w:szCs w:val="24"/>
        </w:rPr>
        <w:t> in West Africa (</w:t>
      </w:r>
      <w:r w:rsidR="00CA3537" w:rsidRPr="00CA3537">
        <w:rPr>
          <w:rFonts w:asciiTheme="majorBidi" w:eastAsia="Times New Roman" w:hAnsiTheme="majorBidi" w:cstheme="majorBidi"/>
          <w:sz w:val="24"/>
          <w:szCs w:val="24"/>
        </w:rPr>
        <w:t>Roux</w:t>
      </w:r>
      <w:r w:rsidR="00CA3537">
        <w:rPr>
          <w:rFonts w:asciiTheme="majorBidi" w:eastAsia="Times New Roman" w:hAnsiTheme="majorBidi" w:cstheme="majorBidi"/>
          <w:i/>
          <w:iCs/>
          <w:sz w:val="24"/>
          <w:szCs w:val="24"/>
        </w:rPr>
        <w:t>et. al.</w:t>
      </w:r>
      <w:r w:rsidRPr="00CA3122">
        <w:rPr>
          <w:rFonts w:ascii="Times New Roman" w:eastAsia="SimSun" w:hAnsi="Times New Roman" w:cs="Times New Roman"/>
          <w:iCs/>
          <w:sz w:val="24"/>
          <w:szCs w:val="24"/>
        </w:rPr>
        <w:t>, 2018</w:t>
      </w:r>
      <w:r w:rsidRPr="00CA3122">
        <w:rPr>
          <w:rFonts w:ascii="Times New Roman" w:eastAsia="SimSun" w:hAnsi="Times New Roman" w:cs="Times New Roman"/>
          <w:sz w:val="24"/>
          <w:szCs w:val="24"/>
        </w:rPr>
        <w:t>).</w:t>
      </w:r>
    </w:p>
    <w:p w:rsidR="00F569A5" w:rsidRPr="00F569A5" w:rsidRDefault="003D327B" w:rsidP="00583CC4">
      <w:pPr>
        <w:autoSpaceDE w:val="0"/>
        <w:autoSpaceDN w:val="0"/>
        <w:adjustRightInd w:val="0"/>
        <w:spacing w:beforeLines="75" w:after="0" w:line="360" w:lineRule="auto"/>
        <w:contextualSpacing/>
        <w:jc w:val="both"/>
        <w:rPr>
          <w:rFonts w:ascii="Times New Roman" w:eastAsia="SimSun" w:hAnsi="Times New Roman" w:cs="Times New Roman"/>
          <w:sz w:val="24"/>
          <w:szCs w:val="24"/>
        </w:rPr>
      </w:pPr>
      <w:r w:rsidRPr="00515572">
        <w:rPr>
          <w:rFonts w:ascii="Times New Roman" w:eastAsia="SimSun" w:hAnsi="Times New Roman" w:cs="Times New Roman"/>
          <w:sz w:val="24"/>
          <w:szCs w:val="24"/>
        </w:rPr>
        <w:t xml:space="preserve">Spawning occurs in the rainy season (March-October). Fecundity ranges from 10,000 to 45,000 eggs/female (White Nile, Sudan and Oyan Reservoir, Nigeria; </w:t>
      </w:r>
      <w:r w:rsidRPr="00583CC4">
        <w:rPr>
          <w:rFonts w:ascii="Times New Roman" w:eastAsia="SimSun" w:hAnsi="Times New Roman" w:cs="Times New Roman"/>
          <w:color w:val="FF0000"/>
          <w:sz w:val="24"/>
          <w:szCs w:val="24"/>
        </w:rPr>
        <w:t xml:space="preserve">Hagar, 2019; Olojo </w:t>
      </w:r>
      <w:r w:rsidRPr="00583CC4">
        <w:rPr>
          <w:rFonts w:ascii="Times New Roman" w:eastAsia="SimSun" w:hAnsi="Times New Roman" w:cs="Times New Roman"/>
          <w:i/>
          <w:iCs/>
          <w:color w:val="FF0000"/>
          <w:sz w:val="24"/>
          <w:szCs w:val="24"/>
        </w:rPr>
        <w:t>et al.</w:t>
      </w:r>
      <w:r w:rsidRPr="00583CC4">
        <w:rPr>
          <w:rFonts w:ascii="Times New Roman" w:eastAsia="SimSun" w:hAnsi="Times New Roman" w:cs="Times New Roman"/>
          <w:color w:val="FF0000"/>
          <w:sz w:val="24"/>
          <w:szCs w:val="24"/>
        </w:rPr>
        <w:t>, 2003).</w:t>
      </w:r>
      <w:r w:rsidRPr="00515572">
        <w:rPr>
          <w:rFonts w:ascii="Times New Roman" w:eastAsia="SimSun" w:hAnsi="Times New Roman" w:cs="Times New Roman"/>
          <w:sz w:val="24"/>
          <w:szCs w:val="24"/>
        </w:rPr>
        <w:t xml:space="preserve"> Recruitment is bimodal, being linked to flood pulses (Lake Kariba, Zimbabwe; </w:t>
      </w:r>
      <w:r w:rsidRPr="00583CC4">
        <w:rPr>
          <w:rFonts w:ascii="Times New Roman" w:eastAsia="SimSun" w:hAnsi="Times New Roman" w:cs="Times New Roman"/>
          <w:color w:val="FF0000"/>
          <w:sz w:val="24"/>
          <w:szCs w:val="24"/>
        </w:rPr>
        <w:t xml:space="preserve">Dalu </w:t>
      </w:r>
      <w:r w:rsidRPr="00583CC4">
        <w:rPr>
          <w:rFonts w:ascii="Times New Roman" w:eastAsia="SimSun" w:hAnsi="Times New Roman" w:cs="Times New Roman"/>
          <w:i/>
          <w:iCs/>
          <w:color w:val="FF0000"/>
          <w:sz w:val="24"/>
          <w:szCs w:val="24"/>
        </w:rPr>
        <w:t>et al</w:t>
      </w:r>
      <w:r w:rsidR="00F569A5" w:rsidRPr="00583CC4">
        <w:rPr>
          <w:rFonts w:ascii="Times New Roman" w:eastAsia="SimSun" w:hAnsi="Times New Roman" w:cs="Times New Roman"/>
          <w:color w:val="FF0000"/>
          <w:sz w:val="24"/>
          <w:szCs w:val="24"/>
        </w:rPr>
        <w:t>., 2012).</w:t>
      </w:r>
    </w:p>
    <w:p w:rsidR="003D327B" w:rsidRPr="00515572" w:rsidRDefault="003D327B" w:rsidP="00583CC4">
      <w:pPr>
        <w:autoSpaceDE w:val="0"/>
        <w:autoSpaceDN w:val="0"/>
        <w:adjustRightInd w:val="0"/>
        <w:spacing w:beforeLines="75" w:after="0" w:line="360" w:lineRule="auto"/>
        <w:contextualSpacing/>
        <w:jc w:val="both"/>
        <w:rPr>
          <w:rFonts w:ascii="Times New Roman" w:eastAsia="SimSun" w:hAnsi="Times New Roman" w:cs="Times New Roman"/>
          <w:sz w:val="24"/>
          <w:szCs w:val="24"/>
        </w:rPr>
      </w:pPr>
      <w:r w:rsidRPr="00515572">
        <w:rPr>
          <w:rFonts w:ascii="Times New Roman" w:eastAsia="SimSun" w:hAnsi="Times New Roman" w:cs="Times New Roman"/>
          <w:sz w:val="24"/>
          <w:szCs w:val="24"/>
        </w:rPr>
        <w:t xml:space="preserve">Despite its ecological and economic importance, comprehensive data on </w:t>
      </w:r>
      <w:r w:rsidRPr="00515572">
        <w:rPr>
          <w:rFonts w:ascii="Times New Roman" w:eastAsia="SimSun" w:hAnsi="Times New Roman" w:cs="Times New Roman"/>
          <w:i/>
          <w:iCs/>
          <w:sz w:val="24"/>
          <w:szCs w:val="24"/>
        </w:rPr>
        <w:t>H. forskahlii</w:t>
      </w:r>
      <w:r w:rsidRPr="00515572">
        <w:rPr>
          <w:rFonts w:ascii="Times New Roman" w:eastAsia="SimSun" w:hAnsi="Times New Roman" w:cs="Times New Roman"/>
          <w:sz w:val="24"/>
          <w:szCs w:val="24"/>
        </w:rPr>
        <w:t xml:space="preserve"> population dynamics in Sudanese reservoirs remain lacking. This study addresses this gap through the first systematic assessment of growth, mortality, and reproduction parameters in Roseires Reservoir, providing critical baseline data for su</w:t>
      </w:r>
      <w:r w:rsidR="00515572">
        <w:rPr>
          <w:rFonts w:ascii="Times New Roman" w:eastAsia="SimSun" w:hAnsi="Times New Roman" w:cs="Times New Roman"/>
          <w:sz w:val="24"/>
          <w:szCs w:val="24"/>
        </w:rPr>
        <w:t>stainable fisheries management.</w:t>
      </w:r>
    </w:p>
    <w:p w:rsidR="003D327B" w:rsidRPr="00515572" w:rsidRDefault="003D327B" w:rsidP="00DD5F77">
      <w:pPr>
        <w:spacing w:after="0" w:line="360" w:lineRule="auto"/>
        <w:contextualSpacing/>
        <w:jc w:val="both"/>
        <w:outlineLvl w:val="2"/>
        <w:rPr>
          <w:rFonts w:ascii="Times New Roman" w:eastAsia="Times New Roman" w:hAnsi="Times New Roman" w:cs="Times New Roman"/>
          <w:b/>
          <w:bCs/>
          <w:sz w:val="24"/>
          <w:szCs w:val="24"/>
        </w:rPr>
      </w:pPr>
      <w:r w:rsidRPr="00515572">
        <w:rPr>
          <w:rFonts w:ascii="Times New Roman" w:eastAsia="Times New Roman" w:hAnsi="Times New Roman" w:cs="Times New Roman"/>
          <w:b/>
          <w:bCs/>
          <w:sz w:val="24"/>
          <w:szCs w:val="24"/>
        </w:rPr>
        <w:t>Materials and Methods</w:t>
      </w:r>
    </w:p>
    <w:p w:rsidR="003D327B" w:rsidRPr="00515572" w:rsidRDefault="003D327B" w:rsidP="00DD5F77">
      <w:pPr>
        <w:spacing w:after="0" w:line="360" w:lineRule="auto"/>
        <w:contextualSpacing/>
        <w:jc w:val="both"/>
        <w:outlineLvl w:val="2"/>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Study area</w:t>
      </w:r>
      <w:r w:rsidRPr="00515572">
        <w:rPr>
          <w:rFonts w:ascii="Times New Roman" w:eastAsia="Times New Roman" w:hAnsi="Times New Roman" w:cs="Times New Roman"/>
          <w:sz w:val="24"/>
          <w:szCs w:val="24"/>
        </w:rPr>
        <w:t>:</w:t>
      </w:r>
    </w:p>
    <w:p w:rsidR="003D327B" w:rsidRDefault="003D327B" w:rsidP="00DD5F77">
      <w:pPr>
        <w:spacing w:after="0" w:line="360" w:lineRule="auto"/>
        <w:contextualSpacing/>
        <w:jc w:val="both"/>
        <w:rPr>
          <w:rFonts w:ascii="Times New Roman" w:eastAsia="SimSun" w:hAnsi="Times New Roman" w:cs="Times New Roman"/>
          <w:sz w:val="24"/>
          <w:szCs w:val="24"/>
        </w:rPr>
      </w:pPr>
      <w:r w:rsidRPr="00515572">
        <w:rPr>
          <w:rFonts w:ascii="Times New Roman" w:eastAsia="SimSun" w:hAnsi="Times New Roman" w:cs="Times New Roman"/>
          <w:sz w:val="24"/>
          <w:szCs w:val="24"/>
        </w:rPr>
        <w:t>The Roseires Dam is located on the Blue Nile River in Sudan (Fig. 1) and serves as a critical water storage facility for agricultural irrigation and hydroelectric power generation. Situated approximately 550 km from Khartoum, the dam was initially constructed in 1966. A second phase of construction raised its height from 68 m to 78 m, increasing storage capacity from 3.0 billion m³ to 7.3 billion m³. The reservoir now supports local fisheries, providing livelihoods, employment, and income for nearby communities. Fish samples were collected from four designated sites (Table 1).</w:t>
      </w:r>
    </w:p>
    <w:p w:rsidR="004E18F9" w:rsidRDefault="004E18F9" w:rsidP="00DD5F77">
      <w:pPr>
        <w:spacing w:after="0" w:line="360" w:lineRule="auto"/>
        <w:contextualSpacing/>
        <w:jc w:val="both"/>
        <w:rPr>
          <w:rFonts w:ascii="Times New Roman" w:eastAsia="SimSun" w:hAnsi="Times New Roman" w:cs="Times New Roman"/>
          <w:sz w:val="24"/>
          <w:szCs w:val="24"/>
        </w:rPr>
      </w:pPr>
      <w:r w:rsidRPr="004E18F9">
        <w:rPr>
          <w:rFonts w:ascii="Times New Roman" w:eastAsia="SimSun" w:hAnsi="Times New Roman" w:cs="Times New Roman"/>
          <w:noProof/>
          <w:sz w:val="24"/>
          <w:szCs w:val="24"/>
        </w:rPr>
        <w:lastRenderedPageBreak/>
        <w:drawing>
          <wp:inline distT="0" distB="0" distL="0" distR="0">
            <wp:extent cx="5697163" cy="7441809"/>
            <wp:effectExtent l="0" t="0" r="0" b="698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6649" cy="7519511"/>
                    </a:xfrm>
                    <a:prstGeom prst="rect">
                      <a:avLst/>
                    </a:prstGeom>
                  </pic:spPr>
                </pic:pic>
              </a:graphicData>
            </a:graphic>
          </wp:inline>
        </w:drawing>
      </w:r>
    </w:p>
    <w:p w:rsidR="00202DC3" w:rsidRPr="00183BFB" w:rsidRDefault="004E18F9" w:rsidP="00DD5F77">
      <w:pPr>
        <w:pStyle w:val="NormalWeb"/>
        <w:spacing w:before="0" w:beforeAutospacing="0" w:after="0" w:afterAutospacing="0" w:line="360" w:lineRule="auto"/>
        <w:contextualSpacing/>
      </w:pPr>
      <w:r>
        <w:rPr>
          <w:rFonts w:eastAsia="SimSun"/>
          <w:bCs/>
        </w:rPr>
        <w:t>Fig. 1. Roseires Dam</w:t>
      </w:r>
      <w:r w:rsidRPr="004E18F9">
        <w:rPr>
          <w:rFonts w:eastAsia="SimSun"/>
          <w:bCs/>
        </w:rPr>
        <w:t xml:space="preserve"> in Sudan, </w:t>
      </w:r>
      <w:r>
        <w:rPr>
          <w:rFonts w:eastAsia="SimSun"/>
          <w:bCs/>
        </w:rPr>
        <w:t>Africa</w:t>
      </w:r>
      <w:r w:rsidR="00183BFB">
        <w:rPr>
          <w:rFonts w:eastAsia="SimSun"/>
          <w:bCs/>
        </w:rPr>
        <w:t xml:space="preserve"> (</w:t>
      </w:r>
      <w:r w:rsidR="00183BFB" w:rsidRPr="00183BFB">
        <w:t>11°47′53″N 34°23′15″E</w:t>
      </w:r>
      <w:r w:rsidR="00183BFB" w:rsidRPr="00183BFB">
        <w:rPr>
          <w:rFonts w:ascii="Tahoma" w:hAnsi="Tahoma" w:cs="Tahoma"/>
        </w:rPr>
        <w:t>﻿</w:t>
      </w:r>
      <w:r w:rsidR="00183BFB" w:rsidRPr="00183BFB">
        <w:t xml:space="preserve"> / </w:t>
      </w:r>
      <w:r w:rsidR="00183BFB" w:rsidRPr="00183BFB">
        <w:rPr>
          <w:rFonts w:ascii="Tahoma" w:hAnsi="Tahoma" w:cs="Tahoma"/>
        </w:rPr>
        <w:t>﻿</w:t>
      </w:r>
      <w:r w:rsidR="00183BFB" w:rsidRPr="00183BFB">
        <w:t>11.79806°N 34.38750°E</w:t>
      </w:r>
      <w:r w:rsidR="00183BFB" w:rsidRPr="00183BFB">
        <w:rPr>
          <w:rFonts w:ascii="Tahoma" w:hAnsi="Tahoma" w:cs="Tahoma"/>
        </w:rPr>
        <w:t>﻿</w:t>
      </w:r>
      <w:r w:rsidR="00183BFB" w:rsidRPr="00183BFB">
        <w:t xml:space="preserve"> / 11.79806; 34.38750</w:t>
      </w:r>
      <w:r w:rsidR="00183BFB">
        <w:rPr>
          <w:rFonts w:eastAsia="SimSun"/>
          <w:bCs/>
        </w:rPr>
        <w:t>)</w:t>
      </w:r>
      <w:r>
        <w:rPr>
          <w:rFonts w:eastAsia="SimSun"/>
          <w:bCs/>
        </w:rPr>
        <w:t xml:space="preserve">. </w:t>
      </w:r>
      <w:r w:rsidR="00D532C1" w:rsidRPr="004E18F9">
        <w:rPr>
          <w:rFonts w:eastAsia="SimSun"/>
        </w:rPr>
        <w:t>From Ayn network (https://3ayin.com/en/sudan-authorities-support-while-affected-communities-fear-africas-largest-dam/)</w:t>
      </w:r>
    </w:p>
    <w:p w:rsidR="00202DC3" w:rsidRPr="00515572" w:rsidRDefault="00202DC3" w:rsidP="00DD5F77">
      <w:pPr>
        <w:spacing w:after="0" w:line="360" w:lineRule="auto"/>
        <w:contextualSpacing/>
        <w:jc w:val="both"/>
        <w:rPr>
          <w:rFonts w:ascii="Times New Roman" w:eastAsia="SimSun" w:hAnsi="Times New Roman" w:cs="Times New Roman"/>
          <w:sz w:val="24"/>
          <w:szCs w:val="24"/>
        </w:rPr>
      </w:pPr>
    </w:p>
    <w:p w:rsidR="003D327B" w:rsidRPr="00515572" w:rsidRDefault="003D327B" w:rsidP="00DD5F77">
      <w:pPr>
        <w:spacing w:after="0" w:line="360" w:lineRule="auto"/>
        <w:contextualSpacing/>
        <w:jc w:val="center"/>
        <w:rPr>
          <w:rFonts w:ascii="Times New Roman" w:eastAsia="SimSun" w:hAnsi="Times New Roman" w:cs="Times New Roman"/>
          <w:sz w:val="24"/>
          <w:szCs w:val="24"/>
        </w:rPr>
      </w:pPr>
    </w:p>
    <w:p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SimSun" w:hAnsi="Times New Roman" w:cs="Times New Roman"/>
          <w:b/>
          <w:bCs/>
          <w:sz w:val="24"/>
          <w:szCs w:val="24"/>
        </w:rPr>
        <w:lastRenderedPageBreak/>
        <w:t>T</w:t>
      </w:r>
      <w:r w:rsidRPr="00515572">
        <w:rPr>
          <w:rFonts w:ascii="Times New Roman" w:eastAsia="Times New Roman" w:hAnsi="Times New Roman" w:cs="Times New Roman"/>
          <w:b/>
          <w:bCs/>
          <w:sz w:val="24"/>
          <w:szCs w:val="24"/>
        </w:rPr>
        <w:t>able 1. The coordinates of the fish sampling sites in Roseires Reservoir (Blue Nile, Sudan) and the distance from the Damazin City.</w:t>
      </w:r>
    </w:p>
    <w:tbl>
      <w:tblPr>
        <w:tblStyle w:val="TableNormal1"/>
        <w:tblW w:w="779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1843"/>
        <w:gridCol w:w="2552"/>
        <w:gridCol w:w="1701"/>
      </w:tblGrid>
      <w:tr w:rsidR="003D327B" w:rsidRPr="00515572" w:rsidTr="000D08DB">
        <w:trPr>
          <w:trHeight w:val="93"/>
          <w:jc w:val="center"/>
        </w:trPr>
        <w:tc>
          <w:tcPr>
            <w:tcW w:w="1696" w:type="dxa"/>
            <w:tcBorders>
              <w:top w:val="single" w:sz="4" w:space="0" w:color="auto"/>
              <w:left w:val="single" w:sz="4" w:space="0" w:color="auto"/>
              <w:bottom w:val="single" w:sz="4" w:space="0" w:color="auto"/>
              <w:right w:val="single" w:sz="4" w:space="0" w:color="auto"/>
            </w:tcBorders>
            <w:hideMark/>
          </w:tcPr>
          <w:p w:rsidR="003D327B" w:rsidRPr="00027516" w:rsidRDefault="003D327B" w:rsidP="00DD5F77">
            <w:pPr>
              <w:autoSpaceDE w:val="0"/>
              <w:autoSpaceDN w:val="0"/>
              <w:adjustRightInd w:val="0"/>
              <w:spacing w:line="360" w:lineRule="auto"/>
              <w:contextualSpacing/>
              <w:jc w:val="both"/>
              <w:rPr>
                <w:rFonts w:eastAsia="Calibri"/>
                <w:b/>
                <w:color w:val="000000"/>
                <w:sz w:val="24"/>
                <w:szCs w:val="24"/>
              </w:rPr>
            </w:pPr>
            <w:r w:rsidRPr="00027516">
              <w:rPr>
                <w:rFonts w:eastAsia="Calibri"/>
                <w:b/>
                <w:color w:val="000000"/>
                <w:sz w:val="24"/>
                <w:szCs w:val="24"/>
              </w:rPr>
              <w:t>Site</w:t>
            </w:r>
          </w:p>
        </w:tc>
        <w:tc>
          <w:tcPr>
            <w:tcW w:w="1843" w:type="dxa"/>
            <w:tcBorders>
              <w:top w:val="single" w:sz="4" w:space="0" w:color="auto"/>
              <w:left w:val="single" w:sz="4" w:space="0" w:color="auto"/>
              <w:bottom w:val="single" w:sz="4" w:space="0" w:color="auto"/>
              <w:right w:val="single" w:sz="4" w:space="0" w:color="auto"/>
            </w:tcBorders>
            <w:hideMark/>
          </w:tcPr>
          <w:p w:rsidR="003D327B" w:rsidRPr="00027516" w:rsidRDefault="003D327B" w:rsidP="00DD5F77">
            <w:pPr>
              <w:autoSpaceDE w:val="0"/>
              <w:autoSpaceDN w:val="0"/>
              <w:adjustRightInd w:val="0"/>
              <w:spacing w:line="360" w:lineRule="auto"/>
              <w:contextualSpacing/>
              <w:jc w:val="center"/>
              <w:rPr>
                <w:rFonts w:eastAsia="Calibri"/>
                <w:b/>
                <w:color w:val="000000"/>
                <w:sz w:val="24"/>
                <w:szCs w:val="24"/>
              </w:rPr>
            </w:pPr>
            <w:r w:rsidRPr="00027516">
              <w:rPr>
                <w:rFonts w:eastAsia="Calibri"/>
                <w:b/>
                <w:color w:val="000000"/>
                <w:sz w:val="24"/>
                <w:szCs w:val="24"/>
              </w:rPr>
              <w:t>Distance (km)</w:t>
            </w:r>
          </w:p>
        </w:tc>
        <w:tc>
          <w:tcPr>
            <w:tcW w:w="2552" w:type="dxa"/>
            <w:tcBorders>
              <w:top w:val="single" w:sz="4" w:space="0" w:color="auto"/>
              <w:left w:val="single" w:sz="4" w:space="0" w:color="auto"/>
              <w:bottom w:val="single" w:sz="4" w:space="0" w:color="auto"/>
              <w:right w:val="single" w:sz="4" w:space="0" w:color="auto"/>
            </w:tcBorders>
            <w:hideMark/>
          </w:tcPr>
          <w:p w:rsidR="003D327B" w:rsidRPr="00027516" w:rsidRDefault="003D327B" w:rsidP="00DD5F77">
            <w:pPr>
              <w:autoSpaceDE w:val="0"/>
              <w:autoSpaceDN w:val="0"/>
              <w:adjustRightInd w:val="0"/>
              <w:spacing w:line="360" w:lineRule="auto"/>
              <w:contextualSpacing/>
              <w:jc w:val="center"/>
              <w:rPr>
                <w:rFonts w:eastAsia="Calibri"/>
                <w:b/>
                <w:color w:val="000000"/>
                <w:sz w:val="24"/>
                <w:szCs w:val="24"/>
              </w:rPr>
            </w:pPr>
            <w:r w:rsidRPr="00027516">
              <w:rPr>
                <w:rFonts w:eastAsia="Calibri"/>
                <w:b/>
                <w:color w:val="000000"/>
                <w:sz w:val="24"/>
                <w:szCs w:val="24"/>
              </w:rPr>
              <w:t>Coordinate</w:t>
            </w:r>
          </w:p>
        </w:tc>
        <w:tc>
          <w:tcPr>
            <w:tcW w:w="1701" w:type="dxa"/>
            <w:tcBorders>
              <w:top w:val="single" w:sz="4" w:space="0" w:color="auto"/>
              <w:left w:val="single" w:sz="4" w:space="0" w:color="auto"/>
              <w:bottom w:val="single" w:sz="4" w:space="0" w:color="auto"/>
              <w:right w:val="single" w:sz="4" w:space="0" w:color="auto"/>
            </w:tcBorders>
            <w:hideMark/>
          </w:tcPr>
          <w:p w:rsidR="003D327B" w:rsidRPr="00027516" w:rsidRDefault="003D327B" w:rsidP="00DD5F77">
            <w:pPr>
              <w:autoSpaceDE w:val="0"/>
              <w:autoSpaceDN w:val="0"/>
              <w:adjustRightInd w:val="0"/>
              <w:spacing w:line="360" w:lineRule="auto"/>
              <w:contextualSpacing/>
              <w:jc w:val="center"/>
              <w:rPr>
                <w:rFonts w:eastAsia="Calibri"/>
                <w:b/>
                <w:color w:val="000000"/>
                <w:sz w:val="24"/>
                <w:szCs w:val="24"/>
              </w:rPr>
            </w:pPr>
            <w:r w:rsidRPr="00027516">
              <w:rPr>
                <w:rFonts w:eastAsia="Calibri"/>
                <w:b/>
                <w:color w:val="000000"/>
                <w:sz w:val="24"/>
                <w:szCs w:val="24"/>
              </w:rPr>
              <w:t>Elevation (m)</w:t>
            </w:r>
          </w:p>
        </w:tc>
      </w:tr>
      <w:tr w:rsidR="003D327B" w:rsidRPr="00515572" w:rsidTr="000D08DB">
        <w:trPr>
          <w:trHeight w:val="93"/>
          <w:jc w:val="center"/>
        </w:trPr>
        <w:tc>
          <w:tcPr>
            <w:tcW w:w="1696" w:type="dxa"/>
            <w:tcBorders>
              <w:top w:val="single" w:sz="4" w:space="0" w:color="auto"/>
              <w:left w:val="single" w:sz="4" w:space="0" w:color="auto"/>
              <w:bottom w:val="single" w:sz="4" w:space="0" w:color="auto"/>
              <w:right w:val="single" w:sz="4" w:space="0" w:color="auto"/>
            </w:tcBorders>
            <w:hideMark/>
          </w:tcPr>
          <w:p w:rsidR="003D327B" w:rsidRPr="00027516" w:rsidRDefault="003D327B" w:rsidP="00DD5F77">
            <w:pPr>
              <w:autoSpaceDE w:val="0"/>
              <w:autoSpaceDN w:val="0"/>
              <w:adjustRightInd w:val="0"/>
              <w:spacing w:line="360" w:lineRule="auto"/>
              <w:contextualSpacing/>
              <w:jc w:val="both"/>
              <w:rPr>
                <w:rFonts w:eastAsia="Calibri"/>
                <w:b/>
                <w:color w:val="000000"/>
                <w:sz w:val="24"/>
                <w:szCs w:val="24"/>
              </w:rPr>
            </w:pPr>
            <w:r w:rsidRPr="00027516">
              <w:rPr>
                <w:rFonts w:eastAsia="Calibri"/>
                <w:b/>
                <w:color w:val="000000"/>
                <w:sz w:val="24"/>
                <w:szCs w:val="24"/>
              </w:rPr>
              <w:t xml:space="preserve">Awal Bab </w:t>
            </w:r>
          </w:p>
        </w:tc>
        <w:tc>
          <w:tcPr>
            <w:tcW w:w="1843"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11°45'14"N 34°21'51"E</w:t>
            </w:r>
          </w:p>
        </w:tc>
        <w:tc>
          <w:tcPr>
            <w:tcW w:w="1701"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487</w:t>
            </w:r>
          </w:p>
        </w:tc>
      </w:tr>
      <w:tr w:rsidR="003D327B" w:rsidRPr="00515572" w:rsidTr="000D08DB">
        <w:trPr>
          <w:trHeight w:val="93"/>
          <w:jc w:val="center"/>
        </w:trPr>
        <w:tc>
          <w:tcPr>
            <w:tcW w:w="1696" w:type="dxa"/>
            <w:tcBorders>
              <w:top w:val="single" w:sz="4" w:space="0" w:color="auto"/>
              <w:left w:val="single" w:sz="4" w:space="0" w:color="auto"/>
              <w:bottom w:val="single" w:sz="4" w:space="0" w:color="auto"/>
              <w:right w:val="single" w:sz="4" w:space="0" w:color="auto"/>
            </w:tcBorders>
            <w:hideMark/>
          </w:tcPr>
          <w:p w:rsidR="003D327B" w:rsidRPr="00027516" w:rsidRDefault="003D327B" w:rsidP="00DD5F77">
            <w:pPr>
              <w:autoSpaceDE w:val="0"/>
              <w:autoSpaceDN w:val="0"/>
              <w:adjustRightInd w:val="0"/>
              <w:spacing w:line="360" w:lineRule="auto"/>
              <w:contextualSpacing/>
              <w:jc w:val="both"/>
              <w:rPr>
                <w:rFonts w:eastAsia="Calibri"/>
                <w:b/>
                <w:color w:val="000000"/>
                <w:sz w:val="24"/>
                <w:szCs w:val="24"/>
              </w:rPr>
            </w:pPr>
            <w:r w:rsidRPr="00027516">
              <w:rPr>
                <w:rFonts w:eastAsia="Calibri"/>
                <w:b/>
                <w:color w:val="000000"/>
                <w:sz w:val="24"/>
                <w:szCs w:val="24"/>
              </w:rPr>
              <w:t xml:space="preserve">EL Regiba </w:t>
            </w:r>
          </w:p>
        </w:tc>
        <w:tc>
          <w:tcPr>
            <w:tcW w:w="1843"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16</w:t>
            </w:r>
          </w:p>
        </w:tc>
        <w:tc>
          <w:tcPr>
            <w:tcW w:w="2552"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11°38'39"N 34°20'51"E</w:t>
            </w:r>
          </w:p>
        </w:tc>
        <w:tc>
          <w:tcPr>
            <w:tcW w:w="1701"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497</w:t>
            </w:r>
          </w:p>
        </w:tc>
      </w:tr>
      <w:tr w:rsidR="003D327B" w:rsidRPr="00515572" w:rsidTr="000D08DB">
        <w:trPr>
          <w:trHeight w:val="93"/>
          <w:jc w:val="center"/>
        </w:trPr>
        <w:tc>
          <w:tcPr>
            <w:tcW w:w="1696" w:type="dxa"/>
            <w:tcBorders>
              <w:top w:val="single" w:sz="4" w:space="0" w:color="auto"/>
              <w:left w:val="single" w:sz="4" w:space="0" w:color="auto"/>
              <w:bottom w:val="single" w:sz="4" w:space="0" w:color="auto"/>
              <w:right w:val="single" w:sz="4" w:space="0" w:color="auto"/>
            </w:tcBorders>
            <w:hideMark/>
          </w:tcPr>
          <w:p w:rsidR="003D327B" w:rsidRPr="00027516" w:rsidRDefault="003D327B" w:rsidP="00DD5F77">
            <w:pPr>
              <w:autoSpaceDE w:val="0"/>
              <w:autoSpaceDN w:val="0"/>
              <w:adjustRightInd w:val="0"/>
              <w:spacing w:line="360" w:lineRule="auto"/>
              <w:contextualSpacing/>
              <w:jc w:val="both"/>
              <w:rPr>
                <w:rFonts w:eastAsia="Calibri"/>
                <w:b/>
                <w:color w:val="000000"/>
                <w:sz w:val="24"/>
                <w:szCs w:val="24"/>
              </w:rPr>
            </w:pPr>
            <w:r w:rsidRPr="00027516">
              <w:rPr>
                <w:rFonts w:eastAsia="Calibri"/>
                <w:b/>
                <w:color w:val="000000"/>
                <w:sz w:val="24"/>
                <w:szCs w:val="24"/>
              </w:rPr>
              <w:t xml:space="preserve">Kirma </w:t>
            </w:r>
          </w:p>
        </w:tc>
        <w:tc>
          <w:tcPr>
            <w:tcW w:w="1843"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43</w:t>
            </w:r>
          </w:p>
        </w:tc>
        <w:tc>
          <w:tcPr>
            <w:tcW w:w="2552"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11°41'09"N 34°30'35"E</w:t>
            </w:r>
          </w:p>
        </w:tc>
        <w:tc>
          <w:tcPr>
            <w:tcW w:w="1701"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506</w:t>
            </w:r>
          </w:p>
        </w:tc>
      </w:tr>
      <w:tr w:rsidR="003D327B" w:rsidRPr="00515572" w:rsidTr="000D08DB">
        <w:trPr>
          <w:trHeight w:val="93"/>
          <w:jc w:val="center"/>
        </w:trPr>
        <w:tc>
          <w:tcPr>
            <w:tcW w:w="1696" w:type="dxa"/>
            <w:tcBorders>
              <w:top w:val="single" w:sz="4" w:space="0" w:color="auto"/>
              <w:left w:val="single" w:sz="4" w:space="0" w:color="auto"/>
              <w:bottom w:val="single" w:sz="4" w:space="0" w:color="auto"/>
              <w:right w:val="single" w:sz="4" w:space="0" w:color="auto"/>
            </w:tcBorders>
            <w:hideMark/>
          </w:tcPr>
          <w:p w:rsidR="003D327B" w:rsidRPr="00027516" w:rsidRDefault="003D327B" w:rsidP="00DD5F77">
            <w:pPr>
              <w:autoSpaceDE w:val="0"/>
              <w:autoSpaceDN w:val="0"/>
              <w:adjustRightInd w:val="0"/>
              <w:spacing w:line="360" w:lineRule="auto"/>
              <w:contextualSpacing/>
              <w:jc w:val="both"/>
              <w:rPr>
                <w:rFonts w:eastAsia="Calibri"/>
                <w:b/>
                <w:color w:val="000000"/>
                <w:sz w:val="24"/>
                <w:szCs w:val="24"/>
              </w:rPr>
            </w:pPr>
            <w:r w:rsidRPr="00027516">
              <w:rPr>
                <w:rFonts w:eastAsia="Calibri"/>
                <w:b/>
                <w:color w:val="000000"/>
                <w:sz w:val="24"/>
                <w:szCs w:val="24"/>
              </w:rPr>
              <w:t xml:space="preserve">Wad EL Mahi </w:t>
            </w:r>
          </w:p>
        </w:tc>
        <w:tc>
          <w:tcPr>
            <w:tcW w:w="1843"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80</w:t>
            </w:r>
          </w:p>
        </w:tc>
        <w:tc>
          <w:tcPr>
            <w:tcW w:w="2552"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11°25'27"N 34°40'17"E</w:t>
            </w:r>
          </w:p>
        </w:tc>
        <w:tc>
          <w:tcPr>
            <w:tcW w:w="1701"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507</w:t>
            </w:r>
          </w:p>
        </w:tc>
      </w:tr>
    </w:tbl>
    <w:p w:rsidR="003D327B" w:rsidRPr="00515572" w:rsidRDefault="003D327B" w:rsidP="00DD5F77">
      <w:pPr>
        <w:autoSpaceDE w:val="0"/>
        <w:autoSpaceDN w:val="0"/>
        <w:adjustRightInd w:val="0"/>
        <w:spacing w:after="0" w:line="360" w:lineRule="auto"/>
        <w:contextualSpacing/>
        <w:jc w:val="both"/>
        <w:rPr>
          <w:rFonts w:ascii="Times New Roman" w:eastAsia="Calibri" w:hAnsi="Times New Roman" w:cs="Times New Roman"/>
          <w:b/>
          <w:bCs/>
          <w:color w:val="000000"/>
          <w:sz w:val="24"/>
          <w:szCs w:val="24"/>
        </w:rPr>
      </w:pPr>
      <w:r w:rsidRPr="00515572">
        <w:rPr>
          <w:rFonts w:ascii="Times New Roman" w:eastAsia="Calibri" w:hAnsi="Times New Roman" w:cs="Times New Roman"/>
          <w:b/>
          <w:bCs/>
          <w:color w:val="000000"/>
          <w:sz w:val="24"/>
          <w:szCs w:val="24"/>
        </w:rPr>
        <w:t>Samples collection:</w:t>
      </w:r>
    </w:p>
    <w:p w:rsidR="00027516" w:rsidRPr="00583CC4" w:rsidRDefault="003D327B" w:rsidP="00DD5F77">
      <w:pPr>
        <w:spacing w:after="0" w:line="360" w:lineRule="auto"/>
        <w:contextualSpacing/>
        <w:jc w:val="both"/>
        <w:rPr>
          <w:rFonts w:ascii="Times New Roman" w:eastAsia="Times New Roman" w:hAnsi="Times New Roman" w:cs="Times New Roman"/>
          <w:color w:val="FF0000"/>
          <w:sz w:val="24"/>
          <w:szCs w:val="24"/>
        </w:rPr>
      </w:pPr>
      <w:r w:rsidRPr="00515572">
        <w:rPr>
          <w:rFonts w:ascii="Times New Roman" w:eastAsia="Times New Roman" w:hAnsi="Times New Roman" w:cs="Times New Roman"/>
          <w:color w:val="000000"/>
          <w:sz w:val="24"/>
          <w:szCs w:val="24"/>
        </w:rPr>
        <w:t xml:space="preserve">A total of 675 fish specimens were collected monthly from the four sites (Table 1) between November 2021 and November 2022. Gillnets with stretched mesh sizes of 2 cm, 4 cm, 6 cm, and 8 cm were </w:t>
      </w:r>
      <w:r w:rsidRPr="00515572">
        <w:rPr>
          <w:rFonts w:ascii="Times New Roman" w:eastAsia="SimSun" w:hAnsi="Times New Roman" w:cs="Times New Roman"/>
          <w:sz w:val="24"/>
          <w:szCs w:val="24"/>
        </w:rPr>
        <w:t>used</w:t>
      </w:r>
      <w:r w:rsidRPr="00515572">
        <w:rPr>
          <w:rFonts w:ascii="Times New Roman" w:eastAsia="Times New Roman" w:hAnsi="Times New Roman" w:cs="Times New Roman"/>
          <w:color w:val="000000"/>
          <w:sz w:val="24"/>
          <w:szCs w:val="24"/>
        </w:rPr>
        <w:t xml:space="preserve">, with lengths of 50 m, 90 m, 95 m, and 100 m and depths of 2 m, 4 m, and 4.5 m, respectively (Table 2). Fish identification followed </w:t>
      </w:r>
      <w:r w:rsidRPr="00583CC4">
        <w:rPr>
          <w:rFonts w:ascii="Times New Roman" w:eastAsia="Times New Roman" w:hAnsi="Times New Roman" w:cs="Times New Roman"/>
          <w:color w:val="FF0000"/>
          <w:sz w:val="24"/>
          <w:szCs w:val="24"/>
        </w:rPr>
        <w:t xml:space="preserve">Neumann </w:t>
      </w:r>
      <w:r w:rsidRPr="00583CC4">
        <w:rPr>
          <w:rFonts w:ascii="Times New Roman" w:eastAsia="Times New Roman" w:hAnsi="Times New Roman" w:cs="Times New Roman"/>
          <w:i/>
          <w:iCs/>
          <w:color w:val="FF0000"/>
          <w:sz w:val="24"/>
          <w:szCs w:val="24"/>
        </w:rPr>
        <w:t>et</w:t>
      </w:r>
      <w:r w:rsidR="00FC3256" w:rsidRPr="00583CC4">
        <w:rPr>
          <w:rFonts w:ascii="Times New Roman" w:eastAsia="Times New Roman" w:hAnsi="Times New Roman" w:cs="Times New Roman"/>
          <w:i/>
          <w:iCs/>
          <w:color w:val="FF0000"/>
          <w:sz w:val="24"/>
          <w:szCs w:val="24"/>
        </w:rPr>
        <w:t>.</w:t>
      </w:r>
      <w:r w:rsidRPr="00583CC4">
        <w:rPr>
          <w:rFonts w:ascii="Times New Roman" w:eastAsia="Times New Roman" w:hAnsi="Times New Roman" w:cs="Times New Roman"/>
          <w:i/>
          <w:iCs/>
          <w:color w:val="FF0000"/>
          <w:sz w:val="24"/>
          <w:szCs w:val="24"/>
        </w:rPr>
        <w:t xml:space="preserve"> al</w:t>
      </w:r>
      <w:r w:rsidRPr="00583CC4">
        <w:rPr>
          <w:rFonts w:ascii="Times New Roman" w:eastAsia="Times New Roman" w:hAnsi="Times New Roman" w:cs="Times New Roman"/>
          <w:color w:val="FF0000"/>
          <w:sz w:val="24"/>
          <w:szCs w:val="24"/>
        </w:rPr>
        <w:t>.</w:t>
      </w:r>
      <w:r w:rsidR="00FC3256" w:rsidRPr="00583CC4">
        <w:rPr>
          <w:rFonts w:ascii="Times New Roman" w:eastAsia="Times New Roman" w:hAnsi="Times New Roman" w:cs="Times New Roman"/>
          <w:color w:val="FF0000"/>
          <w:sz w:val="24"/>
          <w:szCs w:val="24"/>
        </w:rPr>
        <w:t>,</w:t>
      </w:r>
      <w:r w:rsidRPr="00583CC4">
        <w:rPr>
          <w:rFonts w:ascii="Times New Roman" w:eastAsia="Times New Roman" w:hAnsi="Times New Roman" w:cs="Times New Roman"/>
          <w:color w:val="FF0000"/>
          <w:sz w:val="24"/>
          <w:szCs w:val="24"/>
        </w:rPr>
        <w:t xml:space="preserve"> (2016).</w:t>
      </w:r>
      <w:r w:rsidRPr="00515572">
        <w:rPr>
          <w:rFonts w:ascii="Times New Roman" w:eastAsia="Times New Roman" w:hAnsi="Times New Roman" w:cs="Times New Roman"/>
          <w:color w:val="000000"/>
          <w:sz w:val="24"/>
          <w:szCs w:val="24"/>
        </w:rPr>
        <w:t xml:space="preserve"> Total length (TL) was measured to the nearest 1.0 mm from the snout tip to the end of the caudal fin using a measuring board. Body weight was recorded to the nearest 1.0 g using a digital balance </w:t>
      </w:r>
      <w:r w:rsidRPr="00583CC4">
        <w:rPr>
          <w:rFonts w:ascii="Times New Roman" w:eastAsia="Times New Roman" w:hAnsi="Times New Roman" w:cs="Times New Roman"/>
          <w:color w:val="FF0000"/>
          <w:sz w:val="24"/>
          <w:szCs w:val="24"/>
        </w:rPr>
        <w:t>(FRUIT 2000B).</w:t>
      </w:r>
    </w:p>
    <w:p w:rsidR="003D327B" w:rsidRPr="00027516" w:rsidRDefault="003D327B" w:rsidP="00DD5F77">
      <w:pPr>
        <w:autoSpaceDE w:val="0"/>
        <w:autoSpaceDN w:val="0"/>
        <w:adjustRightInd w:val="0"/>
        <w:spacing w:after="0" w:line="360" w:lineRule="auto"/>
        <w:contextualSpacing/>
        <w:jc w:val="center"/>
        <w:rPr>
          <w:rFonts w:ascii="Times New Roman" w:eastAsia="Calibri" w:hAnsi="Times New Roman" w:cs="Times New Roman"/>
          <w:b/>
          <w:color w:val="000000"/>
          <w:sz w:val="24"/>
          <w:szCs w:val="24"/>
        </w:rPr>
      </w:pPr>
      <w:r w:rsidRPr="00027516">
        <w:rPr>
          <w:rFonts w:ascii="Times New Roman" w:eastAsia="Calibri" w:hAnsi="Times New Roman" w:cs="Times New Roman"/>
          <w:b/>
          <w:color w:val="000000"/>
          <w:sz w:val="24"/>
          <w:szCs w:val="24"/>
        </w:rPr>
        <w:t>Table 2. Specifications of gillnets used for fish sampling.</w:t>
      </w:r>
    </w:p>
    <w:tbl>
      <w:tblPr>
        <w:tblStyle w:val="TableNormal1"/>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418"/>
        <w:gridCol w:w="1559"/>
        <w:gridCol w:w="1843"/>
      </w:tblGrid>
      <w:tr w:rsidR="003D327B" w:rsidRPr="00515572" w:rsidTr="000D08DB">
        <w:trPr>
          <w:trHeight w:val="93"/>
          <w:jc w:val="center"/>
        </w:trPr>
        <w:tc>
          <w:tcPr>
            <w:tcW w:w="1271" w:type="dxa"/>
            <w:tcBorders>
              <w:top w:val="single" w:sz="4" w:space="0" w:color="auto"/>
              <w:left w:val="single" w:sz="4" w:space="0" w:color="auto"/>
              <w:bottom w:val="single" w:sz="4" w:space="0" w:color="auto"/>
              <w:right w:val="single" w:sz="4" w:space="0" w:color="auto"/>
            </w:tcBorders>
            <w:hideMark/>
          </w:tcPr>
          <w:p w:rsidR="003D327B" w:rsidRPr="00027516" w:rsidRDefault="003D327B" w:rsidP="00DD5F77">
            <w:pPr>
              <w:autoSpaceDE w:val="0"/>
              <w:autoSpaceDN w:val="0"/>
              <w:bidi/>
              <w:adjustRightInd w:val="0"/>
              <w:spacing w:line="360" w:lineRule="auto"/>
              <w:contextualSpacing/>
              <w:jc w:val="center"/>
              <w:rPr>
                <w:rFonts w:eastAsia="Calibri"/>
                <w:b/>
                <w:color w:val="000000"/>
                <w:sz w:val="24"/>
                <w:szCs w:val="24"/>
              </w:rPr>
            </w:pPr>
            <w:r w:rsidRPr="00027516">
              <w:rPr>
                <w:rFonts w:eastAsia="Calibri"/>
                <w:b/>
                <w:color w:val="000000"/>
                <w:sz w:val="24"/>
                <w:szCs w:val="24"/>
              </w:rPr>
              <w:t>Gear No.</w:t>
            </w:r>
          </w:p>
        </w:tc>
        <w:tc>
          <w:tcPr>
            <w:tcW w:w="1418" w:type="dxa"/>
            <w:tcBorders>
              <w:top w:val="single" w:sz="4" w:space="0" w:color="auto"/>
              <w:left w:val="single" w:sz="4" w:space="0" w:color="auto"/>
              <w:bottom w:val="single" w:sz="4" w:space="0" w:color="auto"/>
              <w:right w:val="single" w:sz="4" w:space="0" w:color="auto"/>
            </w:tcBorders>
            <w:hideMark/>
          </w:tcPr>
          <w:p w:rsidR="003D327B" w:rsidRPr="00027516" w:rsidRDefault="003D327B" w:rsidP="00DD5F77">
            <w:pPr>
              <w:autoSpaceDE w:val="0"/>
              <w:autoSpaceDN w:val="0"/>
              <w:bidi/>
              <w:adjustRightInd w:val="0"/>
              <w:spacing w:line="360" w:lineRule="auto"/>
              <w:contextualSpacing/>
              <w:jc w:val="center"/>
              <w:rPr>
                <w:rFonts w:eastAsia="Calibri"/>
                <w:b/>
                <w:color w:val="000000"/>
                <w:sz w:val="24"/>
                <w:szCs w:val="24"/>
              </w:rPr>
            </w:pPr>
            <w:r w:rsidRPr="00027516">
              <w:rPr>
                <w:rFonts w:eastAsia="Calibri"/>
                <w:b/>
                <w:color w:val="000000"/>
                <w:sz w:val="24"/>
                <w:szCs w:val="24"/>
              </w:rPr>
              <w:t>Length (m)</w:t>
            </w:r>
          </w:p>
        </w:tc>
        <w:tc>
          <w:tcPr>
            <w:tcW w:w="1559" w:type="dxa"/>
            <w:tcBorders>
              <w:top w:val="single" w:sz="4" w:space="0" w:color="auto"/>
              <w:left w:val="single" w:sz="4" w:space="0" w:color="auto"/>
              <w:bottom w:val="single" w:sz="4" w:space="0" w:color="auto"/>
              <w:right w:val="single" w:sz="4" w:space="0" w:color="auto"/>
            </w:tcBorders>
            <w:hideMark/>
          </w:tcPr>
          <w:p w:rsidR="003D327B" w:rsidRPr="00027516" w:rsidRDefault="003D327B" w:rsidP="00DD5F77">
            <w:pPr>
              <w:autoSpaceDE w:val="0"/>
              <w:autoSpaceDN w:val="0"/>
              <w:bidi/>
              <w:adjustRightInd w:val="0"/>
              <w:spacing w:line="360" w:lineRule="auto"/>
              <w:contextualSpacing/>
              <w:jc w:val="center"/>
              <w:rPr>
                <w:rFonts w:eastAsia="Calibri"/>
                <w:b/>
                <w:color w:val="000000"/>
                <w:sz w:val="24"/>
                <w:szCs w:val="24"/>
              </w:rPr>
            </w:pPr>
            <w:r w:rsidRPr="00027516">
              <w:rPr>
                <w:rFonts w:eastAsia="Calibri"/>
                <w:b/>
                <w:color w:val="000000"/>
                <w:sz w:val="24"/>
                <w:szCs w:val="24"/>
              </w:rPr>
              <w:t>Depth (m)</w:t>
            </w:r>
          </w:p>
        </w:tc>
        <w:tc>
          <w:tcPr>
            <w:tcW w:w="1843" w:type="dxa"/>
            <w:tcBorders>
              <w:top w:val="single" w:sz="4" w:space="0" w:color="auto"/>
              <w:left w:val="single" w:sz="4" w:space="0" w:color="auto"/>
              <w:bottom w:val="single" w:sz="4" w:space="0" w:color="auto"/>
              <w:right w:val="single" w:sz="4" w:space="0" w:color="auto"/>
            </w:tcBorders>
            <w:hideMark/>
          </w:tcPr>
          <w:p w:rsidR="003D327B" w:rsidRPr="00027516" w:rsidRDefault="003D327B" w:rsidP="00DD5F77">
            <w:pPr>
              <w:autoSpaceDE w:val="0"/>
              <w:autoSpaceDN w:val="0"/>
              <w:bidi/>
              <w:adjustRightInd w:val="0"/>
              <w:spacing w:line="360" w:lineRule="auto"/>
              <w:contextualSpacing/>
              <w:jc w:val="center"/>
              <w:rPr>
                <w:rFonts w:eastAsia="Calibri"/>
                <w:b/>
                <w:color w:val="000000"/>
                <w:sz w:val="24"/>
                <w:szCs w:val="24"/>
              </w:rPr>
            </w:pPr>
            <w:r w:rsidRPr="00027516">
              <w:rPr>
                <w:rFonts w:eastAsia="Calibri"/>
                <w:b/>
                <w:color w:val="000000"/>
                <w:sz w:val="24"/>
                <w:szCs w:val="24"/>
              </w:rPr>
              <w:t>Mesh size (cm)</w:t>
            </w:r>
          </w:p>
        </w:tc>
      </w:tr>
      <w:tr w:rsidR="003D327B" w:rsidRPr="00515572" w:rsidTr="000D08DB">
        <w:trPr>
          <w:trHeight w:val="93"/>
          <w:jc w:val="center"/>
        </w:trPr>
        <w:tc>
          <w:tcPr>
            <w:tcW w:w="1271" w:type="dxa"/>
            <w:tcBorders>
              <w:top w:val="single" w:sz="4" w:space="0" w:color="auto"/>
              <w:left w:val="single" w:sz="4" w:space="0" w:color="auto"/>
              <w:bottom w:val="single" w:sz="4" w:space="0" w:color="auto"/>
              <w:right w:val="single" w:sz="4" w:space="0" w:color="auto"/>
            </w:tcBorders>
            <w:hideMark/>
          </w:tcPr>
          <w:p w:rsidR="003D327B" w:rsidRPr="00B41C6E" w:rsidRDefault="003D327B" w:rsidP="00DD5F77">
            <w:pPr>
              <w:autoSpaceDE w:val="0"/>
              <w:autoSpaceDN w:val="0"/>
              <w:bidi/>
              <w:adjustRightInd w:val="0"/>
              <w:spacing w:line="360" w:lineRule="auto"/>
              <w:contextualSpacing/>
              <w:jc w:val="center"/>
              <w:rPr>
                <w:rFonts w:eastAsia="Calibri"/>
                <w:b/>
                <w:color w:val="000000"/>
                <w:sz w:val="24"/>
                <w:szCs w:val="24"/>
              </w:rPr>
            </w:pPr>
            <w:r w:rsidRPr="00B41C6E">
              <w:rPr>
                <w:rFonts w:eastAsia="Calibri"/>
                <w:b/>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50</w:t>
            </w:r>
          </w:p>
        </w:tc>
        <w:tc>
          <w:tcPr>
            <w:tcW w:w="1559"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2</w:t>
            </w:r>
          </w:p>
        </w:tc>
      </w:tr>
      <w:tr w:rsidR="003D327B" w:rsidRPr="00515572" w:rsidTr="000D08DB">
        <w:trPr>
          <w:trHeight w:val="93"/>
          <w:jc w:val="center"/>
        </w:trPr>
        <w:tc>
          <w:tcPr>
            <w:tcW w:w="1271" w:type="dxa"/>
            <w:tcBorders>
              <w:top w:val="single" w:sz="4" w:space="0" w:color="auto"/>
              <w:left w:val="single" w:sz="4" w:space="0" w:color="auto"/>
              <w:bottom w:val="single" w:sz="4" w:space="0" w:color="auto"/>
              <w:right w:val="single" w:sz="4" w:space="0" w:color="auto"/>
            </w:tcBorders>
            <w:hideMark/>
          </w:tcPr>
          <w:p w:rsidR="003D327B" w:rsidRPr="00B41C6E" w:rsidRDefault="003D327B" w:rsidP="00DD5F77">
            <w:pPr>
              <w:autoSpaceDE w:val="0"/>
              <w:autoSpaceDN w:val="0"/>
              <w:bidi/>
              <w:adjustRightInd w:val="0"/>
              <w:spacing w:line="360" w:lineRule="auto"/>
              <w:contextualSpacing/>
              <w:jc w:val="center"/>
              <w:rPr>
                <w:rFonts w:eastAsia="Calibri"/>
                <w:b/>
                <w:color w:val="000000"/>
                <w:sz w:val="24"/>
                <w:szCs w:val="24"/>
              </w:rPr>
            </w:pPr>
            <w:r w:rsidRPr="00B41C6E">
              <w:rPr>
                <w:rFonts w:eastAsia="Calibri"/>
                <w:b/>
                <w:color w:val="000000"/>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90</w:t>
            </w:r>
          </w:p>
        </w:tc>
        <w:tc>
          <w:tcPr>
            <w:tcW w:w="1559"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4</w:t>
            </w:r>
          </w:p>
        </w:tc>
      </w:tr>
      <w:tr w:rsidR="003D327B" w:rsidRPr="00515572" w:rsidTr="000D08DB">
        <w:trPr>
          <w:trHeight w:val="93"/>
          <w:jc w:val="center"/>
        </w:trPr>
        <w:tc>
          <w:tcPr>
            <w:tcW w:w="1271" w:type="dxa"/>
            <w:tcBorders>
              <w:top w:val="single" w:sz="4" w:space="0" w:color="auto"/>
              <w:left w:val="single" w:sz="4" w:space="0" w:color="auto"/>
              <w:bottom w:val="single" w:sz="4" w:space="0" w:color="auto"/>
              <w:right w:val="single" w:sz="4" w:space="0" w:color="auto"/>
            </w:tcBorders>
            <w:hideMark/>
          </w:tcPr>
          <w:p w:rsidR="003D327B" w:rsidRPr="00B41C6E" w:rsidRDefault="003D327B" w:rsidP="00DD5F77">
            <w:pPr>
              <w:autoSpaceDE w:val="0"/>
              <w:autoSpaceDN w:val="0"/>
              <w:bidi/>
              <w:adjustRightInd w:val="0"/>
              <w:spacing w:line="360" w:lineRule="auto"/>
              <w:contextualSpacing/>
              <w:jc w:val="center"/>
              <w:rPr>
                <w:rFonts w:eastAsia="Calibri"/>
                <w:b/>
                <w:color w:val="000000"/>
                <w:sz w:val="24"/>
                <w:szCs w:val="24"/>
              </w:rPr>
            </w:pPr>
            <w:r w:rsidRPr="00B41C6E">
              <w:rPr>
                <w:rFonts w:eastAsia="Calibri"/>
                <w:b/>
                <w:color w:val="000000"/>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95</w:t>
            </w:r>
          </w:p>
        </w:tc>
        <w:tc>
          <w:tcPr>
            <w:tcW w:w="1559"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6</w:t>
            </w:r>
          </w:p>
        </w:tc>
      </w:tr>
      <w:tr w:rsidR="003D327B" w:rsidRPr="00515572" w:rsidTr="000D08DB">
        <w:trPr>
          <w:trHeight w:val="93"/>
          <w:jc w:val="center"/>
        </w:trPr>
        <w:tc>
          <w:tcPr>
            <w:tcW w:w="1271" w:type="dxa"/>
            <w:tcBorders>
              <w:top w:val="single" w:sz="4" w:space="0" w:color="auto"/>
              <w:left w:val="single" w:sz="4" w:space="0" w:color="auto"/>
              <w:bottom w:val="single" w:sz="4" w:space="0" w:color="auto"/>
              <w:right w:val="single" w:sz="4" w:space="0" w:color="auto"/>
            </w:tcBorders>
            <w:hideMark/>
          </w:tcPr>
          <w:p w:rsidR="003D327B" w:rsidRPr="00B41C6E" w:rsidRDefault="003D327B" w:rsidP="00DD5F77">
            <w:pPr>
              <w:autoSpaceDE w:val="0"/>
              <w:autoSpaceDN w:val="0"/>
              <w:bidi/>
              <w:adjustRightInd w:val="0"/>
              <w:spacing w:line="360" w:lineRule="auto"/>
              <w:contextualSpacing/>
              <w:jc w:val="center"/>
              <w:rPr>
                <w:rFonts w:eastAsia="Calibri"/>
                <w:b/>
                <w:color w:val="000000"/>
                <w:sz w:val="24"/>
                <w:szCs w:val="24"/>
              </w:rPr>
            </w:pPr>
            <w:r w:rsidRPr="00B41C6E">
              <w:rPr>
                <w:rFonts w:eastAsia="Calibri"/>
                <w:b/>
                <w:color w:val="000000"/>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4.5</w:t>
            </w:r>
          </w:p>
        </w:tc>
        <w:tc>
          <w:tcPr>
            <w:tcW w:w="1843"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8</w:t>
            </w:r>
          </w:p>
        </w:tc>
      </w:tr>
    </w:tbl>
    <w:p w:rsidR="003D327B" w:rsidRPr="00515572" w:rsidRDefault="003D327B" w:rsidP="00DD5F77">
      <w:pPr>
        <w:spacing w:after="0" w:line="360" w:lineRule="auto"/>
        <w:contextualSpacing/>
        <w:jc w:val="both"/>
        <w:outlineLvl w:val="2"/>
        <w:rPr>
          <w:rFonts w:ascii="Times New Roman" w:eastAsia="Times New Roman" w:hAnsi="Times New Roman" w:cs="Times New Roman"/>
          <w:sz w:val="24"/>
          <w:szCs w:val="24"/>
        </w:rPr>
      </w:pPr>
    </w:p>
    <w:p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b/>
          <w:bCs/>
          <w:sz w:val="24"/>
          <w:szCs w:val="24"/>
        </w:rPr>
      </w:pPr>
      <w:r w:rsidRPr="00515572">
        <w:rPr>
          <w:rFonts w:ascii="Times New Roman" w:eastAsia="Times New Roman" w:hAnsi="Times New Roman" w:cs="Times New Roman"/>
          <w:b/>
          <w:bCs/>
          <w:sz w:val="24"/>
          <w:szCs w:val="24"/>
        </w:rPr>
        <w:t xml:space="preserve">Length-Weight </w:t>
      </w:r>
      <w:r w:rsidRPr="00027516">
        <w:rPr>
          <w:rFonts w:ascii="Times New Roman" w:eastAsia="Calibri" w:hAnsi="Times New Roman" w:cs="Times New Roman"/>
          <w:b/>
          <w:bCs/>
          <w:color w:val="000000"/>
          <w:sz w:val="24"/>
          <w:szCs w:val="24"/>
        </w:rPr>
        <w:t>Relationship</w:t>
      </w:r>
      <w:r w:rsidRPr="00515572">
        <w:rPr>
          <w:rFonts w:ascii="Times New Roman" w:eastAsia="Times New Roman" w:hAnsi="Times New Roman" w:cs="Times New Roman"/>
          <w:b/>
          <w:bCs/>
          <w:sz w:val="24"/>
          <w:szCs w:val="24"/>
        </w:rPr>
        <w:t>:</w:t>
      </w:r>
    </w:p>
    <w:p w:rsidR="003D327B" w:rsidRPr="00515572" w:rsidRDefault="003D327B" w:rsidP="00DD5F77">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 xml:space="preserve">The length-weight relationship for </w:t>
      </w:r>
      <w:r w:rsidRPr="00515572">
        <w:rPr>
          <w:rFonts w:ascii="Times New Roman" w:eastAsia="Calibri" w:hAnsi="Times New Roman" w:cs="Times New Roman"/>
          <w:i/>
          <w:iCs/>
          <w:color w:val="000000"/>
          <w:sz w:val="24"/>
          <w:szCs w:val="24"/>
        </w:rPr>
        <w:t>H. forskahlii</w:t>
      </w:r>
      <w:r w:rsidRPr="00515572">
        <w:rPr>
          <w:rFonts w:ascii="Times New Roman" w:eastAsia="Calibri" w:hAnsi="Times New Roman" w:cs="Times New Roman"/>
          <w:color w:val="000000"/>
          <w:sz w:val="24"/>
          <w:szCs w:val="24"/>
        </w:rPr>
        <w:t xml:space="preserve"> was determined using the Le Cren equation:</w:t>
      </w:r>
      <w:r w:rsidRPr="00515572">
        <w:rPr>
          <w:rFonts w:ascii="Times New Roman" w:eastAsia="Calibri" w:hAnsi="Times New Roman" w:cs="Times New Roman"/>
          <w:color w:val="000000"/>
          <w:sz w:val="24"/>
          <w:szCs w:val="24"/>
        </w:rPr>
        <w:br/>
        <w:t>Log (W) = log (a) + b log (L) where:</w:t>
      </w:r>
    </w:p>
    <w:p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W</w:t>
      </w:r>
      <w:r w:rsidR="00027516">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 xml:space="preserve"> represents total weight, </w:t>
      </w:r>
      <w:r w:rsidR="00027516" w:rsidRPr="00515572">
        <w:rPr>
          <w:rFonts w:ascii="Times New Roman" w:eastAsia="Times New Roman" w:hAnsi="Times New Roman" w:cs="Times New Roman"/>
          <w:sz w:val="24"/>
          <w:szCs w:val="24"/>
        </w:rPr>
        <w:t>L</w:t>
      </w:r>
      <w:r w:rsidR="00027516">
        <w:rPr>
          <w:rFonts w:ascii="Times New Roman" w:eastAsia="Times New Roman" w:hAnsi="Times New Roman" w:cs="Times New Roman"/>
          <w:sz w:val="24"/>
          <w:szCs w:val="24"/>
        </w:rPr>
        <w:t>:</w:t>
      </w:r>
      <w:r w:rsidR="00027516" w:rsidRPr="00515572">
        <w:rPr>
          <w:rFonts w:ascii="Times New Roman" w:eastAsia="Times New Roman" w:hAnsi="Times New Roman" w:cs="Times New Roman"/>
          <w:sz w:val="24"/>
          <w:szCs w:val="24"/>
        </w:rPr>
        <w:t xml:space="preserve"> total</w:t>
      </w:r>
      <w:r w:rsidRPr="00515572">
        <w:rPr>
          <w:rFonts w:ascii="Times New Roman" w:eastAsia="Times New Roman" w:hAnsi="Times New Roman" w:cs="Times New Roman"/>
          <w:sz w:val="24"/>
          <w:szCs w:val="24"/>
        </w:rPr>
        <w:t xml:space="preserve"> length, </w:t>
      </w:r>
      <w:r w:rsidRPr="00515572">
        <w:rPr>
          <w:rFonts w:ascii="Times New Roman" w:eastAsia="Times New Roman" w:hAnsi="Times New Roman" w:cs="Times New Roman"/>
          <w:i/>
          <w:iCs/>
          <w:sz w:val="24"/>
          <w:szCs w:val="24"/>
        </w:rPr>
        <w:t>a</w:t>
      </w:r>
      <w:r w:rsidR="00027516">
        <w:rPr>
          <w:rFonts w:ascii="Times New Roman" w:eastAsia="Times New Roman" w:hAnsi="Times New Roman" w:cs="Times New Roman"/>
          <w:iCs/>
          <w:sz w:val="24"/>
          <w:szCs w:val="24"/>
        </w:rPr>
        <w:t>:</w:t>
      </w:r>
      <w:r w:rsidRPr="00515572">
        <w:rPr>
          <w:rFonts w:ascii="Times New Roman" w:eastAsia="Times New Roman" w:hAnsi="Times New Roman" w:cs="Times New Roman"/>
          <w:sz w:val="24"/>
          <w:szCs w:val="24"/>
        </w:rPr>
        <w:t xml:space="preserve"> the intercept, and </w:t>
      </w:r>
      <w:r w:rsidRPr="00515572">
        <w:rPr>
          <w:rFonts w:ascii="Times New Roman" w:eastAsia="Times New Roman" w:hAnsi="Times New Roman" w:cs="Times New Roman"/>
          <w:i/>
          <w:iCs/>
          <w:sz w:val="24"/>
          <w:szCs w:val="24"/>
        </w:rPr>
        <w:t>b</w:t>
      </w:r>
      <w:r w:rsidR="00027516">
        <w:rPr>
          <w:rFonts w:ascii="Times New Roman" w:eastAsia="Times New Roman" w:hAnsi="Times New Roman" w:cs="Times New Roman"/>
          <w:iCs/>
          <w:sz w:val="24"/>
          <w:szCs w:val="24"/>
        </w:rPr>
        <w:t>:</w:t>
      </w:r>
      <w:r w:rsidRPr="00515572">
        <w:rPr>
          <w:rFonts w:ascii="Times New Roman" w:eastAsia="Times New Roman" w:hAnsi="Times New Roman" w:cs="Times New Roman"/>
          <w:sz w:val="24"/>
          <w:szCs w:val="24"/>
        </w:rPr>
        <w:t xml:space="preserve"> the regression coefficient.</w:t>
      </w:r>
    </w:p>
    <w:p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b/>
          <w:bCs/>
          <w:sz w:val="24"/>
          <w:szCs w:val="24"/>
        </w:rPr>
      </w:pPr>
      <w:r w:rsidRPr="00027516">
        <w:rPr>
          <w:rFonts w:ascii="Times New Roman" w:eastAsia="Calibri" w:hAnsi="Times New Roman" w:cs="Times New Roman"/>
          <w:b/>
          <w:bCs/>
          <w:color w:val="000000"/>
          <w:sz w:val="24"/>
          <w:szCs w:val="24"/>
        </w:rPr>
        <w:t>Growth</w:t>
      </w:r>
      <w:r w:rsidRPr="00515572">
        <w:rPr>
          <w:rFonts w:ascii="Times New Roman" w:eastAsia="Times New Roman" w:hAnsi="Times New Roman" w:cs="Times New Roman"/>
          <w:b/>
          <w:bCs/>
          <w:sz w:val="24"/>
          <w:szCs w:val="24"/>
        </w:rPr>
        <w:t xml:space="preserve"> Parameters:</w:t>
      </w:r>
    </w:p>
    <w:p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The von Bertalanffy growth model was applied to estimate growth patterns, with key parameters including asymptotic length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and growth coefficient (</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derived from the von Bertalanffy growth function:</w:t>
      </w:r>
    </w:p>
    <w:p w:rsidR="003D327B" w:rsidRPr="00515572" w:rsidRDefault="003D327B" w:rsidP="00DD5F77">
      <w:pPr>
        <w:spacing w:after="0" w:line="360" w:lineRule="auto"/>
        <w:contextualSpacing/>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Lt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xml:space="preserve"> (1-e</w:t>
      </w:r>
      <w:r w:rsidRPr="00746C0C">
        <w:rPr>
          <w:rFonts w:ascii="Times New Roman" w:eastAsia="Times New Roman" w:hAnsi="Times New Roman" w:cs="Times New Roman"/>
          <w:sz w:val="24"/>
          <w:szCs w:val="24"/>
          <w:vertAlign w:val="superscript"/>
        </w:rPr>
        <w:t>-k(t-t0)</w:t>
      </w:r>
      <w:r w:rsidRPr="00515572">
        <w:rPr>
          <w:rFonts w:ascii="Times New Roman" w:eastAsia="Times New Roman" w:hAnsi="Times New Roman" w:cs="Times New Roman"/>
          <w:sz w:val="24"/>
          <w:szCs w:val="24"/>
        </w:rPr>
        <w:t>).</w:t>
      </w:r>
    </w:p>
    <w:p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0D08DB">
        <w:rPr>
          <w:rFonts w:ascii="Times New Roman" w:eastAsia="Times New Roman" w:hAnsi="Times New Roman" w:cs="Times New Roman"/>
          <w:b/>
          <w:sz w:val="24"/>
          <w:szCs w:val="24"/>
        </w:rPr>
        <w:t>The theoretical age at zero length (t</w:t>
      </w:r>
      <w:r w:rsidRPr="000D08DB">
        <w:rPr>
          <w:rFonts w:ascii="Times New Roman" w:eastAsia="Times New Roman" w:hAnsi="Times New Roman" w:cs="Times New Roman"/>
          <w:b/>
          <w:sz w:val="24"/>
          <w:szCs w:val="24"/>
          <w:vertAlign w:val="subscript"/>
        </w:rPr>
        <w:t>0</w:t>
      </w:r>
      <w:r w:rsidRPr="000D08DB">
        <w:rPr>
          <w:rFonts w:ascii="Times New Roman" w:eastAsia="Times New Roman" w:hAnsi="Times New Roman" w:cs="Times New Roman"/>
          <w:b/>
          <w:sz w:val="24"/>
          <w:szCs w:val="24"/>
        </w:rPr>
        <w:t>)</w:t>
      </w:r>
      <w:r w:rsidRPr="00515572">
        <w:rPr>
          <w:rFonts w:ascii="Times New Roman" w:eastAsia="Times New Roman" w:hAnsi="Times New Roman" w:cs="Times New Roman"/>
          <w:sz w:val="24"/>
          <w:szCs w:val="24"/>
        </w:rPr>
        <w:t>was calculated as:</w:t>
      </w:r>
    </w:p>
    <w:p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lastRenderedPageBreak/>
        <w:t>log</w:t>
      </w:r>
      <w:r w:rsidRPr="00515572">
        <w:rPr>
          <w:rFonts w:ascii="Times New Roman" w:eastAsia="Times New Roman" w:hAnsi="Times New Roman" w:cs="Times New Roman"/>
          <w:sz w:val="24"/>
          <w:szCs w:val="24"/>
          <w:vertAlign w:val="subscript"/>
        </w:rPr>
        <w:t>10</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t</w:t>
      </w:r>
      <w:r w:rsidRPr="00515572">
        <w:rPr>
          <w:rFonts w:ascii="Times New Roman" w:eastAsia="Times New Roman" w:hAnsi="Times New Roman" w:cs="Times New Roman"/>
          <w:sz w:val="24"/>
          <w:szCs w:val="24"/>
          <w:vertAlign w:val="subscript"/>
        </w:rPr>
        <w:t>0</w:t>
      </w:r>
      <w:r w:rsidRPr="00515572">
        <w:rPr>
          <w:rFonts w:ascii="Times New Roman" w:eastAsia="Times New Roman" w:hAnsi="Times New Roman" w:cs="Times New Roman"/>
          <w:sz w:val="24"/>
          <w:szCs w:val="24"/>
        </w:rPr>
        <w:t>) = − 0.3922 − 0.2758 × log</w:t>
      </w:r>
      <w:r w:rsidRPr="00515572">
        <w:rPr>
          <w:rFonts w:ascii="Times New Roman" w:eastAsia="Times New Roman" w:hAnsi="Times New Roman" w:cs="Times New Roman"/>
          <w:sz w:val="24"/>
          <w:szCs w:val="24"/>
          <w:vertAlign w:val="subscript"/>
        </w:rPr>
        <w:t xml:space="preserve">10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− 1.038 × log</w:t>
      </w:r>
      <w:r w:rsidRPr="00515572">
        <w:rPr>
          <w:rFonts w:ascii="Times New Roman" w:eastAsia="Times New Roman" w:hAnsi="Times New Roman" w:cs="Times New Roman"/>
          <w:sz w:val="24"/>
          <w:szCs w:val="24"/>
          <w:vertAlign w:val="subscript"/>
        </w:rPr>
        <w:t>10</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(Pauly, 1979).</w:t>
      </w:r>
    </w:p>
    <w:p w:rsidR="003D327B" w:rsidRPr="00515572" w:rsidRDefault="003D327B" w:rsidP="00583CC4">
      <w:pPr>
        <w:autoSpaceDE w:val="0"/>
        <w:spacing w:beforeLines="75" w:after="0" w:line="360" w:lineRule="auto"/>
        <w:contextualSpacing/>
        <w:jc w:val="both"/>
        <w:rPr>
          <w:rFonts w:ascii="Times New Roman" w:eastAsia="Times New Roman" w:hAnsi="Times New Roman" w:cs="Times New Roman"/>
          <w:i/>
          <w:iCs/>
          <w:sz w:val="24"/>
          <w:szCs w:val="24"/>
        </w:rPr>
      </w:pPr>
      <w:r w:rsidRPr="000D08DB">
        <w:rPr>
          <w:rFonts w:ascii="Times New Roman" w:eastAsia="Times New Roman" w:hAnsi="Times New Roman" w:cs="Times New Roman"/>
          <w:b/>
          <w:sz w:val="24"/>
          <w:szCs w:val="24"/>
        </w:rPr>
        <w:t>Longevity T</w:t>
      </w:r>
      <w:r w:rsidRPr="000D08DB">
        <w:rPr>
          <w:rFonts w:ascii="Times New Roman" w:eastAsia="Times New Roman" w:hAnsi="Times New Roman" w:cs="Times New Roman"/>
          <w:b/>
          <w:i/>
          <w:iCs/>
          <w:sz w:val="24"/>
          <w:szCs w:val="24"/>
          <w:vertAlign w:val="subscript"/>
        </w:rPr>
        <w:t>max</w:t>
      </w:r>
      <w:r w:rsidRPr="00515572">
        <w:rPr>
          <w:rFonts w:ascii="Times New Roman" w:eastAsia="Times New Roman" w:hAnsi="Times New Roman" w:cs="Times New Roman"/>
          <w:sz w:val="24"/>
          <w:szCs w:val="24"/>
        </w:rPr>
        <w:t xml:space="preserve">was estimated as </w:t>
      </w:r>
      <w:r w:rsidR="00E13279">
        <w:rPr>
          <w:rFonts w:ascii="Times New Roman" w:eastAsia="Times New Roman" w:hAnsi="Times New Roman" w:cs="Times New Roman"/>
          <w:sz w:val="24"/>
          <w:szCs w:val="24"/>
        </w:rPr>
        <w:t>3/</w:t>
      </w:r>
      <w:r w:rsidR="00E13279">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xml:space="preserve"> + </w:t>
      </w:r>
      <w:r w:rsidR="00E13279">
        <w:rPr>
          <w:rFonts w:ascii="Times New Roman" w:eastAsia="Times New Roman" w:hAnsi="Times New Roman" w:cs="Times New Roman"/>
          <w:i/>
          <w:iCs/>
          <w:sz w:val="24"/>
          <w:szCs w:val="24"/>
        </w:rPr>
        <w:t>t</w:t>
      </w:r>
      <w:r w:rsidR="00E13279" w:rsidRPr="00E13279">
        <w:rPr>
          <w:rFonts w:ascii="Times New Roman" w:eastAsia="Times New Roman" w:hAnsi="Times New Roman" w:cs="Times New Roman"/>
          <w:sz w:val="24"/>
          <w:szCs w:val="24"/>
          <w:vertAlign w:val="subscript"/>
        </w:rPr>
        <w:t>0</w:t>
      </w:r>
      <w:r w:rsidRPr="00515572">
        <w:rPr>
          <w:rFonts w:ascii="Times New Roman" w:eastAsia="Times New Roman" w:hAnsi="Times New Roman" w:cs="Times New Roman"/>
          <w:i/>
          <w:iCs/>
          <w:sz w:val="24"/>
          <w:szCs w:val="24"/>
        </w:rPr>
        <w:t>.</w:t>
      </w:r>
    </w:p>
    <w:p w:rsidR="003D327B" w:rsidRPr="000D08DB" w:rsidRDefault="003D327B" w:rsidP="00DD5F77">
      <w:pPr>
        <w:spacing w:after="0" w:line="360" w:lineRule="auto"/>
        <w:contextualSpacing/>
        <w:jc w:val="both"/>
        <w:rPr>
          <w:rFonts w:ascii="Times New Roman" w:eastAsia="Times New Roman" w:hAnsi="Times New Roman" w:cs="Times New Roman"/>
          <w:b/>
          <w:sz w:val="24"/>
          <w:szCs w:val="24"/>
        </w:rPr>
      </w:pPr>
      <w:r w:rsidRPr="000D08DB">
        <w:rPr>
          <w:rFonts w:ascii="Times New Roman" w:eastAsia="Times New Roman" w:hAnsi="Times New Roman" w:cs="Times New Roman"/>
          <w:b/>
          <w:sz w:val="24"/>
          <w:szCs w:val="24"/>
        </w:rPr>
        <w:t xml:space="preserve">The growth performance index </w:t>
      </w:r>
      <w:r w:rsidR="00B41C6E" w:rsidRPr="000D08DB">
        <w:rPr>
          <w:rFonts w:ascii="Times New Roman" w:eastAsia="Times New Roman" w:hAnsi="Times New Roman" w:cs="Times New Roman"/>
          <w:b/>
          <w:sz w:val="24"/>
          <w:szCs w:val="24"/>
        </w:rPr>
        <w:t>(</w:t>
      </w:r>
      <w:r w:rsidR="00B41C6E" w:rsidRPr="000D08DB">
        <w:rPr>
          <w:rFonts w:ascii="Times New Roman" w:eastAsia="Times New Roman" w:hAnsi="Times New Roman" w:cs="Times New Roman"/>
          <w:b/>
          <w:i/>
          <w:sz w:val="24"/>
          <w:szCs w:val="24"/>
        </w:rPr>
        <w:t>ϕ</w:t>
      </w:r>
      <w:r w:rsidRPr="000D08DB">
        <w:rPr>
          <w:rFonts w:ascii="Times New Roman" w:eastAsia="Times New Roman" w:hAnsi="Times New Roman" w:cs="Times New Roman"/>
          <w:b/>
          <w:sz w:val="24"/>
          <w:szCs w:val="24"/>
        </w:rPr>
        <w:t xml:space="preserve"> ′)</w:t>
      </w:r>
    </w:p>
    <w:p w:rsidR="003D327B" w:rsidRPr="00515572" w:rsidRDefault="003D327B" w:rsidP="00583CC4">
      <w:pPr>
        <w:autoSpaceDE w:val="0"/>
        <w:spacing w:beforeLines="75"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was calculated as:</w:t>
      </w:r>
    </w:p>
    <w:p w:rsidR="004E18F9" w:rsidRDefault="003D327B" w:rsidP="00DD5F77">
      <w:pPr>
        <w:spacing w:after="0" w:line="360" w:lineRule="auto"/>
        <w:contextualSpacing/>
        <w:rPr>
          <w:rFonts w:ascii="Times New Roman" w:eastAsia="Times New Roman" w:hAnsi="Times New Roman" w:cs="Times New Roman"/>
          <w:sz w:val="24"/>
          <w:szCs w:val="24"/>
          <w:lang w:val="fr-FR"/>
        </w:rPr>
      </w:pPr>
      <w:r w:rsidRPr="00515572">
        <w:rPr>
          <w:rFonts w:ascii="Times New Roman" w:eastAsia="Times New Roman" w:hAnsi="Times New Roman" w:cs="Times New Roman"/>
          <w:i/>
          <w:iCs/>
          <w:sz w:val="24"/>
          <w:szCs w:val="24"/>
        </w:rPr>
        <w:t>ϕ</w:t>
      </w:r>
      <w:r w:rsidRPr="00444C8E">
        <w:rPr>
          <w:rFonts w:ascii="Times New Roman" w:eastAsia="Times New Roman" w:hAnsi="Times New Roman" w:cs="Times New Roman"/>
          <w:sz w:val="24"/>
          <w:szCs w:val="24"/>
          <w:lang w:val="fr-FR"/>
        </w:rPr>
        <w:t xml:space="preserve"> ′ = 2 </w:t>
      </w:r>
      <w:r w:rsidRPr="004E18F9">
        <w:rPr>
          <w:rFonts w:ascii="Times New Roman" w:eastAsia="Times New Roman" w:hAnsi="Times New Roman" w:cs="Times New Roman"/>
          <w:i/>
          <w:iCs/>
          <w:sz w:val="24"/>
          <w:szCs w:val="24"/>
          <w:lang w:val="fr-FR"/>
        </w:rPr>
        <w:t>log</w:t>
      </w:r>
      <w:r w:rsidRPr="004E18F9">
        <w:rPr>
          <w:rFonts w:ascii="Times New Roman" w:eastAsia="Times New Roman" w:hAnsi="Times New Roman" w:cs="Times New Roman"/>
          <w:i/>
          <w:iCs/>
          <w:sz w:val="24"/>
          <w:szCs w:val="24"/>
          <w:vertAlign w:val="subscript"/>
          <w:lang w:val="fr-FR"/>
        </w:rPr>
        <w:t>10</w:t>
      </w:r>
      <w:r w:rsidRPr="00444C8E">
        <w:rPr>
          <w:rFonts w:ascii="Times New Roman" w:eastAsia="Times New Roman" w:hAnsi="Times New Roman" w:cs="Times New Roman"/>
          <w:i/>
          <w:iCs/>
          <w:sz w:val="24"/>
          <w:szCs w:val="24"/>
          <w:lang w:val="fr-FR"/>
        </w:rPr>
        <w:t>L</w:t>
      </w:r>
      <w:r w:rsidRPr="00444C8E">
        <w:rPr>
          <w:rFonts w:ascii="Times New Roman" w:eastAsia="Times New Roman" w:hAnsi="Times New Roman" w:cs="Times New Roman"/>
          <w:i/>
          <w:iCs/>
          <w:sz w:val="24"/>
          <w:szCs w:val="24"/>
          <w:vertAlign w:val="subscript"/>
          <w:lang w:val="fr-FR"/>
        </w:rPr>
        <w:t>∞</w:t>
      </w:r>
      <w:r w:rsidRPr="00444C8E">
        <w:rPr>
          <w:rFonts w:ascii="Times New Roman" w:eastAsia="Times New Roman" w:hAnsi="Times New Roman" w:cs="Times New Roman"/>
          <w:sz w:val="24"/>
          <w:szCs w:val="24"/>
          <w:lang w:val="fr-FR"/>
        </w:rPr>
        <w:t xml:space="preserve"> + log</w:t>
      </w:r>
      <w:r w:rsidRPr="00444C8E">
        <w:rPr>
          <w:rFonts w:ascii="Times New Roman" w:eastAsia="Times New Roman" w:hAnsi="Times New Roman" w:cs="Times New Roman"/>
          <w:sz w:val="24"/>
          <w:szCs w:val="24"/>
          <w:vertAlign w:val="subscript"/>
          <w:lang w:val="fr-FR"/>
        </w:rPr>
        <w:t>10</w:t>
      </w:r>
      <w:r w:rsidRPr="00444C8E">
        <w:rPr>
          <w:rFonts w:ascii="Times New Roman" w:eastAsia="Times New Roman" w:hAnsi="Times New Roman" w:cs="Times New Roman"/>
          <w:sz w:val="24"/>
          <w:szCs w:val="24"/>
          <w:lang w:val="fr-FR"/>
        </w:rPr>
        <w:t xml:space="preserve"> K. (Moreau </w:t>
      </w:r>
      <w:r w:rsidR="004E18F9">
        <w:rPr>
          <w:rFonts w:ascii="Times New Roman" w:eastAsia="Times New Roman" w:hAnsi="Times New Roman" w:cs="Times New Roman"/>
          <w:i/>
          <w:iCs/>
          <w:sz w:val="24"/>
          <w:szCs w:val="24"/>
          <w:lang w:val="fr-FR"/>
        </w:rPr>
        <w:t>et</w:t>
      </w:r>
      <w:r w:rsidRPr="00444C8E">
        <w:rPr>
          <w:rFonts w:ascii="Times New Roman" w:eastAsia="Times New Roman" w:hAnsi="Times New Roman" w:cs="Times New Roman"/>
          <w:i/>
          <w:iCs/>
          <w:sz w:val="24"/>
          <w:szCs w:val="24"/>
          <w:lang w:val="fr-FR"/>
        </w:rPr>
        <w:t xml:space="preserve"> al</w:t>
      </w:r>
      <w:r w:rsidRPr="00444C8E">
        <w:rPr>
          <w:rFonts w:ascii="Times New Roman" w:eastAsia="Times New Roman" w:hAnsi="Times New Roman" w:cs="Times New Roman"/>
          <w:sz w:val="24"/>
          <w:szCs w:val="24"/>
          <w:lang w:val="fr-FR"/>
        </w:rPr>
        <w:t>., 1986)</w:t>
      </w:r>
    </w:p>
    <w:p w:rsidR="003D327B" w:rsidRPr="004E18F9" w:rsidRDefault="003D327B" w:rsidP="00DD5F77">
      <w:pPr>
        <w:spacing w:after="0" w:line="360" w:lineRule="auto"/>
        <w:contextualSpacing/>
        <w:rPr>
          <w:rFonts w:ascii="Times New Roman" w:eastAsia="Times New Roman" w:hAnsi="Times New Roman" w:cs="Times New Roman"/>
          <w:sz w:val="24"/>
          <w:szCs w:val="24"/>
          <w:lang w:val="fr-FR"/>
        </w:rPr>
      </w:pPr>
      <w:r w:rsidRPr="00027516">
        <w:rPr>
          <w:rFonts w:ascii="Times New Roman" w:eastAsia="Calibri" w:hAnsi="Times New Roman" w:cs="Times New Roman"/>
          <w:b/>
          <w:bCs/>
          <w:color w:val="000000"/>
          <w:sz w:val="24"/>
          <w:szCs w:val="24"/>
        </w:rPr>
        <w:t>Mortality</w:t>
      </w:r>
      <w:r w:rsidRPr="00515572">
        <w:rPr>
          <w:rFonts w:ascii="Times New Roman" w:eastAsia="Times New Roman" w:hAnsi="Times New Roman" w:cs="Times New Roman"/>
          <w:b/>
          <w:bCs/>
          <w:sz w:val="24"/>
          <w:szCs w:val="24"/>
        </w:rPr>
        <w:t xml:space="preserve"> Parameters:</w:t>
      </w:r>
    </w:p>
    <w:p w:rsidR="003D327B" w:rsidRPr="00583CC4" w:rsidRDefault="003D327B" w:rsidP="00DD5F77">
      <w:pPr>
        <w:spacing w:after="0" w:line="360" w:lineRule="auto"/>
        <w:contextualSpacing/>
        <w:jc w:val="both"/>
        <w:rPr>
          <w:rFonts w:ascii="Times New Roman" w:eastAsia="Times New Roman" w:hAnsi="Times New Roman" w:cs="Times New Roman"/>
          <w:color w:val="FF0000"/>
          <w:sz w:val="24"/>
          <w:szCs w:val="24"/>
        </w:rPr>
      </w:pPr>
      <w:r w:rsidRPr="00515572">
        <w:rPr>
          <w:rFonts w:ascii="Times New Roman" w:eastAsia="Times New Roman" w:hAnsi="Times New Roman" w:cs="Times New Roman"/>
          <w:sz w:val="24"/>
          <w:szCs w:val="24"/>
        </w:rPr>
        <w:t xml:space="preserve">The total annual instantaneous mortality rate (Z) was estimated using length-converted catch curves. Natural mortality (M) was calculated following </w:t>
      </w:r>
      <w:r w:rsidRPr="00583CC4">
        <w:rPr>
          <w:rFonts w:ascii="Times New Roman" w:eastAsia="Times New Roman" w:hAnsi="Times New Roman" w:cs="Times New Roman"/>
          <w:color w:val="FF0000"/>
          <w:sz w:val="24"/>
          <w:szCs w:val="24"/>
        </w:rPr>
        <w:t>Pauly (1980):</w:t>
      </w:r>
    </w:p>
    <w:p w:rsidR="003D327B" w:rsidRPr="00515572" w:rsidRDefault="003D327B" w:rsidP="00DD5F77">
      <w:pPr>
        <w:spacing w:after="0" w:line="360" w:lineRule="auto"/>
        <w:contextualSpacing/>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log</w:t>
      </w:r>
      <w:r w:rsidRPr="00515572">
        <w:rPr>
          <w:rFonts w:ascii="Times New Roman" w:eastAsia="Times New Roman" w:hAnsi="Times New Roman" w:cs="Times New Roman"/>
          <w:sz w:val="24"/>
          <w:szCs w:val="24"/>
          <w:vertAlign w:val="subscript"/>
        </w:rPr>
        <w:t>10</w:t>
      </w:r>
      <w:r w:rsidRPr="00515572">
        <w:rPr>
          <w:rFonts w:ascii="Times New Roman" w:eastAsia="Times New Roman" w:hAnsi="Times New Roman" w:cs="Times New Roman"/>
          <w:sz w:val="24"/>
          <w:szCs w:val="24"/>
        </w:rPr>
        <w:t>M = - 0.0066 - 0.279 × log</w:t>
      </w:r>
      <w:r w:rsidRPr="00515572">
        <w:rPr>
          <w:rFonts w:ascii="Times New Roman" w:eastAsia="Times New Roman" w:hAnsi="Times New Roman" w:cs="Times New Roman"/>
          <w:sz w:val="24"/>
          <w:szCs w:val="24"/>
          <w:vertAlign w:val="subscript"/>
        </w:rPr>
        <w:t>10</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sz w:val="24"/>
          <w:szCs w:val="24"/>
          <w:vertAlign w:val="subscript"/>
        </w:rPr>
        <w:t>∞</w:t>
      </w:r>
      <w:r w:rsidRPr="00515572">
        <w:rPr>
          <w:rFonts w:ascii="Times New Roman" w:eastAsia="Times New Roman" w:hAnsi="Times New Roman" w:cs="Times New Roman"/>
          <w:sz w:val="24"/>
          <w:szCs w:val="24"/>
        </w:rPr>
        <w:t>+ 0.6543 × log10K + 0.4634 × log</w:t>
      </w:r>
      <w:r w:rsidRPr="00515572">
        <w:rPr>
          <w:rFonts w:ascii="Times New Roman" w:eastAsia="Times New Roman" w:hAnsi="Times New Roman" w:cs="Times New Roman"/>
          <w:sz w:val="24"/>
          <w:szCs w:val="24"/>
          <w:vertAlign w:val="subscript"/>
        </w:rPr>
        <w:t>10</w:t>
      </w:r>
      <w:r w:rsidR="00444C8E">
        <w:rPr>
          <w:rFonts w:ascii="Times New Roman" w:eastAsia="Times New Roman" w:hAnsi="Times New Roman" w:cs="Times New Roman"/>
          <w:sz w:val="24"/>
          <w:szCs w:val="24"/>
        </w:rPr>
        <w:t>T.</w:t>
      </w:r>
    </w:p>
    <w:p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Where: M = instantaneous natural mortality,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xml:space="preserve"> asymptotic length, “T” mean surface temperature (24.5 °C), and “</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xml:space="preserve">” = growth rate. </w:t>
      </w:r>
    </w:p>
    <w:p w:rsidR="003D327B" w:rsidRPr="00583CC4" w:rsidRDefault="003D327B" w:rsidP="00DD5F77">
      <w:pPr>
        <w:spacing w:after="0" w:line="360" w:lineRule="auto"/>
        <w:contextualSpacing/>
        <w:jc w:val="both"/>
        <w:rPr>
          <w:rFonts w:ascii="Times New Roman" w:eastAsia="Times New Roman" w:hAnsi="Times New Roman" w:cs="Times New Roman"/>
          <w:color w:val="FF0000"/>
          <w:sz w:val="24"/>
          <w:szCs w:val="24"/>
        </w:rPr>
      </w:pPr>
      <w:r w:rsidRPr="00515572">
        <w:rPr>
          <w:rFonts w:ascii="Times New Roman" w:eastAsia="Times New Roman" w:hAnsi="Times New Roman" w:cs="Times New Roman"/>
          <w:b/>
          <w:bCs/>
          <w:sz w:val="24"/>
          <w:szCs w:val="24"/>
        </w:rPr>
        <w:t>Fishing mortality (F)</w:t>
      </w:r>
      <w:r w:rsidRPr="00515572">
        <w:rPr>
          <w:rFonts w:ascii="Times New Roman" w:eastAsia="Times New Roman" w:hAnsi="Times New Roman" w:cs="Times New Roman"/>
          <w:sz w:val="24"/>
          <w:szCs w:val="24"/>
        </w:rPr>
        <w:t xml:space="preserve"> was derived as </w:t>
      </w:r>
      <w:r w:rsidRPr="00583CC4">
        <w:rPr>
          <w:rFonts w:ascii="Times New Roman" w:eastAsia="Times New Roman" w:hAnsi="Times New Roman" w:cs="Times New Roman"/>
          <w:color w:val="FF0000"/>
          <w:sz w:val="24"/>
          <w:szCs w:val="24"/>
        </w:rPr>
        <w:t>(Beverton &amp; Holt, 1957):</w:t>
      </w:r>
    </w:p>
    <w:p w:rsidR="003D327B" w:rsidRPr="00515572" w:rsidRDefault="003D327B" w:rsidP="00DD5F77">
      <w:pPr>
        <w:spacing w:after="0" w:line="360" w:lineRule="auto"/>
        <w:contextualSpacing/>
        <w:rPr>
          <w:rFonts w:ascii="Times New Roman" w:eastAsia="Calibri" w:hAnsi="Times New Roman" w:cs="Times New Roman"/>
          <w:sz w:val="24"/>
          <w:szCs w:val="24"/>
        </w:rPr>
      </w:pPr>
      <w:r w:rsidRPr="00515572">
        <w:rPr>
          <w:rFonts w:ascii="Times New Roman" w:eastAsia="Times New Roman" w:hAnsi="Times New Roman" w:cs="Times New Roman"/>
          <w:sz w:val="24"/>
          <w:szCs w:val="24"/>
        </w:rPr>
        <w:t xml:space="preserve">F = Z – M. </w:t>
      </w:r>
    </w:p>
    <w:p w:rsidR="003D327B" w:rsidRPr="00583CC4" w:rsidRDefault="003D327B" w:rsidP="00DD5F77">
      <w:pPr>
        <w:spacing w:after="0" w:line="360" w:lineRule="auto"/>
        <w:contextualSpacing/>
        <w:jc w:val="both"/>
        <w:rPr>
          <w:rFonts w:ascii="Times New Roman" w:eastAsia="Times New Roman" w:hAnsi="Times New Roman" w:cs="Times New Roman"/>
          <w:color w:val="FF0000"/>
          <w:sz w:val="24"/>
          <w:szCs w:val="24"/>
        </w:rPr>
      </w:pPr>
      <w:r w:rsidRPr="00515572">
        <w:rPr>
          <w:rFonts w:ascii="Times New Roman" w:eastAsia="Times New Roman" w:hAnsi="Times New Roman" w:cs="Times New Roman"/>
          <w:b/>
          <w:bCs/>
          <w:sz w:val="24"/>
          <w:szCs w:val="24"/>
        </w:rPr>
        <w:t>The exploitation rate (E)</w:t>
      </w:r>
      <w:r w:rsidRPr="00515572">
        <w:rPr>
          <w:rFonts w:ascii="Times New Roman" w:eastAsia="Times New Roman" w:hAnsi="Times New Roman" w:cs="Times New Roman"/>
          <w:sz w:val="24"/>
          <w:szCs w:val="24"/>
        </w:rPr>
        <w:t xml:space="preserve"> was obtained using </w:t>
      </w:r>
      <w:r w:rsidRPr="00583CC4">
        <w:rPr>
          <w:rFonts w:ascii="Times New Roman" w:eastAsia="Times New Roman" w:hAnsi="Times New Roman" w:cs="Times New Roman"/>
          <w:color w:val="FF0000"/>
          <w:sz w:val="24"/>
          <w:szCs w:val="24"/>
        </w:rPr>
        <w:t>(Gulland, 1971):</w:t>
      </w:r>
    </w:p>
    <w:p w:rsidR="003D327B" w:rsidRPr="00515572" w:rsidRDefault="003D327B" w:rsidP="00DD5F77">
      <w:pPr>
        <w:tabs>
          <w:tab w:val="left" w:pos="709"/>
        </w:tabs>
        <w:spacing w:after="0" w:line="360" w:lineRule="auto"/>
        <w:contextualSpacing/>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E = F/Z. </w:t>
      </w:r>
    </w:p>
    <w:p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b/>
          <w:bCs/>
          <w:sz w:val="24"/>
          <w:szCs w:val="24"/>
        </w:rPr>
      </w:pPr>
      <w:r w:rsidRPr="00027516">
        <w:rPr>
          <w:rFonts w:ascii="Times New Roman" w:eastAsia="Calibri" w:hAnsi="Times New Roman" w:cs="Times New Roman"/>
          <w:b/>
          <w:bCs/>
          <w:color w:val="000000"/>
          <w:sz w:val="24"/>
          <w:szCs w:val="24"/>
        </w:rPr>
        <w:t>Relative</w:t>
      </w:r>
      <w:r w:rsidRPr="00515572">
        <w:rPr>
          <w:rFonts w:ascii="Times New Roman" w:eastAsia="Times New Roman" w:hAnsi="Times New Roman" w:cs="Times New Roman"/>
          <w:b/>
          <w:bCs/>
          <w:sz w:val="24"/>
          <w:szCs w:val="24"/>
        </w:rPr>
        <w:t xml:space="preserve"> Yield and Biomass per Recruit:</w:t>
      </w:r>
    </w:p>
    <w:p w:rsidR="003D327B" w:rsidRPr="00515572" w:rsidRDefault="00746C0C"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The model by </w:t>
      </w:r>
      <w:r w:rsidRPr="00583CC4">
        <w:rPr>
          <w:rFonts w:ascii="Times New Roman" w:eastAsia="Times New Roman" w:hAnsi="Times New Roman" w:cs="Times New Roman"/>
          <w:color w:val="FF0000"/>
          <w:sz w:val="24"/>
          <w:szCs w:val="24"/>
        </w:rPr>
        <w:t>Pauly &amp; Soriano (1986)</w:t>
      </w:r>
      <w:r w:rsidRPr="00515572">
        <w:rPr>
          <w:rFonts w:ascii="Times New Roman" w:eastAsia="Times New Roman" w:hAnsi="Times New Roman" w:cs="Times New Roman"/>
          <w:sz w:val="24"/>
          <w:szCs w:val="24"/>
        </w:rPr>
        <w:t xml:space="preserve"> was used to predict Y′/R, while relative biomass per recruit (B′/R) was estimated fo</w:t>
      </w:r>
      <w:r>
        <w:rPr>
          <w:rFonts w:ascii="Times New Roman" w:eastAsia="Times New Roman" w:hAnsi="Times New Roman" w:cs="Times New Roman"/>
          <w:sz w:val="24"/>
          <w:szCs w:val="24"/>
        </w:rPr>
        <w:t xml:space="preserve">llowing </w:t>
      </w:r>
      <w:r w:rsidRPr="00583CC4">
        <w:rPr>
          <w:rFonts w:ascii="Times New Roman" w:eastAsia="Times New Roman" w:hAnsi="Times New Roman" w:cs="Times New Roman"/>
          <w:color w:val="FF0000"/>
          <w:sz w:val="24"/>
          <w:szCs w:val="24"/>
        </w:rPr>
        <w:t>Gayanilo et al. (2005).</w:t>
      </w:r>
      <w:r>
        <w:rPr>
          <w:rFonts w:ascii="Times New Roman" w:eastAsia="Times New Roman" w:hAnsi="Times New Roman" w:cs="Times New Roman"/>
          <w:sz w:val="24"/>
          <w:szCs w:val="24"/>
        </w:rPr>
        <w:t xml:space="preserve"> </w:t>
      </w:r>
      <w:r w:rsidR="003D327B" w:rsidRPr="00515572">
        <w:rPr>
          <w:rFonts w:ascii="Times New Roman" w:eastAsia="Times New Roman" w:hAnsi="Times New Roman" w:cs="Times New Roman"/>
          <w:sz w:val="24"/>
          <w:szCs w:val="24"/>
        </w:rPr>
        <w:t>Key reference points included:</w:t>
      </w:r>
    </w:p>
    <w:p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444C8E">
        <w:rPr>
          <w:rFonts w:ascii="Times New Roman" w:eastAsia="Times New Roman" w:hAnsi="Times New Roman" w:cs="Times New Roman"/>
          <w:b/>
          <w:sz w:val="24"/>
          <w:szCs w:val="24"/>
        </w:rPr>
        <w:t>Maximum exploitation rate</w:t>
      </w:r>
      <w:r w:rsidRPr="00515572">
        <w:rPr>
          <w:rFonts w:ascii="Times New Roman" w:eastAsia="Times New Roman" w:hAnsi="Times New Roman" w:cs="Times New Roman"/>
          <w:sz w:val="24"/>
          <w:szCs w:val="24"/>
        </w:rPr>
        <w:t xml:space="preserve"> (E</w:t>
      </w:r>
      <w:r w:rsidRPr="00444C8E">
        <w:rPr>
          <w:rFonts w:ascii="Times New Roman" w:eastAsia="Times New Roman" w:hAnsi="Times New Roman" w:cs="Times New Roman"/>
          <w:i/>
          <w:iCs/>
          <w:sz w:val="24"/>
          <w:szCs w:val="24"/>
          <w:vertAlign w:val="subscript"/>
        </w:rPr>
        <w:t>max</w:t>
      </w:r>
      <w:r w:rsidRPr="00515572">
        <w:rPr>
          <w:rFonts w:ascii="Times New Roman" w:eastAsia="Times New Roman" w:hAnsi="Times New Roman" w:cs="Times New Roman"/>
          <w:sz w:val="24"/>
          <w:szCs w:val="24"/>
        </w:rPr>
        <w:t>),</w:t>
      </w:r>
    </w:p>
    <w:p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444C8E">
        <w:rPr>
          <w:rFonts w:ascii="Times New Roman" w:eastAsia="Times New Roman" w:hAnsi="Times New Roman" w:cs="Times New Roman"/>
          <w:b/>
          <w:sz w:val="24"/>
          <w:szCs w:val="24"/>
        </w:rPr>
        <w:t>Exploitation rate at 10% virgin biomass</w:t>
      </w:r>
      <w:r w:rsidRPr="00515572">
        <w:rPr>
          <w:rFonts w:ascii="Times New Roman" w:eastAsia="Times New Roman" w:hAnsi="Times New Roman" w:cs="Times New Roman"/>
          <w:sz w:val="24"/>
          <w:szCs w:val="24"/>
        </w:rPr>
        <w:t xml:space="preserve"> (E</w:t>
      </w:r>
      <w:r w:rsidRPr="00515572">
        <w:rPr>
          <w:rFonts w:ascii="Times New Roman" w:eastAsia="Times New Roman" w:hAnsi="Times New Roman" w:cs="Times New Roman"/>
          <w:sz w:val="24"/>
          <w:szCs w:val="24"/>
          <w:vertAlign w:val="subscript"/>
        </w:rPr>
        <w:t>0.1</w:t>
      </w:r>
      <w:r w:rsidRPr="00515572">
        <w:rPr>
          <w:rFonts w:ascii="Times New Roman" w:eastAsia="Times New Roman" w:hAnsi="Times New Roman" w:cs="Times New Roman"/>
          <w:sz w:val="24"/>
          <w:szCs w:val="24"/>
        </w:rPr>
        <w:t>),</w:t>
      </w:r>
    </w:p>
    <w:p w:rsidR="00746C0C" w:rsidRDefault="003D327B" w:rsidP="00DD5F77">
      <w:pPr>
        <w:spacing w:after="0" w:line="360" w:lineRule="auto"/>
        <w:contextualSpacing/>
        <w:jc w:val="both"/>
        <w:rPr>
          <w:rFonts w:ascii="Times New Roman" w:eastAsia="Times New Roman" w:hAnsi="Times New Roman" w:cs="Times New Roman"/>
          <w:sz w:val="24"/>
          <w:szCs w:val="24"/>
        </w:rPr>
      </w:pPr>
      <w:r w:rsidRPr="00444C8E">
        <w:rPr>
          <w:rFonts w:ascii="Times New Roman" w:eastAsia="Times New Roman" w:hAnsi="Times New Roman" w:cs="Times New Roman"/>
          <w:b/>
          <w:sz w:val="24"/>
          <w:szCs w:val="24"/>
        </w:rPr>
        <w:t>Exploitation rate at 50% virgin biomass</w:t>
      </w:r>
      <w:r w:rsidRPr="00515572">
        <w:rPr>
          <w:rFonts w:ascii="Times New Roman" w:eastAsia="Times New Roman" w:hAnsi="Times New Roman" w:cs="Times New Roman"/>
          <w:sz w:val="24"/>
          <w:szCs w:val="24"/>
        </w:rPr>
        <w:t xml:space="preserve"> (E</w:t>
      </w:r>
      <w:r w:rsidRPr="00515572">
        <w:rPr>
          <w:rFonts w:ascii="Times New Roman" w:eastAsia="Times New Roman" w:hAnsi="Times New Roman" w:cs="Times New Roman"/>
          <w:sz w:val="24"/>
          <w:szCs w:val="24"/>
          <w:vertAlign w:val="subscript"/>
        </w:rPr>
        <w:t>0.5</w:t>
      </w:r>
      <w:r w:rsidRPr="00515572">
        <w:rPr>
          <w:rFonts w:ascii="Times New Roman" w:eastAsia="Times New Roman" w:hAnsi="Times New Roman" w:cs="Times New Roman"/>
          <w:sz w:val="24"/>
          <w:szCs w:val="24"/>
        </w:rPr>
        <w:t>).</w:t>
      </w:r>
    </w:p>
    <w:p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027516">
        <w:rPr>
          <w:rFonts w:ascii="Times New Roman" w:eastAsia="Calibri" w:hAnsi="Times New Roman" w:cs="Times New Roman"/>
          <w:b/>
          <w:bCs/>
          <w:color w:val="000000"/>
          <w:sz w:val="24"/>
          <w:szCs w:val="24"/>
        </w:rPr>
        <w:t>Length</w:t>
      </w:r>
      <w:r w:rsidRPr="00515572">
        <w:rPr>
          <w:rFonts w:ascii="Times New Roman" w:eastAsia="Times New Roman" w:hAnsi="Times New Roman" w:cs="Times New Roman"/>
          <w:b/>
          <w:bCs/>
          <w:sz w:val="24"/>
          <w:szCs w:val="24"/>
        </w:rPr>
        <w:t xml:space="preserve"> at First Capture</w:t>
      </w:r>
      <w:r w:rsidRPr="000D08DB">
        <w:rPr>
          <w:rFonts w:ascii="Times New Roman" w:eastAsia="Times New Roman" w:hAnsi="Times New Roman" w:cs="Times New Roman"/>
          <w:b/>
          <w:sz w:val="24"/>
          <w:szCs w:val="24"/>
        </w:rPr>
        <w:t>,</w:t>
      </w:r>
      <w:r w:rsidR="000D08DB" w:rsidRPr="00515572">
        <w:rPr>
          <w:rFonts w:ascii="Times New Roman" w:eastAsia="Times New Roman" w:hAnsi="Times New Roman" w:cs="Times New Roman"/>
          <w:i/>
          <w:iCs/>
          <w:sz w:val="24"/>
          <w:szCs w:val="24"/>
        </w:rPr>
        <w:t>L</w:t>
      </w:r>
      <w:r w:rsidR="000D08DB" w:rsidRPr="00515572">
        <w:rPr>
          <w:rFonts w:ascii="Times New Roman" w:eastAsia="Times New Roman" w:hAnsi="Times New Roman" w:cs="Times New Roman"/>
          <w:i/>
          <w:iCs/>
          <w:sz w:val="24"/>
          <w:szCs w:val="24"/>
          <w:vertAlign w:val="subscript"/>
        </w:rPr>
        <w:t>c</w:t>
      </w:r>
      <w:r w:rsidR="000D08DB" w:rsidRPr="00515572">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was determined using Beverton and Holt's equation:</w:t>
      </w:r>
    </w:p>
    <w:p w:rsidR="003D327B" w:rsidRPr="00515572" w:rsidRDefault="003D327B" w:rsidP="00DD5F77">
      <w:pPr>
        <w:spacing w:after="0" w:line="360" w:lineRule="auto"/>
        <w:contextualSpacing/>
        <w:rPr>
          <w:rFonts w:ascii="Times New Roman" w:eastAsia="Times New Roman" w:hAnsi="Times New Roman" w:cs="Times New Roman"/>
          <w:sz w:val="24"/>
          <w:szCs w:val="24"/>
        </w:rPr>
      </w:pP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c</w:t>
      </w:r>
      <w:r w:rsidRPr="00515572">
        <w:rPr>
          <w:rFonts w:ascii="Times New Roman" w:eastAsia="Times New Roman" w:hAnsi="Times New Roman" w:cs="Times New Roman"/>
          <w:sz w:val="24"/>
          <w:szCs w:val="24"/>
        </w:rPr>
        <w:t xml:space="preserve"> =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sz w:val="24"/>
          <w:szCs w:val="24"/>
        </w:rPr>
        <w:t>-</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xml:space="preserve"> ×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xml:space="preserve"> -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sz w:val="24"/>
          <w:szCs w:val="24"/>
        </w:rPr>
        <w:t xml:space="preserve">) ÷ Z.  </w:t>
      </w:r>
      <w:r w:rsidRPr="00583CC4">
        <w:rPr>
          <w:rFonts w:ascii="Times New Roman" w:eastAsia="Times New Roman" w:hAnsi="Times New Roman" w:cs="Times New Roman"/>
          <w:color w:val="FF0000"/>
          <w:sz w:val="24"/>
          <w:szCs w:val="24"/>
        </w:rPr>
        <w:t xml:space="preserve">Beverton </w:t>
      </w:r>
      <w:r w:rsidR="007616A0" w:rsidRPr="00583CC4">
        <w:rPr>
          <w:rFonts w:ascii="Times New Roman" w:eastAsia="Times New Roman" w:hAnsi="Times New Roman" w:cs="Times New Roman"/>
          <w:color w:val="FF0000"/>
          <w:sz w:val="24"/>
          <w:szCs w:val="24"/>
        </w:rPr>
        <w:t>and</w:t>
      </w:r>
      <w:r w:rsidRPr="00583CC4">
        <w:rPr>
          <w:rFonts w:ascii="Times New Roman" w:eastAsia="Times New Roman" w:hAnsi="Times New Roman" w:cs="Times New Roman"/>
          <w:color w:val="FF0000"/>
          <w:sz w:val="24"/>
          <w:szCs w:val="24"/>
        </w:rPr>
        <w:t xml:space="preserve"> Holt, (1957).</w:t>
      </w:r>
    </w:p>
    <w:p w:rsidR="003D327B" w:rsidRPr="00515572" w:rsidRDefault="003D327B" w:rsidP="000D7EF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Where: </w:t>
      </w:r>
      <w:r w:rsidRPr="00515572">
        <w:rPr>
          <w:rFonts w:ascii="Times New Roman" w:eastAsia="Times New Roman" w:hAnsi="Times New Roman" w:cs="Times New Roman"/>
          <w:i/>
          <w:iCs/>
          <w:sz w:val="24"/>
          <w:szCs w:val="24"/>
        </w:rPr>
        <w:t xml:space="preserve">L̄ </w:t>
      </w:r>
      <w:r w:rsidRPr="00515572">
        <w:rPr>
          <w:rFonts w:ascii="Times New Roman" w:eastAsia="Times New Roman" w:hAnsi="Times New Roman" w:cs="Times New Roman"/>
          <w:sz w:val="24"/>
          <w:szCs w:val="24"/>
        </w:rPr>
        <w:t>= mean length of the fish catch; K = growth coefficient; L</w:t>
      </w:r>
      <w:r w:rsidRPr="007616A0">
        <w:rPr>
          <w:rFonts w:ascii="Times New Roman" w:eastAsia="Times New Roman" w:hAnsi="Times New Roman" w:cs="Times New Roman"/>
          <w:sz w:val="24"/>
          <w:szCs w:val="24"/>
          <w:vertAlign w:val="subscript"/>
        </w:rPr>
        <w:t>∞</w:t>
      </w:r>
      <w:r w:rsidRPr="00515572">
        <w:rPr>
          <w:rFonts w:ascii="Times New Roman" w:eastAsia="Times New Roman" w:hAnsi="Times New Roman" w:cs="Times New Roman"/>
          <w:sz w:val="24"/>
          <w:szCs w:val="24"/>
        </w:rPr>
        <w:t xml:space="preserve"> = asymptotic length</w:t>
      </w:r>
      <w:r w:rsidR="000D7EF7">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 xml:space="preserve"> and = the total mortality.</w:t>
      </w:r>
    </w:p>
    <w:p w:rsidR="003D327B" w:rsidRPr="00515572" w:rsidRDefault="003D327B" w:rsidP="00DD5F77">
      <w:pPr>
        <w:spacing w:after="0" w:line="360" w:lineRule="auto"/>
        <w:contextualSpacing/>
        <w:jc w:val="both"/>
        <w:rPr>
          <w:rFonts w:ascii="Times New Roman" w:eastAsia="Calibri" w:hAnsi="Times New Roman" w:cs="Times New Roman"/>
          <w:color w:val="000000"/>
          <w:sz w:val="24"/>
          <w:szCs w:val="24"/>
        </w:rPr>
      </w:pPr>
      <w:r w:rsidRPr="000D08DB">
        <w:rPr>
          <w:rFonts w:ascii="Times New Roman" w:eastAsia="Calibri" w:hAnsi="Times New Roman" w:cs="Times New Roman"/>
          <w:b/>
          <w:color w:val="000000"/>
          <w:sz w:val="24"/>
          <w:szCs w:val="24"/>
        </w:rPr>
        <w:t>The age at first capture (</w:t>
      </w:r>
      <w:r w:rsidRPr="000D08DB">
        <w:rPr>
          <w:rFonts w:ascii="Times New Roman" w:eastAsia="Calibri" w:hAnsi="Times New Roman" w:cs="Times New Roman"/>
          <w:b/>
          <w:i/>
          <w:iCs/>
          <w:color w:val="000000"/>
          <w:sz w:val="24"/>
          <w:szCs w:val="24"/>
        </w:rPr>
        <w:t>t</w:t>
      </w:r>
      <w:r w:rsidRPr="000D08DB">
        <w:rPr>
          <w:rFonts w:ascii="Times New Roman" w:eastAsia="Calibri" w:hAnsi="Times New Roman" w:cs="Times New Roman"/>
          <w:i/>
          <w:iCs/>
          <w:color w:val="000000"/>
          <w:sz w:val="24"/>
          <w:szCs w:val="24"/>
          <w:vertAlign w:val="subscript"/>
        </w:rPr>
        <w:t>c</w:t>
      </w:r>
      <w:r w:rsidRPr="000D08DB">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was determined from the estimated growth parameters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Calibri" w:hAnsi="Times New Roman" w:cs="Times New Roman"/>
          <w:color w:val="000000"/>
          <w:sz w:val="24"/>
          <w:szCs w:val="24"/>
        </w:rPr>
        <w:t xml:space="preserve">, </w:t>
      </w:r>
      <w:r w:rsidRPr="00515572">
        <w:rPr>
          <w:rFonts w:ascii="Times New Roman" w:eastAsia="Calibri" w:hAnsi="Times New Roman" w:cs="Times New Roman"/>
          <w:i/>
          <w:iCs/>
          <w:color w:val="000000"/>
          <w:sz w:val="24"/>
          <w:szCs w:val="24"/>
        </w:rPr>
        <w:t>K</w:t>
      </w:r>
      <w:r w:rsidRPr="00515572">
        <w:rPr>
          <w:rFonts w:ascii="Times New Roman" w:eastAsia="Calibri" w:hAnsi="Times New Roman" w:cs="Times New Roman"/>
          <w:color w:val="000000"/>
          <w:sz w:val="24"/>
          <w:szCs w:val="24"/>
        </w:rPr>
        <w:t xml:space="preserve">, and </w:t>
      </w:r>
      <w:r w:rsidRPr="00515572">
        <w:rPr>
          <w:rFonts w:ascii="Times New Roman" w:eastAsia="Calibri" w:hAnsi="Times New Roman" w:cs="Times New Roman"/>
          <w:i/>
          <w:iCs/>
          <w:color w:val="000000"/>
          <w:sz w:val="24"/>
          <w:szCs w:val="24"/>
        </w:rPr>
        <w:t>t</w:t>
      </w:r>
      <w:r w:rsidRPr="00515572">
        <w:rPr>
          <w:rFonts w:ascii="Times New Roman" w:eastAsia="Calibri" w:hAnsi="Times New Roman" w:cs="Times New Roman"/>
          <w:color w:val="000000"/>
          <w:sz w:val="24"/>
          <w:szCs w:val="24"/>
          <w:vertAlign w:val="subscript"/>
        </w:rPr>
        <w:t>0</w:t>
      </w:r>
      <w:r w:rsidRPr="00515572">
        <w:rPr>
          <w:rFonts w:ascii="Times New Roman" w:eastAsia="Calibri" w:hAnsi="Times New Roman" w:cs="Times New Roman"/>
          <w:color w:val="000000"/>
          <w:sz w:val="24"/>
          <w:szCs w:val="24"/>
        </w:rPr>
        <w:t xml:space="preserve">) using the ELEFAN I method following </w:t>
      </w:r>
      <w:r w:rsidRPr="00583CC4">
        <w:rPr>
          <w:rFonts w:ascii="Times New Roman" w:eastAsia="Calibri" w:hAnsi="Times New Roman" w:cs="Times New Roman"/>
          <w:color w:val="FF0000"/>
          <w:sz w:val="24"/>
          <w:szCs w:val="24"/>
        </w:rPr>
        <w:t xml:space="preserve">Gayanilo </w:t>
      </w:r>
      <w:r w:rsidRPr="00583CC4">
        <w:rPr>
          <w:rFonts w:ascii="Times New Roman" w:eastAsia="Calibri" w:hAnsi="Times New Roman" w:cs="Times New Roman"/>
          <w:i/>
          <w:iCs/>
          <w:color w:val="FF0000"/>
          <w:sz w:val="24"/>
          <w:szCs w:val="24"/>
        </w:rPr>
        <w:t>et. al</w:t>
      </w:r>
      <w:r w:rsidRPr="00583CC4">
        <w:rPr>
          <w:rFonts w:ascii="Times New Roman" w:eastAsia="Calibri" w:hAnsi="Times New Roman" w:cs="Times New Roman"/>
          <w:color w:val="FF0000"/>
          <w:sz w:val="24"/>
          <w:szCs w:val="24"/>
        </w:rPr>
        <w:t>., (2005).</w:t>
      </w:r>
      <w:r w:rsidRPr="00515572">
        <w:rPr>
          <w:rFonts w:ascii="Times New Roman" w:eastAsia="Calibri" w:hAnsi="Times New Roman" w:cs="Times New Roman"/>
          <w:color w:val="000000"/>
          <w:sz w:val="24"/>
          <w:szCs w:val="24"/>
        </w:rPr>
        <w:t xml:space="preserve"> </w:t>
      </w:r>
    </w:p>
    <w:p w:rsidR="003D327B" w:rsidRPr="00515572" w:rsidRDefault="003D327B" w:rsidP="00DD5F77">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027516">
        <w:rPr>
          <w:rFonts w:ascii="Times New Roman" w:eastAsia="Calibri" w:hAnsi="Times New Roman" w:cs="Times New Roman"/>
          <w:b/>
          <w:bCs/>
          <w:color w:val="000000"/>
          <w:sz w:val="24"/>
          <w:szCs w:val="24"/>
        </w:rPr>
        <w:t>Recruitment</w:t>
      </w:r>
      <w:r w:rsidRPr="00515572">
        <w:rPr>
          <w:rFonts w:ascii="Times New Roman" w:eastAsia="Times New Roman" w:hAnsi="Times New Roman" w:cs="Times New Roman"/>
          <w:b/>
          <w:bCs/>
          <w:sz w:val="24"/>
          <w:szCs w:val="24"/>
        </w:rPr>
        <w:t xml:space="preserve"> Patterns</w:t>
      </w:r>
      <w:r w:rsidRPr="00515572">
        <w:rPr>
          <w:rFonts w:ascii="Times New Roman" w:eastAsia="Calibri" w:hAnsi="Times New Roman" w:cs="Times New Roman"/>
          <w:color w:val="000000"/>
          <w:sz w:val="24"/>
          <w:szCs w:val="24"/>
        </w:rPr>
        <w:t xml:space="preserve"> were analyzed using FiSAT’s "Percent of sample total" option. when the samples had dissimilar sizes.</w:t>
      </w:r>
    </w:p>
    <w:p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Maximum fishing effort (F</w:t>
      </w:r>
      <w:r w:rsidRPr="00515572">
        <w:rPr>
          <w:rFonts w:ascii="Times New Roman" w:eastAsia="Times New Roman" w:hAnsi="Times New Roman" w:cs="Times New Roman"/>
          <w:b/>
          <w:bCs/>
          <w:i/>
          <w:iCs/>
          <w:sz w:val="24"/>
          <w:szCs w:val="24"/>
          <w:vertAlign w:val="subscript"/>
        </w:rPr>
        <w:t>max</w:t>
      </w:r>
      <w:r w:rsidRPr="00515572">
        <w:rPr>
          <w:rFonts w:ascii="Times New Roman" w:eastAsia="Times New Roman" w:hAnsi="Times New Roman" w:cs="Times New Roman"/>
          <w:b/>
          <w:bCs/>
          <w:sz w:val="24"/>
          <w:szCs w:val="24"/>
        </w:rPr>
        <w:t>)</w:t>
      </w:r>
      <w:r w:rsidRPr="00515572">
        <w:rPr>
          <w:rFonts w:ascii="Times New Roman" w:eastAsia="Times New Roman" w:hAnsi="Times New Roman" w:cs="Times New Roman"/>
          <w:sz w:val="24"/>
          <w:szCs w:val="24"/>
        </w:rPr>
        <w:t xml:space="preserve"> was determined as:</w:t>
      </w:r>
    </w:p>
    <w:p w:rsidR="003D327B" w:rsidRPr="00583CC4" w:rsidRDefault="003D327B" w:rsidP="00DD5F77">
      <w:pPr>
        <w:spacing w:after="0" w:line="360" w:lineRule="auto"/>
        <w:contextualSpacing/>
        <w:rPr>
          <w:rFonts w:ascii="Times New Roman" w:eastAsia="Times New Roman" w:hAnsi="Times New Roman" w:cs="Times New Roman"/>
          <w:color w:val="FF0000"/>
          <w:sz w:val="24"/>
          <w:szCs w:val="24"/>
        </w:rPr>
      </w:pPr>
      <w:r w:rsidRPr="00515572">
        <w:rPr>
          <w:rFonts w:ascii="Times New Roman" w:eastAsia="Times New Roman" w:hAnsi="Times New Roman" w:cs="Times New Roman"/>
          <w:sz w:val="24"/>
          <w:szCs w:val="24"/>
        </w:rPr>
        <w:t>0.67×</w:t>
      </w:r>
      <w:r w:rsidRPr="000D7EF7">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/0.67-</w:t>
      </w:r>
      <w:r w:rsidRPr="000D7EF7">
        <w:rPr>
          <w:rFonts w:ascii="Times New Roman" w:eastAsia="Times New Roman" w:hAnsi="Times New Roman" w:cs="Times New Roman"/>
          <w:i/>
          <w:iCs/>
          <w:sz w:val="24"/>
          <w:szCs w:val="24"/>
        </w:rPr>
        <w:t>L</w:t>
      </w:r>
      <w:r w:rsidRPr="000D7EF7">
        <w:rPr>
          <w:rFonts w:ascii="Times New Roman" w:eastAsia="Times New Roman" w:hAnsi="Times New Roman" w:cs="Times New Roman"/>
          <w:sz w:val="24"/>
          <w:szCs w:val="24"/>
          <w:vertAlign w:val="subscript"/>
        </w:rPr>
        <w:t>c</w:t>
      </w:r>
      <w:r w:rsidRPr="00515572">
        <w:rPr>
          <w:rFonts w:ascii="Times New Roman" w:eastAsia="Times New Roman" w:hAnsi="Times New Roman" w:cs="Times New Roman"/>
          <w:sz w:val="24"/>
          <w:szCs w:val="24"/>
        </w:rPr>
        <w:t xml:space="preserve"> </w:t>
      </w:r>
      <w:r w:rsidRPr="00583CC4">
        <w:rPr>
          <w:rFonts w:ascii="Times New Roman" w:eastAsia="Times New Roman" w:hAnsi="Times New Roman" w:cs="Times New Roman"/>
          <w:color w:val="FF0000"/>
          <w:sz w:val="24"/>
          <w:szCs w:val="24"/>
        </w:rPr>
        <w:t xml:space="preserve">(Hoggarth </w:t>
      </w:r>
      <w:r w:rsidRPr="00583CC4">
        <w:rPr>
          <w:rFonts w:ascii="Times New Roman" w:eastAsia="Times New Roman" w:hAnsi="Times New Roman" w:cs="Times New Roman"/>
          <w:i/>
          <w:iCs/>
          <w:color w:val="FF0000"/>
          <w:sz w:val="24"/>
          <w:szCs w:val="24"/>
        </w:rPr>
        <w:t>et. al</w:t>
      </w:r>
      <w:r w:rsidRPr="00583CC4">
        <w:rPr>
          <w:rFonts w:ascii="Times New Roman" w:eastAsia="Times New Roman" w:hAnsi="Times New Roman" w:cs="Times New Roman"/>
          <w:color w:val="FF0000"/>
          <w:sz w:val="24"/>
          <w:szCs w:val="24"/>
        </w:rPr>
        <w:t>., 2006).</w:t>
      </w:r>
    </w:p>
    <w:p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The precautionary limit reference point (F</w:t>
      </w:r>
      <w:r w:rsidRPr="00515572">
        <w:rPr>
          <w:rFonts w:ascii="Times New Roman" w:eastAsia="Times New Roman" w:hAnsi="Times New Roman" w:cs="Times New Roman"/>
          <w:b/>
          <w:bCs/>
          <w:i/>
          <w:iCs/>
          <w:sz w:val="24"/>
          <w:szCs w:val="24"/>
          <w:vertAlign w:val="subscript"/>
        </w:rPr>
        <w:t>limit</w:t>
      </w:r>
      <w:r w:rsidRPr="00515572">
        <w:rPr>
          <w:rFonts w:ascii="Times New Roman" w:eastAsia="Times New Roman" w:hAnsi="Times New Roman" w:cs="Times New Roman"/>
          <w:b/>
          <w:bCs/>
          <w:sz w:val="24"/>
          <w:szCs w:val="24"/>
        </w:rPr>
        <w:t>)</w:t>
      </w:r>
      <w:r w:rsidRPr="00515572">
        <w:rPr>
          <w:rFonts w:ascii="Times New Roman" w:eastAsia="Times New Roman" w:hAnsi="Times New Roman" w:cs="Times New Roman"/>
          <w:sz w:val="24"/>
          <w:szCs w:val="24"/>
        </w:rPr>
        <w:t xml:space="preserve"> was set at:</w:t>
      </w:r>
    </w:p>
    <w:p w:rsidR="003D327B" w:rsidRPr="00583CC4" w:rsidRDefault="003D327B" w:rsidP="00DD5F77">
      <w:pPr>
        <w:spacing w:after="0" w:line="360" w:lineRule="auto"/>
        <w:contextualSpacing/>
        <w:rPr>
          <w:rFonts w:ascii="Times New Roman" w:eastAsia="Times New Roman" w:hAnsi="Times New Roman" w:cs="Times New Roman"/>
          <w:color w:val="FF0000"/>
          <w:sz w:val="24"/>
          <w:szCs w:val="24"/>
        </w:rPr>
      </w:pPr>
      <w:r w:rsidRPr="00515572">
        <w:rPr>
          <w:rFonts w:ascii="Times New Roman" w:eastAsia="Times New Roman" w:hAnsi="Times New Roman" w:cs="Times New Roman"/>
          <w:sz w:val="24"/>
          <w:szCs w:val="24"/>
        </w:rPr>
        <w:t xml:space="preserve">⅔×M </w:t>
      </w:r>
      <w:r w:rsidRPr="00583CC4">
        <w:rPr>
          <w:rFonts w:ascii="Times New Roman" w:eastAsia="Times New Roman" w:hAnsi="Times New Roman" w:cs="Times New Roman"/>
          <w:color w:val="FF0000"/>
          <w:sz w:val="24"/>
          <w:szCs w:val="24"/>
        </w:rPr>
        <w:t>(Patterson, 1992).</w:t>
      </w:r>
    </w:p>
    <w:p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Precautionary target reference point (F</w:t>
      </w:r>
      <w:r w:rsidRPr="00515572">
        <w:rPr>
          <w:rFonts w:ascii="Times New Roman" w:eastAsia="Times New Roman" w:hAnsi="Times New Roman" w:cs="Times New Roman"/>
          <w:b/>
          <w:bCs/>
          <w:i/>
          <w:iCs/>
          <w:sz w:val="24"/>
          <w:szCs w:val="24"/>
          <w:vertAlign w:val="subscript"/>
        </w:rPr>
        <w:t>opt</w:t>
      </w:r>
      <w:r w:rsidRPr="00515572">
        <w:rPr>
          <w:rFonts w:ascii="Times New Roman" w:eastAsia="Times New Roman" w:hAnsi="Times New Roman" w:cs="Times New Roman"/>
          <w:b/>
          <w:bCs/>
          <w:sz w:val="24"/>
          <w:szCs w:val="24"/>
        </w:rPr>
        <w:t>)</w:t>
      </w:r>
      <w:r w:rsidRPr="00515572">
        <w:rPr>
          <w:rFonts w:ascii="Times New Roman" w:eastAsia="Times New Roman" w:hAnsi="Times New Roman" w:cs="Times New Roman"/>
          <w:sz w:val="24"/>
          <w:szCs w:val="24"/>
        </w:rPr>
        <w:t xml:space="preserve"> was calculated as:</w:t>
      </w:r>
    </w:p>
    <w:p w:rsidR="003D327B" w:rsidRPr="00515572" w:rsidRDefault="003D327B" w:rsidP="00DD5F77">
      <w:pPr>
        <w:spacing w:after="0" w:line="360" w:lineRule="auto"/>
        <w:contextualSpacing/>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lastRenderedPageBreak/>
        <w:t>0.4×M (Pauly, 1984).</w:t>
      </w:r>
    </w:p>
    <w:p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b/>
          <w:bCs/>
          <w:sz w:val="24"/>
          <w:szCs w:val="24"/>
        </w:rPr>
      </w:pPr>
      <w:r w:rsidRPr="00515572">
        <w:rPr>
          <w:rFonts w:ascii="Times New Roman" w:eastAsia="Times New Roman" w:hAnsi="Times New Roman" w:cs="Times New Roman"/>
          <w:b/>
          <w:bCs/>
          <w:sz w:val="24"/>
          <w:szCs w:val="24"/>
        </w:rPr>
        <w:t xml:space="preserve">Virtual </w:t>
      </w:r>
      <w:r w:rsidRPr="00027516">
        <w:rPr>
          <w:rFonts w:ascii="Times New Roman" w:eastAsia="Calibri" w:hAnsi="Times New Roman" w:cs="Times New Roman"/>
          <w:b/>
          <w:bCs/>
          <w:color w:val="000000"/>
          <w:sz w:val="24"/>
          <w:szCs w:val="24"/>
        </w:rPr>
        <w:t>Population</w:t>
      </w:r>
      <w:r w:rsidRPr="00515572">
        <w:rPr>
          <w:rFonts w:ascii="Times New Roman" w:eastAsia="Times New Roman" w:hAnsi="Times New Roman" w:cs="Times New Roman"/>
          <w:b/>
          <w:bCs/>
          <w:sz w:val="24"/>
          <w:szCs w:val="24"/>
        </w:rPr>
        <w:t xml:space="preserve"> Analysis:</w:t>
      </w:r>
    </w:p>
    <w:p w:rsidR="003D327B" w:rsidRPr="00583CC4" w:rsidRDefault="003D327B" w:rsidP="00DD5F77">
      <w:pPr>
        <w:spacing w:after="0" w:line="360" w:lineRule="auto"/>
        <w:contextualSpacing/>
        <w:jc w:val="both"/>
        <w:rPr>
          <w:rFonts w:ascii="Times New Roman" w:eastAsia="Times New Roman" w:hAnsi="Times New Roman" w:cs="Times New Roman"/>
          <w:color w:val="FF0000"/>
          <w:sz w:val="24"/>
          <w:szCs w:val="24"/>
        </w:rPr>
      </w:pPr>
      <w:r w:rsidRPr="00515572">
        <w:rPr>
          <w:rFonts w:ascii="Times New Roman" w:eastAsia="Times New Roman" w:hAnsi="Times New Roman" w:cs="Times New Roman"/>
          <w:sz w:val="24"/>
          <w:szCs w:val="24"/>
        </w:rPr>
        <w:t xml:space="preserve">Structured virtual population analysis was conducted using FiSAT II software, incorporating parameters such as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xml:space="preserve">, M, and </w:t>
      </w:r>
      <w:r w:rsidRPr="00515572">
        <w:rPr>
          <w:rFonts w:ascii="Times New Roman" w:eastAsia="Times New Roman" w:hAnsi="Times New Roman" w:cs="Times New Roman"/>
          <w:i/>
          <w:iCs/>
          <w:sz w:val="24"/>
          <w:szCs w:val="24"/>
        </w:rPr>
        <w:t>F</w:t>
      </w:r>
      <w:r w:rsidRPr="00515572">
        <w:rPr>
          <w:rFonts w:ascii="Times New Roman" w:eastAsia="Times New Roman" w:hAnsi="Times New Roman" w:cs="Times New Roman"/>
          <w:sz w:val="24"/>
          <w:szCs w:val="24"/>
        </w:rPr>
        <w:t xml:space="preserve">. Biological reference points were derived </w:t>
      </w:r>
      <w:r w:rsidRPr="00583CC4">
        <w:rPr>
          <w:rFonts w:ascii="Times New Roman" w:eastAsia="Times New Roman" w:hAnsi="Times New Roman" w:cs="Times New Roman"/>
          <w:color w:val="FF0000"/>
          <w:sz w:val="24"/>
          <w:szCs w:val="24"/>
        </w:rPr>
        <w:t>Beverton and Holt’s model (1992).</w:t>
      </w:r>
    </w:p>
    <w:p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 xml:space="preserve">Optimum cohort biomasslength </w:t>
      </w:r>
      <w:r w:rsidRPr="00515572">
        <w:rPr>
          <w:rFonts w:ascii="Times New Roman" w:eastAsia="Times New Roman" w:hAnsi="Times New Roman" w:cs="Times New Roman"/>
          <w:sz w:val="24"/>
          <w:szCs w:val="24"/>
        </w:rPr>
        <w:t>was calculated as:</w:t>
      </w:r>
    </w:p>
    <w:p w:rsidR="003D327B" w:rsidRPr="00515572" w:rsidRDefault="003D327B" w:rsidP="00DD5F77">
      <w:pPr>
        <w:spacing w:after="0" w:line="360" w:lineRule="auto"/>
        <w:contextualSpacing/>
        <w:rPr>
          <w:rFonts w:ascii="Times New Roman" w:eastAsia="Times New Roman" w:hAnsi="Times New Roman" w:cs="Times New Roman"/>
          <w:sz w:val="24"/>
          <w:szCs w:val="24"/>
        </w:rPr>
      </w:pP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opt</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xml:space="preserve"> × (3÷3 + M÷</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w:t>
      </w:r>
    </w:p>
    <w:p w:rsidR="00746C0C" w:rsidRDefault="003D327B" w:rsidP="00DD5F77">
      <w:pPr>
        <w:autoSpaceDE w:val="0"/>
        <w:autoSpaceDN w:val="0"/>
        <w:adjustRightInd w:val="0"/>
        <w:spacing w:after="0" w:line="360" w:lineRule="auto"/>
        <w:contextualSpacing/>
        <w:jc w:val="both"/>
        <w:rPr>
          <w:rFonts w:ascii="Times New Roman" w:eastAsia="Times New Roman" w:hAnsi="Times New Roman" w:cs="Times New Roman"/>
          <w:b/>
          <w:bCs/>
          <w:sz w:val="24"/>
          <w:szCs w:val="24"/>
        </w:rPr>
      </w:pPr>
      <w:r w:rsidRPr="00515572">
        <w:rPr>
          <w:rFonts w:ascii="Times New Roman" w:eastAsia="Times New Roman" w:hAnsi="Times New Roman" w:cs="Times New Roman"/>
          <w:b/>
          <w:bCs/>
          <w:sz w:val="24"/>
          <w:szCs w:val="24"/>
        </w:rPr>
        <w:t xml:space="preserve">Data </w:t>
      </w:r>
      <w:r w:rsidRPr="00027516">
        <w:rPr>
          <w:rFonts w:ascii="Times New Roman" w:eastAsia="Calibri" w:hAnsi="Times New Roman" w:cs="Times New Roman"/>
          <w:b/>
          <w:bCs/>
          <w:color w:val="000000"/>
          <w:sz w:val="24"/>
          <w:szCs w:val="24"/>
        </w:rPr>
        <w:t>Analysis</w:t>
      </w:r>
      <w:r w:rsidR="00746C0C">
        <w:rPr>
          <w:rFonts w:ascii="Times New Roman" w:eastAsia="Times New Roman" w:hAnsi="Times New Roman" w:cs="Times New Roman"/>
          <w:b/>
          <w:bCs/>
          <w:sz w:val="24"/>
          <w:szCs w:val="24"/>
        </w:rPr>
        <w:t>:</w:t>
      </w:r>
    </w:p>
    <w:p w:rsidR="004E18F9" w:rsidRPr="00583CC4" w:rsidRDefault="003D327B" w:rsidP="00DD5F77">
      <w:pPr>
        <w:autoSpaceDE w:val="0"/>
        <w:autoSpaceDN w:val="0"/>
        <w:adjustRightInd w:val="0"/>
        <w:spacing w:after="0" w:line="360" w:lineRule="auto"/>
        <w:contextualSpacing/>
        <w:jc w:val="both"/>
        <w:rPr>
          <w:rFonts w:ascii="Times New Roman" w:eastAsia="Times New Roman" w:hAnsi="Times New Roman" w:cs="Times New Roman"/>
          <w:b/>
          <w:bCs/>
          <w:color w:val="FF0000"/>
          <w:sz w:val="24"/>
          <w:szCs w:val="24"/>
        </w:rPr>
      </w:pPr>
      <w:r w:rsidRPr="00515572">
        <w:rPr>
          <w:rFonts w:ascii="Times New Roman" w:eastAsia="Times New Roman" w:hAnsi="Times New Roman" w:cs="Times New Roman"/>
          <w:sz w:val="24"/>
          <w:szCs w:val="24"/>
        </w:rPr>
        <w:t xml:space="preserve">Length-weight relationships were analyzed in Microsoft Excel, while population parameters were estimated using FiSAT </w:t>
      </w:r>
      <w:r w:rsidRPr="00583CC4">
        <w:rPr>
          <w:rFonts w:ascii="Times New Roman" w:eastAsia="Times New Roman" w:hAnsi="Times New Roman" w:cs="Times New Roman"/>
          <w:color w:val="FF0000"/>
          <w:sz w:val="24"/>
          <w:szCs w:val="24"/>
        </w:rPr>
        <w:t xml:space="preserve">(Gayanilo </w:t>
      </w:r>
      <w:r w:rsidRPr="00583CC4">
        <w:rPr>
          <w:rFonts w:ascii="Times New Roman" w:eastAsia="Times New Roman" w:hAnsi="Times New Roman" w:cs="Times New Roman"/>
          <w:i/>
          <w:color w:val="FF0000"/>
          <w:sz w:val="24"/>
          <w:szCs w:val="24"/>
        </w:rPr>
        <w:t>et al</w:t>
      </w:r>
      <w:r w:rsidRPr="00583CC4">
        <w:rPr>
          <w:rFonts w:ascii="Times New Roman" w:eastAsia="Times New Roman" w:hAnsi="Times New Roman" w:cs="Times New Roman"/>
          <w:color w:val="FF0000"/>
          <w:sz w:val="24"/>
          <w:szCs w:val="24"/>
        </w:rPr>
        <w:t>., 1996; Pauly &amp; Morgan, 1987).</w:t>
      </w:r>
    </w:p>
    <w:p w:rsidR="003D327B" w:rsidRPr="004E18F9" w:rsidRDefault="003D327B" w:rsidP="00DD5F77">
      <w:pPr>
        <w:autoSpaceDE w:val="0"/>
        <w:autoSpaceDN w:val="0"/>
        <w:adjustRightInd w:val="0"/>
        <w:spacing w:after="0" w:line="360" w:lineRule="auto"/>
        <w:contextualSpacing/>
        <w:jc w:val="both"/>
        <w:rPr>
          <w:rFonts w:ascii="Times New Roman" w:eastAsia="Times New Roman" w:hAnsi="Times New Roman" w:cs="Times New Roman"/>
          <w:b/>
          <w:bCs/>
          <w:sz w:val="24"/>
          <w:szCs w:val="24"/>
        </w:rPr>
      </w:pPr>
      <w:r w:rsidRPr="00027516">
        <w:rPr>
          <w:rFonts w:ascii="Times New Roman" w:eastAsia="Calibri" w:hAnsi="Times New Roman" w:cs="Times New Roman"/>
          <w:b/>
          <w:bCs/>
          <w:color w:val="000000"/>
          <w:sz w:val="24"/>
          <w:szCs w:val="24"/>
        </w:rPr>
        <w:t>Results</w:t>
      </w:r>
    </w:p>
    <w:p w:rsidR="003D327B" w:rsidRPr="00515572" w:rsidRDefault="003D327B" w:rsidP="000D7EF7">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027516">
        <w:rPr>
          <w:rFonts w:ascii="Times New Roman" w:eastAsia="Calibri" w:hAnsi="Times New Roman" w:cs="Times New Roman"/>
          <w:b/>
          <w:bCs/>
          <w:color w:val="000000"/>
          <w:sz w:val="24"/>
          <w:szCs w:val="24"/>
        </w:rPr>
        <w:t>Fish</w:t>
      </w:r>
      <w:r w:rsidRPr="00515572">
        <w:rPr>
          <w:rFonts w:ascii="Times New Roman" w:eastAsia="Times New Roman" w:hAnsi="Times New Roman" w:cs="Times New Roman"/>
          <w:b/>
          <w:bCs/>
          <w:sz w:val="24"/>
          <w:szCs w:val="24"/>
        </w:rPr>
        <w:t xml:space="preserve"> size: </w:t>
      </w:r>
      <w:r w:rsidRPr="00515572">
        <w:rPr>
          <w:rFonts w:ascii="Times New Roman" w:eastAsia="Times New Roman" w:hAnsi="Times New Roman" w:cs="Times New Roman"/>
          <w:sz w:val="24"/>
          <w:szCs w:val="24"/>
        </w:rPr>
        <w:t xml:space="preserve">A total of 675 specimens of </w:t>
      </w:r>
      <w:r w:rsidRPr="00515572">
        <w:rPr>
          <w:rFonts w:ascii="Times New Roman" w:eastAsia="Times New Roman" w:hAnsi="Times New Roman" w:cs="Times New Roman"/>
          <w:i/>
          <w:iCs/>
          <w:sz w:val="24"/>
          <w:szCs w:val="24"/>
        </w:rPr>
        <w:t>Hydrocynus forskahlii</w:t>
      </w:r>
      <w:r w:rsidRPr="00515572">
        <w:rPr>
          <w:rFonts w:ascii="Times New Roman" w:eastAsia="Times New Roman" w:hAnsi="Times New Roman" w:cs="Times New Roman"/>
          <w:sz w:val="24"/>
          <w:szCs w:val="24"/>
        </w:rPr>
        <w:t xml:space="preserve"> were collected monthly from four sites between November 2021 and October 2022. The total length of the specimens ranged from 14.3 cm to 57 cm, with a mean length of 30.599 ± 10.167 cm.</w:t>
      </w:r>
    </w:p>
    <w:p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027516">
        <w:rPr>
          <w:rFonts w:ascii="Times New Roman" w:eastAsia="Calibri" w:hAnsi="Times New Roman" w:cs="Times New Roman"/>
          <w:b/>
          <w:bCs/>
          <w:color w:val="000000"/>
          <w:sz w:val="24"/>
          <w:szCs w:val="24"/>
        </w:rPr>
        <w:t>Growth</w:t>
      </w:r>
      <w:r w:rsidRPr="00515572">
        <w:rPr>
          <w:rFonts w:ascii="Times New Roman" w:eastAsia="Times New Roman" w:hAnsi="Times New Roman" w:cs="Times New Roman"/>
          <w:b/>
          <w:bCs/>
          <w:sz w:val="24"/>
          <w:szCs w:val="24"/>
        </w:rPr>
        <w:t xml:space="preserve"> Parameters: </w:t>
      </w:r>
      <w:r w:rsidRPr="00515572">
        <w:rPr>
          <w:rFonts w:ascii="Times New Roman" w:eastAsia="Times New Roman" w:hAnsi="Times New Roman" w:cs="Times New Roman"/>
          <w:sz w:val="24"/>
          <w:szCs w:val="24"/>
        </w:rPr>
        <w:t>Length-frequency analysis, conducted using the ELEFAN module in FiSAT, provided growth parameters based on the von Bertalanffy growth function (VBGF). The estimated asymptotic length (</w:t>
      </w:r>
      <w:r w:rsidRPr="000D7EF7">
        <w:rPr>
          <w:rFonts w:ascii="Times New Roman" w:eastAsia="Times New Roman" w:hAnsi="Times New Roman" w:cs="Times New Roman"/>
          <w:i/>
          <w:iCs/>
          <w:sz w:val="24"/>
          <w:szCs w:val="24"/>
        </w:rPr>
        <w:t>L</w:t>
      </w:r>
      <w:r w:rsidRPr="00515572">
        <w:rPr>
          <w:rFonts w:ascii="Times New Roman" w:eastAsia="Times New Roman" w:hAnsi="Times New Roman" w:cs="Times New Roman"/>
          <w:sz w:val="24"/>
          <w:szCs w:val="24"/>
          <w:vertAlign w:val="subscript"/>
        </w:rPr>
        <w:t>∞</w:t>
      </w:r>
      <w:r w:rsidRPr="00515572">
        <w:rPr>
          <w:rFonts w:ascii="Times New Roman" w:eastAsia="Times New Roman" w:hAnsi="Times New Roman" w:cs="Times New Roman"/>
          <w:sz w:val="24"/>
          <w:szCs w:val="24"/>
        </w:rPr>
        <w:t>) was 58.8 cm, with a growth coefficient (K) of 0.260 yr</w:t>
      </w:r>
      <w:r w:rsidR="000D7EF7">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⁻¹ and a theoretical age at zero length (t</w:t>
      </w:r>
      <w:r w:rsidRPr="00515572">
        <w:rPr>
          <w:rFonts w:ascii="Times New Roman" w:eastAsia="Times New Roman" w:hAnsi="Times New Roman" w:cs="Times New Roman"/>
          <w:sz w:val="24"/>
          <w:szCs w:val="24"/>
          <w:vertAlign w:val="subscript"/>
        </w:rPr>
        <w:t>0</w:t>
      </w:r>
      <w:r w:rsidRPr="00515572">
        <w:rPr>
          <w:rFonts w:ascii="Times New Roman" w:eastAsia="Times New Roman" w:hAnsi="Times New Roman" w:cs="Times New Roman"/>
          <w:sz w:val="24"/>
          <w:szCs w:val="24"/>
        </w:rPr>
        <w:t xml:space="preserve"> of -0.273 years. The VBGF equation for H. forskahlii was:</w:t>
      </w:r>
    </w:p>
    <w:p w:rsidR="003D327B" w:rsidRPr="00515572" w:rsidRDefault="003D327B" w:rsidP="000D7EF7">
      <w:pPr>
        <w:spacing w:after="0" w:line="360" w:lineRule="auto"/>
        <w:contextualSpacing/>
        <w:jc w:val="center"/>
        <w:rPr>
          <w:rFonts w:ascii="Times New Roman" w:eastAsia="Times New Roman" w:hAnsi="Times New Roman" w:cs="Times New Roman"/>
          <w:sz w:val="24"/>
          <w:szCs w:val="24"/>
        </w:rPr>
      </w:pPr>
      <w:r w:rsidRPr="000D7EF7">
        <w:rPr>
          <w:rFonts w:ascii="Times New Roman" w:eastAsia="Times New Roman" w:hAnsi="Times New Roman" w:cs="Times New Roman"/>
          <w:i/>
          <w:iCs/>
          <w:sz w:val="24"/>
          <w:szCs w:val="24"/>
        </w:rPr>
        <w:t>L</w:t>
      </w:r>
      <w:r w:rsidRPr="000D7EF7">
        <w:rPr>
          <w:rFonts w:ascii="Times New Roman" w:eastAsia="Times New Roman" w:hAnsi="Times New Roman" w:cs="Times New Roman"/>
          <w:i/>
          <w:iCs/>
          <w:sz w:val="24"/>
          <w:szCs w:val="24"/>
          <w:vertAlign w:val="subscript"/>
        </w:rPr>
        <w:t>t</w:t>
      </w:r>
      <w:r w:rsidRPr="00515572">
        <w:rPr>
          <w:rFonts w:ascii="Times New Roman" w:eastAsia="Times New Roman" w:hAnsi="Times New Roman" w:cs="Times New Roman"/>
          <w:sz w:val="24"/>
          <w:szCs w:val="24"/>
        </w:rPr>
        <w:t xml:space="preserve"> = 58.8×(1−e</w:t>
      </w:r>
      <w:r w:rsidRPr="00515572">
        <w:rPr>
          <w:rFonts w:ascii="Times New Roman" w:eastAsia="Times New Roman" w:hAnsi="Times New Roman" w:cs="Times New Roman"/>
          <w:sz w:val="24"/>
          <w:szCs w:val="24"/>
          <w:vertAlign w:val="superscript"/>
        </w:rPr>
        <w:t>−0.26(t+0.272)</w:t>
      </w:r>
      <w:r w:rsidRPr="00515572">
        <w:rPr>
          <w:rFonts w:ascii="Times New Roman" w:eastAsia="Times New Roman" w:hAnsi="Times New Roman" w:cs="Times New Roman"/>
          <w:sz w:val="24"/>
          <w:szCs w:val="24"/>
        </w:rPr>
        <w:t>)</w:t>
      </w:r>
    </w:p>
    <w:p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This growth curve is illustrated in Fig. </w:t>
      </w:r>
      <w:r w:rsidR="007616A0">
        <w:rPr>
          <w:rFonts w:ascii="Times New Roman" w:eastAsia="Times New Roman" w:hAnsi="Times New Roman" w:cs="Times New Roman"/>
          <w:sz w:val="24"/>
          <w:szCs w:val="24"/>
        </w:rPr>
        <w:t>2</w:t>
      </w:r>
      <w:r w:rsidRPr="00515572">
        <w:rPr>
          <w:rFonts w:ascii="Times New Roman" w:eastAsia="Times New Roman" w:hAnsi="Times New Roman" w:cs="Times New Roman"/>
          <w:sz w:val="24"/>
          <w:szCs w:val="24"/>
        </w:rPr>
        <w:t xml:space="preserve"> and summarized in Table 3.</w:t>
      </w:r>
    </w:p>
    <w:p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p>
    <w:p w:rsidR="003D327B" w:rsidRPr="00515572" w:rsidRDefault="003D327B" w:rsidP="00DD5F77">
      <w:pPr>
        <w:spacing w:after="0" w:line="360" w:lineRule="auto"/>
        <w:contextualSpacing/>
        <w:jc w:val="center"/>
        <w:rPr>
          <w:rFonts w:ascii="Times New Roman" w:eastAsia="Calibri" w:hAnsi="Times New Roman" w:cs="Times New Roman"/>
          <w:sz w:val="24"/>
          <w:szCs w:val="24"/>
        </w:rPr>
      </w:pPr>
      <w:r w:rsidRPr="00515572">
        <w:rPr>
          <w:rFonts w:ascii="Times New Roman" w:eastAsia="Times New Roman" w:hAnsi="Times New Roman" w:cs="Times New Roman"/>
          <w:noProof/>
          <w:sz w:val="24"/>
          <w:szCs w:val="24"/>
        </w:rPr>
        <w:drawing>
          <wp:inline distT="0" distB="0" distL="0" distR="0">
            <wp:extent cx="5723255" cy="2610485"/>
            <wp:effectExtent l="0" t="0" r="0" b="0"/>
            <wp:docPr id="3" name="صورة 3" descr="C:\Users\ALRAWA~1\AppData\Local\Temp\ksohtml2241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LRAWA~1\AppData\Local\Temp\ksohtml22412\wps2.jpg"/>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23255" cy="2610485"/>
                    </a:xfrm>
                    <a:prstGeom prst="rect">
                      <a:avLst/>
                    </a:prstGeom>
                    <a:noFill/>
                    <a:ln>
                      <a:noFill/>
                    </a:ln>
                  </pic:spPr>
                </pic:pic>
              </a:graphicData>
            </a:graphic>
          </wp:inline>
        </w:drawing>
      </w:r>
    </w:p>
    <w:p w:rsidR="003D327B" w:rsidRPr="007616A0" w:rsidRDefault="003D327B" w:rsidP="00DD5F77">
      <w:pPr>
        <w:spacing w:after="0" w:line="360" w:lineRule="auto"/>
        <w:contextualSpacing/>
        <w:jc w:val="both"/>
        <w:rPr>
          <w:rFonts w:ascii="Times New Roman" w:eastAsia="Calibri" w:hAnsi="Times New Roman" w:cs="Times New Roman"/>
          <w:b/>
          <w:sz w:val="24"/>
          <w:szCs w:val="24"/>
        </w:rPr>
      </w:pPr>
      <w:r w:rsidRPr="007616A0">
        <w:rPr>
          <w:rFonts w:ascii="Times New Roman" w:eastAsia="Calibri" w:hAnsi="Times New Roman" w:cs="Times New Roman"/>
          <w:b/>
          <w:sz w:val="24"/>
          <w:szCs w:val="24"/>
        </w:rPr>
        <w:t xml:space="preserve">Fig. </w:t>
      </w:r>
      <w:r w:rsidR="007616A0" w:rsidRPr="007616A0">
        <w:rPr>
          <w:rFonts w:ascii="Times New Roman" w:eastAsia="Calibri" w:hAnsi="Times New Roman" w:cs="Times New Roman"/>
          <w:b/>
          <w:sz w:val="24"/>
          <w:szCs w:val="24"/>
        </w:rPr>
        <w:t>2</w:t>
      </w:r>
      <w:r w:rsidRPr="007616A0">
        <w:rPr>
          <w:rFonts w:ascii="Times New Roman" w:eastAsia="Calibri" w:hAnsi="Times New Roman" w:cs="Times New Roman"/>
          <w:b/>
          <w:sz w:val="24"/>
          <w:szCs w:val="24"/>
        </w:rPr>
        <w:t>. Von Bertalanffy growth curve for H. forskahlii in Roseires Reservoir.</w:t>
      </w:r>
    </w:p>
    <w:p w:rsidR="003D327B" w:rsidRPr="00515572" w:rsidRDefault="003D327B" w:rsidP="00DD5F77">
      <w:pPr>
        <w:autoSpaceDE w:val="0"/>
        <w:autoSpaceDN w:val="0"/>
        <w:adjustRightInd w:val="0"/>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b/>
          <w:bCs/>
          <w:sz w:val="24"/>
          <w:szCs w:val="24"/>
        </w:rPr>
        <w:lastRenderedPageBreak/>
        <w:t xml:space="preserve">The </w:t>
      </w:r>
      <w:r w:rsidRPr="00027516">
        <w:rPr>
          <w:rFonts w:ascii="Times New Roman" w:eastAsia="Calibri" w:hAnsi="Times New Roman" w:cs="Times New Roman"/>
          <w:b/>
          <w:bCs/>
          <w:color w:val="000000"/>
          <w:sz w:val="24"/>
          <w:szCs w:val="24"/>
        </w:rPr>
        <w:t>length</w:t>
      </w:r>
      <w:r w:rsidRPr="00515572">
        <w:rPr>
          <w:rFonts w:ascii="Times New Roman" w:eastAsia="Calibri" w:hAnsi="Times New Roman" w:cs="Times New Roman"/>
          <w:b/>
          <w:bCs/>
          <w:sz w:val="24"/>
          <w:szCs w:val="24"/>
        </w:rPr>
        <w:t>-weight relationship</w:t>
      </w:r>
      <w:r w:rsidRPr="00515572">
        <w:rPr>
          <w:rFonts w:ascii="Times New Roman" w:eastAsia="Calibri" w:hAnsi="Times New Roman" w:cs="Times New Roman"/>
          <w:sz w:val="24"/>
          <w:szCs w:val="24"/>
        </w:rPr>
        <w:t xml:space="preserve"> of </w:t>
      </w:r>
      <w:r w:rsidRPr="00515572">
        <w:rPr>
          <w:rFonts w:ascii="Times New Roman" w:eastAsia="Calibri" w:hAnsi="Times New Roman" w:cs="Times New Roman"/>
          <w:i/>
          <w:iCs/>
          <w:sz w:val="24"/>
          <w:szCs w:val="24"/>
        </w:rPr>
        <w:t>H. forskahlii</w:t>
      </w:r>
      <w:r w:rsidRPr="00515572">
        <w:rPr>
          <w:rFonts w:ascii="Times New Roman" w:eastAsia="Calibri" w:hAnsi="Times New Roman" w:cs="Times New Roman"/>
          <w:sz w:val="24"/>
          <w:szCs w:val="24"/>
        </w:rPr>
        <w:t xml:space="preserve"> showed a strong correlation (</w:t>
      </w:r>
      <w:r w:rsidRPr="00515572">
        <w:rPr>
          <w:rFonts w:ascii="Times New Roman" w:eastAsia="Calibri" w:hAnsi="Times New Roman" w:cs="Times New Roman"/>
          <w:i/>
          <w:iCs/>
          <w:sz w:val="24"/>
          <w:szCs w:val="24"/>
        </w:rPr>
        <w:t>r =</w:t>
      </w:r>
      <w:r w:rsidRPr="00515572">
        <w:rPr>
          <w:rFonts w:ascii="Times New Roman" w:eastAsia="Calibri" w:hAnsi="Times New Roman" w:cs="Times New Roman"/>
          <w:sz w:val="24"/>
          <w:szCs w:val="24"/>
        </w:rPr>
        <w:t xml:space="preserve"> 0.786). This relationship indicates a negative allometric growth pattern, characterized by a b-value</w:t>
      </w:r>
      <w:r w:rsidR="007616A0">
        <w:rPr>
          <w:rFonts w:ascii="Times New Roman" w:eastAsia="Calibri" w:hAnsi="Times New Roman" w:cs="Times New Roman"/>
          <w:sz w:val="24"/>
          <w:szCs w:val="24"/>
        </w:rPr>
        <w:t xml:space="preserve"> of 2.553, as depicted in Fig. 3</w:t>
      </w:r>
      <w:r w:rsidRPr="00515572">
        <w:rPr>
          <w:rFonts w:ascii="Times New Roman" w:eastAsia="Calibri" w:hAnsi="Times New Roman" w:cs="Times New Roman"/>
          <w:sz w:val="24"/>
          <w:szCs w:val="24"/>
        </w:rPr>
        <w:t>.</w:t>
      </w:r>
    </w:p>
    <w:p w:rsidR="003D327B" w:rsidRPr="00515572" w:rsidRDefault="003D327B" w:rsidP="00DD5F77">
      <w:pPr>
        <w:spacing w:after="0" w:line="360" w:lineRule="auto"/>
        <w:contextualSpacing/>
        <w:jc w:val="center"/>
        <w:rPr>
          <w:rFonts w:ascii="Times New Roman" w:eastAsia="Calibri" w:hAnsi="Times New Roman" w:cs="Times New Roman"/>
          <w:sz w:val="24"/>
          <w:szCs w:val="24"/>
        </w:rPr>
      </w:pPr>
      <w:r w:rsidRPr="00515572">
        <w:rPr>
          <w:rFonts w:ascii="Times New Roman" w:eastAsia="Times New Roman" w:hAnsi="Times New Roman" w:cs="Times New Roman"/>
          <w:noProof/>
          <w:sz w:val="24"/>
          <w:szCs w:val="24"/>
        </w:rPr>
        <w:drawing>
          <wp:inline distT="0" distB="0" distL="0" distR="0">
            <wp:extent cx="4580255" cy="2751455"/>
            <wp:effectExtent l="0" t="0" r="0" b="0"/>
            <wp:docPr id="4" name="صورة 4" descr="C:\Users\ALRAWA~1\AppData\Local\Temp\ksohtml22412\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LRAWA~1\AppData\Local\Temp\ksohtml22412\wps3.jpg"/>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0255" cy="2751455"/>
                    </a:xfrm>
                    <a:prstGeom prst="rect">
                      <a:avLst/>
                    </a:prstGeom>
                    <a:noFill/>
                    <a:ln>
                      <a:noFill/>
                    </a:ln>
                  </pic:spPr>
                </pic:pic>
              </a:graphicData>
            </a:graphic>
          </wp:inline>
        </w:drawing>
      </w:r>
    </w:p>
    <w:p w:rsidR="003D327B" w:rsidRPr="007616A0" w:rsidRDefault="003D327B" w:rsidP="000D7EF7">
      <w:pPr>
        <w:spacing w:after="0" w:line="360" w:lineRule="auto"/>
        <w:contextualSpacing/>
        <w:jc w:val="both"/>
        <w:rPr>
          <w:rFonts w:ascii="Times New Roman" w:eastAsia="Calibri" w:hAnsi="Times New Roman" w:cs="Times New Roman"/>
          <w:b/>
          <w:sz w:val="24"/>
          <w:szCs w:val="24"/>
        </w:rPr>
      </w:pPr>
      <w:r w:rsidRPr="007616A0">
        <w:rPr>
          <w:rFonts w:ascii="Times New Roman" w:eastAsia="Calibri" w:hAnsi="Times New Roman" w:cs="Times New Roman"/>
          <w:b/>
          <w:sz w:val="24"/>
          <w:szCs w:val="24"/>
        </w:rPr>
        <w:t xml:space="preserve">Fig. </w:t>
      </w:r>
      <w:r w:rsidR="007616A0" w:rsidRPr="007616A0">
        <w:rPr>
          <w:rFonts w:ascii="Times New Roman" w:eastAsia="Calibri" w:hAnsi="Times New Roman" w:cs="Times New Roman"/>
          <w:b/>
          <w:sz w:val="24"/>
          <w:szCs w:val="24"/>
        </w:rPr>
        <w:t>3</w:t>
      </w:r>
      <w:r w:rsidRPr="007616A0">
        <w:rPr>
          <w:rFonts w:ascii="Times New Roman" w:eastAsia="Calibri" w:hAnsi="Times New Roman" w:cs="Times New Roman"/>
          <w:b/>
          <w:sz w:val="24"/>
          <w:szCs w:val="24"/>
        </w:rPr>
        <w:t xml:space="preserve">. </w:t>
      </w:r>
      <w:r w:rsidR="000D7EF7">
        <w:rPr>
          <w:rFonts w:ascii="Times New Roman" w:eastAsia="Calibri" w:hAnsi="Times New Roman" w:cs="Times New Roman"/>
          <w:b/>
          <w:sz w:val="24"/>
          <w:szCs w:val="24"/>
        </w:rPr>
        <w:t>Length-weight</w:t>
      </w:r>
      <w:r w:rsidRPr="007616A0">
        <w:rPr>
          <w:rFonts w:ascii="Times New Roman" w:eastAsia="Calibri" w:hAnsi="Times New Roman" w:cs="Times New Roman"/>
          <w:b/>
          <w:sz w:val="24"/>
          <w:szCs w:val="24"/>
        </w:rPr>
        <w:t xml:space="preserve"> relationship of </w:t>
      </w:r>
      <w:r w:rsidRPr="007616A0">
        <w:rPr>
          <w:rFonts w:ascii="Times New Roman" w:eastAsia="Calibri" w:hAnsi="Times New Roman" w:cs="Times New Roman"/>
          <w:b/>
          <w:i/>
          <w:iCs/>
          <w:sz w:val="24"/>
          <w:szCs w:val="24"/>
        </w:rPr>
        <w:t xml:space="preserve">H. forskahlii </w:t>
      </w:r>
      <w:r w:rsidR="00D85C9B">
        <w:rPr>
          <w:rFonts w:ascii="Times New Roman" w:eastAsia="Calibri" w:hAnsi="Times New Roman" w:cs="Times New Roman"/>
          <w:b/>
          <w:sz w:val="24"/>
          <w:szCs w:val="24"/>
        </w:rPr>
        <w:t>in Roseir</w:t>
      </w:r>
      <w:r w:rsidRPr="007616A0">
        <w:rPr>
          <w:rFonts w:ascii="Times New Roman" w:eastAsia="Calibri" w:hAnsi="Times New Roman" w:cs="Times New Roman"/>
          <w:b/>
          <w:sz w:val="24"/>
          <w:szCs w:val="24"/>
        </w:rPr>
        <w:t>es reservoir.</w:t>
      </w:r>
    </w:p>
    <w:p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027516">
        <w:rPr>
          <w:rFonts w:ascii="Times New Roman" w:eastAsia="Calibri" w:hAnsi="Times New Roman" w:cs="Times New Roman"/>
          <w:b/>
          <w:bCs/>
          <w:color w:val="000000"/>
          <w:sz w:val="24"/>
          <w:szCs w:val="24"/>
        </w:rPr>
        <w:t>Mortality</w:t>
      </w:r>
      <w:r w:rsidRPr="00515572">
        <w:rPr>
          <w:rFonts w:ascii="Times New Roman" w:eastAsia="Times New Roman" w:hAnsi="Times New Roman" w:cs="Times New Roman"/>
          <w:b/>
          <w:bCs/>
          <w:sz w:val="24"/>
          <w:szCs w:val="24"/>
        </w:rPr>
        <w:t xml:space="preserve"> and Exploitation Rates:</w:t>
      </w:r>
      <w:r w:rsidRPr="00515572">
        <w:rPr>
          <w:rFonts w:ascii="Times New Roman" w:eastAsia="Times New Roman" w:hAnsi="Times New Roman" w:cs="Times New Roman"/>
          <w:sz w:val="24"/>
          <w:szCs w:val="24"/>
        </w:rPr>
        <w:t xml:space="preserve"> Mortality parameters were estimated as follows:</w:t>
      </w:r>
    </w:p>
    <w:p w:rsidR="003D327B" w:rsidRPr="000D7EF7" w:rsidRDefault="003D327B" w:rsidP="000D7EF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Total mortality (Z): 0.69 yr</w:t>
      </w:r>
      <w:r w:rsidR="000D7EF7">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⁻¹</w:t>
      </w:r>
      <w:r w:rsidR="000D7EF7">
        <w:rPr>
          <w:rFonts w:ascii="Times New Roman" w:eastAsia="Times New Roman" w:hAnsi="Times New Roman" w:cs="Times New Roman"/>
          <w:sz w:val="24"/>
          <w:szCs w:val="24"/>
        </w:rPr>
        <w:t>.</w:t>
      </w:r>
    </w:p>
    <w:p w:rsidR="003D327B" w:rsidRPr="00515572" w:rsidRDefault="003D327B" w:rsidP="000D7EF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Natural mortality (M): 0.58 </w:t>
      </w:r>
      <w:r w:rsidR="000D7EF7" w:rsidRPr="00515572">
        <w:rPr>
          <w:rFonts w:ascii="Times New Roman" w:eastAsia="Times New Roman" w:hAnsi="Times New Roman" w:cs="Times New Roman"/>
          <w:sz w:val="24"/>
          <w:szCs w:val="24"/>
        </w:rPr>
        <w:t>yr</w:t>
      </w:r>
      <w:r w:rsidR="000D7EF7">
        <w:rPr>
          <w:rFonts w:ascii="Times New Roman" w:eastAsia="Times New Roman" w:hAnsi="Times New Roman" w:cs="Times New Roman"/>
          <w:sz w:val="24"/>
          <w:szCs w:val="24"/>
        </w:rPr>
        <w:t>.</w:t>
      </w:r>
      <w:r w:rsidR="000D7EF7" w:rsidRPr="00515572">
        <w:rPr>
          <w:rFonts w:ascii="Times New Roman" w:eastAsia="Times New Roman" w:hAnsi="Times New Roman" w:cs="Times New Roman"/>
          <w:sz w:val="24"/>
          <w:szCs w:val="24"/>
        </w:rPr>
        <w:t>⁻¹</w:t>
      </w:r>
      <w:r w:rsidR="000D7EF7">
        <w:rPr>
          <w:rFonts w:ascii="Times New Roman" w:eastAsia="Times New Roman" w:hAnsi="Times New Roman" w:cs="Times New Roman"/>
          <w:sz w:val="24"/>
          <w:szCs w:val="24"/>
        </w:rPr>
        <w:t>.</w:t>
      </w:r>
    </w:p>
    <w:p w:rsidR="003D327B" w:rsidRPr="00515572" w:rsidRDefault="003D327B" w:rsidP="000D7EF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Fishing mortality (F): 0.11 </w:t>
      </w:r>
      <w:r w:rsidR="000D7EF7" w:rsidRPr="00515572">
        <w:rPr>
          <w:rFonts w:ascii="Times New Roman" w:eastAsia="Times New Roman" w:hAnsi="Times New Roman" w:cs="Times New Roman"/>
          <w:sz w:val="24"/>
          <w:szCs w:val="24"/>
        </w:rPr>
        <w:t>yr</w:t>
      </w:r>
      <w:r w:rsidR="000D7EF7">
        <w:rPr>
          <w:rFonts w:ascii="Times New Roman" w:eastAsia="Times New Roman" w:hAnsi="Times New Roman" w:cs="Times New Roman"/>
          <w:sz w:val="24"/>
          <w:szCs w:val="24"/>
        </w:rPr>
        <w:t>.</w:t>
      </w:r>
      <w:r w:rsidR="000D7EF7" w:rsidRPr="00515572">
        <w:rPr>
          <w:rFonts w:ascii="Times New Roman" w:eastAsia="Times New Roman" w:hAnsi="Times New Roman" w:cs="Times New Roman"/>
          <w:sz w:val="24"/>
          <w:szCs w:val="24"/>
        </w:rPr>
        <w:t>⁻¹</w:t>
      </w:r>
      <w:r w:rsidR="000D7EF7">
        <w:rPr>
          <w:rFonts w:ascii="Times New Roman" w:eastAsia="Times New Roman" w:hAnsi="Times New Roman" w:cs="Times New Roman"/>
          <w:sz w:val="24"/>
          <w:szCs w:val="24"/>
        </w:rPr>
        <w:t>.</w:t>
      </w:r>
    </w:p>
    <w:p w:rsidR="00A33BF8" w:rsidRDefault="003D327B" w:rsidP="000D7EF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E</w:t>
      </w:r>
      <w:r w:rsidR="00A33BF8">
        <w:rPr>
          <w:rFonts w:ascii="Times New Roman" w:eastAsia="Times New Roman" w:hAnsi="Times New Roman" w:cs="Times New Roman"/>
          <w:sz w:val="24"/>
          <w:szCs w:val="24"/>
        </w:rPr>
        <w:t xml:space="preserve">xploitation rate (E): 0.17 </w:t>
      </w:r>
      <w:r w:rsidR="000D7EF7" w:rsidRPr="00515572">
        <w:rPr>
          <w:rFonts w:ascii="Times New Roman" w:eastAsia="Times New Roman" w:hAnsi="Times New Roman" w:cs="Times New Roman"/>
          <w:sz w:val="24"/>
          <w:szCs w:val="24"/>
        </w:rPr>
        <w:t>yr</w:t>
      </w:r>
      <w:r w:rsidR="000D7EF7">
        <w:rPr>
          <w:rFonts w:ascii="Times New Roman" w:eastAsia="Times New Roman" w:hAnsi="Times New Roman" w:cs="Times New Roman"/>
          <w:sz w:val="24"/>
          <w:szCs w:val="24"/>
        </w:rPr>
        <w:t>.</w:t>
      </w:r>
      <w:r w:rsidR="000D7EF7" w:rsidRPr="00515572">
        <w:rPr>
          <w:rFonts w:ascii="Times New Roman" w:eastAsia="Times New Roman" w:hAnsi="Times New Roman" w:cs="Times New Roman"/>
          <w:sz w:val="24"/>
          <w:szCs w:val="24"/>
        </w:rPr>
        <w:t>⁻¹</w:t>
      </w:r>
      <w:r w:rsidR="000D7EF7">
        <w:rPr>
          <w:rFonts w:ascii="Times New Roman" w:eastAsia="Times New Roman" w:hAnsi="Times New Roman" w:cs="Times New Roman"/>
          <w:sz w:val="24"/>
          <w:szCs w:val="24"/>
        </w:rPr>
        <w:t>.</w:t>
      </w:r>
    </w:p>
    <w:p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A33BF8">
        <w:rPr>
          <w:rFonts w:ascii="Times New Roman" w:eastAsia="Times New Roman" w:hAnsi="Times New Roman" w:cs="Times New Roman"/>
          <w:b/>
          <w:sz w:val="24"/>
          <w:szCs w:val="24"/>
        </w:rPr>
        <w:t>The growth performance index (</w:t>
      </w:r>
      <w:r w:rsidRPr="00A33BF8">
        <w:rPr>
          <w:rFonts w:ascii="Times New Roman" w:eastAsia="Times New Roman" w:hAnsi="Times New Roman" w:cs="Times New Roman"/>
          <w:b/>
          <w:i/>
          <w:iCs/>
          <w:sz w:val="24"/>
          <w:szCs w:val="24"/>
        </w:rPr>
        <w:t>ϕ</w:t>
      </w:r>
      <w:r w:rsidRPr="00A33BF8">
        <w:rPr>
          <w:rFonts w:ascii="Times New Roman" w:eastAsia="Times New Roman" w:hAnsi="Times New Roman" w:cs="Times New Roman"/>
          <w:b/>
          <w:sz w:val="24"/>
          <w:szCs w:val="24"/>
        </w:rPr>
        <w:t xml:space="preserve"> ′)</w:t>
      </w:r>
      <w:r w:rsidR="00A33BF8">
        <w:rPr>
          <w:rFonts w:ascii="Times New Roman" w:eastAsia="Times New Roman" w:hAnsi="Times New Roman" w:cs="Times New Roman"/>
          <w:b/>
          <w:sz w:val="24"/>
          <w:szCs w:val="24"/>
        </w:rPr>
        <w:t>:</w:t>
      </w:r>
      <w:r w:rsidRPr="00515572">
        <w:rPr>
          <w:rFonts w:ascii="Times New Roman" w:eastAsia="Times New Roman" w:hAnsi="Times New Roman" w:cs="Times New Roman"/>
          <w:sz w:val="24"/>
          <w:szCs w:val="24"/>
        </w:rPr>
        <w:t xml:space="preserve"> was 2.954 (see Table 3). The length-converted catch curve and mortality estimates are presented in Fig. </w:t>
      </w:r>
      <w:r w:rsidR="00A33BF8">
        <w:rPr>
          <w:rFonts w:ascii="Times New Roman" w:eastAsia="Times New Roman" w:hAnsi="Times New Roman" w:cs="Times New Roman"/>
          <w:sz w:val="24"/>
          <w:szCs w:val="24"/>
        </w:rPr>
        <w:t>4</w:t>
      </w:r>
      <w:r w:rsidRPr="00515572">
        <w:rPr>
          <w:rFonts w:ascii="Times New Roman" w:eastAsia="Times New Roman" w:hAnsi="Times New Roman" w:cs="Times New Roman"/>
          <w:sz w:val="24"/>
          <w:szCs w:val="24"/>
        </w:rPr>
        <w:t>.</w:t>
      </w:r>
    </w:p>
    <w:p w:rsidR="003D327B" w:rsidRPr="00515572" w:rsidRDefault="003D327B" w:rsidP="00DD5F77">
      <w:pPr>
        <w:spacing w:after="0" w:line="360" w:lineRule="auto"/>
        <w:contextualSpacing/>
        <w:jc w:val="both"/>
        <w:rPr>
          <w:rFonts w:ascii="Times New Roman" w:eastAsia="Calibri" w:hAnsi="Times New Roman" w:cs="Times New Roman"/>
          <w:sz w:val="24"/>
          <w:szCs w:val="24"/>
        </w:rPr>
      </w:pPr>
    </w:p>
    <w:p w:rsidR="003D327B" w:rsidRPr="00515572" w:rsidRDefault="003D327B" w:rsidP="00DD5F77">
      <w:pPr>
        <w:spacing w:after="0" w:line="360" w:lineRule="auto"/>
        <w:contextualSpacing/>
        <w:jc w:val="both"/>
        <w:rPr>
          <w:rFonts w:ascii="Times New Roman" w:eastAsia="Calibri" w:hAnsi="Times New Roman" w:cs="Times New Roman"/>
          <w:sz w:val="24"/>
          <w:szCs w:val="24"/>
        </w:rPr>
      </w:pPr>
    </w:p>
    <w:p w:rsidR="003D327B" w:rsidRPr="00515572" w:rsidRDefault="003D327B" w:rsidP="00DD5F77">
      <w:pPr>
        <w:spacing w:after="0" w:line="360" w:lineRule="auto"/>
        <w:contextualSpacing/>
        <w:jc w:val="center"/>
        <w:rPr>
          <w:rFonts w:ascii="Times New Roman" w:eastAsia="Calibri" w:hAnsi="Times New Roman" w:cs="Times New Roman"/>
          <w:sz w:val="24"/>
          <w:szCs w:val="24"/>
        </w:rPr>
      </w:pPr>
      <w:r w:rsidRPr="00515572">
        <w:rPr>
          <w:rFonts w:ascii="Times New Roman" w:eastAsia="Times New Roman" w:hAnsi="Times New Roman" w:cs="Times New Roman"/>
          <w:noProof/>
          <w:sz w:val="24"/>
          <w:szCs w:val="24"/>
        </w:rPr>
        <w:lastRenderedPageBreak/>
        <w:drawing>
          <wp:inline distT="0" distB="0" distL="0" distR="0">
            <wp:extent cx="3030220" cy="2826385"/>
            <wp:effectExtent l="0" t="0" r="0" b="0"/>
            <wp:docPr id="5" name="صورة 5" descr="C:\Users\ALRAWA~1\AppData\Local\Temp\ksohtml22412\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LRAWA~1\AppData\Local\Temp\ksohtml22412\wps4.jpg"/>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0220" cy="2826385"/>
                    </a:xfrm>
                    <a:prstGeom prst="rect">
                      <a:avLst/>
                    </a:prstGeom>
                    <a:noFill/>
                    <a:ln>
                      <a:noFill/>
                    </a:ln>
                  </pic:spPr>
                </pic:pic>
              </a:graphicData>
            </a:graphic>
          </wp:inline>
        </w:drawing>
      </w:r>
    </w:p>
    <w:p w:rsidR="003D327B" w:rsidRPr="00A33BF8" w:rsidRDefault="003D327B" w:rsidP="00DD5F77">
      <w:pPr>
        <w:spacing w:after="0" w:line="360" w:lineRule="auto"/>
        <w:contextualSpacing/>
        <w:jc w:val="both"/>
        <w:rPr>
          <w:rFonts w:ascii="Times New Roman" w:eastAsia="Calibri" w:hAnsi="Times New Roman" w:cs="Times New Roman"/>
          <w:b/>
          <w:sz w:val="24"/>
          <w:szCs w:val="24"/>
        </w:rPr>
      </w:pPr>
      <w:r w:rsidRPr="00A33BF8">
        <w:rPr>
          <w:rFonts w:ascii="Times New Roman" w:eastAsia="Calibri" w:hAnsi="Times New Roman" w:cs="Times New Roman"/>
          <w:b/>
          <w:sz w:val="24"/>
          <w:szCs w:val="24"/>
        </w:rPr>
        <w:t xml:space="preserve">Fig. </w:t>
      </w:r>
      <w:r w:rsidR="00A33BF8" w:rsidRPr="00A33BF8">
        <w:rPr>
          <w:rFonts w:ascii="Times New Roman" w:eastAsia="Calibri" w:hAnsi="Times New Roman" w:cs="Times New Roman"/>
          <w:b/>
          <w:sz w:val="24"/>
          <w:szCs w:val="24"/>
        </w:rPr>
        <w:t>4</w:t>
      </w:r>
      <w:r w:rsidRPr="00A33BF8">
        <w:rPr>
          <w:rFonts w:ascii="Times New Roman" w:eastAsia="Calibri" w:hAnsi="Times New Roman" w:cs="Times New Roman"/>
          <w:b/>
          <w:sz w:val="24"/>
          <w:szCs w:val="24"/>
        </w:rPr>
        <w:t>. Von Bertalanffy growth curve (a) (</w:t>
      </w:r>
      <w:r w:rsidRPr="00A33BF8">
        <w:rPr>
          <w:rFonts w:ascii="Times New Roman" w:eastAsia="Times New Roman" w:hAnsi="Times New Roman" w:cs="Times New Roman"/>
          <w:b/>
          <w:i/>
          <w:iCs/>
          <w:sz w:val="24"/>
          <w:szCs w:val="24"/>
        </w:rPr>
        <w:t>L</w:t>
      </w:r>
      <w:r w:rsidRPr="00A33BF8">
        <w:rPr>
          <w:rFonts w:ascii="Times New Roman" w:eastAsia="Times New Roman" w:hAnsi="Times New Roman" w:cs="Times New Roman"/>
          <w:b/>
          <w:i/>
          <w:iCs/>
          <w:sz w:val="24"/>
          <w:szCs w:val="24"/>
          <w:vertAlign w:val="subscript"/>
        </w:rPr>
        <w:t>∞</w:t>
      </w:r>
      <w:r w:rsidRPr="00A33BF8">
        <w:rPr>
          <w:rFonts w:ascii="Times New Roman" w:eastAsia="Calibri" w:hAnsi="Times New Roman" w:cs="Times New Roman"/>
          <w:b/>
          <w:sz w:val="24"/>
          <w:szCs w:val="24"/>
        </w:rPr>
        <w:t>= 58.8 cm; K = 0.260 yr.</w:t>
      </w:r>
      <w:r w:rsidRPr="00A33BF8">
        <w:rPr>
          <w:rFonts w:ascii="Times New Roman" w:eastAsia="Calibri" w:hAnsi="Times New Roman" w:cs="Times New Roman"/>
          <w:b/>
          <w:sz w:val="24"/>
          <w:szCs w:val="24"/>
          <w:vertAlign w:val="superscript"/>
        </w:rPr>
        <w:t>-1</w:t>
      </w:r>
      <w:r w:rsidRPr="00A33BF8">
        <w:rPr>
          <w:rFonts w:ascii="Times New Roman" w:eastAsia="Calibri" w:hAnsi="Times New Roman" w:cs="Times New Roman"/>
          <w:b/>
          <w:sz w:val="24"/>
          <w:szCs w:val="24"/>
        </w:rPr>
        <w:t xml:space="preserve">) overlaid on length-frequency distribution, and (b) linearized length-converted catch curve for </w:t>
      </w:r>
      <w:r w:rsidRPr="00A33BF8">
        <w:rPr>
          <w:rFonts w:ascii="Times New Roman" w:eastAsia="Calibri" w:hAnsi="Times New Roman" w:cs="Times New Roman"/>
          <w:b/>
          <w:i/>
          <w:iCs/>
          <w:sz w:val="24"/>
          <w:szCs w:val="24"/>
        </w:rPr>
        <w:t>H. forskahlii</w:t>
      </w:r>
      <w:r w:rsidRPr="00A33BF8">
        <w:rPr>
          <w:rFonts w:ascii="Times New Roman" w:eastAsia="Calibri" w:hAnsi="Times New Roman" w:cs="Times New Roman"/>
          <w:b/>
          <w:sz w:val="24"/>
          <w:szCs w:val="24"/>
        </w:rPr>
        <w:t xml:space="preserve"> in Rose</w:t>
      </w:r>
      <w:r w:rsidR="00A30D68">
        <w:rPr>
          <w:rFonts w:ascii="Times New Roman" w:eastAsia="Calibri" w:hAnsi="Times New Roman" w:cs="Times New Roman"/>
          <w:b/>
          <w:sz w:val="24"/>
          <w:szCs w:val="24"/>
        </w:rPr>
        <w:t>ir</w:t>
      </w:r>
      <w:r w:rsidRPr="00A33BF8">
        <w:rPr>
          <w:rFonts w:ascii="Times New Roman" w:eastAsia="Calibri" w:hAnsi="Times New Roman" w:cs="Times New Roman"/>
          <w:b/>
          <w:sz w:val="24"/>
          <w:szCs w:val="24"/>
        </w:rPr>
        <w:t>es reservoir.</w:t>
      </w:r>
    </w:p>
    <w:p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027516">
        <w:rPr>
          <w:rFonts w:ascii="Times New Roman" w:eastAsia="Calibri" w:hAnsi="Times New Roman" w:cs="Times New Roman"/>
          <w:b/>
          <w:bCs/>
          <w:color w:val="000000"/>
          <w:sz w:val="24"/>
          <w:szCs w:val="24"/>
        </w:rPr>
        <w:t>Recruitment</w:t>
      </w:r>
      <w:r w:rsidRPr="00515572">
        <w:rPr>
          <w:rFonts w:ascii="Times New Roman" w:eastAsia="Times New Roman" w:hAnsi="Times New Roman" w:cs="Times New Roman"/>
          <w:b/>
          <w:bCs/>
          <w:sz w:val="24"/>
          <w:szCs w:val="24"/>
        </w:rPr>
        <w:t xml:space="preserve"> Pattern:</w:t>
      </w:r>
      <w:r w:rsidRPr="00515572">
        <w:rPr>
          <w:rFonts w:ascii="Times New Roman" w:eastAsia="Times New Roman" w:hAnsi="Times New Roman" w:cs="Times New Roman"/>
          <w:i/>
          <w:iCs/>
          <w:sz w:val="24"/>
          <w:szCs w:val="24"/>
        </w:rPr>
        <w:t>H. forskahlii</w:t>
      </w:r>
      <w:r w:rsidRPr="00515572">
        <w:rPr>
          <w:rFonts w:ascii="Times New Roman" w:eastAsia="Times New Roman" w:hAnsi="Times New Roman" w:cs="Times New Roman"/>
          <w:sz w:val="24"/>
          <w:szCs w:val="24"/>
        </w:rPr>
        <w:t xml:space="preserve"> demonstrated two recruitment peaks that occurred in March during the dry season and October during the rainy season. This pa</w:t>
      </w:r>
      <w:r w:rsidR="00A33BF8">
        <w:rPr>
          <w:rFonts w:ascii="Times New Roman" w:eastAsia="Times New Roman" w:hAnsi="Times New Roman" w:cs="Times New Roman"/>
          <w:sz w:val="24"/>
          <w:szCs w:val="24"/>
        </w:rPr>
        <w:t>ttern is illustrated in Fig. 5</w:t>
      </w:r>
      <w:r w:rsidRPr="00515572">
        <w:rPr>
          <w:rFonts w:ascii="Times New Roman" w:eastAsia="Times New Roman" w:hAnsi="Times New Roman" w:cs="Times New Roman"/>
          <w:sz w:val="24"/>
          <w:szCs w:val="24"/>
        </w:rPr>
        <w:t>.</w:t>
      </w:r>
    </w:p>
    <w:p w:rsidR="003D327B" w:rsidRPr="00515572" w:rsidRDefault="003D327B" w:rsidP="00DD5F77">
      <w:pPr>
        <w:spacing w:after="0" w:line="360" w:lineRule="auto"/>
        <w:contextualSpacing/>
        <w:jc w:val="center"/>
        <w:rPr>
          <w:rFonts w:ascii="Times New Roman" w:eastAsia="Calibri" w:hAnsi="Times New Roman" w:cs="Times New Roman"/>
          <w:sz w:val="24"/>
          <w:szCs w:val="24"/>
        </w:rPr>
      </w:pPr>
      <w:r w:rsidRPr="00515572">
        <w:rPr>
          <w:rFonts w:ascii="Times New Roman" w:eastAsia="Times New Roman" w:hAnsi="Times New Roman" w:cs="Times New Roman"/>
          <w:noProof/>
          <w:sz w:val="24"/>
          <w:szCs w:val="24"/>
        </w:rPr>
        <w:drawing>
          <wp:inline distT="0" distB="0" distL="0" distR="0">
            <wp:extent cx="3067685" cy="2788920"/>
            <wp:effectExtent l="0" t="0" r="0" b="0"/>
            <wp:docPr id="6" name="صورة 6" descr="C:\Users\ALRAWA~1\AppData\Local\Temp\ksohtml22412\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LRAWA~1\AppData\Local\Temp\ksohtml22412\wps5.jpg"/>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7685" cy="2788920"/>
                    </a:xfrm>
                    <a:prstGeom prst="rect">
                      <a:avLst/>
                    </a:prstGeom>
                    <a:noFill/>
                    <a:ln>
                      <a:noFill/>
                    </a:ln>
                  </pic:spPr>
                </pic:pic>
              </a:graphicData>
            </a:graphic>
          </wp:inline>
        </w:drawing>
      </w:r>
    </w:p>
    <w:p w:rsidR="003D327B" w:rsidRPr="00A33BF8" w:rsidRDefault="003D327B" w:rsidP="00DD5F77">
      <w:pPr>
        <w:spacing w:after="0" w:line="360" w:lineRule="auto"/>
        <w:contextualSpacing/>
        <w:jc w:val="both"/>
        <w:rPr>
          <w:rFonts w:ascii="Times New Roman" w:eastAsia="Calibri" w:hAnsi="Times New Roman" w:cs="Times New Roman"/>
          <w:b/>
          <w:sz w:val="24"/>
          <w:szCs w:val="24"/>
        </w:rPr>
      </w:pPr>
      <w:r w:rsidRPr="00A33BF8">
        <w:rPr>
          <w:rFonts w:ascii="Times New Roman" w:eastAsia="Calibri" w:hAnsi="Times New Roman" w:cs="Times New Roman"/>
          <w:b/>
          <w:sz w:val="24"/>
          <w:szCs w:val="24"/>
        </w:rPr>
        <w:t xml:space="preserve">Fig. </w:t>
      </w:r>
      <w:r w:rsidR="00A33BF8" w:rsidRPr="00A33BF8">
        <w:rPr>
          <w:rFonts w:ascii="Times New Roman" w:eastAsia="Calibri" w:hAnsi="Times New Roman" w:cs="Times New Roman"/>
          <w:b/>
          <w:sz w:val="24"/>
          <w:szCs w:val="24"/>
        </w:rPr>
        <w:t>5</w:t>
      </w:r>
      <w:r w:rsidRPr="00A33BF8">
        <w:rPr>
          <w:rFonts w:ascii="Times New Roman" w:eastAsia="Calibri" w:hAnsi="Times New Roman" w:cs="Times New Roman"/>
          <w:b/>
          <w:sz w:val="24"/>
          <w:szCs w:val="24"/>
        </w:rPr>
        <w:t xml:space="preserve">. Recruitment pattern of </w:t>
      </w:r>
      <w:r w:rsidRPr="00A33BF8">
        <w:rPr>
          <w:rFonts w:ascii="Times New Roman" w:eastAsia="Calibri" w:hAnsi="Times New Roman" w:cs="Times New Roman"/>
          <w:b/>
          <w:i/>
          <w:iCs/>
          <w:sz w:val="24"/>
          <w:szCs w:val="24"/>
        </w:rPr>
        <w:t>H. forskahlii</w:t>
      </w:r>
      <w:r w:rsidRPr="00A33BF8">
        <w:rPr>
          <w:rFonts w:ascii="Times New Roman" w:eastAsia="Calibri" w:hAnsi="Times New Roman" w:cs="Times New Roman"/>
          <w:b/>
          <w:sz w:val="24"/>
          <w:szCs w:val="24"/>
        </w:rPr>
        <w:t xml:space="preserve"> in Roseries reservoir.</w:t>
      </w:r>
    </w:p>
    <w:p w:rsidR="003D327B" w:rsidRPr="00515572" w:rsidRDefault="003D327B" w:rsidP="00DD5F77">
      <w:pPr>
        <w:autoSpaceDE w:val="0"/>
        <w:autoSpaceDN w:val="0"/>
        <w:adjustRightInd w:val="0"/>
        <w:spacing w:after="0" w:line="360" w:lineRule="auto"/>
        <w:contextualSpacing/>
        <w:jc w:val="both"/>
        <w:rPr>
          <w:rFonts w:ascii="Times New Roman" w:eastAsia="Calibri" w:hAnsi="Times New Roman" w:cs="Times New Roman"/>
          <w:sz w:val="24"/>
          <w:szCs w:val="24"/>
        </w:rPr>
      </w:pPr>
      <w:r w:rsidRPr="00027516">
        <w:rPr>
          <w:rFonts w:ascii="Times New Roman" w:eastAsia="Calibri" w:hAnsi="Times New Roman" w:cs="Times New Roman"/>
          <w:b/>
          <w:bCs/>
          <w:color w:val="000000"/>
          <w:sz w:val="24"/>
          <w:szCs w:val="24"/>
        </w:rPr>
        <w:t>Length</w:t>
      </w:r>
      <w:r w:rsidRPr="00515572">
        <w:rPr>
          <w:rFonts w:ascii="Times New Roman" w:eastAsia="Calibri" w:hAnsi="Times New Roman" w:cs="Times New Roman"/>
          <w:b/>
          <w:bCs/>
          <w:sz w:val="24"/>
          <w:szCs w:val="24"/>
        </w:rPr>
        <w:t xml:space="preserve"> at first capture (</w:t>
      </w:r>
      <w:r w:rsidRPr="00515572">
        <w:rPr>
          <w:rFonts w:ascii="Times New Roman" w:eastAsia="Calibri" w:hAnsi="Times New Roman" w:cs="Times New Roman"/>
          <w:b/>
          <w:bCs/>
          <w:i/>
          <w:iCs/>
          <w:sz w:val="24"/>
          <w:szCs w:val="24"/>
        </w:rPr>
        <w:t>L</w:t>
      </w:r>
      <w:r w:rsidRPr="00515572">
        <w:rPr>
          <w:rFonts w:ascii="Times New Roman" w:eastAsia="Calibri" w:hAnsi="Times New Roman" w:cs="Times New Roman"/>
          <w:b/>
          <w:bCs/>
          <w:sz w:val="24"/>
          <w:szCs w:val="24"/>
          <w:vertAlign w:val="subscript"/>
        </w:rPr>
        <w:t>c</w:t>
      </w:r>
      <w:r w:rsidRPr="00515572">
        <w:rPr>
          <w:rFonts w:ascii="Times New Roman" w:eastAsia="Calibri" w:hAnsi="Times New Roman" w:cs="Times New Roman"/>
          <w:b/>
          <w:bCs/>
          <w:sz w:val="24"/>
          <w:szCs w:val="24"/>
        </w:rPr>
        <w:t>)</w:t>
      </w:r>
      <w:r w:rsidRPr="00515572">
        <w:rPr>
          <w:rFonts w:ascii="Times New Roman" w:eastAsia="Calibri" w:hAnsi="Times New Roman" w:cs="Times New Roman"/>
          <w:sz w:val="24"/>
          <w:szCs w:val="24"/>
        </w:rPr>
        <w:t xml:space="preserve">, estimated from the </w:t>
      </w:r>
      <w:r w:rsidRPr="00515572">
        <w:rPr>
          <w:rFonts w:ascii="Times New Roman" w:eastAsia="Calibri" w:hAnsi="Times New Roman" w:cs="Times New Roman"/>
          <w:b/>
          <w:bCs/>
          <w:sz w:val="24"/>
          <w:szCs w:val="24"/>
        </w:rPr>
        <w:t>probability of capture</w:t>
      </w:r>
      <w:r w:rsidRPr="00515572">
        <w:rPr>
          <w:rFonts w:ascii="Times New Roman" w:eastAsia="Calibri" w:hAnsi="Times New Roman" w:cs="Times New Roman"/>
          <w:sz w:val="24"/>
          <w:szCs w:val="24"/>
        </w:rPr>
        <w:t xml:space="preserve"> for </w:t>
      </w:r>
      <w:r w:rsidRPr="00515572">
        <w:rPr>
          <w:rFonts w:ascii="Times New Roman" w:eastAsia="Calibri" w:hAnsi="Times New Roman" w:cs="Times New Roman"/>
          <w:i/>
          <w:iCs/>
          <w:sz w:val="24"/>
          <w:szCs w:val="24"/>
        </w:rPr>
        <w:t>H. forskahlii</w:t>
      </w:r>
      <w:r w:rsidRPr="00515572">
        <w:rPr>
          <w:rFonts w:ascii="Times New Roman" w:eastAsia="Calibri" w:hAnsi="Times New Roman" w:cs="Times New Roman"/>
          <w:sz w:val="24"/>
          <w:szCs w:val="24"/>
        </w:rPr>
        <w:t xml:space="preserve">, was 14.3 cm. The lengths corresponding to vulnerability at 25%, 50%, and 75% were 14.94 cm, 21.10 cm, and 22.60 cm, respectively (Fig. </w:t>
      </w:r>
      <w:r w:rsidR="00A33BF8">
        <w:rPr>
          <w:rFonts w:ascii="Times New Roman" w:eastAsia="Calibri" w:hAnsi="Times New Roman" w:cs="Times New Roman"/>
          <w:sz w:val="24"/>
          <w:szCs w:val="24"/>
        </w:rPr>
        <w:t>6</w:t>
      </w:r>
      <w:r w:rsidRPr="00515572">
        <w:rPr>
          <w:rFonts w:ascii="Times New Roman" w:eastAsia="Calibri" w:hAnsi="Times New Roman" w:cs="Times New Roman"/>
          <w:sz w:val="24"/>
          <w:szCs w:val="24"/>
        </w:rPr>
        <w:t xml:space="preserve"> and Table 3).</w:t>
      </w:r>
    </w:p>
    <w:p w:rsidR="003D327B" w:rsidRPr="00515572" w:rsidRDefault="003D327B" w:rsidP="00DD5F77">
      <w:pPr>
        <w:spacing w:after="0" w:line="360" w:lineRule="auto"/>
        <w:contextualSpacing/>
        <w:jc w:val="center"/>
        <w:rPr>
          <w:rFonts w:ascii="Times New Roman" w:eastAsia="Calibri" w:hAnsi="Times New Roman" w:cs="Times New Roman"/>
          <w:sz w:val="24"/>
          <w:szCs w:val="24"/>
        </w:rPr>
      </w:pPr>
      <w:r w:rsidRPr="00515572">
        <w:rPr>
          <w:rFonts w:ascii="Times New Roman" w:eastAsia="Times New Roman" w:hAnsi="Times New Roman" w:cs="Times New Roman"/>
          <w:noProof/>
          <w:sz w:val="24"/>
          <w:szCs w:val="24"/>
        </w:rPr>
        <w:lastRenderedPageBreak/>
        <w:drawing>
          <wp:inline distT="0" distB="0" distL="0" distR="0">
            <wp:extent cx="3030220" cy="2826385"/>
            <wp:effectExtent l="0" t="0" r="0" b="0"/>
            <wp:docPr id="7" name="صورة 7" descr="C:\Users\ALRAWA~1\AppData\Local\Temp\ksohtml22412\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LRAWA~1\AppData\Local\Temp\ksohtml22412\wps6.jpg"/>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0220" cy="2826385"/>
                    </a:xfrm>
                    <a:prstGeom prst="rect">
                      <a:avLst/>
                    </a:prstGeom>
                    <a:noFill/>
                    <a:ln>
                      <a:noFill/>
                    </a:ln>
                  </pic:spPr>
                </pic:pic>
              </a:graphicData>
            </a:graphic>
          </wp:inline>
        </w:drawing>
      </w:r>
    </w:p>
    <w:p w:rsidR="003D327B" w:rsidRPr="00A33BF8" w:rsidRDefault="003D327B" w:rsidP="00DD5F77">
      <w:pPr>
        <w:spacing w:after="0" w:line="360" w:lineRule="auto"/>
        <w:contextualSpacing/>
        <w:jc w:val="both"/>
        <w:rPr>
          <w:rFonts w:ascii="Times New Roman" w:eastAsia="Calibri" w:hAnsi="Times New Roman" w:cs="Times New Roman"/>
          <w:b/>
          <w:sz w:val="24"/>
          <w:szCs w:val="24"/>
        </w:rPr>
      </w:pPr>
      <w:r w:rsidRPr="00A33BF8">
        <w:rPr>
          <w:rFonts w:ascii="Times New Roman" w:eastAsia="Calibri" w:hAnsi="Times New Roman" w:cs="Times New Roman"/>
          <w:b/>
          <w:sz w:val="24"/>
          <w:szCs w:val="24"/>
        </w:rPr>
        <w:t xml:space="preserve">Fig. </w:t>
      </w:r>
      <w:r w:rsidR="00A33BF8" w:rsidRPr="00A33BF8">
        <w:rPr>
          <w:rFonts w:ascii="Times New Roman" w:eastAsia="Calibri" w:hAnsi="Times New Roman" w:cs="Times New Roman"/>
          <w:b/>
          <w:sz w:val="24"/>
          <w:szCs w:val="24"/>
        </w:rPr>
        <w:t>6</w:t>
      </w:r>
      <w:r w:rsidRPr="00A33BF8">
        <w:rPr>
          <w:rFonts w:ascii="Times New Roman" w:eastAsia="Calibri" w:hAnsi="Times New Roman" w:cs="Times New Roman"/>
          <w:b/>
          <w:sz w:val="24"/>
          <w:szCs w:val="24"/>
        </w:rPr>
        <w:t xml:space="preserve">. The probability of capture of </w:t>
      </w:r>
      <w:r w:rsidRPr="00A33BF8">
        <w:rPr>
          <w:rFonts w:ascii="Times New Roman" w:eastAsia="Calibri" w:hAnsi="Times New Roman" w:cs="Times New Roman"/>
          <w:b/>
          <w:i/>
          <w:iCs/>
          <w:sz w:val="24"/>
          <w:szCs w:val="24"/>
        </w:rPr>
        <w:t>H. forskahlii</w:t>
      </w:r>
      <w:r w:rsidRPr="00A33BF8">
        <w:rPr>
          <w:rFonts w:ascii="Times New Roman" w:eastAsia="Calibri" w:hAnsi="Times New Roman" w:cs="Times New Roman"/>
          <w:b/>
          <w:sz w:val="24"/>
          <w:szCs w:val="24"/>
        </w:rPr>
        <w:t xml:space="preserve"> in the Roseries reservoir obtained from the selective curve.</w:t>
      </w:r>
    </w:p>
    <w:p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 xml:space="preserve">Relative </w:t>
      </w:r>
      <w:r w:rsidRPr="00027516">
        <w:rPr>
          <w:rFonts w:ascii="Times New Roman" w:eastAsia="Calibri" w:hAnsi="Times New Roman" w:cs="Times New Roman"/>
          <w:b/>
          <w:bCs/>
          <w:color w:val="000000"/>
          <w:sz w:val="24"/>
          <w:szCs w:val="24"/>
        </w:rPr>
        <w:t>Yield</w:t>
      </w:r>
      <w:r w:rsidRPr="00515572">
        <w:rPr>
          <w:rFonts w:ascii="Times New Roman" w:eastAsia="Times New Roman" w:hAnsi="Times New Roman" w:cs="Times New Roman"/>
          <w:b/>
          <w:bCs/>
          <w:sz w:val="24"/>
          <w:szCs w:val="24"/>
        </w:rPr>
        <w:t xml:space="preserve"> and Biomass per Recruit (Y/R):</w:t>
      </w:r>
      <w:r w:rsidRPr="00515572">
        <w:rPr>
          <w:rFonts w:ascii="Times New Roman" w:eastAsia="Times New Roman" w:hAnsi="Times New Roman" w:cs="Times New Roman"/>
          <w:sz w:val="24"/>
          <w:szCs w:val="24"/>
        </w:rPr>
        <w:t xml:space="preserve"> The maximum (Y/R) occurred at an exploitation rate (E</w:t>
      </w:r>
      <w:r w:rsidRPr="00515572">
        <w:rPr>
          <w:rFonts w:ascii="Times New Roman" w:eastAsia="Times New Roman" w:hAnsi="Times New Roman" w:cs="Times New Roman"/>
          <w:i/>
          <w:iCs/>
          <w:sz w:val="24"/>
          <w:szCs w:val="24"/>
          <w:vertAlign w:val="subscript"/>
        </w:rPr>
        <w:t>max</w:t>
      </w:r>
      <w:r w:rsidRPr="00515572">
        <w:rPr>
          <w:rFonts w:ascii="Times New Roman" w:eastAsia="Times New Roman" w:hAnsi="Times New Roman" w:cs="Times New Roman"/>
          <w:sz w:val="24"/>
          <w:szCs w:val="24"/>
        </w:rPr>
        <w:t>) of 0.499. The exploitation rates corresponding to 10% and 50% of the maximum Y/R (E</w:t>
      </w:r>
      <w:r w:rsidRPr="00515572">
        <w:rPr>
          <w:rFonts w:ascii="Times New Roman" w:eastAsia="Times New Roman" w:hAnsi="Times New Roman" w:cs="Times New Roman"/>
          <w:sz w:val="24"/>
          <w:szCs w:val="24"/>
          <w:vertAlign w:val="subscript"/>
        </w:rPr>
        <w:t>01</w:t>
      </w:r>
      <w:r w:rsidRPr="00515572">
        <w:rPr>
          <w:rFonts w:ascii="Times New Roman" w:eastAsia="Times New Roman" w:hAnsi="Times New Roman" w:cs="Times New Roman"/>
          <w:sz w:val="24"/>
          <w:szCs w:val="24"/>
        </w:rPr>
        <w:t xml:space="preserve"> and E</w:t>
      </w:r>
      <w:r w:rsidRPr="00515572">
        <w:rPr>
          <w:rFonts w:ascii="Times New Roman" w:eastAsia="Times New Roman" w:hAnsi="Times New Roman" w:cs="Times New Roman"/>
          <w:sz w:val="24"/>
          <w:szCs w:val="24"/>
          <w:vertAlign w:val="subscript"/>
        </w:rPr>
        <w:t>05</w:t>
      </w:r>
      <w:r w:rsidRPr="00515572">
        <w:rPr>
          <w:rFonts w:ascii="Times New Roman" w:eastAsia="Times New Roman" w:hAnsi="Times New Roman" w:cs="Times New Roman"/>
          <w:sz w:val="24"/>
          <w:szCs w:val="24"/>
        </w:rPr>
        <w:t>) were 0.418 and 0.312, respectively. The ratio of length at first capture to asymptotic length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c</w:t>
      </w:r>
      <w:r w:rsidRPr="00515572">
        <w:rPr>
          <w:rFonts w:ascii="Times New Roman" w:eastAsia="Times New Roman" w:hAnsi="Times New Roman" w:cs="Times New Roman"/>
          <w:sz w:val="24"/>
          <w:szCs w:val="24"/>
        </w:rPr>
        <w:t>/</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xml:space="preserve">) was calculated as 0.05, and the probability distribution of length showed </w:t>
      </w:r>
      <w:r w:rsidRPr="00515572">
        <w:rPr>
          <w:rFonts w:ascii="Times New Roman" w:eastAsia="Times New Roman" w:hAnsi="Times New Roman" w:cs="Times New Roman"/>
          <w:i/>
          <w:iCs/>
          <w:sz w:val="24"/>
          <w:szCs w:val="24"/>
        </w:rPr>
        <w:t>M</w:t>
      </w:r>
      <w:r w:rsidRPr="00515572">
        <w:rPr>
          <w:rFonts w:ascii="Times New Roman" w:eastAsia="Times New Roman" w:hAnsi="Times New Roman" w:cs="Times New Roman"/>
          <w:sz w:val="24"/>
          <w:szCs w:val="24"/>
        </w:rPr>
        <w:t>/</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xml:space="preserve"> equal to 0.260. Additionally, the length at optimum cohort biomass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opt</w:t>
      </w:r>
      <w:r w:rsidRPr="00515572">
        <w:rPr>
          <w:rFonts w:ascii="Times New Roman" w:eastAsia="Times New Roman" w:hAnsi="Times New Roman" w:cs="Times New Roman"/>
          <w:sz w:val="24"/>
          <w:szCs w:val="24"/>
        </w:rPr>
        <w:t xml:space="preserve">) was determined to be 33.72 cm (Fig. </w:t>
      </w:r>
      <w:r w:rsidR="00A33BF8">
        <w:rPr>
          <w:rFonts w:ascii="Times New Roman" w:eastAsia="Times New Roman" w:hAnsi="Times New Roman" w:cs="Times New Roman"/>
          <w:sz w:val="24"/>
          <w:szCs w:val="24"/>
        </w:rPr>
        <w:t>7</w:t>
      </w:r>
      <w:r w:rsidRPr="00515572">
        <w:rPr>
          <w:rFonts w:ascii="Times New Roman" w:eastAsia="Times New Roman" w:hAnsi="Times New Roman" w:cs="Times New Roman"/>
          <w:sz w:val="24"/>
          <w:szCs w:val="24"/>
        </w:rPr>
        <w:t xml:space="preserve"> and Table 3).</w:t>
      </w:r>
    </w:p>
    <w:p w:rsidR="003D327B" w:rsidRPr="00515572" w:rsidRDefault="003D327B" w:rsidP="00DD5F77">
      <w:pPr>
        <w:spacing w:after="0" w:line="360" w:lineRule="auto"/>
        <w:contextualSpacing/>
        <w:jc w:val="center"/>
        <w:rPr>
          <w:rFonts w:ascii="Times New Roman" w:eastAsia="Calibri" w:hAnsi="Times New Roman" w:cs="Times New Roman"/>
          <w:sz w:val="24"/>
          <w:szCs w:val="24"/>
        </w:rPr>
      </w:pPr>
      <w:r w:rsidRPr="00515572">
        <w:rPr>
          <w:rFonts w:ascii="Times New Roman" w:eastAsia="Times New Roman" w:hAnsi="Times New Roman" w:cs="Times New Roman"/>
          <w:noProof/>
          <w:sz w:val="24"/>
          <w:szCs w:val="24"/>
        </w:rPr>
        <w:drawing>
          <wp:inline distT="0" distB="0" distL="0" distR="0">
            <wp:extent cx="3399790" cy="2826385"/>
            <wp:effectExtent l="0" t="0" r="0" b="0"/>
            <wp:docPr id="8" name="صورة 8" descr="C:\Users\ALRAWA~1\AppData\Local\Temp\ksohtml22412\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LRAWA~1\AppData\Local\Temp\ksohtml22412\wps7.jpg"/>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99790" cy="2826385"/>
                    </a:xfrm>
                    <a:prstGeom prst="rect">
                      <a:avLst/>
                    </a:prstGeom>
                    <a:noFill/>
                    <a:ln>
                      <a:noFill/>
                    </a:ln>
                  </pic:spPr>
                </pic:pic>
              </a:graphicData>
            </a:graphic>
          </wp:inline>
        </w:drawing>
      </w:r>
    </w:p>
    <w:p w:rsidR="003D327B" w:rsidRPr="00A33BF8" w:rsidRDefault="003D327B" w:rsidP="00DD5F77">
      <w:pPr>
        <w:spacing w:after="0" w:line="360" w:lineRule="auto"/>
        <w:contextualSpacing/>
        <w:jc w:val="both"/>
        <w:rPr>
          <w:rFonts w:ascii="Times New Roman" w:eastAsia="Calibri" w:hAnsi="Times New Roman" w:cs="Times New Roman"/>
          <w:b/>
          <w:sz w:val="24"/>
          <w:szCs w:val="24"/>
        </w:rPr>
      </w:pPr>
      <w:r w:rsidRPr="00A33BF8">
        <w:rPr>
          <w:rFonts w:ascii="Times New Roman" w:eastAsia="Calibri" w:hAnsi="Times New Roman" w:cs="Times New Roman"/>
          <w:b/>
          <w:sz w:val="24"/>
          <w:szCs w:val="24"/>
        </w:rPr>
        <w:t xml:space="preserve">Fig. </w:t>
      </w:r>
      <w:r w:rsidR="00A33BF8" w:rsidRPr="00A33BF8">
        <w:rPr>
          <w:rFonts w:ascii="Times New Roman" w:eastAsia="Calibri" w:hAnsi="Times New Roman" w:cs="Times New Roman"/>
          <w:b/>
          <w:sz w:val="24"/>
          <w:szCs w:val="24"/>
        </w:rPr>
        <w:t>7</w:t>
      </w:r>
      <w:r w:rsidRPr="00A33BF8">
        <w:rPr>
          <w:rFonts w:ascii="Times New Roman" w:eastAsia="Calibri" w:hAnsi="Times New Roman" w:cs="Times New Roman"/>
          <w:b/>
          <w:sz w:val="24"/>
          <w:szCs w:val="24"/>
        </w:rPr>
        <w:t xml:space="preserve">. Beverton and Holt's relative yield per recruitment (Y/R) and biomass per recruit (B/R) for the </w:t>
      </w:r>
      <w:r w:rsidRPr="00A33BF8">
        <w:rPr>
          <w:rFonts w:ascii="Times New Roman" w:eastAsia="Calibri" w:hAnsi="Times New Roman" w:cs="Times New Roman"/>
          <w:b/>
          <w:i/>
          <w:iCs/>
          <w:sz w:val="24"/>
          <w:szCs w:val="24"/>
        </w:rPr>
        <w:t>H. forskahlii</w:t>
      </w:r>
      <w:r w:rsidRPr="00A33BF8">
        <w:rPr>
          <w:rFonts w:ascii="Times New Roman" w:eastAsia="Calibri" w:hAnsi="Times New Roman" w:cs="Times New Roman"/>
          <w:b/>
          <w:sz w:val="24"/>
          <w:szCs w:val="24"/>
        </w:rPr>
        <w:t xml:space="preserve"> in Rose</w:t>
      </w:r>
      <w:r w:rsidR="00D85C9B">
        <w:rPr>
          <w:rFonts w:ascii="Times New Roman" w:eastAsia="Calibri" w:hAnsi="Times New Roman" w:cs="Times New Roman"/>
          <w:b/>
          <w:sz w:val="24"/>
          <w:szCs w:val="24"/>
        </w:rPr>
        <w:t>ir</w:t>
      </w:r>
      <w:r w:rsidRPr="00A33BF8">
        <w:rPr>
          <w:rFonts w:ascii="Times New Roman" w:eastAsia="Calibri" w:hAnsi="Times New Roman" w:cs="Times New Roman"/>
          <w:b/>
          <w:sz w:val="24"/>
          <w:szCs w:val="24"/>
        </w:rPr>
        <w:t>es reservoir.</w:t>
      </w:r>
    </w:p>
    <w:p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lastRenderedPageBreak/>
        <w:t>Population Structure and Mortality Patterns:</w:t>
      </w:r>
      <w:r w:rsidRPr="00515572">
        <w:rPr>
          <w:rFonts w:ascii="Times New Roman" w:eastAsia="Times New Roman" w:hAnsi="Times New Roman" w:cs="Times New Roman"/>
          <w:sz w:val="24"/>
          <w:szCs w:val="24"/>
        </w:rPr>
        <w:t xml:space="preserve"> Population dynamics analysis revealed that younger age classes had higher abundances, which declined progressively with age due to natural mortality (predation, disease, environmental factors) and fishing pressure. The length-structured virtual population analysis (VPA) for H. forskahlii is presented in Fig. </w:t>
      </w:r>
      <w:r w:rsidR="00A33BF8">
        <w:rPr>
          <w:rFonts w:ascii="Times New Roman" w:eastAsia="Times New Roman" w:hAnsi="Times New Roman" w:cs="Times New Roman"/>
          <w:sz w:val="24"/>
          <w:szCs w:val="24"/>
        </w:rPr>
        <w:t>8</w:t>
      </w:r>
      <w:r w:rsidRPr="00515572">
        <w:rPr>
          <w:rFonts w:ascii="Times New Roman" w:eastAsia="Times New Roman" w:hAnsi="Times New Roman" w:cs="Times New Roman"/>
          <w:sz w:val="24"/>
          <w:szCs w:val="24"/>
        </w:rPr>
        <w:t>, illustrating:</w:t>
      </w:r>
    </w:p>
    <w:p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 xml:space="preserve">Survival rates </w:t>
      </w:r>
      <w:r w:rsidRPr="00515572">
        <w:rPr>
          <w:rFonts w:ascii="Times New Roman" w:eastAsia="Times New Roman" w:hAnsi="Times New Roman" w:cs="Times New Roman"/>
          <w:sz w:val="24"/>
          <w:szCs w:val="24"/>
        </w:rPr>
        <w:t>(green): Decline with increasing age/size.</w:t>
      </w:r>
    </w:p>
    <w:p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 xml:space="preserve">Natural mortality </w:t>
      </w:r>
      <w:r w:rsidRPr="00515572">
        <w:rPr>
          <w:rFonts w:ascii="Times New Roman" w:eastAsia="Times New Roman" w:hAnsi="Times New Roman" w:cs="Times New Roman"/>
          <w:sz w:val="24"/>
          <w:szCs w:val="24"/>
        </w:rPr>
        <w:t>(purple): Highest in smaller length classes, decreasing as fish grow.</w:t>
      </w:r>
    </w:p>
    <w:p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Fishing mortality</w:t>
      </w:r>
      <w:r w:rsidRPr="00515572">
        <w:rPr>
          <w:rFonts w:ascii="Times New Roman" w:eastAsia="Times New Roman" w:hAnsi="Times New Roman" w:cs="Times New Roman"/>
          <w:sz w:val="24"/>
          <w:szCs w:val="24"/>
        </w:rPr>
        <w:t xml:space="preserve"> (yellow): Begins at 14.3 cm, peaks at 28 cm, and declines in larger size classes due to reduced abundance (red line).</w:t>
      </w:r>
    </w:p>
    <w:p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p>
    <w:p w:rsidR="003D327B" w:rsidRPr="00515572" w:rsidRDefault="003D327B" w:rsidP="00DD5F77">
      <w:pPr>
        <w:spacing w:after="0" w:line="360" w:lineRule="auto"/>
        <w:contextualSpacing/>
        <w:jc w:val="center"/>
        <w:rPr>
          <w:rFonts w:ascii="Times New Roman" w:eastAsia="Calibri" w:hAnsi="Times New Roman" w:cs="Times New Roman"/>
          <w:sz w:val="24"/>
          <w:szCs w:val="24"/>
        </w:rPr>
      </w:pPr>
      <w:r w:rsidRPr="00515572">
        <w:rPr>
          <w:rFonts w:ascii="Times New Roman" w:eastAsia="Times New Roman" w:hAnsi="Times New Roman" w:cs="Times New Roman"/>
          <w:noProof/>
          <w:sz w:val="24"/>
          <w:szCs w:val="24"/>
        </w:rPr>
        <w:drawing>
          <wp:inline distT="0" distB="0" distL="0" distR="0">
            <wp:extent cx="3773805" cy="2601595"/>
            <wp:effectExtent l="0" t="0" r="0" b="8255"/>
            <wp:docPr id="9" name="صورة 9" descr="C:\Users\ALRAWA~1\AppData\Local\Temp\ksohtml22412\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LRAWA~1\AppData\Local\Temp\ksohtml22412\wps8.jpg"/>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3805" cy="2601595"/>
                    </a:xfrm>
                    <a:prstGeom prst="rect">
                      <a:avLst/>
                    </a:prstGeom>
                    <a:noFill/>
                    <a:ln>
                      <a:noFill/>
                    </a:ln>
                  </pic:spPr>
                </pic:pic>
              </a:graphicData>
            </a:graphic>
          </wp:inline>
        </w:drawing>
      </w:r>
    </w:p>
    <w:p w:rsidR="009B46A2" w:rsidRDefault="003D327B" w:rsidP="00DD5F77">
      <w:pPr>
        <w:spacing w:after="0" w:line="360" w:lineRule="auto"/>
        <w:contextualSpacing/>
        <w:jc w:val="both"/>
        <w:rPr>
          <w:rFonts w:ascii="Times New Roman" w:eastAsia="Calibri" w:hAnsi="Times New Roman" w:cs="Times New Roman"/>
          <w:b/>
          <w:sz w:val="24"/>
          <w:szCs w:val="24"/>
        </w:rPr>
      </w:pPr>
      <w:r w:rsidRPr="00A33BF8">
        <w:rPr>
          <w:rFonts w:ascii="Times New Roman" w:eastAsia="Calibri" w:hAnsi="Times New Roman" w:cs="Times New Roman"/>
          <w:b/>
          <w:sz w:val="24"/>
          <w:szCs w:val="24"/>
        </w:rPr>
        <w:t xml:space="preserve">Fig. </w:t>
      </w:r>
      <w:r w:rsidR="00A33BF8" w:rsidRPr="00A33BF8">
        <w:rPr>
          <w:rFonts w:ascii="Times New Roman" w:eastAsia="Calibri" w:hAnsi="Times New Roman" w:cs="Times New Roman"/>
          <w:b/>
          <w:sz w:val="24"/>
          <w:szCs w:val="24"/>
        </w:rPr>
        <w:t>8</w:t>
      </w:r>
      <w:r w:rsidRPr="00A33BF8">
        <w:rPr>
          <w:rFonts w:ascii="Times New Roman" w:eastAsia="Calibri" w:hAnsi="Times New Roman" w:cs="Times New Roman"/>
          <w:b/>
          <w:sz w:val="24"/>
          <w:szCs w:val="24"/>
        </w:rPr>
        <w:t xml:space="preserve">. Length-structured virtual population analysis (VPA) of </w:t>
      </w:r>
      <w:r w:rsidRPr="00A33BF8">
        <w:rPr>
          <w:rFonts w:ascii="Times New Roman" w:eastAsia="Calibri" w:hAnsi="Times New Roman" w:cs="Times New Roman"/>
          <w:b/>
          <w:i/>
          <w:sz w:val="24"/>
          <w:szCs w:val="24"/>
        </w:rPr>
        <w:t>H. forskahlii</w:t>
      </w:r>
      <w:r w:rsidRPr="00A33BF8">
        <w:rPr>
          <w:rFonts w:ascii="Times New Roman" w:eastAsia="Calibri" w:hAnsi="Times New Roman" w:cs="Times New Roman"/>
          <w:b/>
          <w:sz w:val="24"/>
          <w:szCs w:val="24"/>
        </w:rPr>
        <w:t xml:space="preserve"> in Roseires Reservoir, showing survival (green), natural mortality (purple), </w:t>
      </w:r>
      <w:r w:rsidR="009B46A2">
        <w:rPr>
          <w:rFonts w:ascii="Times New Roman" w:eastAsia="Calibri" w:hAnsi="Times New Roman" w:cs="Times New Roman"/>
          <w:b/>
          <w:sz w:val="24"/>
          <w:szCs w:val="24"/>
        </w:rPr>
        <w:t>and fishing mortality (yellow).</w:t>
      </w:r>
    </w:p>
    <w:p w:rsidR="003D327B" w:rsidRPr="00515572" w:rsidRDefault="00E109BB" w:rsidP="00DD5F77">
      <w:pPr>
        <w:spacing w:after="0" w:line="360" w:lineRule="auto"/>
        <w:contextualSpacing/>
        <w:jc w:val="both"/>
        <w:rPr>
          <w:rFonts w:ascii="Times New Roman" w:eastAsia="Times New Roman" w:hAnsi="Times New Roman" w:cs="Times New Roman"/>
          <w:sz w:val="24"/>
          <w:szCs w:val="24"/>
        </w:rPr>
      </w:pPr>
      <w:r w:rsidRPr="00E109BB">
        <w:rPr>
          <w:rFonts w:ascii="Times New Roman" w:eastAsia="Calibri" w:hAnsi="Times New Roman" w:cs="Times New Roman"/>
          <w:bCs/>
          <w:color w:val="000000"/>
          <w:sz w:val="24"/>
          <w:szCs w:val="24"/>
        </w:rPr>
        <w:t>The f</w:t>
      </w:r>
      <w:r w:rsidR="003D327B" w:rsidRPr="00E109BB">
        <w:rPr>
          <w:rFonts w:ascii="Times New Roman" w:eastAsia="Calibri" w:hAnsi="Times New Roman" w:cs="Times New Roman"/>
          <w:bCs/>
          <w:color w:val="000000"/>
          <w:sz w:val="24"/>
          <w:szCs w:val="24"/>
        </w:rPr>
        <w:t>isheries</w:t>
      </w:r>
      <w:r w:rsidRPr="00E109BB">
        <w:rPr>
          <w:rFonts w:ascii="Times New Roman" w:eastAsia="Times New Roman" w:hAnsi="Times New Roman" w:cs="Times New Roman"/>
          <w:bCs/>
          <w:sz w:val="24"/>
          <w:szCs w:val="24"/>
        </w:rPr>
        <w:t>reference points (F</w:t>
      </w:r>
      <w:r w:rsidRPr="00E109BB">
        <w:rPr>
          <w:rFonts w:ascii="Times New Roman" w:eastAsia="Times New Roman" w:hAnsi="Times New Roman" w:cs="Times New Roman"/>
          <w:bCs/>
          <w:sz w:val="24"/>
          <w:szCs w:val="24"/>
          <w:vertAlign w:val="subscript"/>
        </w:rPr>
        <w:t>max</w:t>
      </w:r>
      <w:r w:rsidRPr="00E109BB">
        <w:rPr>
          <w:rFonts w:ascii="Times New Roman" w:eastAsia="Times New Roman" w:hAnsi="Times New Roman" w:cs="Times New Roman"/>
          <w:bCs/>
          <w:sz w:val="24"/>
          <w:szCs w:val="24"/>
        </w:rPr>
        <w:t>, F</w:t>
      </w:r>
      <w:r w:rsidRPr="00E109BB">
        <w:rPr>
          <w:rFonts w:ascii="Times New Roman" w:eastAsia="Times New Roman" w:hAnsi="Times New Roman" w:cs="Times New Roman"/>
          <w:bCs/>
          <w:sz w:val="24"/>
          <w:szCs w:val="24"/>
          <w:vertAlign w:val="subscript"/>
        </w:rPr>
        <w:t>limi</w:t>
      </w:r>
      <w:r w:rsidRPr="00E109BB">
        <w:rPr>
          <w:rFonts w:ascii="Times New Roman" w:eastAsia="Times New Roman" w:hAnsi="Times New Roman" w:cs="Times New Roman"/>
          <w:bCs/>
          <w:sz w:val="24"/>
          <w:szCs w:val="24"/>
        </w:rPr>
        <w:t xml:space="preserve"> ,F</w:t>
      </w:r>
      <w:r w:rsidRPr="00E109BB">
        <w:rPr>
          <w:rFonts w:ascii="Times New Roman" w:eastAsia="Times New Roman" w:hAnsi="Times New Roman" w:cs="Times New Roman"/>
          <w:bCs/>
          <w:sz w:val="24"/>
          <w:szCs w:val="24"/>
          <w:vertAlign w:val="subscript"/>
        </w:rPr>
        <w:t>opt</w:t>
      </w:r>
      <w:r w:rsidRPr="00E109BB">
        <w:rPr>
          <w:rFonts w:ascii="Times New Roman" w:eastAsia="Times New Roman" w:hAnsi="Times New Roman" w:cs="Times New Roman"/>
          <w:bCs/>
          <w:sz w:val="24"/>
          <w:szCs w:val="24"/>
        </w:rPr>
        <w:t xml:space="preserve">) </w:t>
      </w:r>
      <w:r w:rsidR="003D327B" w:rsidRPr="00E109BB">
        <w:rPr>
          <w:rFonts w:ascii="Times New Roman" w:eastAsia="Times New Roman" w:hAnsi="Times New Roman" w:cs="Times New Roman"/>
          <w:bCs/>
          <w:sz w:val="24"/>
          <w:szCs w:val="24"/>
        </w:rPr>
        <w:t xml:space="preserve">and </w:t>
      </w:r>
      <w:r w:rsidRPr="00E109BB">
        <w:rPr>
          <w:rFonts w:ascii="Times New Roman" w:eastAsia="Times New Roman" w:hAnsi="Times New Roman" w:cs="Times New Roman"/>
          <w:bCs/>
          <w:sz w:val="24"/>
          <w:szCs w:val="24"/>
        </w:rPr>
        <w:t>growth parameters (L</w:t>
      </w:r>
      <w:r w:rsidRPr="00E109BB">
        <w:rPr>
          <w:rFonts w:ascii="Times New Roman" w:eastAsia="Times New Roman" w:hAnsi="Times New Roman" w:cs="Times New Roman"/>
          <w:bCs/>
          <w:sz w:val="24"/>
          <w:szCs w:val="24"/>
          <w:vertAlign w:val="subscript"/>
        </w:rPr>
        <w:t>∞</w:t>
      </w:r>
      <w:r w:rsidRPr="00E109BB">
        <w:rPr>
          <w:rFonts w:ascii="Times New Roman" w:eastAsia="Times New Roman" w:hAnsi="Times New Roman" w:cs="Times New Roman"/>
          <w:bCs/>
          <w:sz w:val="24"/>
          <w:szCs w:val="24"/>
        </w:rPr>
        <w:t>,</w:t>
      </w:r>
      <w:r w:rsidR="003D327B" w:rsidRPr="00E109BB">
        <w:rPr>
          <w:rFonts w:ascii="Times New Roman" w:eastAsia="Times New Roman" w:hAnsi="Times New Roman" w:cs="Times New Roman"/>
          <w:bCs/>
          <w:sz w:val="24"/>
          <w:szCs w:val="24"/>
        </w:rPr>
        <w:t xml:space="preserve"> K</w:t>
      </w:r>
      <w:r w:rsidRPr="00E109BB">
        <w:rPr>
          <w:rFonts w:ascii="Times New Roman" w:eastAsia="Times New Roman" w:hAnsi="Times New Roman" w:cs="Times New Roman"/>
          <w:bCs/>
          <w:sz w:val="24"/>
          <w:szCs w:val="24"/>
        </w:rPr>
        <w:t>, t</w:t>
      </w:r>
      <w:r w:rsidRPr="00E109BB">
        <w:rPr>
          <w:rFonts w:ascii="Times New Roman" w:eastAsia="Times New Roman" w:hAnsi="Times New Roman" w:cs="Times New Roman"/>
          <w:bCs/>
          <w:sz w:val="24"/>
          <w:szCs w:val="24"/>
          <w:vertAlign w:val="subscript"/>
        </w:rPr>
        <w:t>0</w:t>
      </w:r>
      <w:r w:rsidRPr="00E109BB">
        <w:rPr>
          <w:rFonts w:ascii="Times New Roman" w:eastAsia="Times New Roman" w:hAnsi="Times New Roman" w:cs="Times New Roman"/>
          <w:bCs/>
          <w:sz w:val="24"/>
          <w:szCs w:val="24"/>
        </w:rPr>
        <w:t>)</w:t>
      </w:r>
      <w:r w:rsidR="003D327B" w:rsidRPr="00E109BB">
        <w:rPr>
          <w:rFonts w:ascii="Times New Roman" w:eastAsia="Times New Roman" w:hAnsi="Times New Roman" w:cs="Times New Roman"/>
          <w:sz w:val="24"/>
          <w:szCs w:val="24"/>
        </w:rPr>
        <w:t xml:space="preserve"> are</w:t>
      </w:r>
      <w:r w:rsidR="003D327B" w:rsidRPr="00515572">
        <w:rPr>
          <w:rFonts w:ascii="Times New Roman" w:eastAsia="Times New Roman" w:hAnsi="Times New Roman" w:cs="Times New Roman"/>
          <w:sz w:val="24"/>
          <w:szCs w:val="24"/>
        </w:rPr>
        <w:t xml:space="preserve"> summarized in Table 3.</w:t>
      </w:r>
    </w:p>
    <w:p w:rsidR="003D327B" w:rsidRPr="00E109BB" w:rsidRDefault="003D327B" w:rsidP="00DD5F77">
      <w:pPr>
        <w:spacing w:after="0" w:line="360" w:lineRule="auto"/>
        <w:contextualSpacing/>
        <w:jc w:val="both"/>
        <w:rPr>
          <w:rFonts w:ascii="Times New Roman" w:eastAsia="Times New Roman" w:hAnsi="Times New Roman" w:cs="Times New Roman"/>
          <w:b/>
          <w:color w:val="F8FAFF"/>
          <w:sz w:val="24"/>
          <w:szCs w:val="24"/>
        </w:rPr>
      </w:pPr>
      <w:r w:rsidRPr="00E109BB">
        <w:rPr>
          <w:rFonts w:ascii="Times New Roman" w:eastAsia="Times New Roman" w:hAnsi="Times New Roman" w:cs="Times New Roman"/>
          <w:b/>
          <w:sz w:val="24"/>
          <w:szCs w:val="24"/>
        </w:rPr>
        <w:t xml:space="preserve">Table 3. Key biological parameters of </w:t>
      </w:r>
      <w:r w:rsidRPr="00E109BB">
        <w:rPr>
          <w:rFonts w:ascii="Times New Roman" w:eastAsia="Times New Roman" w:hAnsi="Times New Roman" w:cs="Times New Roman"/>
          <w:b/>
          <w:i/>
          <w:sz w:val="24"/>
          <w:szCs w:val="24"/>
        </w:rPr>
        <w:t>H. forskahlii</w:t>
      </w:r>
      <w:r w:rsidRPr="00E109BB">
        <w:rPr>
          <w:rFonts w:ascii="Times New Roman" w:eastAsia="Times New Roman" w:hAnsi="Times New Roman" w:cs="Times New Roman"/>
          <w:b/>
          <w:sz w:val="24"/>
          <w:szCs w:val="24"/>
        </w:rPr>
        <w:t xml:space="preserve"> in Roseires Reservoir, Sudan.</w:t>
      </w:r>
    </w:p>
    <w:tbl>
      <w:tblPr>
        <w:tblStyle w:val="TableGrid1"/>
        <w:tblW w:w="0" w:type="auto"/>
        <w:jc w:val="center"/>
        <w:tblLook w:val="04A0"/>
      </w:tblPr>
      <w:tblGrid>
        <w:gridCol w:w="1402"/>
        <w:gridCol w:w="1971"/>
        <w:gridCol w:w="1402"/>
        <w:gridCol w:w="2024"/>
      </w:tblGrid>
      <w:tr w:rsidR="003D327B" w:rsidRPr="00515572" w:rsidTr="00B67374">
        <w:trPr>
          <w:jc w:val="center"/>
        </w:trPr>
        <w:tc>
          <w:tcPr>
            <w:tcW w:w="1402" w:type="dxa"/>
            <w:tcBorders>
              <w:top w:val="single" w:sz="4" w:space="0" w:color="auto"/>
              <w:left w:val="single" w:sz="4" w:space="0" w:color="auto"/>
              <w:bottom w:val="single" w:sz="4" w:space="0" w:color="auto"/>
              <w:right w:val="single" w:sz="4" w:space="0" w:color="auto"/>
            </w:tcBorders>
            <w:hideMark/>
          </w:tcPr>
          <w:p w:rsidR="003D327B" w:rsidRPr="00E109BB" w:rsidRDefault="003D327B" w:rsidP="00DD5F77">
            <w:pPr>
              <w:spacing w:line="360" w:lineRule="auto"/>
              <w:contextualSpacing/>
              <w:jc w:val="both"/>
              <w:rPr>
                <w:rFonts w:eastAsia="Calibri"/>
                <w:b/>
                <w:sz w:val="24"/>
                <w:szCs w:val="24"/>
              </w:rPr>
            </w:pPr>
            <w:r w:rsidRPr="00E109BB">
              <w:rPr>
                <w:rFonts w:eastAsia="Calibri"/>
                <w:b/>
                <w:sz w:val="24"/>
                <w:szCs w:val="24"/>
              </w:rPr>
              <w:t>Parameters</w:t>
            </w:r>
          </w:p>
        </w:tc>
        <w:tc>
          <w:tcPr>
            <w:tcW w:w="1971" w:type="dxa"/>
            <w:tcBorders>
              <w:top w:val="single" w:sz="4" w:space="0" w:color="auto"/>
              <w:left w:val="single" w:sz="4" w:space="0" w:color="auto"/>
              <w:bottom w:val="single" w:sz="4" w:space="0" w:color="auto"/>
              <w:right w:val="single" w:sz="4" w:space="0" w:color="auto"/>
            </w:tcBorders>
            <w:hideMark/>
          </w:tcPr>
          <w:p w:rsidR="003D327B" w:rsidRPr="00E109BB" w:rsidRDefault="003D327B" w:rsidP="00DD5F77">
            <w:pPr>
              <w:spacing w:line="360" w:lineRule="auto"/>
              <w:contextualSpacing/>
              <w:jc w:val="both"/>
              <w:rPr>
                <w:rFonts w:eastAsia="Calibri"/>
                <w:b/>
                <w:sz w:val="24"/>
                <w:szCs w:val="24"/>
              </w:rPr>
            </w:pPr>
            <w:r w:rsidRPr="00E109BB">
              <w:rPr>
                <w:rFonts w:eastAsia="Calibri"/>
                <w:b/>
                <w:sz w:val="24"/>
                <w:szCs w:val="24"/>
              </w:rPr>
              <w:t>Estimated values</w:t>
            </w:r>
          </w:p>
        </w:tc>
        <w:tc>
          <w:tcPr>
            <w:tcW w:w="1402" w:type="dxa"/>
            <w:tcBorders>
              <w:top w:val="single" w:sz="4" w:space="0" w:color="auto"/>
              <w:left w:val="single" w:sz="4" w:space="0" w:color="auto"/>
              <w:bottom w:val="single" w:sz="4" w:space="0" w:color="auto"/>
              <w:right w:val="single" w:sz="4" w:space="0" w:color="auto"/>
            </w:tcBorders>
            <w:hideMark/>
          </w:tcPr>
          <w:p w:rsidR="003D327B" w:rsidRPr="00E109BB" w:rsidRDefault="003D327B" w:rsidP="00DD5F77">
            <w:pPr>
              <w:spacing w:line="360" w:lineRule="auto"/>
              <w:contextualSpacing/>
              <w:jc w:val="both"/>
              <w:rPr>
                <w:rFonts w:eastAsia="Calibri"/>
                <w:b/>
                <w:sz w:val="24"/>
                <w:szCs w:val="24"/>
              </w:rPr>
            </w:pPr>
            <w:r w:rsidRPr="00E109BB">
              <w:rPr>
                <w:rFonts w:eastAsia="Calibri"/>
                <w:b/>
                <w:sz w:val="24"/>
                <w:szCs w:val="24"/>
              </w:rPr>
              <w:t>Parameters</w:t>
            </w:r>
          </w:p>
        </w:tc>
        <w:tc>
          <w:tcPr>
            <w:tcW w:w="2024" w:type="dxa"/>
            <w:tcBorders>
              <w:top w:val="single" w:sz="4" w:space="0" w:color="auto"/>
              <w:left w:val="single" w:sz="4" w:space="0" w:color="auto"/>
              <w:bottom w:val="single" w:sz="4" w:space="0" w:color="auto"/>
              <w:right w:val="single" w:sz="4" w:space="0" w:color="auto"/>
            </w:tcBorders>
            <w:hideMark/>
          </w:tcPr>
          <w:p w:rsidR="003D327B" w:rsidRPr="00E109BB" w:rsidRDefault="003D327B" w:rsidP="00DD5F77">
            <w:pPr>
              <w:spacing w:line="360" w:lineRule="auto"/>
              <w:contextualSpacing/>
              <w:jc w:val="both"/>
              <w:rPr>
                <w:rFonts w:eastAsia="Calibri"/>
                <w:b/>
                <w:sz w:val="24"/>
                <w:szCs w:val="24"/>
              </w:rPr>
            </w:pPr>
            <w:r w:rsidRPr="00E109BB">
              <w:rPr>
                <w:rFonts w:eastAsia="Calibri"/>
                <w:b/>
                <w:sz w:val="24"/>
                <w:szCs w:val="24"/>
              </w:rPr>
              <w:t>Estimated values</w:t>
            </w:r>
          </w:p>
        </w:tc>
      </w:tr>
      <w:tr w:rsidR="003D327B" w:rsidRPr="00515572" w:rsidTr="00B67374">
        <w:trPr>
          <w:jc w:val="center"/>
        </w:trPr>
        <w:tc>
          <w:tcPr>
            <w:tcW w:w="1402" w:type="dxa"/>
            <w:tcBorders>
              <w:top w:val="single" w:sz="4" w:space="0" w:color="auto"/>
              <w:left w:val="single" w:sz="4" w:space="0" w:color="auto"/>
              <w:bottom w:val="single" w:sz="4" w:space="0" w:color="auto"/>
              <w:right w:val="single" w:sz="4" w:space="0" w:color="auto"/>
            </w:tcBorders>
            <w:hideMark/>
          </w:tcPr>
          <w:p w:rsidR="003D327B" w:rsidRPr="00E109BB" w:rsidRDefault="003D327B" w:rsidP="00DD5F77">
            <w:pPr>
              <w:spacing w:line="360" w:lineRule="auto"/>
              <w:contextualSpacing/>
              <w:jc w:val="both"/>
              <w:rPr>
                <w:rFonts w:eastAsia="Calibri"/>
                <w:b/>
                <w:sz w:val="24"/>
                <w:szCs w:val="24"/>
              </w:rPr>
            </w:pPr>
            <w:r w:rsidRPr="00E109BB">
              <w:rPr>
                <w:b/>
                <w:i/>
                <w:iCs/>
                <w:sz w:val="24"/>
                <w:szCs w:val="24"/>
              </w:rPr>
              <w:t>L</w:t>
            </w:r>
            <w:r w:rsidRPr="00E109BB">
              <w:rPr>
                <w:b/>
                <w:i/>
                <w:iCs/>
                <w:sz w:val="24"/>
                <w:szCs w:val="24"/>
                <w:vertAlign w:val="subscript"/>
              </w:rPr>
              <w:t>∞</w:t>
            </w:r>
            <w:r w:rsidRPr="00E109BB">
              <w:rPr>
                <w:rFonts w:eastAsia="Calibri"/>
                <w:b/>
                <w:sz w:val="24"/>
                <w:szCs w:val="24"/>
              </w:rPr>
              <w:t xml:space="preserve"> (cm)</w:t>
            </w:r>
          </w:p>
        </w:tc>
        <w:tc>
          <w:tcPr>
            <w:tcW w:w="1971"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58.8</w:t>
            </w:r>
          </w:p>
        </w:tc>
        <w:tc>
          <w:tcPr>
            <w:tcW w:w="1402" w:type="dxa"/>
            <w:tcBorders>
              <w:top w:val="single" w:sz="4" w:space="0" w:color="auto"/>
              <w:left w:val="single" w:sz="4" w:space="0" w:color="auto"/>
              <w:bottom w:val="single" w:sz="4" w:space="0" w:color="auto"/>
              <w:right w:val="single" w:sz="4" w:space="0" w:color="auto"/>
            </w:tcBorders>
            <w:hideMark/>
          </w:tcPr>
          <w:p w:rsidR="003D327B" w:rsidRPr="00E109BB" w:rsidRDefault="003D327B" w:rsidP="00DD5F77">
            <w:pPr>
              <w:spacing w:line="360" w:lineRule="auto"/>
              <w:contextualSpacing/>
              <w:jc w:val="both"/>
              <w:rPr>
                <w:rFonts w:eastAsia="Calibri"/>
                <w:b/>
                <w:sz w:val="24"/>
                <w:szCs w:val="24"/>
              </w:rPr>
            </w:pPr>
            <w:r w:rsidRPr="00E109BB">
              <w:rPr>
                <w:rFonts w:eastAsia="Calibri"/>
                <w:b/>
                <w:sz w:val="24"/>
                <w:szCs w:val="24"/>
              </w:rPr>
              <w:t>E</w:t>
            </w:r>
          </w:p>
        </w:tc>
        <w:tc>
          <w:tcPr>
            <w:tcW w:w="2024"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0.17</w:t>
            </w:r>
          </w:p>
        </w:tc>
      </w:tr>
      <w:tr w:rsidR="003D327B" w:rsidRPr="00515572" w:rsidTr="00B67374">
        <w:trPr>
          <w:jc w:val="center"/>
        </w:trPr>
        <w:tc>
          <w:tcPr>
            <w:tcW w:w="1402" w:type="dxa"/>
            <w:tcBorders>
              <w:top w:val="single" w:sz="4" w:space="0" w:color="auto"/>
              <w:left w:val="single" w:sz="4" w:space="0" w:color="auto"/>
              <w:bottom w:val="single" w:sz="4" w:space="0" w:color="auto"/>
              <w:right w:val="single" w:sz="4" w:space="0" w:color="auto"/>
            </w:tcBorders>
            <w:hideMark/>
          </w:tcPr>
          <w:p w:rsidR="003D327B" w:rsidRPr="00E109BB" w:rsidRDefault="003D327B" w:rsidP="00DD5F77">
            <w:pPr>
              <w:spacing w:line="360" w:lineRule="auto"/>
              <w:contextualSpacing/>
              <w:jc w:val="both"/>
              <w:rPr>
                <w:rFonts w:eastAsia="Calibri"/>
                <w:b/>
                <w:sz w:val="24"/>
                <w:szCs w:val="24"/>
              </w:rPr>
            </w:pPr>
            <w:r w:rsidRPr="00E109BB">
              <w:rPr>
                <w:rFonts w:eastAsia="Calibri"/>
                <w:b/>
                <w:i/>
                <w:iCs/>
                <w:sz w:val="24"/>
                <w:szCs w:val="24"/>
              </w:rPr>
              <w:t>K</w:t>
            </w:r>
            <w:r w:rsidRPr="00E109BB">
              <w:rPr>
                <w:rFonts w:eastAsia="Calibri"/>
                <w:b/>
                <w:sz w:val="24"/>
                <w:szCs w:val="24"/>
                <w:vertAlign w:val="superscript"/>
              </w:rPr>
              <w:t>-1</w:t>
            </w:r>
          </w:p>
        </w:tc>
        <w:tc>
          <w:tcPr>
            <w:tcW w:w="1971"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0.260</w:t>
            </w:r>
          </w:p>
        </w:tc>
        <w:tc>
          <w:tcPr>
            <w:tcW w:w="1402" w:type="dxa"/>
            <w:tcBorders>
              <w:top w:val="single" w:sz="4" w:space="0" w:color="auto"/>
              <w:left w:val="single" w:sz="4" w:space="0" w:color="auto"/>
              <w:bottom w:val="single" w:sz="4" w:space="0" w:color="auto"/>
              <w:right w:val="single" w:sz="4" w:space="0" w:color="auto"/>
            </w:tcBorders>
            <w:hideMark/>
          </w:tcPr>
          <w:p w:rsidR="003D327B" w:rsidRPr="00E109BB" w:rsidRDefault="003D327B" w:rsidP="00DD5F77">
            <w:pPr>
              <w:spacing w:line="360" w:lineRule="auto"/>
              <w:contextualSpacing/>
              <w:jc w:val="both"/>
              <w:rPr>
                <w:rFonts w:eastAsia="Calibri"/>
                <w:b/>
                <w:sz w:val="24"/>
                <w:szCs w:val="24"/>
              </w:rPr>
            </w:pPr>
            <w:r w:rsidRPr="00E109BB">
              <w:rPr>
                <w:rFonts w:eastAsia="Calibri"/>
                <w:b/>
                <w:sz w:val="24"/>
                <w:szCs w:val="24"/>
              </w:rPr>
              <w:t>E</w:t>
            </w:r>
            <w:r w:rsidRPr="00E109BB">
              <w:rPr>
                <w:rFonts w:eastAsia="Calibri"/>
                <w:b/>
                <w:sz w:val="24"/>
                <w:szCs w:val="24"/>
                <w:vertAlign w:val="subscript"/>
              </w:rPr>
              <w:t>0.1</w:t>
            </w:r>
          </w:p>
        </w:tc>
        <w:tc>
          <w:tcPr>
            <w:tcW w:w="2024"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0.418</w:t>
            </w:r>
          </w:p>
        </w:tc>
      </w:tr>
      <w:tr w:rsidR="003D327B" w:rsidRPr="00515572" w:rsidTr="00B67374">
        <w:trPr>
          <w:jc w:val="center"/>
        </w:trPr>
        <w:tc>
          <w:tcPr>
            <w:tcW w:w="1402" w:type="dxa"/>
            <w:tcBorders>
              <w:top w:val="single" w:sz="4" w:space="0" w:color="auto"/>
              <w:left w:val="single" w:sz="4" w:space="0" w:color="auto"/>
              <w:bottom w:val="single" w:sz="4" w:space="0" w:color="auto"/>
              <w:right w:val="single" w:sz="4" w:space="0" w:color="auto"/>
            </w:tcBorders>
            <w:hideMark/>
          </w:tcPr>
          <w:p w:rsidR="003D327B" w:rsidRPr="00E109BB" w:rsidRDefault="003D327B" w:rsidP="00DD5F77">
            <w:pPr>
              <w:spacing w:line="360" w:lineRule="auto"/>
              <w:contextualSpacing/>
              <w:jc w:val="both"/>
              <w:rPr>
                <w:rFonts w:eastAsia="Calibri"/>
                <w:b/>
                <w:sz w:val="24"/>
                <w:szCs w:val="24"/>
              </w:rPr>
            </w:pPr>
            <w:r w:rsidRPr="00E109BB">
              <w:rPr>
                <w:rFonts w:eastAsia="Calibri"/>
                <w:b/>
                <w:sz w:val="24"/>
                <w:szCs w:val="24"/>
              </w:rPr>
              <w:t>t</w:t>
            </w:r>
            <w:r w:rsidRPr="00E109BB">
              <w:rPr>
                <w:rFonts w:eastAsia="Calibri"/>
                <w:b/>
                <w:sz w:val="24"/>
                <w:szCs w:val="24"/>
                <w:vertAlign w:val="subscript"/>
              </w:rPr>
              <w:t>0</w:t>
            </w:r>
          </w:p>
        </w:tc>
        <w:tc>
          <w:tcPr>
            <w:tcW w:w="1971"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spacing w:line="360" w:lineRule="auto"/>
              <w:contextualSpacing/>
              <w:jc w:val="center"/>
              <w:rPr>
                <w:rFonts w:eastAsia="Calibri"/>
                <w:color w:val="000000"/>
                <w:sz w:val="24"/>
                <w:szCs w:val="24"/>
              </w:rPr>
            </w:pPr>
            <w:r w:rsidRPr="00515572">
              <w:rPr>
                <w:rFonts w:eastAsia="Calibri"/>
                <w:sz w:val="24"/>
                <w:szCs w:val="24"/>
              </w:rPr>
              <w:t>-0.273</w:t>
            </w:r>
          </w:p>
        </w:tc>
        <w:tc>
          <w:tcPr>
            <w:tcW w:w="1402" w:type="dxa"/>
            <w:tcBorders>
              <w:top w:val="single" w:sz="4" w:space="0" w:color="auto"/>
              <w:left w:val="single" w:sz="4" w:space="0" w:color="auto"/>
              <w:bottom w:val="single" w:sz="4" w:space="0" w:color="auto"/>
              <w:right w:val="single" w:sz="4" w:space="0" w:color="auto"/>
            </w:tcBorders>
            <w:hideMark/>
          </w:tcPr>
          <w:p w:rsidR="003D327B" w:rsidRPr="00E109BB" w:rsidRDefault="003D327B" w:rsidP="00DD5F77">
            <w:pPr>
              <w:spacing w:line="360" w:lineRule="auto"/>
              <w:contextualSpacing/>
              <w:jc w:val="both"/>
              <w:rPr>
                <w:rFonts w:eastAsia="Calibri"/>
                <w:b/>
                <w:sz w:val="24"/>
                <w:szCs w:val="24"/>
              </w:rPr>
            </w:pPr>
            <w:r w:rsidRPr="00E109BB">
              <w:rPr>
                <w:rFonts w:eastAsia="Calibri"/>
                <w:b/>
                <w:sz w:val="24"/>
                <w:szCs w:val="24"/>
              </w:rPr>
              <w:t>E</w:t>
            </w:r>
            <w:r w:rsidRPr="00E109BB">
              <w:rPr>
                <w:rFonts w:eastAsia="Calibri"/>
                <w:b/>
                <w:sz w:val="24"/>
                <w:szCs w:val="24"/>
                <w:vertAlign w:val="subscript"/>
              </w:rPr>
              <w:t>0.5</w:t>
            </w:r>
          </w:p>
        </w:tc>
        <w:tc>
          <w:tcPr>
            <w:tcW w:w="2024"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0.312</w:t>
            </w:r>
          </w:p>
        </w:tc>
      </w:tr>
      <w:tr w:rsidR="003D327B" w:rsidRPr="00515572" w:rsidTr="00B67374">
        <w:trPr>
          <w:jc w:val="center"/>
        </w:trPr>
        <w:tc>
          <w:tcPr>
            <w:tcW w:w="1402" w:type="dxa"/>
            <w:tcBorders>
              <w:top w:val="single" w:sz="4" w:space="0" w:color="auto"/>
              <w:left w:val="single" w:sz="4" w:space="0" w:color="auto"/>
              <w:bottom w:val="single" w:sz="4" w:space="0" w:color="auto"/>
              <w:right w:val="single" w:sz="4" w:space="0" w:color="auto"/>
            </w:tcBorders>
            <w:hideMark/>
          </w:tcPr>
          <w:p w:rsidR="003D327B" w:rsidRPr="00E109BB" w:rsidRDefault="003D327B" w:rsidP="00DD5F77">
            <w:pPr>
              <w:spacing w:line="360" w:lineRule="auto"/>
              <w:contextualSpacing/>
              <w:jc w:val="both"/>
              <w:rPr>
                <w:rFonts w:eastAsia="Calibri"/>
                <w:b/>
                <w:sz w:val="24"/>
                <w:szCs w:val="24"/>
              </w:rPr>
            </w:pPr>
            <w:r w:rsidRPr="00E109BB">
              <w:rPr>
                <w:rFonts w:eastAsia="Calibri"/>
                <w:b/>
                <w:sz w:val="24"/>
                <w:szCs w:val="24"/>
              </w:rPr>
              <w:t>Phi ꝋ</w:t>
            </w:r>
          </w:p>
        </w:tc>
        <w:tc>
          <w:tcPr>
            <w:tcW w:w="1971"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2.954</w:t>
            </w:r>
          </w:p>
        </w:tc>
        <w:tc>
          <w:tcPr>
            <w:tcW w:w="1402" w:type="dxa"/>
            <w:tcBorders>
              <w:top w:val="single" w:sz="4" w:space="0" w:color="auto"/>
              <w:left w:val="single" w:sz="4" w:space="0" w:color="auto"/>
              <w:bottom w:val="single" w:sz="4" w:space="0" w:color="auto"/>
              <w:right w:val="single" w:sz="4" w:space="0" w:color="auto"/>
            </w:tcBorders>
            <w:hideMark/>
          </w:tcPr>
          <w:p w:rsidR="003D327B" w:rsidRPr="00E109BB" w:rsidRDefault="003D327B" w:rsidP="00DD5F77">
            <w:pPr>
              <w:spacing w:line="360" w:lineRule="auto"/>
              <w:contextualSpacing/>
              <w:jc w:val="both"/>
              <w:rPr>
                <w:rFonts w:eastAsia="Calibri"/>
                <w:b/>
                <w:sz w:val="24"/>
                <w:szCs w:val="24"/>
              </w:rPr>
            </w:pPr>
            <w:r w:rsidRPr="00E109BB">
              <w:rPr>
                <w:rFonts w:eastAsia="Calibri"/>
                <w:b/>
                <w:sz w:val="24"/>
                <w:szCs w:val="24"/>
              </w:rPr>
              <w:t>E</w:t>
            </w:r>
            <w:r w:rsidRPr="00E109BB">
              <w:rPr>
                <w:rFonts w:eastAsia="Calibri"/>
                <w:b/>
                <w:i/>
                <w:iCs/>
                <w:sz w:val="24"/>
                <w:szCs w:val="24"/>
                <w:vertAlign w:val="subscript"/>
              </w:rPr>
              <w:t>max</w:t>
            </w:r>
          </w:p>
        </w:tc>
        <w:tc>
          <w:tcPr>
            <w:tcW w:w="2024"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0.499</w:t>
            </w:r>
          </w:p>
        </w:tc>
      </w:tr>
      <w:tr w:rsidR="003D327B" w:rsidRPr="00515572" w:rsidTr="00B67374">
        <w:trPr>
          <w:jc w:val="center"/>
        </w:trPr>
        <w:tc>
          <w:tcPr>
            <w:tcW w:w="1402" w:type="dxa"/>
            <w:tcBorders>
              <w:top w:val="single" w:sz="4" w:space="0" w:color="auto"/>
              <w:left w:val="single" w:sz="4" w:space="0" w:color="auto"/>
              <w:bottom w:val="single" w:sz="4" w:space="0" w:color="auto"/>
              <w:right w:val="single" w:sz="4" w:space="0" w:color="auto"/>
            </w:tcBorders>
            <w:hideMark/>
          </w:tcPr>
          <w:p w:rsidR="003D327B" w:rsidRPr="00E109BB" w:rsidRDefault="003D327B" w:rsidP="00DD5F77">
            <w:pPr>
              <w:spacing w:line="360" w:lineRule="auto"/>
              <w:contextualSpacing/>
              <w:jc w:val="both"/>
              <w:rPr>
                <w:rFonts w:eastAsia="Calibri"/>
                <w:b/>
                <w:sz w:val="24"/>
                <w:szCs w:val="24"/>
              </w:rPr>
            </w:pPr>
            <w:r w:rsidRPr="00E109BB">
              <w:rPr>
                <w:rFonts w:eastAsia="Calibri"/>
                <w:b/>
                <w:sz w:val="24"/>
                <w:szCs w:val="24"/>
              </w:rPr>
              <w:t>Z</w:t>
            </w:r>
          </w:p>
        </w:tc>
        <w:tc>
          <w:tcPr>
            <w:tcW w:w="1971"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0.69</w:t>
            </w:r>
          </w:p>
        </w:tc>
        <w:tc>
          <w:tcPr>
            <w:tcW w:w="1402" w:type="dxa"/>
            <w:tcBorders>
              <w:top w:val="single" w:sz="4" w:space="0" w:color="auto"/>
              <w:left w:val="single" w:sz="4" w:space="0" w:color="auto"/>
              <w:bottom w:val="single" w:sz="4" w:space="0" w:color="auto"/>
              <w:right w:val="single" w:sz="4" w:space="0" w:color="auto"/>
            </w:tcBorders>
            <w:hideMark/>
          </w:tcPr>
          <w:p w:rsidR="003D327B" w:rsidRPr="00E109BB" w:rsidRDefault="003D327B" w:rsidP="00DD5F77">
            <w:pPr>
              <w:spacing w:line="360" w:lineRule="auto"/>
              <w:contextualSpacing/>
              <w:jc w:val="both"/>
              <w:rPr>
                <w:rFonts w:eastAsia="Calibri"/>
                <w:b/>
                <w:sz w:val="24"/>
                <w:szCs w:val="24"/>
              </w:rPr>
            </w:pPr>
            <w:r w:rsidRPr="00E109BB">
              <w:rPr>
                <w:rFonts w:eastAsia="Calibri"/>
                <w:b/>
                <w:i/>
                <w:iCs/>
                <w:sz w:val="24"/>
                <w:szCs w:val="24"/>
              </w:rPr>
              <w:t>L</w:t>
            </w:r>
            <w:r w:rsidRPr="00E109BB">
              <w:rPr>
                <w:rFonts w:eastAsia="Calibri"/>
                <w:b/>
                <w:i/>
                <w:iCs/>
                <w:sz w:val="24"/>
                <w:szCs w:val="24"/>
                <w:vertAlign w:val="subscript"/>
              </w:rPr>
              <w:t>25</w:t>
            </w:r>
          </w:p>
        </w:tc>
        <w:tc>
          <w:tcPr>
            <w:tcW w:w="2024"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14.94</w:t>
            </w:r>
          </w:p>
        </w:tc>
      </w:tr>
      <w:tr w:rsidR="003D327B" w:rsidRPr="00515572" w:rsidTr="00B67374">
        <w:trPr>
          <w:jc w:val="center"/>
        </w:trPr>
        <w:tc>
          <w:tcPr>
            <w:tcW w:w="1402" w:type="dxa"/>
            <w:tcBorders>
              <w:top w:val="single" w:sz="4" w:space="0" w:color="auto"/>
              <w:left w:val="single" w:sz="4" w:space="0" w:color="auto"/>
              <w:bottom w:val="single" w:sz="4" w:space="0" w:color="auto"/>
              <w:right w:val="single" w:sz="4" w:space="0" w:color="auto"/>
            </w:tcBorders>
            <w:hideMark/>
          </w:tcPr>
          <w:p w:rsidR="003D327B" w:rsidRPr="00E109BB" w:rsidRDefault="003D327B" w:rsidP="00DD5F77">
            <w:pPr>
              <w:spacing w:line="360" w:lineRule="auto"/>
              <w:contextualSpacing/>
              <w:jc w:val="both"/>
              <w:rPr>
                <w:rFonts w:eastAsia="Calibri"/>
                <w:b/>
                <w:sz w:val="24"/>
                <w:szCs w:val="24"/>
              </w:rPr>
            </w:pPr>
            <w:r w:rsidRPr="00E109BB">
              <w:rPr>
                <w:rFonts w:eastAsia="Calibri"/>
                <w:b/>
                <w:sz w:val="24"/>
                <w:szCs w:val="24"/>
              </w:rPr>
              <w:t>M</w:t>
            </w:r>
          </w:p>
        </w:tc>
        <w:tc>
          <w:tcPr>
            <w:tcW w:w="1971"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0.58</w:t>
            </w:r>
          </w:p>
        </w:tc>
        <w:tc>
          <w:tcPr>
            <w:tcW w:w="1402" w:type="dxa"/>
            <w:tcBorders>
              <w:top w:val="single" w:sz="4" w:space="0" w:color="auto"/>
              <w:left w:val="single" w:sz="4" w:space="0" w:color="auto"/>
              <w:bottom w:val="single" w:sz="4" w:space="0" w:color="auto"/>
              <w:right w:val="single" w:sz="4" w:space="0" w:color="auto"/>
            </w:tcBorders>
            <w:hideMark/>
          </w:tcPr>
          <w:p w:rsidR="003D327B" w:rsidRPr="00E109BB" w:rsidRDefault="003D327B" w:rsidP="00DD5F77">
            <w:pPr>
              <w:spacing w:line="360" w:lineRule="auto"/>
              <w:contextualSpacing/>
              <w:jc w:val="both"/>
              <w:rPr>
                <w:rFonts w:eastAsia="Calibri"/>
                <w:b/>
                <w:sz w:val="24"/>
                <w:szCs w:val="24"/>
              </w:rPr>
            </w:pPr>
            <w:r w:rsidRPr="00E109BB">
              <w:rPr>
                <w:rFonts w:eastAsia="Calibri"/>
                <w:b/>
                <w:i/>
                <w:iCs/>
                <w:sz w:val="24"/>
                <w:szCs w:val="24"/>
              </w:rPr>
              <w:t>L</w:t>
            </w:r>
            <w:r w:rsidRPr="00E109BB">
              <w:rPr>
                <w:rFonts w:eastAsia="Calibri"/>
                <w:b/>
                <w:i/>
                <w:iCs/>
                <w:sz w:val="24"/>
                <w:szCs w:val="24"/>
                <w:vertAlign w:val="subscript"/>
              </w:rPr>
              <w:t>50</w:t>
            </w:r>
          </w:p>
        </w:tc>
        <w:tc>
          <w:tcPr>
            <w:tcW w:w="2024"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21.10</w:t>
            </w:r>
          </w:p>
        </w:tc>
      </w:tr>
      <w:tr w:rsidR="003D327B" w:rsidRPr="00515572" w:rsidTr="00B67374">
        <w:trPr>
          <w:jc w:val="center"/>
        </w:trPr>
        <w:tc>
          <w:tcPr>
            <w:tcW w:w="1402" w:type="dxa"/>
            <w:tcBorders>
              <w:top w:val="single" w:sz="4" w:space="0" w:color="auto"/>
              <w:left w:val="single" w:sz="4" w:space="0" w:color="auto"/>
              <w:bottom w:val="single" w:sz="4" w:space="0" w:color="auto"/>
              <w:right w:val="single" w:sz="4" w:space="0" w:color="auto"/>
            </w:tcBorders>
            <w:hideMark/>
          </w:tcPr>
          <w:p w:rsidR="003D327B" w:rsidRPr="00E109BB" w:rsidRDefault="003D327B" w:rsidP="00DD5F77">
            <w:pPr>
              <w:spacing w:line="360" w:lineRule="auto"/>
              <w:contextualSpacing/>
              <w:jc w:val="both"/>
              <w:rPr>
                <w:rFonts w:eastAsia="Calibri"/>
                <w:b/>
                <w:sz w:val="24"/>
                <w:szCs w:val="24"/>
              </w:rPr>
            </w:pPr>
            <w:r w:rsidRPr="00E109BB">
              <w:rPr>
                <w:rFonts w:eastAsia="Calibri"/>
                <w:b/>
                <w:sz w:val="24"/>
                <w:szCs w:val="24"/>
              </w:rPr>
              <w:lastRenderedPageBreak/>
              <w:t>F</w:t>
            </w:r>
          </w:p>
        </w:tc>
        <w:tc>
          <w:tcPr>
            <w:tcW w:w="1971"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0.11</w:t>
            </w:r>
          </w:p>
        </w:tc>
        <w:tc>
          <w:tcPr>
            <w:tcW w:w="1402" w:type="dxa"/>
            <w:tcBorders>
              <w:top w:val="single" w:sz="4" w:space="0" w:color="auto"/>
              <w:left w:val="single" w:sz="4" w:space="0" w:color="auto"/>
              <w:bottom w:val="single" w:sz="4" w:space="0" w:color="auto"/>
              <w:right w:val="single" w:sz="4" w:space="0" w:color="auto"/>
            </w:tcBorders>
            <w:hideMark/>
          </w:tcPr>
          <w:p w:rsidR="003D327B" w:rsidRPr="00E109BB" w:rsidRDefault="003D327B" w:rsidP="00DD5F77">
            <w:pPr>
              <w:spacing w:line="360" w:lineRule="auto"/>
              <w:contextualSpacing/>
              <w:jc w:val="both"/>
              <w:rPr>
                <w:rFonts w:eastAsia="Calibri"/>
                <w:b/>
                <w:sz w:val="24"/>
                <w:szCs w:val="24"/>
              </w:rPr>
            </w:pPr>
            <w:r w:rsidRPr="00E109BB">
              <w:rPr>
                <w:rFonts w:eastAsia="Calibri"/>
                <w:b/>
                <w:i/>
                <w:iCs/>
                <w:sz w:val="24"/>
                <w:szCs w:val="24"/>
              </w:rPr>
              <w:t>L</w:t>
            </w:r>
            <w:r w:rsidRPr="00E109BB">
              <w:rPr>
                <w:rFonts w:eastAsia="Calibri"/>
                <w:b/>
                <w:i/>
                <w:iCs/>
                <w:sz w:val="24"/>
                <w:szCs w:val="24"/>
                <w:vertAlign w:val="subscript"/>
              </w:rPr>
              <w:t>75</w:t>
            </w:r>
          </w:p>
        </w:tc>
        <w:tc>
          <w:tcPr>
            <w:tcW w:w="2024"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22.60</w:t>
            </w:r>
          </w:p>
        </w:tc>
      </w:tr>
      <w:tr w:rsidR="003D327B" w:rsidRPr="00515572" w:rsidTr="00B67374">
        <w:trPr>
          <w:jc w:val="center"/>
        </w:trPr>
        <w:tc>
          <w:tcPr>
            <w:tcW w:w="1402" w:type="dxa"/>
            <w:tcBorders>
              <w:top w:val="single" w:sz="4" w:space="0" w:color="auto"/>
              <w:left w:val="single" w:sz="4" w:space="0" w:color="auto"/>
              <w:bottom w:val="single" w:sz="4" w:space="0" w:color="auto"/>
              <w:right w:val="single" w:sz="4" w:space="0" w:color="auto"/>
            </w:tcBorders>
            <w:hideMark/>
          </w:tcPr>
          <w:p w:rsidR="003D327B" w:rsidRPr="00E109BB" w:rsidRDefault="003D327B" w:rsidP="00DD5F77">
            <w:pPr>
              <w:spacing w:line="360" w:lineRule="auto"/>
              <w:contextualSpacing/>
              <w:jc w:val="both"/>
              <w:rPr>
                <w:rFonts w:eastAsia="Calibri"/>
                <w:b/>
                <w:i/>
                <w:iCs/>
                <w:sz w:val="24"/>
                <w:szCs w:val="24"/>
              </w:rPr>
            </w:pPr>
            <w:r w:rsidRPr="00E109BB">
              <w:rPr>
                <w:rFonts w:eastAsia="Calibri"/>
                <w:b/>
                <w:i/>
                <w:iCs/>
                <w:sz w:val="24"/>
                <w:szCs w:val="24"/>
              </w:rPr>
              <w:t>L</w:t>
            </w:r>
            <w:r w:rsidRPr="00E109BB">
              <w:rPr>
                <w:rFonts w:eastAsia="Calibri"/>
                <w:b/>
                <w:i/>
                <w:iCs/>
                <w:sz w:val="24"/>
                <w:szCs w:val="24"/>
                <w:vertAlign w:val="subscript"/>
              </w:rPr>
              <w:t>c</w:t>
            </w:r>
            <w:r w:rsidRPr="00E109BB">
              <w:rPr>
                <w:rFonts w:eastAsia="Calibri"/>
                <w:b/>
                <w:i/>
                <w:iCs/>
                <w:sz w:val="24"/>
                <w:szCs w:val="24"/>
              </w:rPr>
              <w:t>/</w:t>
            </w:r>
            <w:r w:rsidRPr="00E109BB">
              <w:rPr>
                <w:rFonts w:eastAsia="Calibri"/>
                <w:b/>
                <w:i/>
                <w:iCs/>
                <w:sz w:val="24"/>
                <w:szCs w:val="24"/>
                <w:vertAlign w:val="subscript"/>
              </w:rPr>
              <w:t>L∞</w:t>
            </w:r>
          </w:p>
        </w:tc>
        <w:tc>
          <w:tcPr>
            <w:tcW w:w="1971"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spacing w:line="360" w:lineRule="auto"/>
              <w:contextualSpacing/>
              <w:jc w:val="center"/>
              <w:rPr>
                <w:rFonts w:eastAsia="Calibri"/>
                <w:color w:val="000000"/>
                <w:sz w:val="24"/>
                <w:szCs w:val="24"/>
              </w:rPr>
            </w:pPr>
            <w:r w:rsidRPr="00515572">
              <w:rPr>
                <w:rFonts w:eastAsia="Calibri"/>
                <w:color w:val="000000"/>
                <w:sz w:val="24"/>
                <w:szCs w:val="24"/>
              </w:rPr>
              <w:t>0.05</w:t>
            </w:r>
          </w:p>
        </w:tc>
        <w:tc>
          <w:tcPr>
            <w:tcW w:w="1402" w:type="dxa"/>
            <w:tcBorders>
              <w:top w:val="single" w:sz="4" w:space="0" w:color="auto"/>
              <w:left w:val="single" w:sz="4" w:space="0" w:color="auto"/>
              <w:bottom w:val="single" w:sz="4" w:space="0" w:color="auto"/>
              <w:right w:val="single" w:sz="4" w:space="0" w:color="auto"/>
            </w:tcBorders>
            <w:hideMark/>
          </w:tcPr>
          <w:p w:rsidR="003D327B" w:rsidRPr="00E109BB" w:rsidRDefault="003D327B" w:rsidP="00DD5F77">
            <w:pPr>
              <w:spacing w:line="360" w:lineRule="auto"/>
              <w:contextualSpacing/>
              <w:jc w:val="both"/>
              <w:rPr>
                <w:rFonts w:eastAsia="Calibri"/>
                <w:b/>
                <w:i/>
                <w:iCs/>
                <w:sz w:val="24"/>
                <w:szCs w:val="24"/>
                <w:vertAlign w:val="subscript"/>
              </w:rPr>
            </w:pPr>
            <w:r w:rsidRPr="00E109BB">
              <w:rPr>
                <w:rFonts w:eastAsia="Calibri"/>
                <w:b/>
                <w:i/>
                <w:iCs/>
                <w:sz w:val="24"/>
                <w:szCs w:val="24"/>
              </w:rPr>
              <w:t>L</w:t>
            </w:r>
            <w:r w:rsidRPr="00E109BB">
              <w:rPr>
                <w:rFonts w:eastAsia="Calibri"/>
                <w:b/>
                <w:i/>
                <w:iCs/>
                <w:sz w:val="24"/>
                <w:szCs w:val="24"/>
                <w:vertAlign w:val="subscript"/>
              </w:rPr>
              <w:t>opt</w:t>
            </w:r>
          </w:p>
        </w:tc>
        <w:tc>
          <w:tcPr>
            <w:tcW w:w="2024"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spacing w:line="360" w:lineRule="auto"/>
              <w:contextualSpacing/>
              <w:jc w:val="center"/>
              <w:rPr>
                <w:rFonts w:eastAsia="Calibri"/>
                <w:color w:val="000000"/>
                <w:sz w:val="24"/>
                <w:szCs w:val="24"/>
              </w:rPr>
            </w:pPr>
            <w:r w:rsidRPr="00515572">
              <w:rPr>
                <w:rFonts w:eastAsia="Calibri"/>
                <w:color w:val="000000"/>
                <w:sz w:val="24"/>
                <w:szCs w:val="24"/>
              </w:rPr>
              <w:t>33.72</w:t>
            </w:r>
          </w:p>
        </w:tc>
      </w:tr>
      <w:tr w:rsidR="003D327B" w:rsidRPr="00515572" w:rsidTr="00B67374">
        <w:trPr>
          <w:jc w:val="center"/>
        </w:trPr>
        <w:tc>
          <w:tcPr>
            <w:tcW w:w="1402" w:type="dxa"/>
            <w:tcBorders>
              <w:top w:val="single" w:sz="4" w:space="0" w:color="auto"/>
              <w:left w:val="single" w:sz="4" w:space="0" w:color="auto"/>
              <w:bottom w:val="single" w:sz="4" w:space="0" w:color="auto"/>
              <w:right w:val="single" w:sz="4" w:space="0" w:color="auto"/>
            </w:tcBorders>
            <w:hideMark/>
          </w:tcPr>
          <w:p w:rsidR="003D327B" w:rsidRPr="00E109BB" w:rsidRDefault="003D327B" w:rsidP="00DD5F77">
            <w:pPr>
              <w:spacing w:line="360" w:lineRule="auto"/>
              <w:contextualSpacing/>
              <w:jc w:val="both"/>
              <w:rPr>
                <w:rFonts w:eastAsia="Calibri"/>
                <w:b/>
                <w:sz w:val="24"/>
                <w:szCs w:val="24"/>
              </w:rPr>
            </w:pPr>
            <w:r w:rsidRPr="00E109BB">
              <w:rPr>
                <w:rFonts w:eastAsia="Calibri"/>
                <w:b/>
                <w:sz w:val="24"/>
                <w:szCs w:val="24"/>
              </w:rPr>
              <w:t>M/K</w:t>
            </w:r>
          </w:p>
        </w:tc>
        <w:tc>
          <w:tcPr>
            <w:tcW w:w="1971"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0.260</w:t>
            </w:r>
          </w:p>
        </w:tc>
        <w:tc>
          <w:tcPr>
            <w:tcW w:w="1402" w:type="dxa"/>
            <w:tcBorders>
              <w:top w:val="single" w:sz="4" w:space="0" w:color="auto"/>
              <w:left w:val="single" w:sz="4" w:space="0" w:color="auto"/>
              <w:bottom w:val="single" w:sz="4" w:space="0" w:color="auto"/>
              <w:right w:val="single" w:sz="4" w:space="0" w:color="auto"/>
            </w:tcBorders>
            <w:hideMark/>
          </w:tcPr>
          <w:p w:rsidR="003D327B" w:rsidRPr="00E109BB" w:rsidRDefault="003D327B" w:rsidP="00DD5F77">
            <w:pPr>
              <w:spacing w:line="360" w:lineRule="auto"/>
              <w:contextualSpacing/>
              <w:jc w:val="both"/>
              <w:rPr>
                <w:rFonts w:eastAsia="Calibri"/>
                <w:b/>
                <w:sz w:val="24"/>
                <w:szCs w:val="24"/>
              </w:rPr>
            </w:pPr>
            <w:r w:rsidRPr="00E109BB">
              <w:rPr>
                <w:rFonts w:eastAsia="Calibri"/>
                <w:b/>
                <w:sz w:val="24"/>
                <w:szCs w:val="24"/>
              </w:rPr>
              <w:t>Z/K</w:t>
            </w:r>
          </w:p>
        </w:tc>
        <w:tc>
          <w:tcPr>
            <w:tcW w:w="2024"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2.65</w:t>
            </w:r>
          </w:p>
        </w:tc>
      </w:tr>
      <w:tr w:rsidR="003D327B" w:rsidRPr="00515572" w:rsidTr="00B67374">
        <w:trPr>
          <w:jc w:val="center"/>
        </w:trPr>
        <w:tc>
          <w:tcPr>
            <w:tcW w:w="1402" w:type="dxa"/>
            <w:tcBorders>
              <w:top w:val="single" w:sz="4" w:space="0" w:color="auto"/>
              <w:left w:val="single" w:sz="4" w:space="0" w:color="auto"/>
              <w:bottom w:val="single" w:sz="4" w:space="0" w:color="auto"/>
              <w:right w:val="single" w:sz="4" w:space="0" w:color="auto"/>
            </w:tcBorders>
            <w:hideMark/>
          </w:tcPr>
          <w:p w:rsidR="003D327B" w:rsidRPr="00E109BB" w:rsidRDefault="003D327B" w:rsidP="00DD5F77">
            <w:pPr>
              <w:spacing w:line="360" w:lineRule="auto"/>
              <w:contextualSpacing/>
              <w:jc w:val="both"/>
              <w:rPr>
                <w:rFonts w:eastAsia="Calibri"/>
                <w:b/>
                <w:i/>
                <w:iCs/>
                <w:sz w:val="24"/>
                <w:szCs w:val="24"/>
                <w:vertAlign w:val="subscript"/>
              </w:rPr>
            </w:pPr>
            <w:r w:rsidRPr="00E109BB">
              <w:rPr>
                <w:rFonts w:eastAsia="Calibri"/>
                <w:b/>
                <w:sz w:val="24"/>
                <w:szCs w:val="24"/>
              </w:rPr>
              <w:t>F</w:t>
            </w:r>
            <w:r w:rsidRPr="00E109BB">
              <w:rPr>
                <w:rFonts w:eastAsia="Calibri"/>
                <w:b/>
                <w:i/>
                <w:iCs/>
                <w:sz w:val="24"/>
                <w:szCs w:val="24"/>
                <w:vertAlign w:val="subscript"/>
              </w:rPr>
              <w:t>max</w:t>
            </w:r>
          </w:p>
        </w:tc>
        <w:tc>
          <w:tcPr>
            <w:tcW w:w="1971"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spacing w:line="360" w:lineRule="auto"/>
              <w:contextualSpacing/>
              <w:jc w:val="center"/>
              <w:rPr>
                <w:rFonts w:eastAsia="Calibri"/>
                <w:color w:val="000000"/>
                <w:sz w:val="24"/>
                <w:szCs w:val="24"/>
              </w:rPr>
            </w:pPr>
            <w:r w:rsidRPr="00515572">
              <w:rPr>
                <w:rFonts w:eastAsia="Calibri"/>
                <w:color w:val="000000"/>
                <w:sz w:val="24"/>
                <w:szCs w:val="24"/>
              </w:rPr>
              <w:t>0.387</w:t>
            </w:r>
          </w:p>
        </w:tc>
        <w:tc>
          <w:tcPr>
            <w:tcW w:w="1402" w:type="dxa"/>
            <w:tcBorders>
              <w:top w:val="single" w:sz="4" w:space="0" w:color="auto"/>
              <w:left w:val="single" w:sz="4" w:space="0" w:color="auto"/>
              <w:bottom w:val="single" w:sz="4" w:space="0" w:color="auto"/>
              <w:right w:val="single" w:sz="4" w:space="0" w:color="auto"/>
            </w:tcBorders>
            <w:hideMark/>
          </w:tcPr>
          <w:p w:rsidR="003D327B" w:rsidRPr="00E109BB" w:rsidRDefault="003D327B" w:rsidP="00DD5F77">
            <w:pPr>
              <w:spacing w:line="360" w:lineRule="auto"/>
              <w:contextualSpacing/>
              <w:jc w:val="both"/>
              <w:rPr>
                <w:rFonts w:eastAsia="Calibri"/>
                <w:b/>
                <w:sz w:val="24"/>
                <w:szCs w:val="24"/>
                <w:vertAlign w:val="subscript"/>
              </w:rPr>
            </w:pPr>
            <w:r w:rsidRPr="00E109BB">
              <w:rPr>
                <w:rFonts w:eastAsia="Calibri"/>
                <w:b/>
                <w:i/>
                <w:iCs/>
                <w:sz w:val="24"/>
                <w:szCs w:val="24"/>
              </w:rPr>
              <w:t>L</w:t>
            </w:r>
            <w:r w:rsidRPr="00E109BB">
              <w:rPr>
                <w:rFonts w:eastAsia="Calibri"/>
                <w:b/>
                <w:sz w:val="24"/>
                <w:szCs w:val="24"/>
                <w:vertAlign w:val="subscript"/>
              </w:rPr>
              <w:t>c</w:t>
            </w:r>
          </w:p>
        </w:tc>
        <w:tc>
          <w:tcPr>
            <w:tcW w:w="2024"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14.3</w:t>
            </w:r>
          </w:p>
        </w:tc>
      </w:tr>
      <w:tr w:rsidR="003D327B" w:rsidRPr="00515572" w:rsidTr="00B67374">
        <w:trPr>
          <w:jc w:val="center"/>
        </w:trPr>
        <w:tc>
          <w:tcPr>
            <w:tcW w:w="1402" w:type="dxa"/>
            <w:tcBorders>
              <w:top w:val="single" w:sz="4" w:space="0" w:color="auto"/>
              <w:left w:val="single" w:sz="4" w:space="0" w:color="auto"/>
              <w:bottom w:val="single" w:sz="4" w:space="0" w:color="auto"/>
              <w:right w:val="single" w:sz="4" w:space="0" w:color="auto"/>
            </w:tcBorders>
            <w:hideMark/>
          </w:tcPr>
          <w:p w:rsidR="003D327B" w:rsidRPr="00E109BB" w:rsidRDefault="003D327B" w:rsidP="00DD5F77">
            <w:pPr>
              <w:spacing w:line="360" w:lineRule="auto"/>
              <w:contextualSpacing/>
              <w:jc w:val="both"/>
              <w:rPr>
                <w:rFonts w:eastAsia="Calibri"/>
                <w:b/>
                <w:i/>
                <w:iCs/>
                <w:sz w:val="24"/>
                <w:szCs w:val="24"/>
                <w:vertAlign w:val="subscript"/>
              </w:rPr>
            </w:pPr>
            <w:r w:rsidRPr="00E109BB">
              <w:rPr>
                <w:rFonts w:eastAsia="Calibri"/>
                <w:b/>
                <w:sz w:val="24"/>
                <w:szCs w:val="24"/>
              </w:rPr>
              <w:t>F</w:t>
            </w:r>
            <w:r w:rsidRPr="00E109BB">
              <w:rPr>
                <w:rFonts w:eastAsia="Calibri"/>
                <w:b/>
                <w:i/>
                <w:iCs/>
                <w:sz w:val="24"/>
                <w:szCs w:val="24"/>
                <w:vertAlign w:val="subscript"/>
              </w:rPr>
              <w:t>limit</w:t>
            </w:r>
          </w:p>
        </w:tc>
        <w:tc>
          <w:tcPr>
            <w:tcW w:w="1971"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spacing w:line="360" w:lineRule="auto"/>
              <w:contextualSpacing/>
              <w:jc w:val="center"/>
              <w:rPr>
                <w:rFonts w:eastAsia="Calibri"/>
                <w:color w:val="000000"/>
                <w:sz w:val="24"/>
                <w:szCs w:val="24"/>
              </w:rPr>
            </w:pPr>
            <w:r w:rsidRPr="00515572">
              <w:rPr>
                <w:rFonts w:eastAsia="Calibri"/>
                <w:color w:val="000000"/>
                <w:sz w:val="24"/>
                <w:szCs w:val="24"/>
              </w:rPr>
              <w:t>0.210</w:t>
            </w:r>
          </w:p>
        </w:tc>
        <w:tc>
          <w:tcPr>
            <w:tcW w:w="1402" w:type="dxa"/>
            <w:tcBorders>
              <w:top w:val="single" w:sz="4" w:space="0" w:color="auto"/>
              <w:left w:val="single" w:sz="4" w:space="0" w:color="auto"/>
              <w:bottom w:val="single" w:sz="4" w:space="0" w:color="auto"/>
              <w:right w:val="single" w:sz="4" w:space="0" w:color="auto"/>
            </w:tcBorders>
            <w:hideMark/>
          </w:tcPr>
          <w:p w:rsidR="003D327B" w:rsidRPr="00E109BB" w:rsidRDefault="003D327B" w:rsidP="00DD5F77">
            <w:pPr>
              <w:spacing w:line="360" w:lineRule="auto"/>
              <w:contextualSpacing/>
              <w:jc w:val="both"/>
              <w:rPr>
                <w:rFonts w:eastAsia="Calibri"/>
                <w:b/>
                <w:i/>
                <w:iCs/>
                <w:sz w:val="24"/>
                <w:szCs w:val="24"/>
                <w:vertAlign w:val="subscript"/>
              </w:rPr>
            </w:pPr>
            <w:r w:rsidRPr="00E109BB">
              <w:rPr>
                <w:rFonts w:eastAsia="Calibri"/>
                <w:b/>
                <w:sz w:val="24"/>
                <w:szCs w:val="24"/>
              </w:rPr>
              <w:t>T</w:t>
            </w:r>
            <w:r w:rsidRPr="00E109BB">
              <w:rPr>
                <w:rFonts w:eastAsia="Calibri"/>
                <w:b/>
                <w:i/>
                <w:iCs/>
                <w:sz w:val="24"/>
                <w:szCs w:val="24"/>
                <w:vertAlign w:val="subscript"/>
              </w:rPr>
              <w:t>max</w:t>
            </w:r>
          </w:p>
        </w:tc>
        <w:tc>
          <w:tcPr>
            <w:tcW w:w="2024"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11.27</w:t>
            </w:r>
          </w:p>
        </w:tc>
      </w:tr>
      <w:tr w:rsidR="003D327B" w:rsidRPr="00515572" w:rsidTr="00B67374">
        <w:trPr>
          <w:gridAfter w:val="2"/>
          <w:wAfter w:w="3426" w:type="dxa"/>
          <w:jc w:val="center"/>
        </w:trPr>
        <w:tc>
          <w:tcPr>
            <w:tcW w:w="1402" w:type="dxa"/>
            <w:tcBorders>
              <w:top w:val="single" w:sz="4" w:space="0" w:color="auto"/>
              <w:left w:val="single" w:sz="4" w:space="0" w:color="auto"/>
              <w:bottom w:val="single" w:sz="4" w:space="0" w:color="auto"/>
              <w:right w:val="single" w:sz="4" w:space="0" w:color="auto"/>
            </w:tcBorders>
            <w:hideMark/>
          </w:tcPr>
          <w:p w:rsidR="003D327B" w:rsidRPr="00E109BB" w:rsidRDefault="003D327B" w:rsidP="00DD5F77">
            <w:pPr>
              <w:spacing w:line="360" w:lineRule="auto"/>
              <w:contextualSpacing/>
              <w:jc w:val="both"/>
              <w:rPr>
                <w:rFonts w:eastAsia="Calibri"/>
                <w:b/>
                <w:i/>
                <w:iCs/>
                <w:sz w:val="24"/>
                <w:szCs w:val="24"/>
                <w:vertAlign w:val="subscript"/>
              </w:rPr>
            </w:pPr>
            <w:r w:rsidRPr="00E109BB">
              <w:rPr>
                <w:rFonts w:eastAsia="Calibri"/>
                <w:b/>
                <w:sz w:val="24"/>
                <w:szCs w:val="24"/>
              </w:rPr>
              <w:t>F</w:t>
            </w:r>
            <w:r w:rsidRPr="00E109BB">
              <w:rPr>
                <w:rFonts w:eastAsia="Calibri"/>
                <w:b/>
                <w:i/>
                <w:iCs/>
                <w:sz w:val="24"/>
                <w:szCs w:val="24"/>
                <w:vertAlign w:val="subscript"/>
              </w:rPr>
              <w:t>opt</w:t>
            </w:r>
          </w:p>
        </w:tc>
        <w:tc>
          <w:tcPr>
            <w:tcW w:w="1971" w:type="dxa"/>
            <w:tcBorders>
              <w:top w:val="single" w:sz="4" w:space="0" w:color="auto"/>
              <w:left w:val="single" w:sz="4" w:space="0" w:color="auto"/>
              <w:bottom w:val="single" w:sz="4" w:space="0" w:color="auto"/>
              <w:right w:val="single" w:sz="4" w:space="0" w:color="auto"/>
            </w:tcBorders>
            <w:hideMark/>
          </w:tcPr>
          <w:p w:rsidR="003D327B" w:rsidRPr="00515572" w:rsidRDefault="003D327B" w:rsidP="00DD5F77">
            <w:pPr>
              <w:spacing w:line="360" w:lineRule="auto"/>
              <w:contextualSpacing/>
              <w:jc w:val="center"/>
              <w:rPr>
                <w:rFonts w:eastAsia="Calibri"/>
                <w:color w:val="000000"/>
                <w:sz w:val="24"/>
                <w:szCs w:val="24"/>
              </w:rPr>
            </w:pPr>
            <w:r w:rsidRPr="00515572">
              <w:rPr>
                <w:rFonts w:eastAsia="Calibri"/>
                <w:color w:val="000000"/>
                <w:sz w:val="24"/>
                <w:szCs w:val="24"/>
              </w:rPr>
              <w:t>0.232</w:t>
            </w:r>
          </w:p>
        </w:tc>
      </w:tr>
    </w:tbl>
    <w:p w:rsidR="003D327B" w:rsidRPr="00515572" w:rsidRDefault="003D327B" w:rsidP="00DD5F77">
      <w:pPr>
        <w:spacing w:after="0" w:line="360" w:lineRule="auto"/>
        <w:contextualSpacing/>
        <w:jc w:val="both"/>
        <w:rPr>
          <w:rFonts w:ascii="Times New Roman" w:eastAsia="Calibri" w:hAnsi="Times New Roman" w:cs="Times New Roman"/>
          <w:b/>
          <w:bCs/>
          <w:sz w:val="24"/>
          <w:szCs w:val="24"/>
        </w:rPr>
      </w:pPr>
    </w:p>
    <w:p w:rsidR="00B67374" w:rsidRDefault="00B67374" w:rsidP="00DD5F77">
      <w:pPr>
        <w:spacing w:after="0" w:line="360" w:lineRule="auto"/>
        <w:contextualSpacing/>
        <w:jc w:val="both"/>
        <w:rPr>
          <w:rFonts w:ascii="Times New Roman" w:eastAsia="Calibri" w:hAnsi="Times New Roman" w:cs="Times New Roman"/>
          <w:b/>
          <w:bCs/>
          <w:sz w:val="24"/>
          <w:szCs w:val="24"/>
        </w:rPr>
      </w:pPr>
    </w:p>
    <w:p w:rsidR="00B67374" w:rsidRDefault="00B67374" w:rsidP="00DD5F77">
      <w:pPr>
        <w:spacing w:after="0" w:line="360" w:lineRule="auto"/>
        <w:contextualSpacing/>
        <w:jc w:val="both"/>
        <w:rPr>
          <w:rFonts w:ascii="Times New Roman" w:eastAsia="Calibri" w:hAnsi="Times New Roman" w:cs="Times New Roman"/>
          <w:b/>
          <w:bCs/>
          <w:sz w:val="24"/>
          <w:szCs w:val="24"/>
        </w:rPr>
      </w:pPr>
    </w:p>
    <w:p w:rsidR="003D327B" w:rsidRPr="00515572" w:rsidRDefault="003D327B"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b/>
          <w:bCs/>
          <w:sz w:val="24"/>
          <w:szCs w:val="24"/>
        </w:rPr>
        <w:t>Discussion</w:t>
      </w:r>
      <w:r w:rsidRPr="00515572">
        <w:rPr>
          <w:rFonts w:ascii="Times New Roman" w:eastAsia="Calibri" w:hAnsi="Times New Roman" w:cs="Times New Roman"/>
          <w:sz w:val="24"/>
          <w:szCs w:val="24"/>
        </w:rPr>
        <w:t>:</w:t>
      </w:r>
    </w:p>
    <w:p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 xml:space="preserve">Growth </w:t>
      </w:r>
      <w:r w:rsidRPr="00027516">
        <w:rPr>
          <w:rFonts w:ascii="Times New Roman" w:eastAsia="Calibri" w:hAnsi="Times New Roman" w:cs="Times New Roman"/>
          <w:b/>
          <w:bCs/>
          <w:color w:val="000000"/>
          <w:sz w:val="24"/>
          <w:szCs w:val="24"/>
        </w:rPr>
        <w:t>and</w:t>
      </w:r>
      <w:r w:rsidRPr="00515572">
        <w:rPr>
          <w:rFonts w:ascii="Times New Roman" w:eastAsia="Times New Roman" w:hAnsi="Times New Roman" w:cs="Times New Roman"/>
          <w:b/>
          <w:bCs/>
          <w:sz w:val="24"/>
          <w:szCs w:val="24"/>
        </w:rPr>
        <w:t xml:space="preserve"> Population Dynamics of </w:t>
      </w:r>
      <w:r w:rsidRPr="00515572">
        <w:rPr>
          <w:rFonts w:ascii="Times New Roman" w:eastAsia="Times New Roman" w:hAnsi="Times New Roman" w:cs="Times New Roman"/>
          <w:b/>
          <w:bCs/>
          <w:i/>
          <w:iCs/>
          <w:sz w:val="24"/>
          <w:szCs w:val="24"/>
        </w:rPr>
        <w:t xml:space="preserve">Hydrocynus forskahlii </w:t>
      </w:r>
      <w:r w:rsidRPr="00515572">
        <w:rPr>
          <w:rFonts w:ascii="Times New Roman" w:eastAsia="Times New Roman" w:hAnsi="Times New Roman" w:cs="Times New Roman"/>
          <w:b/>
          <w:bCs/>
          <w:sz w:val="24"/>
          <w:szCs w:val="24"/>
        </w:rPr>
        <w:t>in Roseires Reservoir</w:t>
      </w:r>
    </w:p>
    <w:p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b/>
          <w:bCs/>
          <w:sz w:val="24"/>
          <w:szCs w:val="24"/>
        </w:rPr>
      </w:pPr>
      <w:r w:rsidRPr="00515572">
        <w:rPr>
          <w:rFonts w:ascii="Times New Roman" w:eastAsia="Times New Roman" w:hAnsi="Times New Roman" w:cs="Times New Roman"/>
          <w:b/>
          <w:bCs/>
          <w:sz w:val="24"/>
          <w:szCs w:val="24"/>
        </w:rPr>
        <w:t xml:space="preserve">Fish </w:t>
      </w:r>
      <w:r w:rsidRPr="00027516">
        <w:rPr>
          <w:rFonts w:ascii="Times New Roman" w:eastAsia="Calibri" w:hAnsi="Times New Roman" w:cs="Times New Roman"/>
          <w:b/>
          <w:bCs/>
          <w:color w:val="000000"/>
          <w:sz w:val="24"/>
          <w:szCs w:val="24"/>
        </w:rPr>
        <w:t>size</w:t>
      </w:r>
    </w:p>
    <w:p w:rsidR="003D327B" w:rsidRPr="00583CC4" w:rsidRDefault="003D327B" w:rsidP="00DD5F77">
      <w:pPr>
        <w:spacing w:after="0" w:line="360" w:lineRule="auto"/>
        <w:contextualSpacing/>
        <w:jc w:val="both"/>
        <w:rPr>
          <w:rFonts w:ascii="Times New Roman" w:eastAsia="Times New Roman" w:hAnsi="Times New Roman" w:cs="Times New Roman"/>
          <w:color w:val="FF0000"/>
          <w:sz w:val="24"/>
          <w:szCs w:val="24"/>
        </w:rPr>
      </w:pPr>
      <w:r w:rsidRPr="00515572">
        <w:rPr>
          <w:rFonts w:ascii="Times New Roman" w:eastAsia="Times New Roman" w:hAnsi="Times New Roman" w:cs="Times New Roman"/>
          <w:sz w:val="24"/>
          <w:szCs w:val="24"/>
        </w:rPr>
        <w:t xml:space="preserve">In the current study, the total length of </w:t>
      </w:r>
      <w:r w:rsidRPr="00515572">
        <w:rPr>
          <w:rFonts w:ascii="Times New Roman" w:eastAsia="Times New Roman" w:hAnsi="Times New Roman" w:cs="Times New Roman"/>
          <w:i/>
          <w:iCs/>
          <w:sz w:val="24"/>
          <w:szCs w:val="24"/>
        </w:rPr>
        <w:t>H. forskahlii</w:t>
      </w:r>
      <w:r w:rsidRPr="00515572">
        <w:rPr>
          <w:rFonts w:ascii="Times New Roman" w:eastAsia="Times New Roman" w:hAnsi="Times New Roman" w:cs="Times New Roman"/>
          <w:sz w:val="24"/>
          <w:szCs w:val="24"/>
        </w:rPr>
        <w:t xml:space="preserve"> ranged from 14.3 cm to 57 cm, with an average of 30.599 ± 10.167 cm. This measurement was slightly greater than that recorded in Nigeria's Yobe River </w:t>
      </w:r>
      <w:r w:rsidRPr="00583CC4">
        <w:rPr>
          <w:rFonts w:ascii="Times New Roman" w:eastAsia="Times New Roman" w:hAnsi="Times New Roman" w:cs="Times New Roman"/>
          <w:color w:val="FF0000"/>
          <w:sz w:val="24"/>
          <w:szCs w:val="24"/>
        </w:rPr>
        <w:t xml:space="preserve">(Segun </w:t>
      </w:r>
      <w:r w:rsidRPr="00583CC4">
        <w:rPr>
          <w:rFonts w:ascii="Times New Roman" w:eastAsia="Times New Roman" w:hAnsi="Times New Roman" w:cs="Times New Roman"/>
          <w:i/>
          <w:iCs/>
          <w:color w:val="FF0000"/>
          <w:sz w:val="24"/>
          <w:szCs w:val="24"/>
        </w:rPr>
        <w:t>et</w:t>
      </w:r>
      <w:r w:rsidR="000D7EF7" w:rsidRPr="00583CC4">
        <w:rPr>
          <w:rFonts w:ascii="Times New Roman" w:eastAsia="Times New Roman" w:hAnsi="Times New Roman" w:cs="Times New Roman"/>
          <w:i/>
          <w:iCs/>
          <w:color w:val="FF0000"/>
          <w:sz w:val="24"/>
          <w:szCs w:val="24"/>
        </w:rPr>
        <w:t>.</w:t>
      </w:r>
      <w:r w:rsidRPr="00583CC4">
        <w:rPr>
          <w:rFonts w:ascii="Times New Roman" w:eastAsia="Times New Roman" w:hAnsi="Times New Roman" w:cs="Times New Roman"/>
          <w:i/>
          <w:iCs/>
          <w:color w:val="FF0000"/>
          <w:sz w:val="24"/>
          <w:szCs w:val="24"/>
        </w:rPr>
        <w:t xml:space="preserve"> al.</w:t>
      </w:r>
      <w:r w:rsidRPr="00583CC4">
        <w:rPr>
          <w:rFonts w:ascii="Times New Roman" w:eastAsia="Times New Roman" w:hAnsi="Times New Roman" w:cs="Times New Roman"/>
          <w:color w:val="FF0000"/>
          <w:sz w:val="24"/>
          <w:szCs w:val="24"/>
        </w:rPr>
        <w:t>, 2022)</w:t>
      </w:r>
      <w:r w:rsidRPr="00515572">
        <w:rPr>
          <w:rFonts w:ascii="Times New Roman" w:eastAsia="Times New Roman" w:hAnsi="Times New Roman" w:cs="Times New Roman"/>
          <w:sz w:val="24"/>
          <w:szCs w:val="24"/>
        </w:rPr>
        <w:t xml:space="preserve"> and comparable to findings by </w:t>
      </w:r>
      <w:r w:rsidRPr="00583CC4">
        <w:rPr>
          <w:rFonts w:ascii="Times New Roman" w:eastAsia="Times New Roman" w:hAnsi="Times New Roman" w:cs="Times New Roman"/>
          <w:color w:val="FF0000"/>
          <w:sz w:val="24"/>
          <w:szCs w:val="24"/>
        </w:rPr>
        <w:t>Hagar (2019).</w:t>
      </w:r>
      <w:r w:rsidRPr="00515572">
        <w:rPr>
          <w:rFonts w:ascii="Times New Roman" w:eastAsia="Times New Roman" w:hAnsi="Times New Roman" w:cs="Times New Roman"/>
          <w:sz w:val="24"/>
          <w:szCs w:val="24"/>
        </w:rPr>
        <w:t xml:space="preserve"> The maximum reported length for this species is 78.0 cm SL </w:t>
      </w:r>
      <w:r w:rsidRPr="00583CC4">
        <w:rPr>
          <w:rFonts w:ascii="Times New Roman" w:eastAsia="Times New Roman" w:hAnsi="Times New Roman" w:cs="Times New Roman"/>
          <w:color w:val="FF0000"/>
          <w:sz w:val="24"/>
          <w:szCs w:val="24"/>
        </w:rPr>
        <w:t xml:space="preserve">(Paugy </w:t>
      </w:r>
      <w:r w:rsidRPr="00583CC4">
        <w:rPr>
          <w:rFonts w:ascii="Times New Roman" w:eastAsia="Times New Roman" w:hAnsi="Times New Roman" w:cs="Times New Roman"/>
          <w:i/>
          <w:iCs/>
          <w:color w:val="FF0000"/>
          <w:sz w:val="24"/>
          <w:szCs w:val="24"/>
        </w:rPr>
        <w:t>et al</w:t>
      </w:r>
      <w:r w:rsidRPr="00583CC4">
        <w:rPr>
          <w:rFonts w:ascii="Times New Roman" w:eastAsia="Times New Roman" w:hAnsi="Times New Roman" w:cs="Times New Roman"/>
          <w:color w:val="FF0000"/>
          <w:sz w:val="24"/>
          <w:szCs w:val="24"/>
        </w:rPr>
        <w:t>., 2003).</w:t>
      </w:r>
    </w:p>
    <w:p w:rsidR="003D327B" w:rsidRPr="00515572" w:rsidRDefault="003D327B" w:rsidP="00DD5F77">
      <w:pPr>
        <w:autoSpaceDE w:val="0"/>
        <w:autoSpaceDN w:val="0"/>
        <w:adjustRightInd w:val="0"/>
        <w:spacing w:after="0" w:line="360" w:lineRule="auto"/>
        <w:contextualSpacing/>
        <w:jc w:val="both"/>
        <w:rPr>
          <w:rFonts w:ascii="Times New Roman" w:eastAsia="Calibri" w:hAnsi="Times New Roman" w:cs="Times New Roman"/>
          <w:b/>
          <w:bCs/>
          <w:sz w:val="24"/>
          <w:szCs w:val="24"/>
        </w:rPr>
      </w:pPr>
      <w:r w:rsidRPr="00515572">
        <w:rPr>
          <w:rFonts w:ascii="Times New Roman" w:eastAsia="Calibri" w:hAnsi="Times New Roman" w:cs="Times New Roman"/>
          <w:b/>
          <w:bCs/>
          <w:sz w:val="24"/>
          <w:szCs w:val="24"/>
        </w:rPr>
        <w:t xml:space="preserve">Growth </w:t>
      </w:r>
      <w:r w:rsidRPr="00027516">
        <w:rPr>
          <w:rFonts w:ascii="Times New Roman" w:eastAsia="Calibri" w:hAnsi="Times New Roman" w:cs="Times New Roman"/>
          <w:b/>
          <w:bCs/>
          <w:color w:val="000000"/>
          <w:sz w:val="24"/>
          <w:szCs w:val="24"/>
        </w:rPr>
        <w:t>Parameters</w:t>
      </w:r>
    </w:p>
    <w:p w:rsidR="003D327B" w:rsidRPr="00515572" w:rsidRDefault="003D327B" w:rsidP="004A04C9">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In this study</w:t>
      </w:r>
      <w:r w:rsidR="000D7EF7">
        <w:rPr>
          <w:rFonts w:ascii="Times New Roman" w:eastAsia="Calibri" w:hAnsi="Times New Roman" w:cs="Times New Roman"/>
          <w:sz w:val="24"/>
          <w:szCs w:val="24"/>
        </w:rPr>
        <w:t>,</w:t>
      </w:r>
      <w:r w:rsidRPr="00515572">
        <w:rPr>
          <w:rFonts w:ascii="Times New Roman" w:eastAsia="Calibri" w:hAnsi="Times New Roman" w:cs="Times New Roman"/>
          <w:sz w:val="24"/>
          <w:szCs w:val="24"/>
        </w:rPr>
        <w:t xml:space="preserve"> the growth parameters derived from the von Bertalanffy growth model for </w:t>
      </w:r>
      <w:r w:rsidRPr="00515572">
        <w:rPr>
          <w:rFonts w:ascii="Times New Roman" w:eastAsia="Calibri" w:hAnsi="Times New Roman" w:cs="Times New Roman"/>
          <w:i/>
          <w:iCs/>
          <w:sz w:val="24"/>
          <w:szCs w:val="24"/>
        </w:rPr>
        <w:t>H. forskahlii</w:t>
      </w:r>
      <w:r w:rsidRPr="00515572">
        <w:rPr>
          <w:rFonts w:ascii="Times New Roman" w:eastAsia="Calibri" w:hAnsi="Times New Roman" w:cs="Times New Roman"/>
          <w:sz w:val="24"/>
          <w:szCs w:val="24"/>
        </w:rPr>
        <w:t xml:space="preserve"> were as follows: the asymptotic length (</w:t>
      </w:r>
      <w:r w:rsidRPr="000D7EF7">
        <w:rPr>
          <w:rFonts w:ascii="Times New Roman" w:eastAsia="Calibri" w:hAnsi="Times New Roman" w:cs="Times New Roman"/>
          <w:i/>
          <w:iCs/>
          <w:sz w:val="24"/>
          <w:szCs w:val="24"/>
        </w:rPr>
        <w:t>L</w:t>
      </w:r>
      <w:r w:rsidRPr="000D7EF7">
        <w:rPr>
          <w:rFonts w:ascii="Times New Roman" w:eastAsia="Calibri" w:hAnsi="Times New Roman" w:cs="Times New Roman"/>
          <w:sz w:val="24"/>
          <w:szCs w:val="24"/>
          <w:vertAlign w:val="subscript"/>
        </w:rPr>
        <w:t>∞</w:t>
      </w:r>
      <w:r w:rsidRPr="00515572">
        <w:rPr>
          <w:rFonts w:ascii="Times New Roman" w:eastAsia="Calibri" w:hAnsi="Times New Roman" w:cs="Times New Roman"/>
          <w:sz w:val="24"/>
          <w:szCs w:val="24"/>
        </w:rPr>
        <w:t>) was 58.8 cm with a growth coefficient (</w:t>
      </w:r>
      <w:r w:rsidRPr="00515572">
        <w:rPr>
          <w:rFonts w:ascii="Times New Roman" w:eastAsia="Calibri" w:hAnsi="Times New Roman" w:cs="Times New Roman"/>
          <w:i/>
          <w:iCs/>
          <w:sz w:val="24"/>
          <w:szCs w:val="24"/>
        </w:rPr>
        <w:t>K</w:t>
      </w:r>
      <w:r w:rsidRPr="00515572">
        <w:rPr>
          <w:rFonts w:ascii="Times New Roman" w:eastAsia="Calibri" w:hAnsi="Times New Roman" w:cs="Times New Roman"/>
          <w:sz w:val="24"/>
          <w:szCs w:val="24"/>
        </w:rPr>
        <w:t>) of 0.260year</w:t>
      </w:r>
      <w:r w:rsidRPr="00515572">
        <w:rPr>
          <w:rFonts w:ascii="Times New Roman" w:eastAsia="Calibri" w:hAnsi="Times New Roman" w:cs="Times New Roman"/>
          <w:sz w:val="24"/>
          <w:szCs w:val="24"/>
          <w:vertAlign w:val="superscript"/>
        </w:rPr>
        <w:t>-1</w:t>
      </w:r>
      <w:r w:rsidRPr="00515572">
        <w:rPr>
          <w:rFonts w:ascii="Times New Roman" w:eastAsia="Calibri" w:hAnsi="Times New Roman" w:cs="Times New Roman"/>
          <w:sz w:val="24"/>
          <w:szCs w:val="24"/>
        </w:rPr>
        <w:t xml:space="preserve"> and a theoretical length at age zero (</w:t>
      </w:r>
      <w:r w:rsidRPr="000D7EF7">
        <w:rPr>
          <w:rFonts w:ascii="Times New Roman" w:eastAsia="Calibri" w:hAnsi="Times New Roman" w:cs="Times New Roman"/>
          <w:i/>
          <w:iCs/>
          <w:sz w:val="24"/>
          <w:szCs w:val="24"/>
        </w:rPr>
        <w:t>t</w:t>
      </w:r>
      <w:r w:rsidRPr="000D7EF7">
        <w:rPr>
          <w:rFonts w:ascii="Times New Roman" w:eastAsia="Calibri" w:hAnsi="Times New Roman" w:cs="Times New Roman"/>
          <w:sz w:val="24"/>
          <w:szCs w:val="24"/>
          <w:vertAlign w:val="subscript"/>
        </w:rPr>
        <w:t>0</w:t>
      </w:r>
      <w:r w:rsidRPr="00515572">
        <w:rPr>
          <w:rFonts w:ascii="Times New Roman" w:eastAsia="Calibri" w:hAnsi="Times New Roman" w:cs="Times New Roman"/>
          <w:sz w:val="24"/>
          <w:szCs w:val="24"/>
        </w:rPr>
        <w:t xml:space="preserve">) of -0.273 years. The </w:t>
      </w:r>
      <w:r w:rsidRPr="000D7EF7">
        <w:rPr>
          <w:rFonts w:ascii="Times New Roman" w:eastAsia="Calibri" w:hAnsi="Times New Roman" w:cs="Times New Roman"/>
          <w:i/>
          <w:iCs/>
          <w:sz w:val="24"/>
          <w:szCs w:val="24"/>
        </w:rPr>
        <w:t>L</w:t>
      </w:r>
      <w:r w:rsidRPr="00515572">
        <w:rPr>
          <w:rFonts w:ascii="Times New Roman" w:eastAsia="Calibri" w:hAnsi="Times New Roman" w:cs="Times New Roman"/>
          <w:sz w:val="24"/>
          <w:szCs w:val="24"/>
          <w:vertAlign w:val="subscript"/>
        </w:rPr>
        <w:t>∞</w:t>
      </w:r>
      <w:r w:rsidRPr="00515572">
        <w:rPr>
          <w:rFonts w:ascii="Times New Roman" w:eastAsia="Calibri" w:hAnsi="Times New Roman" w:cs="Times New Roman"/>
          <w:sz w:val="24"/>
          <w:szCs w:val="24"/>
        </w:rPr>
        <w:t xml:space="preserve"> obtained in this study exceeds the 52.40 cm reported by </w:t>
      </w:r>
      <w:r w:rsidRPr="00583CC4">
        <w:rPr>
          <w:rFonts w:ascii="Times New Roman" w:eastAsia="Calibri" w:hAnsi="Times New Roman" w:cs="Times New Roman"/>
          <w:color w:val="FF0000"/>
          <w:sz w:val="24"/>
          <w:szCs w:val="24"/>
        </w:rPr>
        <w:t>Gagiano (1997)</w:t>
      </w:r>
      <w:r w:rsidRPr="00515572">
        <w:rPr>
          <w:rFonts w:ascii="Times New Roman" w:eastAsia="Calibri" w:hAnsi="Times New Roman" w:cs="Times New Roman"/>
          <w:sz w:val="24"/>
          <w:szCs w:val="24"/>
        </w:rPr>
        <w:t xml:space="preserve"> for </w:t>
      </w:r>
      <w:r w:rsidRPr="00515572">
        <w:rPr>
          <w:rFonts w:ascii="Times New Roman" w:eastAsia="Calibri" w:hAnsi="Times New Roman" w:cs="Times New Roman"/>
          <w:i/>
          <w:iCs/>
          <w:sz w:val="24"/>
          <w:szCs w:val="24"/>
        </w:rPr>
        <w:t>H. vittatus</w:t>
      </w:r>
      <w:r w:rsidRPr="00515572">
        <w:rPr>
          <w:rFonts w:ascii="Times New Roman" w:eastAsia="Calibri" w:hAnsi="Times New Roman" w:cs="Times New Roman"/>
          <w:sz w:val="24"/>
          <w:szCs w:val="24"/>
        </w:rPr>
        <w:t xml:space="preserve"> in the Olifants River and the 56.06 cm in the Letaba River (South Africa). The growth coefficient (</w:t>
      </w:r>
      <w:r w:rsidRPr="000D7EF7">
        <w:rPr>
          <w:rFonts w:ascii="Times New Roman" w:eastAsia="Calibri" w:hAnsi="Times New Roman" w:cs="Times New Roman"/>
          <w:i/>
          <w:iCs/>
          <w:sz w:val="24"/>
          <w:szCs w:val="24"/>
        </w:rPr>
        <w:t>K</w:t>
      </w:r>
      <w:r w:rsidRPr="00515572">
        <w:rPr>
          <w:rFonts w:ascii="Times New Roman" w:eastAsia="Calibri" w:hAnsi="Times New Roman" w:cs="Times New Roman"/>
          <w:sz w:val="24"/>
          <w:szCs w:val="24"/>
        </w:rPr>
        <w:t xml:space="preserve">) in this study is lower than </w:t>
      </w:r>
      <w:r w:rsidR="00B67374" w:rsidRPr="00515572">
        <w:rPr>
          <w:rFonts w:ascii="Times New Roman" w:eastAsia="Calibri" w:hAnsi="Times New Roman" w:cs="Times New Roman"/>
          <w:sz w:val="24"/>
          <w:szCs w:val="24"/>
        </w:rPr>
        <w:t>the 0.387</w:t>
      </w:r>
      <w:r w:rsidRPr="00515572">
        <w:rPr>
          <w:rFonts w:ascii="Times New Roman" w:eastAsia="Calibri" w:hAnsi="Times New Roman" w:cs="Times New Roman"/>
          <w:sz w:val="24"/>
          <w:szCs w:val="24"/>
        </w:rPr>
        <w:t xml:space="preserve"> - 0.449 year</w:t>
      </w:r>
      <w:r w:rsidRPr="00515572">
        <w:rPr>
          <w:rFonts w:ascii="Times New Roman" w:eastAsia="Calibri" w:hAnsi="Times New Roman" w:cs="Times New Roman"/>
          <w:sz w:val="24"/>
          <w:szCs w:val="24"/>
          <w:vertAlign w:val="superscript"/>
        </w:rPr>
        <w:t>-1</w:t>
      </w:r>
      <w:r w:rsidRPr="00515572">
        <w:rPr>
          <w:rFonts w:ascii="Times New Roman" w:eastAsia="Calibri" w:hAnsi="Times New Roman" w:cs="Times New Roman"/>
          <w:sz w:val="24"/>
          <w:szCs w:val="24"/>
        </w:rPr>
        <w:t xml:space="preserve"> obtained by </w:t>
      </w:r>
      <w:r w:rsidRPr="00583CC4">
        <w:rPr>
          <w:rFonts w:ascii="Times New Roman" w:eastAsia="Calibri" w:hAnsi="Times New Roman" w:cs="Times New Roman"/>
          <w:color w:val="FF0000"/>
          <w:sz w:val="24"/>
          <w:szCs w:val="24"/>
        </w:rPr>
        <w:t xml:space="preserve">Gagiano (1997). Payne </w:t>
      </w:r>
      <w:r w:rsidR="000D7EF7" w:rsidRPr="00583CC4">
        <w:rPr>
          <w:rFonts w:ascii="Times New Roman" w:eastAsia="Calibri" w:hAnsi="Times New Roman" w:cs="Times New Roman"/>
          <w:color w:val="FF0000"/>
          <w:sz w:val="24"/>
          <w:szCs w:val="24"/>
        </w:rPr>
        <w:t>&amp;</w:t>
      </w:r>
      <w:r w:rsidRPr="00583CC4">
        <w:rPr>
          <w:rFonts w:ascii="Times New Roman" w:eastAsia="Calibri" w:hAnsi="Times New Roman" w:cs="Times New Roman"/>
          <w:color w:val="FF0000"/>
          <w:sz w:val="24"/>
          <w:szCs w:val="24"/>
        </w:rPr>
        <w:t>McCarton (1985)</w:t>
      </w:r>
      <w:r w:rsidRPr="00515572">
        <w:rPr>
          <w:rFonts w:ascii="Times New Roman" w:eastAsia="Calibri" w:hAnsi="Times New Roman" w:cs="Times New Roman"/>
          <w:sz w:val="24"/>
          <w:szCs w:val="24"/>
        </w:rPr>
        <w:t xml:space="preserve"> reported </w:t>
      </w:r>
      <w:r w:rsidRPr="000D7EF7">
        <w:rPr>
          <w:rFonts w:ascii="Times New Roman" w:eastAsia="Calibri" w:hAnsi="Times New Roman" w:cs="Times New Roman"/>
          <w:i/>
          <w:iCs/>
          <w:sz w:val="24"/>
          <w:szCs w:val="24"/>
        </w:rPr>
        <w:t>L</w:t>
      </w:r>
      <w:r w:rsidRPr="00515572">
        <w:rPr>
          <w:rFonts w:ascii="Times New Roman" w:eastAsia="Calibri" w:hAnsi="Times New Roman" w:cs="Times New Roman"/>
          <w:sz w:val="24"/>
          <w:szCs w:val="24"/>
          <w:vertAlign w:val="subscript"/>
        </w:rPr>
        <w:t>∞</w:t>
      </w:r>
      <w:r w:rsidRPr="00515572">
        <w:rPr>
          <w:rFonts w:ascii="Times New Roman" w:eastAsia="Calibri" w:hAnsi="Times New Roman" w:cs="Times New Roman"/>
          <w:sz w:val="24"/>
          <w:szCs w:val="24"/>
        </w:rPr>
        <w:t xml:space="preserve"> = 39.2 cm and K = 0.56 yr.⁻¹ for </w:t>
      </w:r>
      <w:r w:rsidRPr="00515572">
        <w:rPr>
          <w:rFonts w:ascii="Times New Roman" w:eastAsia="Calibri" w:hAnsi="Times New Roman" w:cs="Times New Roman"/>
          <w:i/>
          <w:iCs/>
          <w:sz w:val="24"/>
          <w:szCs w:val="24"/>
        </w:rPr>
        <w:t>Hydrocynusspp</w:t>
      </w:r>
      <w:r w:rsidRPr="00515572">
        <w:rPr>
          <w:rFonts w:ascii="Times New Roman" w:eastAsia="Calibri" w:hAnsi="Times New Roman" w:cs="Times New Roman"/>
          <w:sz w:val="24"/>
          <w:szCs w:val="24"/>
        </w:rPr>
        <w:t xml:space="preserve">. in the Rufiji River (Tanzania). Gerber </w:t>
      </w:r>
      <w:r w:rsidRPr="00515572">
        <w:rPr>
          <w:rFonts w:ascii="Times New Roman" w:eastAsia="Calibri" w:hAnsi="Times New Roman" w:cs="Times New Roman"/>
          <w:i/>
          <w:iCs/>
          <w:sz w:val="24"/>
          <w:szCs w:val="24"/>
        </w:rPr>
        <w:t>et. al</w:t>
      </w:r>
      <w:r w:rsidRPr="00515572">
        <w:rPr>
          <w:rFonts w:ascii="Times New Roman" w:eastAsia="Calibri" w:hAnsi="Times New Roman" w:cs="Times New Roman"/>
          <w:sz w:val="24"/>
          <w:szCs w:val="24"/>
        </w:rPr>
        <w:t xml:space="preserve">., (2009) studied </w:t>
      </w:r>
      <w:r w:rsidRPr="00515572">
        <w:rPr>
          <w:rFonts w:ascii="Times New Roman" w:eastAsia="Calibri" w:hAnsi="Times New Roman" w:cs="Times New Roman"/>
          <w:i/>
          <w:iCs/>
          <w:sz w:val="24"/>
          <w:szCs w:val="24"/>
        </w:rPr>
        <w:t>H. vittatus</w:t>
      </w:r>
      <w:r w:rsidRPr="00515572">
        <w:rPr>
          <w:rFonts w:ascii="Times New Roman" w:eastAsia="Calibri" w:hAnsi="Times New Roman" w:cs="Times New Roman"/>
          <w:sz w:val="24"/>
          <w:szCs w:val="24"/>
        </w:rPr>
        <w:t xml:space="preserve"> in the Okavango Delta (Botswana) and reported asymptotic length growth coefficients and t</w:t>
      </w:r>
      <w:r w:rsidRPr="00515572">
        <w:rPr>
          <w:rFonts w:ascii="Times New Roman" w:eastAsia="Calibri" w:hAnsi="Times New Roman" w:cs="Times New Roman"/>
          <w:sz w:val="24"/>
          <w:szCs w:val="24"/>
          <w:vertAlign w:val="subscript"/>
        </w:rPr>
        <w:t>0</w:t>
      </w:r>
      <w:r w:rsidRPr="00515572">
        <w:rPr>
          <w:rFonts w:ascii="Times New Roman" w:eastAsia="Calibri" w:hAnsi="Times New Roman" w:cs="Times New Roman"/>
          <w:sz w:val="24"/>
          <w:szCs w:val="24"/>
        </w:rPr>
        <w:t xml:space="preserve"> for males as 73.8 cm 0.159yr</w:t>
      </w:r>
      <w:r w:rsidRPr="00515572">
        <w:rPr>
          <w:rFonts w:ascii="Times New Roman" w:eastAsia="Calibri" w:hAnsi="Times New Roman" w:cs="Times New Roman"/>
          <w:sz w:val="24"/>
          <w:szCs w:val="24"/>
          <w:vertAlign w:val="superscript"/>
        </w:rPr>
        <w:t>-1</w:t>
      </w:r>
      <w:r w:rsidRPr="00515572">
        <w:rPr>
          <w:rFonts w:ascii="Times New Roman" w:eastAsia="Calibri" w:hAnsi="Times New Roman" w:cs="Times New Roman"/>
          <w:sz w:val="24"/>
          <w:szCs w:val="24"/>
        </w:rPr>
        <w:t xml:space="preserve"> and -1.89, respectively, while females had 57.1 cm 0.279</w:t>
      </w:r>
      <w:r w:rsidRPr="00515572">
        <w:rPr>
          <w:rFonts w:ascii="Times New Roman" w:eastAsia="Calibri" w:hAnsi="Times New Roman" w:cs="Times New Roman"/>
          <w:sz w:val="24"/>
          <w:szCs w:val="24"/>
          <w:vertAlign w:val="superscript"/>
        </w:rPr>
        <w:t>1</w:t>
      </w:r>
      <w:r w:rsidRPr="00515572">
        <w:rPr>
          <w:rFonts w:ascii="Times New Roman" w:eastAsia="Calibri" w:hAnsi="Times New Roman" w:cs="Times New Roman"/>
          <w:sz w:val="24"/>
          <w:szCs w:val="24"/>
        </w:rPr>
        <w:t xml:space="preserve"> and -1.43. These differences may be attributed to variations in species and geographical areas. However, it must be realized that, when comparing von Bertalanffy growth parameters (</w:t>
      </w:r>
      <w:r w:rsidRPr="00D10E84">
        <w:rPr>
          <w:rFonts w:ascii="Times New Roman" w:eastAsia="Calibri" w:hAnsi="Times New Roman" w:cs="Times New Roman"/>
          <w:i/>
          <w:iCs/>
          <w:sz w:val="24"/>
          <w:szCs w:val="24"/>
        </w:rPr>
        <w:t>L</w:t>
      </w:r>
      <w:r w:rsidRPr="00515572">
        <w:rPr>
          <w:rFonts w:ascii="Times New Roman" w:eastAsia="Calibri" w:hAnsi="Times New Roman" w:cs="Times New Roman"/>
          <w:sz w:val="24"/>
          <w:szCs w:val="24"/>
          <w:vertAlign w:val="subscript"/>
        </w:rPr>
        <w:t>∞</w:t>
      </w:r>
      <w:r w:rsidRPr="00515572">
        <w:rPr>
          <w:rFonts w:ascii="Times New Roman" w:eastAsia="Calibri" w:hAnsi="Times New Roman" w:cs="Times New Roman"/>
          <w:sz w:val="24"/>
          <w:szCs w:val="24"/>
        </w:rPr>
        <w:t xml:space="preserve"> and </w:t>
      </w:r>
      <w:r w:rsidRPr="00D10E84">
        <w:rPr>
          <w:rFonts w:ascii="Times New Roman" w:eastAsia="Calibri" w:hAnsi="Times New Roman" w:cs="Times New Roman"/>
          <w:i/>
          <w:iCs/>
          <w:sz w:val="24"/>
          <w:szCs w:val="24"/>
        </w:rPr>
        <w:t>K</w:t>
      </w:r>
      <w:r w:rsidRPr="00515572">
        <w:rPr>
          <w:rFonts w:ascii="Times New Roman" w:eastAsia="Calibri" w:hAnsi="Times New Roman" w:cs="Times New Roman"/>
          <w:sz w:val="24"/>
          <w:szCs w:val="24"/>
        </w:rPr>
        <w:t>) across st</w:t>
      </w:r>
      <w:r w:rsidR="00D10E84">
        <w:rPr>
          <w:rFonts w:ascii="Times New Roman" w:eastAsia="Calibri" w:hAnsi="Times New Roman" w:cs="Times New Roman"/>
          <w:sz w:val="24"/>
          <w:szCs w:val="24"/>
        </w:rPr>
        <w:t>udies, their cumulative effect-</w:t>
      </w:r>
      <w:r w:rsidRPr="00515572">
        <w:rPr>
          <w:rFonts w:ascii="Times New Roman" w:eastAsia="Calibri" w:hAnsi="Times New Roman" w:cs="Times New Roman"/>
          <w:sz w:val="24"/>
          <w:szCs w:val="24"/>
        </w:rPr>
        <w:t xml:space="preserve">expressed through the “growth performance index ϕ′” (ϕ′ = 2 log </w:t>
      </w:r>
      <w:r w:rsidRPr="00D10E84">
        <w:rPr>
          <w:rFonts w:ascii="Times New Roman" w:eastAsia="Calibri" w:hAnsi="Times New Roman" w:cs="Times New Roman"/>
          <w:i/>
          <w:iCs/>
          <w:sz w:val="24"/>
          <w:szCs w:val="24"/>
        </w:rPr>
        <w:t>L</w:t>
      </w:r>
      <w:r w:rsidRPr="00515572">
        <w:rPr>
          <w:rFonts w:ascii="Times New Roman" w:eastAsia="Calibri" w:hAnsi="Times New Roman" w:cs="Times New Roman"/>
          <w:sz w:val="24"/>
          <w:szCs w:val="24"/>
          <w:vertAlign w:val="subscript"/>
        </w:rPr>
        <w:t>∞</w:t>
      </w:r>
      <w:r w:rsidRPr="00515572">
        <w:rPr>
          <w:rFonts w:ascii="Times New Roman" w:eastAsia="Calibri" w:hAnsi="Times New Roman" w:cs="Times New Roman"/>
          <w:sz w:val="24"/>
          <w:szCs w:val="24"/>
        </w:rPr>
        <w:t xml:space="preserve"> + log </w:t>
      </w:r>
      <w:r w:rsidRPr="00D10E84">
        <w:rPr>
          <w:rFonts w:ascii="Times New Roman" w:eastAsia="Calibri" w:hAnsi="Times New Roman" w:cs="Times New Roman"/>
          <w:i/>
          <w:iCs/>
          <w:sz w:val="24"/>
          <w:szCs w:val="24"/>
        </w:rPr>
        <w:t>K</w:t>
      </w:r>
      <w:r w:rsidRPr="00515572">
        <w:rPr>
          <w:rFonts w:ascii="Times New Roman" w:eastAsia="Calibri" w:hAnsi="Times New Roman" w:cs="Times New Roman"/>
          <w:sz w:val="24"/>
          <w:szCs w:val="24"/>
        </w:rPr>
        <w:t xml:space="preserve">) provides a more robust metric than individual values, as it integrates both asymptotic size and growth rate into a single standardized measure </w:t>
      </w:r>
      <w:r w:rsidRPr="00583CC4">
        <w:rPr>
          <w:rFonts w:ascii="Times New Roman" w:eastAsia="Calibri" w:hAnsi="Times New Roman" w:cs="Times New Roman"/>
          <w:color w:val="FF0000"/>
          <w:sz w:val="24"/>
          <w:szCs w:val="24"/>
        </w:rPr>
        <w:t>(Pauly &amp; Munro, 1984; Moreau</w:t>
      </w:r>
      <w:r w:rsidRPr="00583CC4">
        <w:rPr>
          <w:rFonts w:ascii="Times New Roman" w:eastAsia="Calibri" w:hAnsi="Times New Roman" w:cs="Times New Roman"/>
          <w:i/>
          <w:iCs/>
          <w:color w:val="FF0000"/>
          <w:sz w:val="24"/>
          <w:szCs w:val="24"/>
        </w:rPr>
        <w:t xml:space="preserve"> et</w:t>
      </w:r>
      <w:r w:rsidR="008C0303" w:rsidRPr="00583CC4">
        <w:rPr>
          <w:rFonts w:ascii="Times New Roman" w:eastAsia="Calibri" w:hAnsi="Times New Roman" w:cs="Times New Roman"/>
          <w:i/>
          <w:iCs/>
          <w:color w:val="FF0000"/>
          <w:sz w:val="24"/>
          <w:szCs w:val="24"/>
        </w:rPr>
        <w:t>.</w:t>
      </w:r>
      <w:r w:rsidRPr="00583CC4">
        <w:rPr>
          <w:rFonts w:ascii="Times New Roman" w:eastAsia="Calibri" w:hAnsi="Times New Roman" w:cs="Times New Roman"/>
          <w:i/>
          <w:iCs/>
          <w:color w:val="FF0000"/>
          <w:sz w:val="24"/>
          <w:szCs w:val="24"/>
        </w:rPr>
        <w:t xml:space="preserve"> al</w:t>
      </w:r>
      <w:r w:rsidRPr="00583CC4">
        <w:rPr>
          <w:rFonts w:ascii="Times New Roman" w:eastAsia="Calibri" w:hAnsi="Times New Roman" w:cs="Times New Roman"/>
          <w:color w:val="FF0000"/>
          <w:sz w:val="24"/>
          <w:szCs w:val="24"/>
        </w:rPr>
        <w:t>., 1986).</w:t>
      </w:r>
      <w:r w:rsidRPr="00515572">
        <w:rPr>
          <w:rFonts w:ascii="Times New Roman" w:eastAsia="Calibri" w:hAnsi="Times New Roman" w:cs="Times New Roman"/>
          <w:sz w:val="24"/>
          <w:szCs w:val="24"/>
        </w:rPr>
        <w:t xml:space="preserve"> For</w:t>
      </w:r>
      <w:r w:rsidRPr="00515572">
        <w:rPr>
          <w:rFonts w:ascii="Times New Roman" w:eastAsia="Calibri" w:hAnsi="Times New Roman" w:cs="Times New Roman"/>
          <w:i/>
          <w:iCs/>
          <w:sz w:val="24"/>
          <w:szCs w:val="24"/>
        </w:rPr>
        <w:t xml:space="preserve"> H. forskahlii</w:t>
      </w:r>
      <w:r w:rsidRPr="00515572">
        <w:rPr>
          <w:rFonts w:ascii="Times New Roman" w:eastAsia="Calibri" w:hAnsi="Times New Roman" w:cs="Times New Roman"/>
          <w:sz w:val="24"/>
          <w:szCs w:val="24"/>
        </w:rPr>
        <w:t xml:space="preserve">, the ϕ′ value of 2.954 obtained in the present study aligns closely </w:t>
      </w:r>
      <w:r w:rsidRPr="00515572">
        <w:rPr>
          <w:rFonts w:ascii="Times New Roman" w:eastAsia="Calibri" w:hAnsi="Times New Roman" w:cs="Times New Roman"/>
          <w:sz w:val="24"/>
          <w:szCs w:val="24"/>
        </w:rPr>
        <w:lastRenderedPageBreak/>
        <w:t xml:space="preserve">with estimates from Ethiopia (ϕ′ ≈ 2.92; </w:t>
      </w:r>
      <w:r w:rsidRPr="00583CC4">
        <w:rPr>
          <w:rFonts w:ascii="Times New Roman" w:eastAsia="Calibri" w:hAnsi="Times New Roman" w:cs="Times New Roman"/>
          <w:color w:val="FF0000"/>
          <w:sz w:val="24"/>
          <w:szCs w:val="24"/>
        </w:rPr>
        <w:t>Dadebo &amp; Mengistou, 2008)</w:t>
      </w:r>
      <w:r w:rsidRPr="00515572">
        <w:rPr>
          <w:rFonts w:ascii="Times New Roman" w:eastAsia="Calibri" w:hAnsi="Times New Roman" w:cs="Times New Roman"/>
          <w:sz w:val="24"/>
          <w:szCs w:val="24"/>
        </w:rPr>
        <w:t xml:space="preserve"> and the Zambezi Basin (ϕ′ ≈ 3.05; Tsvenda </w:t>
      </w:r>
      <w:r w:rsidRPr="008C0303">
        <w:rPr>
          <w:rFonts w:ascii="Times New Roman" w:eastAsia="Calibri" w:hAnsi="Times New Roman" w:cs="Times New Roman"/>
          <w:i/>
          <w:iCs/>
          <w:sz w:val="24"/>
          <w:szCs w:val="24"/>
        </w:rPr>
        <w:t>et</w:t>
      </w:r>
      <w:r w:rsidR="008C0303" w:rsidRPr="008C0303">
        <w:rPr>
          <w:rFonts w:ascii="Times New Roman" w:eastAsia="Calibri" w:hAnsi="Times New Roman" w:cs="Times New Roman"/>
          <w:i/>
          <w:iCs/>
          <w:sz w:val="24"/>
          <w:szCs w:val="24"/>
        </w:rPr>
        <w:t>.</w:t>
      </w:r>
      <w:r w:rsidRPr="008C0303">
        <w:rPr>
          <w:rFonts w:ascii="Times New Roman" w:eastAsia="Calibri" w:hAnsi="Times New Roman" w:cs="Times New Roman"/>
          <w:i/>
          <w:iCs/>
          <w:sz w:val="24"/>
          <w:szCs w:val="24"/>
        </w:rPr>
        <w:t xml:space="preserve"> al</w:t>
      </w:r>
      <w:r w:rsidRPr="00515572">
        <w:rPr>
          <w:rFonts w:ascii="Times New Roman" w:eastAsia="Calibri" w:hAnsi="Times New Roman" w:cs="Times New Roman"/>
          <w:sz w:val="24"/>
          <w:szCs w:val="24"/>
        </w:rPr>
        <w:t xml:space="preserve">., 2024), suggesting consistent growth efficiency despite regional variations in </w:t>
      </w:r>
      <w:r w:rsidRPr="008C0303">
        <w:rPr>
          <w:rFonts w:ascii="Times New Roman" w:eastAsia="Calibri" w:hAnsi="Times New Roman" w:cs="Times New Roman"/>
          <w:i/>
          <w:iCs/>
          <w:sz w:val="24"/>
          <w:szCs w:val="24"/>
        </w:rPr>
        <w:t>L</w:t>
      </w:r>
      <w:r w:rsidRPr="00515572">
        <w:rPr>
          <w:rFonts w:ascii="Times New Roman" w:eastAsia="Calibri" w:hAnsi="Times New Roman" w:cs="Times New Roman"/>
          <w:sz w:val="24"/>
          <w:szCs w:val="24"/>
          <w:vertAlign w:val="subscript"/>
        </w:rPr>
        <w:t>∞</w:t>
      </w:r>
      <w:r w:rsidRPr="00515572">
        <w:rPr>
          <w:rFonts w:ascii="Times New Roman" w:eastAsia="Calibri" w:hAnsi="Times New Roman" w:cs="Times New Roman"/>
          <w:sz w:val="24"/>
          <w:szCs w:val="24"/>
        </w:rPr>
        <w:t xml:space="preserve"> (52–65 cm) and </w:t>
      </w:r>
      <w:r w:rsidRPr="008C0303">
        <w:rPr>
          <w:rFonts w:ascii="Times New Roman" w:eastAsia="Calibri" w:hAnsi="Times New Roman" w:cs="Times New Roman"/>
          <w:i/>
          <w:iCs/>
          <w:sz w:val="24"/>
          <w:szCs w:val="24"/>
        </w:rPr>
        <w:t>K</w:t>
      </w:r>
      <w:r w:rsidRPr="00515572">
        <w:rPr>
          <w:rFonts w:ascii="Times New Roman" w:eastAsia="Calibri" w:hAnsi="Times New Roman" w:cs="Times New Roman"/>
          <w:sz w:val="24"/>
          <w:szCs w:val="24"/>
        </w:rPr>
        <w:t xml:space="preserve"> (0.2–0.38 yr</w:t>
      </w:r>
      <w:r w:rsidR="008C0303">
        <w:rPr>
          <w:rFonts w:ascii="Times New Roman" w:eastAsia="Calibri" w:hAnsi="Times New Roman" w:cs="Times New Roman"/>
          <w:sz w:val="24"/>
          <w:szCs w:val="24"/>
        </w:rPr>
        <w:t>.</w:t>
      </w:r>
      <w:r w:rsidRPr="00515572">
        <w:rPr>
          <w:rFonts w:ascii="Times New Roman" w:eastAsia="Calibri" w:hAnsi="Times New Roman" w:cs="Times New Roman"/>
          <w:sz w:val="24"/>
          <w:szCs w:val="24"/>
        </w:rPr>
        <w:t xml:space="preserve">⁻¹). This approach mitigates biases from isolated parameter comparisons, as </w:t>
      </w:r>
      <w:r w:rsidRPr="008C0303">
        <w:rPr>
          <w:rFonts w:ascii="Times New Roman" w:eastAsia="Calibri" w:hAnsi="Times New Roman" w:cs="Times New Roman"/>
          <w:i/>
          <w:iCs/>
          <w:sz w:val="24"/>
          <w:szCs w:val="24"/>
        </w:rPr>
        <w:t>K</w:t>
      </w:r>
      <w:r w:rsidRPr="00515572">
        <w:rPr>
          <w:rFonts w:ascii="Times New Roman" w:eastAsia="Calibri" w:hAnsi="Times New Roman" w:cs="Times New Roman"/>
          <w:sz w:val="24"/>
          <w:szCs w:val="24"/>
        </w:rPr>
        <w:t xml:space="preserve"> and </w:t>
      </w:r>
      <w:r w:rsidRPr="008C0303">
        <w:rPr>
          <w:rFonts w:ascii="Times New Roman" w:eastAsia="Calibri" w:hAnsi="Times New Roman" w:cs="Times New Roman"/>
          <w:i/>
          <w:iCs/>
          <w:sz w:val="24"/>
          <w:szCs w:val="24"/>
        </w:rPr>
        <w:t>L</w:t>
      </w:r>
      <w:r w:rsidRPr="00515572">
        <w:rPr>
          <w:rFonts w:ascii="Times New Roman" w:eastAsia="Calibri" w:hAnsi="Times New Roman" w:cs="Times New Roman"/>
          <w:sz w:val="24"/>
          <w:szCs w:val="24"/>
          <w:vertAlign w:val="subscript"/>
        </w:rPr>
        <w:t>∞</w:t>
      </w:r>
      <w:r w:rsidRPr="00515572">
        <w:rPr>
          <w:rFonts w:ascii="Times New Roman" w:eastAsia="Calibri" w:hAnsi="Times New Roman" w:cs="Times New Roman"/>
          <w:sz w:val="24"/>
          <w:szCs w:val="24"/>
        </w:rPr>
        <w:t xml:space="preserve"> are often inversely correlated </w:t>
      </w:r>
      <w:r w:rsidRPr="00583CC4">
        <w:rPr>
          <w:rFonts w:ascii="Times New Roman" w:eastAsia="Calibri" w:hAnsi="Times New Roman" w:cs="Times New Roman"/>
          <w:color w:val="FF0000"/>
          <w:sz w:val="24"/>
          <w:szCs w:val="24"/>
        </w:rPr>
        <w:t>(Pauly, 1979),</w:t>
      </w:r>
      <w:r w:rsidRPr="00515572">
        <w:rPr>
          <w:rFonts w:ascii="Times New Roman" w:eastAsia="Calibri" w:hAnsi="Times New Roman" w:cs="Times New Roman"/>
          <w:sz w:val="24"/>
          <w:szCs w:val="24"/>
        </w:rPr>
        <w:t xml:space="preserve"> and highlights ecological adaptations to local conditions (e.g., reservoir productivity, temperature).</w:t>
      </w:r>
    </w:p>
    <w:p w:rsidR="003D327B" w:rsidRPr="00515572" w:rsidRDefault="003D327B"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In the present study, the length-weight relationship of </w:t>
      </w:r>
      <w:r w:rsidRPr="00515572">
        <w:rPr>
          <w:rFonts w:ascii="Times New Roman" w:eastAsia="Calibri" w:hAnsi="Times New Roman" w:cs="Times New Roman"/>
          <w:i/>
          <w:iCs/>
          <w:sz w:val="24"/>
          <w:szCs w:val="24"/>
        </w:rPr>
        <w:t>H. forskahlii</w:t>
      </w:r>
      <w:r w:rsidRPr="00515572">
        <w:rPr>
          <w:rFonts w:ascii="Times New Roman" w:eastAsia="Calibri" w:hAnsi="Times New Roman" w:cs="Times New Roman"/>
          <w:sz w:val="24"/>
          <w:szCs w:val="24"/>
        </w:rPr>
        <w:t xml:space="preserve"> had a strong correlation; the b-value of 2.553 indicated negative allometric growth. Such growth was also reported by </w:t>
      </w:r>
      <w:r w:rsidRPr="00583CC4">
        <w:rPr>
          <w:rFonts w:ascii="Times New Roman" w:eastAsia="Calibri" w:hAnsi="Times New Roman" w:cs="Times New Roman"/>
          <w:color w:val="FF0000"/>
          <w:sz w:val="24"/>
          <w:szCs w:val="24"/>
        </w:rPr>
        <w:t xml:space="preserve">Segun </w:t>
      </w:r>
      <w:r w:rsidRPr="00583CC4">
        <w:rPr>
          <w:rFonts w:ascii="Times New Roman" w:eastAsia="Calibri" w:hAnsi="Times New Roman" w:cs="Times New Roman"/>
          <w:i/>
          <w:iCs/>
          <w:color w:val="FF0000"/>
          <w:sz w:val="24"/>
          <w:szCs w:val="24"/>
        </w:rPr>
        <w:t>et. al</w:t>
      </w:r>
      <w:r w:rsidRPr="00583CC4">
        <w:rPr>
          <w:rFonts w:ascii="Times New Roman" w:eastAsia="Calibri" w:hAnsi="Times New Roman" w:cs="Times New Roman"/>
          <w:color w:val="FF0000"/>
          <w:sz w:val="24"/>
          <w:szCs w:val="24"/>
        </w:rPr>
        <w:t>., (2022)</w:t>
      </w:r>
      <w:r w:rsidRPr="00515572">
        <w:rPr>
          <w:rFonts w:ascii="Times New Roman" w:eastAsia="Calibri" w:hAnsi="Times New Roman" w:cs="Times New Roman"/>
          <w:sz w:val="24"/>
          <w:szCs w:val="24"/>
        </w:rPr>
        <w:t xml:space="preserve"> for the same species in the River Yobe (Nigeria). </w:t>
      </w:r>
    </w:p>
    <w:p w:rsidR="003D327B" w:rsidRPr="00515572" w:rsidRDefault="003D327B"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In the current study, the total mortality (Z) was estimated at 0.69 yr.⁻¹, the natural mortality (M) at 0.58 yr.⁻¹, and the fishing mortality (F) at 0.11 yr.⁻¹. The very high mortality rate of 84% (Z = 0.851) for tigerfish during their first growth season highlights the advantage of faster growth rates and critical lengths to evade predation (Balon, 1971 &amp; Van Zyl, 1992). Gagiano (1997) reported total mortality rates of Z = 1.488 in the Olifants River and Z = 1.067 in the Letaba River with exploitation rates of 34.4% and 22.6%, respectively. Van Zyl (1992) noted high mortality rates for tigerfish in the Okavango River (Botswana), Z = 0.851, and in Lake Kariba, Z = 0.557, according to </w:t>
      </w:r>
      <w:r w:rsidRPr="00583CC4">
        <w:rPr>
          <w:rFonts w:ascii="Times New Roman" w:eastAsia="Calibri" w:hAnsi="Times New Roman" w:cs="Times New Roman"/>
          <w:color w:val="FF0000"/>
          <w:sz w:val="24"/>
          <w:szCs w:val="24"/>
        </w:rPr>
        <w:t>Balon (1971),</w:t>
      </w:r>
      <w:r w:rsidRPr="00515572">
        <w:rPr>
          <w:rFonts w:ascii="Times New Roman" w:eastAsia="Calibri" w:hAnsi="Times New Roman" w:cs="Times New Roman"/>
          <w:sz w:val="24"/>
          <w:szCs w:val="24"/>
        </w:rPr>
        <w:t xml:space="preserve"> but </w:t>
      </w:r>
      <w:r w:rsidRPr="00583CC4">
        <w:rPr>
          <w:rFonts w:ascii="Times New Roman" w:eastAsia="Calibri" w:hAnsi="Times New Roman" w:cs="Times New Roman"/>
          <w:color w:val="FF0000"/>
          <w:sz w:val="24"/>
          <w:szCs w:val="24"/>
        </w:rPr>
        <w:t>Dansoko (1975)</w:t>
      </w:r>
      <w:r w:rsidRPr="00515572">
        <w:rPr>
          <w:rFonts w:ascii="Times New Roman" w:eastAsia="Calibri" w:hAnsi="Times New Roman" w:cs="Times New Roman"/>
          <w:sz w:val="24"/>
          <w:szCs w:val="24"/>
        </w:rPr>
        <w:t xml:space="preserve"> reported Z = 2.58. Variations in mortality rates within the same species may be attributed to the influence of ecological factors and differing fishing techniques.</w:t>
      </w:r>
    </w:p>
    <w:p w:rsidR="003D327B" w:rsidRPr="00515572" w:rsidRDefault="003D327B"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The exploitation rate, E = 0.17, obtained in the present study is half of that reported in the Olifants River at 34.4% but slightly lower than the rate in the Letaba River at 22.6% for </w:t>
      </w:r>
      <w:r w:rsidRPr="00515572">
        <w:rPr>
          <w:rFonts w:ascii="Times New Roman" w:eastAsia="Calibri" w:hAnsi="Times New Roman" w:cs="Times New Roman"/>
          <w:i/>
          <w:iCs/>
          <w:sz w:val="24"/>
          <w:szCs w:val="24"/>
        </w:rPr>
        <w:t>H. vittatus</w:t>
      </w:r>
      <w:r w:rsidRPr="00515572">
        <w:rPr>
          <w:rFonts w:ascii="Times New Roman" w:eastAsia="Calibri" w:hAnsi="Times New Roman" w:cs="Times New Roman"/>
          <w:sz w:val="24"/>
          <w:szCs w:val="24"/>
        </w:rPr>
        <w:t xml:space="preserve"> </w:t>
      </w:r>
      <w:r w:rsidRPr="00583CC4">
        <w:rPr>
          <w:rFonts w:ascii="Times New Roman" w:eastAsia="Calibri" w:hAnsi="Times New Roman" w:cs="Times New Roman"/>
          <w:color w:val="FF0000"/>
          <w:sz w:val="24"/>
          <w:szCs w:val="24"/>
        </w:rPr>
        <w:t>(Gagiano, 1997),</w:t>
      </w:r>
      <w:r w:rsidRPr="00515572">
        <w:rPr>
          <w:rFonts w:ascii="Times New Roman" w:eastAsia="Calibri" w:hAnsi="Times New Roman" w:cs="Times New Roman"/>
          <w:sz w:val="24"/>
          <w:szCs w:val="24"/>
        </w:rPr>
        <w:t xml:space="preserve"> and below the theoretical optimum rate of 0.50.  </w:t>
      </w:r>
    </w:p>
    <w:p w:rsidR="003D327B" w:rsidRPr="00515572" w:rsidRDefault="003D327B"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Analysis of the probability of capture revealed that the length at first capture (</w:t>
      </w:r>
      <w:r w:rsidRPr="008C0303">
        <w:rPr>
          <w:rFonts w:ascii="Times New Roman" w:eastAsia="Calibri" w:hAnsi="Times New Roman" w:cs="Times New Roman"/>
          <w:i/>
          <w:iCs/>
          <w:sz w:val="24"/>
          <w:szCs w:val="24"/>
        </w:rPr>
        <w:t>L</w:t>
      </w:r>
      <w:r w:rsidRPr="00515572">
        <w:rPr>
          <w:rFonts w:ascii="Times New Roman" w:eastAsia="Calibri" w:hAnsi="Times New Roman" w:cs="Times New Roman"/>
          <w:sz w:val="24"/>
          <w:szCs w:val="24"/>
          <w:vertAlign w:val="subscript"/>
        </w:rPr>
        <w:t>c</w:t>
      </w:r>
      <w:r w:rsidRPr="00515572">
        <w:rPr>
          <w:rFonts w:ascii="Times New Roman" w:eastAsia="Calibri" w:hAnsi="Times New Roman" w:cs="Times New Roman"/>
          <w:sz w:val="24"/>
          <w:szCs w:val="24"/>
        </w:rPr>
        <w:t xml:space="preserve">) for </w:t>
      </w:r>
      <w:r w:rsidRPr="00515572">
        <w:rPr>
          <w:rFonts w:ascii="Times New Roman" w:eastAsia="Calibri" w:hAnsi="Times New Roman" w:cs="Times New Roman"/>
          <w:i/>
          <w:iCs/>
          <w:sz w:val="24"/>
          <w:szCs w:val="24"/>
        </w:rPr>
        <w:t>H. forskahlii</w:t>
      </w:r>
      <w:r w:rsidRPr="00515572">
        <w:rPr>
          <w:rFonts w:ascii="Times New Roman" w:eastAsia="Calibri" w:hAnsi="Times New Roman" w:cs="Times New Roman"/>
          <w:sz w:val="24"/>
          <w:szCs w:val="24"/>
        </w:rPr>
        <w:t xml:space="preserve"> was 14.3 cm, with vulnerable lengths at 25%, 50%, and 75% of the catch being 14.94 cm, 21.10 cm, and 22.60 cm, respectively. The maximum relative yield per recruit (Y/R) was observed at an exploitation rate (E</w:t>
      </w:r>
      <w:r w:rsidRPr="00515572">
        <w:rPr>
          <w:rFonts w:ascii="Times New Roman" w:eastAsia="Calibri" w:hAnsi="Times New Roman" w:cs="Times New Roman"/>
          <w:i/>
          <w:iCs/>
          <w:sz w:val="24"/>
          <w:szCs w:val="24"/>
          <w:vertAlign w:val="subscript"/>
        </w:rPr>
        <w:t>max</w:t>
      </w:r>
      <w:r w:rsidRPr="00515572">
        <w:rPr>
          <w:rFonts w:ascii="Times New Roman" w:eastAsia="Calibri" w:hAnsi="Times New Roman" w:cs="Times New Roman"/>
          <w:sz w:val="24"/>
          <w:szCs w:val="24"/>
        </w:rPr>
        <w:t>) of 0.5, while the exploitation rates corresponding to 10% and 50% of the maximum Y/R (E</w:t>
      </w:r>
      <w:r w:rsidRPr="00515572">
        <w:rPr>
          <w:rFonts w:ascii="Times New Roman" w:eastAsia="Calibri" w:hAnsi="Times New Roman" w:cs="Times New Roman"/>
          <w:sz w:val="24"/>
          <w:szCs w:val="24"/>
          <w:vertAlign w:val="subscript"/>
        </w:rPr>
        <w:t>01</w:t>
      </w:r>
      <w:r w:rsidRPr="00515572">
        <w:rPr>
          <w:rFonts w:ascii="Times New Roman" w:eastAsia="Calibri" w:hAnsi="Times New Roman" w:cs="Times New Roman"/>
          <w:sz w:val="24"/>
          <w:szCs w:val="24"/>
        </w:rPr>
        <w:t xml:space="preserve"> and E</w:t>
      </w:r>
      <w:r w:rsidRPr="00515572">
        <w:rPr>
          <w:rFonts w:ascii="Times New Roman" w:eastAsia="Calibri" w:hAnsi="Times New Roman" w:cs="Times New Roman"/>
          <w:sz w:val="24"/>
          <w:szCs w:val="24"/>
          <w:vertAlign w:val="subscript"/>
        </w:rPr>
        <w:t>05</w:t>
      </w:r>
      <w:r w:rsidRPr="00515572">
        <w:rPr>
          <w:rFonts w:ascii="Times New Roman" w:eastAsia="Calibri" w:hAnsi="Times New Roman" w:cs="Times New Roman"/>
          <w:sz w:val="24"/>
          <w:szCs w:val="24"/>
        </w:rPr>
        <w:t xml:space="preserve">) were estimated at 0.418 and 0.312, respectively. </w:t>
      </w:r>
    </w:p>
    <w:p w:rsidR="003D327B" w:rsidRPr="00515572" w:rsidRDefault="003D327B" w:rsidP="00DD5F77">
      <w:pPr>
        <w:spacing w:after="0" w:line="360" w:lineRule="auto"/>
        <w:contextualSpacing/>
        <w:jc w:val="both"/>
        <w:rPr>
          <w:rFonts w:ascii="Times New Roman" w:eastAsia="Calibri" w:hAnsi="Times New Roman" w:cs="Times New Roman"/>
          <w:sz w:val="24"/>
          <w:szCs w:val="24"/>
          <w:highlight w:val="cyan"/>
        </w:rPr>
      </w:pPr>
      <w:r w:rsidRPr="00515572">
        <w:rPr>
          <w:rFonts w:ascii="Times New Roman" w:eastAsia="Calibri" w:hAnsi="Times New Roman" w:cs="Times New Roman"/>
          <w:sz w:val="24"/>
          <w:szCs w:val="24"/>
        </w:rPr>
        <w:t xml:space="preserve">The length at first catch estimated in this study was 14.3 cm. </w:t>
      </w:r>
      <w:r w:rsidRPr="00515572">
        <w:rPr>
          <w:rFonts w:ascii="Times New Roman" w:eastAsia="Calibri" w:hAnsi="Times New Roman" w:cs="Times New Roman"/>
          <w:i/>
          <w:iCs/>
          <w:sz w:val="24"/>
          <w:szCs w:val="24"/>
        </w:rPr>
        <w:t>H. forskahlii</w:t>
      </w:r>
      <w:r w:rsidRPr="00515572">
        <w:rPr>
          <w:rFonts w:ascii="Times New Roman" w:eastAsia="Calibri" w:hAnsi="Times New Roman" w:cs="Times New Roman"/>
          <w:sz w:val="24"/>
          <w:szCs w:val="24"/>
        </w:rPr>
        <w:t xml:space="preserve"> exhibited two recruitment peaks occurring in March during the dry season and in October during the rainy season. </w:t>
      </w:r>
      <w:r w:rsidRPr="00583CC4">
        <w:rPr>
          <w:rFonts w:ascii="Times New Roman" w:eastAsia="Calibri" w:hAnsi="Times New Roman" w:cs="Times New Roman"/>
          <w:color w:val="FF0000"/>
          <w:sz w:val="24"/>
          <w:szCs w:val="24"/>
        </w:rPr>
        <w:t>Badenhuizen (1967)</w:t>
      </w:r>
      <w:r w:rsidRPr="00515572">
        <w:rPr>
          <w:rFonts w:ascii="Times New Roman" w:eastAsia="Calibri" w:hAnsi="Times New Roman" w:cs="Times New Roman"/>
          <w:sz w:val="24"/>
          <w:szCs w:val="24"/>
        </w:rPr>
        <w:t xml:space="preserve"> in his two-year study of </w:t>
      </w:r>
      <w:r w:rsidRPr="00515572">
        <w:rPr>
          <w:rFonts w:ascii="Times New Roman" w:eastAsia="Calibri" w:hAnsi="Times New Roman" w:cs="Times New Roman"/>
          <w:i/>
          <w:iCs/>
          <w:sz w:val="24"/>
          <w:szCs w:val="24"/>
        </w:rPr>
        <w:t>Hydrocynus vittatus</w:t>
      </w:r>
      <w:r w:rsidRPr="00515572">
        <w:rPr>
          <w:rFonts w:ascii="Times New Roman" w:eastAsia="Calibri" w:hAnsi="Times New Roman" w:cs="Times New Roman"/>
          <w:sz w:val="24"/>
          <w:szCs w:val="24"/>
        </w:rPr>
        <w:t xml:space="preserve"> in Lake Kariba (Zambia) observed four generations within this time frame. Breeding occurred annually, coinciding with the rainy season, starting at age two with a breeding size of 35 cm, indicating two recruitment periods. </w:t>
      </w:r>
      <w:r w:rsidRPr="00583CC4">
        <w:rPr>
          <w:rFonts w:ascii="Times New Roman" w:eastAsia="Calibri" w:hAnsi="Times New Roman" w:cs="Times New Roman"/>
          <w:color w:val="FF0000"/>
          <w:sz w:val="24"/>
          <w:szCs w:val="24"/>
        </w:rPr>
        <w:t>Gagiano (1997)</w:t>
      </w:r>
      <w:r w:rsidRPr="00515572">
        <w:rPr>
          <w:rFonts w:ascii="Times New Roman" w:eastAsia="Calibri" w:hAnsi="Times New Roman" w:cs="Times New Roman"/>
          <w:sz w:val="24"/>
          <w:szCs w:val="24"/>
        </w:rPr>
        <w:t xml:space="preserve"> also noted two cohorts of tigerfish species (</w:t>
      </w:r>
      <w:r w:rsidRPr="00515572">
        <w:rPr>
          <w:rFonts w:ascii="Times New Roman" w:eastAsia="Calibri" w:hAnsi="Times New Roman" w:cs="Times New Roman"/>
          <w:i/>
          <w:iCs/>
          <w:sz w:val="24"/>
          <w:szCs w:val="24"/>
        </w:rPr>
        <w:t xml:space="preserve">H. </w:t>
      </w:r>
      <w:r w:rsidRPr="00515572">
        <w:rPr>
          <w:rFonts w:ascii="Times New Roman" w:eastAsia="Calibri" w:hAnsi="Times New Roman" w:cs="Times New Roman"/>
          <w:i/>
          <w:iCs/>
          <w:sz w:val="24"/>
          <w:szCs w:val="24"/>
        </w:rPr>
        <w:lastRenderedPageBreak/>
        <w:t>vittatus</w:t>
      </w:r>
      <w:r w:rsidRPr="00515572">
        <w:rPr>
          <w:rFonts w:ascii="Times New Roman" w:eastAsia="Calibri" w:hAnsi="Times New Roman" w:cs="Times New Roman"/>
          <w:sz w:val="24"/>
          <w:szCs w:val="24"/>
        </w:rPr>
        <w:t xml:space="preserve">) in the Olifants River and Letaba River (South Africa), which aligns with our findings in this study. </w:t>
      </w:r>
    </w:p>
    <w:p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In this study, the ratios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sz w:val="24"/>
          <w:szCs w:val="24"/>
          <w:vertAlign w:val="subscript"/>
        </w:rPr>
        <w:t>c</w:t>
      </w:r>
      <w:r w:rsidRPr="00515572">
        <w:rPr>
          <w:rFonts w:ascii="Times New Roman" w:eastAsia="Times New Roman" w:hAnsi="Times New Roman" w:cs="Times New Roman"/>
          <w:sz w:val="24"/>
          <w:szCs w:val="24"/>
        </w:rPr>
        <w:t>/</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sz w:val="24"/>
          <w:szCs w:val="24"/>
          <w:vertAlign w:val="subscript"/>
        </w:rPr>
        <w:t>∞</w:t>
      </w:r>
      <w:r w:rsidRPr="00515572">
        <w:rPr>
          <w:rFonts w:ascii="Times New Roman" w:eastAsia="Times New Roman" w:hAnsi="Times New Roman" w:cs="Times New Roman"/>
          <w:sz w:val="24"/>
          <w:szCs w:val="24"/>
        </w:rPr>
        <w:t xml:space="preserve"> and </w:t>
      </w:r>
      <w:r w:rsidRPr="00515572">
        <w:rPr>
          <w:rFonts w:ascii="Times New Roman" w:eastAsia="Times New Roman" w:hAnsi="Times New Roman" w:cs="Times New Roman"/>
          <w:i/>
          <w:iCs/>
          <w:sz w:val="24"/>
          <w:szCs w:val="24"/>
        </w:rPr>
        <w:t>M</w:t>
      </w:r>
      <w:r w:rsidRPr="00515572">
        <w:rPr>
          <w:rFonts w:ascii="Times New Roman" w:eastAsia="Times New Roman" w:hAnsi="Times New Roman" w:cs="Times New Roman"/>
          <w:sz w:val="24"/>
          <w:szCs w:val="24"/>
        </w:rPr>
        <w:t>/</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xml:space="preserve"> were estimated at 0.05 and 0.260, respectively. The calculated length for optimal cohort biomass or yield prior to recruitment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opt</w:t>
      </w:r>
      <w:r w:rsidRPr="00515572">
        <w:rPr>
          <w:rFonts w:ascii="Times New Roman" w:eastAsia="Times New Roman" w:hAnsi="Times New Roman" w:cs="Times New Roman"/>
          <w:sz w:val="24"/>
          <w:szCs w:val="24"/>
        </w:rPr>
        <w:t>) was 33.72 cm. The potential longevity T</w:t>
      </w:r>
      <w:r w:rsidRPr="00515572">
        <w:rPr>
          <w:rFonts w:ascii="Times New Roman" w:eastAsia="Times New Roman" w:hAnsi="Times New Roman" w:cs="Times New Roman"/>
          <w:i/>
          <w:iCs/>
          <w:sz w:val="24"/>
          <w:szCs w:val="24"/>
          <w:vertAlign w:val="subscript"/>
        </w:rPr>
        <w:t>max</w:t>
      </w:r>
      <w:r w:rsidRPr="00515572">
        <w:rPr>
          <w:rFonts w:ascii="Times New Roman" w:eastAsia="Times New Roman" w:hAnsi="Times New Roman" w:cs="Times New Roman"/>
          <w:sz w:val="24"/>
          <w:szCs w:val="24"/>
        </w:rPr>
        <w:t xml:space="preserve"> for </w:t>
      </w:r>
      <w:r w:rsidRPr="00515572">
        <w:rPr>
          <w:rFonts w:ascii="Times New Roman" w:eastAsia="Times New Roman" w:hAnsi="Times New Roman" w:cs="Times New Roman"/>
          <w:i/>
          <w:iCs/>
          <w:sz w:val="24"/>
          <w:szCs w:val="24"/>
        </w:rPr>
        <w:t>H. forskahlii</w:t>
      </w:r>
      <w:r w:rsidRPr="00515572">
        <w:rPr>
          <w:rFonts w:ascii="Times New Roman" w:eastAsia="Times New Roman" w:hAnsi="Times New Roman" w:cs="Times New Roman"/>
          <w:sz w:val="24"/>
          <w:szCs w:val="24"/>
        </w:rPr>
        <w:t xml:space="preserve">of 11.27 years is similar to that reported for </w:t>
      </w:r>
      <w:r w:rsidRPr="00515572">
        <w:rPr>
          <w:rFonts w:ascii="Times New Roman" w:eastAsia="Times New Roman" w:hAnsi="Times New Roman" w:cs="Times New Roman"/>
          <w:i/>
          <w:iCs/>
          <w:sz w:val="24"/>
          <w:szCs w:val="24"/>
        </w:rPr>
        <w:t>H. vittatus</w:t>
      </w:r>
      <w:r w:rsidRPr="00515572">
        <w:rPr>
          <w:rFonts w:ascii="Times New Roman" w:eastAsia="Times New Roman" w:hAnsi="Times New Roman" w:cs="Times New Roman"/>
          <w:sz w:val="24"/>
          <w:szCs w:val="24"/>
        </w:rPr>
        <w:t xml:space="preserve"> in Lake Bangweulu and the Zambezi River by </w:t>
      </w:r>
      <w:r w:rsidRPr="00583CC4">
        <w:rPr>
          <w:rFonts w:ascii="Times New Roman" w:eastAsia="Times New Roman" w:hAnsi="Times New Roman" w:cs="Times New Roman"/>
          <w:color w:val="FF0000"/>
          <w:sz w:val="24"/>
          <w:szCs w:val="24"/>
        </w:rPr>
        <w:t xml:space="preserve">Griffith (1975) and Winemiller and Kelso-Winemiller (1994), </w:t>
      </w:r>
      <w:r w:rsidRPr="00515572">
        <w:rPr>
          <w:rFonts w:ascii="Times New Roman" w:eastAsia="Times New Roman" w:hAnsi="Times New Roman" w:cs="Times New Roman"/>
          <w:sz w:val="24"/>
          <w:szCs w:val="24"/>
        </w:rPr>
        <w:t xml:space="preserve">respectively. This longevity is greater than the 9 years reported for the same species in Lake Kariba by </w:t>
      </w:r>
      <w:r w:rsidRPr="00583CC4">
        <w:rPr>
          <w:rFonts w:ascii="Times New Roman" w:eastAsia="Times New Roman" w:hAnsi="Times New Roman" w:cs="Times New Roman"/>
          <w:color w:val="FF0000"/>
          <w:sz w:val="24"/>
          <w:szCs w:val="24"/>
        </w:rPr>
        <w:t xml:space="preserve">Winemiller and Kelso-Winemiller (1994) </w:t>
      </w:r>
      <w:r w:rsidRPr="00515572">
        <w:rPr>
          <w:rFonts w:ascii="Times New Roman" w:eastAsia="Times New Roman" w:hAnsi="Times New Roman" w:cs="Times New Roman"/>
          <w:sz w:val="24"/>
          <w:szCs w:val="24"/>
        </w:rPr>
        <w:t xml:space="preserve">but less than the 20 years observed for </w:t>
      </w:r>
      <w:r w:rsidRPr="00515572">
        <w:rPr>
          <w:rFonts w:ascii="Times New Roman" w:eastAsia="Times New Roman" w:hAnsi="Times New Roman" w:cs="Times New Roman"/>
          <w:i/>
          <w:iCs/>
          <w:sz w:val="24"/>
          <w:szCs w:val="24"/>
        </w:rPr>
        <w:t>H. vittatus</w:t>
      </w:r>
      <w:r w:rsidRPr="00515572">
        <w:rPr>
          <w:rFonts w:ascii="Times New Roman" w:eastAsia="Times New Roman" w:hAnsi="Times New Roman" w:cs="Times New Roman"/>
          <w:sz w:val="24"/>
          <w:szCs w:val="24"/>
        </w:rPr>
        <w:t xml:space="preserve"> in the Okavango Delta (Botswana) according to </w:t>
      </w:r>
      <w:r w:rsidRPr="00583CC4">
        <w:rPr>
          <w:rFonts w:ascii="Times New Roman" w:eastAsia="Times New Roman" w:hAnsi="Times New Roman" w:cs="Times New Roman"/>
          <w:color w:val="FF0000"/>
          <w:sz w:val="24"/>
          <w:szCs w:val="24"/>
        </w:rPr>
        <w:t xml:space="preserve">Gerber </w:t>
      </w:r>
      <w:r w:rsidRPr="00583CC4">
        <w:rPr>
          <w:rFonts w:ascii="Times New Roman" w:eastAsia="Times New Roman" w:hAnsi="Times New Roman" w:cs="Times New Roman"/>
          <w:i/>
          <w:iCs/>
          <w:color w:val="FF0000"/>
          <w:sz w:val="24"/>
          <w:szCs w:val="24"/>
        </w:rPr>
        <w:t>et al</w:t>
      </w:r>
      <w:r w:rsidRPr="00583CC4">
        <w:rPr>
          <w:rFonts w:ascii="Times New Roman" w:eastAsia="Times New Roman" w:hAnsi="Times New Roman" w:cs="Times New Roman"/>
          <w:color w:val="FF0000"/>
          <w:sz w:val="24"/>
          <w:szCs w:val="24"/>
        </w:rPr>
        <w:t>. (2009)</w:t>
      </w:r>
      <w:r w:rsidRPr="00515572">
        <w:rPr>
          <w:rFonts w:ascii="Times New Roman" w:eastAsia="Times New Roman" w:hAnsi="Times New Roman" w:cs="Times New Roman"/>
          <w:sz w:val="24"/>
          <w:szCs w:val="24"/>
        </w:rPr>
        <w:t>. These differences in longevity may be attributed to species-specific traits, levels of exploitation, and various biological and ecological factors.</w:t>
      </w:r>
    </w:p>
    <w:p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b/>
          <w:bCs/>
          <w:sz w:val="24"/>
          <w:szCs w:val="24"/>
        </w:rPr>
      </w:pPr>
      <w:r w:rsidRPr="00027516">
        <w:rPr>
          <w:rFonts w:ascii="Times New Roman" w:eastAsia="Calibri" w:hAnsi="Times New Roman" w:cs="Times New Roman"/>
          <w:b/>
          <w:bCs/>
          <w:color w:val="000000"/>
          <w:sz w:val="24"/>
          <w:szCs w:val="24"/>
        </w:rPr>
        <w:t>Comprehensive</w:t>
      </w:r>
      <w:r w:rsidRPr="00515572">
        <w:rPr>
          <w:rFonts w:ascii="Times New Roman" w:eastAsia="Times New Roman" w:hAnsi="Times New Roman" w:cs="Times New Roman"/>
          <w:b/>
          <w:bCs/>
          <w:sz w:val="24"/>
          <w:szCs w:val="24"/>
        </w:rPr>
        <w:t xml:space="preserve"> Assessment of </w:t>
      </w:r>
      <w:r w:rsidRPr="00515572">
        <w:rPr>
          <w:rFonts w:ascii="Times New Roman" w:eastAsia="Times New Roman" w:hAnsi="Times New Roman" w:cs="Times New Roman"/>
          <w:b/>
          <w:bCs/>
          <w:i/>
          <w:iCs/>
          <w:sz w:val="24"/>
          <w:szCs w:val="24"/>
        </w:rPr>
        <w:t>Hydrocynus forskahlii</w:t>
      </w:r>
      <w:r w:rsidRPr="00515572">
        <w:rPr>
          <w:rFonts w:ascii="Times New Roman" w:eastAsia="Times New Roman" w:hAnsi="Times New Roman" w:cs="Times New Roman"/>
          <w:b/>
          <w:bCs/>
          <w:sz w:val="24"/>
          <w:szCs w:val="24"/>
        </w:rPr>
        <w:t xml:space="preserve"> Fishery in Roseires Reservoir shows the following points:</w:t>
      </w:r>
    </w:p>
    <w:p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Asymptotic length (</w:t>
      </w:r>
      <w:r w:rsidRPr="008C0303">
        <w:rPr>
          <w:rFonts w:ascii="Times New Roman" w:eastAsia="Times New Roman" w:hAnsi="Times New Roman" w:cs="Times New Roman"/>
          <w:i/>
          <w:iCs/>
          <w:sz w:val="24"/>
          <w:szCs w:val="24"/>
        </w:rPr>
        <w:t>L</w:t>
      </w:r>
      <w:r w:rsidRPr="00515572">
        <w:rPr>
          <w:rFonts w:ascii="Times New Roman" w:eastAsia="Times New Roman" w:hAnsi="Times New Roman" w:cs="Times New Roman"/>
          <w:sz w:val="24"/>
          <w:szCs w:val="24"/>
          <w:vertAlign w:val="subscript"/>
        </w:rPr>
        <w:t>∞</w:t>
      </w:r>
      <w:r w:rsidRPr="00515572">
        <w:rPr>
          <w:rFonts w:ascii="Times New Roman" w:eastAsia="Times New Roman" w:hAnsi="Times New Roman" w:cs="Times New Roman"/>
          <w:sz w:val="24"/>
          <w:szCs w:val="24"/>
        </w:rPr>
        <w:t xml:space="preserve"> = 58.8 cm) and growth coefficient (</w:t>
      </w:r>
      <w:r w:rsidRPr="008C0303">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xml:space="preserve"> = 0.26 yr</w:t>
      </w:r>
      <w:r w:rsidR="008C0303">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⁻¹) indicate moderate growth, typical for this species in African reservoirs (Dadebo &amp; Mengistou, 2008).</w:t>
      </w:r>
    </w:p>
    <w:p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Length at first capture (</w:t>
      </w:r>
      <w:r w:rsidRPr="001338CA">
        <w:rPr>
          <w:rFonts w:ascii="Times New Roman" w:eastAsia="Times New Roman" w:hAnsi="Times New Roman" w:cs="Times New Roman"/>
          <w:i/>
          <w:iCs/>
          <w:sz w:val="24"/>
          <w:szCs w:val="24"/>
        </w:rPr>
        <w:t>L</w:t>
      </w:r>
      <w:r w:rsidRPr="00515572">
        <w:rPr>
          <w:rFonts w:ascii="Times New Roman" w:eastAsia="Times New Roman" w:hAnsi="Times New Roman" w:cs="Times New Roman"/>
          <w:sz w:val="24"/>
          <w:szCs w:val="24"/>
          <w:vertAlign w:val="subscript"/>
        </w:rPr>
        <w:t>c</w:t>
      </w:r>
      <w:r w:rsidRPr="00515572">
        <w:rPr>
          <w:rFonts w:ascii="Times New Roman" w:eastAsia="Times New Roman" w:hAnsi="Times New Roman" w:cs="Times New Roman"/>
          <w:sz w:val="24"/>
          <w:szCs w:val="24"/>
        </w:rPr>
        <w:t xml:space="preserve"> = 14.3 cm) is significantly smaller than optimal cohort biomass length (</w:t>
      </w:r>
      <w:r w:rsidRPr="001338CA">
        <w:rPr>
          <w:rFonts w:ascii="Times New Roman" w:eastAsia="Times New Roman" w:hAnsi="Times New Roman" w:cs="Times New Roman"/>
          <w:i/>
          <w:iCs/>
          <w:sz w:val="24"/>
          <w:szCs w:val="24"/>
        </w:rPr>
        <w:t>L</w:t>
      </w:r>
      <w:r w:rsidRPr="001338CA">
        <w:rPr>
          <w:rFonts w:ascii="Times New Roman" w:eastAsia="Times New Roman" w:hAnsi="Times New Roman" w:cs="Times New Roman"/>
          <w:i/>
          <w:iCs/>
          <w:sz w:val="24"/>
          <w:szCs w:val="24"/>
          <w:vertAlign w:val="subscript"/>
        </w:rPr>
        <w:t>opt</w:t>
      </w:r>
      <w:r w:rsidRPr="00515572">
        <w:rPr>
          <w:rFonts w:ascii="Times New Roman" w:eastAsia="Times New Roman" w:hAnsi="Times New Roman" w:cs="Times New Roman"/>
          <w:sz w:val="24"/>
          <w:szCs w:val="24"/>
        </w:rPr>
        <w:t xml:space="preserve"> = 33.72 cm) and the average length of the fish (30.599 cm), indicating early harvest before peak reproductive value.</w:t>
      </w:r>
    </w:p>
    <w:p w:rsidR="003D327B" w:rsidRPr="00515572" w:rsidRDefault="001338CA" w:rsidP="00DD5F77">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probability</w:t>
      </w:r>
      <w:r w:rsidR="003D327B" w:rsidRPr="00515572">
        <w:rPr>
          <w:rFonts w:ascii="Times New Roman" w:eastAsia="Times New Roman" w:hAnsi="Times New Roman" w:cs="Times New Roman"/>
          <w:sz w:val="24"/>
          <w:szCs w:val="24"/>
        </w:rPr>
        <w:t xml:space="preserve"> of capture increases sharply at 21.1 cm (</w:t>
      </w:r>
      <w:r w:rsidR="003D327B" w:rsidRPr="001338CA">
        <w:rPr>
          <w:rFonts w:ascii="Times New Roman" w:eastAsia="Times New Roman" w:hAnsi="Times New Roman" w:cs="Times New Roman"/>
          <w:i/>
          <w:iCs/>
          <w:sz w:val="24"/>
          <w:szCs w:val="24"/>
        </w:rPr>
        <w:t>L</w:t>
      </w:r>
      <w:r w:rsidR="003D327B" w:rsidRPr="00515572">
        <w:rPr>
          <w:rFonts w:ascii="Times New Roman" w:eastAsia="Times New Roman" w:hAnsi="Times New Roman" w:cs="Times New Roman"/>
          <w:sz w:val="24"/>
          <w:szCs w:val="24"/>
          <w:vertAlign w:val="subscript"/>
        </w:rPr>
        <w:t>50</w:t>
      </w:r>
      <w:r w:rsidR="003D327B" w:rsidRPr="00515572">
        <w:rPr>
          <w:rFonts w:ascii="Times New Roman" w:eastAsia="Times New Roman" w:hAnsi="Times New Roman" w:cs="Times New Roman"/>
          <w:sz w:val="24"/>
          <w:szCs w:val="24"/>
        </w:rPr>
        <w:t>), suggesting gear selectivity targets smaller fish.</w:t>
      </w:r>
    </w:p>
    <w:p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Natural mortality (M = 0.58 yr</w:t>
      </w:r>
      <w:r w:rsidR="001338CA">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⁻¹) dominates over fishing mortality (F = 0.11 yr</w:t>
      </w:r>
      <w:r w:rsidR="001338CA">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⁻¹), especially for smaller fish (Total mortality Z = 0.69 yr</w:t>
      </w:r>
      <w:r w:rsidR="001338CA">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 xml:space="preserve">⁻¹), reflecting that high natural losses limit population resilience. Relative Yield per Recruit (Y/R) peaks at E = 0.5, but current effort (E = 0.17) harvests only ~34% of </w:t>
      </w:r>
      <w:r w:rsidR="001338CA">
        <w:rPr>
          <w:rFonts w:ascii="Times New Roman" w:eastAsia="Times New Roman" w:hAnsi="Times New Roman" w:cs="Times New Roman"/>
          <w:sz w:val="24"/>
          <w:szCs w:val="24"/>
        </w:rPr>
        <w:t xml:space="preserve">the </w:t>
      </w:r>
      <w:r w:rsidRPr="00515572">
        <w:rPr>
          <w:rFonts w:ascii="Times New Roman" w:eastAsia="Times New Roman" w:hAnsi="Times New Roman" w:cs="Times New Roman"/>
          <w:sz w:val="24"/>
          <w:szCs w:val="24"/>
        </w:rPr>
        <w:t>potential yield. Biomass per Recruit (B/R) shows significant virgin biomass remains, supporting increased effort.</w:t>
      </w:r>
    </w:p>
    <w:p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027516">
        <w:rPr>
          <w:rFonts w:ascii="Times New Roman" w:eastAsia="Calibri" w:hAnsi="Times New Roman" w:cs="Times New Roman"/>
          <w:b/>
          <w:bCs/>
          <w:color w:val="000000"/>
          <w:sz w:val="24"/>
          <w:szCs w:val="24"/>
        </w:rPr>
        <w:t>Recommendations</w:t>
      </w:r>
      <w:r w:rsidRPr="00515572">
        <w:rPr>
          <w:rFonts w:ascii="Times New Roman" w:eastAsia="Times New Roman" w:hAnsi="Times New Roman" w:cs="Times New Roman"/>
          <w:b/>
          <w:bCs/>
          <w:sz w:val="24"/>
          <w:szCs w:val="24"/>
        </w:rPr>
        <w:t xml:space="preserve"> for Managing </w:t>
      </w:r>
      <w:r w:rsidRPr="00515572">
        <w:rPr>
          <w:rFonts w:ascii="Times New Roman" w:eastAsia="Times New Roman" w:hAnsi="Times New Roman" w:cs="Times New Roman"/>
          <w:b/>
          <w:bCs/>
          <w:i/>
          <w:iCs/>
          <w:sz w:val="24"/>
          <w:szCs w:val="24"/>
        </w:rPr>
        <w:t xml:space="preserve">H. forskahlii </w:t>
      </w:r>
      <w:r w:rsidRPr="00515572">
        <w:rPr>
          <w:rFonts w:ascii="Times New Roman" w:eastAsia="Times New Roman" w:hAnsi="Times New Roman" w:cs="Times New Roman"/>
          <w:b/>
          <w:bCs/>
          <w:sz w:val="24"/>
          <w:szCs w:val="24"/>
        </w:rPr>
        <w:t>Fishery in Roseires Reservoir:</w:t>
      </w:r>
    </w:p>
    <w:p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b/>
          <w:bCs/>
          <w:sz w:val="24"/>
          <w:szCs w:val="24"/>
        </w:rPr>
      </w:pPr>
      <w:r w:rsidRPr="00027516">
        <w:rPr>
          <w:rFonts w:ascii="Times New Roman" w:eastAsia="Calibri" w:hAnsi="Times New Roman" w:cs="Times New Roman"/>
          <w:b/>
          <w:bCs/>
          <w:color w:val="000000"/>
          <w:sz w:val="24"/>
          <w:szCs w:val="24"/>
        </w:rPr>
        <w:t>Reference</w:t>
      </w:r>
      <w:r w:rsidRPr="00515572">
        <w:rPr>
          <w:rFonts w:ascii="Times New Roman" w:eastAsia="Times New Roman" w:hAnsi="Times New Roman" w:cs="Times New Roman"/>
          <w:b/>
          <w:bCs/>
          <w:sz w:val="24"/>
          <w:szCs w:val="24"/>
        </w:rPr>
        <w:t xml:space="preserve"> points:</w:t>
      </w:r>
    </w:p>
    <w:p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F</w:t>
      </w:r>
      <w:r w:rsidRPr="00515572">
        <w:rPr>
          <w:rFonts w:ascii="Times New Roman" w:eastAsia="Times New Roman" w:hAnsi="Times New Roman" w:cs="Times New Roman"/>
          <w:b/>
          <w:bCs/>
          <w:sz w:val="24"/>
          <w:szCs w:val="24"/>
          <w:vertAlign w:val="subscript"/>
        </w:rPr>
        <w:t>limit</w:t>
      </w:r>
      <w:r w:rsidRPr="00515572">
        <w:rPr>
          <w:rFonts w:ascii="Times New Roman" w:eastAsia="Times New Roman" w:hAnsi="Times New Roman" w:cs="Times New Roman"/>
          <w:sz w:val="24"/>
          <w:szCs w:val="24"/>
        </w:rPr>
        <w:t xml:space="preserve"> (0.210 yr</w:t>
      </w:r>
      <w:r w:rsidR="001338CA">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⁻¹): Absolute upper limit to prevent overfishing.</w:t>
      </w:r>
    </w:p>
    <w:p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F</w:t>
      </w:r>
      <w:r w:rsidRPr="00515572">
        <w:rPr>
          <w:rFonts w:ascii="Times New Roman" w:eastAsia="Times New Roman" w:hAnsi="Times New Roman" w:cs="Times New Roman"/>
          <w:b/>
          <w:bCs/>
          <w:sz w:val="24"/>
          <w:szCs w:val="24"/>
          <w:vertAlign w:val="subscript"/>
        </w:rPr>
        <w:t>opt</w:t>
      </w:r>
      <w:r w:rsidRPr="00515572">
        <w:rPr>
          <w:rFonts w:ascii="Times New Roman" w:eastAsia="Times New Roman" w:hAnsi="Times New Roman" w:cs="Times New Roman"/>
          <w:sz w:val="24"/>
          <w:szCs w:val="24"/>
        </w:rPr>
        <w:t xml:space="preserve"> (0.232 yr</w:t>
      </w:r>
      <w:r w:rsidR="001338CA">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⁻¹): Target for sustainable yield.</w:t>
      </w:r>
    </w:p>
    <w:p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F</w:t>
      </w:r>
      <w:r w:rsidRPr="00515572">
        <w:rPr>
          <w:rFonts w:ascii="Times New Roman" w:eastAsia="Times New Roman" w:hAnsi="Times New Roman" w:cs="Times New Roman"/>
          <w:b/>
          <w:bCs/>
          <w:sz w:val="24"/>
          <w:szCs w:val="24"/>
          <w:vertAlign w:val="subscript"/>
        </w:rPr>
        <w:t>max</w:t>
      </w:r>
      <w:r w:rsidRPr="00515572">
        <w:rPr>
          <w:rFonts w:ascii="Times New Roman" w:eastAsia="Times New Roman" w:hAnsi="Times New Roman" w:cs="Times New Roman"/>
          <w:sz w:val="24"/>
          <w:szCs w:val="24"/>
        </w:rPr>
        <w:t xml:space="preserve"> (0.387 yr</w:t>
      </w:r>
      <w:r w:rsidR="009547E2">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⁻¹): Theoretical maximum effort (risky).</w:t>
      </w:r>
    </w:p>
    <w:p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027516">
        <w:rPr>
          <w:rFonts w:ascii="Times New Roman" w:eastAsia="Calibri" w:hAnsi="Times New Roman" w:cs="Times New Roman"/>
          <w:b/>
          <w:bCs/>
          <w:color w:val="000000"/>
          <w:sz w:val="24"/>
          <w:szCs w:val="24"/>
        </w:rPr>
        <w:t>Control</w:t>
      </w:r>
      <w:r w:rsidRPr="00515572">
        <w:rPr>
          <w:rFonts w:ascii="Times New Roman" w:eastAsia="Times New Roman" w:hAnsi="Times New Roman" w:cs="Times New Roman"/>
          <w:b/>
          <w:bCs/>
          <w:sz w:val="24"/>
          <w:szCs w:val="24"/>
        </w:rPr>
        <w:t xml:space="preserve"> Effort:</w:t>
      </w:r>
      <w:r w:rsidRPr="00515572">
        <w:rPr>
          <w:rFonts w:ascii="Times New Roman" w:eastAsia="Times New Roman" w:hAnsi="Times New Roman" w:cs="Times New Roman"/>
          <w:sz w:val="24"/>
          <w:szCs w:val="24"/>
        </w:rPr>
        <w:t xml:space="preserve"> Gradually raise effort toward F</w:t>
      </w:r>
      <w:r w:rsidRPr="009547E2">
        <w:rPr>
          <w:rFonts w:ascii="Times New Roman" w:eastAsia="Times New Roman" w:hAnsi="Times New Roman" w:cs="Times New Roman"/>
          <w:i/>
          <w:iCs/>
          <w:sz w:val="24"/>
          <w:szCs w:val="24"/>
          <w:vertAlign w:val="subscript"/>
        </w:rPr>
        <w:t>opt</w:t>
      </w:r>
      <w:r w:rsidRPr="00515572">
        <w:rPr>
          <w:rFonts w:ascii="Times New Roman" w:eastAsia="Times New Roman" w:hAnsi="Times New Roman" w:cs="Times New Roman"/>
          <w:sz w:val="24"/>
          <w:szCs w:val="24"/>
        </w:rPr>
        <w:t xml:space="preserve"> (0.232 yr</w:t>
      </w:r>
      <w:r w:rsidR="009547E2">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 xml:space="preserve">⁻¹) to optimize yield </w:t>
      </w:r>
      <w:r w:rsidRPr="009547E2">
        <w:rPr>
          <w:rFonts w:ascii="Times New Roman" w:eastAsia="Times New Roman" w:hAnsi="Times New Roman" w:cs="Times New Roman"/>
          <w:sz w:val="24"/>
          <w:szCs w:val="24"/>
        </w:rPr>
        <w:t>without</w:t>
      </w:r>
      <w:r w:rsidRPr="00515572">
        <w:rPr>
          <w:rFonts w:ascii="Times New Roman" w:eastAsia="Times New Roman" w:hAnsi="Times New Roman" w:cs="Times New Roman"/>
          <w:sz w:val="24"/>
          <w:szCs w:val="24"/>
        </w:rPr>
        <w:t xml:space="preserve"> exceeding F</w:t>
      </w:r>
      <w:r w:rsidRPr="009547E2">
        <w:rPr>
          <w:rFonts w:ascii="Times New Roman" w:eastAsia="Times New Roman" w:hAnsi="Times New Roman" w:cs="Times New Roman"/>
          <w:i/>
          <w:iCs/>
          <w:sz w:val="24"/>
          <w:szCs w:val="24"/>
          <w:vertAlign w:val="subscript"/>
        </w:rPr>
        <w:t>limit</w:t>
      </w:r>
      <w:r w:rsidRPr="00515572">
        <w:rPr>
          <w:rFonts w:ascii="Times New Roman" w:eastAsia="Times New Roman" w:hAnsi="Times New Roman" w:cs="Times New Roman"/>
          <w:sz w:val="24"/>
          <w:szCs w:val="24"/>
        </w:rPr>
        <w:t xml:space="preserve"> (0.210 yr</w:t>
      </w:r>
      <w:r w:rsidR="009547E2">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⁻¹).</w:t>
      </w:r>
    </w:p>
    <w:p w:rsidR="003D327B" w:rsidRPr="00515572" w:rsidRDefault="003D327B" w:rsidP="009547E2">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lastRenderedPageBreak/>
        <w:t>Size-Limit Regulations:</w:t>
      </w:r>
      <w:r w:rsidRPr="00515572">
        <w:rPr>
          <w:rFonts w:ascii="Times New Roman" w:eastAsia="Times New Roman" w:hAnsi="Times New Roman" w:cs="Times New Roman"/>
          <w:sz w:val="24"/>
          <w:szCs w:val="24"/>
        </w:rPr>
        <w:t xml:space="preserve"> Increase minimum capture size toward </w:t>
      </w:r>
      <w:r w:rsidRPr="009547E2">
        <w:rPr>
          <w:rFonts w:ascii="Times New Roman" w:eastAsia="Times New Roman" w:hAnsi="Times New Roman" w:cs="Times New Roman"/>
          <w:i/>
          <w:iCs/>
          <w:sz w:val="24"/>
          <w:szCs w:val="24"/>
        </w:rPr>
        <w:t>L</w:t>
      </w:r>
      <w:r w:rsidRPr="00515572">
        <w:rPr>
          <w:rFonts w:ascii="Times New Roman" w:eastAsia="Times New Roman" w:hAnsi="Times New Roman" w:cs="Times New Roman"/>
          <w:sz w:val="24"/>
          <w:szCs w:val="24"/>
          <w:vertAlign w:val="subscript"/>
        </w:rPr>
        <w:t>50</w:t>
      </w:r>
      <w:r w:rsidRPr="00515572">
        <w:rPr>
          <w:rFonts w:ascii="Times New Roman" w:eastAsia="Times New Roman" w:hAnsi="Times New Roman" w:cs="Times New Roman"/>
          <w:sz w:val="24"/>
          <w:szCs w:val="24"/>
        </w:rPr>
        <w:t xml:space="preserve"> (21.1 cm) to protect juveniles and improve </w:t>
      </w:r>
      <w:r w:rsidR="009547E2">
        <w:rPr>
          <w:rFonts w:ascii="Times New Roman" w:eastAsia="Times New Roman" w:hAnsi="Times New Roman" w:cs="Times New Roman"/>
          <w:sz w:val="24"/>
          <w:szCs w:val="24"/>
        </w:rPr>
        <w:t>spawner</w:t>
      </w:r>
      <w:r w:rsidRPr="00515572">
        <w:rPr>
          <w:rFonts w:ascii="Times New Roman" w:eastAsia="Times New Roman" w:hAnsi="Times New Roman" w:cs="Times New Roman"/>
          <w:sz w:val="24"/>
          <w:szCs w:val="24"/>
        </w:rPr>
        <w:t xml:space="preserve"> biomass.The identification of two distinct recruitment peaks offers valuable information for </w:t>
      </w:r>
      <w:r w:rsidRPr="00515572">
        <w:rPr>
          <w:rFonts w:ascii="Times New Roman" w:eastAsia="Times New Roman" w:hAnsi="Times New Roman" w:cs="Times New Roman"/>
          <w:i/>
          <w:iCs/>
          <w:sz w:val="24"/>
          <w:szCs w:val="24"/>
        </w:rPr>
        <w:t>timing</w:t>
      </w:r>
      <w:r w:rsidRPr="00515572">
        <w:rPr>
          <w:rFonts w:ascii="Times New Roman" w:eastAsia="Times New Roman" w:hAnsi="Times New Roman" w:cs="Times New Roman"/>
          <w:sz w:val="24"/>
          <w:szCs w:val="24"/>
        </w:rPr>
        <w:t xml:space="preserve"> conservation efforts and fishing regulations.  </w:t>
      </w:r>
    </w:p>
    <w:p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Gear Selectivity Adjustments:</w:t>
      </w:r>
      <w:r w:rsidRPr="00515572">
        <w:rPr>
          <w:rFonts w:ascii="Times New Roman" w:eastAsia="Times New Roman" w:hAnsi="Times New Roman" w:cs="Times New Roman"/>
          <w:sz w:val="24"/>
          <w:szCs w:val="24"/>
        </w:rPr>
        <w:t xml:space="preserve"> Use larger mesh sizes to shift </w:t>
      </w:r>
      <w:r w:rsidRPr="009547E2">
        <w:rPr>
          <w:rFonts w:ascii="Times New Roman" w:eastAsia="Times New Roman" w:hAnsi="Times New Roman" w:cs="Times New Roman"/>
          <w:i/>
          <w:iCs/>
          <w:sz w:val="24"/>
          <w:szCs w:val="24"/>
        </w:rPr>
        <w:t>L</w:t>
      </w:r>
      <w:r w:rsidRPr="00515572">
        <w:rPr>
          <w:rFonts w:ascii="Times New Roman" w:eastAsia="Times New Roman" w:hAnsi="Times New Roman" w:cs="Times New Roman"/>
          <w:sz w:val="24"/>
          <w:szCs w:val="24"/>
          <w:vertAlign w:val="subscript"/>
        </w:rPr>
        <w:t>c</w:t>
      </w:r>
      <w:r w:rsidRPr="00515572">
        <w:rPr>
          <w:rFonts w:ascii="Times New Roman" w:eastAsia="Times New Roman" w:hAnsi="Times New Roman" w:cs="Times New Roman"/>
          <w:sz w:val="24"/>
          <w:szCs w:val="24"/>
        </w:rPr>
        <w:t xml:space="preserve"> closer to </w:t>
      </w:r>
      <w:r w:rsidRPr="009547E2">
        <w:rPr>
          <w:rFonts w:ascii="Times New Roman" w:eastAsia="Times New Roman" w:hAnsi="Times New Roman" w:cs="Times New Roman"/>
          <w:i/>
          <w:iCs/>
          <w:sz w:val="24"/>
          <w:szCs w:val="24"/>
        </w:rPr>
        <w:t>L</w:t>
      </w:r>
      <w:r w:rsidRPr="009547E2">
        <w:rPr>
          <w:rFonts w:ascii="Times New Roman" w:eastAsia="Times New Roman" w:hAnsi="Times New Roman" w:cs="Times New Roman"/>
          <w:i/>
          <w:iCs/>
          <w:sz w:val="24"/>
          <w:szCs w:val="24"/>
          <w:vertAlign w:val="subscript"/>
        </w:rPr>
        <w:t>opt</w:t>
      </w:r>
      <w:r w:rsidRPr="00515572">
        <w:rPr>
          <w:rFonts w:ascii="Times New Roman" w:eastAsia="Times New Roman" w:hAnsi="Times New Roman" w:cs="Times New Roman"/>
          <w:sz w:val="24"/>
          <w:szCs w:val="24"/>
        </w:rPr>
        <w:t xml:space="preserve"> (33.72 cm), enhancing yield quality.</w:t>
      </w:r>
    </w:p>
    <w:p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Seasonal closure:</w:t>
      </w:r>
      <w:r w:rsidRPr="00515572">
        <w:rPr>
          <w:rFonts w:ascii="Times New Roman" w:eastAsia="Times New Roman" w:hAnsi="Times New Roman" w:cs="Times New Roman"/>
          <w:sz w:val="24"/>
          <w:szCs w:val="24"/>
        </w:rPr>
        <w:t xml:space="preserve"> Protect March</w:t>
      </w:r>
      <w:r w:rsidR="00942B54">
        <w:rPr>
          <w:rFonts w:ascii="Times New Roman" w:eastAsia="Times New Roman" w:hAnsi="Times New Roman" w:cs="Times New Roman"/>
          <w:sz w:val="24"/>
          <w:szCs w:val="24"/>
        </w:rPr>
        <w:t xml:space="preserve"> and </w:t>
      </w:r>
      <w:r w:rsidRPr="00515572">
        <w:rPr>
          <w:rFonts w:ascii="Times New Roman" w:eastAsia="Times New Roman" w:hAnsi="Times New Roman" w:cs="Times New Roman"/>
          <w:sz w:val="24"/>
          <w:szCs w:val="24"/>
        </w:rPr>
        <w:t>October recruitment pulses with seasonal closures if effort increases.</w:t>
      </w:r>
    </w:p>
    <w:p w:rsidR="009A641B" w:rsidRPr="009A641B" w:rsidRDefault="009A641B" w:rsidP="00DD5F77">
      <w:pPr>
        <w:spacing w:after="0" w:line="360" w:lineRule="auto"/>
        <w:contextualSpacing/>
        <w:jc w:val="both"/>
        <w:rPr>
          <w:rFonts w:ascii="Times New Roman" w:eastAsia="Times New Roman" w:hAnsi="Times New Roman" w:cs="Times New Roman"/>
          <w:b/>
          <w:sz w:val="24"/>
          <w:szCs w:val="24"/>
        </w:rPr>
      </w:pPr>
      <w:r w:rsidRPr="009A641B">
        <w:rPr>
          <w:rFonts w:ascii="Times New Roman" w:eastAsia="Times New Roman" w:hAnsi="Times New Roman" w:cs="Times New Roman"/>
          <w:b/>
          <w:sz w:val="24"/>
          <w:szCs w:val="24"/>
        </w:rPr>
        <w:t> Risks and Uncertainties</w:t>
      </w:r>
    </w:p>
    <w:p w:rsidR="009A641B" w:rsidRPr="009A641B" w:rsidRDefault="009A641B" w:rsidP="00DD5F77">
      <w:pPr>
        <w:spacing w:after="0" w:line="360" w:lineRule="auto"/>
        <w:contextualSpacing/>
        <w:jc w:val="both"/>
        <w:rPr>
          <w:rFonts w:ascii="Times New Roman" w:eastAsia="Times New Roman" w:hAnsi="Times New Roman" w:cs="Times New Roman"/>
          <w:sz w:val="24"/>
          <w:szCs w:val="24"/>
        </w:rPr>
      </w:pPr>
      <w:r w:rsidRPr="009A641B">
        <w:rPr>
          <w:rFonts w:ascii="Times New Roman" w:eastAsia="Times New Roman" w:hAnsi="Times New Roman" w:cs="Times New Roman"/>
          <w:sz w:val="24"/>
          <w:szCs w:val="24"/>
        </w:rPr>
        <w:t>High Natural Mortality limits stock resilience.</w:t>
      </w:r>
    </w:p>
    <w:p w:rsidR="009A641B" w:rsidRPr="009A641B" w:rsidRDefault="009A641B" w:rsidP="00DD5F77">
      <w:pPr>
        <w:spacing w:after="0" w:line="360" w:lineRule="auto"/>
        <w:contextualSpacing/>
        <w:jc w:val="both"/>
        <w:rPr>
          <w:rFonts w:ascii="Times New Roman" w:eastAsia="Times New Roman" w:hAnsi="Times New Roman" w:cs="Times New Roman"/>
          <w:sz w:val="24"/>
          <w:szCs w:val="24"/>
        </w:rPr>
      </w:pPr>
      <w:r w:rsidRPr="009A641B">
        <w:rPr>
          <w:rFonts w:ascii="Times New Roman" w:eastAsia="Times New Roman" w:hAnsi="Times New Roman" w:cs="Times New Roman"/>
          <w:sz w:val="24"/>
          <w:szCs w:val="24"/>
        </w:rPr>
        <w:t>Early Harvest (</w:t>
      </w:r>
      <w:r w:rsidRPr="009547E2">
        <w:rPr>
          <w:rFonts w:ascii="Times New Roman" w:eastAsia="Times New Roman" w:hAnsi="Times New Roman" w:cs="Times New Roman"/>
          <w:i/>
          <w:iCs/>
          <w:sz w:val="24"/>
          <w:szCs w:val="24"/>
        </w:rPr>
        <w:t>L</w:t>
      </w:r>
      <w:r w:rsidRPr="009547E2">
        <w:rPr>
          <w:rFonts w:ascii="Times New Roman" w:eastAsia="Times New Roman" w:hAnsi="Times New Roman" w:cs="Times New Roman"/>
          <w:sz w:val="24"/>
          <w:szCs w:val="24"/>
          <w:vertAlign w:val="subscript"/>
        </w:rPr>
        <w:t>c</w:t>
      </w:r>
      <w:r w:rsidRPr="009A641B">
        <w:rPr>
          <w:rFonts w:ascii="Times New Roman" w:eastAsia="Times New Roman" w:hAnsi="Times New Roman" w:cs="Times New Roman"/>
          <w:sz w:val="24"/>
          <w:szCs w:val="24"/>
        </w:rPr>
        <w:t>&lt;</w:t>
      </w:r>
      <w:r w:rsidRPr="009547E2">
        <w:rPr>
          <w:rFonts w:ascii="Times New Roman" w:eastAsia="Times New Roman" w:hAnsi="Times New Roman" w:cs="Times New Roman"/>
          <w:i/>
          <w:iCs/>
          <w:sz w:val="24"/>
          <w:szCs w:val="24"/>
        </w:rPr>
        <w:t>L</w:t>
      </w:r>
      <w:r w:rsidRPr="009547E2">
        <w:rPr>
          <w:rFonts w:ascii="Times New Roman" w:eastAsia="Times New Roman" w:hAnsi="Times New Roman" w:cs="Times New Roman"/>
          <w:i/>
          <w:iCs/>
          <w:sz w:val="24"/>
          <w:szCs w:val="24"/>
          <w:vertAlign w:val="subscript"/>
        </w:rPr>
        <w:t>opt</w:t>
      </w:r>
      <w:r w:rsidRPr="009A641B">
        <w:rPr>
          <w:rFonts w:ascii="Times New Roman" w:eastAsia="Times New Roman" w:hAnsi="Times New Roman" w:cs="Times New Roman"/>
          <w:sz w:val="24"/>
          <w:szCs w:val="24"/>
        </w:rPr>
        <w:t>) reduces long-term yield potential.</w:t>
      </w:r>
    </w:p>
    <w:p w:rsidR="009A641B" w:rsidRPr="009A641B" w:rsidRDefault="009A641B" w:rsidP="009547E2">
      <w:pPr>
        <w:spacing w:after="0" w:line="360" w:lineRule="auto"/>
        <w:ind w:left="284" w:hanging="284"/>
        <w:contextualSpacing/>
        <w:jc w:val="both"/>
        <w:rPr>
          <w:rFonts w:ascii="Segoe UI" w:eastAsia="Times New Roman" w:hAnsi="Segoe UI" w:cs="Segoe UI"/>
          <w:color w:val="F8FAFF"/>
          <w:sz w:val="24"/>
          <w:szCs w:val="24"/>
        </w:rPr>
      </w:pPr>
      <w:r w:rsidRPr="009A641B">
        <w:rPr>
          <w:rFonts w:ascii="Times New Roman" w:eastAsia="Times New Roman" w:hAnsi="Times New Roman" w:cs="Times New Roman"/>
          <w:sz w:val="24"/>
          <w:szCs w:val="24"/>
        </w:rPr>
        <w:t>Regional Variability in growth/mortality suggests local adaptations</w:t>
      </w:r>
      <w:r w:rsidR="009547E2">
        <w:rPr>
          <w:rFonts w:ascii="Times New Roman" w:eastAsia="Times New Roman" w:hAnsi="Times New Roman" w:cs="Times New Roman"/>
          <w:sz w:val="24"/>
          <w:szCs w:val="24"/>
        </w:rPr>
        <w:t xml:space="preserve">; </w:t>
      </w:r>
      <w:r w:rsidRPr="009A641B">
        <w:rPr>
          <w:rFonts w:ascii="Times New Roman" w:eastAsia="Times New Roman" w:hAnsi="Times New Roman" w:cs="Times New Roman"/>
          <w:sz w:val="24"/>
          <w:szCs w:val="24"/>
        </w:rPr>
        <w:t>management should be reservoir-specific</w:t>
      </w:r>
      <w:r w:rsidRPr="009A641B">
        <w:rPr>
          <w:rFonts w:ascii="Segoe UI" w:eastAsia="Times New Roman" w:hAnsi="Segoe UI" w:cs="Segoe UI"/>
          <w:color w:val="F8FAFF"/>
          <w:sz w:val="24"/>
          <w:szCs w:val="24"/>
        </w:rPr>
        <w:t>.</w:t>
      </w:r>
    </w:p>
    <w:p w:rsidR="009A641B" w:rsidRDefault="009A641B" w:rsidP="00DD5F77">
      <w:pPr>
        <w:autoSpaceDE w:val="0"/>
        <w:autoSpaceDN w:val="0"/>
        <w:adjustRightInd w:val="0"/>
        <w:spacing w:after="0" w:line="360" w:lineRule="auto"/>
        <w:contextualSpacing/>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Conclusion</w:t>
      </w:r>
    </w:p>
    <w:p w:rsidR="009A641B" w:rsidRPr="009A641B" w:rsidRDefault="009A641B" w:rsidP="00DD5F77">
      <w:pPr>
        <w:spacing w:after="0" w:line="360" w:lineRule="auto"/>
        <w:contextualSpacing/>
        <w:rPr>
          <w:rFonts w:ascii="Times New Roman" w:eastAsia="Times New Roman" w:hAnsi="Times New Roman" w:cs="Times New Roman"/>
          <w:sz w:val="24"/>
          <w:szCs w:val="24"/>
        </w:rPr>
      </w:pPr>
      <w:r w:rsidRPr="009A641B">
        <w:rPr>
          <w:rFonts w:ascii="Times New Roman" w:eastAsia="Times New Roman" w:hAnsi="Times New Roman" w:cs="Times New Roman"/>
          <w:sz w:val="24"/>
          <w:szCs w:val="24"/>
        </w:rPr>
        <w:t xml:space="preserve">The Roseires Reservoir </w:t>
      </w:r>
      <w:r w:rsidRPr="009A641B">
        <w:rPr>
          <w:rFonts w:ascii="Times New Roman" w:eastAsia="Times New Roman" w:hAnsi="Times New Roman" w:cs="Times New Roman"/>
          <w:i/>
          <w:sz w:val="24"/>
          <w:szCs w:val="24"/>
        </w:rPr>
        <w:t>H. forskahlii</w:t>
      </w:r>
      <w:r w:rsidRPr="009A641B">
        <w:rPr>
          <w:rFonts w:ascii="Times New Roman" w:eastAsia="Times New Roman" w:hAnsi="Times New Roman" w:cs="Times New Roman"/>
          <w:sz w:val="24"/>
          <w:szCs w:val="24"/>
        </w:rPr>
        <w:t xml:space="preserve"> population shows </w:t>
      </w:r>
      <w:r w:rsidRPr="009A641B">
        <w:rPr>
          <w:rFonts w:ascii="Times New Roman" w:eastAsia="Times New Roman" w:hAnsi="Times New Roman" w:cs="Times New Roman"/>
          <w:b/>
          <w:sz w:val="24"/>
          <w:szCs w:val="24"/>
        </w:rPr>
        <w:t>moderate growth</w:t>
      </w:r>
      <w:r w:rsidRPr="009A641B">
        <w:rPr>
          <w:rFonts w:ascii="Times New Roman" w:eastAsia="Times New Roman" w:hAnsi="Times New Roman" w:cs="Times New Roman"/>
          <w:sz w:val="24"/>
          <w:szCs w:val="24"/>
        </w:rPr>
        <w:t xml:space="preserve"> and </w:t>
      </w:r>
      <w:r w:rsidRPr="009A641B">
        <w:rPr>
          <w:rFonts w:ascii="Times New Roman" w:eastAsia="Times New Roman" w:hAnsi="Times New Roman" w:cs="Times New Roman"/>
          <w:b/>
          <w:sz w:val="24"/>
          <w:szCs w:val="24"/>
        </w:rPr>
        <w:t>high natural mortality</w:t>
      </w:r>
      <w:r w:rsidRPr="009A641B">
        <w:rPr>
          <w:rFonts w:ascii="Times New Roman" w:eastAsia="Times New Roman" w:hAnsi="Times New Roman" w:cs="Times New Roman"/>
          <w:sz w:val="24"/>
          <w:szCs w:val="24"/>
        </w:rPr>
        <w:t xml:space="preserve">, with </w:t>
      </w:r>
      <w:r w:rsidRPr="009A641B">
        <w:rPr>
          <w:rFonts w:ascii="Times New Roman" w:eastAsia="Times New Roman" w:hAnsi="Times New Roman" w:cs="Times New Roman"/>
          <w:b/>
          <w:sz w:val="24"/>
          <w:szCs w:val="24"/>
        </w:rPr>
        <w:t>underutilized fishing potential</w:t>
      </w:r>
      <w:r w:rsidRPr="009A641B">
        <w:rPr>
          <w:rFonts w:ascii="Times New Roman" w:eastAsia="Times New Roman" w:hAnsi="Times New Roman" w:cs="Times New Roman"/>
          <w:sz w:val="24"/>
          <w:szCs w:val="24"/>
        </w:rPr>
        <w:t xml:space="preserve">. However, </w:t>
      </w:r>
      <w:r w:rsidRPr="009A641B">
        <w:rPr>
          <w:rFonts w:ascii="Times New Roman" w:eastAsia="Times New Roman" w:hAnsi="Times New Roman" w:cs="Times New Roman"/>
          <w:b/>
          <w:sz w:val="24"/>
          <w:szCs w:val="24"/>
        </w:rPr>
        <w:t>early harvest</w:t>
      </w:r>
      <w:r w:rsidRPr="009A641B">
        <w:rPr>
          <w:rFonts w:ascii="Times New Roman" w:eastAsia="Times New Roman" w:hAnsi="Times New Roman" w:cs="Times New Roman"/>
          <w:sz w:val="24"/>
          <w:szCs w:val="24"/>
        </w:rPr>
        <w:t xml:space="preserve"> and</w:t>
      </w:r>
      <w:r w:rsidRPr="009A641B">
        <w:rPr>
          <w:rFonts w:ascii="Times New Roman" w:eastAsia="Times New Roman" w:hAnsi="Times New Roman" w:cs="Times New Roman"/>
          <w:b/>
          <w:sz w:val="24"/>
          <w:szCs w:val="24"/>
        </w:rPr>
        <w:t xml:space="preserve"> gear selectivity threaten long-term sustainability</w:t>
      </w:r>
      <w:r w:rsidRPr="009A641B">
        <w:rPr>
          <w:rFonts w:ascii="Times New Roman" w:eastAsia="Times New Roman" w:hAnsi="Times New Roman" w:cs="Times New Roman"/>
          <w:sz w:val="24"/>
          <w:szCs w:val="24"/>
        </w:rPr>
        <w:t xml:space="preserve">. Adopting </w:t>
      </w:r>
      <w:r w:rsidRPr="009A641B">
        <w:rPr>
          <w:rFonts w:ascii="Times New Roman" w:eastAsia="Times New Roman" w:hAnsi="Times New Roman" w:cs="Times New Roman"/>
          <w:b/>
          <w:sz w:val="24"/>
          <w:szCs w:val="24"/>
        </w:rPr>
        <w:t>size limits</w:t>
      </w:r>
      <w:r w:rsidRPr="009A641B">
        <w:rPr>
          <w:rFonts w:ascii="Times New Roman" w:eastAsia="Times New Roman" w:hAnsi="Times New Roman" w:cs="Times New Roman"/>
          <w:sz w:val="24"/>
          <w:szCs w:val="24"/>
        </w:rPr>
        <w:t xml:space="preserve">, </w:t>
      </w:r>
      <w:r w:rsidRPr="009A641B">
        <w:rPr>
          <w:rFonts w:ascii="Times New Roman" w:eastAsia="Times New Roman" w:hAnsi="Times New Roman" w:cs="Times New Roman"/>
          <w:b/>
          <w:sz w:val="24"/>
          <w:szCs w:val="24"/>
        </w:rPr>
        <w:t>seasonal closures</w:t>
      </w:r>
      <w:r w:rsidRPr="009A641B">
        <w:rPr>
          <w:rFonts w:ascii="Times New Roman" w:eastAsia="Times New Roman" w:hAnsi="Times New Roman" w:cs="Times New Roman"/>
          <w:sz w:val="24"/>
          <w:szCs w:val="24"/>
        </w:rPr>
        <w:t xml:space="preserve">, and </w:t>
      </w:r>
      <w:r w:rsidRPr="009A641B">
        <w:rPr>
          <w:rFonts w:ascii="Times New Roman" w:eastAsia="Times New Roman" w:hAnsi="Times New Roman" w:cs="Times New Roman"/>
          <w:b/>
          <w:sz w:val="24"/>
          <w:szCs w:val="24"/>
        </w:rPr>
        <w:t>effort controls</w:t>
      </w:r>
      <w:r w:rsidRPr="009A641B">
        <w:rPr>
          <w:rFonts w:ascii="Times New Roman" w:eastAsia="Times New Roman" w:hAnsi="Times New Roman" w:cs="Times New Roman"/>
          <w:sz w:val="24"/>
          <w:szCs w:val="24"/>
        </w:rPr>
        <w:t xml:space="preserve"> could </w:t>
      </w:r>
      <w:r w:rsidRPr="009A641B">
        <w:rPr>
          <w:rFonts w:ascii="Times New Roman" w:eastAsia="Times New Roman" w:hAnsi="Times New Roman" w:cs="Times New Roman"/>
          <w:b/>
          <w:sz w:val="24"/>
          <w:szCs w:val="24"/>
        </w:rPr>
        <w:t>optimize yield</w:t>
      </w:r>
      <w:r w:rsidRPr="009A641B">
        <w:rPr>
          <w:rFonts w:ascii="Times New Roman" w:eastAsia="Times New Roman" w:hAnsi="Times New Roman" w:cs="Times New Roman"/>
          <w:sz w:val="24"/>
          <w:szCs w:val="24"/>
        </w:rPr>
        <w:t xml:space="preserve"> while </w:t>
      </w:r>
      <w:r w:rsidRPr="009A641B">
        <w:rPr>
          <w:rFonts w:ascii="Times New Roman" w:eastAsia="Times New Roman" w:hAnsi="Times New Roman" w:cs="Times New Roman"/>
          <w:b/>
          <w:sz w:val="24"/>
          <w:szCs w:val="24"/>
        </w:rPr>
        <w:t>conserving the stock</w:t>
      </w:r>
      <w:r w:rsidRPr="009A641B">
        <w:rPr>
          <w:rFonts w:ascii="Times New Roman" w:eastAsia="Times New Roman" w:hAnsi="Times New Roman" w:cs="Times New Roman"/>
          <w:sz w:val="24"/>
          <w:szCs w:val="24"/>
        </w:rPr>
        <w:t>.</w:t>
      </w:r>
    </w:p>
    <w:p w:rsidR="00D160C0" w:rsidRDefault="00D160C0" w:rsidP="00DD5F77">
      <w:pPr>
        <w:autoSpaceDE w:val="0"/>
        <w:autoSpaceDN w:val="0"/>
        <w:adjustRightInd w:val="0"/>
        <w:spacing w:after="0" w:line="360" w:lineRule="auto"/>
        <w:contextualSpacing/>
        <w:jc w:val="both"/>
        <w:rPr>
          <w:rFonts w:ascii="Times New Roman" w:eastAsia="Calibri" w:hAnsi="Times New Roman" w:cs="Times New Roman"/>
          <w:b/>
          <w:bCs/>
          <w:color w:val="000000"/>
          <w:sz w:val="24"/>
          <w:szCs w:val="24"/>
        </w:rPr>
      </w:pPr>
    </w:p>
    <w:p w:rsidR="003D327B" w:rsidRPr="00515572" w:rsidRDefault="003D327B" w:rsidP="00DD5F77">
      <w:pPr>
        <w:autoSpaceDE w:val="0"/>
        <w:autoSpaceDN w:val="0"/>
        <w:adjustRightInd w:val="0"/>
        <w:spacing w:after="0" w:line="360" w:lineRule="auto"/>
        <w:contextualSpacing/>
        <w:jc w:val="both"/>
        <w:rPr>
          <w:rFonts w:ascii="Times New Roman" w:eastAsia="Calibri" w:hAnsi="Times New Roman" w:cs="Times New Roman"/>
          <w:sz w:val="24"/>
          <w:szCs w:val="24"/>
        </w:rPr>
      </w:pPr>
      <w:r w:rsidRPr="00027516">
        <w:rPr>
          <w:rFonts w:ascii="Times New Roman" w:eastAsia="Calibri" w:hAnsi="Times New Roman" w:cs="Times New Roman"/>
          <w:b/>
          <w:bCs/>
          <w:color w:val="000000"/>
          <w:sz w:val="24"/>
          <w:szCs w:val="24"/>
        </w:rPr>
        <w:t>References</w:t>
      </w:r>
      <w:r w:rsidRPr="00515572">
        <w:rPr>
          <w:rFonts w:ascii="Times New Roman" w:eastAsia="Calibri" w:hAnsi="Times New Roman" w:cs="Times New Roman"/>
          <w:sz w:val="24"/>
          <w:szCs w:val="24"/>
        </w:rPr>
        <w:t>:</w:t>
      </w:r>
    </w:p>
    <w:p w:rsidR="00D976D7" w:rsidRPr="00515572" w:rsidRDefault="00D976D7" w:rsidP="00DD5F77">
      <w:pPr>
        <w:autoSpaceDE w:val="0"/>
        <w:autoSpaceDN w:val="0"/>
        <w:adjustRightInd w:val="0"/>
        <w:spacing w:after="0" w:line="360" w:lineRule="auto"/>
        <w:contextualSpacing/>
        <w:jc w:val="both"/>
        <w:rPr>
          <w:rFonts w:ascii="Times New Roman" w:eastAsia="Calibri" w:hAnsi="Times New Roman" w:cs="Times New Roman"/>
          <w:color w:val="0000FF"/>
          <w:sz w:val="24"/>
          <w:szCs w:val="24"/>
        </w:rPr>
      </w:pPr>
      <w:r w:rsidRPr="00515572">
        <w:rPr>
          <w:rFonts w:ascii="Times New Roman" w:eastAsia="Calibri" w:hAnsi="Times New Roman" w:cs="Times New Roman"/>
          <w:color w:val="000000"/>
          <w:sz w:val="24"/>
          <w:szCs w:val="24"/>
        </w:rPr>
        <w:t xml:space="preserve">Abdalla, M. Y. M. and Adam, A. E. (2024). Diversity and Distribution of Ichthyofauna in the Inland Waters of Sudan: A Review. </w:t>
      </w:r>
      <w:r w:rsidRPr="00515572">
        <w:rPr>
          <w:rFonts w:ascii="Times New Roman" w:eastAsia="Calibri" w:hAnsi="Times New Roman" w:cs="Times New Roman"/>
          <w:i/>
          <w:iCs/>
          <w:color w:val="000000"/>
          <w:sz w:val="24"/>
          <w:szCs w:val="24"/>
        </w:rPr>
        <w:t>Asian J. Res., Zool.,</w:t>
      </w:r>
      <w:r w:rsidRPr="00515572">
        <w:rPr>
          <w:rFonts w:ascii="Times New Roman" w:eastAsia="Calibri" w:hAnsi="Times New Roman" w:cs="Times New Roman"/>
          <w:color w:val="000000"/>
          <w:sz w:val="24"/>
          <w:szCs w:val="24"/>
        </w:rPr>
        <w:t xml:space="preserve"> Vol., 7(3): 1-13. DOI: </w:t>
      </w:r>
      <w:hyperlink r:id="rId16" w:history="1">
        <w:r w:rsidRPr="00515572">
          <w:rPr>
            <w:rFonts w:ascii="Times New Roman" w:eastAsia="Calibri" w:hAnsi="Times New Roman" w:cs="Times New Roman"/>
            <w:color w:val="0000FF"/>
            <w:sz w:val="24"/>
            <w:szCs w:val="24"/>
            <w:u w:val="single"/>
          </w:rPr>
          <w:t>https://doi.org/10.9734/ajriz/2024/v7i3151</w:t>
        </w:r>
      </w:hyperlink>
      <w:r w:rsidRPr="00515572">
        <w:rPr>
          <w:rFonts w:ascii="Times New Roman" w:eastAsia="Calibri" w:hAnsi="Times New Roman" w:cs="Times New Roman"/>
          <w:color w:val="0000FF"/>
          <w:sz w:val="24"/>
          <w:szCs w:val="24"/>
        </w:rPr>
        <w:t>.</w:t>
      </w:r>
    </w:p>
    <w:p w:rsidR="00D976D7" w:rsidRPr="00515572" w:rsidRDefault="00D976D7"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Times New Roman" w:hAnsi="Times New Roman" w:cs="Times New Roman"/>
          <w:sz w:val="24"/>
          <w:szCs w:val="24"/>
        </w:rPr>
        <w:t xml:space="preserve">Badenhuizen, T. R. (1967). Some notes on the population dynamics of </w:t>
      </w:r>
      <w:r w:rsidRPr="00515572">
        <w:rPr>
          <w:rFonts w:ascii="Times New Roman" w:eastAsia="Times New Roman" w:hAnsi="Times New Roman" w:cs="Times New Roman"/>
          <w:i/>
          <w:iCs/>
          <w:sz w:val="24"/>
          <w:szCs w:val="24"/>
        </w:rPr>
        <w:t>Hydrocynus vittatus</w:t>
      </w:r>
      <w:r w:rsidRPr="00515572">
        <w:rPr>
          <w:rFonts w:ascii="Times New Roman" w:eastAsia="Times New Roman" w:hAnsi="Times New Roman" w:cs="Times New Roman"/>
          <w:sz w:val="24"/>
          <w:szCs w:val="24"/>
        </w:rPr>
        <w:t xml:space="preserve"> (Castelnau) in Lake Kariba. </w:t>
      </w:r>
      <w:r w:rsidRPr="00515572">
        <w:rPr>
          <w:rFonts w:ascii="Times New Roman" w:eastAsia="Times New Roman" w:hAnsi="Times New Roman" w:cs="Times New Roman"/>
          <w:i/>
          <w:iCs/>
          <w:sz w:val="24"/>
          <w:szCs w:val="24"/>
        </w:rPr>
        <w:t>Hydrobiologia</w:t>
      </w:r>
      <w:r w:rsidRPr="00515572">
        <w:rPr>
          <w:rFonts w:ascii="Times New Roman" w:eastAsia="Times New Roman" w:hAnsi="Times New Roman" w:cs="Times New Roman"/>
          <w:sz w:val="24"/>
          <w:szCs w:val="24"/>
        </w:rPr>
        <w:t xml:space="preserve">, 30(3-4), pp.527-540. DOI: </w:t>
      </w:r>
      <w:hyperlink r:id="rId17" w:history="1">
        <w:r w:rsidRPr="00515572">
          <w:rPr>
            <w:rFonts w:ascii="Times New Roman" w:eastAsia="Calibri" w:hAnsi="Times New Roman" w:cs="Times New Roman"/>
            <w:color w:val="0000FF"/>
            <w:sz w:val="24"/>
            <w:szCs w:val="24"/>
            <w:u w:val="single"/>
          </w:rPr>
          <w:t>10.1007/BF00964031</w:t>
        </w:r>
      </w:hyperlink>
      <w:r w:rsidRPr="00515572">
        <w:rPr>
          <w:rFonts w:ascii="Times New Roman" w:eastAsia="Calibri" w:hAnsi="Times New Roman" w:cs="Times New Roman"/>
          <w:sz w:val="24"/>
          <w:szCs w:val="24"/>
        </w:rPr>
        <w:t>.</w:t>
      </w:r>
    </w:p>
    <w:p w:rsidR="00D976D7" w:rsidRPr="00515572" w:rsidRDefault="00D976D7" w:rsidP="00DD5F77">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 xml:space="preserve">Bailey, R. G. (1994). A guide to the fishes of the river Nile in the Republic of Sudan. </w:t>
      </w:r>
      <w:r w:rsidRPr="00515572">
        <w:rPr>
          <w:rFonts w:ascii="Times New Roman" w:eastAsia="Calibri" w:hAnsi="Times New Roman" w:cs="Times New Roman"/>
          <w:i/>
          <w:iCs/>
          <w:color w:val="000000"/>
          <w:sz w:val="24"/>
          <w:szCs w:val="24"/>
        </w:rPr>
        <w:t>J. Nat., Hist</w:t>
      </w:r>
      <w:r w:rsidRPr="00515572">
        <w:rPr>
          <w:rFonts w:ascii="Times New Roman" w:eastAsia="Calibri" w:hAnsi="Times New Roman" w:cs="Times New Roman"/>
          <w:color w:val="000000"/>
          <w:sz w:val="24"/>
          <w:szCs w:val="24"/>
        </w:rPr>
        <w:t xml:space="preserve">., Vol., 28:937-970. </w:t>
      </w:r>
    </w:p>
    <w:p w:rsidR="00D976D7" w:rsidRPr="00515572" w:rsidRDefault="00D976D7" w:rsidP="00DD5F77">
      <w:pPr>
        <w:spacing w:after="0" w:line="360" w:lineRule="auto"/>
        <w:contextualSpacing/>
        <w:jc w:val="both"/>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 xml:space="preserve">Balon, E. K. (1971). Replacement of </w:t>
      </w:r>
      <w:r w:rsidRPr="00515572">
        <w:rPr>
          <w:rFonts w:ascii="Times New Roman" w:eastAsia="Calibri" w:hAnsi="Times New Roman" w:cs="Times New Roman"/>
          <w:i/>
          <w:iCs/>
          <w:color w:val="000000"/>
          <w:sz w:val="24"/>
          <w:szCs w:val="24"/>
        </w:rPr>
        <w:t>Alestesimberi</w:t>
      </w:r>
      <w:r w:rsidRPr="00515572">
        <w:rPr>
          <w:rFonts w:ascii="Times New Roman" w:eastAsia="Calibri" w:hAnsi="Times New Roman" w:cs="Times New Roman"/>
          <w:color w:val="000000"/>
          <w:sz w:val="24"/>
          <w:szCs w:val="24"/>
        </w:rPr>
        <w:t xml:space="preserve"> (Peters, 1852) by </w:t>
      </w:r>
      <w:r w:rsidRPr="00515572">
        <w:rPr>
          <w:rFonts w:ascii="Times New Roman" w:eastAsia="Calibri" w:hAnsi="Times New Roman" w:cs="Times New Roman"/>
          <w:i/>
          <w:iCs/>
          <w:color w:val="000000"/>
          <w:sz w:val="24"/>
          <w:szCs w:val="24"/>
        </w:rPr>
        <w:t>A. lateralis</w:t>
      </w:r>
      <w:r w:rsidRPr="00515572">
        <w:rPr>
          <w:rFonts w:ascii="Times New Roman" w:eastAsia="Calibri" w:hAnsi="Times New Roman" w:cs="Times New Roman"/>
          <w:color w:val="000000"/>
          <w:sz w:val="24"/>
          <w:szCs w:val="24"/>
        </w:rPr>
        <w:t xml:space="preserve"> (Boulenger, 1900) in Lake Kariba, with ecological notes. </w:t>
      </w:r>
      <w:r w:rsidRPr="00515572">
        <w:rPr>
          <w:rFonts w:ascii="Times New Roman" w:eastAsia="Calibri" w:hAnsi="Times New Roman" w:cs="Times New Roman"/>
          <w:i/>
          <w:iCs/>
          <w:color w:val="000000"/>
          <w:sz w:val="24"/>
          <w:szCs w:val="24"/>
        </w:rPr>
        <w:t>Fish., Res., Bull.,</w:t>
      </w:r>
      <w:r w:rsidRPr="00515572">
        <w:rPr>
          <w:rFonts w:ascii="Times New Roman" w:eastAsia="Calibri" w:hAnsi="Times New Roman" w:cs="Times New Roman"/>
          <w:color w:val="000000"/>
          <w:sz w:val="24"/>
          <w:szCs w:val="24"/>
        </w:rPr>
        <w:t xml:space="preserve"> Zambia. Vol., 5: 119-162. </w:t>
      </w:r>
    </w:p>
    <w:p w:rsidR="00D976D7" w:rsidRPr="00515572" w:rsidRDefault="00D976D7" w:rsidP="00DD5F77">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 xml:space="preserve">Beverton, R. (1992). Patterns of reproductive strategy parameters in some marine teleost fishes. </w:t>
      </w:r>
      <w:r w:rsidRPr="00515572">
        <w:rPr>
          <w:rFonts w:ascii="Times New Roman" w:eastAsia="Calibri" w:hAnsi="Times New Roman" w:cs="Times New Roman"/>
          <w:i/>
          <w:iCs/>
          <w:color w:val="000000"/>
          <w:sz w:val="24"/>
          <w:szCs w:val="24"/>
        </w:rPr>
        <w:t>Journal of Fish Biology, 41</w:t>
      </w:r>
      <w:r w:rsidRPr="00515572">
        <w:rPr>
          <w:rFonts w:ascii="Times New Roman" w:eastAsia="Calibri" w:hAnsi="Times New Roman" w:cs="Times New Roman"/>
          <w:color w:val="000000"/>
          <w:sz w:val="24"/>
          <w:szCs w:val="24"/>
        </w:rPr>
        <w:t xml:space="preserve">, 137–160. </w:t>
      </w:r>
    </w:p>
    <w:p w:rsidR="00D976D7" w:rsidRPr="00515572" w:rsidRDefault="00D976D7" w:rsidP="00DD5F77">
      <w:pPr>
        <w:spacing w:after="0" w:line="360" w:lineRule="auto"/>
        <w:contextualSpacing/>
        <w:jc w:val="both"/>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 xml:space="preserve">Beverton, R. J., &amp; Holt, S. J. (1957). </w:t>
      </w:r>
      <w:r w:rsidRPr="00515572">
        <w:rPr>
          <w:rFonts w:ascii="Times New Roman" w:eastAsia="Calibri" w:hAnsi="Times New Roman" w:cs="Times New Roman"/>
          <w:i/>
          <w:iCs/>
          <w:color w:val="000000"/>
          <w:sz w:val="24"/>
          <w:szCs w:val="24"/>
        </w:rPr>
        <w:t xml:space="preserve">On the dynamics of exploited fish populations </w:t>
      </w:r>
      <w:r w:rsidRPr="00515572">
        <w:rPr>
          <w:rFonts w:ascii="Times New Roman" w:eastAsia="Calibri" w:hAnsi="Times New Roman" w:cs="Times New Roman"/>
          <w:color w:val="000000"/>
          <w:sz w:val="24"/>
          <w:szCs w:val="24"/>
        </w:rPr>
        <w:t xml:space="preserve">(Vol. 11). Springer Science &amp; Business Media. ISBN 94-011-2106-0. </w:t>
      </w:r>
    </w:p>
    <w:p w:rsidR="00D976D7" w:rsidRPr="00515572" w:rsidRDefault="00D976D7" w:rsidP="00DD5F77">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lastRenderedPageBreak/>
        <w:t xml:space="preserve">Cesar, E. M.; Francisco, A. M. and Vangil, P. S. (2004). Feeding habits of fish from a stream in the savanna of Central Brazil, Araguaia Basin. Neotropical Ichthyology, 2(1): p 37-44. </w:t>
      </w:r>
    </w:p>
    <w:p w:rsidR="00D976D7" w:rsidRPr="00515572" w:rsidRDefault="00D976D7"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Dadebo, E. and Mengistou, S. (2008). Feeding habits, ontogenetic dietary shift and some aspects of reproduction of the tigerfish </w:t>
      </w:r>
      <w:r w:rsidRPr="00515572">
        <w:rPr>
          <w:rFonts w:ascii="Times New Roman" w:eastAsia="Times New Roman" w:hAnsi="Times New Roman" w:cs="Times New Roman"/>
          <w:i/>
          <w:iCs/>
          <w:sz w:val="24"/>
          <w:szCs w:val="24"/>
        </w:rPr>
        <w:t>Hydrocynus forskahlii</w:t>
      </w:r>
      <w:r w:rsidRPr="00515572">
        <w:rPr>
          <w:rFonts w:ascii="Times New Roman" w:eastAsia="Times New Roman" w:hAnsi="Times New Roman" w:cs="Times New Roman"/>
          <w:sz w:val="24"/>
          <w:szCs w:val="24"/>
        </w:rPr>
        <w:t xml:space="preserve"> (Cuvier 1819) (Pisces: Characidae) in Lake Chamo, Ethiopia. </w:t>
      </w:r>
      <w:r w:rsidRPr="00515572">
        <w:rPr>
          <w:rFonts w:ascii="Times New Roman" w:eastAsia="Times New Roman" w:hAnsi="Times New Roman" w:cs="Times New Roman"/>
          <w:i/>
          <w:iCs/>
          <w:sz w:val="24"/>
          <w:szCs w:val="24"/>
        </w:rPr>
        <w:t>Ethiopian Journal of Biological Sciences</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7</w:t>
      </w:r>
      <w:r w:rsidRPr="00515572">
        <w:rPr>
          <w:rFonts w:ascii="Times New Roman" w:eastAsia="Times New Roman" w:hAnsi="Times New Roman" w:cs="Times New Roman"/>
          <w:sz w:val="24"/>
          <w:szCs w:val="24"/>
        </w:rPr>
        <w:t>(2), pp.123-137.</w:t>
      </w:r>
    </w:p>
    <w:p w:rsidR="00D976D7" w:rsidRPr="00515572" w:rsidRDefault="00D976D7" w:rsidP="00CA353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Dalu, T., Clegg, B.R.U.C.E., Marufu, L.I.G.H.T.O.N.E. and Nhiwatiwa, T. </w:t>
      </w:r>
      <w:r>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2012</w:t>
      </w:r>
      <w:r>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 xml:space="preserve">. The feeding habits of an introduced piscivore, </w:t>
      </w:r>
      <w:r w:rsidRPr="00515572">
        <w:rPr>
          <w:rFonts w:ascii="Times New Roman" w:eastAsia="Times New Roman" w:hAnsi="Times New Roman" w:cs="Times New Roman"/>
          <w:i/>
          <w:iCs/>
          <w:sz w:val="24"/>
          <w:szCs w:val="24"/>
        </w:rPr>
        <w:t>Hydrocynus vittatus</w:t>
      </w:r>
      <w:r w:rsidRPr="00515572">
        <w:rPr>
          <w:rFonts w:ascii="Times New Roman" w:eastAsia="Times New Roman" w:hAnsi="Times New Roman" w:cs="Times New Roman"/>
          <w:sz w:val="24"/>
          <w:szCs w:val="24"/>
        </w:rPr>
        <w:t xml:space="preserve"> (Castelnau 1861) in a small tropical African reservoir. </w:t>
      </w:r>
      <w:r w:rsidRPr="00515572">
        <w:rPr>
          <w:rFonts w:ascii="Times New Roman" w:eastAsia="Times New Roman" w:hAnsi="Times New Roman" w:cs="Times New Roman"/>
          <w:i/>
          <w:iCs/>
          <w:sz w:val="24"/>
          <w:szCs w:val="24"/>
        </w:rPr>
        <w:t>Pan-American Journal of Aquatic Sciences</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7</w:t>
      </w:r>
      <w:r w:rsidRPr="00515572">
        <w:rPr>
          <w:rFonts w:ascii="Times New Roman" w:eastAsia="Times New Roman" w:hAnsi="Times New Roman" w:cs="Times New Roman"/>
          <w:sz w:val="24"/>
          <w:szCs w:val="24"/>
        </w:rPr>
        <w:t>(2), pp.85-92.</w:t>
      </w:r>
    </w:p>
    <w:p w:rsidR="00D976D7" w:rsidRPr="00515572" w:rsidRDefault="00D976D7"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Dansoko, F.D., 1975. </w:t>
      </w:r>
      <w:r w:rsidRPr="00515572">
        <w:rPr>
          <w:rFonts w:ascii="Times New Roman" w:eastAsia="Times New Roman" w:hAnsi="Times New Roman" w:cs="Times New Roman"/>
          <w:sz w:val="24"/>
          <w:szCs w:val="24"/>
          <w:lang w:val="fr-FR"/>
        </w:rPr>
        <w:t xml:space="preserve">Contribution a l'etude de la biologie des hydrocyom dans le delta central du Niger. </w:t>
      </w:r>
      <w:r w:rsidRPr="00515572">
        <w:rPr>
          <w:rFonts w:ascii="Times New Roman" w:eastAsia="Times New Roman" w:hAnsi="Times New Roman" w:cs="Times New Roman"/>
          <w:i/>
          <w:iCs/>
          <w:sz w:val="24"/>
          <w:szCs w:val="24"/>
        </w:rPr>
        <w:t>In</w:t>
      </w:r>
      <w:r w:rsidRPr="00515572">
        <w:rPr>
          <w:rFonts w:ascii="Times New Roman" w:eastAsia="Times New Roman" w:hAnsi="Times New Roman" w:cs="Times New Roman"/>
          <w:sz w:val="24"/>
          <w:szCs w:val="24"/>
        </w:rPr>
        <w:t>: Welcomme, R. L. (1979). Fisheries ecology of floodplain rivers. Longman, London.</w:t>
      </w:r>
    </w:p>
    <w:p w:rsidR="00D976D7" w:rsidRPr="00341215" w:rsidRDefault="00D976D7" w:rsidP="00341215">
      <w:pPr>
        <w:autoSpaceDE w:val="0"/>
        <w:autoSpaceDN w:val="0"/>
        <w:adjustRightInd w:val="0"/>
        <w:spacing w:after="0" w:line="360" w:lineRule="auto"/>
        <w:contextualSpacing/>
        <w:jc w:val="both"/>
        <w:rPr>
          <w:rFonts w:asciiTheme="majorBidi" w:eastAsia="Calibri" w:hAnsiTheme="majorBidi" w:cstheme="majorBidi"/>
          <w:color w:val="000000"/>
          <w:sz w:val="24"/>
          <w:szCs w:val="24"/>
        </w:rPr>
      </w:pPr>
      <w:r w:rsidRPr="00341215">
        <w:rPr>
          <w:rFonts w:asciiTheme="majorBidi" w:hAnsiTheme="majorBidi" w:cstheme="majorBidi"/>
          <w:sz w:val="24"/>
          <w:szCs w:val="24"/>
        </w:rPr>
        <w:t xml:space="preserve">FAO. 2022. </w:t>
      </w:r>
      <w:r w:rsidRPr="00341215">
        <w:rPr>
          <w:rStyle w:val="Emphasis"/>
          <w:rFonts w:asciiTheme="majorBidi" w:hAnsiTheme="majorBidi" w:cstheme="majorBidi"/>
          <w:sz w:val="24"/>
          <w:szCs w:val="24"/>
        </w:rPr>
        <w:t>The State of Food and Agriculture 2022. Leveraging automation in agriculture for transforming agrifood systems.</w:t>
      </w:r>
      <w:r w:rsidRPr="00341215">
        <w:rPr>
          <w:rFonts w:asciiTheme="majorBidi" w:hAnsiTheme="majorBidi" w:cstheme="majorBidi"/>
          <w:sz w:val="24"/>
          <w:szCs w:val="24"/>
        </w:rPr>
        <w:t xml:space="preserve"> Rome, FAO.</w:t>
      </w:r>
      <w:hyperlink r:id="rId18" w:history="1">
        <w:r w:rsidRPr="00341215">
          <w:rPr>
            <w:rStyle w:val="Hyperlink"/>
            <w:rFonts w:asciiTheme="majorBidi" w:hAnsiTheme="majorBidi" w:cstheme="majorBidi"/>
            <w:sz w:val="24"/>
            <w:szCs w:val="24"/>
          </w:rPr>
          <w:t>https://doi.org/10.4060/cb9479en</w:t>
        </w:r>
      </w:hyperlink>
      <w:r w:rsidRPr="00341215">
        <w:rPr>
          <w:rFonts w:asciiTheme="majorBidi" w:hAnsiTheme="majorBidi" w:cstheme="majorBidi"/>
          <w:sz w:val="24"/>
          <w:szCs w:val="24"/>
        </w:rPr>
        <w:t>.</w:t>
      </w:r>
    </w:p>
    <w:p w:rsidR="00D976D7" w:rsidRPr="00515572" w:rsidRDefault="00D976D7"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color w:val="000000"/>
          <w:sz w:val="24"/>
          <w:szCs w:val="24"/>
        </w:rPr>
        <w:t xml:space="preserve">Gagiano, C. L. (1997). An ecological study on the Tiger-fish </w:t>
      </w:r>
      <w:r w:rsidRPr="00515572">
        <w:rPr>
          <w:rFonts w:ascii="Times New Roman" w:eastAsia="Calibri" w:hAnsi="Times New Roman" w:cs="Times New Roman"/>
          <w:i/>
          <w:iCs/>
          <w:color w:val="000000"/>
          <w:sz w:val="24"/>
          <w:szCs w:val="24"/>
        </w:rPr>
        <w:t>Hydrocynus vittatus</w:t>
      </w:r>
      <w:r w:rsidRPr="00515572">
        <w:rPr>
          <w:rFonts w:ascii="Times New Roman" w:eastAsia="Calibri" w:hAnsi="Times New Roman" w:cs="Times New Roman"/>
          <w:color w:val="000000"/>
          <w:sz w:val="24"/>
          <w:szCs w:val="24"/>
        </w:rPr>
        <w:t xml:space="preserve"> in the Olifants and Letaba Rivers with special reference to artificial reproduction. M. Sc., thesis, Department of Zoology, Faculty of Science, Rand Afrikaans University. 117 pp.</w:t>
      </w:r>
    </w:p>
    <w:p w:rsidR="00D976D7" w:rsidRPr="00515572" w:rsidRDefault="00D976D7"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Gayanilo, F. C., Sparre, P., &amp; Pauly, D. (1996). </w:t>
      </w:r>
      <w:r w:rsidRPr="00515572">
        <w:rPr>
          <w:rFonts w:ascii="Times New Roman" w:eastAsia="Calibri" w:hAnsi="Times New Roman" w:cs="Times New Roman"/>
          <w:i/>
          <w:iCs/>
          <w:sz w:val="24"/>
          <w:szCs w:val="24"/>
        </w:rPr>
        <w:t>FAO-ICLARM Fish Stock Assessment Tools (FISAT) Software Package User’s Manual</w:t>
      </w:r>
      <w:r w:rsidRPr="00515572">
        <w:rPr>
          <w:rFonts w:ascii="Times New Roman" w:eastAsia="Calibri" w:hAnsi="Times New Roman" w:cs="Times New Roman"/>
          <w:sz w:val="24"/>
          <w:szCs w:val="24"/>
        </w:rPr>
        <w:t xml:space="preserve">. Food &amp; Agriculture Organization. </w:t>
      </w:r>
    </w:p>
    <w:p w:rsidR="00D976D7" w:rsidRPr="00515572" w:rsidRDefault="00D976D7"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Gayanilo, F., Sparre, P., &amp; Pauly, D. (2005). </w:t>
      </w:r>
      <w:r w:rsidRPr="00515572">
        <w:rPr>
          <w:rFonts w:ascii="Times New Roman" w:eastAsia="Calibri" w:hAnsi="Times New Roman" w:cs="Times New Roman"/>
          <w:i/>
          <w:iCs/>
          <w:sz w:val="24"/>
          <w:szCs w:val="24"/>
        </w:rPr>
        <w:t>FAO-ICLARM stock assessment tools II: Revised version: User’s guide</w:t>
      </w:r>
      <w:r w:rsidRPr="00515572">
        <w:rPr>
          <w:rFonts w:ascii="Times New Roman" w:eastAsia="Calibri" w:hAnsi="Times New Roman" w:cs="Times New Roman"/>
          <w:sz w:val="24"/>
          <w:szCs w:val="24"/>
        </w:rPr>
        <w:t xml:space="preserve">. FAO Computerized Information Series on Fish. </w:t>
      </w:r>
    </w:p>
    <w:p w:rsidR="00D976D7" w:rsidRPr="00515572" w:rsidRDefault="00D976D7" w:rsidP="00DD5F77">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515572">
        <w:rPr>
          <w:rFonts w:ascii="Times New Roman" w:eastAsia="Calibri" w:hAnsi="Times New Roman" w:cs="Times New Roman"/>
          <w:sz w:val="24"/>
          <w:szCs w:val="24"/>
        </w:rPr>
        <w:t xml:space="preserve">Gerber, R., Smit, N.J., Pieterse, G.M. and Durholtz, D. (2009). Age estimation, growth rate and size at sexual maturity of tigerfish </w:t>
      </w:r>
      <w:r w:rsidRPr="00515572">
        <w:rPr>
          <w:rFonts w:ascii="Times New Roman" w:eastAsia="Calibri" w:hAnsi="Times New Roman" w:cs="Times New Roman"/>
          <w:i/>
          <w:iCs/>
          <w:sz w:val="24"/>
          <w:szCs w:val="24"/>
        </w:rPr>
        <w:t>Hydrocynus vittatus</w:t>
      </w:r>
      <w:r w:rsidRPr="00515572">
        <w:rPr>
          <w:rFonts w:ascii="Times New Roman" w:eastAsia="Calibri" w:hAnsi="Times New Roman" w:cs="Times New Roman"/>
          <w:sz w:val="24"/>
          <w:szCs w:val="24"/>
        </w:rPr>
        <w:t xml:space="preserve"> from the Okavango Delta, Botswana. </w:t>
      </w:r>
      <w:r w:rsidRPr="00515572">
        <w:rPr>
          <w:rFonts w:ascii="Times New Roman" w:eastAsia="Calibri" w:hAnsi="Times New Roman" w:cs="Times New Roman"/>
          <w:i/>
          <w:iCs/>
          <w:sz w:val="24"/>
          <w:szCs w:val="24"/>
        </w:rPr>
        <w:t>African J. Aquat., Sci.</w:t>
      </w:r>
      <w:r w:rsidRPr="00515572">
        <w:rPr>
          <w:rFonts w:ascii="Times New Roman" w:eastAsia="Calibri" w:hAnsi="Times New Roman" w:cs="Times New Roman"/>
          <w:sz w:val="24"/>
          <w:szCs w:val="24"/>
        </w:rPr>
        <w:t xml:space="preserve">, Vol., 34(3), pp.239-247. DOI: </w:t>
      </w:r>
      <w:hyperlink r:id="rId19" w:history="1">
        <w:r w:rsidRPr="00515572">
          <w:rPr>
            <w:rFonts w:ascii="Times New Roman" w:eastAsia="Calibri" w:hAnsi="Times New Roman" w:cs="Times New Roman"/>
            <w:color w:val="0000FF"/>
            <w:sz w:val="24"/>
            <w:szCs w:val="24"/>
            <w:u w:val="single"/>
          </w:rPr>
          <w:t>https://doi.org/10.2989/AJAS.2009.34.3.5.981</w:t>
        </w:r>
      </w:hyperlink>
      <w:r w:rsidRPr="00515572">
        <w:rPr>
          <w:rFonts w:ascii="Times New Roman" w:eastAsia="Calibri" w:hAnsi="Times New Roman" w:cs="Times New Roman"/>
          <w:sz w:val="24"/>
          <w:szCs w:val="24"/>
        </w:rPr>
        <w:t>.</w:t>
      </w:r>
    </w:p>
    <w:p w:rsidR="00D976D7" w:rsidRPr="00515572" w:rsidRDefault="00D976D7" w:rsidP="00DD5F77">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 xml:space="preserve">Griffith, J. S. (1975). Annulus formation and growth of tigerfish, </w:t>
      </w:r>
      <w:r w:rsidRPr="00515572">
        <w:rPr>
          <w:rFonts w:ascii="Times New Roman" w:eastAsia="Calibri" w:hAnsi="Times New Roman" w:cs="Times New Roman"/>
          <w:i/>
          <w:iCs/>
          <w:color w:val="000000"/>
          <w:sz w:val="24"/>
          <w:szCs w:val="24"/>
        </w:rPr>
        <w:t>Hydrocynus vittatus</w:t>
      </w:r>
      <w:r w:rsidRPr="00515572">
        <w:rPr>
          <w:rFonts w:ascii="Times New Roman" w:eastAsia="Calibri" w:hAnsi="Times New Roman" w:cs="Times New Roman"/>
          <w:color w:val="000000"/>
          <w:sz w:val="24"/>
          <w:szCs w:val="24"/>
        </w:rPr>
        <w:t xml:space="preserve">, in Lake Bangweulu, Zambia. </w:t>
      </w:r>
      <w:r w:rsidRPr="00515572">
        <w:rPr>
          <w:rFonts w:ascii="Times New Roman" w:eastAsia="Calibri" w:hAnsi="Times New Roman" w:cs="Times New Roman"/>
          <w:i/>
          <w:iCs/>
          <w:color w:val="000000"/>
          <w:sz w:val="24"/>
          <w:szCs w:val="24"/>
        </w:rPr>
        <w:t>Trans., American Fisher., Soc</w:t>
      </w:r>
      <w:r w:rsidRPr="00515572">
        <w:rPr>
          <w:rFonts w:ascii="Times New Roman" w:eastAsia="Calibri" w:hAnsi="Times New Roman" w:cs="Times New Roman"/>
          <w:color w:val="000000"/>
          <w:sz w:val="24"/>
          <w:szCs w:val="24"/>
        </w:rPr>
        <w:t xml:space="preserve">., 104: 499–505. DOI: </w:t>
      </w:r>
      <w:hyperlink r:id="rId20" w:history="1">
        <w:r w:rsidRPr="00515572">
          <w:rPr>
            <w:rFonts w:ascii="Times New Roman" w:eastAsia="Calibri" w:hAnsi="Times New Roman" w:cs="Times New Roman"/>
            <w:color w:val="0000FF"/>
            <w:sz w:val="24"/>
            <w:szCs w:val="24"/>
            <w:u w:val="single"/>
          </w:rPr>
          <w:t>doi.org/10.1577/1548-8659(1975)104&lt;499:AFAGOT&gt;2.0.CO;2</w:t>
        </w:r>
      </w:hyperlink>
      <w:r w:rsidRPr="00515572">
        <w:rPr>
          <w:rFonts w:ascii="Times New Roman" w:eastAsia="Calibri" w:hAnsi="Times New Roman" w:cs="Times New Roman"/>
          <w:sz w:val="24"/>
          <w:szCs w:val="24"/>
        </w:rPr>
        <w:t>.</w:t>
      </w:r>
    </w:p>
    <w:p w:rsidR="00D976D7" w:rsidRPr="00515572" w:rsidRDefault="00D976D7"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Gulland, J. (1971). Science and fishery management. </w:t>
      </w:r>
      <w:r w:rsidRPr="00515572">
        <w:rPr>
          <w:rFonts w:ascii="Times New Roman" w:eastAsia="Calibri" w:hAnsi="Times New Roman" w:cs="Times New Roman"/>
          <w:i/>
          <w:iCs/>
          <w:sz w:val="24"/>
          <w:szCs w:val="24"/>
        </w:rPr>
        <w:t>ICES Journal of Marine Science, 33</w:t>
      </w:r>
      <w:r w:rsidRPr="00515572">
        <w:rPr>
          <w:rFonts w:ascii="Times New Roman" w:eastAsia="Calibri" w:hAnsi="Times New Roman" w:cs="Times New Roman"/>
          <w:sz w:val="24"/>
          <w:szCs w:val="24"/>
        </w:rPr>
        <w:t xml:space="preserve">, 471–477. </w:t>
      </w:r>
    </w:p>
    <w:p w:rsidR="00D976D7" w:rsidRDefault="00D976D7"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Hagar, E. A. (2019). Predator Prey Relationship of </w:t>
      </w:r>
      <w:r w:rsidRPr="00515572">
        <w:rPr>
          <w:rFonts w:ascii="Times New Roman" w:eastAsia="Times New Roman" w:hAnsi="Times New Roman" w:cs="Times New Roman"/>
          <w:i/>
          <w:iCs/>
          <w:sz w:val="24"/>
          <w:szCs w:val="24"/>
        </w:rPr>
        <w:t>Hydrocynus forskalii</w:t>
      </w:r>
      <w:r w:rsidRPr="00515572">
        <w:rPr>
          <w:rFonts w:ascii="Times New Roman" w:eastAsia="Times New Roman" w:hAnsi="Times New Roman" w:cs="Times New Roman"/>
          <w:sz w:val="24"/>
          <w:szCs w:val="24"/>
        </w:rPr>
        <w:t xml:space="preserve"> (Cuvier 1819) in White Nile Reservoir around Kosti and Eljabalain Area. </w:t>
      </w:r>
      <w:r w:rsidRPr="00515572">
        <w:rPr>
          <w:rFonts w:ascii="Times New Roman" w:eastAsia="Times New Roman" w:hAnsi="Times New Roman" w:cs="Times New Roman"/>
          <w:i/>
          <w:iCs/>
          <w:sz w:val="24"/>
          <w:szCs w:val="24"/>
        </w:rPr>
        <w:t>Journal of Aquatic Science and Marine Biology</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2</w:t>
      </w:r>
      <w:r w:rsidRPr="00515572">
        <w:rPr>
          <w:rFonts w:ascii="Times New Roman" w:eastAsia="Times New Roman" w:hAnsi="Times New Roman" w:cs="Times New Roman"/>
          <w:sz w:val="24"/>
          <w:szCs w:val="24"/>
        </w:rPr>
        <w:t>(4), pp.1-6.</w:t>
      </w:r>
    </w:p>
    <w:p w:rsidR="00D976D7" w:rsidRDefault="00D976D7" w:rsidP="00651041">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Hamza, W.(</w:t>
      </w:r>
      <w:r w:rsidRPr="00651041">
        <w:rPr>
          <w:rFonts w:ascii="Times New Roman" w:eastAsia="Times New Roman" w:hAnsi="Times New Roman" w:cs="Times New Roman"/>
          <w:sz w:val="24"/>
          <w:szCs w:val="24"/>
        </w:rPr>
        <w:t>2014</w:t>
      </w:r>
      <w:r>
        <w:rPr>
          <w:rFonts w:ascii="Times New Roman" w:eastAsia="Times New Roman" w:hAnsi="Times New Roman" w:cs="Times New Roman"/>
          <w:sz w:val="24"/>
          <w:szCs w:val="24"/>
        </w:rPr>
        <w:t>)</w:t>
      </w:r>
      <w:r w:rsidRPr="00651041">
        <w:rPr>
          <w:rFonts w:ascii="Times New Roman" w:eastAsia="Times New Roman" w:hAnsi="Times New Roman" w:cs="Times New Roman"/>
          <w:sz w:val="24"/>
          <w:szCs w:val="24"/>
        </w:rPr>
        <w:t xml:space="preserve">. The Nile fishes and fisheries. </w:t>
      </w:r>
      <w:r w:rsidRPr="00651041">
        <w:rPr>
          <w:rFonts w:ascii="Times New Roman" w:eastAsia="Times New Roman" w:hAnsi="Times New Roman" w:cs="Times New Roman"/>
          <w:i/>
          <w:iCs/>
          <w:sz w:val="24"/>
          <w:szCs w:val="24"/>
        </w:rPr>
        <w:t>Biodiversity-the dynamic balance of the planet. Rijeka, Intech</w:t>
      </w:r>
      <w:r w:rsidRPr="00651041">
        <w:rPr>
          <w:rFonts w:ascii="Times New Roman" w:eastAsia="Times New Roman" w:hAnsi="Times New Roman" w:cs="Times New Roman"/>
          <w:sz w:val="24"/>
          <w:szCs w:val="24"/>
        </w:rPr>
        <w:t>, pp.349-370.</w:t>
      </w:r>
      <w:hyperlink r:id="rId21" w:history="1">
        <w:r w:rsidRPr="002A4010">
          <w:rPr>
            <w:rStyle w:val="Hyperlink"/>
            <w:rFonts w:ascii="Times New Roman" w:eastAsia="Times New Roman" w:hAnsi="Times New Roman" w:cs="Times New Roman"/>
            <w:sz w:val="24"/>
            <w:szCs w:val="24"/>
          </w:rPr>
          <w:t>http://dx.doi.org/10.5772/57381</w:t>
        </w:r>
      </w:hyperlink>
      <w:r>
        <w:rPr>
          <w:rFonts w:ascii="Times New Roman" w:eastAsia="Times New Roman" w:hAnsi="Times New Roman" w:cs="Times New Roman"/>
          <w:sz w:val="24"/>
          <w:szCs w:val="24"/>
        </w:rPr>
        <w:t>.</w:t>
      </w:r>
    </w:p>
    <w:p w:rsidR="00D976D7" w:rsidRPr="00515572" w:rsidRDefault="00D976D7" w:rsidP="00651041">
      <w:pPr>
        <w:spacing w:before="120" w:after="12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Hoggarth, D. D., Abeyasekera, S., Arthur, R. I., Beddington, J. R., Burn, R. W., Halls, A. S., Kirkwood, G. P., McAllister, M., Medley, P., Mees, C. C., et al. (2006). </w:t>
      </w:r>
      <w:r w:rsidRPr="00515572">
        <w:rPr>
          <w:rFonts w:ascii="Times New Roman" w:eastAsia="Calibri" w:hAnsi="Times New Roman" w:cs="Times New Roman"/>
          <w:i/>
          <w:iCs/>
          <w:sz w:val="24"/>
          <w:szCs w:val="24"/>
        </w:rPr>
        <w:t>Stock assessment for fishery management: A framework guide to the stock assessment tools of the Fisheries Management and Science Programme</w:t>
      </w:r>
      <w:r w:rsidRPr="00515572">
        <w:rPr>
          <w:rFonts w:ascii="Times New Roman" w:eastAsia="Calibri" w:hAnsi="Times New Roman" w:cs="Times New Roman"/>
          <w:sz w:val="24"/>
          <w:szCs w:val="24"/>
        </w:rPr>
        <w:t xml:space="preserve">. Food &amp; Agriculture Organization. ISBN 92-5-105503-3. </w:t>
      </w:r>
    </w:p>
    <w:p w:rsidR="00D976D7" w:rsidRPr="00515572" w:rsidRDefault="00D976D7" w:rsidP="00DD5F77">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515572">
        <w:rPr>
          <w:rFonts w:ascii="Times New Roman" w:eastAsia="Calibri" w:hAnsi="Times New Roman" w:cs="Times New Roman"/>
          <w:sz w:val="24"/>
          <w:szCs w:val="24"/>
        </w:rPr>
        <w:t>Le Cren, E. D. (1951). The length-weight relationship and seasonal cycle in gonad weight and condition in the perch (</w:t>
      </w:r>
      <w:r w:rsidRPr="00515572">
        <w:rPr>
          <w:rFonts w:ascii="Times New Roman" w:eastAsia="Calibri" w:hAnsi="Times New Roman" w:cs="Times New Roman"/>
          <w:i/>
          <w:iCs/>
          <w:sz w:val="24"/>
          <w:szCs w:val="24"/>
        </w:rPr>
        <w:t>Perca fluviatilis</w:t>
      </w:r>
      <w:r w:rsidRPr="00515572">
        <w:rPr>
          <w:rFonts w:ascii="Times New Roman" w:eastAsia="Calibri" w:hAnsi="Times New Roman" w:cs="Times New Roman"/>
          <w:sz w:val="24"/>
          <w:szCs w:val="24"/>
        </w:rPr>
        <w:t xml:space="preserve">). </w:t>
      </w:r>
      <w:r w:rsidRPr="00515572">
        <w:rPr>
          <w:rFonts w:ascii="Times New Roman" w:eastAsia="Calibri" w:hAnsi="Times New Roman" w:cs="Times New Roman"/>
          <w:i/>
          <w:iCs/>
          <w:sz w:val="24"/>
          <w:szCs w:val="24"/>
        </w:rPr>
        <w:t>Journal of Animal Ecology</w:t>
      </w:r>
      <w:r w:rsidRPr="00515572">
        <w:rPr>
          <w:rFonts w:ascii="Times New Roman" w:eastAsia="Calibri" w:hAnsi="Times New Roman" w:cs="Times New Roman"/>
          <w:sz w:val="24"/>
          <w:szCs w:val="24"/>
        </w:rPr>
        <w:t xml:space="preserve">, 201–219. </w:t>
      </w:r>
    </w:p>
    <w:p w:rsidR="00D976D7" w:rsidRPr="00515572" w:rsidRDefault="00D976D7" w:rsidP="00DD5F77">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 xml:space="preserve">Mahmoud, Z. N., Hagar, E. A. and Abdalla, M. Y. M. (2024). Fish diversity in the Nile system and ephemeral water bodies in Sudan: Records and a review. </w:t>
      </w:r>
      <w:r w:rsidRPr="00515572">
        <w:rPr>
          <w:rFonts w:ascii="Times New Roman" w:eastAsia="Calibri" w:hAnsi="Times New Roman" w:cs="Times New Roman"/>
          <w:i/>
          <w:iCs/>
          <w:color w:val="000000"/>
          <w:sz w:val="24"/>
          <w:szCs w:val="24"/>
        </w:rPr>
        <w:t>Inter. J. Fisher., Aquat., Stud.</w:t>
      </w:r>
      <w:r w:rsidRPr="00515572">
        <w:rPr>
          <w:rFonts w:ascii="Times New Roman" w:eastAsia="Calibri" w:hAnsi="Times New Roman" w:cs="Times New Roman"/>
          <w:color w:val="000000"/>
          <w:sz w:val="24"/>
          <w:szCs w:val="24"/>
        </w:rPr>
        <w:t>, Vol., 12(1): 1-8.  DOI:</w:t>
      </w:r>
      <w:r w:rsidRPr="00515572">
        <w:rPr>
          <w:rFonts w:ascii="Times New Roman" w:eastAsia="Calibri" w:hAnsi="Times New Roman" w:cs="Times New Roman"/>
          <w:color w:val="0000FF"/>
          <w:sz w:val="24"/>
          <w:szCs w:val="24"/>
        </w:rPr>
        <w:t>https://doi.org/10.22271/fish.2024.v12.i4a.2938.</w:t>
      </w:r>
    </w:p>
    <w:p w:rsidR="00D976D7" w:rsidRPr="00515572" w:rsidRDefault="00D976D7" w:rsidP="004A04C9">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Moreau</w:t>
      </w:r>
      <w:r>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J</w:t>
      </w:r>
      <w:r>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Bambino</w:t>
      </w:r>
      <w:r>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C</w:t>
      </w:r>
      <w:r>
        <w:rPr>
          <w:rFonts w:ascii="Times New Roman" w:eastAsia="Calibri" w:hAnsi="Times New Roman" w:cs="Times New Roman"/>
          <w:color w:val="000000"/>
          <w:sz w:val="24"/>
          <w:szCs w:val="24"/>
        </w:rPr>
        <w:t>. and</w:t>
      </w:r>
      <w:r w:rsidRPr="00515572">
        <w:rPr>
          <w:rFonts w:ascii="Times New Roman" w:eastAsia="Calibri" w:hAnsi="Times New Roman" w:cs="Times New Roman"/>
          <w:color w:val="000000"/>
          <w:sz w:val="24"/>
          <w:szCs w:val="24"/>
        </w:rPr>
        <w:t xml:space="preserve"> Pauly</w:t>
      </w:r>
      <w:r>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D. (1986). Indices of overall growth performance of 100 Tilapia (Cichlidae) populations. </w:t>
      </w:r>
      <w:r w:rsidRPr="004A04C9">
        <w:rPr>
          <w:rFonts w:ascii="Times New Roman" w:eastAsia="Calibri" w:hAnsi="Times New Roman" w:cs="Times New Roman"/>
          <w:i/>
          <w:iCs/>
          <w:color w:val="000000"/>
          <w:sz w:val="24"/>
          <w:szCs w:val="24"/>
        </w:rPr>
        <w:t>In</w:t>
      </w:r>
      <w:r w:rsidRPr="00515572">
        <w:rPr>
          <w:rFonts w:ascii="Times New Roman" w:eastAsia="Calibri" w:hAnsi="Times New Roman" w:cs="Times New Roman"/>
          <w:color w:val="000000"/>
          <w:sz w:val="24"/>
          <w:szCs w:val="24"/>
        </w:rPr>
        <w:t xml:space="preserve">: Maclean JL, Dizon LB, Hosillos LV, editors. The First Asian Fisheries Forum. Asian Fisheries Society; c1986. p. 201-206. </w:t>
      </w:r>
    </w:p>
    <w:p w:rsidR="00D976D7" w:rsidRDefault="00D976D7" w:rsidP="00DD5F77">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 xml:space="preserve">Neumann, D. Obermaier, H. and Moritz, T. (2016). Annotated Checklist for fishes of the Main Nile Basin in the Sudan and Egypt based on recent specimens’ records (2006-2015). </w:t>
      </w:r>
      <w:r w:rsidRPr="00515572">
        <w:rPr>
          <w:rFonts w:ascii="Times New Roman" w:eastAsia="Calibri" w:hAnsi="Times New Roman" w:cs="Times New Roman"/>
          <w:i/>
          <w:iCs/>
          <w:color w:val="000000"/>
          <w:sz w:val="24"/>
          <w:szCs w:val="24"/>
        </w:rPr>
        <w:t>Cybium</w:t>
      </w:r>
      <w:r w:rsidRPr="00515572">
        <w:rPr>
          <w:rFonts w:ascii="Times New Roman" w:eastAsia="Calibri" w:hAnsi="Times New Roman" w:cs="Times New Roman"/>
          <w:color w:val="000000"/>
          <w:sz w:val="24"/>
          <w:szCs w:val="24"/>
        </w:rPr>
        <w:t xml:space="preserve">. Vol., 40(2):287-317. </w:t>
      </w:r>
    </w:p>
    <w:p w:rsidR="00D976D7" w:rsidRPr="00791082" w:rsidRDefault="00D976D7" w:rsidP="00DD5F77">
      <w:pPr>
        <w:spacing w:after="0" w:line="360" w:lineRule="auto"/>
        <w:contextualSpacing/>
        <w:jc w:val="both"/>
        <w:rPr>
          <w:rFonts w:asciiTheme="majorBidi" w:hAnsiTheme="majorBidi" w:cstheme="majorBidi"/>
          <w:sz w:val="24"/>
          <w:szCs w:val="24"/>
        </w:rPr>
      </w:pPr>
      <w:r w:rsidRPr="00791082">
        <w:rPr>
          <w:rStyle w:val="author"/>
          <w:rFonts w:asciiTheme="majorBidi" w:hAnsiTheme="majorBidi" w:cstheme="majorBidi"/>
          <w:sz w:val="24"/>
          <w:szCs w:val="24"/>
        </w:rPr>
        <w:t>Olaosebikan, B. D.</w:t>
      </w:r>
      <w:r w:rsidRPr="00791082">
        <w:rPr>
          <w:rFonts w:asciiTheme="majorBidi" w:hAnsiTheme="majorBidi" w:cstheme="majorBidi"/>
          <w:sz w:val="24"/>
          <w:szCs w:val="24"/>
        </w:rPr>
        <w:t>&amp;</w:t>
      </w:r>
      <w:r w:rsidRPr="00791082">
        <w:rPr>
          <w:rStyle w:val="author"/>
          <w:rFonts w:asciiTheme="majorBidi" w:hAnsiTheme="majorBidi" w:cstheme="majorBidi"/>
          <w:sz w:val="24"/>
          <w:szCs w:val="24"/>
        </w:rPr>
        <w:t>Raji, A.</w:t>
      </w:r>
      <w:r w:rsidRPr="00791082">
        <w:rPr>
          <w:rFonts w:asciiTheme="majorBidi" w:hAnsiTheme="majorBidi" w:cstheme="majorBidi"/>
          <w:sz w:val="24"/>
          <w:szCs w:val="24"/>
        </w:rPr>
        <w:t xml:space="preserve"> (</w:t>
      </w:r>
      <w:r w:rsidRPr="00791082">
        <w:rPr>
          <w:rStyle w:val="pubyear"/>
          <w:rFonts w:asciiTheme="majorBidi" w:hAnsiTheme="majorBidi" w:cstheme="majorBidi"/>
          <w:sz w:val="24"/>
          <w:szCs w:val="24"/>
        </w:rPr>
        <w:t>2013</w:t>
      </w:r>
      <w:r w:rsidRPr="00791082">
        <w:rPr>
          <w:rFonts w:asciiTheme="majorBidi" w:hAnsiTheme="majorBidi" w:cstheme="majorBidi"/>
          <w:sz w:val="24"/>
          <w:szCs w:val="24"/>
        </w:rPr>
        <w:t xml:space="preserve">). </w:t>
      </w:r>
      <w:r w:rsidRPr="00791082">
        <w:rPr>
          <w:rStyle w:val="othertitle"/>
          <w:rFonts w:asciiTheme="majorBidi" w:hAnsiTheme="majorBidi" w:cstheme="majorBidi"/>
          <w:sz w:val="24"/>
          <w:szCs w:val="24"/>
        </w:rPr>
        <w:t xml:space="preserve">Field guide to Nigerian freshwater fishes. </w:t>
      </w:r>
      <w:r w:rsidRPr="00791082">
        <w:rPr>
          <w:rStyle w:val="othertitle"/>
          <w:rFonts w:asciiTheme="majorBidi" w:hAnsiTheme="majorBidi" w:cstheme="majorBidi"/>
          <w:i/>
          <w:iCs/>
          <w:sz w:val="24"/>
          <w:szCs w:val="24"/>
        </w:rPr>
        <w:t>Federal College of Freshwater Fisheries Technology</w:t>
      </w:r>
      <w:r w:rsidRPr="00791082">
        <w:rPr>
          <w:rStyle w:val="othertitle"/>
          <w:rFonts w:asciiTheme="majorBidi" w:hAnsiTheme="majorBidi" w:cstheme="majorBidi"/>
          <w:sz w:val="24"/>
          <w:szCs w:val="24"/>
        </w:rPr>
        <w:t>, New Bussa, Revised Edition</w:t>
      </w:r>
      <w:r w:rsidRPr="00791082">
        <w:rPr>
          <w:rFonts w:asciiTheme="majorBidi" w:hAnsiTheme="majorBidi" w:cstheme="majorBidi"/>
          <w:sz w:val="24"/>
          <w:szCs w:val="24"/>
        </w:rPr>
        <w:t xml:space="preserve">, pp. 73–74. </w:t>
      </w:r>
    </w:p>
    <w:p w:rsidR="00D976D7" w:rsidRPr="007C3AF6" w:rsidRDefault="00D976D7" w:rsidP="007C3AF6">
      <w:pPr>
        <w:spacing w:after="0" w:line="360" w:lineRule="auto"/>
        <w:jc w:val="both"/>
        <w:rPr>
          <w:rFonts w:ascii="Times New Roman" w:eastAsia="Times New Roman" w:hAnsi="Times New Roman" w:cs="Times New Roman"/>
          <w:sz w:val="24"/>
          <w:szCs w:val="24"/>
        </w:rPr>
      </w:pPr>
      <w:r w:rsidRPr="007C3AF6">
        <w:rPr>
          <w:rFonts w:ascii="Times New Roman" w:eastAsia="Times New Roman" w:hAnsi="Times New Roman" w:cs="Times New Roman"/>
          <w:sz w:val="24"/>
          <w:szCs w:val="24"/>
        </w:rPr>
        <w:t xml:space="preserve">Olojo, E.A.A., Olurin, K.B. and Osikoya, O.J. </w:t>
      </w:r>
      <w:r>
        <w:rPr>
          <w:rFonts w:ascii="Times New Roman" w:eastAsia="Times New Roman" w:hAnsi="Times New Roman" w:cs="Times New Roman"/>
          <w:sz w:val="24"/>
          <w:szCs w:val="24"/>
        </w:rPr>
        <w:t>(</w:t>
      </w:r>
      <w:r w:rsidRPr="007C3AF6">
        <w:rPr>
          <w:rFonts w:ascii="Times New Roman" w:eastAsia="Times New Roman" w:hAnsi="Times New Roman" w:cs="Times New Roman"/>
          <w:sz w:val="24"/>
          <w:szCs w:val="24"/>
        </w:rPr>
        <w:t>2003</w:t>
      </w:r>
      <w:r>
        <w:rPr>
          <w:rFonts w:ascii="Times New Roman" w:eastAsia="Times New Roman" w:hAnsi="Times New Roman" w:cs="Times New Roman"/>
          <w:sz w:val="24"/>
          <w:szCs w:val="24"/>
        </w:rPr>
        <w:t>)</w:t>
      </w:r>
      <w:r w:rsidRPr="007C3AF6">
        <w:rPr>
          <w:rFonts w:ascii="Times New Roman" w:eastAsia="Times New Roman" w:hAnsi="Times New Roman" w:cs="Times New Roman"/>
          <w:sz w:val="24"/>
          <w:szCs w:val="24"/>
        </w:rPr>
        <w:t xml:space="preserve">. Food and feeding habits of </w:t>
      </w:r>
      <w:r w:rsidRPr="007C3AF6">
        <w:rPr>
          <w:rFonts w:ascii="Times New Roman" w:eastAsia="Times New Roman" w:hAnsi="Times New Roman" w:cs="Times New Roman"/>
          <w:i/>
          <w:iCs/>
          <w:sz w:val="24"/>
          <w:szCs w:val="24"/>
        </w:rPr>
        <w:t>Synodontis nigrita</w:t>
      </w:r>
      <w:r w:rsidRPr="007C3AF6">
        <w:rPr>
          <w:rFonts w:ascii="Times New Roman" w:eastAsia="Times New Roman" w:hAnsi="Times New Roman" w:cs="Times New Roman"/>
          <w:sz w:val="24"/>
          <w:szCs w:val="24"/>
        </w:rPr>
        <w:t xml:space="preserve"> from the Osun River, SW Nigeria.</w:t>
      </w:r>
      <w:r>
        <w:rPr>
          <w:rFonts w:ascii="Times New Roman" w:eastAsia="Times New Roman" w:hAnsi="Times New Roman" w:cs="Times New Roman"/>
          <w:sz w:val="24"/>
          <w:szCs w:val="24"/>
        </w:rPr>
        <w:t xml:space="preserve"> Vol. 26(4):21-24.</w:t>
      </w:r>
    </w:p>
    <w:p w:rsidR="00D976D7" w:rsidRDefault="00D976D7"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Patterson, K. (1992). Fisheries for small pelagic species: An empirical approach to management targets. </w:t>
      </w:r>
      <w:r w:rsidRPr="00515572">
        <w:rPr>
          <w:rFonts w:ascii="Times New Roman" w:eastAsia="Calibri" w:hAnsi="Times New Roman" w:cs="Times New Roman"/>
          <w:i/>
          <w:iCs/>
          <w:sz w:val="24"/>
          <w:szCs w:val="24"/>
        </w:rPr>
        <w:t>Reviews in Fish Biology and Fisheries, 2</w:t>
      </w:r>
      <w:r>
        <w:rPr>
          <w:rFonts w:ascii="Times New Roman" w:eastAsia="Calibri" w:hAnsi="Times New Roman" w:cs="Times New Roman"/>
          <w:sz w:val="24"/>
          <w:szCs w:val="24"/>
        </w:rPr>
        <w:t>, 321–338.</w:t>
      </w:r>
    </w:p>
    <w:p w:rsidR="00D976D7" w:rsidRPr="00515572" w:rsidRDefault="00D976D7" w:rsidP="00DD5F77">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 xml:space="preserve">Pauly D, Morgan GR. (1987). editors. Length-based methods in fisheries research. ICLARM Conference Proceedings 13. ;468. </w:t>
      </w:r>
    </w:p>
    <w:p w:rsidR="00D976D7" w:rsidRPr="00515572" w:rsidRDefault="00D976D7"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Pauly, D. (1979). Gill size and temperature as governing factors in fish growth: A generalization of von Bertalanffy’s growth formula. </w:t>
      </w:r>
    </w:p>
    <w:p w:rsidR="00D976D7" w:rsidRPr="00515572" w:rsidRDefault="00D976D7"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Pauly, D. (1980). On the interrelationships between natural mortality, growth parameters, and mean environmental temperature in 175 fish stocks. </w:t>
      </w:r>
      <w:r w:rsidRPr="00515572">
        <w:rPr>
          <w:rFonts w:ascii="Times New Roman" w:eastAsia="Calibri" w:hAnsi="Times New Roman" w:cs="Times New Roman"/>
          <w:i/>
          <w:iCs/>
          <w:sz w:val="24"/>
          <w:szCs w:val="24"/>
        </w:rPr>
        <w:t>ICES Journal of Marine Science, 39</w:t>
      </w:r>
      <w:r w:rsidRPr="00515572">
        <w:rPr>
          <w:rFonts w:ascii="Times New Roman" w:eastAsia="Calibri" w:hAnsi="Times New Roman" w:cs="Times New Roman"/>
          <w:sz w:val="24"/>
          <w:szCs w:val="24"/>
        </w:rPr>
        <w:t xml:space="preserve">, 175–192. </w:t>
      </w:r>
    </w:p>
    <w:p w:rsidR="00D976D7" w:rsidRDefault="00D976D7"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Pauly, D. (1984). </w:t>
      </w:r>
      <w:r w:rsidRPr="00515572">
        <w:rPr>
          <w:rFonts w:ascii="Times New Roman" w:eastAsia="Calibri" w:hAnsi="Times New Roman" w:cs="Times New Roman"/>
          <w:i/>
          <w:iCs/>
          <w:sz w:val="24"/>
          <w:szCs w:val="24"/>
        </w:rPr>
        <w:t>Fish population dynamics in tropical waters: A manual for use with programmable calculators</w:t>
      </w:r>
      <w:r w:rsidRPr="00515572">
        <w:rPr>
          <w:rFonts w:ascii="Times New Roman" w:eastAsia="Calibri" w:hAnsi="Times New Roman" w:cs="Times New Roman"/>
          <w:sz w:val="24"/>
          <w:szCs w:val="24"/>
        </w:rPr>
        <w:t xml:space="preserve">. ICLARM. </w:t>
      </w:r>
    </w:p>
    <w:p w:rsidR="00D976D7" w:rsidRPr="00D10E84" w:rsidRDefault="00D976D7" w:rsidP="00D10E84">
      <w:pPr>
        <w:spacing w:after="0" w:line="360" w:lineRule="auto"/>
        <w:jc w:val="both"/>
        <w:rPr>
          <w:rFonts w:asciiTheme="majorBidi" w:hAnsiTheme="majorBidi" w:cstheme="majorBidi"/>
          <w:sz w:val="24"/>
          <w:szCs w:val="24"/>
        </w:rPr>
      </w:pPr>
      <w:r w:rsidRPr="00D10E84">
        <w:rPr>
          <w:rFonts w:asciiTheme="majorBidi" w:eastAsia="Times New Roman" w:hAnsiTheme="majorBidi" w:cstheme="majorBidi"/>
          <w:sz w:val="24"/>
          <w:szCs w:val="24"/>
        </w:rPr>
        <w:lastRenderedPageBreak/>
        <w:t xml:space="preserve">Pauly, D. and Munro, J.L. </w:t>
      </w:r>
      <w:r>
        <w:rPr>
          <w:rFonts w:asciiTheme="majorBidi" w:eastAsia="Times New Roman" w:hAnsiTheme="majorBidi" w:cstheme="majorBidi"/>
          <w:sz w:val="24"/>
          <w:szCs w:val="24"/>
        </w:rPr>
        <w:t>(</w:t>
      </w:r>
      <w:r w:rsidRPr="00D10E84">
        <w:rPr>
          <w:rFonts w:asciiTheme="majorBidi" w:eastAsia="Times New Roman" w:hAnsiTheme="majorBidi" w:cstheme="majorBidi"/>
          <w:sz w:val="24"/>
          <w:szCs w:val="24"/>
        </w:rPr>
        <w:t>1984</w:t>
      </w:r>
      <w:r>
        <w:rPr>
          <w:rFonts w:asciiTheme="majorBidi" w:eastAsia="Times New Roman" w:hAnsiTheme="majorBidi" w:cstheme="majorBidi"/>
          <w:sz w:val="24"/>
          <w:szCs w:val="24"/>
        </w:rPr>
        <w:t>)</w:t>
      </w:r>
      <w:r w:rsidRPr="00D10E84">
        <w:rPr>
          <w:rFonts w:asciiTheme="majorBidi" w:eastAsia="Times New Roman" w:hAnsiTheme="majorBidi" w:cstheme="majorBidi"/>
          <w:sz w:val="24"/>
          <w:szCs w:val="24"/>
        </w:rPr>
        <w:t xml:space="preserve">. ICLARM's activities in tropical stock assessment: 1979-1984, and beyond. </w:t>
      </w:r>
      <w:hyperlink r:id="rId22" w:history="1">
        <w:r w:rsidRPr="00D10E84">
          <w:rPr>
            <w:rStyle w:val="Hyperlink"/>
            <w:rFonts w:asciiTheme="majorBidi" w:hAnsiTheme="majorBidi" w:cstheme="majorBidi"/>
            <w:sz w:val="24"/>
            <w:szCs w:val="24"/>
          </w:rPr>
          <w:t>https://hdl.handle.net/20.500.12348/3462</w:t>
        </w:r>
      </w:hyperlink>
      <w:r>
        <w:rPr>
          <w:rFonts w:asciiTheme="majorBidi" w:hAnsiTheme="majorBidi" w:cstheme="majorBidi"/>
          <w:sz w:val="24"/>
          <w:szCs w:val="24"/>
        </w:rPr>
        <w:t>.</w:t>
      </w:r>
    </w:p>
    <w:p w:rsidR="00D976D7" w:rsidRDefault="00D976D7"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Pauly, D., &amp; Soriano, M. (1986). Some practical extensions to Beverton and Holt’s relative yield-per-recruit model. In </w:t>
      </w:r>
      <w:r w:rsidRPr="00515572">
        <w:rPr>
          <w:rFonts w:ascii="Times New Roman" w:eastAsia="Calibri" w:hAnsi="Times New Roman" w:cs="Times New Roman"/>
          <w:i/>
          <w:iCs/>
          <w:sz w:val="24"/>
          <w:szCs w:val="24"/>
        </w:rPr>
        <w:t xml:space="preserve">Asian Fisheries Society Proceedings </w:t>
      </w:r>
      <w:r w:rsidRPr="00515572">
        <w:rPr>
          <w:rFonts w:ascii="Times New Roman" w:eastAsia="Calibri" w:hAnsi="Times New Roman" w:cs="Times New Roman"/>
          <w:sz w:val="24"/>
          <w:szCs w:val="24"/>
        </w:rPr>
        <w:t xml:space="preserve">(pp. 491–496). </w:t>
      </w:r>
    </w:p>
    <w:p w:rsidR="00D976D7" w:rsidRPr="00515572" w:rsidRDefault="00D976D7" w:rsidP="00DD5F77">
      <w:pPr>
        <w:autoSpaceDE w:val="0"/>
        <w:autoSpaceDN w:val="0"/>
        <w:adjustRightInd w:val="0"/>
        <w:spacing w:after="0" w:line="360" w:lineRule="auto"/>
        <w:contextualSpacing/>
        <w:jc w:val="both"/>
        <w:rPr>
          <w:rFonts w:ascii="Times New Roman" w:eastAsia="Calibri" w:hAnsi="Times New Roman" w:cs="Times New Roman"/>
          <w:b/>
          <w:bCs/>
          <w:sz w:val="24"/>
          <w:szCs w:val="24"/>
        </w:rPr>
      </w:pPr>
      <w:r w:rsidRPr="00515572">
        <w:rPr>
          <w:rFonts w:ascii="Times New Roman" w:eastAsia="Calibri" w:hAnsi="Times New Roman" w:cs="Times New Roman"/>
          <w:sz w:val="24"/>
          <w:szCs w:val="24"/>
        </w:rPr>
        <w:t xml:space="preserve">Payne, A. I. and McCarton, B. (1985). Estimation of population parameters and their application to the development of fishery management models in two African rivers. </w:t>
      </w:r>
      <w:r w:rsidRPr="00515572">
        <w:rPr>
          <w:rFonts w:ascii="Times New Roman" w:eastAsia="Calibri" w:hAnsi="Times New Roman" w:cs="Times New Roman"/>
          <w:i/>
          <w:iCs/>
          <w:sz w:val="24"/>
          <w:szCs w:val="24"/>
        </w:rPr>
        <w:t>J. Fish Biol.</w:t>
      </w:r>
      <w:r w:rsidRPr="00515572">
        <w:rPr>
          <w:rFonts w:ascii="Times New Roman" w:eastAsia="Calibri" w:hAnsi="Times New Roman" w:cs="Times New Roman"/>
          <w:sz w:val="24"/>
          <w:szCs w:val="24"/>
        </w:rPr>
        <w:t xml:space="preserve">, Vol., 27: 263-277. DOI: </w:t>
      </w:r>
      <w:hyperlink r:id="rId23" w:history="1">
        <w:r w:rsidRPr="00515572">
          <w:rPr>
            <w:rFonts w:ascii="Times New Roman" w:eastAsia="Calibri" w:hAnsi="Times New Roman" w:cs="Times New Roman"/>
            <w:color w:val="0000FF"/>
            <w:sz w:val="24"/>
            <w:szCs w:val="24"/>
            <w:u w:val="single"/>
          </w:rPr>
          <w:t>https://doi.org/10.1111/j.1095-8649.1985.tb03247.x</w:t>
        </w:r>
      </w:hyperlink>
      <w:r w:rsidRPr="00515572">
        <w:rPr>
          <w:rFonts w:ascii="Times New Roman" w:eastAsia="Calibri" w:hAnsi="Times New Roman" w:cs="Times New Roman"/>
          <w:sz w:val="24"/>
          <w:szCs w:val="24"/>
        </w:rPr>
        <w:t>.</w:t>
      </w:r>
    </w:p>
    <w:p w:rsidR="00D976D7" w:rsidRPr="00515572" w:rsidRDefault="00D976D7" w:rsidP="00DD5F77">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 xml:space="preserve">Pekkola, W. (1919). Notes on the habits, breeding and food of some White Nile Fishes. Sudan and Records V. (2): p 112-121. </w:t>
      </w:r>
      <w:hyperlink r:id="rId24" w:history="1">
        <w:r w:rsidRPr="00515572">
          <w:rPr>
            <w:rFonts w:ascii="Times New Roman" w:eastAsia="Calibri" w:hAnsi="Times New Roman" w:cs="Times New Roman"/>
            <w:color w:val="0000FF"/>
            <w:sz w:val="24"/>
            <w:szCs w:val="24"/>
            <w:u w:val="single"/>
          </w:rPr>
          <w:t>https://www.jstor.org/stable/41715836</w:t>
        </w:r>
      </w:hyperlink>
      <w:r w:rsidRPr="00515572">
        <w:rPr>
          <w:rFonts w:ascii="Times New Roman" w:eastAsia="Calibri" w:hAnsi="Times New Roman" w:cs="Times New Roman"/>
          <w:color w:val="000000"/>
          <w:sz w:val="24"/>
          <w:szCs w:val="24"/>
        </w:rPr>
        <w:t>.</w:t>
      </w:r>
    </w:p>
    <w:p w:rsidR="00D976D7" w:rsidRPr="00CA3537" w:rsidRDefault="00D976D7" w:rsidP="00CA3537">
      <w:pPr>
        <w:spacing w:after="0" w:line="360" w:lineRule="auto"/>
        <w:jc w:val="both"/>
        <w:rPr>
          <w:rFonts w:asciiTheme="majorBidi" w:eastAsia="Times New Roman" w:hAnsiTheme="majorBidi" w:cstheme="majorBidi"/>
          <w:sz w:val="24"/>
          <w:szCs w:val="24"/>
        </w:rPr>
      </w:pPr>
      <w:r w:rsidRPr="00CA3537">
        <w:rPr>
          <w:rFonts w:asciiTheme="majorBidi" w:eastAsia="Times New Roman" w:hAnsiTheme="majorBidi" w:cstheme="majorBidi"/>
          <w:sz w:val="24"/>
          <w:szCs w:val="24"/>
        </w:rPr>
        <w:t xml:space="preserve">Roux, F., Steyn, G., Hay, C. and Wagenaar, I., </w:t>
      </w:r>
      <w:r>
        <w:rPr>
          <w:rFonts w:asciiTheme="majorBidi" w:eastAsia="Times New Roman" w:hAnsiTheme="majorBidi" w:cstheme="majorBidi"/>
          <w:sz w:val="24"/>
          <w:szCs w:val="24"/>
        </w:rPr>
        <w:t>(</w:t>
      </w:r>
      <w:r w:rsidRPr="00CA3537">
        <w:rPr>
          <w:rFonts w:asciiTheme="majorBidi" w:eastAsia="Times New Roman" w:hAnsiTheme="majorBidi" w:cstheme="majorBidi"/>
          <w:sz w:val="24"/>
          <w:szCs w:val="24"/>
        </w:rPr>
        <w:t>2018</w:t>
      </w:r>
      <w:r>
        <w:rPr>
          <w:rFonts w:asciiTheme="majorBidi" w:eastAsia="Times New Roman" w:hAnsiTheme="majorBidi" w:cstheme="majorBidi"/>
          <w:sz w:val="24"/>
          <w:szCs w:val="24"/>
        </w:rPr>
        <w:t>)</w:t>
      </w:r>
      <w:r w:rsidRPr="00CA3537">
        <w:rPr>
          <w:rFonts w:asciiTheme="majorBidi" w:eastAsia="Times New Roman" w:hAnsiTheme="majorBidi" w:cstheme="majorBidi"/>
          <w:sz w:val="24"/>
          <w:szCs w:val="24"/>
        </w:rPr>
        <w:t xml:space="preserve">. Movement patterns and home range size of tigerfish (Hydrocynus vittatus) in the Incomati River system, South Africa. </w:t>
      </w:r>
      <w:r w:rsidRPr="00CA3537">
        <w:rPr>
          <w:rFonts w:asciiTheme="majorBidi" w:eastAsia="Times New Roman" w:hAnsiTheme="majorBidi" w:cstheme="majorBidi"/>
          <w:i/>
          <w:iCs/>
          <w:sz w:val="24"/>
          <w:szCs w:val="24"/>
        </w:rPr>
        <w:t>Koedoe: African Protected Area Conservation and Science</w:t>
      </w:r>
      <w:r w:rsidRPr="00CA3537">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Vol., </w:t>
      </w:r>
      <w:r w:rsidRPr="00CA3537">
        <w:rPr>
          <w:rFonts w:asciiTheme="majorBidi" w:eastAsia="Times New Roman" w:hAnsiTheme="majorBidi" w:cstheme="majorBidi"/>
          <w:sz w:val="24"/>
          <w:szCs w:val="24"/>
        </w:rPr>
        <w:t xml:space="preserve">60(1), pp.1-13. </w:t>
      </w:r>
      <w:r w:rsidRPr="00CA3537">
        <w:rPr>
          <w:rFonts w:asciiTheme="majorBidi" w:hAnsiTheme="majorBidi" w:cstheme="majorBidi"/>
          <w:sz w:val="24"/>
          <w:szCs w:val="24"/>
        </w:rPr>
        <w:t xml:space="preserve">DOI: </w:t>
      </w:r>
      <w:hyperlink r:id="rId25" w:history="1">
        <w:r w:rsidRPr="00CA3537">
          <w:rPr>
            <w:rStyle w:val="Hyperlink"/>
            <w:rFonts w:asciiTheme="majorBidi" w:hAnsiTheme="majorBidi" w:cstheme="majorBidi"/>
            <w:sz w:val="24"/>
            <w:szCs w:val="24"/>
          </w:rPr>
          <w:t>https://doi.org/10.4102/koedoe.v60i1.1397</w:t>
        </w:r>
      </w:hyperlink>
      <w:r w:rsidRPr="00CA3537">
        <w:rPr>
          <w:rFonts w:asciiTheme="majorBidi" w:hAnsiTheme="majorBidi" w:cstheme="majorBidi"/>
          <w:sz w:val="24"/>
          <w:szCs w:val="24"/>
        </w:rPr>
        <w:t>.</w:t>
      </w:r>
    </w:p>
    <w:p w:rsidR="00D976D7" w:rsidRPr="00795502" w:rsidRDefault="00D976D7" w:rsidP="00DD5F77">
      <w:pPr>
        <w:keepNext/>
        <w:keepLines/>
        <w:widowControl w:val="0"/>
        <w:spacing w:after="0" w:line="360" w:lineRule="auto"/>
        <w:contextualSpacing/>
        <w:jc w:val="both"/>
        <w:outlineLvl w:val="0"/>
        <w:rPr>
          <w:rFonts w:ascii="Times New Roman" w:eastAsia="DengXian Light" w:hAnsi="Times New Roman" w:cs="Times New Roman"/>
          <w:color w:val="000000"/>
          <w:kern w:val="36"/>
          <w:sz w:val="24"/>
          <w:szCs w:val="24"/>
        </w:rPr>
      </w:pPr>
      <w:r w:rsidRPr="00795502">
        <w:rPr>
          <w:rFonts w:ascii="Times New Roman" w:eastAsia="DengXian Light" w:hAnsi="Times New Roman" w:cs="Times New Roman"/>
          <w:color w:val="000000"/>
          <w:kern w:val="36"/>
          <w:sz w:val="24"/>
          <w:szCs w:val="24"/>
          <w:lang w:val="fr-FR"/>
        </w:rPr>
        <w:t xml:space="preserve">Sarah, A. M. G.; Fenton P. D. C.; Colleen, O. R.; Paul, H. S. Maarten, J. W. C. (2011). </w:t>
      </w:r>
      <w:r w:rsidRPr="00795502">
        <w:rPr>
          <w:rFonts w:ascii="Times New Roman" w:eastAsia="Calibri" w:hAnsi="Times New Roman" w:cs="Times New Roman"/>
          <w:color w:val="000000"/>
          <w:kern w:val="36"/>
          <w:sz w:val="24"/>
          <w:szCs w:val="24"/>
        </w:rPr>
        <w:t xml:space="preserve">Cryptic Diversity of African Tigerfish (Genus </w:t>
      </w:r>
      <w:r w:rsidRPr="00795502">
        <w:rPr>
          <w:rFonts w:ascii="Times New Roman" w:eastAsia="Calibri" w:hAnsi="Times New Roman" w:cs="Times New Roman"/>
          <w:i/>
          <w:iCs/>
          <w:color w:val="000000"/>
          <w:kern w:val="36"/>
          <w:sz w:val="24"/>
          <w:szCs w:val="24"/>
        </w:rPr>
        <w:t>Hydrocynus</w:t>
      </w:r>
      <w:r w:rsidRPr="00795502">
        <w:rPr>
          <w:rFonts w:ascii="Times New Roman" w:eastAsia="Calibri" w:hAnsi="Times New Roman" w:cs="Times New Roman"/>
          <w:color w:val="000000"/>
          <w:kern w:val="36"/>
          <w:sz w:val="24"/>
          <w:szCs w:val="24"/>
        </w:rPr>
        <w:t>) Reveals Palaeogeographic Signatures of Linked Neogene Geotectonic Events</w:t>
      </w:r>
      <w:r w:rsidRPr="00795502">
        <w:rPr>
          <w:rFonts w:ascii="Times New Roman" w:eastAsia="DengXian Light" w:hAnsi="Times New Roman" w:cs="Times New Roman"/>
          <w:color w:val="000000"/>
          <w:kern w:val="36"/>
          <w:sz w:val="24"/>
          <w:szCs w:val="24"/>
        </w:rPr>
        <w:t xml:space="preserve">. </w:t>
      </w:r>
      <w:r w:rsidRPr="00795502">
        <w:rPr>
          <w:rFonts w:ascii="Times New Roman" w:eastAsia="DengXian Light" w:hAnsi="Times New Roman" w:cs="Times New Roman"/>
          <w:i/>
          <w:iCs/>
          <w:color w:val="000000"/>
          <w:kern w:val="36"/>
          <w:sz w:val="24"/>
          <w:szCs w:val="24"/>
        </w:rPr>
        <w:t>PLoS ONE</w:t>
      </w:r>
      <w:r w:rsidRPr="00795502">
        <w:rPr>
          <w:rFonts w:ascii="Times New Roman" w:eastAsia="DengXian Light" w:hAnsi="Times New Roman" w:cs="Times New Roman"/>
          <w:color w:val="000000"/>
          <w:kern w:val="36"/>
          <w:sz w:val="24"/>
          <w:szCs w:val="24"/>
        </w:rPr>
        <w:t xml:space="preserve">. Vol., (6): 12. DOI: </w:t>
      </w:r>
      <w:hyperlink r:id="rId26" w:history="1">
        <w:r w:rsidRPr="00795502">
          <w:rPr>
            <w:rFonts w:ascii="Times New Roman" w:eastAsia="DengXian Light" w:hAnsi="Times New Roman" w:cs="Times New Roman"/>
            <w:color w:val="0000FF"/>
            <w:kern w:val="36"/>
            <w:sz w:val="24"/>
            <w:szCs w:val="24"/>
            <w:u w:val="single"/>
          </w:rPr>
          <w:t>https://doi.org/10.1371/journal.pone.0028775</w:t>
        </w:r>
      </w:hyperlink>
      <w:r w:rsidRPr="00795502">
        <w:rPr>
          <w:rFonts w:ascii="Times New Roman" w:eastAsia="DengXian Light" w:hAnsi="Times New Roman" w:cs="Times New Roman"/>
          <w:color w:val="000000"/>
          <w:kern w:val="36"/>
          <w:sz w:val="24"/>
          <w:szCs w:val="24"/>
        </w:rPr>
        <w:t>.</w:t>
      </w:r>
    </w:p>
    <w:p w:rsidR="00D976D7" w:rsidRPr="00515572" w:rsidRDefault="00D976D7"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Segun, A.D.S., Ijabo, O.S. and Yusuf, B. (2022). Length-Weight Relationship and Condition Factor of </w:t>
      </w:r>
      <w:r w:rsidRPr="00515572">
        <w:rPr>
          <w:rFonts w:ascii="Times New Roman" w:eastAsia="Times New Roman" w:hAnsi="Times New Roman" w:cs="Times New Roman"/>
          <w:i/>
          <w:iCs/>
          <w:sz w:val="24"/>
          <w:szCs w:val="24"/>
        </w:rPr>
        <w:t>Hydrocynus forskahlii</w:t>
      </w:r>
      <w:r w:rsidRPr="00515572">
        <w:rPr>
          <w:rFonts w:ascii="Times New Roman" w:eastAsia="Times New Roman" w:hAnsi="Times New Roman" w:cs="Times New Roman"/>
          <w:sz w:val="24"/>
          <w:szCs w:val="24"/>
        </w:rPr>
        <w:t xml:space="preserve"> (Cuvier, 1819) in River Yobe, Northeast, Nigeria</w:t>
      </w:r>
      <w:r w:rsidRPr="00515572">
        <w:rPr>
          <w:rFonts w:ascii="Times New Roman" w:eastAsia="Times New Roman" w:hAnsi="Times New Roman" w:cs="Times New Roman"/>
          <w:i/>
          <w:iCs/>
          <w:sz w:val="24"/>
          <w:szCs w:val="24"/>
        </w:rPr>
        <w:t>. Aceh J. Anim., Sci.</w:t>
      </w:r>
      <w:r w:rsidRPr="00515572">
        <w:rPr>
          <w:rFonts w:ascii="Times New Roman" w:eastAsia="Times New Roman" w:hAnsi="Times New Roman" w:cs="Times New Roman"/>
          <w:sz w:val="24"/>
          <w:szCs w:val="24"/>
        </w:rPr>
        <w:t xml:space="preserve">,Vol., 7 (2): 53–58. </w:t>
      </w:r>
      <w:r w:rsidRPr="00515572">
        <w:rPr>
          <w:rFonts w:ascii="Times New Roman" w:eastAsia="Calibri" w:hAnsi="Times New Roman" w:cs="Times New Roman"/>
          <w:sz w:val="24"/>
          <w:szCs w:val="24"/>
        </w:rPr>
        <w:t>DOI: 10.13170/ajas.7.2.23519.</w:t>
      </w:r>
    </w:p>
    <w:p w:rsidR="00D976D7" w:rsidRPr="00515572" w:rsidRDefault="00D976D7"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Tsevenda, C. A., Annune, P. A. P. A., Olufeagba, S. O. and Ataguba, G. A. (2024). Food and Feeding Habits of Three Selected Fish Species of Lower River Benue, Benue State, Nigeria. </w:t>
      </w:r>
      <w:r w:rsidRPr="00515572">
        <w:rPr>
          <w:rFonts w:ascii="Times New Roman" w:eastAsia="Times New Roman" w:hAnsi="Times New Roman" w:cs="Times New Roman"/>
          <w:i/>
          <w:iCs/>
          <w:sz w:val="24"/>
          <w:szCs w:val="24"/>
        </w:rPr>
        <w:t>Nigerian J. Fisher., Aquacul.</w:t>
      </w:r>
      <w:r w:rsidRPr="00515572">
        <w:rPr>
          <w:rFonts w:ascii="Times New Roman" w:eastAsia="Times New Roman" w:hAnsi="Times New Roman" w:cs="Times New Roman"/>
          <w:sz w:val="24"/>
          <w:szCs w:val="24"/>
        </w:rPr>
        <w:t>, Vol., 12(1): 1-15.</w:t>
      </w:r>
    </w:p>
    <w:p w:rsidR="00D976D7" w:rsidRPr="00515572" w:rsidRDefault="00D976D7"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van der Laan, R., (2019). Freshwater fish list. </w:t>
      </w:r>
      <w:r w:rsidRPr="00515572">
        <w:rPr>
          <w:rFonts w:ascii="Times New Roman" w:eastAsia="Times New Roman" w:hAnsi="Times New Roman" w:cs="Times New Roman"/>
          <w:i/>
          <w:iCs/>
          <w:sz w:val="24"/>
          <w:szCs w:val="24"/>
        </w:rPr>
        <w:t>Almere, the Netherlands</w:t>
      </w:r>
      <w:r w:rsidRPr="00515572">
        <w:rPr>
          <w:rFonts w:ascii="Times New Roman" w:eastAsia="Times New Roman" w:hAnsi="Times New Roman" w:cs="Times New Roman"/>
          <w:sz w:val="24"/>
          <w:szCs w:val="24"/>
        </w:rPr>
        <w:t>. pp.1112.</w:t>
      </w:r>
    </w:p>
    <w:p w:rsidR="00D976D7" w:rsidRPr="00515572" w:rsidRDefault="00D976D7"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Van Zyl, B. J., (1992). 'N Visekologieseondersoek van die Okavango-enKuneneriviere met spesialeverwysingnavisontginning. </w:t>
      </w:r>
      <w:r w:rsidRPr="00515572">
        <w:rPr>
          <w:rFonts w:ascii="Times New Roman" w:eastAsia="Times New Roman" w:hAnsi="Times New Roman" w:cs="Times New Roman"/>
          <w:i/>
          <w:iCs/>
          <w:sz w:val="24"/>
          <w:szCs w:val="24"/>
        </w:rPr>
        <w:t xml:space="preserve">Ph.D thesis. </w:t>
      </w:r>
      <w:r w:rsidRPr="00515572">
        <w:rPr>
          <w:rFonts w:ascii="Times New Roman" w:eastAsia="Times New Roman" w:hAnsi="Times New Roman" w:cs="Times New Roman"/>
          <w:sz w:val="24"/>
          <w:szCs w:val="24"/>
        </w:rPr>
        <w:t>University of Johannesburg (South Africa).</w:t>
      </w:r>
    </w:p>
    <w:p w:rsidR="00D976D7" w:rsidRPr="00515572" w:rsidRDefault="00D976D7"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Von Bertalanffy, L. (1957). Quantitative laws in metabolism and growth. </w:t>
      </w:r>
      <w:r w:rsidRPr="00515572">
        <w:rPr>
          <w:rFonts w:ascii="Times New Roman" w:eastAsia="Calibri" w:hAnsi="Times New Roman" w:cs="Times New Roman"/>
          <w:i/>
          <w:iCs/>
          <w:sz w:val="24"/>
          <w:szCs w:val="24"/>
        </w:rPr>
        <w:t xml:space="preserve">Quarterly Review of Biology, </w:t>
      </w:r>
      <w:r w:rsidRPr="00515572">
        <w:rPr>
          <w:rFonts w:ascii="Times New Roman" w:eastAsia="Calibri" w:hAnsi="Times New Roman" w:cs="Times New Roman"/>
          <w:sz w:val="24"/>
          <w:szCs w:val="24"/>
        </w:rPr>
        <w:t xml:space="preserve">Vol., 32: 217–231. </w:t>
      </w:r>
    </w:p>
    <w:p w:rsidR="00D976D7" w:rsidRPr="004A04C9" w:rsidRDefault="00D976D7" w:rsidP="004A04C9">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color w:val="000000"/>
          <w:sz w:val="24"/>
          <w:szCs w:val="24"/>
        </w:rPr>
        <w:t xml:space="preserve">Winemiller, K. O. and Kelso-Winemiller, L. C. (1994). Comparative ecology of the African pike, </w:t>
      </w:r>
      <w:r w:rsidRPr="00515572">
        <w:rPr>
          <w:rFonts w:ascii="Times New Roman" w:eastAsia="Calibri" w:hAnsi="Times New Roman" w:cs="Times New Roman"/>
          <w:i/>
          <w:iCs/>
          <w:color w:val="000000"/>
          <w:sz w:val="24"/>
          <w:szCs w:val="24"/>
        </w:rPr>
        <w:t>Hepsetusodoe</w:t>
      </w:r>
      <w:r w:rsidRPr="00515572">
        <w:rPr>
          <w:rFonts w:ascii="Times New Roman" w:eastAsia="Calibri" w:hAnsi="Times New Roman" w:cs="Times New Roman"/>
          <w:color w:val="000000"/>
          <w:sz w:val="24"/>
          <w:szCs w:val="24"/>
        </w:rPr>
        <w:t xml:space="preserve">, and tigerfish, </w:t>
      </w:r>
      <w:r w:rsidRPr="00515572">
        <w:rPr>
          <w:rFonts w:ascii="Times New Roman" w:eastAsia="Calibri" w:hAnsi="Times New Roman" w:cs="Times New Roman"/>
          <w:i/>
          <w:iCs/>
          <w:color w:val="000000"/>
          <w:sz w:val="24"/>
          <w:szCs w:val="24"/>
        </w:rPr>
        <w:t>Hydrocynus forskahlii</w:t>
      </w:r>
      <w:r w:rsidRPr="00515572">
        <w:rPr>
          <w:rFonts w:ascii="Times New Roman" w:eastAsia="Calibri" w:hAnsi="Times New Roman" w:cs="Times New Roman"/>
          <w:color w:val="000000"/>
          <w:sz w:val="24"/>
          <w:szCs w:val="24"/>
        </w:rPr>
        <w:t xml:space="preserve">, in the Zambezi River floodplain. </w:t>
      </w:r>
      <w:r w:rsidRPr="00515572">
        <w:rPr>
          <w:rFonts w:ascii="Times New Roman" w:eastAsia="Calibri" w:hAnsi="Times New Roman" w:cs="Times New Roman"/>
          <w:i/>
          <w:iCs/>
          <w:color w:val="000000"/>
          <w:sz w:val="24"/>
          <w:szCs w:val="24"/>
        </w:rPr>
        <w:t>J. Fish Biol</w:t>
      </w:r>
      <w:r w:rsidRPr="00515572">
        <w:rPr>
          <w:rFonts w:ascii="Times New Roman" w:eastAsia="Calibri" w:hAnsi="Times New Roman" w:cs="Times New Roman"/>
          <w:color w:val="000000"/>
          <w:sz w:val="24"/>
          <w:szCs w:val="24"/>
        </w:rPr>
        <w:t xml:space="preserve">., Vol., 45: 211–225. DOI: </w:t>
      </w:r>
      <w:hyperlink r:id="rId27" w:history="1">
        <w:r w:rsidRPr="00515572">
          <w:rPr>
            <w:rFonts w:ascii="Times New Roman" w:eastAsia="Calibri" w:hAnsi="Times New Roman" w:cs="Times New Roman"/>
            <w:color w:val="0000FF"/>
            <w:sz w:val="24"/>
            <w:szCs w:val="24"/>
            <w:u w:val="single"/>
          </w:rPr>
          <w:t>https://doi.org/10.1111/j.1095-8649.1994.tb01301.x</w:t>
        </w:r>
      </w:hyperlink>
      <w:r w:rsidRPr="00515572">
        <w:rPr>
          <w:rFonts w:ascii="Times New Roman" w:eastAsia="Calibri" w:hAnsi="Times New Roman" w:cs="Times New Roman"/>
          <w:sz w:val="24"/>
          <w:szCs w:val="24"/>
        </w:rPr>
        <w:t>.</w:t>
      </w:r>
    </w:p>
    <w:sectPr w:rsidR="00D976D7" w:rsidRPr="004A04C9" w:rsidSect="00C742FA">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ED1" w:rsidRDefault="00014ED1" w:rsidP="00D160C0">
      <w:pPr>
        <w:spacing w:after="0" w:line="240" w:lineRule="auto"/>
      </w:pPr>
      <w:r>
        <w:separator/>
      </w:r>
    </w:p>
  </w:endnote>
  <w:endnote w:type="continuationSeparator" w:id="1">
    <w:p w:rsidR="00014ED1" w:rsidRDefault="00014ED1" w:rsidP="00D160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C0" w:rsidRDefault="00D160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C0" w:rsidRDefault="00D160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C0" w:rsidRDefault="00D160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ED1" w:rsidRDefault="00014ED1" w:rsidP="00D160C0">
      <w:pPr>
        <w:spacing w:after="0" w:line="240" w:lineRule="auto"/>
      </w:pPr>
      <w:r>
        <w:separator/>
      </w:r>
    </w:p>
  </w:footnote>
  <w:footnote w:type="continuationSeparator" w:id="1">
    <w:p w:rsidR="00014ED1" w:rsidRDefault="00014ED1" w:rsidP="00D160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C0" w:rsidRDefault="005409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91251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C0" w:rsidRDefault="005409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91251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C0" w:rsidRDefault="005409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91251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F7CE9"/>
    <w:multiLevelType w:val="hybridMultilevel"/>
    <w:tmpl w:val="F08E0FCC"/>
    <w:lvl w:ilvl="0" w:tplc="EFA8A59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094098"/>
    <w:multiLevelType w:val="multilevel"/>
    <w:tmpl w:val="ADEA5EF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rPr>
        <w:rFonts w:ascii="Times New Roman" w:hAnsi="Times New Roman" w:cs="Times New Roman" w:hint="default"/>
        <w:sz w:val="24"/>
        <w:szCs w:val="24"/>
      </w:rPr>
    </w:lvl>
    <w:lvl w:ilvl="2">
      <w:start w:val="1"/>
      <w:numFmt w:val="decimal"/>
      <w:lvlText w:val="%3."/>
      <w:lvlJc w:val="left"/>
      <w:pPr>
        <w:tabs>
          <w:tab w:val="num" w:pos="2160"/>
        </w:tabs>
        <w:ind w:left="2160" w:hanging="360"/>
      </w:pPr>
      <w:rPr>
        <w:rFonts w:ascii="Times New Roman" w:hAnsi="Times New Roman" w:cs="Times New Roman" w:hint="default"/>
        <w:sz w:val="24"/>
        <w:szCs w:val="24"/>
      </w:rPr>
    </w:lvl>
    <w:lvl w:ilvl="3">
      <w:start w:val="1"/>
      <w:numFmt w:val="decimal"/>
      <w:lvlText w:val="%4."/>
      <w:lvlJc w:val="left"/>
      <w:pPr>
        <w:tabs>
          <w:tab w:val="num" w:pos="2517"/>
        </w:tabs>
        <w:ind w:left="2880" w:hanging="360"/>
      </w:pPr>
      <w:rPr>
        <w:rFonts w:ascii="Times New Roman" w:hAnsi="Times New Roman" w:cs="Times New Roman" w:hint="default"/>
        <w:sz w:val="24"/>
        <w:szCs w:val="24"/>
      </w:rPr>
    </w:lvl>
    <w:lvl w:ilvl="4">
      <w:start w:val="1"/>
      <w:numFmt w:val="decimal"/>
      <w:lvlText w:val="%5."/>
      <w:lvlJc w:val="left"/>
      <w:pPr>
        <w:tabs>
          <w:tab w:val="num" w:pos="3238"/>
        </w:tabs>
        <w:ind w:left="3600" w:hanging="360"/>
      </w:pPr>
      <w:rPr>
        <w:rFonts w:ascii="Times New Roman" w:hAnsi="Times New Roman" w:cs="Times New Roman" w:hint="default"/>
        <w:sz w:val="24"/>
        <w:szCs w:val="24"/>
      </w:rPr>
    </w:lvl>
    <w:lvl w:ilvl="5">
      <w:start w:val="1"/>
      <w:numFmt w:val="decimal"/>
      <w:lvlText w:val="%6."/>
      <w:lvlJc w:val="left"/>
      <w:pPr>
        <w:tabs>
          <w:tab w:val="num" w:pos="3958"/>
        </w:tabs>
        <w:ind w:left="4320" w:hanging="360"/>
      </w:pPr>
      <w:rPr>
        <w:rFonts w:ascii="Times New Roman" w:hAnsi="Times New Roman" w:cs="Times New Roman" w:hint="default"/>
        <w:sz w:val="24"/>
        <w:szCs w:val="24"/>
      </w:rPr>
    </w:lvl>
    <w:lvl w:ilvl="6">
      <w:start w:val="1"/>
      <w:numFmt w:val="decimal"/>
      <w:lvlText w:val="%7."/>
      <w:lvlJc w:val="left"/>
      <w:pPr>
        <w:tabs>
          <w:tab w:val="num" w:pos="4678"/>
        </w:tabs>
        <w:ind w:left="5040" w:hanging="360"/>
      </w:pPr>
      <w:rPr>
        <w:rFonts w:ascii="Times New Roman" w:hAnsi="Times New Roman" w:cs="Times New Roman" w:hint="default"/>
        <w:sz w:val="24"/>
        <w:szCs w:val="24"/>
      </w:rPr>
    </w:lvl>
    <w:lvl w:ilvl="7">
      <w:start w:val="1"/>
      <w:numFmt w:val="decimal"/>
      <w:lvlText w:val="%8."/>
      <w:lvlJc w:val="left"/>
      <w:pPr>
        <w:tabs>
          <w:tab w:val="num" w:pos="5398"/>
        </w:tabs>
        <w:ind w:left="5760" w:hanging="360"/>
      </w:pPr>
      <w:rPr>
        <w:rFonts w:ascii="Times New Roman" w:hAnsi="Times New Roman" w:cs="Times New Roman" w:hint="default"/>
        <w:sz w:val="24"/>
        <w:szCs w:val="24"/>
      </w:rPr>
    </w:lvl>
    <w:lvl w:ilvl="8">
      <w:start w:val="1"/>
      <w:numFmt w:val="decimal"/>
      <w:lvlText w:val="%9."/>
      <w:lvlJc w:val="left"/>
      <w:pPr>
        <w:tabs>
          <w:tab w:val="num" w:pos="6118"/>
        </w:tabs>
        <w:ind w:left="6480" w:hanging="360"/>
      </w:pPr>
      <w:rPr>
        <w:rFonts w:ascii="Times New Roman" w:hAnsi="Times New Roman" w:cs="Times New Roman" w:hint="default"/>
        <w:sz w:val="24"/>
        <w:szCs w:val="24"/>
      </w:rPr>
    </w:lvl>
  </w:abstractNum>
  <w:abstractNum w:abstractNumId="2">
    <w:nsid w:val="392F6C96"/>
    <w:multiLevelType w:val="multilevel"/>
    <w:tmpl w:val="08A8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3D327B"/>
    <w:rsid w:val="00014ED1"/>
    <w:rsid w:val="00027516"/>
    <w:rsid w:val="00072EA6"/>
    <w:rsid w:val="000D08DB"/>
    <w:rsid w:val="000D7EF7"/>
    <w:rsid w:val="001338CA"/>
    <w:rsid w:val="001672B7"/>
    <w:rsid w:val="00174396"/>
    <w:rsid w:val="00183BFB"/>
    <w:rsid w:val="00201F15"/>
    <w:rsid w:val="00202DC3"/>
    <w:rsid w:val="002D373E"/>
    <w:rsid w:val="00341215"/>
    <w:rsid w:val="00350162"/>
    <w:rsid w:val="003D327B"/>
    <w:rsid w:val="00444C8E"/>
    <w:rsid w:val="004650B6"/>
    <w:rsid w:val="004A04C9"/>
    <w:rsid w:val="004E18F9"/>
    <w:rsid w:val="004E2B8C"/>
    <w:rsid w:val="00515572"/>
    <w:rsid w:val="00533AA7"/>
    <w:rsid w:val="005409BE"/>
    <w:rsid w:val="005671F0"/>
    <w:rsid w:val="00583CC4"/>
    <w:rsid w:val="00651041"/>
    <w:rsid w:val="006628B8"/>
    <w:rsid w:val="006E46EF"/>
    <w:rsid w:val="00746C0C"/>
    <w:rsid w:val="007616A0"/>
    <w:rsid w:val="00761B9A"/>
    <w:rsid w:val="007629F1"/>
    <w:rsid w:val="00791082"/>
    <w:rsid w:val="00795502"/>
    <w:rsid w:val="007C3AF6"/>
    <w:rsid w:val="007E66E2"/>
    <w:rsid w:val="00800181"/>
    <w:rsid w:val="008C0303"/>
    <w:rsid w:val="00940BB0"/>
    <w:rsid w:val="00942B54"/>
    <w:rsid w:val="009547E2"/>
    <w:rsid w:val="009A641B"/>
    <w:rsid w:val="009B46A2"/>
    <w:rsid w:val="00A30D68"/>
    <w:rsid w:val="00A33BF8"/>
    <w:rsid w:val="00A91692"/>
    <w:rsid w:val="00AC6DB7"/>
    <w:rsid w:val="00AE6174"/>
    <w:rsid w:val="00B41C6E"/>
    <w:rsid w:val="00B67374"/>
    <w:rsid w:val="00C742FA"/>
    <w:rsid w:val="00CA3122"/>
    <w:rsid w:val="00CA3537"/>
    <w:rsid w:val="00D017DD"/>
    <w:rsid w:val="00D10E84"/>
    <w:rsid w:val="00D160C0"/>
    <w:rsid w:val="00D40EB9"/>
    <w:rsid w:val="00D532C1"/>
    <w:rsid w:val="00D85C9B"/>
    <w:rsid w:val="00D976D7"/>
    <w:rsid w:val="00DD5F77"/>
    <w:rsid w:val="00E109BB"/>
    <w:rsid w:val="00E13279"/>
    <w:rsid w:val="00EC03CD"/>
    <w:rsid w:val="00F430C4"/>
    <w:rsid w:val="00F569A5"/>
    <w:rsid w:val="00FA3DDB"/>
    <w:rsid w:val="00FB2466"/>
    <w:rsid w:val="00FC3256"/>
    <w:rsid w:val="00FC6F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2FA"/>
  </w:style>
  <w:style w:type="paragraph" w:styleId="Heading3">
    <w:name w:val="heading 3"/>
    <w:basedOn w:val="Normal"/>
    <w:next w:val="Normal"/>
    <w:link w:val="Heading3Char"/>
    <w:uiPriority w:val="9"/>
    <w:unhideWhenUsed/>
    <w:qFormat/>
    <w:rsid w:val="004650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بلا قائمة1"/>
    <w:next w:val="NoList"/>
    <w:uiPriority w:val="99"/>
    <w:semiHidden/>
    <w:unhideWhenUsed/>
    <w:rsid w:val="003D327B"/>
  </w:style>
  <w:style w:type="paragraph" w:customStyle="1" w:styleId="Normal1">
    <w:name w:val="Normal1"/>
    <w:rsid w:val="003D327B"/>
    <w:pPr>
      <w:spacing w:after="0" w:line="360" w:lineRule="auto"/>
      <w:jc w:val="both"/>
    </w:pPr>
    <w:rPr>
      <w:rFonts w:ascii="Calibri" w:eastAsia="Times New Roman" w:hAnsi="Calibri" w:cs="Arial"/>
    </w:rPr>
  </w:style>
  <w:style w:type="paragraph" w:customStyle="1" w:styleId="Heading11">
    <w:name w:val="Heading 11"/>
    <w:basedOn w:val="Normal"/>
    <w:next w:val="Normal1"/>
    <w:rsid w:val="003D327B"/>
    <w:pPr>
      <w:keepNext/>
      <w:keepLines/>
      <w:widowControl w:val="0"/>
      <w:spacing w:before="240" w:after="100" w:afterAutospacing="1" w:line="360" w:lineRule="auto"/>
      <w:jc w:val="both"/>
      <w:outlineLvl w:val="0"/>
    </w:pPr>
    <w:rPr>
      <w:rFonts w:ascii="Calibri Light" w:eastAsia="DengXian Light" w:hAnsi="Calibri Light" w:cs="Times New Roman"/>
      <w:color w:val="2E75B5"/>
      <w:sz w:val="32"/>
      <w:szCs w:val="32"/>
    </w:rPr>
  </w:style>
  <w:style w:type="paragraph" w:customStyle="1" w:styleId="Heading31">
    <w:name w:val="Heading 31"/>
    <w:basedOn w:val="Normal"/>
    <w:rsid w:val="003D327B"/>
    <w:pPr>
      <w:spacing w:before="100" w:beforeAutospacing="1" w:after="100" w:afterAutospacing="1" w:line="240" w:lineRule="auto"/>
      <w:jc w:val="both"/>
      <w:outlineLvl w:val="2"/>
    </w:pPr>
    <w:rPr>
      <w:rFonts w:ascii="Times New Roman" w:eastAsia="Times New Roman" w:hAnsi="Times New Roman" w:cs="Times New Roman"/>
      <w:b/>
      <w:bCs/>
      <w:sz w:val="27"/>
      <w:szCs w:val="27"/>
    </w:rPr>
  </w:style>
  <w:style w:type="paragraph" w:customStyle="1" w:styleId="msonormal0">
    <w:name w:val="msonormal"/>
    <w:basedOn w:val="Normal"/>
    <w:rsid w:val="003D32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Normal (Web)1"/>
    <w:basedOn w:val="Normal"/>
    <w:semiHidden/>
    <w:rsid w:val="003D327B"/>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Default">
    <w:name w:val="Default"/>
    <w:basedOn w:val="Normal"/>
    <w:rsid w:val="003D327B"/>
    <w:pPr>
      <w:autoSpaceDE w:val="0"/>
      <w:autoSpaceDN w:val="0"/>
      <w:adjustRightInd w:val="0"/>
      <w:spacing w:after="0" w:line="240" w:lineRule="auto"/>
    </w:pPr>
    <w:rPr>
      <w:rFonts w:ascii="Arial" w:eastAsia="Calibri" w:hAnsi="Arial" w:cs="Arial"/>
      <w:color w:val="000000"/>
      <w:sz w:val="24"/>
      <w:szCs w:val="24"/>
    </w:rPr>
  </w:style>
  <w:style w:type="character" w:customStyle="1" w:styleId="10">
    <w:name w:val="10"/>
    <w:basedOn w:val="DefaultParagraphFont"/>
    <w:rsid w:val="003D327B"/>
    <w:rPr>
      <w:rFonts w:ascii="Times New Roman" w:hAnsi="Times New Roman" w:cs="Times New Roman" w:hint="default"/>
    </w:rPr>
  </w:style>
  <w:style w:type="character" w:customStyle="1" w:styleId="15">
    <w:name w:val="15"/>
    <w:basedOn w:val="DefaultParagraphFont"/>
    <w:rsid w:val="003D327B"/>
    <w:rPr>
      <w:rFonts w:ascii="Times New Roman" w:hAnsi="Times New Roman" w:cs="Times New Roman" w:hint="default"/>
    </w:rPr>
  </w:style>
  <w:style w:type="character" w:customStyle="1" w:styleId="16">
    <w:name w:val="16"/>
    <w:basedOn w:val="DefaultParagraphFont"/>
    <w:rsid w:val="003D327B"/>
    <w:rPr>
      <w:rFonts w:ascii="Times New Roman" w:hAnsi="Times New Roman" w:cs="Times New Roman" w:hint="default"/>
      <w:i/>
      <w:iCs/>
    </w:rPr>
  </w:style>
  <w:style w:type="character" w:customStyle="1" w:styleId="17">
    <w:name w:val="17"/>
    <w:basedOn w:val="DefaultParagraphFont"/>
    <w:rsid w:val="003D327B"/>
    <w:rPr>
      <w:rFonts w:ascii="Times New Roman" w:hAnsi="Times New Roman" w:cs="Times New Roman" w:hint="default"/>
      <w:color w:val="0000FF"/>
      <w:u w:val="single"/>
    </w:rPr>
  </w:style>
  <w:style w:type="character" w:customStyle="1" w:styleId="18">
    <w:name w:val="18"/>
    <w:basedOn w:val="DefaultParagraphFont"/>
    <w:rsid w:val="003D327B"/>
    <w:rPr>
      <w:rFonts w:ascii="Times New Roman" w:hAnsi="Times New Roman" w:cs="Times New Roman" w:hint="default"/>
    </w:rPr>
  </w:style>
  <w:style w:type="character" w:customStyle="1" w:styleId="19">
    <w:name w:val="19"/>
    <w:basedOn w:val="DefaultParagraphFont"/>
    <w:rsid w:val="003D327B"/>
    <w:rPr>
      <w:rFonts w:ascii="Times New Roman" w:hAnsi="Times New Roman" w:cs="Times New Roman" w:hint="default"/>
    </w:rPr>
  </w:style>
  <w:style w:type="character" w:customStyle="1" w:styleId="20">
    <w:name w:val="20"/>
    <w:basedOn w:val="DefaultParagraphFont"/>
    <w:rsid w:val="003D327B"/>
    <w:rPr>
      <w:rFonts w:ascii="Times New Roman" w:hAnsi="Times New Roman" w:cs="Times New Roman" w:hint="default"/>
    </w:rPr>
  </w:style>
  <w:style w:type="character" w:customStyle="1" w:styleId="21">
    <w:name w:val="21"/>
    <w:basedOn w:val="DefaultParagraphFont"/>
    <w:rsid w:val="003D327B"/>
    <w:rPr>
      <w:rFonts w:ascii="Times New Roman" w:hAnsi="Times New Roman" w:cs="Times New Roman" w:hint="default"/>
    </w:rPr>
  </w:style>
  <w:style w:type="character" w:customStyle="1" w:styleId="22">
    <w:name w:val="22"/>
    <w:basedOn w:val="DefaultParagraphFont"/>
    <w:rsid w:val="003D327B"/>
    <w:rPr>
      <w:rFonts w:ascii="Times New Roman" w:hAnsi="Times New Roman" w:cs="Times New Roman" w:hint="default"/>
    </w:rPr>
  </w:style>
  <w:style w:type="character" w:customStyle="1" w:styleId="23">
    <w:name w:val="23"/>
    <w:basedOn w:val="DefaultParagraphFont"/>
    <w:rsid w:val="003D327B"/>
    <w:rPr>
      <w:rFonts w:ascii="Times New Roman" w:hAnsi="Times New Roman" w:cs="Times New Roman" w:hint="default"/>
    </w:rPr>
  </w:style>
  <w:style w:type="table" w:customStyle="1" w:styleId="TableNormal1">
    <w:name w:val="Table Normal1"/>
    <w:semiHidden/>
    <w:rsid w:val="003D327B"/>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table" w:customStyle="1" w:styleId="TableGrid1">
    <w:name w:val="Table Grid1"/>
    <w:basedOn w:val="TableNormal"/>
    <w:rsid w:val="003D32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32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327B"/>
    <w:rPr>
      <w:color w:val="0000FF"/>
      <w:u w:val="single"/>
    </w:rPr>
  </w:style>
  <w:style w:type="character" w:styleId="FollowedHyperlink">
    <w:name w:val="FollowedHyperlink"/>
    <w:basedOn w:val="DefaultParagraphFont"/>
    <w:uiPriority w:val="99"/>
    <w:unhideWhenUsed/>
    <w:rsid w:val="003D327B"/>
    <w:rPr>
      <w:color w:val="800080"/>
      <w:u w:val="single"/>
    </w:rPr>
  </w:style>
  <w:style w:type="paragraph" w:styleId="ListParagraph">
    <w:name w:val="List Paragraph"/>
    <w:basedOn w:val="Normal"/>
    <w:uiPriority w:val="34"/>
    <w:qFormat/>
    <w:rsid w:val="004650B6"/>
    <w:pPr>
      <w:ind w:left="720"/>
      <w:contextualSpacing/>
    </w:pPr>
  </w:style>
  <w:style w:type="character" w:customStyle="1" w:styleId="Heading3Char">
    <w:name w:val="Heading 3 Char"/>
    <w:basedOn w:val="DefaultParagraphFont"/>
    <w:link w:val="Heading3"/>
    <w:uiPriority w:val="9"/>
    <w:rsid w:val="004650B6"/>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072EA6"/>
    <w:rPr>
      <w:i/>
      <w:iCs/>
    </w:rPr>
  </w:style>
  <w:style w:type="character" w:customStyle="1" w:styleId="ds-markdown-html">
    <w:name w:val="ds-markdown-html"/>
    <w:basedOn w:val="DefaultParagraphFont"/>
    <w:rsid w:val="00CA3122"/>
  </w:style>
  <w:style w:type="character" w:styleId="Strong">
    <w:name w:val="Strong"/>
    <w:basedOn w:val="DefaultParagraphFont"/>
    <w:uiPriority w:val="22"/>
    <w:qFormat/>
    <w:rsid w:val="00CA3122"/>
    <w:rPr>
      <w:b/>
      <w:bCs/>
    </w:rPr>
  </w:style>
  <w:style w:type="character" w:customStyle="1" w:styleId="author">
    <w:name w:val="author"/>
    <w:basedOn w:val="DefaultParagraphFont"/>
    <w:rsid w:val="00791082"/>
  </w:style>
  <w:style w:type="character" w:customStyle="1" w:styleId="pubyear">
    <w:name w:val="pubyear"/>
    <w:basedOn w:val="DefaultParagraphFont"/>
    <w:rsid w:val="00791082"/>
  </w:style>
  <w:style w:type="character" w:customStyle="1" w:styleId="othertitle">
    <w:name w:val="othertitle"/>
    <w:basedOn w:val="DefaultParagraphFont"/>
    <w:rsid w:val="00791082"/>
  </w:style>
  <w:style w:type="paragraph" w:styleId="Header">
    <w:name w:val="header"/>
    <w:basedOn w:val="Normal"/>
    <w:link w:val="HeaderChar"/>
    <w:uiPriority w:val="99"/>
    <w:unhideWhenUsed/>
    <w:rsid w:val="00D16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0C0"/>
  </w:style>
  <w:style w:type="paragraph" w:styleId="Footer">
    <w:name w:val="footer"/>
    <w:basedOn w:val="Normal"/>
    <w:link w:val="FooterChar"/>
    <w:uiPriority w:val="99"/>
    <w:unhideWhenUsed/>
    <w:rsid w:val="00D16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0C0"/>
  </w:style>
  <w:style w:type="paragraph" w:styleId="BalloonText">
    <w:name w:val="Balloon Text"/>
    <w:basedOn w:val="Normal"/>
    <w:link w:val="BalloonTextChar"/>
    <w:uiPriority w:val="99"/>
    <w:semiHidden/>
    <w:unhideWhenUsed/>
    <w:rsid w:val="00583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C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214828">
      <w:bodyDiv w:val="1"/>
      <w:marLeft w:val="0"/>
      <w:marRight w:val="0"/>
      <w:marTop w:val="0"/>
      <w:marBottom w:val="0"/>
      <w:divBdr>
        <w:top w:val="none" w:sz="0" w:space="0" w:color="auto"/>
        <w:left w:val="none" w:sz="0" w:space="0" w:color="auto"/>
        <w:bottom w:val="none" w:sz="0" w:space="0" w:color="auto"/>
        <w:right w:val="none" w:sz="0" w:space="0" w:color="auto"/>
      </w:divBdr>
      <w:divsChild>
        <w:div w:id="1536505823">
          <w:marLeft w:val="0"/>
          <w:marRight w:val="0"/>
          <w:marTop w:val="0"/>
          <w:marBottom w:val="0"/>
          <w:divBdr>
            <w:top w:val="none" w:sz="0" w:space="0" w:color="auto"/>
            <w:left w:val="none" w:sz="0" w:space="0" w:color="auto"/>
            <w:bottom w:val="none" w:sz="0" w:space="0" w:color="auto"/>
            <w:right w:val="none" w:sz="0" w:space="0" w:color="auto"/>
          </w:divBdr>
        </w:div>
      </w:divsChild>
    </w:div>
    <w:div w:id="112213109">
      <w:bodyDiv w:val="1"/>
      <w:marLeft w:val="0"/>
      <w:marRight w:val="0"/>
      <w:marTop w:val="0"/>
      <w:marBottom w:val="0"/>
      <w:divBdr>
        <w:top w:val="none" w:sz="0" w:space="0" w:color="auto"/>
        <w:left w:val="none" w:sz="0" w:space="0" w:color="auto"/>
        <w:bottom w:val="none" w:sz="0" w:space="0" w:color="auto"/>
        <w:right w:val="none" w:sz="0" w:space="0" w:color="auto"/>
      </w:divBdr>
    </w:div>
    <w:div w:id="176817822">
      <w:bodyDiv w:val="1"/>
      <w:marLeft w:val="0"/>
      <w:marRight w:val="0"/>
      <w:marTop w:val="0"/>
      <w:marBottom w:val="0"/>
      <w:divBdr>
        <w:top w:val="none" w:sz="0" w:space="0" w:color="auto"/>
        <w:left w:val="none" w:sz="0" w:space="0" w:color="auto"/>
        <w:bottom w:val="none" w:sz="0" w:space="0" w:color="auto"/>
        <w:right w:val="none" w:sz="0" w:space="0" w:color="auto"/>
      </w:divBdr>
    </w:div>
    <w:div w:id="242228600">
      <w:bodyDiv w:val="1"/>
      <w:marLeft w:val="0"/>
      <w:marRight w:val="0"/>
      <w:marTop w:val="0"/>
      <w:marBottom w:val="0"/>
      <w:divBdr>
        <w:top w:val="none" w:sz="0" w:space="0" w:color="auto"/>
        <w:left w:val="none" w:sz="0" w:space="0" w:color="auto"/>
        <w:bottom w:val="none" w:sz="0" w:space="0" w:color="auto"/>
        <w:right w:val="none" w:sz="0" w:space="0" w:color="auto"/>
      </w:divBdr>
    </w:div>
    <w:div w:id="387458498">
      <w:bodyDiv w:val="1"/>
      <w:marLeft w:val="0"/>
      <w:marRight w:val="0"/>
      <w:marTop w:val="0"/>
      <w:marBottom w:val="0"/>
      <w:divBdr>
        <w:top w:val="none" w:sz="0" w:space="0" w:color="auto"/>
        <w:left w:val="none" w:sz="0" w:space="0" w:color="auto"/>
        <w:bottom w:val="none" w:sz="0" w:space="0" w:color="auto"/>
        <w:right w:val="none" w:sz="0" w:space="0" w:color="auto"/>
      </w:divBdr>
      <w:divsChild>
        <w:div w:id="959919438">
          <w:marLeft w:val="0"/>
          <w:marRight w:val="0"/>
          <w:marTop w:val="0"/>
          <w:marBottom w:val="0"/>
          <w:divBdr>
            <w:top w:val="none" w:sz="0" w:space="0" w:color="auto"/>
            <w:left w:val="none" w:sz="0" w:space="0" w:color="auto"/>
            <w:bottom w:val="none" w:sz="0" w:space="0" w:color="auto"/>
            <w:right w:val="none" w:sz="0" w:space="0" w:color="auto"/>
          </w:divBdr>
        </w:div>
      </w:divsChild>
    </w:div>
    <w:div w:id="650906706">
      <w:bodyDiv w:val="1"/>
      <w:marLeft w:val="0"/>
      <w:marRight w:val="0"/>
      <w:marTop w:val="0"/>
      <w:marBottom w:val="0"/>
      <w:divBdr>
        <w:top w:val="none" w:sz="0" w:space="0" w:color="auto"/>
        <w:left w:val="none" w:sz="0" w:space="0" w:color="auto"/>
        <w:bottom w:val="none" w:sz="0" w:space="0" w:color="auto"/>
        <w:right w:val="none" w:sz="0" w:space="0" w:color="auto"/>
      </w:divBdr>
    </w:div>
    <w:div w:id="933779711">
      <w:bodyDiv w:val="1"/>
      <w:marLeft w:val="0"/>
      <w:marRight w:val="0"/>
      <w:marTop w:val="0"/>
      <w:marBottom w:val="0"/>
      <w:divBdr>
        <w:top w:val="none" w:sz="0" w:space="0" w:color="auto"/>
        <w:left w:val="none" w:sz="0" w:space="0" w:color="auto"/>
        <w:bottom w:val="none" w:sz="0" w:space="0" w:color="auto"/>
        <w:right w:val="none" w:sz="0" w:space="0" w:color="auto"/>
      </w:divBdr>
    </w:div>
    <w:div w:id="1065496923">
      <w:bodyDiv w:val="1"/>
      <w:marLeft w:val="0"/>
      <w:marRight w:val="0"/>
      <w:marTop w:val="0"/>
      <w:marBottom w:val="0"/>
      <w:divBdr>
        <w:top w:val="none" w:sz="0" w:space="0" w:color="auto"/>
        <w:left w:val="none" w:sz="0" w:space="0" w:color="auto"/>
        <w:bottom w:val="none" w:sz="0" w:space="0" w:color="auto"/>
        <w:right w:val="none" w:sz="0" w:space="0" w:color="auto"/>
      </w:divBdr>
      <w:divsChild>
        <w:div w:id="654576168">
          <w:marLeft w:val="0"/>
          <w:marRight w:val="0"/>
          <w:marTop w:val="0"/>
          <w:marBottom w:val="0"/>
          <w:divBdr>
            <w:top w:val="none" w:sz="0" w:space="0" w:color="auto"/>
            <w:left w:val="none" w:sz="0" w:space="0" w:color="auto"/>
            <w:bottom w:val="none" w:sz="0" w:space="0" w:color="auto"/>
            <w:right w:val="none" w:sz="0" w:space="0" w:color="auto"/>
          </w:divBdr>
          <w:divsChild>
            <w:div w:id="1842163486">
              <w:marLeft w:val="0"/>
              <w:marRight w:val="0"/>
              <w:marTop w:val="0"/>
              <w:marBottom w:val="0"/>
              <w:divBdr>
                <w:top w:val="none" w:sz="0" w:space="0" w:color="auto"/>
                <w:left w:val="none" w:sz="0" w:space="0" w:color="auto"/>
                <w:bottom w:val="none" w:sz="0" w:space="0" w:color="auto"/>
                <w:right w:val="none" w:sz="0" w:space="0" w:color="auto"/>
              </w:divBdr>
            </w:div>
          </w:divsChild>
        </w:div>
        <w:div w:id="1598635094">
          <w:marLeft w:val="0"/>
          <w:marRight w:val="0"/>
          <w:marTop w:val="0"/>
          <w:marBottom w:val="0"/>
          <w:divBdr>
            <w:top w:val="none" w:sz="0" w:space="0" w:color="auto"/>
            <w:left w:val="none" w:sz="0" w:space="0" w:color="auto"/>
            <w:bottom w:val="none" w:sz="0" w:space="0" w:color="auto"/>
            <w:right w:val="none" w:sz="0" w:space="0" w:color="auto"/>
          </w:divBdr>
          <w:divsChild>
            <w:div w:id="1934047432">
              <w:marLeft w:val="0"/>
              <w:marRight w:val="0"/>
              <w:marTop w:val="0"/>
              <w:marBottom w:val="0"/>
              <w:divBdr>
                <w:top w:val="none" w:sz="0" w:space="0" w:color="auto"/>
                <w:left w:val="none" w:sz="0" w:space="0" w:color="auto"/>
                <w:bottom w:val="none" w:sz="0" w:space="0" w:color="auto"/>
                <w:right w:val="none" w:sz="0" w:space="0" w:color="auto"/>
              </w:divBdr>
              <w:divsChild>
                <w:div w:id="2132899458">
                  <w:marLeft w:val="0"/>
                  <w:marRight w:val="0"/>
                  <w:marTop w:val="0"/>
                  <w:marBottom w:val="0"/>
                  <w:divBdr>
                    <w:top w:val="none" w:sz="0" w:space="0" w:color="auto"/>
                    <w:left w:val="none" w:sz="0" w:space="0" w:color="auto"/>
                    <w:bottom w:val="none" w:sz="0" w:space="0" w:color="auto"/>
                    <w:right w:val="none" w:sz="0" w:space="0" w:color="auto"/>
                  </w:divBdr>
                  <w:divsChild>
                    <w:div w:id="9872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363268">
      <w:bodyDiv w:val="1"/>
      <w:marLeft w:val="0"/>
      <w:marRight w:val="0"/>
      <w:marTop w:val="0"/>
      <w:marBottom w:val="0"/>
      <w:divBdr>
        <w:top w:val="none" w:sz="0" w:space="0" w:color="auto"/>
        <w:left w:val="none" w:sz="0" w:space="0" w:color="auto"/>
        <w:bottom w:val="none" w:sz="0" w:space="0" w:color="auto"/>
        <w:right w:val="none" w:sz="0" w:space="0" w:color="auto"/>
      </w:divBdr>
    </w:div>
    <w:div w:id="1163935887">
      <w:bodyDiv w:val="1"/>
      <w:marLeft w:val="0"/>
      <w:marRight w:val="0"/>
      <w:marTop w:val="0"/>
      <w:marBottom w:val="0"/>
      <w:divBdr>
        <w:top w:val="none" w:sz="0" w:space="0" w:color="auto"/>
        <w:left w:val="none" w:sz="0" w:space="0" w:color="auto"/>
        <w:bottom w:val="none" w:sz="0" w:space="0" w:color="auto"/>
        <w:right w:val="none" w:sz="0" w:space="0" w:color="auto"/>
      </w:divBdr>
      <w:divsChild>
        <w:div w:id="2086754952">
          <w:marLeft w:val="0"/>
          <w:marRight w:val="0"/>
          <w:marTop w:val="0"/>
          <w:marBottom w:val="0"/>
          <w:divBdr>
            <w:top w:val="none" w:sz="0" w:space="0" w:color="auto"/>
            <w:left w:val="none" w:sz="0" w:space="0" w:color="auto"/>
            <w:bottom w:val="none" w:sz="0" w:space="0" w:color="auto"/>
            <w:right w:val="none" w:sz="0" w:space="0" w:color="auto"/>
          </w:divBdr>
        </w:div>
      </w:divsChild>
    </w:div>
    <w:div w:id="1239631495">
      <w:bodyDiv w:val="1"/>
      <w:marLeft w:val="0"/>
      <w:marRight w:val="0"/>
      <w:marTop w:val="0"/>
      <w:marBottom w:val="0"/>
      <w:divBdr>
        <w:top w:val="none" w:sz="0" w:space="0" w:color="auto"/>
        <w:left w:val="none" w:sz="0" w:space="0" w:color="auto"/>
        <w:bottom w:val="none" w:sz="0" w:space="0" w:color="auto"/>
        <w:right w:val="none" w:sz="0" w:space="0" w:color="auto"/>
      </w:divBdr>
    </w:div>
    <w:div w:id="1291781686">
      <w:bodyDiv w:val="1"/>
      <w:marLeft w:val="0"/>
      <w:marRight w:val="0"/>
      <w:marTop w:val="0"/>
      <w:marBottom w:val="0"/>
      <w:divBdr>
        <w:top w:val="none" w:sz="0" w:space="0" w:color="auto"/>
        <w:left w:val="none" w:sz="0" w:space="0" w:color="auto"/>
        <w:bottom w:val="none" w:sz="0" w:space="0" w:color="auto"/>
        <w:right w:val="none" w:sz="0" w:space="0" w:color="auto"/>
      </w:divBdr>
    </w:div>
    <w:div w:id="1476486708">
      <w:bodyDiv w:val="1"/>
      <w:marLeft w:val="0"/>
      <w:marRight w:val="0"/>
      <w:marTop w:val="0"/>
      <w:marBottom w:val="0"/>
      <w:divBdr>
        <w:top w:val="none" w:sz="0" w:space="0" w:color="auto"/>
        <w:left w:val="none" w:sz="0" w:space="0" w:color="auto"/>
        <w:bottom w:val="none" w:sz="0" w:space="0" w:color="auto"/>
        <w:right w:val="none" w:sz="0" w:space="0" w:color="auto"/>
      </w:divBdr>
      <w:divsChild>
        <w:div w:id="1418747553">
          <w:marLeft w:val="0"/>
          <w:marRight w:val="0"/>
          <w:marTop w:val="0"/>
          <w:marBottom w:val="0"/>
          <w:divBdr>
            <w:top w:val="none" w:sz="0" w:space="0" w:color="auto"/>
            <w:left w:val="none" w:sz="0" w:space="0" w:color="auto"/>
            <w:bottom w:val="none" w:sz="0" w:space="0" w:color="auto"/>
            <w:right w:val="none" w:sz="0" w:space="0" w:color="auto"/>
          </w:divBdr>
        </w:div>
      </w:divsChild>
    </w:div>
    <w:div w:id="1567183665">
      <w:bodyDiv w:val="1"/>
      <w:marLeft w:val="0"/>
      <w:marRight w:val="0"/>
      <w:marTop w:val="0"/>
      <w:marBottom w:val="0"/>
      <w:divBdr>
        <w:top w:val="none" w:sz="0" w:space="0" w:color="auto"/>
        <w:left w:val="none" w:sz="0" w:space="0" w:color="auto"/>
        <w:bottom w:val="none" w:sz="0" w:space="0" w:color="auto"/>
        <w:right w:val="none" w:sz="0" w:space="0" w:color="auto"/>
      </w:divBdr>
    </w:div>
    <w:div w:id="1835411418">
      <w:bodyDiv w:val="1"/>
      <w:marLeft w:val="0"/>
      <w:marRight w:val="0"/>
      <w:marTop w:val="0"/>
      <w:marBottom w:val="0"/>
      <w:divBdr>
        <w:top w:val="none" w:sz="0" w:space="0" w:color="auto"/>
        <w:left w:val="none" w:sz="0" w:space="0" w:color="auto"/>
        <w:bottom w:val="none" w:sz="0" w:space="0" w:color="auto"/>
        <w:right w:val="none" w:sz="0" w:space="0" w:color="auto"/>
      </w:divBdr>
    </w:div>
    <w:div w:id="2005351388">
      <w:bodyDiv w:val="1"/>
      <w:marLeft w:val="0"/>
      <w:marRight w:val="0"/>
      <w:marTop w:val="0"/>
      <w:marBottom w:val="0"/>
      <w:divBdr>
        <w:top w:val="none" w:sz="0" w:space="0" w:color="auto"/>
        <w:left w:val="none" w:sz="0" w:space="0" w:color="auto"/>
        <w:bottom w:val="none" w:sz="0" w:space="0" w:color="auto"/>
        <w:right w:val="none" w:sz="0" w:space="0" w:color="auto"/>
      </w:divBdr>
      <w:divsChild>
        <w:div w:id="1303123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doi.org/10.4060/cb9479en" TargetMode="External"/><Relationship Id="rId26" Type="http://schemas.openxmlformats.org/officeDocument/2006/relationships/hyperlink" Target="https://doi.org/10.1371/journal.pone.0028775" TargetMode="External"/><Relationship Id="rId3" Type="http://schemas.openxmlformats.org/officeDocument/2006/relationships/styles" Target="styles.xml"/><Relationship Id="rId21" Type="http://schemas.openxmlformats.org/officeDocument/2006/relationships/hyperlink" Target="http://dx.doi.org/10.5772/5738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ui.adsabs.harvard.edu/link_gateway/1967HyBio..30..527B/doi:10.1007/BF00964031" TargetMode="External"/><Relationship Id="rId25" Type="http://schemas.openxmlformats.org/officeDocument/2006/relationships/hyperlink" Target="https://doi.org/10.4102/koedoe.v60i1.1397"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9734/ajriz/2024/v7i3151" TargetMode="External"/><Relationship Id="rId20" Type="http://schemas.openxmlformats.org/officeDocument/2006/relationships/hyperlink" Target="https://doi.org/10.1577/1548-8659(1975)104%3c499:AFAGOT%3e2.0.CO;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jstor.org/stable/41715836"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doi.org/10.1111/j.1095-8649.1985.tb03247.x" TargetMode="External"/><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s://doi.org/10.2989/AJAS.2009.34.3.5.981"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hdl.handle.net/20.500.12348/3462" TargetMode="External"/><Relationship Id="rId27" Type="http://schemas.openxmlformats.org/officeDocument/2006/relationships/hyperlink" Target="https://doi.org/10.1111/j.1095-8649.1994.tb01301.x"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F52B4-B3E6-49DC-AD7D-509FFDB7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4599</Words>
  <Characters>26220</Characters>
  <Application>Microsoft Office Word</Application>
  <DocSecurity>0</DocSecurity>
  <Lines>218</Lines>
  <Paragraphs>61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30758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Rawafed</dc:creator>
  <cp:lastModifiedBy>Javed</cp:lastModifiedBy>
  <cp:revision>3</cp:revision>
  <dcterms:created xsi:type="dcterms:W3CDTF">2025-05-20T12:23:00Z</dcterms:created>
  <dcterms:modified xsi:type="dcterms:W3CDTF">2025-05-20T17:51:00Z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05f7dff2-b51c-49c3-957b-18f9e2277330</vt:lpwstr>
  </property>
</Properties>
</file>