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E12" w:rsidRPr="003254F8" w:rsidRDefault="0092090F">
      <w:pPr>
        <w:spacing w:after="0"/>
        <w:rPr>
          <w:rFonts w:ascii="Arial" w:hAnsi="Arial" w:cs="Arial"/>
          <w:sz w:val="20"/>
          <w:szCs w:val="20"/>
        </w:rPr>
      </w:pPr>
      <w:r w:rsidRPr="003254F8">
        <w:rPr>
          <w:rFonts w:ascii="Arial" w:eastAsia="Arial" w:hAnsi="Arial" w:cs="Arial"/>
          <w:sz w:val="20"/>
          <w:szCs w:val="20"/>
        </w:rPr>
        <w:t xml:space="preserve"> </w:t>
      </w:r>
    </w:p>
    <w:tbl>
      <w:tblPr>
        <w:tblStyle w:val="TableGrid"/>
        <w:tblW w:w="20940" w:type="dxa"/>
        <w:tblInd w:w="0" w:type="dxa"/>
        <w:tblCellMar>
          <w:top w:w="15" w:type="dxa"/>
          <w:left w:w="96" w:type="dxa"/>
          <w:right w:w="115" w:type="dxa"/>
        </w:tblCellMar>
        <w:tblLook w:val="04A0" w:firstRow="1" w:lastRow="0" w:firstColumn="1" w:lastColumn="0" w:noHBand="0" w:noVBand="1"/>
      </w:tblPr>
      <w:tblGrid>
        <w:gridCol w:w="5169"/>
        <w:gridCol w:w="15771"/>
      </w:tblGrid>
      <w:tr w:rsidR="00CD2E12" w:rsidRPr="003254F8">
        <w:trPr>
          <w:trHeight w:val="300"/>
        </w:trPr>
        <w:tc>
          <w:tcPr>
            <w:tcW w:w="5169"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Arial" w:hAnsi="Arial" w:cs="Arial"/>
                <w:sz w:val="20"/>
                <w:szCs w:val="20"/>
              </w:rPr>
              <w:t xml:space="preserve">Journal Name: </w:t>
            </w:r>
          </w:p>
        </w:tc>
        <w:tc>
          <w:tcPr>
            <w:tcW w:w="15771" w:type="dxa"/>
            <w:tcBorders>
              <w:top w:val="single" w:sz="3" w:space="0" w:color="000000"/>
              <w:left w:val="single" w:sz="3" w:space="0" w:color="000000"/>
              <w:bottom w:val="single" w:sz="3" w:space="0" w:color="000000"/>
              <w:right w:val="single" w:sz="3" w:space="0" w:color="000000"/>
            </w:tcBorders>
          </w:tcPr>
          <w:p w:rsidR="00CD2E12" w:rsidRPr="003254F8" w:rsidRDefault="00934DA6">
            <w:pPr>
              <w:ind w:left="12"/>
              <w:rPr>
                <w:rFonts w:ascii="Arial" w:hAnsi="Arial" w:cs="Arial"/>
                <w:sz w:val="20"/>
                <w:szCs w:val="20"/>
              </w:rPr>
            </w:pPr>
            <w:hyperlink r:id="rId6">
              <w:r w:rsidR="0092090F" w:rsidRPr="003254F8">
                <w:rPr>
                  <w:rFonts w:ascii="Arial" w:eastAsia="Arial" w:hAnsi="Arial" w:cs="Arial"/>
                  <w:b/>
                  <w:color w:val="0000FF"/>
                  <w:sz w:val="20"/>
                  <w:szCs w:val="20"/>
                  <w:u w:val="single" w:color="0000FF"/>
                </w:rPr>
                <w:t>Asian Journal of Education and Social Studies</w:t>
              </w:r>
            </w:hyperlink>
            <w:hyperlink r:id="rId7">
              <w:r w:rsidR="0092090F" w:rsidRPr="003254F8">
                <w:rPr>
                  <w:rFonts w:ascii="Arial" w:eastAsia="Arial" w:hAnsi="Arial" w:cs="Arial"/>
                  <w:b/>
                  <w:color w:val="0000FF"/>
                  <w:sz w:val="20"/>
                  <w:szCs w:val="20"/>
                </w:rPr>
                <w:t xml:space="preserve"> </w:t>
              </w:r>
            </w:hyperlink>
            <w:r w:rsidR="0092090F" w:rsidRPr="003254F8">
              <w:rPr>
                <w:rFonts w:ascii="Arial" w:eastAsia="Arial" w:hAnsi="Arial" w:cs="Arial"/>
                <w:b/>
                <w:color w:val="0000FF"/>
                <w:sz w:val="20"/>
                <w:szCs w:val="20"/>
              </w:rPr>
              <w:t xml:space="preserve"> </w:t>
            </w:r>
          </w:p>
        </w:tc>
      </w:tr>
      <w:tr w:rsidR="00CD2E12" w:rsidRPr="003254F8">
        <w:trPr>
          <w:trHeight w:val="303"/>
        </w:trPr>
        <w:tc>
          <w:tcPr>
            <w:tcW w:w="5169"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Arial" w:hAnsi="Arial" w:cs="Arial"/>
                <w:sz w:val="20"/>
                <w:szCs w:val="20"/>
              </w:rPr>
              <w:t xml:space="preserve">Manuscript Number: </w:t>
            </w:r>
          </w:p>
        </w:tc>
        <w:tc>
          <w:tcPr>
            <w:tcW w:w="15771"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12"/>
              <w:rPr>
                <w:rFonts w:ascii="Arial" w:hAnsi="Arial" w:cs="Arial"/>
                <w:sz w:val="20"/>
                <w:szCs w:val="20"/>
              </w:rPr>
            </w:pPr>
            <w:r w:rsidRPr="003254F8">
              <w:rPr>
                <w:rFonts w:ascii="Arial" w:eastAsia="Arial" w:hAnsi="Arial" w:cs="Arial"/>
                <w:b/>
                <w:sz w:val="20"/>
                <w:szCs w:val="20"/>
              </w:rPr>
              <w:t xml:space="preserve">Ms_AJESS_138514 </w:t>
            </w:r>
          </w:p>
        </w:tc>
      </w:tr>
      <w:tr w:rsidR="00CD2E12" w:rsidRPr="003254F8">
        <w:trPr>
          <w:trHeight w:val="660"/>
        </w:trPr>
        <w:tc>
          <w:tcPr>
            <w:tcW w:w="5169"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Arial" w:hAnsi="Arial" w:cs="Arial"/>
                <w:sz w:val="20"/>
                <w:szCs w:val="20"/>
              </w:rPr>
              <w:t xml:space="preserve">Title of the Manuscript:  </w:t>
            </w:r>
          </w:p>
        </w:tc>
        <w:tc>
          <w:tcPr>
            <w:tcW w:w="15771" w:type="dxa"/>
            <w:tcBorders>
              <w:top w:val="single" w:sz="3" w:space="0" w:color="000000"/>
              <w:left w:val="single" w:sz="3" w:space="0" w:color="000000"/>
              <w:bottom w:val="single" w:sz="3" w:space="0" w:color="000000"/>
              <w:right w:val="single" w:sz="3" w:space="0" w:color="000000"/>
            </w:tcBorders>
            <w:vAlign w:val="center"/>
          </w:tcPr>
          <w:p w:rsidR="00CD2E12" w:rsidRPr="003254F8" w:rsidRDefault="0092090F">
            <w:pPr>
              <w:ind w:left="12"/>
              <w:rPr>
                <w:rFonts w:ascii="Arial" w:hAnsi="Arial" w:cs="Arial"/>
                <w:sz w:val="20"/>
                <w:szCs w:val="20"/>
              </w:rPr>
            </w:pPr>
            <w:r w:rsidRPr="003254F8">
              <w:rPr>
                <w:rFonts w:ascii="Arial" w:eastAsia="Arial" w:hAnsi="Arial" w:cs="Arial"/>
                <w:b/>
                <w:sz w:val="20"/>
                <w:szCs w:val="20"/>
              </w:rPr>
              <w:t xml:space="preserve">The Impact of Professional Sharing Activities on Teachers' Professional Development: A Practice-Based Perspective </w:t>
            </w:r>
          </w:p>
        </w:tc>
      </w:tr>
      <w:tr w:rsidR="00CD2E12" w:rsidRPr="003254F8">
        <w:trPr>
          <w:trHeight w:val="340"/>
        </w:trPr>
        <w:tc>
          <w:tcPr>
            <w:tcW w:w="5169"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Arial" w:hAnsi="Arial" w:cs="Arial"/>
                <w:sz w:val="20"/>
                <w:szCs w:val="20"/>
              </w:rPr>
              <w:t xml:space="preserve">Type of the Article </w:t>
            </w:r>
          </w:p>
        </w:tc>
        <w:tc>
          <w:tcPr>
            <w:tcW w:w="15771"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12"/>
              <w:rPr>
                <w:rFonts w:ascii="Arial" w:hAnsi="Arial" w:cs="Arial"/>
                <w:sz w:val="20"/>
                <w:szCs w:val="20"/>
              </w:rPr>
            </w:pPr>
            <w:r w:rsidRPr="003254F8">
              <w:rPr>
                <w:rFonts w:ascii="Arial" w:eastAsia="Arial" w:hAnsi="Arial" w:cs="Arial"/>
                <w:b/>
                <w:sz w:val="20"/>
                <w:szCs w:val="20"/>
              </w:rPr>
              <w:t xml:space="preserve">Short Research Article </w:t>
            </w:r>
          </w:p>
        </w:tc>
      </w:tr>
    </w:tbl>
    <w:p w:rsidR="00CD2E12" w:rsidRPr="003254F8" w:rsidRDefault="0092090F" w:rsidP="00095303">
      <w:pPr>
        <w:spacing w:after="0"/>
        <w:rPr>
          <w:rFonts w:ascii="Arial" w:hAnsi="Arial" w:cs="Arial"/>
          <w:sz w:val="20"/>
          <w:szCs w:val="20"/>
        </w:rPr>
      </w:pPr>
      <w:r w:rsidRPr="003254F8">
        <w:rPr>
          <w:rFonts w:ascii="Arial" w:eastAsia="Arial" w:hAnsi="Arial" w:cs="Arial"/>
          <w:b/>
          <w:sz w:val="20"/>
          <w:szCs w:val="20"/>
        </w:rPr>
        <w:t xml:space="preserve"> </w:t>
      </w:r>
      <w:r w:rsidRPr="003254F8">
        <w:rPr>
          <w:rFonts w:ascii="Arial" w:eastAsia="Arial" w:hAnsi="Arial" w:cs="Arial"/>
          <w:i/>
          <w:sz w:val="20"/>
          <w:szCs w:val="20"/>
        </w:rPr>
        <w:t xml:space="preserve"> </w:t>
      </w:r>
    </w:p>
    <w:p w:rsidR="00CD2E12" w:rsidRPr="003254F8" w:rsidRDefault="0092090F">
      <w:pPr>
        <w:spacing w:after="0"/>
        <w:ind w:left="-5" w:hanging="10"/>
        <w:rPr>
          <w:rFonts w:ascii="Arial" w:hAnsi="Arial" w:cs="Arial"/>
          <w:sz w:val="20"/>
          <w:szCs w:val="20"/>
        </w:rPr>
      </w:pPr>
      <w:r w:rsidRPr="003254F8">
        <w:rPr>
          <w:rFonts w:ascii="Arial" w:eastAsia="Times New Roman" w:hAnsi="Arial" w:cs="Arial"/>
          <w:b/>
          <w:sz w:val="20"/>
          <w:szCs w:val="20"/>
          <w:shd w:val="clear" w:color="auto" w:fill="FFFF00"/>
        </w:rPr>
        <w:t>PART  1:</w:t>
      </w:r>
      <w:r w:rsidRPr="003254F8">
        <w:rPr>
          <w:rFonts w:ascii="Arial" w:eastAsia="Times New Roman" w:hAnsi="Arial" w:cs="Arial"/>
          <w:b/>
          <w:sz w:val="20"/>
          <w:szCs w:val="20"/>
        </w:rPr>
        <w:t xml:space="preserve"> Comments </w:t>
      </w:r>
    </w:p>
    <w:p w:rsidR="00CD2E12" w:rsidRPr="003254F8" w:rsidRDefault="0092090F">
      <w:pPr>
        <w:spacing w:after="0"/>
        <w:rPr>
          <w:rFonts w:ascii="Arial" w:hAnsi="Arial" w:cs="Arial"/>
          <w:sz w:val="20"/>
          <w:szCs w:val="20"/>
        </w:rPr>
      </w:pPr>
      <w:r w:rsidRPr="003254F8">
        <w:rPr>
          <w:rFonts w:ascii="Arial" w:hAnsi="Arial" w:cs="Arial"/>
          <w:noProof/>
          <w:sz w:val="20"/>
          <w:szCs w:val="20"/>
        </w:rPr>
        <mc:AlternateContent>
          <mc:Choice Requires="wpg">
            <w:drawing>
              <wp:anchor distT="0" distB="0" distL="114300" distR="114300" simplePos="0" relativeHeight="251658240" behindDoc="0" locked="0" layoutInCell="1" allowOverlap="1">
                <wp:simplePos x="0" y="0"/>
                <wp:positionH relativeFrom="page">
                  <wp:posOffset>838200</wp:posOffset>
                </wp:positionH>
                <wp:positionV relativeFrom="page">
                  <wp:posOffset>9306306</wp:posOffset>
                </wp:positionV>
                <wp:extent cx="13441680" cy="7620"/>
                <wp:effectExtent l="0" t="0" r="0" b="0"/>
                <wp:wrapTopAndBottom/>
                <wp:docPr id="8514" name="Group 8514"/>
                <wp:cNvGraphicFramePr/>
                <a:graphic xmlns:a="http://schemas.openxmlformats.org/drawingml/2006/main">
                  <a:graphicData uri="http://schemas.microsoft.com/office/word/2010/wordprocessingGroup">
                    <wpg:wgp>
                      <wpg:cNvGrpSpPr/>
                      <wpg:grpSpPr>
                        <a:xfrm>
                          <a:off x="0" y="0"/>
                          <a:ext cx="13441680" cy="7620"/>
                          <a:chOff x="0" y="0"/>
                          <a:chExt cx="13441680" cy="7620"/>
                        </a:xfrm>
                      </wpg:grpSpPr>
                      <wps:wsp>
                        <wps:cNvPr id="9043" name="Shape 9043"/>
                        <wps:cNvSpPr/>
                        <wps:spPr>
                          <a:xfrm>
                            <a:off x="7620" y="0"/>
                            <a:ext cx="13434061" cy="9144"/>
                          </a:xfrm>
                          <a:custGeom>
                            <a:avLst/>
                            <a:gdLst/>
                            <a:ahLst/>
                            <a:cxnLst/>
                            <a:rect l="0" t="0" r="0" b="0"/>
                            <a:pathLst>
                              <a:path w="13434061" h="9144">
                                <a:moveTo>
                                  <a:pt x="0" y="0"/>
                                </a:moveTo>
                                <a:lnTo>
                                  <a:pt x="13434061" y="0"/>
                                </a:lnTo>
                                <a:lnTo>
                                  <a:pt x="13434061" y="9144"/>
                                </a:lnTo>
                                <a:lnTo>
                                  <a:pt x="0" y="9144"/>
                                </a:lnTo>
                                <a:lnTo>
                                  <a:pt x="0" y="0"/>
                                </a:lnTo>
                              </a:path>
                            </a:pathLst>
                          </a:custGeom>
                          <a:ln w="0" cap="flat">
                            <a:miter lim="127000"/>
                          </a:ln>
                        </wps:spPr>
                        <wps:style>
                          <a:lnRef idx="0">
                            <a:srgbClr val="000000">
                              <a:alpha val="0"/>
                            </a:srgbClr>
                          </a:lnRef>
                          <a:fillRef idx="1">
                            <a:srgbClr val="EBFFFF"/>
                          </a:fillRef>
                          <a:effectRef idx="0">
                            <a:scrgbClr r="0" g="0" b="0"/>
                          </a:effectRef>
                          <a:fontRef idx="none"/>
                        </wps:style>
                        <wps:bodyPr/>
                      </wps:wsp>
                      <wps:wsp>
                        <wps:cNvPr id="9044" name="Shape 9044"/>
                        <wps:cNvSpPr/>
                        <wps:spPr>
                          <a:xfrm>
                            <a:off x="0" y="2541"/>
                            <a:ext cx="13441680" cy="9144"/>
                          </a:xfrm>
                          <a:custGeom>
                            <a:avLst/>
                            <a:gdLst/>
                            <a:ahLst/>
                            <a:cxnLst/>
                            <a:rect l="0" t="0" r="0" b="0"/>
                            <a:pathLst>
                              <a:path w="13441680" h="9144">
                                <a:moveTo>
                                  <a:pt x="0" y="0"/>
                                </a:moveTo>
                                <a:lnTo>
                                  <a:pt x="13441680" y="0"/>
                                </a:lnTo>
                                <a:lnTo>
                                  <a:pt x="13441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4" style="width:1058.4pt;height:0.600037pt;position:absolute;mso-position-horizontal-relative:page;mso-position-horizontal:absolute;margin-left:66pt;mso-position-vertical-relative:page;margin-top:732.78pt;" coordsize="134416,76">
                <v:shape id="Shape 9045" style="position:absolute;width:134340;height:91;left:76;top:0;" coordsize="13434061,9144" path="m0,0l13434061,0l13434061,9144l0,9144l0,0">
                  <v:stroke weight="0pt" endcap="flat" joinstyle="miter" miterlimit="10" on="false" color="#000000" opacity="0"/>
                  <v:fill on="true" color="#ebffff"/>
                </v:shape>
                <v:shape id="Shape 9046" style="position:absolute;width:134416;height:91;left:0;top:25;" coordsize="13441680,9144" path="m0,0l13441680,0l13441680,9144l0,9144l0,0">
                  <v:stroke weight="0pt" endcap="flat" joinstyle="miter" miterlimit="10" on="false" color="#000000" opacity="0"/>
                  <v:fill on="true" color="#000000"/>
                </v:shape>
                <w10:wrap type="topAndBottom"/>
              </v:group>
            </w:pict>
          </mc:Fallback>
        </mc:AlternateContent>
      </w:r>
      <w:r w:rsidRPr="003254F8">
        <w:rPr>
          <w:rFonts w:ascii="Arial" w:eastAsia="Times New Roman" w:hAnsi="Arial" w:cs="Arial"/>
          <w:sz w:val="20"/>
          <w:szCs w:val="20"/>
        </w:rPr>
        <w:t xml:space="preserve"> </w:t>
      </w:r>
    </w:p>
    <w:tbl>
      <w:tblPr>
        <w:tblStyle w:val="TableGrid"/>
        <w:tblW w:w="21156" w:type="dxa"/>
        <w:tblInd w:w="-108" w:type="dxa"/>
        <w:tblCellMar>
          <w:top w:w="10" w:type="dxa"/>
          <w:left w:w="108" w:type="dxa"/>
          <w:right w:w="77" w:type="dxa"/>
        </w:tblCellMar>
        <w:tblLook w:val="04A0" w:firstRow="1" w:lastRow="0" w:firstColumn="1" w:lastColumn="0" w:noHBand="0" w:noVBand="1"/>
      </w:tblPr>
      <w:tblGrid>
        <w:gridCol w:w="5353"/>
        <w:gridCol w:w="9357"/>
        <w:gridCol w:w="6446"/>
      </w:tblGrid>
      <w:tr w:rsidR="00CD2E12" w:rsidRPr="003254F8">
        <w:trPr>
          <w:trHeight w:val="976"/>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1"/>
              <w:rPr>
                <w:rFonts w:ascii="Arial" w:hAnsi="Arial" w:cs="Arial"/>
                <w:sz w:val="20"/>
                <w:szCs w:val="20"/>
              </w:rPr>
            </w:pPr>
            <w:r w:rsidRPr="003254F8">
              <w:rPr>
                <w:rFonts w:ascii="Arial" w:eastAsia="Times New Roman" w:hAnsi="Arial" w:cs="Arial"/>
                <w:b/>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b/>
                <w:sz w:val="20"/>
                <w:szCs w:val="20"/>
              </w:rPr>
              <w:t xml:space="preserve">Reviewer’s comment </w:t>
            </w:r>
          </w:p>
          <w:tbl>
            <w:tblPr>
              <w:tblStyle w:val="TableGrid"/>
              <w:tblW w:w="8578" w:type="dxa"/>
              <w:tblInd w:w="0" w:type="dxa"/>
              <w:tblCellMar>
                <w:top w:w="6" w:type="dxa"/>
              </w:tblCellMar>
              <w:tblLook w:val="04A0" w:firstRow="1" w:lastRow="0" w:firstColumn="1" w:lastColumn="0" w:noHBand="0" w:noVBand="1"/>
            </w:tblPr>
            <w:tblGrid>
              <w:gridCol w:w="679"/>
              <w:gridCol w:w="7899"/>
            </w:tblGrid>
            <w:tr w:rsidR="00CD2E12" w:rsidRPr="003254F8">
              <w:trPr>
                <w:trHeight w:val="232"/>
              </w:trPr>
              <w:tc>
                <w:tcPr>
                  <w:tcW w:w="8578" w:type="dxa"/>
                  <w:gridSpan w:val="2"/>
                  <w:tcBorders>
                    <w:top w:val="nil"/>
                    <w:left w:val="nil"/>
                    <w:bottom w:val="nil"/>
                    <w:right w:val="nil"/>
                  </w:tcBorders>
                  <w:shd w:val="clear" w:color="auto" w:fill="FFFF00"/>
                </w:tcPr>
                <w:p w:rsidR="00CD2E12" w:rsidRPr="003254F8" w:rsidRDefault="0092090F">
                  <w:pPr>
                    <w:jc w:val="both"/>
                    <w:rPr>
                      <w:rFonts w:ascii="Arial" w:hAnsi="Arial" w:cs="Arial"/>
                      <w:sz w:val="20"/>
                      <w:szCs w:val="20"/>
                    </w:rPr>
                  </w:pPr>
                  <w:r w:rsidRPr="003254F8">
                    <w:rPr>
                      <w:rFonts w:ascii="Arial" w:eastAsia="Times New Roman" w:hAnsi="Arial" w:cs="Arial"/>
                      <w:b/>
                      <w:sz w:val="20"/>
                      <w:szCs w:val="20"/>
                    </w:rPr>
                    <w:t xml:space="preserve">Artificial Intelligence (AI) generated or assisted review comments are strictly prohibited during peer </w:t>
                  </w:r>
                </w:p>
              </w:tc>
            </w:tr>
            <w:tr w:rsidR="00CD2E12" w:rsidRPr="003254F8">
              <w:trPr>
                <w:trHeight w:val="228"/>
              </w:trPr>
              <w:tc>
                <w:tcPr>
                  <w:tcW w:w="617" w:type="dxa"/>
                  <w:tcBorders>
                    <w:top w:val="nil"/>
                    <w:left w:val="nil"/>
                    <w:bottom w:val="nil"/>
                    <w:right w:val="nil"/>
                  </w:tcBorders>
                  <w:shd w:val="clear" w:color="auto" w:fill="FFFF00"/>
                </w:tcPr>
                <w:p w:rsidR="00CD2E12" w:rsidRPr="003254F8" w:rsidRDefault="0092090F">
                  <w:pPr>
                    <w:jc w:val="both"/>
                    <w:rPr>
                      <w:rFonts w:ascii="Arial" w:hAnsi="Arial" w:cs="Arial"/>
                      <w:sz w:val="20"/>
                      <w:szCs w:val="20"/>
                    </w:rPr>
                  </w:pPr>
                  <w:r w:rsidRPr="003254F8">
                    <w:rPr>
                      <w:rFonts w:ascii="Arial" w:eastAsia="Times New Roman" w:hAnsi="Arial" w:cs="Arial"/>
                      <w:b/>
                      <w:sz w:val="20"/>
                      <w:szCs w:val="20"/>
                    </w:rPr>
                    <w:t>review.</w:t>
                  </w:r>
                </w:p>
              </w:tc>
              <w:tc>
                <w:tcPr>
                  <w:tcW w:w="7961" w:type="dxa"/>
                  <w:tcBorders>
                    <w:top w:val="nil"/>
                    <w:left w:val="nil"/>
                    <w:bottom w:val="nil"/>
                    <w:right w:val="nil"/>
                  </w:tcBorders>
                </w:tcPr>
                <w:p w:rsidR="00CD2E12" w:rsidRPr="003254F8" w:rsidRDefault="0092090F">
                  <w:pPr>
                    <w:rPr>
                      <w:rFonts w:ascii="Arial" w:hAnsi="Arial" w:cs="Arial"/>
                      <w:sz w:val="20"/>
                      <w:szCs w:val="20"/>
                    </w:rPr>
                  </w:pPr>
                  <w:r w:rsidRPr="003254F8">
                    <w:rPr>
                      <w:rFonts w:ascii="Arial" w:eastAsia="Times New Roman" w:hAnsi="Arial" w:cs="Arial"/>
                      <w:b/>
                      <w:sz w:val="20"/>
                      <w:szCs w:val="20"/>
                    </w:rPr>
                    <w:t xml:space="preserve"> </w:t>
                  </w:r>
                </w:p>
              </w:tc>
            </w:tr>
          </w:tbl>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spacing w:after="161" w:line="253" w:lineRule="auto"/>
              <w:rPr>
                <w:rFonts w:ascii="Arial" w:hAnsi="Arial" w:cs="Arial"/>
                <w:sz w:val="20"/>
                <w:szCs w:val="20"/>
              </w:rPr>
            </w:pPr>
            <w:r w:rsidRPr="003254F8">
              <w:rPr>
                <w:rFonts w:ascii="Arial" w:eastAsia="Times New Roman" w:hAnsi="Arial" w:cs="Arial"/>
                <w:b/>
                <w:sz w:val="20"/>
                <w:szCs w:val="20"/>
              </w:rPr>
              <w:t>Author’s Feedback</w:t>
            </w:r>
            <w:r w:rsidRPr="003254F8">
              <w:rPr>
                <w:rFonts w:ascii="Arial" w:eastAsia="Times New Roman" w:hAnsi="Arial" w:cs="Arial"/>
                <w:sz w:val="20"/>
                <w:szCs w:val="20"/>
              </w:rPr>
              <w:t xml:space="preserve"> (It is mandatory that authors should write his/her feedback here) </w:t>
            </w:r>
          </w:p>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trPr>
          <w:trHeight w:val="1620"/>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spacing w:after="3" w:line="238" w:lineRule="auto"/>
              <w:ind w:left="361"/>
              <w:rPr>
                <w:rFonts w:ascii="Arial" w:hAnsi="Arial" w:cs="Arial"/>
                <w:sz w:val="20"/>
                <w:szCs w:val="20"/>
              </w:rPr>
            </w:pPr>
            <w:r w:rsidRPr="003254F8">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CD2E12" w:rsidRPr="003254F8" w:rsidRDefault="0092090F">
            <w:pPr>
              <w:ind w:left="361"/>
              <w:rPr>
                <w:rFonts w:ascii="Arial" w:hAnsi="Arial" w:cs="Arial"/>
                <w:sz w:val="20"/>
                <w:szCs w:val="20"/>
              </w:rPr>
            </w:pPr>
            <w:r w:rsidRPr="003254F8">
              <w:rPr>
                <w:rFonts w:ascii="Arial" w:eastAsia="Times New Roman" w:hAnsi="Arial" w:cs="Arial"/>
                <w:b/>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This manuscript provides a highly valuable contribution to the discourse on teacher professional development (TPD), especially through a practice-based lens. By investigating how professional sharing activities foster reflective practice, pedagogical innovation, and professional identity in teachers, the study addresses a timely and relevant issue in global education. The research is grounded in a concrete context (Hong Kong) but has wide relevance for educational systems aiming to strengthen collaborative learning cultures. Its implications are applicable to policymakers, school leaders, and educational researchers seeking sustainable models for TPD grounded in authentic teaching practice.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rsidTr="003254F8">
        <w:trPr>
          <w:trHeight w:val="540"/>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361"/>
              <w:rPr>
                <w:rFonts w:ascii="Arial" w:hAnsi="Arial" w:cs="Arial"/>
                <w:sz w:val="20"/>
                <w:szCs w:val="20"/>
              </w:rPr>
            </w:pPr>
            <w:r w:rsidRPr="003254F8">
              <w:rPr>
                <w:rFonts w:ascii="Arial" w:eastAsia="Times New Roman" w:hAnsi="Arial" w:cs="Arial"/>
                <w:b/>
                <w:sz w:val="20"/>
                <w:szCs w:val="20"/>
              </w:rPr>
              <w:t xml:space="preserve">Is the title of the article suitable? </w:t>
            </w:r>
          </w:p>
          <w:p w:rsidR="00CD2E12" w:rsidRPr="003254F8" w:rsidRDefault="0092090F">
            <w:pPr>
              <w:ind w:left="361"/>
              <w:rPr>
                <w:rFonts w:ascii="Arial" w:hAnsi="Arial" w:cs="Arial"/>
                <w:sz w:val="20"/>
                <w:szCs w:val="20"/>
              </w:rPr>
            </w:pPr>
            <w:r w:rsidRPr="003254F8">
              <w:rPr>
                <w:rFonts w:ascii="Arial" w:eastAsia="Times New Roman" w:hAnsi="Arial" w:cs="Arial"/>
                <w:b/>
                <w:sz w:val="20"/>
                <w:szCs w:val="20"/>
              </w:rPr>
              <w:t xml:space="preserve">(If not please suggest an alternative title) </w:t>
            </w:r>
          </w:p>
          <w:p w:rsidR="00CD2E12" w:rsidRPr="003254F8" w:rsidRDefault="0092090F">
            <w:pPr>
              <w:ind w:left="1"/>
              <w:rPr>
                <w:rFonts w:ascii="Arial" w:hAnsi="Arial" w:cs="Arial"/>
                <w:sz w:val="20"/>
                <w:szCs w:val="20"/>
              </w:rPr>
            </w:pPr>
            <w:r w:rsidRPr="003254F8">
              <w:rPr>
                <w:rFonts w:ascii="Arial" w:eastAsia="Times New Roman" w:hAnsi="Arial" w:cs="Arial"/>
                <w:b/>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360"/>
              <w:rPr>
                <w:rFonts w:ascii="Arial" w:hAnsi="Arial" w:cs="Arial"/>
                <w:sz w:val="20"/>
                <w:szCs w:val="20"/>
              </w:rPr>
            </w:pPr>
            <w:r w:rsidRPr="003254F8">
              <w:rPr>
                <w:rFonts w:ascii="Arial" w:eastAsia="Times New Roman" w:hAnsi="Arial" w:cs="Arial"/>
                <w:sz w:val="20"/>
                <w:szCs w:val="20"/>
              </w:rPr>
              <w:t xml:space="preserve">Yes. The title clearly communicates the subject matter and approach of the study. No changes are necessary.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trPr>
          <w:trHeight w:val="1272"/>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spacing w:line="238" w:lineRule="auto"/>
              <w:ind w:left="361"/>
              <w:rPr>
                <w:rFonts w:ascii="Arial" w:hAnsi="Arial" w:cs="Arial"/>
                <w:sz w:val="20"/>
                <w:szCs w:val="20"/>
              </w:rPr>
            </w:pPr>
            <w:r w:rsidRPr="003254F8">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CD2E12" w:rsidRPr="003254F8" w:rsidRDefault="0092090F">
            <w:pPr>
              <w:ind w:left="1"/>
              <w:rPr>
                <w:rFonts w:ascii="Arial" w:hAnsi="Arial" w:cs="Arial"/>
                <w:sz w:val="20"/>
                <w:szCs w:val="20"/>
              </w:rPr>
            </w:pPr>
            <w:r w:rsidRPr="003254F8">
              <w:rPr>
                <w:rFonts w:ascii="Arial" w:eastAsia="Times New Roman" w:hAnsi="Arial" w:cs="Arial"/>
                <w:b/>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360"/>
              <w:rPr>
                <w:rFonts w:ascii="Arial" w:hAnsi="Arial" w:cs="Arial"/>
                <w:sz w:val="20"/>
                <w:szCs w:val="20"/>
              </w:rPr>
            </w:pPr>
            <w:r w:rsidRPr="003254F8">
              <w:rPr>
                <w:rFonts w:ascii="Arial" w:eastAsia="Times New Roman" w:hAnsi="Arial" w:cs="Arial"/>
                <w:sz w:val="20"/>
                <w:szCs w:val="20"/>
              </w:rPr>
              <w:t xml:space="preserve">Mostly yes. The abstract presents a strong overview of the study, its methodology, findings, and recommendations. However, it would be even more comprehensive if it briefly listed the types of sharing activities or examples (e.g., academic conferences, workshops) and clarified the qualitative nature of the data analysis.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trPr>
          <w:trHeight w:val="932"/>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361"/>
              <w:rPr>
                <w:rFonts w:ascii="Arial" w:hAnsi="Arial" w:cs="Arial"/>
                <w:sz w:val="20"/>
                <w:szCs w:val="20"/>
              </w:rPr>
            </w:pPr>
            <w:r w:rsidRPr="003254F8">
              <w:rPr>
                <w:rFonts w:ascii="Arial" w:eastAsia="Times New Roman" w:hAnsi="Arial" w:cs="Arial"/>
                <w:b/>
                <w:sz w:val="20"/>
                <w:szCs w:val="20"/>
              </w:rPr>
              <w:t>Is the manuscript scientifically, correct? Please write here.</w:t>
            </w:r>
            <w:r w:rsidRPr="003254F8">
              <w:rPr>
                <w:rFonts w:ascii="Arial" w:eastAsia="Arial" w:hAnsi="Arial" w:cs="Arial"/>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Yes. The manuscript is methodologically sound, theoretically informed, and coherently structured. The arguments are logically developed, and the use of teacher narratives strengthens the practical significance of the findings. Despite its qualitative and practice-based nature, the study maintains scientific rigor through systematic reflection and triangulation of sources.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trPr>
          <w:trHeight w:val="712"/>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361"/>
              <w:rPr>
                <w:rFonts w:ascii="Arial" w:hAnsi="Arial" w:cs="Arial"/>
                <w:sz w:val="20"/>
                <w:szCs w:val="20"/>
              </w:rPr>
            </w:pPr>
            <w:r w:rsidRPr="003254F8">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Yes. The references are both recent and highly relevant (mostly from 2021–2024). The author may consider adding comparative references related to teacher learning communities in other East Asian or European contexts to broaden the comparative potential.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trPr>
          <w:trHeight w:val="701"/>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spacing w:after="4" w:line="236" w:lineRule="auto"/>
              <w:ind w:left="361" w:right="20"/>
              <w:rPr>
                <w:rFonts w:ascii="Arial" w:hAnsi="Arial" w:cs="Arial"/>
                <w:sz w:val="20"/>
                <w:szCs w:val="20"/>
              </w:rPr>
            </w:pPr>
            <w:r w:rsidRPr="003254F8">
              <w:rPr>
                <w:rFonts w:ascii="Arial" w:eastAsia="Times New Roman" w:hAnsi="Arial" w:cs="Arial"/>
                <w:b/>
                <w:sz w:val="20"/>
                <w:szCs w:val="20"/>
              </w:rPr>
              <w:t xml:space="preserve">Is the language/English quality of the article suitable for scholarly communications? </w:t>
            </w:r>
          </w:p>
          <w:p w:rsidR="00CD2E12" w:rsidRPr="003254F8" w:rsidRDefault="0092090F">
            <w:pPr>
              <w:ind w:left="1"/>
              <w:rPr>
                <w:rFonts w:ascii="Arial" w:hAnsi="Arial" w:cs="Arial"/>
                <w:sz w:val="20"/>
                <w:szCs w:val="20"/>
              </w:rPr>
            </w:pPr>
            <w:r w:rsidRPr="003254F8">
              <w:rPr>
                <w:rFonts w:ascii="Arial" w:eastAsia="Times New Roman" w:hAnsi="Arial" w:cs="Arial"/>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Yes. The English is clear, academic, and stylistically consistent throughout the manuscript. Minor edits may improve clarity or reduce sentence length in some sections, but overall it meets scholarly standards.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r w:rsidR="00CD2E12" w:rsidRPr="003254F8">
        <w:trPr>
          <w:trHeight w:val="1188"/>
        </w:trPr>
        <w:tc>
          <w:tcPr>
            <w:tcW w:w="5353" w:type="dxa"/>
            <w:tcBorders>
              <w:top w:val="single" w:sz="3" w:space="0" w:color="000000"/>
              <w:left w:val="single" w:sz="3" w:space="0" w:color="000000"/>
              <w:bottom w:val="single" w:sz="3" w:space="0" w:color="000000"/>
              <w:right w:val="single" w:sz="3" w:space="0" w:color="000000"/>
            </w:tcBorders>
          </w:tcPr>
          <w:p w:rsidR="00CD2E12" w:rsidRPr="003254F8" w:rsidRDefault="0092090F">
            <w:pPr>
              <w:ind w:left="1"/>
              <w:rPr>
                <w:rFonts w:ascii="Arial" w:hAnsi="Arial" w:cs="Arial"/>
                <w:sz w:val="20"/>
                <w:szCs w:val="20"/>
              </w:rPr>
            </w:pPr>
            <w:r w:rsidRPr="003254F8">
              <w:rPr>
                <w:rFonts w:ascii="Arial" w:eastAsia="Times New Roman" w:hAnsi="Arial" w:cs="Arial"/>
                <w:b/>
                <w:sz w:val="20"/>
                <w:szCs w:val="20"/>
                <w:u w:val="single" w:color="000000"/>
              </w:rPr>
              <w:t>Optional/General</w:t>
            </w:r>
            <w:r w:rsidRPr="003254F8">
              <w:rPr>
                <w:rFonts w:ascii="Arial" w:eastAsia="Times New Roman" w:hAnsi="Arial" w:cs="Arial"/>
                <w:b/>
                <w:sz w:val="20"/>
                <w:szCs w:val="20"/>
              </w:rPr>
              <w:t xml:space="preserve"> </w:t>
            </w:r>
            <w:r w:rsidRPr="003254F8">
              <w:rPr>
                <w:rFonts w:ascii="Arial" w:eastAsia="Times New Roman" w:hAnsi="Arial" w:cs="Arial"/>
                <w:sz w:val="20"/>
                <w:szCs w:val="20"/>
              </w:rPr>
              <w:t xml:space="preserve">comments </w:t>
            </w:r>
          </w:p>
          <w:p w:rsidR="00CD2E12" w:rsidRPr="003254F8" w:rsidRDefault="0092090F">
            <w:pPr>
              <w:ind w:left="1"/>
              <w:rPr>
                <w:rFonts w:ascii="Arial" w:hAnsi="Arial" w:cs="Arial"/>
                <w:sz w:val="20"/>
                <w:szCs w:val="20"/>
              </w:rPr>
            </w:pPr>
            <w:r w:rsidRPr="003254F8">
              <w:rPr>
                <w:rFonts w:ascii="Arial" w:eastAsia="Times New Roman" w:hAnsi="Arial" w:cs="Arial"/>
                <w:sz w:val="20"/>
                <w:szCs w:val="20"/>
              </w:rPr>
              <w:t xml:space="preserve"> </w:t>
            </w:r>
          </w:p>
        </w:tc>
        <w:tc>
          <w:tcPr>
            <w:tcW w:w="9357"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This is a well-organized, thoughtful article that merges theory and practice effectively. The integration of teacher voices through reflective narratives offers unique insight into how professional sharing transforms pedagogical practice and identity. The manuscript is of interest to an international readership concerned with authentic, reflective teacher development. A few additions in the abstract and slightly expanded contextual comparisons would enhance its impact. </w:t>
            </w:r>
          </w:p>
        </w:tc>
        <w:tc>
          <w:tcPr>
            <w:tcW w:w="6446" w:type="dxa"/>
            <w:tcBorders>
              <w:top w:val="single" w:sz="3" w:space="0" w:color="000000"/>
              <w:left w:val="single" w:sz="3" w:space="0" w:color="000000"/>
              <w:bottom w:val="single" w:sz="3" w:space="0" w:color="000000"/>
              <w:right w:val="single" w:sz="3" w:space="0" w:color="000000"/>
            </w:tcBorders>
          </w:tcPr>
          <w:p w:rsidR="00CD2E12" w:rsidRPr="003254F8" w:rsidRDefault="0092090F">
            <w:pPr>
              <w:rPr>
                <w:rFonts w:ascii="Arial" w:hAnsi="Arial" w:cs="Arial"/>
                <w:sz w:val="20"/>
                <w:szCs w:val="20"/>
              </w:rPr>
            </w:pPr>
            <w:r w:rsidRPr="003254F8">
              <w:rPr>
                <w:rFonts w:ascii="Arial" w:eastAsia="Times New Roman" w:hAnsi="Arial" w:cs="Arial"/>
                <w:sz w:val="20"/>
                <w:szCs w:val="20"/>
              </w:rPr>
              <w:t xml:space="preserve"> </w:t>
            </w:r>
          </w:p>
        </w:tc>
      </w:tr>
    </w:tbl>
    <w:p w:rsidR="00CD2E12" w:rsidRPr="003254F8" w:rsidRDefault="0092090F">
      <w:pPr>
        <w:spacing w:after="0"/>
        <w:rPr>
          <w:rFonts w:ascii="Arial" w:eastAsia="Times New Roman" w:hAnsi="Arial" w:cs="Arial"/>
          <w:b/>
          <w:sz w:val="20"/>
          <w:szCs w:val="20"/>
        </w:rPr>
      </w:pPr>
      <w:r w:rsidRPr="003254F8">
        <w:rPr>
          <w:rFonts w:ascii="Arial" w:eastAsia="Times New Roman" w:hAnsi="Arial" w:cs="Arial"/>
          <w:b/>
          <w:sz w:val="20"/>
          <w:szCs w:val="20"/>
        </w:rPr>
        <w:t xml:space="preserve"> </w:t>
      </w:r>
    </w:p>
    <w:p w:rsidR="003254F8" w:rsidRDefault="003254F8">
      <w:pPr>
        <w:spacing w:after="0"/>
        <w:rPr>
          <w:rFonts w:ascii="Arial" w:hAnsi="Arial" w:cs="Arial"/>
          <w:sz w:val="20"/>
          <w:szCs w:val="20"/>
        </w:rPr>
      </w:pPr>
    </w:p>
    <w:p w:rsidR="003254F8" w:rsidRPr="003254F8" w:rsidRDefault="003254F8">
      <w:pPr>
        <w:spacing w:after="0"/>
        <w:rPr>
          <w:rFonts w:ascii="Arial" w:hAnsi="Arial" w:cs="Arial"/>
          <w:sz w:val="20"/>
          <w:szCs w:val="20"/>
        </w:rPr>
      </w:pPr>
    </w:p>
    <w:p w:rsidR="003254F8" w:rsidRPr="003254F8" w:rsidRDefault="003254F8">
      <w:pPr>
        <w:spacing w:after="0"/>
        <w:rPr>
          <w:rFonts w:ascii="Arial" w:hAnsi="Arial" w:cs="Arial"/>
          <w:sz w:val="20"/>
          <w:szCs w:val="20"/>
        </w:rPr>
      </w:pPr>
    </w:p>
    <w:p w:rsidR="003254F8" w:rsidRPr="003254F8" w:rsidRDefault="003254F8">
      <w:pPr>
        <w:spacing w:after="0"/>
        <w:rPr>
          <w:rFonts w:ascii="Arial" w:hAnsi="Arial" w:cs="Arial"/>
          <w:sz w:val="20"/>
          <w:szCs w:val="20"/>
        </w:rPr>
      </w:pPr>
    </w:p>
    <w:p w:rsidR="00095303" w:rsidRPr="003254F8" w:rsidRDefault="0092090F" w:rsidP="00095303">
      <w:pPr>
        <w:spacing w:line="256" w:lineRule="auto"/>
        <w:rPr>
          <w:rFonts w:ascii="Arial" w:hAnsi="Arial" w:cs="Arial"/>
          <w:color w:val="auto"/>
          <w:kern w:val="2"/>
          <w:sz w:val="20"/>
          <w:szCs w:val="20"/>
          <w:lang w:val="en-IN"/>
          <w14:ligatures w14:val="standardContextual"/>
        </w:rPr>
      </w:pPr>
      <w:r w:rsidRPr="003254F8">
        <w:rPr>
          <w:rFonts w:ascii="Arial" w:eastAsia="Times New Roman" w:hAnsi="Arial" w:cs="Arial"/>
          <w:b/>
          <w:sz w:val="20"/>
          <w:szCs w:val="20"/>
        </w:rPr>
        <w:t xml:space="preserve"> </w:t>
      </w:r>
    </w:p>
    <w:tbl>
      <w:tblPr>
        <w:tblW w:w="6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868"/>
        <w:gridCol w:w="7732"/>
        <w:gridCol w:w="8009"/>
      </w:tblGrid>
      <w:tr w:rsidR="00FA6822" w:rsidRPr="003254F8" w:rsidTr="003254F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A6822" w:rsidRPr="003254F8" w:rsidRDefault="00FA6822" w:rsidP="00FA6822">
            <w:pPr>
              <w:spacing w:after="0" w:line="276" w:lineRule="auto"/>
              <w:rPr>
                <w:rFonts w:ascii="Arial" w:eastAsia="Arial Unicode MS" w:hAnsi="Arial" w:cs="Arial"/>
                <w:b/>
                <w:color w:val="auto"/>
                <w:sz w:val="20"/>
                <w:szCs w:val="20"/>
                <w:u w:val="single"/>
                <w:lang w:val="en-GB"/>
              </w:rPr>
            </w:pPr>
            <w:bookmarkStart w:id="0" w:name="_Hlk156057704"/>
            <w:bookmarkStart w:id="1" w:name="_Hlk156057883"/>
            <w:r w:rsidRPr="003254F8">
              <w:rPr>
                <w:rFonts w:ascii="Arial" w:eastAsia="Arial Unicode MS" w:hAnsi="Arial" w:cs="Arial"/>
                <w:b/>
                <w:color w:val="auto"/>
                <w:sz w:val="20"/>
                <w:szCs w:val="20"/>
                <w:highlight w:val="yellow"/>
                <w:u w:val="single"/>
                <w:lang w:val="en-GB"/>
              </w:rPr>
              <w:lastRenderedPageBreak/>
              <w:t>PART  2:</w:t>
            </w:r>
            <w:r w:rsidRPr="003254F8">
              <w:rPr>
                <w:rFonts w:ascii="Arial" w:eastAsia="Arial Unicode MS" w:hAnsi="Arial" w:cs="Arial"/>
                <w:b/>
                <w:color w:val="auto"/>
                <w:sz w:val="20"/>
                <w:szCs w:val="20"/>
                <w:u w:val="single"/>
                <w:lang w:val="en-GB"/>
              </w:rPr>
              <w:t xml:space="preserve"> </w:t>
            </w:r>
          </w:p>
          <w:p w:rsidR="00FA6822" w:rsidRPr="003254F8" w:rsidRDefault="00FA6822" w:rsidP="00FA6822">
            <w:pPr>
              <w:spacing w:after="0" w:line="276" w:lineRule="auto"/>
              <w:rPr>
                <w:rFonts w:ascii="Arial" w:eastAsia="Arial Unicode MS" w:hAnsi="Arial" w:cs="Arial"/>
                <w:b/>
                <w:color w:val="auto"/>
                <w:sz w:val="20"/>
                <w:szCs w:val="20"/>
                <w:u w:val="single"/>
                <w:lang w:val="en-GB"/>
              </w:rPr>
            </w:pPr>
          </w:p>
        </w:tc>
      </w:tr>
      <w:tr w:rsidR="00FA6822" w:rsidRPr="003254F8" w:rsidTr="003254F8">
        <w:tc>
          <w:tcPr>
            <w:tcW w:w="118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A6822" w:rsidRPr="003254F8" w:rsidRDefault="00FA6822" w:rsidP="00FA6822">
            <w:pPr>
              <w:spacing w:after="0" w:line="276" w:lineRule="auto"/>
              <w:rPr>
                <w:rFonts w:ascii="Arial" w:eastAsia="Arial Unicode MS" w:hAnsi="Arial" w:cs="Arial"/>
                <w:color w:val="auto"/>
                <w:sz w:val="20"/>
                <w:szCs w:val="20"/>
                <w:lang w:val="en-GB"/>
              </w:rPr>
            </w:pPr>
          </w:p>
        </w:tc>
        <w:tc>
          <w:tcPr>
            <w:tcW w:w="187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A6822" w:rsidRPr="003254F8" w:rsidRDefault="00FA6822" w:rsidP="00FA6822">
            <w:pPr>
              <w:keepNext/>
              <w:spacing w:after="0" w:line="276" w:lineRule="auto"/>
              <w:outlineLvl w:val="1"/>
              <w:rPr>
                <w:rFonts w:ascii="Arial" w:eastAsia="MS Mincho" w:hAnsi="Arial" w:cs="Arial"/>
                <w:b/>
                <w:bCs/>
                <w:color w:val="auto"/>
                <w:sz w:val="20"/>
                <w:szCs w:val="20"/>
                <w:lang w:val="en-GB"/>
              </w:rPr>
            </w:pPr>
            <w:r w:rsidRPr="003254F8">
              <w:rPr>
                <w:rFonts w:ascii="Arial" w:eastAsia="MS Mincho" w:hAnsi="Arial" w:cs="Arial"/>
                <w:b/>
                <w:bCs/>
                <w:color w:val="auto"/>
                <w:sz w:val="20"/>
                <w:szCs w:val="20"/>
                <w:lang w:val="en-GB"/>
              </w:rPr>
              <w:t>Reviewer’s comment</w:t>
            </w:r>
          </w:p>
        </w:tc>
        <w:tc>
          <w:tcPr>
            <w:tcW w:w="1943" w:type="pct"/>
            <w:tcBorders>
              <w:top w:val="single" w:sz="4" w:space="0" w:color="auto"/>
              <w:left w:val="single" w:sz="4" w:space="0" w:color="auto"/>
              <w:bottom w:val="single" w:sz="4" w:space="0" w:color="auto"/>
              <w:right w:val="single" w:sz="4" w:space="0" w:color="auto"/>
            </w:tcBorders>
            <w:shd w:val="clear" w:color="auto" w:fill="auto"/>
            <w:hideMark/>
          </w:tcPr>
          <w:p w:rsidR="00FA6822" w:rsidRPr="003254F8" w:rsidRDefault="00FA6822" w:rsidP="00FA6822">
            <w:pPr>
              <w:keepNext/>
              <w:spacing w:after="0" w:line="276" w:lineRule="auto"/>
              <w:outlineLvl w:val="1"/>
              <w:rPr>
                <w:rFonts w:ascii="Arial" w:eastAsia="MS Mincho" w:hAnsi="Arial" w:cs="Arial"/>
                <w:bCs/>
                <w:color w:val="auto"/>
                <w:sz w:val="20"/>
                <w:szCs w:val="20"/>
                <w:lang w:val="en-GB"/>
              </w:rPr>
            </w:pPr>
            <w:r w:rsidRPr="003254F8">
              <w:rPr>
                <w:rFonts w:ascii="Arial" w:eastAsia="MS Mincho" w:hAnsi="Arial" w:cs="Arial"/>
                <w:b/>
                <w:bCs/>
                <w:color w:val="auto"/>
                <w:sz w:val="20"/>
                <w:szCs w:val="20"/>
                <w:lang w:val="en-GB"/>
              </w:rPr>
              <w:t>Author’s comment</w:t>
            </w:r>
            <w:r w:rsidRPr="003254F8">
              <w:rPr>
                <w:rFonts w:ascii="Arial" w:eastAsia="MS Mincho" w:hAnsi="Arial" w:cs="Arial"/>
                <w:bCs/>
                <w:color w:val="auto"/>
                <w:sz w:val="20"/>
                <w:szCs w:val="20"/>
                <w:lang w:val="en-GB"/>
              </w:rPr>
              <w:t xml:space="preserve"> </w:t>
            </w:r>
            <w:r w:rsidRPr="003254F8">
              <w:rPr>
                <w:rFonts w:ascii="Arial" w:eastAsia="MS Mincho" w:hAnsi="Arial" w:cs="Arial"/>
                <w:bCs/>
                <w:i/>
                <w:color w:val="auto"/>
                <w:sz w:val="20"/>
                <w:szCs w:val="20"/>
                <w:lang w:val="en-GB"/>
              </w:rPr>
              <w:t>(if agreed with reviewer, correct the manuscript and highlight that part in the manuscript. It is mandatory that authors should write his/her feedback here)</w:t>
            </w:r>
          </w:p>
        </w:tc>
      </w:tr>
      <w:tr w:rsidR="00FA6822" w:rsidRPr="003254F8" w:rsidTr="003254F8">
        <w:trPr>
          <w:trHeight w:val="890"/>
        </w:trPr>
        <w:tc>
          <w:tcPr>
            <w:tcW w:w="118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A6822" w:rsidRPr="003254F8" w:rsidRDefault="00FA6822" w:rsidP="00FA6822">
            <w:pPr>
              <w:spacing w:after="0" w:line="276" w:lineRule="auto"/>
              <w:rPr>
                <w:rFonts w:ascii="Arial" w:eastAsia="Arial Unicode MS" w:hAnsi="Arial" w:cs="Arial"/>
                <w:b/>
                <w:color w:val="auto"/>
                <w:sz w:val="20"/>
                <w:szCs w:val="20"/>
                <w:lang w:val="en-GB"/>
              </w:rPr>
            </w:pPr>
            <w:r w:rsidRPr="003254F8">
              <w:rPr>
                <w:rFonts w:ascii="Arial" w:eastAsia="Arial Unicode MS" w:hAnsi="Arial" w:cs="Arial"/>
                <w:b/>
                <w:color w:val="auto"/>
                <w:sz w:val="20"/>
                <w:szCs w:val="20"/>
                <w:lang w:val="en-GB"/>
              </w:rPr>
              <w:t xml:space="preserve">Are there ethical issues in this manuscript? </w:t>
            </w:r>
          </w:p>
          <w:p w:rsidR="00FA6822" w:rsidRPr="003254F8" w:rsidRDefault="00FA6822" w:rsidP="00FA6822">
            <w:pPr>
              <w:spacing w:after="0" w:line="276" w:lineRule="auto"/>
              <w:rPr>
                <w:rFonts w:ascii="Arial" w:eastAsia="Arial Unicode MS" w:hAnsi="Arial" w:cs="Arial"/>
                <w:color w:val="auto"/>
                <w:sz w:val="20"/>
                <w:szCs w:val="20"/>
                <w:lang w:val="en-GB"/>
              </w:rPr>
            </w:pPr>
          </w:p>
        </w:tc>
        <w:tc>
          <w:tcPr>
            <w:tcW w:w="187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A6822" w:rsidRPr="003254F8" w:rsidRDefault="00FA6822" w:rsidP="00FA6822">
            <w:pPr>
              <w:spacing w:after="0" w:line="276" w:lineRule="auto"/>
              <w:rPr>
                <w:rFonts w:ascii="Arial" w:eastAsia="Arial Unicode MS" w:hAnsi="Arial" w:cs="Arial"/>
                <w:i/>
                <w:iCs/>
                <w:color w:val="auto"/>
                <w:sz w:val="20"/>
                <w:szCs w:val="20"/>
                <w:u w:val="single"/>
                <w:lang w:val="en-GB"/>
              </w:rPr>
            </w:pPr>
            <w:r w:rsidRPr="003254F8">
              <w:rPr>
                <w:rFonts w:ascii="Arial" w:eastAsia="Arial Unicode MS" w:hAnsi="Arial" w:cs="Arial"/>
                <w:i/>
                <w:iCs/>
                <w:color w:val="auto"/>
                <w:sz w:val="20"/>
                <w:szCs w:val="20"/>
                <w:u w:val="single"/>
                <w:lang w:val="en-GB"/>
              </w:rPr>
              <w:t xml:space="preserve">(If yes, </w:t>
            </w:r>
            <w:proofErr w:type="gramStart"/>
            <w:r w:rsidRPr="003254F8">
              <w:rPr>
                <w:rFonts w:ascii="Arial" w:eastAsia="Arial Unicode MS" w:hAnsi="Arial" w:cs="Arial"/>
                <w:i/>
                <w:iCs/>
                <w:color w:val="auto"/>
                <w:sz w:val="20"/>
                <w:szCs w:val="20"/>
                <w:u w:val="single"/>
                <w:lang w:val="en-GB"/>
              </w:rPr>
              <w:t>Kindly</w:t>
            </w:r>
            <w:proofErr w:type="gramEnd"/>
            <w:r w:rsidRPr="003254F8">
              <w:rPr>
                <w:rFonts w:ascii="Arial" w:eastAsia="Arial Unicode MS" w:hAnsi="Arial" w:cs="Arial"/>
                <w:i/>
                <w:iCs/>
                <w:color w:val="auto"/>
                <w:sz w:val="20"/>
                <w:szCs w:val="20"/>
                <w:u w:val="single"/>
                <w:lang w:val="en-GB"/>
              </w:rPr>
              <w:t xml:space="preserve"> please write down the ethical issues here in details)</w:t>
            </w:r>
          </w:p>
          <w:p w:rsidR="00FA6822" w:rsidRPr="003254F8" w:rsidRDefault="00FA6822" w:rsidP="00FA6822">
            <w:pPr>
              <w:spacing w:after="0" w:line="276" w:lineRule="auto"/>
              <w:rPr>
                <w:rFonts w:ascii="Arial" w:eastAsia="Arial Unicode MS" w:hAnsi="Arial" w:cs="Arial"/>
                <w:color w:val="auto"/>
                <w:sz w:val="20"/>
                <w:szCs w:val="20"/>
                <w:lang w:val="en-GB"/>
              </w:rPr>
            </w:pPr>
          </w:p>
          <w:p w:rsidR="00FA6822" w:rsidRPr="003254F8" w:rsidRDefault="00FA6822" w:rsidP="00FA6822">
            <w:pPr>
              <w:spacing w:after="0" w:line="276" w:lineRule="auto"/>
              <w:rPr>
                <w:rFonts w:ascii="Arial" w:eastAsia="Arial Unicode MS" w:hAnsi="Arial" w:cs="Arial"/>
                <w:color w:val="auto"/>
                <w:sz w:val="20"/>
                <w:szCs w:val="20"/>
                <w:lang w:val="en-GB"/>
              </w:rPr>
            </w:pP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rsidR="00FA6822" w:rsidRPr="003254F8" w:rsidRDefault="00FA6822" w:rsidP="00FA6822">
            <w:pPr>
              <w:spacing w:after="0" w:line="276" w:lineRule="auto"/>
              <w:rPr>
                <w:rFonts w:ascii="Arial" w:eastAsia="Arial Unicode MS" w:hAnsi="Arial" w:cs="Arial"/>
                <w:color w:val="auto"/>
                <w:sz w:val="20"/>
                <w:szCs w:val="20"/>
                <w:lang w:val="en-GB"/>
              </w:rPr>
            </w:pPr>
          </w:p>
          <w:p w:rsidR="00FA6822" w:rsidRPr="003254F8" w:rsidRDefault="00FA6822" w:rsidP="00FA6822">
            <w:pPr>
              <w:spacing w:after="0" w:line="276" w:lineRule="auto"/>
              <w:rPr>
                <w:rFonts w:ascii="Arial" w:eastAsia="Arial Unicode MS" w:hAnsi="Arial" w:cs="Arial"/>
                <w:color w:val="auto"/>
                <w:sz w:val="20"/>
                <w:szCs w:val="20"/>
                <w:lang w:val="en-GB"/>
              </w:rPr>
            </w:pPr>
          </w:p>
          <w:p w:rsidR="00FA6822" w:rsidRPr="003254F8" w:rsidRDefault="00FA6822" w:rsidP="00FA6822">
            <w:pPr>
              <w:spacing w:after="0" w:line="276" w:lineRule="auto"/>
              <w:rPr>
                <w:rFonts w:ascii="Arial" w:eastAsia="Arial Unicode MS" w:hAnsi="Arial" w:cs="Arial"/>
                <w:color w:val="auto"/>
                <w:sz w:val="20"/>
                <w:szCs w:val="20"/>
                <w:lang w:val="en-GB"/>
              </w:rPr>
            </w:pPr>
          </w:p>
        </w:tc>
      </w:tr>
      <w:bookmarkEnd w:id="1"/>
    </w:tbl>
    <w:p w:rsidR="00FA6822" w:rsidRPr="003254F8" w:rsidRDefault="00FA6822" w:rsidP="00FA6822">
      <w:pPr>
        <w:spacing w:after="0" w:line="240" w:lineRule="auto"/>
        <w:rPr>
          <w:rFonts w:ascii="Arial" w:eastAsia="Times New Roman" w:hAnsi="Arial" w:cs="Arial"/>
          <w:color w:val="auto"/>
          <w:sz w:val="20"/>
          <w:szCs w:val="20"/>
        </w:rPr>
      </w:pPr>
    </w:p>
    <w:p w:rsidR="003254F8" w:rsidRPr="003254F8" w:rsidRDefault="003254F8" w:rsidP="003254F8">
      <w:pPr>
        <w:pStyle w:val="Affiliation"/>
        <w:spacing w:after="0" w:line="240" w:lineRule="auto"/>
        <w:jc w:val="left"/>
        <w:rPr>
          <w:rFonts w:ascii="Arial" w:hAnsi="Arial" w:cs="Arial"/>
          <w:b/>
          <w:u w:val="single"/>
        </w:rPr>
      </w:pPr>
      <w:r w:rsidRPr="003254F8">
        <w:rPr>
          <w:rFonts w:ascii="Arial" w:hAnsi="Arial" w:cs="Arial"/>
          <w:b/>
          <w:u w:val="single"/>
        </w:rPr>
        <w:t>Reviewer details:</w:t>
      </w:r>
    </w:p>
    <w:p w:rsidR="003254F8" w:rsidRPr="003254F8" w:rsidRDefault="003254F8" w:rsidP="00FA6822">
      <w:pPr>
        <w:spacing w:after="0" w:line="240" w:lineRule="auto"/>
        <w:rPr>
          <w:rFonts w:ascii="Arial" w:eastAsia="Times New Roman" w:hAnsi="Arial" w:cs="Arial"/>
          <w:color w:val="auto"/>
          <w:sz w:val="20"/>
          <w:szCs w:val="20"/>
        </w:rPr>
      </w:pPr>
    </w:p>
    <w:p w:rsidR="003254F8" w:rsidRPr="003254F8" w:rsidRDefault="003254F8" w:rsidP="00FA6822">
      <w:pPr>
        <w:spacing w:after="0" w:line="240" w:lineRule="auto"/>
        <w:rPr>
          <w:rFonts w:ascii="Arial" w:eastAsia="Times New Roman" w:hAnsi="Arial" w:cs="Arial"/>
          <w:b/>
          <w:color w:val="auto"/>
          <w:sz w:val="20"/>
          <w:szCs w:val="20"/>
        </w:rPr>
      </w:pPr>
      <w:bookmarkStart w:id="2" w:name="_Hlk201141473"/>
      <w:r w:rsidRPr="003254F8">
        <w:rPr>
          <w:rFonts w:ascii="Arial" w:hAnsi="Arial" w:cs="Arial"/>
          <w:b/>
          <w:sz w:val="20"/>
          <w:szCs w:val="20"/>
        </w:rPr>
        <w:t xml:space="preserve">Marcos </w:t>
      </w:r>
      <w:proofErr w:type="spellStart"/>
      <w:r w:rsidRPr="003254F8">
        <w:rPr>
          <w:rFonts w:ascii="Arial" w:hAnsi="Arial" w:cs="Arial"/>
          <w:b/>
          <w:sz w:val="20"/>
          <w:szCs w:val="20"/>
        </w:rPr>
        <w:t>Rogerio</w:t>
      </w:r>
      <w:proofErr w:type="spellEnd"/>
      <w:r w:rsidRPr="003254F8">
        <w:rPr>
          <w:rFonts w:ascii="Arial" w:hAnsi="Arial" w:cs="Arial"/>
          <w:b/>
          <w:sz w:val="20"/>
          <w:szCs w:val="20"/>
        </w:rPr>
        <w:t xml:space="preserve"> Martins Costa</w:t>
      </w:r>
      <w:r w:rsidRPr="003254F8">
        <w:rPr>
          <w:rFonts w:ascii="Arial" w:hAnsi="Arial" w:cs="Arial"/>
          <w:b/>
          <w:sz w:val="20"/>
          <w:szCs w:val="20"/>
        </w:rPr>
        <w:t xml:space="preserve">, </w:t>
      </w:r>
      <w:proofErr w:type="spellStart"/>
      <w:r w:rsidRPr="003254F8">
        <w:rPr>
          <w:rFonts w:ascii="Arial" w:hAnsi="Arial" w:cs="Arial"/>
          <w:b/>
          <w:sz w:val="20"/>
          <w:szCs w:val="20"/>
        </w:rPr>
        <w:t>Universidade</w:t>
      </w:r>
      <w:proofErr w:type="spellEnd"/>
      <w:r w:rsidRPr="003254F8">
        <w:rPr>
          <w:rFonts w:ascii="Arial" w:hAnsi="Arial" w:cs="Arial"/>
          <w:b/>
          <w:sz w:val="20"/>
          <w:szCs w:val="20"/>
        </w:rPr>
        <w:t xml:space="preserve"> </w:t>
      </w:r>
      <w:proofErr w:type="spellStart"/>
      <w:r w:rsidRPr="003254F8">
        <w:rPr>
          <w:rFonts w:ascii="Arial" w:hAnsi="Arial" w:cs="Arial"/>
          <w:b/>
          <w:sz w:val="20"/>
          <w:szCs w:val="20"/>
        </w:rPr>
        <w:t>Estadual</w:t>
      </w:r>
      <w:proofErr w:type="spellEnd"/>
      <w:r w:rsidRPr="003254F8">
        <w:rPr>
          <w:rFonts w:ascii="Arial" w:hAnsi="Arial" w:cs="Arial"/>
          <w:b/>
          <w:sz w:val="20"/>
          <w:szCs w:val="20"/>
        </w:rPr>
        <w:t xml:space="preserve"> de </w:t>
      </w:r>
      <w:proofErr w:type="spellStart"/>
      <w:r w:rsidRPr="003254F8">
        <w:rPr>
          <w:rFonts w:ascii="Arial" w:hAnsi="Arial" w:cs="Arial"/>
          <w:b/>
          <w:sz w:val="20"/>
          <w:szCs w:val="20"/>
        </w:rPr>
        <w:t>Goiás</w:t>
      </w:r>
      <w:proofErr w:type="spellEnd"/>
      <w:r w:rsidRPr="003254F8">
        <w:rPr>
          <w:rFonts w:ascii="Arial" w:hAnsi="Arial" w:cs="Arial"/>
          <w:b/>
          <w:sz w:val="20"/>
          <w:szCs w:val="20"/>
        </w:rPr>
        <w:t xml:space="preserve">, </w:t>
      </w:r>
      <w:r w:rsidRPr="003254F8">
        <w:rPr>
          <w:rFonts w:ascii="Arial" w:hAnsi="Arial" w:cs="Arial"/>
          <w:b/>
          <w:sz w:val="20"/>
          <w:szCs w:val="20"/>
        </w:rPr>
        <w:t>Brazil</w:t>
      </w:r>
    </w:p>
    <w:bookmarkEnd w:id="0"/>
    <w:bookmarkEnd w:id="2"/>
    <w:p w:rsidR="00FA6822" w:rsidRPr="003254F8" w:rsidRDefault="00FA6822" w:rsidP="00FA6822">
      <w:pPr>
        <w:spacing w:after="0" w:line="240" w:lineRule="auto"/>
        <w:rPr>
          <w:rFonts w:ascii="Arial" w:eastAsia="Times New Roman" w:hAnsi="Arial" w:cs="Arial"/>
          <w:color w:val="auto"/>
          <w:sz w:val="20"/>
          <w:szCs w:val="20"/>
        </w:rPr>
      </w:pPr>
    </w:p>
    <w:p w:rsidR="00095303" w:rsidRPr="003254F8" w:rsidRDefault="00095303" w:rsidP="00095303">
      <w:pPr>
        <w:spacing w:line="256" w:lineRule="auto"/>
        <w:rPr>
          <w:rFonts w:ascii="Arial" w:hAnsi="Arial" w:cs="Arial"/>
          <w:color w:val="auto"/>
          <w:kern w:val="2"/>
          <w:sz w:val="20"/>
          <w:szCs w:val="20"/>
          <w:lang w:val="en-IN"/>
          <w14:ligatures w14:val="standardContextual"/>
        </w:rPr>
      </w:pPr>
    </w:p>
    <w:p w:rsidR="00095303" w:rsidRPr="003254F8" w:rsidRDefault="00095303" w:rsidP="00095303">
      <w:pPr>
        <w:spacing w:line="256" w:lineRule="auto"/>
        <w:rPr>
          <w:rFonts w:ascii="Arial" w:hAnsi="Arial" w:cs="Arial"/>
          <w:color w:val="auto"/>
          <w:kern w:val="2"/>
          <w:sz w:val="20"/>
          <w:szCs w:val="20"/>
          <w:lang w:val="en-IN"/>
          <w14:ligatures w14:val="standardContextual"/>
        </w:rPr>
      </w:pPr>
    </w:p>
    <w:p w:rsidR="00095303" w:rsidRPr="003254F8" w:rsidRDefault="00095303" w:rsidP="00095303">
      <w:pPr>
        <w:spacing w:line="256" w:lineRule="auto"/>
        <w:rPr>
          <w:rFonts w:ascii="Arial" w:hAnsi="Arial" w:cs="Arial"/>
          <w:color w:val="auto"/>
          <w:kern w:val="2"/>
          <w:sz w:val="20"/>
          <w:szCs w:val="20"/>
          <w:lang w:val="en-IN"/>
          <w14:ligatures w14:val="standardContextual"/>
        </w:rPr>
      </w:pPr>
    </w:p>
    <w:p w:rsidR="00095303" w:rsidRPr="003254F8" w:rsidRDefault="00095303" w:rsidP="00095303">
      <w:pPr>
        <w:spacing w:line="256" w:lineRule="auto"/>
        <w:rPr>
          <w:rFonts w:ascii="Arial" w:hAnsi="Arial" w:cs="Arial"/>
          <w:color w:val="auto"/>
          <w:kern w:val="2"/>
          <w:sz w:val="20"/>
          <w:szCs w:val="20"/>
          <w:lang w:val="en-IN"/>
          <w14:ligatures w14:val="standardContextual"/>
        </w:rPr>
      </w:pPr>
    </w:p>
    <w:p w:rsidR="00CD2E12" w:rsidRPr="003254F8" w:rsidRDefault="00CD2E12">
      <w:pPr>
        <w:spacing w:after="0"/>
        <w:rPr>
          <w:rFonts w:ascii="Arial" w:hAnsi="Arial" w:cs="Arial"/>
          <w:sz w:val="20"/>
          <w:szCs w:val="20"/>
        </w:rPr>
      </w:pPr>
    </w:p>
    <w:p w:rsidR="00CD2E12" w:rsidRPr="003254F8" w:rsidRDefault="0092090F">
      <w:pPr>
        <w:spacing w:after="0"/>
        <w:rPr>
          <w:rFonts w:ascii="Arial" w:hAnsi="Arial" w:cs="Arial"/>
          <w:sz w:val="20"/>
          <w:szCs w:val="20"/>
        </w:rPr>
      </w:pPr>
      <w:r w:rsidRPr="003254F8">
        <w:rPr>
          <w:rFonts w:ascii="Arial" w:eastAsia="Times New Roman" w:hAnsi="Arial" w:cs="Arial"/>
          <w:b/>
          <w:sz w:val="20"/>
          <w:szCs w:val="20"/>
        </w:rPr>
        <w:t xml:space="preserve"> </w:t>
      </w:r>
    </w:p>
    <w:p w:rsidR="00CD2E12" w:rsidRPr="003254F8" w:rsidRDefault="0092090F">
      <w:pPr>
        <w:spacing w:after="0"/>
        <w:rPr>
          <w:rFonts w:ascii="Arial" w:hAnsi="Arial" w:cs="Arial"/>
          <w:sz w:val="20"/>
          <w:szCs w:val="20"/>
        </w:rPr>
      </w:pPr>
      <w:r w:rsidRPr="003254F8">
        <w:rPr>
          <w:rFonts w:ascii="Arial" w:eastAsia="Times New Roman" w:hAnsi="Arial" w:cs="Arial"/>
          <w:b/>
          <w:sz w:val="20"/>
          <w:szCs w:val="20"/>
        </w:rPr>
        <w:t xml:space="preserve"> </w:t>
      </w:r>
      <w:bookmarkStart w:id="3" w:name="_GoBack"/>
      <w:bookmarkEnd w:id="3"/>
    </w:p>
    <w:sectPr w:rsidR="00CD2E12" w:rsidRPr="003254F8">
      <w:headerReference w:type="even" r:id="rId8"/>
      <w:headerReference w:type="default" r:id="rId9"/>
      <w:footerReference w:type="even" r:id="rId10"/>
      <w:footerReference w:type="default" r:id="rId11"/>
      <w:headerReference w:type="first" r:id="rId12"/>
      <w:footerReference w:type="first" r:id="rId13"/>
      <w:pgSz w:w="23812" w:h="16840" w:orient="landscape"/>
      <w:pgMar w:top="1837" w:right="7295" w:bottom="2185" w:left="1441" w:header="727"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DA6" w:rsidRDefault="00934DA6">
      <w:pPr>
        <w:spacing w:after="0" w:line="240" w:lineRule="auto"/>
      </w:pPr>
      <w:r>
        <w:separator/>
      </w:r>
    </w:p>
  </w:endnote>
  <w:endnote w:type="continuationSeparator" w:id="0">
    <w:p w:rsidR="00934DA6" w:rsidRDefault="0093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2" w:rsidRDefault="0092090F">
    <w:pPr>
      <w:tabs>
        <w:tab w:val="center" w:pos="4513"/>
        <w:tab w:val="center" w:pos="9030"/>
        <w:tab w:val="center" w:pos="10142"/>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2" w:rsidRDefault="0092090F">
    <w:pPr>
      <w:tabs>
        <w:tab w:val="center" w:pos="4513"/>
        <w:tab w:val="center" w:pos="9030"/>
        <w:tab w:val="center" w:pos="10142"/>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2" w:rsidRDefault="0092090F">
    <w:pPr>
      <w:tabs>
        <w:tab w:val="center" w:pos="4513"/>
        <w:tab w:val="center" w:pos="9030"/>
        <w:tab w:val="center" w:pos="10142"/>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DA6" w:rsidRDefault="00934DA6">
      <w:pPr>
        <w:spacing w:after="0" w:line="240" w:lineRule="auto"/>
      </w:pPr>
      <w:r>
        <w:separator/>
      </w:r>
    </w:p>
  </w:footnote>
  <w:footnote w:type="continuationSeparator" w:id="0">
    <w:p w:rsidR="00934DA6" w:rsidRDefault="0093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2" w:rsidRDefault="0092090F">
    <w:pPr>
      <w:spacing w:after="259"/>
      <w:ind w:left="5921"/>
      <w:jc w:val="center"/>
    </w:pPr>
    <w:r>
      <w:rPr>
        <w:rFonts w:ascii="Arial" w:eastAsia="Arial" w:hAnsi="Arial" w:cs="Arial"/>
        <w:b/>
        <w:color w:val="003399"/>
        <w:sz w:val="24"/>
      </w:rPr>
      <w:t xml:space="preserve"> </w:t>
    </w:r>
  </w:p>
  <w:p w:rsidR="00CD2E12" w:rsidRDefault="0092090F">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2" w:rsidRDefault="0092090F">
    <w:pPr>
      <w:spacing w:after="259"/>
      <w:ind w:left="5921"/>
      <w:jc w:val="center"/>
    </w:pPr>
    <w:r>
      <w:rPr>
        <w:rFonts w:ascii="Arial" w:eastAsia="Arial" w:hAnsi="Arial" w:cs="Arial"/>
        <w:b/>
        <w:color w:val="003399"/>
        <w:sz w:val="24"/>
      </w:rPr>
      <w:t xml:space="preserve"> </w:t>
    </w:r>
  </w:p>
  <w:p w:rsidR="00CD2E12" w:rsidRDefault="0092090F">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2" w:rsidRDefault="0092090F">
    <w:pPr>
      <w:spacing w:after="259"/>
      <w:ind w:left="5921"/>
      <w:jc w:val="center"/>
    </w:pPr>
    <w:r>
      <w:rPr>
        <w:rFonts w:ascii="Arial" w:eastAsia="Arial" w:hAnsi="Arial" w:cs="Arial"/>
        <w:b/>
        <w:color w:val="003399"/>
        <w:sz w:val="24"/>
      </w:rPr>
      <w:t xml:space="preserve"> </w:t>
    </w:r>
  </w:p>
  <w:p w:rsidR="00CD2E12" w:rsidRDefault="0092090F">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12"/>
    <w:rsid w:val="00095303"/>
    <w:rsid w:val="000A2090"/>
    <w:rsid w:val="001557EB"/>
    <w:rsid w:val="001F6F9A"/>
    <w:rsid w:val="003254F8"/>
    <w:rsid w:val="003C5621"/>
    <w:rsid w:val="0043049D"/>
    <w:rsid w:val="0086522C"/>
    <w:rsid w:val="0092090F"/>
    <w:rsid w:val="00934DA6"/>
    <w:rsid w:val="00CD2E12"/>
    <w:rsid w:val="00FA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7665"/>
  <w15:docId w15:val="{E32C5EF6-7266-4D3F-B4FA-DBD87A82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ffiliation">
    <w:name w:val="Affiliation"/>
    <w:basedOn w:val="Normal"/>
    <w:rsid w:val="003254F8"/>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1469">
      <w:bodyDiv w:val="1"/>
      <w:marLeft w:val="0"/>
      <w:marRight w:val="0"/>
      <w:marTop w:val="0"/>
      <w:marBottom w:val="0"/>
      <w:divBdr>
        <w:top w:val="none" w:sz="0" w:space="0" w:color="auto"/>
        <w:left w:val="none" w:sz="0" w:space="0" w:color="auto"/>
        <w:bottom w:val="none" w:sz="0" w:space="0" w:color="auto"/>
        <w:right w:val="none" w:sz="0" w:space="0" w:color="auto"/>
      </w:divBdr>
    </w:div>
    <w:div w:id="1649358379">
      <w:bodyDiv w:val="1"/>
      <w:marLeft w:val="0"/>
      <w:marRight w:val="0"/>
      <w:marTop w:val="0"/>
      <w:marBottom w:val="0"/>
      <w:divBdr>
        <w:top w:val="none" w:sz="0" w:space="0" w:color="auto"/>
        <w:left w:val="none" w:sz="0" w:space="0" w:color="auto"/>
        <w:bottom w:val="none" w:sz="0" w:space="0" w:color="auto"/>
        <w:right w:val="none" w:sz="0" w:space="0" w:color="auto"/>
      </w:divBdr>
    </w:div>
    <w:div w:id="1856572486">
      <w:bodyDiv w:val="1"/>
      <w:marLeft w:val="0"/>
      <w:marRight w:val="0"/>
      <w:marTop w:val="0"/>
      <w:marBottom w:val="0"/>
      <w:divBdr>
        <w:top w:val="none" w:sz="0" w:space="0" w:color="auto"/>
        <w:left w:val="none" w:sz="0" w:space="0" w:color="auto"/>
        <w:bottom w:val="none" w:sz="0" w:space="0" w:color="auto"/>
        <w:right w:val="none" w:sz="0" w:space="0" w:color="auto"/>
      </w:divBdr>
    </w:div>
    <w:div w:id="201183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ajess.com/index.php/AJES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1137</cp:lastModifiedBy>
  <cp:revision>9</cp:revision>
  <dcterms:created xsi:type="dcterms:W3CDTF">2025-06-16T06:27:00Z</dcterms:created>
  <dcterms:modified xsi:type="dcterms:W3CDTF">2025-06-18T06:47:00Z</dcterms:modified>
</cp:coreProperties>
</file>