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176F4" w14:textId="5D7C4946" w:rsidR="00754C9A" w:rsidRDefault="007D616E" w:rsidP="00441B6F">
      <w:pPr>
        <w:pStyle w:val="Titre"/>
        <w:spacing w:after="0"/>
        <w:jc w:val="both"/>
        <w:rPr>
          <w:rFonts w:ascii="Arial" w:hAnsi="Arial" w:cs="Arial"/>
        </w:rPr>
      </w:pPr>
      <w:r w:rsidRPr="007D616E">
        <w:rPr>
          <w:rFonts w:ascii="Arial" w:hAnsi="Arial" w:cs="Arial"/>
        </w:rPr>
        <w:t>Original Research Article</w:t>
      </w:r>
    </w:p>
    <w:p w14:paraId="4259C4F7" w14:textId="77777777" w:rsidR="007D616E" w:rsidRDefault="007D616E" w:rsidP="00441B6F">
      <w:pPr>
        <w:pStyle w:val="Titre"/>
        <w:spacing w:after="0"/>
        <w:jc w:val="both"/>
        <w:rPr>
          <w:rFonts w:ascii="Arial" w:hAnsi="Arial" w:cs="Arial"/>
        </w:rPr>
      </w:pPr>
    </w:p>
    <w:p w14:paraId="3D4D4C60" w14:textId="1A600588" w:rsidR="00163BC4" w:rsidRPr="00D91BE4" w:rsidRDefault="00E146C1" w:rsidP="00441B6F">
      <w:pPr>
        <w:pStyle w:val="Author"/>
        <w:spacing w:line="240" w:lineRule="auto"/>
        <w:rPr>
          <w:rFonts w:ascii="Arial" w:hAnsi="Arial" w:cs="Arial"/>
          <w:bCs/>
          <w:iCs/>
          <w:color w:val="FF0000"/>
          <w:kern w:val="28"/>
          <w:sz w:val="36"/>
        </w:rPr>
      </w:pPr>
      <w:r w:rsidRPr="00D91BE4">
        <w:rPr>
          <w:rFonts w:ascii="Arial" w:hAnsi="Arial" w:cs="Arial"/>
          <w:bCs/>
          <w:iCs/>
          <w:color w:val="FF0000"/>
          <w:kern w:val="28"/>
          <w:sz w:val="36"/>
        </w:rPr>
        <w:t>Investigating Professional Development and Teaching Efficacy among Graduates of the Master of Science in Teaching Mathematics Program</w:t>
      </w:r>
    </w:p>
    <w:p w14:paraId="5977E1A1" w14:textId="77777777" w:rsidR="00A258C3" w:rsidRPr="00790ADA" w:rsidRDefault="00A258C3" w:rsidP="00441B6F">
      <w:pPr>
        <w:pStyle w:val="Author"/>
        <w:spacing w:line="240" w:lineRule="auto"/>
        <w:jc w:val="both"/>
        <w:rPr>
          <w:rFonts w:ascii="Arial" w:hAnsi="Arial" w:cs="Arial"/>
          <w:sz w:val="36"/>
        </w:rPr>
      </w:pPr>
    </w:p>
    <w:p w14:paraId="12BE447E" w14:textId="77777777" w:rsidR="00D91BE4" w:rsidRPr="00D91BE4" w:rsidRDefault="00D91BE4" w:rsidP="00D91BE4">
      <w:pPr>
        <w:pStyle w:val="Author"/>
        <w:spacing w:line="240" w:lineRule="auto"/>
        <w:jc w:val="both"/>
        <w:rPr>
          <w:rFonts w:ascii="Arial" w:hAnsi="Arial" w:cs="Arial"/>
          <w:bCs/>
          <w:iCs/>
          <w:color w:val="00B0F0"/>
          <w:kern w:val="28"/>
          <w:sz w:val="36"/>
        </w:rPr>
      </w:pPr>
      <w:r w:rsidRPr="00D91BE4">
        <w:rPr>
          <w:rFonts w:ascii="Arial" w:hAnsi="Arial" w:cs="Arial"/>
          <w:bCs/>
          <w:iCs/>
          <w:color w:val="00B0F0"/>
          <w:kern w:val="28"/>
          <w:sz w:val="36"/>
        </w:rPr>
        <w:t>Reformulation suggested:</w:t>
      </w:r>
    </w:p>
    <w:p w14:paraId="6771D9CB" w14:textId="521F3EE3" w:rsidR="00D91BE4" w:rsidRPr="00163BC4" w:rsidRDefault="00D91BE4" w:rsidP="00D91BE4">
      <w:pPr>
        <w:pStyle w:val="Author"/>
        <w:spacing w:line="240" w:lineRule="auto"/>
        <w:jc w:val="both"/>
        <w:rPr>
          <w:rFonts w:ascii="Arial" w:hAnsi="Arial" w:cs="Arial"/>
          <w:bCs/>
          <w:iCs/>
          <w:kern w:val="28"/>
          <w:sz w:val="36"/>
        </w:rPr>
      </w:pPr>
      <w:r w:rsidRPr="00D91BE4">
        <w:rPr>
          <w:rFonts w:ascii="Arial" w:hAnsi="Arial" w:cs="Arial"/>
          <w:bCs/>
          <w:iCs/>
          <w:kern w:val="28"/>
          <w:sz w:val="36"/>
          <w:highlight w:val="green"/>
        </w:rPr>
        <w:t xml:space="preserve">Investigating Professional Development and Teaching Efficacy among the Master of Science Graduates </w:t>
      </w:r>
      <w:r>
        <w:rPr>
          <w:rFonts w:ascii="Arial" w:hAnsi="Arial" w:cs="Arial"/>
          <w:bCs/>
          <w:iCs/>
          <w:kern w:val="28"/>
          <w:sz w:val="36"/>
          <w:highlight w:val="green"/>
        </w:rPr>
        <w:t>in</w:t>
      </w:r>
      <w:r w:rsidRPr="00D91BE4">
        <w:rPr>
          <w:rFonts w:ascii="Arial" w:hAnsi="Arial" w:cs="Arial"/>
          <w:bCs/>
          <w:iCs/>
          <w:kern w:val="28"/>
          <w:sz w:val="36"/>
          <w:highlight w:val="green"/>
        </w:rPr>
        <w:t xml:space="preserve"> Mathematics</w:t>
      </w:r>
      <w:r>
        <w:rPr>
          <w:rFonts w:ascii="Arial" w:hAnsi="Arial" w:cs="Arial"/>
          <w:bCs/>
          <w:iCs/>
          <w:kern w:val="28"/>
          <w:sz w:val="36"/>
          <w:highlight w:val="green"/>
        </w:rPr>
        <w:t>’</w:t>
      </w:r>
      <w:r w:rsidRPr="00D91BE4">
        <w:rPr>
          <w:rFonts w:ascii="Arial" w:hAnsi="Arial" w:cs="Arial"/>
          <w:bCs/>
          <w:iCs/>
          <w:kern w:val="28"/>
          <w:sz w:val="36"/>
          <w:highlight w:val="green"/>
        </w:rPr>
        <w:t xml:space="preserve"> Curriculum</w:t>
      </w:r>
    </w:p>
    <w:p w14:paraId="6A59F43C" w14:textId="77777777" w:rsidR="00790ADA" w:rsidRDefault="00790ADA" w:rsidP="00441B6F">
      <w:pPr>
        <w:pStyle w:val="Affiliation"/>
        <w:spacing w:after="0" w:line="240" w:lineRule="auto"/>
        <w:jc w:val="both"/>
        <w:rPr>
          <w:rFonts w:ascii="Arial" w:hAnsi="Arial" w:cs="Arial"/>
        </w:rPr>
      </w:pPr>
    </w:p>
    <w:p w14:paraId="18B53186" w14:textId="77777777" w:rsidR="00AD77B4" w:rsidRDefault="00AD77B4" w:rsidP="00441B6F">
      <w:pPr>
        <w:pStyle w:val="Affiliation"/>
        <w:spacing w:after="0" w:line="240" w:lineRule="auto"/>
        <w:jc w:val="both"/>
        <w:rPr>
          <w:rFonts w:ascii="Arial" w:hAnsi="Arial" w:cs="Arial"/>
        </w:rPr>
      </w:pPr>
    </w:p>
    <w:p w14:paraId="0FCB1DCF" w14:textId="77777777" w:rsidR="00AD77B4" w:rsidRDefault="00AD77B4" w:rsidP="00441B6F">
      <w:pPr>
        <w:pStyle w:val="Affiliation"/>
        <w:spacing w:after="0" w:line="240" w:lineRule="auto"/>
        <w:jc w:val="both"/>
        <w:rPr>
          <w:rFonts w:ascii="Arial" w:hAnsi="Arial" w:cs="Arial"/>
        </w:rPr>
      </w:pPr>
    </w:p>
    <w:p w14:paraId="17FBA30D" w14:textId="77777777" w:rsidR="002C57D2" w:rsidRPr="00FB3A86" w:rsidRDefault="002C57D2" w:rsidP="00441B6F">
      <w:pPr>
        <w:pStyle w:val="Affiliation"/>
        <w:spacing w:after="0" w:line="240" w:lineRule="auto"/>
        <w:jc w:val="both"/>
        <w:rPr>
          <w:rFonts w:ascii="Arial" w:hAnsi="Arial" w:cs="Arial"/>
        </w:rPr>
      </w:pPr>
    </w:p>
    <w:p w14:paraId="2BAAE9DD" w14:textId="215D2F7E" w:rsidR="00B01FCD" w:rsidRPr="00FB3A86" w:rsidRDefault="00AF08A9" w:rsidP="00441B6F">
      <w:pPr>
        <w:pStyle w:val="Copyright"/>
        <w:spacing w:after="0" w:line="240" w:lineRule="auto"/>
        <w:jc w:val="both"/>
        <w:rPr>
          <w:rFonts w:ascii="Arial" w:hAnsi="Arial" w:cs="Arial"/>
        </w:rPr>
        <w:sectPr w:rsidR="00B01FCD" w:rsidRPr="00FB3A86" w:rsidSect="00AD77B4">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7C8EB6F9" wp14:editId="7EB5D945">
                <wp:extent cx="5303520" cy="635"/>
                <wp:effectExtent l="15240" t="10795" r="15240"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734BC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DA8958" w14:textId="5EB93FD7" w:rsidR="00B01FCD" w:rsidRDefault="00B01FCD" w:rsidP="00441B6F">
      <w:pPr>
        <w:pStyle w:val="AbstHead"/>
        <w:spacing w:after="0"/>
        <w:jc w:val="both"/>
        <w:rPr>
          <w:rFonts w:ascii="Arial" w:hAnsi="Arial" w:cs="Arial"/>
        </w:rPr>
      </w:pPr>
      <w:r w:rsidRPr="00FB3A86">
        <w:rPr>
          <w:rFonts w:ascii="Arial" w:hAnsi="Arial" w:cs="Arial"/>
        </w:rPr>
        <w:t>ABSTRACT</w:t>
      </w:r>
    </w:p>
    <w:p w14:paraId="18D3C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3277BE" w14:textId="77777777" w:rsidTr="001E44FE">
        <w:tc>
          <w:tcPr>
            <w:tcW w:w="9576" w:type="dxa"/>
            <w:shd w:val="clear" w:color="auto" w:fill="F2F2F2"/>
          </w:tcPr>
          <w:p w14:paraId="0C6C20C9" w14:textId="0E7CDFA8" w:rsidR="00505F06" w:rsidRPr="00424489" w:rsidRDefault="00424489" w:rsidP="00770A2E">
            <w:pPr>
              <w:spacing w:before="100" w:beforeAutospacing="1" w:after="100" w:afterAutospacing="1"/>
              <w:jc w:val="both"/>
              <w:rPr>
                <w:szCs w:val="24"/>
                <w:lang w:eastAsia="en-PH"/>
              </w:rPr>
            </w:pPr>
            <w:commentRangeStart w:id="0"/>
            <w:r w:rsidRPr="00D91BE4">
              <w:rPr>
                <w:szCs w:val="24"/>
                <w:highlight w:val="red"/>
                <w:lang w:eastAsia="en-PH"/>
              </w:rPr>
              <w:t>This study explored the relationship between professional development</w:t>
            </w:r>
            <w:r w:rsidR="009302C4" w:rsidRPr="00D91BE4">
              <w:rPr>
                <w:szCs w:val="24"/>
                <w:highlight w:val="red"/>
                <w:lang w:eastAsia="en-PH"/>
              </w:rPr>
              <w:t xml:space="preserve"> (PD)</w:t>
            </w:r>
            <w:r w:rsidRPr="00D91BE4">
              <w:rPr>
                <w:szCs w:val="24"/>
                <w:highlight w:val="red"/>
                <w:lang w:eastAsia="en-PH"/>
              </w:rPr>
              <w:t xml:space="preserve"> and teaching efficacy</w:t>
            </w:r>
            <w:r w:rsidR="009302C4" w:rsidRPr="00D91BE4">
              <w:rPr>
                <w:szCs w:val="24"/>
                <w:highlight w:val="red"/>
                <w:lang w:eastAsia="en-PH"/>
              </w:rPr>
              <w:t xml:space="preserve"> (TE)</w:t>
            </w:r>
            <w:r w:rsidRPr="00D91BE4">
              <w:rPr>
                <w:szCs w:val="24"/>
                <w:highlight w:val="red"/>
                <w:lang w:eastAsia="en-PH"/>
              </w:rPr>
              <w:t xml:space="preserve"> among Mast</w:t>
            </w:r>
            <w:r w:rsidR="00E146C1" w:rsidRPr="00D91BE4">
              <w:rPr>
                <w:szCs w:val="24"/>
                <w:highlight w:val="red"/>
                <w:lang w:eastAsia="en-PH"/>
              </w:rPr>
              <w:t xml:space="preserve">er of Science in Teaching (MST), </w:t>
            </w:r>
            <w:r w:rsidRPr="00D91BE4">
              <w:rPr>
                <w:szCs w:val="24"/>
                <w:highlight w:val="red"/>
                <w:lang w:eastAsia="en-PH"/>
              </w:rPr>
              <w:t>major in Mathematics graduates of Davao Oriental State University. Grounded in Social Cognitive Theory, the research examined how ongoing training and development activities influence teaching confidence and effectiveness in the classroom</w:t>
            </w:r>
            <w:commentRangeEnd w:id="0"/>
            <w:r w:rsidR="00D91BE4">
              <w:rPr>
                <w:rStyle w:val="Marquedecommentaire"/>
                <w:rFonts w:ascii="Times New Roman" w:hAnsi="Times New Roman"/>
                <w:lang w:val="nb-NO" w:eastAsia="nb-NO"/>
              </w:rPr>
              <w:commentReference w:id="0"/>
            </w:r>
            <w:r w:rsidRPr="00D91BE4">
              <w:rPr>
                <w:szCs w:val="24"/>
                <w:highlight w:val="red"/>
                <w:lang w:eastAsia="en-PH"/>
              </w:rPr>
              <w:t>.</w:t>
            </w:r>
            <w:r>
              <w:rPr>
                <w:szCs w:val="24"/>
                <w:lang w:eastAsia="en-PH"/>
              </w:rPr>
              <w:t xml:space="preserve"> </w:t>
            </w:r>
            <w:r w:rsidRPr="006828FF">
              <w:rPr>
                <w:szCs w:val="24"/>
                <w:lang w:eastAsia="en-PH"/>
              </w:rPr>
              <w:t>Using a descriptive-correlational design, the study collected data through a survey questionnaire answered by 25 M</w:t>
            </w:r>
            <w:r>
              <w:rPr>
                <w:szCs w:val="24"/>
                <w:lang w:eastAsia="en-PH"/>
              </w:rPr>
              <w:t xml:space="preserve">aster of </w:t>
            </w:r>
            <w:r w:rsidRPr="006828FF">
              <w:rPr>
                <w:szCs w:val="24"/>
                <w:lang w:eastAsia="en-PH"/>
              </w:rPr>
              <w:t>S</w:t>
            </w:r>
            <w:r>
              <w:rPr>
                <w:szCs w:val="24"/>
                <w:lang w:eastAsia="en-PH"/>
              </w:rPr>
              <w:t xml:space="preserve">cience </w:t>
            </w:r>
            <w:r w:rsidRPr="006828FF">
              <w:rPr>
                <w:szCs w:val="24"/>
                <w:lang w:eastAsia="en-PH"/>
              </w:rPr>
              <w:t>T</w:t>
            </w:r>
            <w:r>
              <w:rPr>
                <w:szCs w:val="24"/>
                <w:lang w:eastAsia="en-PH"/>
              </w:rPr>
              <w:t>eaching</w:t>
            </w:r>
            <w:r w:rsidRPr="006828FF">
              <w:rPr>
                <w:szCs w:val="24"/>
                <w:lang w:eastAsia="en-PH"/>
              </w:rPr>
              <w:t xml:space="preserve"> Mathematics graduates. </w:t>
            </w:r>
            <w:commentRangeStart w:id="1"/>
            <w:r w:rsidRPr="006828FF">
              <w:rPr>
                <w:szCs w:val="24"/>
                <w:lang w:eastAsia="en-PH"/>
              </w:rPr>
              <w:t xml:space="preserve">Results showed a generally high level of </w:t>
            </w:r>
            <w:r w:rsidR="00BE7C78">
              <w:rPr>
                <w:szCs w:val="24"/>
                <w:lang w:eastAsia="en-PH"/>
              </w:rPr>
              <w:t>PD</w:t>
            </w:r>
            <w:r w:rsidRPr="006828FF">
              <w:rPr>
                <w:szCs w:val="24"/>
                <w:lang w:eastAsia="en-PH"/>
              </w:rPr>
              <w:t xml:space="preserve"> </w:t>
            </w:r>
            <w:r>
              <w:rPr>
                <w:szCs w:val="24"/>
                <w:lang w:eastAsia="en-PH"/>
              </w:rPr>
              <w:t>(</w:t>
            </w:r>
            <m:oMath>
              <m:acc>
                <m:accPr>
                  <m:chr m:val="̅"/>
                  <m:ctrlPr>
                    <w:rPr>
                      <w:rFonts w:ascii="Cambria Math" w:hAnsi="Cambria Math"/>
                      <w:i/>
                      <w:iCs/>
                      <w:szCs w:val="24"/>
                      <w:lang w:eastAsia="en-PH"/>
                    </w:rPr>
                  </m:ctrlPr>
                </m:accPr>
                <m:e>
                  <m:r>
                    <w:rPr>
                      <w:rFonts w:ascii="Cambria Math" w:hAnsi="Cambria Math"/>
                      <w:szCs w:val="24"/>
                      <w:lang w:eastAsia="en-PH"/>
                    </w:rPr>
                    <m:t>x</m:t>
                  </m:r>
                </m:e>
              </m:acc>
              <m:r>
                <w:rPr>
                  <w:rFonts w:ascii="Cambria Math" w:hAnsi="Cambria Math"/>
                  <w:szCs w:val="24"/>
                  <w:lang w:eastAsia="en-PH"/>
                </w:rPr>
                <m:t>=4.33</m:t>
              </m:r>
            </m:oMath>
            <w:r w:rsidR="009302C4">
              <w:rPr>
                <w:szCs w:val="24"/>
                <w:lang w:eastAsia="en-PH"/>
              </w:rPr>
              <w:t>,</w:t>
            </w:r>
            <m:oMath>
              <m:r>
                <w:rPr>
                  <w:rFonts w:ascii="Cambria Math" w:hAnsi="Cambria Math"/>
                  <w:szCs w:val="24"/>
                  <w:lang w:eastAsia="en-PH"/>
                </w:rPr>
                <m:t>s=0.41</m:t>
              </m:r>
            </m:oMath>
            <w:r>
              <w:rPr>
                <w:szCs w:val="24"/>
                <w:lang w:eastAsia="en-PH"/>
              </w:rPr>
              <w:t xml:space="preserve">) </w:t>
            </w:r>
            <w:r w:rsidRPr="006828FF">
              <w:rPr>
                <w:szCs w:val="24"/>
                <w:lang w:eastAsia="en-PH"/>
              </w:rPr>
              <w:t xml:space="preserve">and </w:t>
            </w:r>
            <w:r w:rsidR="00BE7C78">
              <w:rPr>
                <w:szCs w:val="24"/>
                <w:lang w:eastAsia="en-PH"/>
              </w:rPr>
              <w:t>TE</w:t>
            </w:r>
            <w:r>
              <w:rPr>
                <w:szCs w:val="24"/>
                <w:lang w:eastAsia="en-PH"/>
              </w:rPr>
              <w:t xml:space="preserve"> (</w:t>
            </w:r>
            <m:oMath>
              <m:acc>
                <m:accPr>
                  <m:chr m:val="̅"/>
                  <m:ctrlPr>
                    <w:rPr>
                      <w:rFonts w:ascii="Cambria Math" w:hAnsi="Cambria Math"/>
                      <w:i/>
                      <w:iCs/>
                      <w:szCs w:val="24"/>
                      <w:lang w:eastAsia="en-PH"/>
                    </w:rPr>
                  </m:ctrlPr>
                </m:accPr>
                <m:e>
                  <m:r>
                    <w:rPr>
                      <w:rFonts w:ascii="Cambria Math" w:hAnsi="Cambria Math"/>
                      <w:szCs w:val="24"/>
                      <w:lang w:eastAsia="en-PH"/>
                    </w:rPr>
                    <m:t>x</m:t>
                  </m:r>
                </m:e>
              </m:acc>
              <m:r>
                <w:rPr>
                  <w:rFonts w:ascii="Cambria Math" w:hAnsi="Cambria Math"/>
                  <w:szCs w:val="24"/>
                  <w:lang w:eastAsia="en-PH"/>
                </w:rPr>
                <m:t xml:space="preserve">=4.46 </m:t>
              </m:r>
            </m:oMath>
            <w:r w:rsidR="009302C4">
              <w:rPr>
                <w:szCs w:val="24"/>
                <w:lang w:eastAsia="en-PH"/>
              </w:rPr>
              <w:t>,</w:t>
            </w:r>
            <m:oMath>
              <m:r>
                <w:rPr>
                  <w:rFonts w:ascii="Cambria Math" w:hAnsi="Cambria Math"/>
                  <w:szCs w:val="24"/>
                  <w:lang w:eastAsia="en-PH"/>
                </w:rPr>
                <m:t>s=0.42</m:t>
              </m:r>
            </m:oMath>
            <w:r>
              <w:rPr>
                <w:szCs w:val="24"/>
                <w:lang w:eastAsia="en-PH"/>
              </w:rPr>
              <w:t>)</w:t>
            </w:r>
            <w:r w:rsidRPr="006828FF">
              <w:rPr>
                <w:szCs w:val="24"/>
                <w:lang w:eastAsia="en-PH"/>
              </w:rPr>
              <w:t xml:space="preserve"> among respondents. The findings also revealed a moderate positive correlation </w:t>
            </w:r>
            <w:r w:rsidR="00CE31C6">
              <w:rPr>
                <w:szCs w:val="24"/>
                <w:lang w:eastAsia="en-PH"/>
              </w:rPr>
              <w:t>(</w:t>
            </w:r>
            <m:oMath>
              <m:r>
                <w:rPr>
                  <w:rFonts w:ascii="Cambria Math" w:hAnsi="Cambria Math"/>
                  <w:szCs w:val="24"/>
                  <w:lang w:eastAsia="en-PH"/>
                </w:rPr>
                <m:t>r = 0.35</m:t>
              </m:r>
            </m:oMath>
            <w:r w:rsidR="00CE31C6">
              <w:rPr>
                <w:szCs w:val="24"/>
                <w:lang w:eastAsia="en-PH"/>
              </w:rPr>
              <w:t xml:space="preserve">, </w:t>
            </w:r>
            <m:oMath>
              <m:r>
                <w:rPr>
                  <w:rFonts w:ascii="Cambria Math" w:hAnsi="Cambria Math"/>
                  <w:szCs w:val="24"/>
                  <w:lang w:eastAsia="en-PH"/>
                </w:rPr>
                <m:t>P= 0.09</m:t>
              </m:r>
            </m:oMath>
            <w:r w:rsidR="00CE31C6">
              <w:rPr>
                <w:szCs w:val="24"/>
                <w:lang w:eastAsia="en-PH"/>
              </w:rPr>
              <w:t>)</w:t>
            </w:r>
            <w:r>
              <w:rPr>
                <w:szCs w:val="24"/>
                <w:lang w:eastAsia="en-PH"/>
              </w:rPr>
              <w:t xml:space="preserve"> </w:t>
            </w:r>
            <w:r w:rsidRPr="006828FF">
              <w:rPr>
                <w:szCs w:val="24"/>
                <w:lang w:eastAsia="en-PH"/>
              </w:rPr>
              <w:t xml:space="preserve">between </w:t>
            </w:r>
            <w:r w:rsidR="00BE7C78">
              <w:rPr>
                <w:szCs w:val="24"/>
                <w:lang w:eastAsia="en-PH"/>
              </w:rPr>
              <w:t>PD</w:t>
            </w:r>
            <w:r w:rsidRPr="006828FF">
              <w:rPr>
                <w:szCs w:val="24"/>
                <w:lang w:eastAsia="en-PH"/>
              </w:rPr>
              <w:t xml:space="preserve"> and </w:t>
            </w:r>
            <w:r w:rsidR="00BE7C78">
              <w:rPr>
                <w:szCs w:val="24"/>
                <w:lang w:eastAsia="en-PH"/>
              </w:rPr>
              <w:t>TE</w:t>
            </w:r>
            <w:r w:rsidRPr="006828FF">
              <w:rPr>
                <w:szCs w:val="24"/>
                <w:lang w:eastAsia="en-PH"/>
              </w:rPr>
              <w:t xml:space="preserve">, </w:t>
            </w:r>
            <w:commentRangeStart w:id="2"/>
            <w:r w:rsidRPr="00A63782">
              <w:rPr>
                <w:szCs w:val="24"/>
                <w:highlight w:val="darkCyan"/>
                <w:lang w:eastAsia="en-PH"/>
              </w:rPr>
              <w:t>suggesting that teachers who engage more in relevant training tend to feel more effective in their teaching roles.</w:t>
            </w:r>
            <w:r>
              <w:rPr>
                <w:szCs w:val="24"/>
                <w:lang w:eastAsia="en-PH"/>
              </w:rPr>
              <w:t xml:space="preserve"> </w:t>
            </w:r>
            <w:commentRangeEnd w:id="2"/>
            <w:r w:rsidR="00A63782">
              <w:rPr>
                <w:rStyle w:val="Marquedecommentaire"/>
                <w:rFonts w:ascii="Times New Roman" w:hAnsi="Times New Roman"/>
                <w:lang w:val="nb-NO" w:eastAsia="nb-NO"/>
              </w:rPr>
              <w:commentReference w:id="2"/>
            </w:r>
            <w:r w:rsidRPr="006828FF">
              <w:rPr>
                <w:szCs w:val="24"/>
                <w:lang w:eastAsia="en-PH"/>
              </w:rPr>
              <w:t xml:space="preserve">Further analysis showed no significant differences in </w:t>
            </w:r>
            <w:r w:rsidR="00BE7C78">
              <w:rPr>
                <w:szCs w:val="24"/>
                <w:lang w:eastAsia="en-PH"/>
              </w:rPr>
              <w:t>PD</w:t>
            </w:r>
            <w:r w:rsidR="009302C4">
              <w:rPr>
                <w:szCs w:val="24"/>
                <w:lang w:eastAsia="en-PH"/>
              </w:rPr>
              <w:t xml:space="preserve"> and </w:t>
            </w:r>
            <w:r w:rsidR="00BE7C78">
              <w:rPr>
                <w:szCs w:val="24"/>
                <w:lang w:eastAsia="en-PH"/>
              </w:rPr>
              <w:t>TE</w:t>
            </w:r>
            <w:r w:rsidRPr="006828FF">
              <w:rPr>
                <w:szCs w:val="24"/>
                <w:lang w:eastAsia="en-PH"/>
              </w:rPr>
              <w:t xml:space="preserve"> when </w:t>
            </w:r>
            <w:r w:rsidR="009302C4">
              <w:rPr>
                <w:szCs w:val="24"/>
                <w:lang w:eastAsia="en-PH"/>
              </w:rPr>
              <w:t xml:space="preserve">respondents </w:t>
            </w:r>
            <w:r w:rsidR="00E146C1">
              <w:rPr>
                <w:szCs w:val="24"/>
                <w:lang w:eastAsia="en-PH"/>
              </w:rPr>
              <w:t>were</w:t>
            </w:r>
            <w:r w:rsidR="009302C4">
              <w:rPr>
                <w:szCs w:val="24"/>
                <w:lang w:eastAsia="en-PH"/>
              </w:rPr>
              <w:t xml:space="preserve"> </w:t>
            </w:r>
            <w:r w:rsidRPr="006828FF">
              <w:rPr>
                <w:szCs w:val="24"/>
                <w:lang w:eastAsia="en-PH"/>
              </w:rPr>
              <w:t xml:space="preserve">grouped by age </w:t>
            </w:r>
            <w:r>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PD</m:t>
                  </m:r>
                </m:sub>
              </m:sSub>
              <m:r>
                <w:rPr>
                  <w:rFonts w:ascii="Cambria Math" w:hAnsi="Cambria Math"/>
                  <w:szCs w:val="24"/>
                  <w:lang w:eastAsia="en-PH"/>
                </w:rPr>
                <m:t>=0.15</m:t>
              </m:r>
            </m:oMath>
            <w:r w:rsidR="009302C4">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P</m:t>
                  </m:r>
                </m:e>
                <m:sub>
                  <m:r>
                    <w:rPr>
                      <w:rFonts w:ascii="Cambria Math" w:hAnsi="Cambria Math"/>
                      <w:szCs w:val="24"/>
                      <w:lang w:eastAsia="en-PH"/>
                    </w:rPr>
                    <m:t>PD</m:t>
                  </m:r>
                </m:sub>
              </m:sSub>
              <m:r>
                <w:rPr>
                  <w:rFonts w:ascii="Cambria Math" w:hAnsi="Cambria Math"/>
                  <w:szCs w:val="24"/>
                  <w:lang w:eastAsia="en-PH"/>
                </w:rPr>
                <m:t>=0.86</m:t>
              </m:r>
            </m:oMath>
            <w:r w:rsidR="00BE7C78">
              <w:rPr>
                <w:szCs w:val="24"/>
                <w:lang w:eastAsia="en-PH"/>
              </w:rPr>
              <w:t>;</w:t>
            </w:r>
            <m:oMath>
              <m:r>
                <w:rPr>
                  <w:rFonts w:ascii="Cambria Math" w:hAnsi="Cambria Math"/>
                  <w:szCs w:val="24"/>
                  <w:lang w:eastAsia="en-PH"/>
                </w:rPr>
                <m:t xml:space="preserve"> </m:t>
              </m:r>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TE</m:t>
                  </m:r>
                </m:sub>
              </m:sSub>
              <m:r>
                <w:rPr>
                  <w:rFonts w:ascii="Cambria Math" w:hAnsi="Cambria Math"/>
                  <w:szCs w:val="24"/>
                  <w:lang w:eastAsia="en-PH"/>
                </w:rPr>
                <m:t>=1.54</m:t>
              </m:r>
            </m:oMath>
            <w:r w:rsidR="00BE7C78">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=0.26</m:t>
              </m:r>
            </m:oMath>
            <w:r>
              <w:rPr>
                <w:szCs w:val="24"/>
                <w:lang w:eastAsia="en-PH"/>
              </w:rPr>
              <w:t xml:space="preserve">) </w:t>
            </w:r>
            <w:r w:rsidRPr="006828FF">
              <w:rPr>
                <w:szCs w:val="24"/>
                <w:lang w:eastAsia="en-PH"/>
              </w:rPr>
              <w:t>and years of teaching experience</w:t>
            </w:r>
            <w:r>
              <w:rPr>
                <w:szCs w:val="24"/>
                <w:lang w:eastAsia="en-PH"/>
              </w:rPr>
              <w:t xml:space="preserve"> </w:t>
            </w:r>
            <w:r w:rsidR="000A3E86">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PD</m:t>
                  </m:r>
                </m:sub>
              </m:sSub>
              <m:r>
                <w:rPr>
                  <w:rFonts w:ascii="Cambria Math" w:hAnsi="Cambria Math"/>
                  <w:szCs w:val="24"/>
                  <w:lang w:eastAsia="en-PH"/>
                </w:rPr>
                <m:t>=0.13</m:t>
              </m:r>
            </m:oMath>
            <w:r w:rsidR="009302C4">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P</m:t>
                  </m:r>
                </m:e>
                <m:sub>
                  <m:r>
                    <w:rPr>
                      <w:rFonts w:ascii="Cambria Math" w:hAnsi="Cambria Math"/>
                      <w:szCs w:val="24"/>
                      <w:lang w:eastAsia="en-PH"/>
                    </w:rPr>
                    <m:t>PD</m:t>
                  </m:r>
                </m:sub>
              </m:sSub>
              <m:r>
                <w:rPr>
                  <w:rFonts w:ascii="Cambria Math" w:hAnsi="Cambria Math"/>
                  <w:szCs w:val="24"/>
                  <w:lang w:eastAsia="en-PH"/>
                </w:rPr>
                <m:t>=0.94</m:t>
              </m:r>
            </m:oMath>
            <w:r w:rsidR="00BE7C78">
              <w:rPr>
                <w:szCs w:val="24"/>
                <w:lang w:eastAsia="en-PH"/>
              </w:rPr>
              <w:t xml:space="preserve">; </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TE</m:t>
                  </m:r>
                </m:sub>
              </m:sSub>
              <m:r>
                <w:rPr>
                  <w:rFonts w:ascii="Cambria Math" w:hAnsi="Cambria Math"/>
                  <w:szCs w:val="24"/>
                  <w:lang w:eastAsia="en-PH"/>
                </w:rPr>
                <m:t>=0.83</m:t>
              </m:r>
            </m:oMath>
            <w:r w:rsidR="00BE7C78">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=0.49</m:t>
              </m:r>
            </m:oMath>
            <w:r w:rsidR="000A3E86">
              <w:rPr>
                <w:szCs w:val="24"/>
                <w:lang w:eastAsia="en-PH"/>
              </w:rPr>
              <w:t>)</w:t>
            </w:r>
            <w:r w:rsidRPr="006828FF">
              <w:rPr>
                <w:szCs w:val="24"/>
                <w:lang w:eastAsia="en-PH"/>
              </w:rPr>
              <w:t xml:space="preserve">. </w:t>
            </w:r>
            <w:r w:rsidR="00BE7C78">
              <w:rPr>
                <w:szCs w:val="24"/>
                <w:lang w:eastAsia="en-PH"/>
              </w:rPr>
              <w:t xml:space="preserve">However, there </w:t>
            </w:r>
            <w:r w:rsidR="00E146C1">
              <w:rPr>
                <w:szCs w:val="24"/>
                <w:lang w:eastAsia="en-PH"/>
              </w:rPr>
              <w:t>was</w:t>
            </w:r>
            <w:r w:rsidR="00BE7C78">
              <w:rPr>
                <w:szCs w:val="24"/>
                <w:lang w:eastAsia="en-PH"/>
              </w:rPr>
              <w:t xml:space="preserve"> a significant difference in PD when respondents are categorized </w:t>
            </w:r>
            <w:r w:rsidR="00725A05">
              <w:rPr>
                <w:szCs w:val="24"/>
                <w:lang w:eastAsia="en-PH"/>
              </w:rPr>
              <w:t xml:space="preserve">based </w:t>
            </w:r>
            <w:r w:rsidR="00BE7C78">
              <w:rPr>
                <w:szCs w:val="24"/>
                <w:lang w:eastAsia="en-PH"/>
              </w:rPr>
              <w:t>on gender (</w:t>
            </w:r>
            <m:oMath>
              <m:sSub>
                <m:sSubPr>
                  <m:ctrlPr>
                    <w:rPr>
                      <w:rFonts w:ascii="Cambria Math" w:hAnsi="Cambria Math"/>
                      <w:i/>
                      <w:szCs w:val="24"/>
                      <w:lang w:eastAsia="en-PH"/>
                    </w:rPr>
                  </m:ctrlPr>
                </m:sSubPr>
                <m:e>
                  <m:r>
                    <w:rPr>
                      <w:rFonts w:ascii="Cambria Math" w:hAnsi="Cambria Math"/>
                      <w:szCs w:val="24"/>
                      <w:lang w:eastAsia="en-PH"/>
                    </w:rPr>
                    <m:t>t</m:t>
                  </m:r>
                </m:e>
                <m:sub>
                  <m:r>
                    <w:rPr>
                      <w:rFonts w:ascii="Cambria Math" w:hAnsi="Cambria Math"/>
                      <w:szCs w:val="24"/>
                      <w:lang w:eastAsia="en-PH"/>
                    </w:rPr>
                    <m:t>PD</m:t>
                  </m:r>
                </m:sub>
              </m:sSub>
              <m:r>
                <w:rPr>
                  <w:rFonts w:ascii="Cambria Math" w:hAnsi="Cambria Math"/>
                  <w:szCs w:val="24"/>
                  <w:lang w:eastAsia="en-PH"/>
                </w:rPr>
                <m:t>=0.-2.85</m:t>
              </m:r>
            </m:oMath>
            <w:r w:rsidR="00BE7C78">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PD</m:t>
                  </m:r>
                </m:sub>
              </m:sSub>
              <m:r>
                <w:rPr>
                  <w:rFonts w:ascii="Cambria Math" w:hAnsi="Cambria Math"/>
                  <w:szCs w:val="24"/>
                  <w:lang w:eastAsia="en-PH"/>
                </w:rPr>
                <m:t>=0.01</m:t>
              </m:r>
            </m:oMath>
            <w:r w:rsidR="00EB3DB0">
              <w:rPr>
                <w:szCs w:val="24"/>
                <w:lang w:eastAsia="en-PH"/>
              </w:rPr>
              <w:t>) but not in TE (</w:t>
            </w:r>
            <m:oMath>
              <m:sSub>
                <m:sSubPr>
                  <m:ctrlPr>
                    <w:rPr>
                      <w:rFonts w:ascii="Cambria Math" w:hAnsi="Cambria Math"/>
                      <w:i/>
                      <w:szCs w:val="24"/>
                      <w:lang w:eastAsia="en-PH"/>
                    </w:rPr>
                  </m:ctrlPr>
                </m:sSubPr>
                <m:e>
                  <m:r>
                    <w:rPr>
                      <w:rFonts w:ascii="Cambria Math" w:hAnsi="Cambria Math"/>
                      <w:szCs w:val="24"/>
                      <w:lang w:eastAsia="en-PH"/>
                    </w:rPr>
                    <m:t>t</m:t>
                  </m:r>
                </m:e>
                <m:sub>
                  <m:r>
                    <w:rPr>
                      <w:rFonts w:ascii="Cambria Math" w:hAnsi="Cambria Math"/>
                      <w:szCs w:val="24"/>
                      <w:lang w:eastAsia="en-PH"/>
                    </w:rPr>
                    <m:t>TE</m:t>
                  </m:r>
                </m:sub>
              </m:sSub>
              <m:r>
                <w:rPr>
                  <w:rFonts w:ascii="Cambria Math" w:hAnsi="Cambria Math"/>
                  <w:szCs w:val="24"/>
                  <w:lang w:eastAsia="en-PH"/>
                </w:rPr>
                <m:t>=-0.81</m:t>
              </m:r>
            </m:oMath>
            <w:r w:rsidR="00EB3DB0">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=0.42</m:t>
              </m:r>
            </m:oMath>
            <w:r w:rsidR="00EB3DB0">
              <w:rPr>
                <w:szCs w:val="24"/>
                <w:lang w:eastAsia="en-PH"/>
              </w:rPr>
              <w:t xml:space="preserve">). </w:t>
            </w:r>
            <w:commentRangeEnd w:id="1"/>
            <w:r w:rsidR="00D91BE4">
              <w:rPr>
                <w:rStyle w:val="Marquedecommentaire"/>
                <w:rFonts w:ascii="Times New Roman" w:hAnsi="Times New Roman"/>
                <w:lang w:val="nb-NO" w:eastAsia="nb-NO"/>
              </w:rPr>
              <w:commentReference w:id="1"/>
            </w:r>
            <w:commentRangeStart w:id="3"/>
            <w:r w:rsidRPr="00A63782">
              <w:rPr>
                <w:szCs w:val="24"/>
                <w:highlight w:val="darkCyan"/>
                <w:lang w:eastAsia="en-PH"/>
              </w:rPr>
              <w:t>The study highlights the value of targeted and continuous professional development in boosting teacher performance and confidence, ultimately contributing to better educational outcomes</w:t>
            </w:r>
            <w:commentRangeEnd w:id="3"/>
            <w:r w:rsidR="00A63782">
              <w:rPr>
                <w:rStyle w:val="Marquedecommentaire"/>
                <w:rFonts w:ascii="Times New Roman" w:hAnsi="Times New Roman"/>
                <w:lang w:val="nb-NO" w:eastAsia="nb-NO"/>
              </w:rPr>
              <w:commentReference w:id="3"/>
            </w:r>
            <w:r w:rsidRPr="006828FF">
              <w:rPr>
                <w:szCs w:val="24"/>
                <w:lang w:eastAsia="en-PH"/>
              </w:rPr>
              <w:t>.</w:t>
            </w:r>
          </w:p>
        </w:tc>
      </w:tr>
    </w:tbl>
    <w:p w14:paraId="4A287AC1" w14:textId="77777777" w:rsidR="00636EB2" w:rsidRDefault="00636EB2" w:rsidP="00441B6F">
      <w:pPr>
        <w:pStyle w:val="Body"/>
        <w:spacing w:after="0"/>
        <w:rPr>
          <w:rFonts w:ascii="Arial" w:hAnsi="Arial" w:cs="Arial"/>
          <w:i/>
        </w:rPr>
      </w:pPr>
    </w:p>
    <w:p w14:paraId="3E897173" w14:textId="77777777" w:rsidR="00EB23E4" w:rsidRDefault="00A24E7E" w:rsidP="00441B6F">
      <w:pPr>
        <w:pStyle w:val="Body"/>
        <w:spacing w:after="0"/>
        <w:rPr>
          <w:rFonts w:ascii="Arial" w:hAnsi="Arial" w:cs="Arial"/>
          <w:i/>
        </w:rPr>
      </w:pPr>
      <w:r>
        <w:rPr>
          <w:rFonts w:ascii="Arial" w:hAnsi="Arial" w:cs="Arial"/>
          <w:i/>
        </w:rPr>
        <w:t xml:space="preserve">Keywords: </w:t>
      </w:r>
      <w:r w:rsidR="00EB23E4">
        <w:rPr>
          <w:rFonts w:ascii="Arial" w:hAnsi="Arial" w:cs="Arial"/>
          <w:i/>
        </w:rPr>
        <w:t xml:space="preserve">master of science teaching mathematics, professional development, teaching      </w:t>
      </w:r>
    </w:p>
    <w:p w14:paraId="0DFA29F0" w14:textId="4B58E151" w:rsidR="00A24E7E" w:rsidRDefault="00EB23E4" w:rsidP="00441B6F">
      <w:pPr>
        <w:pStyle w:val="Body"/>
        <w:spacing w:after="0"/>
        <w:rPr>
          <w:rFonts w:ascii="Arial" w:hAnsi="Arial" w:cs="Arial"/>
          <w:i/>
        </w:rPr>
      </w:pPr>
      <w:r>
        <w:rPr>
          <w:rFonts w:ascii="Arial" w:hAnsi="Arial" w:cs="Arial"/>
          <w:i/>
        </w:rPr>
        <w:t xml:space="preserve">                  efficacy</w:t>
      </w:r>
    </w:p>
    <w:p w14:paraId="13320B72" w14:textId="77777777" w:rsidR="0024282C" w:rsidRDefault="0024282C" w:rsidP="00441B6F">
      <w:pPr>
        <w:pStyle w:val="Body"/>
        <w:spacing w:after="0"/>
        <w:rPr>
          <w:rFonts w:ascii="Arial" w:hAnsi="Arial" w:cs="Arial"/>
          <w:i/>
          <w:sz w:val="18"/>
        </w:rPr>
      </w:pPr>
    </w:p>
    <w:p w14:paraId="01EDC426" w14:textId="77777777" w:rsidR="00505F06" w:rsidRPr="00A24E7E" w:rsidRDefault="00505F06" w:rsidP="00441B6F">
      <w:pPr>
        <w:pStyle w:val="Body"/>
        <w:spacing w:after="0"/>
        <w:rPr>
          <w:rFonts w:ascii="Arial" w:hAnsi="Arial" w:cs="Arial"/>
          <w:i/>
        </w:rPr>
      </w:pPr>
    </w:p>
    <w:p w14:paraId="198A8DF8" w14:textId="2B06FAF6" w:rsidR="007F7B32" w:rsidRDefault="00902823" w:rsidP="00EB23E4">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CE31C6">
        <w:rPr>
          <w:rFonts w:ascii="Arial" w:hAnsi="Arial" w:cs="Arial"/>
        </w:rPr>
        <w:t xml:space="preserve"> </w:t>
      </w:r>
    </w:p>
    <w:p w14:paraId="7375245B" w14:textId="77777777" w:rsidR="00790ADA" w:rsidRPr="00FB3A86" w:rsidRDefault="00790ADA" w:rsidP="00441B6F">
      <w:pPr>
        <w:pStyle w:val="AbstHead"/>
        <w:spacing w:after="0"/>
        <w:jc w:val="both"/>
        <w:rPr>
          <w:rFonts w:ascii="Arial" w:hAnsi="Arial" w:cs="Arial"/>
        </w:rPr>
      </w:pPr>
    </w:p>
    <w:p w14:paraId="453FB36D" w14:textId="77777777" w:rsidR="00191397" w:rsidRPr="00191397" w:rsidRDefault="00191397" w:rsidP="00A07021">
      <w:pPr>
        <w:ind w:firstLine="720"/>
        <w:jc w:val="both"/>
        <w:rPr>
          <w:rFonts w:ascii="Arial" w:hAnsi="Arial" w:cs="Arial"/>
          <w:szCs w:val="24"/>
          <w:lang w:eastAsia="en-PH"/>
        </w:rPr>
      </w:pPr>
      <w:commentRangeStart w:id="4"/>
      <w:r w:rsidRPr="00191397">
        <w:rPr>
          <w:rFonts w:ascii="Arial" w:hAnsi="Arial" w:cs="Arial"/>
          <w:szCs w:val="24"/>
          <w:lang w:eastAsia="en-PH"/>
        </w:rPr>
        <w:t xml:space="preserve">Mathematics education remains a global challenge, with international assessments like </w:t>
      </w:r>
      <w:bookmarkStart w:id="5" w:name="_Hlk199271044"/>
      <w:commentRangeStart w:id="6"/>
      <w:r w:rsidRPr="009246EE">
        <w:rPr>
          <w:rFonts w:ascii="Arial" w:hAnsi="Arial" w:cs="Arial"/>
          <w:szCs w:val="24"/>
          <w:highlight w:val="magenta"/>
          <w:lang w:eastAsia="en-PH"/>
        </w:rPr>
        <w:t>PISA and TIMSS</w:t>
      </w:r>
      <w:r w:rsidRPr="00191397">
        <w:rPr>
          <w:rFonts w:ascii="Arial" w:hAnsi="Arial" w:cs="Arial"/>
          <w:szCs w:val="24"/>
          <w:lang w:eastAsia="en-PH"/>
        </w:rPr>
        <w:t xml:space="preserve"> </w:t>
      </w:r>
      <w:bookmarkEnd w:id="5"/>
      <w:commentRangeEnd w:id="6"/>
      <w:r w:rsidR="009246EE">
        <w:rPr>
          <w:rStyle w:val="Marquedecommentaire"/>
          <w:rFonts w:ascii="Times New Roman" w:hAnsi="Times New Roman"/>
          <w:lang w:val="nb-NO" w:eastAsia="nb-NO"/>
        </w:rPr>
        <w:commentReference w:id="6"/>
      </w:r>
      <w:r w:rsidRPr="00191397">
        <w:rPr>
          <w:rFonts w:ascii="Arial" w:hAnsi="Arial" w:cs="Arial"/>
          <w:szCs w:val="24"/>
          <w:lang w:eastAsia="en-PH"/>
        </w:rPr>
        <w:t xml:space="preserve">revealing consistently low student proficiency in many countries </w:t>
      </w:r>
      <w:r w:rsidRPr="00191397">
        <w:rPr>
          <w:rFonts w:ascii="Arial" w:hAnsi="Arial" w:cs="Arial"/>
          <w:szCs w:val="24"/>
          <w:lang w:eastAsia="en-PH"/>
        </w:rPr>
        <w:lastRenderedPageBreak/>
        <w:t>(OECD, 2019). In the Philippines, the problem is more pronounced—Filipino students ranked among the lowest in mathematics literacy, pointing to systemic issues such as outdated teaching methods, inadequate teacher training, and limited access to resources (</w:t>
      </w:r>
      <w:proofErr w:type="spellStart"/>
      <w:r w:rsidRPr="00191397">
        <w:rPr>
          <w:rFonts w:ascii="Arial" w:hAnsi="Arial" w:cs="Arial"/>
          <w:szCs w:val="24"/>
          <w:lang w:eastAsia="en-PH"/>
        </w:rPr>
        <w:t>Acido</w:t>
      </w:r>
      <w:proofErr w:type="spellEnd"/>
      <w:r w:rsidRPr="00191397">
        <w:rPr>
          <w:rFonts w:ascii="Arial" w:hAnsi="Arial" w:cs="Arial"/>
          <w:szCs w:val="24"/>
          <w:lang w:eastAsia="en-PH"/>
        </w:rPr>
        <w:t xml:space="preserve"> &amp; </w:t>
      </w:r>
      <w:proofErr w:type="spellStart"/>
      <w:r w:rsidRPr="00191397">
        <w:rPr>
          <w:rFonts w:ascii="Arial" w:hAnsi="Arial" w:cs="Arial"/>
          <w:szCs w:val="24"/>
          <w:lang w:eastAsia="en-PH"/>
        </w:rPr>
        <w:t>Caballes</w:t>
      </w:r>
      <w:proofErr w:type="spellEnd"/>
      <w:r w:rsidRPr="00191397">
        <w:rPr>
          <w:rFonts w:ascii="Arial" w:hAnsi="Arial" w:cs="Arial"/>
          <w:szCs w:val="24"/>
          <w:lang w:eastAsia="en-PH"/>
        </w:rPr>
        <w:t xml:space="preserve">, 2024; </w:t>
      </w:r>
      <w:proofErr w:type="spellStart"/>
      <w:r w:rsidRPr="00191397">
        <w:rPr>
          <w:rFonts w:ascii="Arial" w:hAnsi="Arial" w:cs="Arial"/>
          <w:szCs w:val="24"/>
          <w:lang w:eastAsia="en-PH"/>
        </w:rPr>
        <w:t>Cabural</w:t>
      </w:r>
      <w:proofErr w:type="spellEnd"/>
      <w:r w:rsidRPr="00191397">
        <w:rPr>
          <w:rFonts w:ascii="Arial" w:hAnsi="Arial" w:cs="Arial"/>
          <w:szCs w:val="24"/>
          <w:lang w:eastAsia="en-PH"/>
        </w:rPr>
        <w:t>, 2024; Trinidad, 2020).</w:t>
      </w:r>
    </w:p>
    <w:p w14:paraId="3ECB41C8" w14:textId="77777777" w:rsidR="00191397" w:rsidRPr="00191397" w:rsidRDefault="00191397" w:rsidP="00A07021">
      <w:pPr>
        <w:ind w:firstLine="720"/>
        <w:jc w:val="both"/>
        <w:rPr>
          <w:rFonts w:ascii="Arial" w:hAnsi="Arial" w:cs="Arial"/>
          <w:szCs w:val="24"/>
          <w:lang w:eastAsia="en-PH"/>
        </w:rPr>
      </w:pPr>
      <w:r w:rsidRPr="00191397">
        <w:rPr>
          <w:rFonts w:ascii="Arial" w:hAnsi="Arial" w:cs="Arial"/>
          <w:szCs w:val="24"/>
          <w:lang w:eastAsia="en-PH"/>
        </w:rPr>
        <w:t>Teachers are central to addressing these challenges. Their competencies, confidence, and instructional strategies directly impact student outcomes (López-Martín et al., 2023). Professional development plays a key role in equipping teachers with relevant skills, reflective practices, and collaborative opportunities that enhance their teaching (Ng et al., 2019; Babu &amp; Venkatesan, 2023). At the same time, teaching efficacy—teachers’ belief in their ability to influence student learning—has been linked to better classroom management, student engagement, and instructional effectiveness (Na &amp; Isa, 2024; Zeb et al., 2024).</w:t>
      </w:r>
    </w:p>
    <w:p w14:paraId="6FDAA4D7" w14:textId="7B017C0A" w:rsidR="00191397" w:rsidRPr="00191397" w:rsidRDefault="00191397" w:rsidP="00A07021">
      <w:pPr>
        <w:ind w:firstLine="720"/>
        <w:jc w:val="both"/>
        <w:rPr>
          <w:rFonts w:ascii="Arial" w:hAnsi="Arial" w:cs="Arial"/>
          <w:szCs w:val="24"/>
          <w:lang w:eastAsia="en-PH"/>
        </w:rPr>
      </w:pPr>
      <w:r w:rsidRPr="00191397">
        <w:rPr>
          <w:rFonts w:ascii="Arial" w:hAnsi="Arial" w:cs="Arial"/>
          <w:szCs w:val="24"/>
          <w:lang w:eastAsia="en-PH"/>
        </w:rPr>
        <w:t xml:space="preserve">While the link between professional development and teaching efficacy is well-documented (Liu &amp; Liao, 2019), little is known about how this relationship plays out in local contexts like Davao Oriental State University (DOrSU). This lack of localized research limits the ability of </w:t>
      </w:r>
      <w:r w:rsidR="004D1FBB">
        <w:rPr>
          <w:rFonts w:ascii="Arial" w:hAnsi="Arial" w:cs="Arial"/>
          <w:szCs w:val="24"/>
          <w:lang w:eastAsia="en-PH"/>
        </w:rPr>
        <w:t xml:space="preserve">local </w:t>
      </w:r>
      <w:r w:rsidRPr="00191397">
        <w:rPr>
          <w:rFonts w:ascii="Arial" w:hAnsi="Arial" w:cs="Arial"/>
          <w:szCs w:val="24"/>
          <w:lang w:eastAsia="en-PH"/>
        </w:rPr>
        <w:t>educators and policymakers to make evidence-based improvements to teacher preparation programs.</w:t>
      </w:r>
    </w:p>
    <w:p w14:paraId="70A8BDCC" w14:textId="2B1DBB03" w:rsidR="00790ADA" w:rsidRDefault="00191397" w:rsidP="00191397">
      <w:pPr>
        <w:pStyle w:val="Body"/>
        <w:spacing w:after="0"/>
        <w:ind w:firstLine="720"/>
      </w:pPr>
      <w:r w:rsidRPr="00191397">
        <w:t>This study aims to evaluate the MST Mathematics program of DOrSU by examining the professional development experiences and teaching efficacy of its graduates. It explores how well the program prepares teachers for the realities of the classroom and whether it fosters the confidence and skills needed to address students’ learning needs.</w:t>
      </w:r>
    </w:p>
    <w:p w14:paraId="2E9C2CF2" w14:textId="7590461F" w:rsidR="00191397" w:rsidRDefault="00191397" w:rsidP="00191397">
      <w:pPr>
        <w:pStyle w:val="Body"/>
        <w:spacing w:after="0"/>
        <w:ind w:firstLine="720"/>
        <w:rPr>
          <w:rFonts w:ascii="Arial" w:hAnsi="Arial" w:cs="Arial"/>
        </w:rPr>
      </w:pPr>
      <w:r w:rsidRPr="00191397">
        <w:rPr>
          <w:rFonts w:ascii="Arial" w:hAnsi="Arial" w:cs="Arial"/>
        </w:rPr>
        <w:t>By identifying strengths and gaps in the program, this research offers actionable recommendations to better align teacher training with classroom demands. Ultimately, the goal is to help improve mathematics education at its foundation—by preparing more effective, confident, and innovative teachers.</w:t>
      </w:r>
      <w:commentRangeEnd w:id="4"/>
      <w:r w:rsidR="00F915B3">
        <w:rPr>
          <w:rStyle w:val="Marquedecommentaire"/>
          <w:rFonts w:ascii="Times New Roman" w:hAnsi="Times New Roman"/>
          <w:lang w:val="nb-NO" w:eastAsia="nb-NO"/>
        </w:rPr>
        <w:commentReference w:id="4"/>
      </w:r>
    </w:p>
    <w:p w14:paraId="3ADF018F" w14:textId="5512F8E4" w:rsidR="00191397" w:rsidRDefault="00191397" w:rsidP="00191397">
      <w:pPr>
        <w:pStyle w:val="Body"/>
        <w:spacing w:after="0"/>
        <w:ind w:firstLine="720"/>
        <w:rPr>
          <w:rFonts w:ascii="Arial" w:hAnsi="Arial" w:cs="Arial"/>
        </w:rPr>
      </w:pPr>
    </w:p>
    <w:p w14:paraId="53E32941" w14:textId="77777777" w:rsidR="00191397" w:rsidRPr="00191397" w:rsidRDefault="00191397" w:rsidP="00191397">
      <w:pPr>
        <w:pStyle w:val="Body"/>
        <w:spacing w:after="0"/>
        <w:ind w:firstLine="720"/>
        <w:rPr>
          <w:rFonts w:ascii="Arial" w:hAnsi="Arial" w:cs="Arial"/>
        </w:rPr>
      </w:pPr>
    </w:p>
    <w:p w14:paraId="14862955" w14:textId="74CE09A0" w:rsidR="007F7B32" w:rsidRDefault="00902823" w:rsidP="00CD2DC5">
      <w:pPr>
        <w:pStyle w:val="AbstHead"/>
        <w:spacing w:after="0"/>
        <w:rPr>
          <w:rFonts w:ascii="Arial" w:hAnsi="Arial" w:cs="Arial"/>
        </w:rPr>
      </w:pPr>
      <w:r>
        <w:rPr>
          <w:rFonts w:ascii="Arial" w:hAnsi="Arial" w:cs="Arial"/>
        </w:rPr>
        <w:t xml:space="preserve">2. </w:t>
      </w:r>
      <w:r w:rsidR="00B9544A">
        <w:rPr>
          <w:rFonts w:ascii="Arial" w:hAnsi="Arial" w:cs="Arial"/>
        </w:rPr>
        <w:t xml:space="preserve">OBJECTIVES </w:t>
      </w:r>
    </w:p>
    <w:p w14:paraId="79EC5CD8" w14:textId="77777777" w:rsidR="00790ADA" w:rsidRPr="00FB3A86" w:rsidRDefault="00790ADA" w:rsidP="00441B6F">
      <w:pPr>
        <w:pStyle w:val="AbstHead"/>
        <w:spacing w:after="0"/>
        <w:jc w:val="both"/>
        <w:rPr>
          <w:rFonts w:ascii="Arial" w:hAnsi="Arial" w:cs="Arial"/>
        </w:rPr>
      </w:pPr>
    </w:p>
    <w:p w14:paraId="59EE05DC" w14:textId="77777777" w:rsidR="00B9544A" w:rsidRPr="00B9544A" w:rsidRDefault="00B9544A" w:rsidP="00B9544A">
      <w:pPr>
        <w:pStyle w:val="Body"/>
        <w:spacing w:after="0"/>
        <w:ind w:firstLine="720"/>
        <w:rPr>
          <w:rFonts w:ascii="Arial" w:hAnsi="Arial" w:cs="Arial"/>
          <w:lang w:val="en-PH"/>
        </w:rPr>
      </w:pPr>
      <w:r w:rsidRPr="00B9544A">
        <w:rPr>
          <w:rFonts w:ascii="Arial" w:hAnsi="Arial" w:cs="Arial"/>
          <w:lang w:val="en-PH"/>
        </w:rPr>
        <w:t xml:space="preserve">This paper focused on investigating the contribution of the Master of Science Teaching (MST) major in Mathematics program of Davao Oriental State University (DOrSU) in the efforts of its graduates currently teaching Mathematics in high school. Such teachers' professional development, strategies of teaching, and efficacy in the teaching of mathematics high school level students are under scrutiny. In this regard, it sought to address the following objectives: </w:t>
      </w:r>
    </w:p>
    <w:p w14:paraId="1B639F2B" w14:textId="2DA814D4"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Pr="00032FE8">
        <w:rPr>
          <w:rFonts w:ascii="Arial" w:hAnsi="Arial" w:cs="Arial"/>
          <w:highlight w:val="green"/>
          <w:lang w:val="en-PH"/>
        </w:rPr>
        <w:t>determine</w:t>
      </w:r>
      <w:r w:rsidRPr="00B9544A">
        <w:rPr>
          <w:rFonts w:ascii="Arial" w:hAnsi="Arial" w:cs="Arial"/>
          <w:lang w:val="en-PH"/>
        </w:rPr>
        <w:t xml:space="preserve"> the level of </w:t>
      </w:r>
      <w:commentRangeStart w:id="7"/>
      <w:r w:rsidRPr="00F915B3">
        <w:rPr>
          <w:rFonts w:ascii="Arial" w:hAnsi="Arial" w:cs="Arial"/>
          <w:highlight w:val="magenta"/>
          <w:lang w:val="en-PH"/>
        </w:rPr>
        <w:t>professional development</w:t>
      </w:r>
      <w:r w:rsidRPr="00B9544A">
        <w:rPr>
          <w:rFonts w:ascii="Arial" w:hAnsi="Arial" w:cs="Arial"/>
          <w:lang w:val="en-PH"/>
        </w:rPr>
        <w:t xml:space="preserve"> </w:t>
      </w:r>
      <w:r w:rsidR="004D1FBB">
        <w:rPr>
          <w:rFonts w:ascii="Arial" w:hAnsi="Arial" w:cs="Arial"/>
          <w:lang w:val="en-PH"/>
        </w:rPr>
        <w:t>and teaching efficacy among MSTM graduates</w:t>
      </w:r>
      <w:r w:rsidR="00C230EF">
        <w:rPr>
          <w:rFonts w:ascii="Arial" w:hAnsi="Arial" w:cs="Arial"/>
          <w:lang w:val="en-PH"/>
        </w:rPr>
        <w:t>;</w:t>
      </w:r>
    </w:p>
    <w:p w14:paraId="77827439" w14:textId="78F477E8"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Pr="00032FE8">
        <w:rPr>
          <w:rFonts w:ascii="Arial" w:hAnsi="Arial" w:cs="Arial"/>
          <w:highlight w:val="green"/>
          <w:lang w:val="en-PH"/>
        </w:rPr>
        <w:t>determine</w:t>
      </w:r>
      <w:r w:rsidRPr="00B9544A">
        <w:rPr>
          <w:rFonts w:ascii="Arial" w:hAnsi="Arial" w:cs="Arial"/>
          <w:lang w:val="en-PH"/>
        </w:rPr>
        <w:t xml:space="preserve"> if there is </w:t>
      </w:r>
      <w:r w:rsidRPr="00F915B3">
        <w:rPr>
          <w:rFonts w:ascii="Arial" w:hAnsi="Arial" w:cs="Arial"/>
          <w:highlight w:val="magenta"/>
          <w:lang w:val="en-PH"/>
        </w:rPr>
        <w:t>significant</w:t>
      </w:r>
      <w:r w:rsidRPr="00B9544A">
        <w:rPr>
          <w:rFonts w:ascii="Arial" w:hAnsi="Arial" w:cs="Arial"/>
          <w:lang w:val="en-PH"/>
        </w:rPr>
        <w:t xml:space="preserve"> relationship of </w:t>
      </w:r>
      <w:r w:rsidRPr="002804BC">
        <w:rPr>
          <w:rFonts w:ascii="Arial" w:hAnsi="Arial" w:cs="Arial"/>
          <w:highlight w:val="magenta"/>
          <w:lang w:val="en-PH"/>
        </w:rPr>
        <w:t>professional development</w:t>
      </w:r>
      <w:r w:rsidRPr="00B9544A">
        <w:rPr>
          <w:rFonts w:ascii="Arial" w:hAnsi="Arial" w:cs="Arial"/>
          <w:lang w:val="en-PH"/>
        </w:rPr>
        <w:t xml:space="preserve"> and teaching efficacy</w:t>
      </w:r>
      <w:r w:rsidR="00C230EF">
        <w:rPr>
          <w:rFonts w:ascii="Arial" w:hAnsi="Arial" w:cs="Arial"/>
          <w:lang w:val="en-PH"/>
        </w:rPr>
        <w:t>;</w:t>
      </w:r>
    </w:p>
    <w:p w14:paraId="62B1B7AD" w14:textId="6D7CB4E0"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Pr="00032FE8">
        <w:rPr>
          <w:rFonts w:ascii="Arial" w:hAnsi="Arial" w:cs="Arial"/>
          <w:highlight w:val="green"/>
          <w:lang w:val="en-PH"/>
        </w:rPr>
        <w:t>determine</w:t>
      </w:r>
      <w:r w:rsidRPr="00B9544A">
        <w:rPr>
          <w:rFonts w:ascii="Arial" w:hAnsi="Arial" w:cs="Arial"/>
          <w:lang w:val="en-PH"/>
        </w:rPr>
        <w:t xml:space="preserve"> if there is </w:t>
      </w:r>
      <w:r w:rsidR="004D1FBB">
        <w:rPr>
          <w:rFonts w:ascii="Arial" w:hAnsi="Arial" w:cs="Arial"/>
          <w:lang w:val="en-PH"/>
        </w:rPr>
        <w:t xml:space="preserve">any </w:t>
      </w:r>
      <w:r w:rsidRPr="00F915B3">
        <w:rPr>
          <w:rFonts w:ascii="Arial" w:hAnsi="Arial" w:cs="Arial"/>
          <w:highlight w:val="magenta"/>
          <w:lang w:val="en-PH"/>
        </w:rPr>
        <w:t>significant</w:t>
      </w:r>
      <w:r w:rsidRPr="00B9544A">
        <w:rPr>
          <w:rFonts w:ascii="Arial" w:hAnsi="Arial" w:cs="Arial"/>
          <w:lang w:val="en-PH"/>
        </w:rPr>
        <w:t xml:space="preserve"> difference of </w:t>
      </w:r>
      <w:r w:rsidRPr="002804BC">
        <w:rPr>
          <w:rFonts w:ascii="Arial" w:hAnsi="Arial" w:cs="Arial"/>
          <w:highlight w:val="magenta"/>
          <w:lang w:val="en-PH"/>
        </w:rPr>
        <w:t>professional development</w:t>
      </w:r>
      <w:r w:rsidRPr="00B9544A">
        <w:rPr>
          <w:rFonts w:ascii="Arial" w:hAnsi="Arial" w:cs="Arial"/>
          <w:lang w:val="en-PH"/>
        </w:rPr>
        <w:t xml:space="preserve"> when </w:t>
      </w:r>
      <w:r w:rsidR="004D1FBB" w:rsidRPr="002804BC">
        <w:rPr>
          <w:rFonts w:ascii="Arial" w:hAnsi="Arial" w:cs="Arial"/>
          <w:highlight w:val="magenta"/>
          <w:lang w:val="en-PH"/>
        </w:rPr>
        <w:t>respondents</w:t>
      </w:r>
      <w:r w:rsidR="004D1FBB">
        <w:rPr>
          <w:rFonts w:ascii="Arial" w:hAnsi="Arial" w:cs="Arial"/>
          <w:lang w:val="en-PH"/>
        </w:rPr>
        <w:t xml:space="preserve"> are grouped according </w:t>
      </w:r>
      <w:r w:rsidR="004D1FBB" w:rsidRPr="002804BC">
        <w:rPr>
          <w:rFonts w:ascii="Arial" w:hAnsi="Arial" w:cs="Arial"/>
          <w:highlight w:val="magenta"/>
          <w:lang w:val="en-PH"/>
        </w:rPr>
        <w:t>age, gender and teaching experience</w:t>
      </w:r>
      <w:r w:rsidR="00C230EF">
        <w:rPr>
          <w:rFonts w:ascii="Arial" w:hAnsi="Arial" w:cs="Arial"/>
          <w:lang w:val="en-PH"/>
        </w:rPr>
        <w:t>;</w:t>
      </w:r>
    </w:p>
    <w:p w14:paraId="56E0432F" w14:textId="62880800" w:rsidR="00B9544A" w:rsidRPr="00B9544A" w:rsidRDefault="004D1FBB"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Pr="00032FE8">
        <w:rPr>
          <w:rFonts w:ascii="Arial" w:hAnsi="Arial" w:cs="Arial"/>
          <w:highlight w:val="green"/>
          <w:lang w:val="en-PH"/>
        </w:rPr>
        <w:t>determine</w:t>
      </w:r>
      <w:r w:rsidRPr="00B9544A">
        <w:rPr>
          <w:rFonts w:ascii="Arial" w:hAnsi="Arial" w:cs="Arial"/>
          <w:lang w:val="en-PH"/>
        </w:rPr>
        <w:t xml:space="preserve"> if there is </w:t>
      </w:r>
      <w:r>
        <w:rPr>
          <w:rFonts w:ascii="Arial" w:hAnsi="Arial" w:cs="Arial"/>
          <w:lang w:val="en-PH"/>
        </w:rPr>
        <w:t xml:space="preserve">any </w:t>
      </w:r>
      <w:r w:rsidRPr="002804BC">
        <w:rPr>
          <w:rFonts w:ascii="Arial" w:hAnsi="Arial" w:cs="Arial"/>
          <w:highlight w:val="magenta"/>
          <w:lang w:val="en-PH"/>
        </w:rPr>
        <w:t>significant</w:t>
      </w:r>
      <w:r w:rsidRPr="00B9544A">
        <w:rPr>
          <w:rFonts w:ascii="Arial" w:hAnsi="Arial" w:cs="Arial"/>
          <w:lang w:val="en-PH"/>
        </w:rPr>
        <w:t xml:space="preserve"> difference of </w:t>
      </w:r>
      <w:r>
        <w:rPr>
          <w:rFonts w:ascii="Arial" w:hAnsi="Arial" w:cs="Arial"/>
          <w:lang w:val="en-PH"/>
        </w:rPr>
        <w:t>teaching efficacy</w:t>
      </w:r>
      <w:r w:rsidRPr="00B9544A">
        <w:rPr>
          <w:rFonts w:ascii="Arial" w:hAnsi="Arial" w:cs="Arial"/>
          <w:lang w:val="en-PH"/>
        </w:rPr>
        <w:t xml:space="preserve"> when </w:t>
      </w:r>
      <w:r w:rsidRPr="002804BC">
        <w:rPr>
          <w:rFonts w:ascii="Arial" w:hAnsi="Arial" w:cs="Arial"/>
          <w:highlight w:val="magenta"/>
          <w:lang w:val="en-PH"/>
        </w:rPr>
        <w:t>respondents</w:t>
      </w:r>
      <w:r>
        <w:rPr>
          <w:rFonts w:ascii="Arial" w:hAnsi="Arial" w:cs="Arial"/>
          <w:lang w:val="en-PH"/>
        </w:rPr>
        <w:t xml:space="preserve"> are grouped according </w:t>
      </w:r>
      <w:r w:rsidRPr="002804BC">
        <w:rPr>
          <w:rFonts w:ascii="Arial" w:hAnsi="Arial" w:cs="Arial"/>
          <w:highlight w:val="magenta"/>
          <w:lang w:val="en-PH"/>
        </w:rPr>
        <w:t>age, gender and teaching experience</w:t>
      </w:r>
      <w:commentRangeEnd w:id="7"/>
      <w:r w:rsidR="002804BC">
        <w:rPr>
          <w:rStyle w:val="Marquedecommentaire"/>
          <w:rFonts w:ascii="Times New Roman" w:hAnsi="Times New Roman"/>
          <w:lang w:val="nb-NO" w:eastAsia="nb-NO"/>
        </w:rPr>
        <w:commentReference w:id="7"/>
      </w:r>
      <w:r w:rsidR="00C230EF">
        <w:rPr>
          <w:rFonts w:ascii="Arial" w:hAnsi="Arial" w:cs="Arial"/>
          <w:lang w:val="en-PH"/>
        </w:rPr>
        <w:t xml:space="preserve">; </w:t>
      </w:r>
      <w:commentRangeStart w:id="8"/>
      <w:r w:rsidR="00C230EF" w:rsidRPr="002804BC">
        <w:rPr>
          <w:rFonts w:ascii="Arial" w:hAnsi="Arial" w:cs="Arial"/>
          <w:highlight w:val="red"/>
          <w:lang w:val="en-PH"/>
        </w:rPr>
        <w:t>and</w:t>
      </w:r>
      <w:commentRangeEnd w:id="8"/>
      <w:r w:rsidR="002804BC">
        <w:rPr>
          <w:rStyle w:val="Marquedecommentaire"/>
          <w:rFonts w:ascii="Times New Roman" w:hAnsi="Times New Roman"/>
          <w:lang w:val="nb-NO" w:eastAsia="nb-NO"/>
        </w:rPr>
        <w:commentReference w:id="8"/>
      </w:r>
    </w:p>
    <w:p w14:paraId="14E16F8C" w14:textId="62891E1A" w:rsidR="002E0D56" w:rsidRDefault="002E0D56" w:rsidP="00441B6F">
      <w:pPr>
        <w:pStyle w:val="Body"/>
        <w:spacing w:after="0"/>
        <w:rPr>
          <w:rFonts w:ascii="Arial" w:hAnsi="Arial" w:cs="Arial"/>
        </w:rPr>
      </w:pPr>
    </w:p>
    <w:p w14:paraId="7A4CDEB1" w14:textId="7DD2B3D5" w:rsidR="002A13DB" w:rsidRPr="002A13DB" w:rsidRDefault="002A13DB" w:rsidP="00441B6F">
      <w:pPr>
        <w:pStyle w:val="Body"/>
        <w:spacing w:after="0"/>
        <w:rPr>
          <w:rFonts w:ascii="Arial" w:hAnsi="Arial" w:cs="Arial"/>
          <w:color w:val="FF0000"/>
          <w:highlight w:val="blue"/>
        </w:rPr>
      </w:pPr>
      <w:r>
        <w:rPr>
          <w:rFonts w:ascii="Arial" w:hAnsi="Arial" w:cs="Arial"/>
          <w:color w:val="FF0000"/>
          <w:highlight w:val="blue"/>
        </w:rPr>
        <w:t xml:space="preserve">3. </w:t>
      </w:r>
      <w:r w:rsidRPr="002A13DB">
        <w:rPr>
          <w:rFonts w:ascii="Arial" w:hAnsi="Arial" w:cs="Arial"/>
          <w:color w:val="FF0000"/>
          <w:highlight w:val="blue"/>
        </w:rPr>
        <w:t>Literature Review</w:t>
      </w:r>
    </w:p>
    <w:p w14:paraId="4154C1C2" w14:textId="29B75BE3" w:rsidR="002A13DB" w:rsidRPr="002A13DB" w:rsidRDefault="002A13DB" w:rsidP="00441B6F">
      <w:pPr>
        <w:pStyle w:val="Body"/>
        <w:spacing w:after="0"/>
        <w:rPr>
          <w:rFonts w:ascii="Arial" w:hAnsi="Arial" w:cs="Arial"/>
          <w:color w:val="FF0000"/>
        </w:rPr>
      </w:pPr>
      <w:commentRangeStart w:id="9"/>
      <w:r w:rsidRPr="002A13DB">
        <w:rPr>
          <w:rFonts w:ascii="Arial" w:hAnsi="Arial" w:cs="Arial"/>
          <w:color w:val="FF0000"/>
          <w:highlight w:val="green"/>
        </w:rPr>
        <w:t>XXXXXXXXXXXXXXXXXXXXXXXXXXXXXXXXXXXXXXXXXXXXXXXXXXXXXXXXXXXXXXXXXXXXXXXXXXXXXXXXXXXXXXXXXXXXXXXXXXXXXXXXXXXXXXXXXXXXXXXXXX</w:t>
      </w:r>
      <w:commentRangeEnd w:id="9"/>
      <w:r>
        <w:rPr>
          <w:rStyle w:val="Marquedecommentaire"/>
          <w:rFonts w:ascii="Times New Roman" w:hAnsi="Times New Roman"/>
          <w:lang w:val="nb-NO" w:eastAsia="nb-NO"/>
        </w:rPr>
        <w:commentReference w:id="9"/>
      </w:r>
    </w:p>
    <w:p w14:paraId="0DC5CAA3" w14:textId="0B39AC76" w:rsidR="00B9544A" w:rsidRDefault="002A13DB" w:rsidP="00CD2DC5">
      <w:pPr>
        <w:pStyle w:val="Body"/>
        <w:spacing w:after="0"/>
        <w:jc w:val="left"/>
        <w:rPr>
          <w:rFonts w:ascii="Arial" w:hAnsi="Arial" w:cs="Arial"/>
          <w:b/>
          <w:bCs/>
          <w:sz w:val="22"/>
          <w:szCs w:val="22"/>
        </w:rPr>
      </w:pPr>
      <w:r>
        <w:rPr>
          <w:rFonts w:ascii="Arial" w:hAnsi="Arial" w:cs="Arial"/>
          <w:b/>
          <w:bCs/>
          <w:sz w:val="22"/>
          <w:szCs w:val="22"/>
        </w:rPr>
        <w:t>4</w:t>
      </w:r>
      <w:r w:rsidR="00B9544A">
        <w:rPr>
          <w:rFonts w:ascii="Arial" w:hAnsi="Arial" w:cs="Arial"/>
          <w:b/>
          <w:bCs/>
          <w:sz w:val="22"/>
          <w:szCs w:val="22"/>
        </w:rPr>
        <w:t>. MATERIALS AND METHODS</w:t>
      </w:r>
    </w:p>
    <w:p w14:paraId="1D2DCBDD" w14:textId="77777777" w:rsidR="002A13DB" w:rsidRPr="002A13DB" w:rsidRDefault="002A13DB" w:rsidP="002A13DB">
      <w:pPr>
        <w:pStyle w:val="Body"/>
        <w:spacing w:after="0"/>
        <w:rPr>
          <w:rFonts w:ascii="Arial" w:hAnsi="Arial" w:cs="Arial"/>
          <w:color w:val="FF0000"/>
        </w:rPr>
      </w:pPr>
      <w:commentRangeStart w:id="10"/>
      <w:commentRangeStart w:id="11"/>
      <w:r w:rsidRPr="002A13DB">
        <w:rPr>
          <w:rFonts w:ascii="Arial" w:hAnsi="Arial" w:cs="Arial"/>
          <w:color w:val="FF0000"/>
          <w:highlight w:val="green"/>
        </w:rPr>
        <w:t>XXXXXXXXXXXXXXXXXXXXXXXXXXXXXXXXXXXXXXXXXXXXXXXXXXXXXXXXXXXXXXXXXXXXXXXXXXXXXXXXXXXXXXXXXXXXXXXXXXXXXXXXXXXXXXXXXXXXXXXXXX</w:t>
      </w:r>
      <w:commentRangeEnd w:id="10"/>
      <w:r>
        <w:rPr>
          <w:rStyle w:val="Marquedecommentaire"/>
          <w:rFonts w:ascii="Times New Roman" w:hAnsi="Times New Roman"/>
          <w:lang w:val="nb-NO" w:eastAsia="nb-NO"/>
        </w:rPr>
        <w:commentReference w:id="10"/>
      </w:r>
      <w:commentRangeEnd w:id="11"/>
      <w:r>
        <w:rPr>
          <w:rStyle w:val="Marquedecommentaire"/>
          <w:rFonts w:ascii="Times New Roman" w:hAnsi="Times New Roman"/>
          <w:lang w:val="nb-NO" w:eastAsia="nb-NO"/>
        </w:rPr>
        <w:commentReference w:id="11"/>
      </w:r>
    </w:p>
    <w:p w14:paraId="55A80B72" w14:textId="60B1B798" w:rsidR="00152230" w:rsidRDefault="00152230" w:rsidP="00441B6F">
      <w:pPr>
        <w:pStyle w:val="Body"/>
        <w:spacing w:after="0"/>
        <w:rPr>
          <w:rFonts w:ascii="Arial" w:hAnsi="Arial" w:cs="Arial"/>
          <w:b/>
          <w:bCs/>
          <w:sz w:val="22"/>
          <w:szCs w:val="22"/>
        </w:rPr>
      </w:pPr>
    </w:p>
    <w:p w14:paraId="1CDD33F6" w14:textId="6573B00C" w:rsidR="00152230" w:rsidRPr="00152230" w:rsidRDefault="00152230" w:rsidP="00215A43">
      <w:pPr>
        <w:pStyle w:val="Body"/>
        <w:numPr>
          <w:ilvl w:val="1"/>
          <w:numId w:val="31"/>
        </w:numPr>
        <w:spacing w:after="0"/>
        <w:jc w:val="left"/>
        <w:rPr>
          <w:rFonts w:ascii="Arial" w:hAnsi="Arial" w:cs="Arial"/>
          <w:b/>
          <w:bCs/>
        </w:rPr>
      </w:pPr>
      <w:r w:rsidRPr="00152230">
        <w:rPr>
          <w:rFonts w:ascii="Arial" w:hAnsi="Arial" w:cs="Arial"/>
          <w:b/>
          <w:bCs/>
        </w:rPr>
        <w:t>Research Design</w:t>
      </w:r>
    </w:p>
    <w:p w14:paraId="403BE57A" w14:textId="7E123902" w:rsidR="00152230" w:rsidRDefault="00152230" w:rsidP="00152230">
      <w:pPr>
        <w:pBdr>
          <w:top w:val="nil"/>
          <w:left w:val="nil"/>
          <w:bottom w:val="nil"/>
          <w:right w:val="nil"/>
          <w:between w:val="nil"/>
        </w:pBdr>
        <w:ind w:firstLine="720"/>
        <w:jc w:val="both"/>
        <w:rPr>
          <w:rFonts w:ascii="Arial" w:eastAsia="Arial" w:hAnsi="Arial" w:cs="Arial"/>
          <w:color w:val="000000"/>
          <w:lang w:eastAsia="en-PH"/>
        </w:rPr>
      </w:pPr>
      <w:r w:rsidRPr="00152230">
        <w:rPr>
          <w:rFonts w:ascii="Arial" w:eastAsia="Arial" w:hAnsi="Arial" w:cs="Arial"/>
          <w:color w:val="000000"/>
          <w:lang w:eastAsia="en-PH"/>
        </w:rPr>
        <w:lastRenderedPageBreak/>
        <w:t xml:space="preserve">This study used a descriptive-correlational design </w:t>
      </w:r>
      <w:r w:rsidRPr="00152230">
        <w:rPr>
          <w:rFonts w:ascii="Arial" w:eastAsia="Arial" w:hAnsi="Arial" w:cs="Arial"/>
          <w:color w:val="000000"/>
          <w:lang w:val="en-PH" w:eastAsia="en-PH"/>
        </w:rPr>
        <w:t>aimed at understanding the characteristics of variables and exploring the relationships between them (</w:t>
      </w:r>
      <w:bookmarkStart w:id="12" w:name="_Hlk182335055"/>
      <w:proofErr w:type="spellStart"/>
      <w:r w:rsidR="00E87B6C">
        <w:rPr>
          <w:rFonts w:ascii="Arial" w:eastAsia="Arial" w:hAnsi="Arial" w:cs="Arial"/>
          <w:color w:val="000000"/>
          <w:lang w:val="en-PH" w:eastAsia="en-PH"/>
        </w:rPr>
        <w:t>Panniamogan</w:t>
      </w:r>
      <w:proofErr w:type="spellEnd"/>
      <w:r w:rsidR="00E87B6C">
        <w:rPr>
          <w:rFonts w:ascii="Arial" w:eastAsia="Arial" w:hAnsi="Arial" w:cs="Arial"/>
          <w:color w:val="000000"/>
          <w:lang w:val="en-PH" w:eastAsia="en-PH"/>
        </w:rPr>
        <w:t xml:space="preserve"> &amp; </w:t>
      </w:r>
      <w:proofErr w:type="spellStart"/>
      <w:r w:rsidR="00E87B6C">
        <w:rPr>
          <w:rFonts w:ascii="Arial" w:eastAsia="Arial" w:hAnsi="Arial" w:cs="Arial"/>
          <w:color w:val="000000"/>
          <w:lang w:val="en-PH" w:eastAsia="en-PH"/>
        </w:rPr>
        <w:t>Dioso</w:t>
      </w:r>
      <w:proofErr w:type="spellEnd"/>
      <w:r w:rsidRPr="00152230">
        <w:rPr>
          <w:rFonts w:ascii="Arial" w:eastAsia="Arial" w:hAnsi="Arial" w:cs="Arial"/>
          <w:color w:val="000000"/>
          <w:lang w:val="en-PH" w:eastAsia="en-PH"/>
        </w:rPr>
        <w:t>, 20</w:t>
      </w:r>
      <w:bookmarkEnd w:id="12"/>
      <w:r w:rsidR="00E87B6C">
        <w:rPr>
          <w:rFonts w:ascii="Arial" w:eastAsia="Arial" w:hAnsi="Arial" w:cs="Arial"/>
          <w:color w:val="000000"/>
          <w:lang w:val="en-PH" w:eastAsia="en-PH"/>
        </w:rPr>
        <w:t>24</w:t>
      </w:r>
      <w:r w:rsidRPr="00152230">
        <w:rPr>
          <w:rFonts w:ascii="Arial" w:eastAsia="Arial" w:hAnsi="Arial" w:cs="Arial"/>
          <w:color w:val="000000"/>
          <w:lang w:val="en-PH" w:eastAsia="en-PH"/>
        </w:rPr>
        <w:t xml:space="preserve">). </w:t>
      </w:r>
      <w:r w:rsidRPr="00152230">
        <w:rPr>
          <w:rFonts w:ascii="Arial" w:eastAsia="Arial" w:hAnsi="Arial" w:cs="Arial"/>
          <w:color w:val="000000"/>
          <w:lang w:eastAsia="en-PH"/>
        </w:rPr>
        <w:t xml:space="preserve">The primary focus was to determine the significant relationship between </w:t>
      </w:r>
      <w:r>
        <w:rPr>
          <w:rFonts w:ascii="Arial" w:eastAsia="Arial" w:hAnsi="Arial" w:cs="Arial"/>
          <w:color w:val="000000"/>
          <w:lang w:eastAsia="en-PH"/>
        </w:rPr>
        <w:t>professional development and teaching efficacy of Master of Science Teaching Mathematics graduates of Davao Oriental State University</w:t>
      </w:r>
      <w:r w:rsidRPr="00152230">
        <w:rPr>
          <w:rFonts w:ascii="Arial" w:eastAsia="Arial" w:hAnsi="Arial" w:cs="Arial"/>
          <w:color w:val="000000"/>
          <w:lang w:eastAsia="en-PH"/>
        </w:rPr>
        <w:t xml:space="preserve">. Data collection involved descriptive surveys, using questionnaires to assess </w:t>
      </w:r>
      <w:r>
        <w:rPr>
          <w:rFonts w:ascii="Arial" w:eastAsia="Arial" w:hAnsi="Arial" w:cs="Arial"/>
          <w:color w:val="000000"/>
          <w:lang w:eastAsia="en-PH"/>
        </w:rPr>
        <w:t>graduates</w:t>
      </w:r>
      <w:r w:rsidRPr="00152230">
        <w:rPr>
          <w:rFonts w:ascii="Arial" w:eastAsia="Arial" w:hAnsi="Arial" w:cs="Arial"/>
          <w:color w:val="000000"/>
          <w:lang w:eastAsia="en-PH"/>
        </w:rPr>
        <w:t xml:space="preserve">’ </w:t>
      </w:r>
      <w:r>
        <w:rPr>
          <w:rFonts w:ascii="Arial" w:eastAsia="Arial" w:hAnsi="Arial" w:cs="Arial"/>
          <w:color w:val="000000"/>
          <w:lang w:eastAsia="en-PH"/>
        </w:rPr>
        <w:t>professional development and their teaching eff</w:t>
      </w:r>
      <w:r w:rsidR="00C0429E">
        <w:rPr>
          <w:rFonts w:ascii="Arial" w:eastAsia="Arial" w:hAnsi="Arial" w:cs="Arial"/>
          <w:color w:val="000000"/>
          <w:lang w:eastAsia="en-PH"/>
        </w:rPr>
        <w:t>i</w:t>
      </w:r>
      <w:r>
        <w:rPr>
          <w:rFonts w:ascii="Arial" w:eastAsia="Arial" w:hAnsi="Arial" w:cs="Arial"/>
          <w:color w:val="000000"/>
          <w:lang w:eastAsia="en-PH"/>
        </w:rPr>
        <w:t>cacy</w:t>
      </w:r>
      <w:r w:rsidRPr="00152230">
        <w:rPr>
          <w:rFonts w:ascii="Arial" w:eastAsia="Arial" w:hAnsi="Arial" w:cs="Arial"/>
          <w:color w:val="000000"/>
          <w:lang w:eastAsia="en-PH"/>
        </w:rPr>
        <w:t>.</w:t>
      </w:r>
    </w:p>
    <w:p w14:paraId="77FAEB97" w14:textId="77777777" w:rsidR="004D1FBB" w:rsidRDefault="004D1FBB" w:rsidP="00152230">
      <w:pPr>
        <w:pBdr>
          <w:top w:val="nil"/>
          <w:left w:val="nil"/>
          <w:bottom w:val="nil"/>
          <w:right w:val="nil"/>
          <w:between w:val="nil"/>
        </w:pBdr>
        <w:ind w:firstLine="720"/>
        <w:jc w:val="both"/>
        <w:rPr>
          <w:rFonts w:ascii="Arial" w:eastAsia="Arial" w:hAnsi="Arial" w:cs="Arial"/>
          <w:color w:val="000000"/>
          <w:lang w:eastAsia="en-PH"/>
        </w:rPr>
      </w:pPr>
    </w:p>
    <w:p w14:paraId="41640B96" w14:textId="77777777" w:rsidR="004D1FBB" w:rsidRPr="00152230" w:rsidRDefault="004D1FBB" w:rsidP="00152230">
      <w:pPr>
        <w:pBdr>
          <w:top w:val="nil"/>
          <w:left w:val="nil"/>
          <w:bottom w:val="nil"/>
          <w:right w:val="nil"/>
          <w:between w:val="nil"/>
        </w:pBdr>
        <w:ind w:firstLine="720"/>
        <w:jc w:val="both"/>
        <w:rPr>
          <w:rFonts w:ascii="Arial" w:eastAsia="Arial" w:hAnsi="Arial" w:cs="Arial"/>
          <w:color w:val="000000"/>
          <w:lang w:eastAsia="en-PH"/>
        </w:rPr>
      </w:pPr>
    </w:p>
    <w:p w14:paraId="1A315C85" w14:textId="77777777" w:rsidR="00790ADA" w:rsidRPr="00502516" w:rsidRDefault="00790ADA" w:rsidP="00441B6F">
      <w:pPr>
        <w:pStyle w:val="Body"/>
        <w:spacing w:after="0"/>
        <w:rPr>
          <w:rFonts w:ascii="Arial" w:hAnsi="Arial" w:cs="Arial"/>
        </w:rPr>
      </w:pPr>
    </w:p>
    <w:p w14:paraId="016C559B" w14:textId="789FAA37" w:rsidR="00C0429E" w:rsidRPr="00C0429E" w:rsidRDefault="00C0429E" w:rsidP="00215A43">
      <w:pPr>
        <w:pStyle w:val="Body"/>
        <w:numPr>
          <w:ilvl w:val="1"/>
          <w:numId w:val="31"/>
        </w:numPr>
        <w:spacing w:after="0"/>
        <w:jc w:val="left"/>
        <w:rPr>
          <w:rFonts w:ascii="Arial" w:hAnsi="Arial" w:cs="Arial"/>
          <w:b/>
          <w:bCs/>
        </w:rPr>
      </w:pPr>
      <w:r>
        <w:rPr>
          <w:rFonts w:ascii="Arial" w:hAnsi="Arial" w:cs="Arial"/>
          <w:b/>
          <w:bCs/>
        </w:rPr>
        <w:t>Research Instrument</w:t>
      </w:r>
    </w:p>
    <w:p w14:paraId="57CE874F" w14:textId="1D8F4E0B" w:rsidR="00F422E4" w:rsidRDefault="00811DEF" w:rsidP="00811DEF">
      <w:pPr>
        <w:pStyle w:val="Body"/>
        <w:spacing w:after="0"/>
        <w:ind w:firstLine="720"/>
        <w:rPr>
          <w:rFonts w:ascii="Arial" w:hAnsi="Arial" w:cs="Arial"/>
        </w:rPr>
      </w:pPr>
      <w:r w:rsidRPr="00811DEF">
        <w:rPr>
          <w:rFonts w:ascii="Arial" w:hAnsi="Arial" w:cs="Arial"/>
        </w:rPr>
        <w:t xml:space="preserve">Two sets of questionnaires were used in this study. The questionnaire for professional development was based on five indicators—relevance to teaching practice, improvement in teaching skills, reflection and growth, collaboration and peer learning, and support and implementation—and was adapted from </w:t>
      </w:r>
      <w:proofErr w:type="spellStart"/>
      <w:r w:rsidRPr="00811DEF">
        <w:rPr>
          <w:rFonts w:ascii="Arial" w:hAnsi="Arial" w:cs="Arial"/>
        </w:rPr>
        <w:t>Mallilin</w:t>
      </w:r>
      <w:proofErr w:type="spellEnd"/>
      <w:r w:rsidRPr="00811DEF">
        <w:rPr>
          <w:rFonts w:ascii="Arial" w:hAnsi="Arial" w:cs="Arial"/>
        </w:rPr>
        <w:t xml:space="preserve"> and Laurel (2022). The questionnaire for teaching efficacy was also anchored on five indicators—classroom management efficacy, instructional strategies efficacy, student engagement efficacy, efficacy in assessing student understanding, and efficacy in meeting diverse student needs—and was adapted from Mohammad et al. (2011). In both questionnaires, respondents were asked to place a check mark in the box corresponding to their degree of agreement, ranging from 1 (Strongly Disagree) to 5 (Strongly Agree).</w:t>
      </w:r>
    </w:p>
    <w:p w14:paraId="782DC1A6" w14:textId="77777777" w:rsidR="00A03B96" w:rsidRDefault="00A03B96" w:rsidP="00441B6F">
      <w:pPr>
        <w:pStyle w:val="Body"/>
        <w:spacing w:after="0"/>
        <w:rPr>
          <w:rFonts w:ascii="Arial" w:hAnsi="Arial" w:cs="Arial"/>
        </w:rPr>
      </w:pPr>
    </w:p>
    <w:p w14:paraId="061EDBAD" w14:textId="4243DC1B" w:rsidR="00F422E4" w:rsidRPr="00F422E4" w:rsidRDefault="00F422E4" w:rsidP="00215A43">
      <w:pPr>
        <w:pStyle w:val="Body"/>
        <w:numPr>
          <w:ilvl w:val="1"/>
          <w:numId w:val="31"/>
        </w:numPr>
        <w:spacing w:after="0"/>
        <w:jc w:val="left"/>
        <w:rPr>
          <w:rFonts w:ascii="Arial" w:hAnsi="Arial" w:cs="Arial"/>
          <w:b/>
          <w:bCs/>
        </w:rPr>
      </w:pPr>
      <w:r>
        <w:rPr>
          <w:rFonts w:ascii="Arial" w:hAnsi="Arial" w:cs="Arial"/>
          <w:b/>
          <w:bCs/>
        </w:rPr>
        <w:t>Respondents of the Study</w:t>
      </w:r>
    </w:p>
    <w:p w14:paraId="0655913F" w14:textId="37FCB55C" w:rsidR="00505F06" w:rsidRPr="00B22104" w:rsidRDefault="00BC1A1B" w:rsidP="00BC1A1B">
      <w:pPr>
        <w:pBdr>
          <w:top w:val="nil"/>
          <w:left w:val="nil"/>
          <w:bottom w:val="nil"/>
          <w:right w:val="nil"/>
          <w:between w:val="nil"/>
        </w:pBdr>
        <w:ind w:firstLine="720"/>
        <w:jc w:val="both"/>
        <w:rPr>
          <w:rFonts w:ascii="Arial" w:hAnsi="Arial" w:cs="Arial"/>
        </w:rPr>
      </w:pPr>
      <w:r w:rsidRPr="00BC1A1B">
        <w:rPr>
          <w:rFonts w:ascii="Arial" w:eastAsia="Arial" w:hAnsi="Arial" w:cs="Arial"/>
          <w:color w:val="000000"/>
        </w:rPr>
        <w:t>There are 65 graduates of the Master of Science in Teaching Mathematics (MSTM) program at Davao Oriental State University (DOrSU) from 2003 to 2024. However, only 25 graduates were successfully reached and agreed to participate in the study. This deviation from the total population is acceptable in cases involving small population sizes (Saunders, Lewis, &amp; Thornhill, 2019).</w:t>
      </w:r>
    </w:p>
    <w:p w14:paraId="4C416D44" w14:textId="77777777" w:rsidR="00F349D8" w:rsidRDefault="00F349D8" w:rsidP="00441B6F">
      <w:pPr>
        <w:pStyle w:val="Body"/>
        <w:spacing w:after="0"/>
        <w:rPr>
          <w:rFonts w:ascii="Arial" w:hAnsi="Arial" w:cs="Arial"/>
        </w:rPr>
      </w:pPr>
    </w:p>
    <w:p w14:paraId="1BB1C84C" w14:textId="0C077F32" w:rsidR="00AA74E0" w:rsidRPr="002E6DC0" w:rsidRDefault="002E6DC0" w:rsidP="00215A43">
      <w:pPr>
        <w:pStyle w:val="Body"/>
        <w:numPr>
          <w:ilvl w:val="1"/>
          <w:numId w:val="31"/>
        </w:numPr>
        <w:spacing w:after="0"/>
        <w:rPr>
          <w:rFonts w:ascii="Arial" w:hAnsi="Arial" w:cs="Arial"/>
        </w:rPr>
      </w:pPr>
      <w:r>
        <w:rPr>
          <w:rFonts w:ascii="Arial" w:hAnsi="Arial" w:cs="Arial"/>
          <w:b/>
        </w:rPr>
        <w:t>Data Gathering</w:t>
      </w:r>
    </w:p>
    <w:p w14:paraId="6D87B874" w14:textId="77777777"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This study employed a systematic procedure to ensure the accurate collection and analysis of data. The process began with securing clearance from the Research Ethics Board, which reviewed and validated the ethical considerations of the survey instrument. Following this, a formal letter of request was prepared and submitted to obtain permission to conduct the study. This letter, requiring an official signature, signified authorization to proceed and ensured that participants were adequately informed and protected throughout the research process.</w:t>
      </w:r>
    </w:p>
    <w:p w14:paraId="716A9B79" w14:textId="631F5296"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 xml:space="preserve">Upon receiving approval, the survey questionnaires were distributed to </w:t>
      </w:r>
      <w:r w:rsidR="00770A2E" w:rsidRPr="00380CBB">
        <w:rPr>
          <w:rFonts w:ascii="Arial" w:hAnsi="Arial" w:cs="Arial"/>
          <w:color w:val="000000" w:themeColor="text1"/>
          <w:szCs w:val="24"/>
        </w:rPr>
        <w:t>identified</w:t>
      </w:r>
      <w:r w:rsidRPr="00380CBB">
        <w:rPr>
          <w:rFonts w:ascii="Arial" w:hAnsi="Arial" w:cs="Arial"/>
          <w:color w:val="000000" w:themeColor="text1"/>
          <w:szCs w:val="24"/>
        </w:rPr>
        <w:t xml:space="preserve"> graduates of the Master of Science in Teaching (MST) program majoring in Mathematics. The data collected from the completed questionnaires underwent thorough analysis, utilizing appropriate statistical and analytical methods. The researcher systematically described and summarized the data to ensure clarity, accuracy, and comprehensiveness.</w:t>
      </w:r>
    </w:p>
    <w:p w14:paraId="4D80300E" w14:textId="785ABD0A" w:rsidR="002E6DC0"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Findings were presented objectively, without manipulation, and organized in a manner that promotes transparency and ease of interpretation. This rigorous and ethical approach to data collection and analysis reinforces the integrity of the research process and supports the reliability of its results.</w:t>
      </w:r>
    </w:p>
    <w:p w14:paraId="28CC11E2" w14:textId="77777777" w:rsidR="00790ADA" w:rsidRPr="002E6DC0" w:rsidRDefault="00790ADA" w:rsidP="00441B6F">
      <w:pPr>
        <w:pStyle w:val="Body"/>
        <w:spacing w:after="0"/>
        <w:rPr>
          <w:rFonts w:ascii="Arial" w:hAnsi="Arial" w:cs="Arial"/>
          <w:iCs/>
        </w:rPr>
      </w:pPr>
    </w:p>
    <w:p w14:paraId="37D6DAFA" w14:textId="079785FE" w:rsidR="00902823" w:rsidRDefault="00215A43" w:rsidP="00441B6F">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results and discussion</w:t>
      </w:r>
    </w:p>
    <w:p w14:paraId="5AFC0D2E" w14:textId="77777777" w:rsidR="00215A43" w:rsidRPr="002A13DB" w:rsidRDefault="00215A43" w:rsidP="00215A43">
      <w:pPr>
        <w:pStyle w:val="Body"/>
        <w:spacing w:after="0"/>
        <w:rPr>
          <w:rFonts w:ascii="Arial" w:hAnsi="Arial" w:cs="Arial"/>
          <w:color w:val="FF0000"/>
        </w:rPr>
      </w:pPr>
      <w:commentRangeStart w:id="13"/>
      <w:r w:rsidRPr="002A13DB">
        <w:rPr>
          <w:rFonts w:ascii="Arial" w:hAnsi="Arial" w:cs="Arial"/>
          <w:color w:val="FF0000"/>
          <w:highlight w:val="green"/>
        </w:rPr>
        <w:t>XXXXXXXXXXXXXXXXXXXXXXXXXXXXXXXXXXXXXXXXXXXXXXXXXXXXXXXXXXXXXXXXXXXXXXXXXXXXXXXXXXXXXXXXXXXXXXXXXXXXXXXXXXXXXXXXXXXXXXXXXX</w:t>
      </w:r>
      <w:commentRangeEnd w:id="13"/>
      <w:r>
        <w:rPr>
          <w:rStyle w:val="Marquedecommentaire"/>
          <w:rFonts w:ascii="Times New Roman" w:hAnsi="Times New Roman"/>
          <w:lang w:val="nb-NO" w:eastAsia="nb-NO"/>
        </w:rPr>
        <w:commentReference w:id="13"/>
      </w:r>
    </w:p>
    <w:p w14:paraId="489B746C" w14:textId="77777777" w:rsidR="00790ADA" w:rsidRPr="00FB3A86" w:rsidRDefault="00790ADA" w:rsidP="00441B6F">
      <w:pPr>
        <w:pStyle w:val="Head1"/>
        <w:spacing w:after="0"/>
        <w:jc w:val="both"/>
        <w:rPr>
          <w:rFonts w:ascii="Arial" w:hAnsi="Arial" w:cs="Arial"/>
        </w:rPr>
      </w:pPr>
    </w:p>
    <w:p w14:paraId="16637B85" w14:textId="0A5895BD" w:rsidR="00215A43" w:rsidRDefault="00215A43" w:rsidP="00215A43">
      <w:pPr>
        <w:pStyle w:val="Head1"/>
        <w:spacing w:after="0"/>
        <w:jc w:val="both"/>
        <w:rPr>
          <w:rFonts w:ascii="Arial" w:hAnsi="Arial" w:cs="Arial"/>
        </w:rPr>
      </w:pPr>
      <w:r>
        <w:rPr>
          <w:rFonts w:ascii="Arial" w:hAnsi="Arial" w:cs="Arial"/>
        </w:rPr>
        <w:t>5.</w:t>
      </w:r>
      <w:r>
        <w:rPr>
          <w:rFonts w:ascii="Arial" w:hAnsi="Arial" w:cs="Arial"/>
        </w:rPr>
        <w:t xml:space="preserve">1. </w:t>
      </w:r>
      <w:r>
        <w:rPr>
          <w:rFonts w:ascii="Arial" w:hAnsi="Arial" w:cs="Arial"/>
        </w:rPr>
        <w:t xml:space="preserve">results </w:t>
      </w:r>
    </w:p>
    <w:p w14:paraId="3D5B550A" w14:textId="77777777" w:rsidR="00215A43" w:rsidRPr="002A13DB" w:rsidRDefault="00215A43" w:rsidP="00215A43">
      <w:pPr>
        <w:pStyle w:val="Body"/>
        <w:spacing w:after="0"/>
        <w:rPr>
          <w:rFonts w:ascii="Arial" w:hAnsi="Arial" w:cs="Arial"/>
          <w:color w:val="FF0000"/>
        </w:rPr>
      </w:pPr>
      <w:commentRangeStart w:id="14"/>
      <w:r w:rsidRPr="002A13DB">
        <w:rPr>
          <w:rFonts w:ascii="Arial" w:hAnsi="Arial" w:cs="Arial"/>
          <w:color w:val="FF0000"/>
          <w:highlight w:val="green"/>
        </w:rPr>
        <w:t>XXXXXXXXXXXXXXXXXXXXXXXXXXXXXXXXXXXXXXXXXXXXXXXXXXXXXXXXXXXXXXXXXXXXXXXXXXXXXXXXXXXXXXXXXXXXXXXXXXXXXXXXXXXXXXXXXXXXXXXXXX</w:t>
      </w:r>
      <w:commentRangeEnd w:id="14"/>
      <w:r>
        <w:rPr>
          <w:rStyle w:val="Marquedecommentaire"/>
          <w:rFonts w:ascii="Times New Roman" w:hAnsi="Times New Roman"/>
          <w:lang w:val="nb-NO" w:eastAsia="nb-NO"/>
        </w:rPr>
        <w:commentReference w:id="14"/>
      </w:r>
    </w:p>
    <w:p w14:paraId="18395158" w14:textId="54D4C7D2" w:rsidR="00790ADA" w:rsidRDefault="00790ADA" w:rsidP="00441B6F">
      <w:pPr>
        <w:pStyle w:val="Body"/>
        <w:spacing w:after="0"/>
        <w:rPr>
          <w:rFonts w:ascii="Arial" w:hAnsi="Arial" w:cs="Arial"/>
        </w:rPr>
      </w:pPr>
    </w:p>
    <w:p w14:paraId="02029604" w14:textId="4EB64F9A" w:rsidR="00F2124F" w:rsidRPr="00F2124F" w:rsidRDefault="00215A43" w:rsidP="00F2124F">
      <w:pPr>
        <w:pStyle w:val="Body"/>
        <w:spacing w:after="0"/>
        <w:jc w:val="center"/>
        <w:rPr>
          <w:rFonts w:ascii="Arial" w:hAnsi="Arial" w:cs="Arial"/>
          <w:b/>
          <w:bCs/>
        </w:rPr>
      </w:pPr>
      <w:r>
        <w:rPr>
          <w:rFonts w:ascii="Arial" w:hAnsi="Arial" w:cs="Arial"/>
          <w:b/>
          <w:bCs/>
        </w:rPr>
        <w:t xml:space="preserve">5.1.1. </w:t>
      </w:r>
      <w:r w:rsidR="00F2124F">
        <w:rPr>
          <w:rFonts w:ascii="Arial" w:hAnsi="Arial" w:cs="Arial"/>
          <w:b/>
          <w:bCs/>
        </w:rPr>
        <w:t xml:space="preserve">Level </w:t>
      </w:r>
      <w:r w:rsidR="00632968">
        <w:rPr>
          <w:rFonts w:ascii="Arial" w:hAnsi="Arial" w:cs="Arial"/>
          <w:b/>
          <w:bCs/>
        </w:rPr>
        <w:t xml:space="preserve">of </w:t>
      </w:r>
      <w:r w:rsidR="00F2124F">
        <w:rPr>
          <w:rFonts w:ascii="Arial" w:hAnsi="Arial" w:cs="Arial"/>
          <w:b/>
          <w:bCs/>
        </w:rPr>
        <w:t xml:space="preserve">Professional </w:t>
      </w:r>
      <w:r w:rsidR="00632968">
        <w:rPr>
          <w:rFonts w:ascii="Arial" w:hAnsi="Arial" w:cs="Arial"/>
          <w:b/>
          <w:bCs/>
        </w:rPr>
        <w:t>D</w:t>
      </w:r>
      <w:r w:rsidR="00F2124F">
        <w:rPr>
          <w:rFonts w:ascii="Arial" w:hAnsi="Arial" w:cs="Arial"/>
          <w:b/>
          <w:bCs/>
        </w:rPr>
        <w:t xml:space="preserve">evelopment </w:t>
      </w:r>
    </w:p>
    <w:p w14:paraId="69F24A60" w14:textId="0DFCF392" w:rsidR="00502516" w:rsidRDefault="00502516" w:rsidP="00441B6F">
      <w:pPr>
        <w:pStyle w:val="Body"/>
        <w:spacing w:after="0"/>
        <w:rPr>
          <w:rFonts w:ascii="Arial" w:hAnsi="Arial" w:cs="Arial"/>
        </w:rPr>
      </w:pPr>
    </w:p>
    <w:p w14:paraId="6C4A0ACE" w14:textId="00FE214E" w:rsidR="00985DEA" w:rsidRPr="00215A43" w:rsidRDefault="001B7D13" w:rsidP="00441B6F">
      <w:pPr>
        <w:pStyle w:val="Body"/>
        <w:spacing w:after="0"/>
        <w:rPr>
          <w:rFonts w:ascii="Arial" w:hAnsi="Arial" w:cs="Arial"/>
          <w:highlight w:val="cyan"/>
        </w:rPr>
      </w:pPr>
      <w:r>
        <w:rPr>
          <w:rFonts w:ascii="Arial" w:hAnsi="Arial" w:cs="Arial"/>
        </w:rPr>
        <w:tab/>
      </w:r>
      <w:commentRangeStart w:id="15"/>
      <w:r w:rsidRPr="00215A43">
        <w:rPr>
          <w:rFonts w:ascii="Arial" w:hAnsi="Arial" w:cs="Arial"/>
          <w:highlight w:val="cyan"/>
        </w:rPr>
        <w:t>Table 1</w:t>
      </w:r>
      <w:r w:rsidR="00F2124F" w:rsidRPr="00215A43">
        <w:rPr>
          <w:rFonts w:ascii="Arial" w:hAnsi="Arial" w:cs="Arial"/>
          <w:highlight w:val="cyan"/>
        </w:rPr>
        <w:t xml:space="preserve"> presents the summary of the professional development. It has five indicators namely: relevance to teaching practice; improvement in teaching skills; reflection and growth; collaboration and peer learning; and support and implementation. </w:t>
      </w:r>
      <w:r w:rsidR="00B27DED" w:rsidRPr="00215A43">
        <w:rPr>
          <w:rFonts w:ascii="Arial" w:hAnsi="Arial" w:cs="Arial"/>
          <w:highlight w:val="cyan"/>
        </w:rPr>
        <w:t>The findings reveal that the overall level of professional development among MST Mathematics graduates is very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4.33</m:t>
        </m:r>
      </m:oMath>
      <w:r w:rsidRPr="00215A43">
        <w:rPr>
          <w:rFonts w:ascii="Arial" w:hAnsi="Arial" w:cs="Arial"/>
          <w:highlight w:val="cyan"/>
        </w:rPr>
        <w:t>,</w:t>
      </w:r>
      <m:oMath>
        <m:r>
          <w:rPr>
            <w:rFonts w:ascii="Cambria Math" w:hAnsi="Cambria Math" w:cs="Arial"/>
            <w:highlight w:val="cyan"/>
          </w:rPr>
          <m:t>s=0.41</m:t>
        </m:r>
      </m:oMath>
      <w:r w:rsidR="00B27DED" w:rsidRPr="00215A43">
        <w:rPr>
          <w:rFonts w:ascii="Arial" w:hAnsi="Arial" w:cs="Arial"/>
          <w:highlight w:val="cyan"/>
        </w:rPr>
        <w:t xml:space="preserve">), indicating that the measures described in the items were manifested at all </w:t>
      </w:r>
      <w:r w:rsidR="00985DEA" w:rsidRPr="00215A43">
        <w:rPr>
          <w:rFonts w:ascii="Arial" w:hAnsi="Arial" w:cs="Arial"/>
          <w:highlight w:val="cyan"/>
        </w:rPr>
        <w:t>times</w:t>
      </w:r>
      <w:r w:rsidR="00B27DED" w:rsidRPr="00215A43">
        <w:rPr>
          <w:rFonts w:ascii="Arial" w:hAnsi="Arial" w:cs="Arial"/>
          <w:highlight w:val="cyan"/>
        </w:rPr>
        <w:t>. This result is consistent with Ho et al. (2023), who emphasized the importance of equipping teachers with up-to-date skills to meet evolving educational demands and improve student outcomes.</w:t>
      </w:r>
    </w:p>
    <w:p w14:paraId="7BABD829" w14:textId="3CE9F26A" w:rsidR="004C646D" w:rsidRPr="00215A43" w:rsidRDefault="004C646D" w:rsidP="004C646D">
      <w:pPr>
        <w:pStyle w:val="Body"/>
        <w:spacing w:after="0"/>
        <w:ind w:firstLine="720"/>
        <w:rPr>
          <w:rFonts w:ascii="Arial" w:hAnsi="Arial" w:cs="Arial"/>
          <w:highlight w:val="cyan"/>
        </w:rPr>
      </w:pPr>
      <w:r w:rsidRPr="00215A43">
        <w:rPr>
          <w:rFonts w:ascii="Arial" w:hAnsi="Arial" w:cs="Arial"/>
          <w:highlight w:val="cyan"/>
        </w:rPr>
        <w:t>Results revealed that relevance to teaching practice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4.41</m:t>
        </m:r>
      </m:oMath>
      <w:r w:rsidRPr="00215A43">
        <w:rPr>
          <w:rFonts w:ascii="Arial" w:hAnsi="Arial" w:cs="Arial"/>
          <w:highlight w:val="cyan"/>
        </w:rPr>
        <w:t xml:space="preserve">, </w:t>
      </w:r>
      <m:oMath>
        <m:r>
          <w:rPr>
            <w:rFonts w:ascii="Cambria Math" w:hAnsi="Cambria Math" w:cs="Arial"/>
            <w:highlight w:val="cyan"/>
          </w:rPr>
          <m:t>s=0 .50</m:t>
        </m:r>
      </m:oMath>
      <w:r w:rsidRPr="00215A43">
        <w:rPr>
          <w:rFonts w:ascii="Arial" w:hAnsi="Arial" w:cs="Arial"/>
          <w:highlight w:val="cyan"/>
        </w:rPr>
        <w:t>) and improvement in teaching skills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4.40</m:t>
        </m:r>
      </m:oMath>
      <w:r w:rsidRPr="00215A43">
        <w:rPr>
          <w:rFonts w:ascii="Arial" w:hAnsi="Arial" w:cs="Arial"/>
          <w:highlight w:val="cyan"/>
        </w:rPr>
        <w:t xml:space="preserve">, </w:t>
      </w:r>
      <m:oMath>
        <m:r>
          <w:rPr>
            <w:rFonts w:ascii="Cambria Math" w:hAnsi="Cambria Math" w:cs="Arial"/>
            <w:highlight w:val="cyan"/>
          </w:rPr>
          <m:t>s = 0.52</m:t>
        </m:r>
      </m:oMath>
      <w:r w:rsidRPr="00215A43">
        <w:rPr>
          <w:rFonts w:ascii="Arial" w:hAnsi="Arial" w:cs="Arial"/>
          <w:highlight w:val="cyan"/>
        </w:rPr>
        <w:t xml:space="preserve">) were rated very high, indicating that the professional development (PD) activities were timely and aligned with instructional needs. This supports the findings of Juma (2024) and Mustafa &amp; </w:t>
      </w:r>
      <w:proofErr w:type="spellStart"/>
      <w:r w:rsidRPr="00215A43">
        <w:rPr>
          <w:rFonts w:ascii="Arial" w:hAnsi="Arial" w:cs="Arial"/>
          <w:highlight w:val="cyan"/>
        </w:rPr>
        <w:t>Paçariz</w:t>
      </w:r>
      <w:proofErr w:type="spellEnd"/>
      <w:r w:rsidRPr="00215A43">
        <w:rPr>
          <w:rFonts w:ascii="Arial" w:hAnsi="Arial" w:cs="Arial"/>
          <w:highlight w:val="cyan"/>
        </w:rPr>
        <w:t xml:space="preserve"> (2021), who emphasized the importance of aligning PD with classroom realities, particularly in mathematics education, where innovative strategies like problem-based learning are essential (</w:t>
      </w:r>
      <w:proofErr w:type="spellStart"/>
      <w:r w:rsidRPr="00215A43">
        <w:rPr>
          <w:rFonts w:ascii="Arial" w:hAnsi="Arial" w:cs="Arial"/>
          <w:highlight w:val="cyan"/>
        </w:rPr>
        <w:t>Gradini</w:t>
      </w:r>
      <w:proofErr w:type="spellEnd"/>
      <w:r w:rsidRPr="00215A43">
        <w:rPr>
          <w:rFonts w:ascii="Arial" w:hAnsi="Arial" w:cs="Arial"/>
          <w:highlight w:val="cyan"/>
        </w:rPr>
        <w:t xml:space="preserve"> et al., 2024).</w:t>
      </w:r>
    </w:p>
    <w:p w14:paraId="54709AA2" w14:textId="289D866B" w:rsidR="00985DEA" w:rsidRPr="00215A43" w:rsidRDefault="004C646D" w:rsidP="00441B6F">
      <w:pPr>
        <w:pStyle w:val="Body"/>
        <w:spacing w:after="0"/>
        <w:rPr>
          <w:rFonts w:ascii="Arial" w:hAnsi="Arial" w:cs="Arial"/>
          <w:highlight w:val="cyan"/>
        </w:rPr>
      </w:pPr>
      <w:r w:rsidRPr="00215A43">
        <w:rPr>
          <w:rFonts w:ascii="Arial" w:hAnsi="Arial" w:cs="Arial"/>
          <w:highlight w:val="cyan"/>
        </w:rPr>
        <w:tab/>
        <w:t>Reflection and growth received the highest rating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4.44</m:t>
        </m:r>
      </m:oMath>
      <w:r w:rsidRPr="00215A43">
        <w:rPr>
          <w:rFonts w:ascii="Arial" w:hAnsi="Arial" w:cs="Arial"/>
          <w:highlight w:val="cyan"/>
        </w:rPr>
        <w:t xml:space="preserve">, </w:t>
      </w:r>
      <m:oMath>
        <m:r>
          <w:rPr>
            <w:rFonts w:ascii="Cambria Math" w:hAnsi="Cambria Math" w:cs="Arial"/>
            <w:highlight w:val="cyan"/>
          </w:rPr>
          <m:t>s= 0.43</m:t>
        </m:r>
      </m:oMath>
      <w:r w:rsidRPr="00215A43">
        <w:rPr>
          <w:rFonts w:ascii="Arial" w:hAnsi="Arial" w:cs="Arial"/>
          <w:highlight w:val="cyan"/>
        </w:rPr>
        <w:t xml:space="preserve">), highlighting the graduates’ strong commitment to continuous improvement. This is consistent with </w:t>
      </w:r>
      <w:proofErr w:type="spellStart"/>
      <w:r w:rsidRPr="00215A43">
        <w:rPr>
          <w:rFonts w:ascii="Arial" w:hAnsi="Arial" w:cs="Arial"/>
          <w:highlight w:val="cyan"/>
        </w:rPr>
        <w:t>Alnijres</w:t>
      </w:r>
      <w:proofErr w:type="spellEnd"/>
      <w:r w:rsidRPr="00215A43">
        <w:rPr>
          <w:rFonts w:ascii="Arial" w:hAnsi="Arial" w:cs="Arial"/>
          <w:highlight w:val="cyan"/>
        </w:rPr>
        <w:t xml:space="preserve"> (2024) and Zakaria (2020), who identified reflection as a key factor in teacher development, though challenges in institutional support persist (</w:t>
      </w:r>
      <w:proofErr w:type="spellStart"/>
      <w:r w:rsidRPr="00215A43">
        <w:rPr>
          <w:rFonts w:ascii="Arial" w:hAnsi="Arial" w:cs="Arial"/>
          <w:highlight w:val="cyan"/>
        </w:rPr>
        <w:t>Machost</w:t>
      </w:r>
      <w:proofErr w:type="spellEnd"/>
      <w:r w:rsidRPr="00215A43">
        <w:rPr>
          <w:rFonts w:ascii="Arial" w:hAnsi="Arial" w:cs="Arial"/>
          <w:highlight w:val="cyan"/>
        </w:rPr>
        <w:t xml:space="preserve"> &amp; Stains, 2023).</w:t>
      </w:r>
    </w:p>
    <w:p w14:paraId="3963536C" w14:textId="21A424AF" w:rsidR="004C646D" w:rsidRPr="00215A43" w:rsidRDefault="004C646D" w:rsidP="00441B6F">
      <w:pPr>
        <w:pStyle w:val="Body"/>
        <w:spacing w:after="0"/>
        <w:rPr>
          <w:rFonts w:ascii="Arial" w:hAnsi="Arial" w:cs="Arial"/>
          <w:highlight w:val="cyan"/>
        </w:rPr>
      </w:pPr>
      <w:r w:rsidRPr="00215A43">
        <w:rPr>
          <w:rFonts w:ascii="Arial" w:hAnsi="Arial" w:cs="Arial"/>
          <w:highlight w:val="cyan"/>
        </w:rPr>
        <w:tab/>
        <w:t>Collaboration and peer learning also scored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4.35</m:t>
        </m:r>
      </m:oMath>
      <w:r w:rsidRPr="00215A43">
        <w:rPr>
          <w:rFonts w:ascii="Arial" w:hAnsi="Arial" w:cs="Arial"/>
          <w:highlight w:val="cyan"/>
        </w:rPr>
        <w:t xml:space="preserve">, </w:t>
      </w:r>
      <m:oMath>
        <m:r>
          <w:rPr>
            <w:rFonts w:ascii="Cambria Math" w:hAnsi="Cambria Math" w:cs="Arial"/>
            <w:highlight w:val="cyan"/>
          </w:rPr>
          <m:t>s = 0.44</m:t>
        </m:r>
      </m:oMath>
      <w:r w:rsidRPr="00215A43">
        <w:rPr>
          <w:rFonts w:ascii="Arial" w:hAnsi="Arial" w:cs="Arial"/>
          <w:highlight w:val="cyan"/>
        </w:rPr>
        <w:t>), affirming the value of professional dialogue in enhancing teaching practices (Wagner et al., 2019). However, institutional constraints like time and support can limit its effectiveness (Pannell et al., 2019).</w:t>
      </w:r>
    </w:p>
    <w:p w14:paraId="1B5B133E" w14:textId="2BA62AD2" w:rsidR="004C646D" w:rsidRPr="002D797F" w:rsidRDefault="004C646D" w:rsidP="00441B6F">
      <w:pPr>
        <w:pStyle w:val="Body"/>
        <w:spacing w:after="0"/>
        <w:rPr>
          <w:rFonts w:ascii="Arial" w:hAnsi="Arial" w:cs="Arial"/>
        </w:rPr>
      </w:pPr>
      <w:r w:rsidRPr="00215A43">
        <w:rPr>
          <w:rFonts w:ascii="Arial" w:hAnsi="Arial" w:cs="Arial"/>
          <w:highlight w:val="cyan"/>
        </w:rPr>
        <w:tab/>
        <w:t>Support and implementation received the lowest, though still high, rating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4.04</m:t>
        </m:r>
      </m:oMath>
      <w:r w:rsidRPr="00215A43">
        <w:rPr>
          <w:rFonts w:ascii="Arial" w:hAnsi="Arial" w:cs="Arial"/>
          <w:highlight w:val="cyan"/>
        </w:rPr>
        <w:t xml:space="preserve">, </w:t>
      </w:r>
      <m:oMath>
        <m:r>
          <w:rPr>
            <w:rFonts w:ascii="Cambria Math" w:hAnsi="Cambria Math" w:cs="Arial"/>
            <w:highlight w:val="cyan"/>
          </w:rPr>
          <m:t>s = 0.78</m:t>
        </m:r>
      </m:oMath>
      <w:r w:rsidRPr="00215A43">
        <w:rPr>
          <w:rFonts w:ascii="Arial" w:hAnsi="Arial" w:cs="Arial"/>
          <w:highlight w:val="cyan"/>
        </w:rPr>
        <w:t xml:space="preserve">), indicating a gap in sustained follow-up. This aligns with </w:t>
      </w:r>
      <w:proofErr w:type="spellStart"/>
      <w:r w:rsidRPr="00215A43">
        <w:rPr>
          <w:rFonts w:ascii="Arial" w:hAnsi="Arial" w:cs="Arial"/>
          <w:highlight w:val="cyan"/>
        </w:rPr>
        <w:t>Sandholtz</w:t>
      </w:r>
      <w:proofErr w:type="spellEnd"/>
      <w:r w:rsidRPr="00215A43">
        <w:rPr>
          <w:rFonts w:ascii="Arial" w:hAnsi="Arial" w:cs="Arial"/>
          <w:highlight w:val="cyan"/>
        </w:rPr>
        <w:t xml:space="preserve"> et al. (2023), who stressed that without continuous support, the impact of PD often diminishes. Strengthening implementation structures remains essential (Lee et al., 2024; Qazi, 2017).</w:t>
      </w:r>
      <w:commentRangeEnd w:id="15"/>
      <w:r w:rsidR="009919D8">
        <w:rPr>
          <w:rStyle w:val="Marquedecommentaire"/>
          <w:rFonts w:ascii="Times New Roman" w:hAnsi="Times New Roman"/>
          <w:lang w:val="nb-NO" w:eastAsia="nb-NO"/>
        </w:rPr>
        <w:commentReference w:id="15"/>
      </w:r>
    </w:p>
    <w:p w14:paraId="1D904791" w14:textId="1337E19D" w:rsidR="00F92613" w:rsidRDefault="00F92613" w:rsidP="00AF21B5">
      <w:pPr>
        <w:pStyle w:val="Body"/>
        <w:spacing w:after="0"/>
        <w:rPr>
          <w:rFonts w:ascii="Arial" w:hAnsi="Arial" w:cs="Arial"/>
        </w:rPr>
      </w:pPr>
    </w:p>
    <w:p w14:paraId="61D6FE2E" w14:textId="1B113A1C" w:rsidR="00F92613" w:rsidRPr="009919D8" w:rsidRDefault="001B7D13" w:rsidP="00AF21B5">
      <w:pPr>
        <w:pStyle w:val="Body"/>
        <w:spacing w:after="0"/>
        <w:rPr>
          <w:rFonts w:ascii="Arial" w:hAnsi="Arial" w:cs="Arial"/>
          <w:highlight w:val="magenta"/>
        </w:rPr>
      </w:pPr>
      <w:commentRangeStart w:id="16"/>
      <w:r w:rsidRPr="009919D8">
        <w:rPr>
          <w:rFonts w:ascii="Arial" w:hAnsi="Arial" w:cs="Arial"/>
          <w:highlight w:val="magenta"/>
        </w:rPr>
        <w:t>Table</w:t>
      </w:r>
      <w:commentRangeEnd w:id="16"/>
      <w:r w:rsidR="009919D8">
        <w:rPr>
          <w:rStyle w:val="Marquedecommentaire"/>
          <w:rFonts w:ascii="Times New Roman" w:hAnsi="Times New Roman"/>
          <w:lang w:val="nb-NO" w:eastAsia="nb-NO"/>
        </w:rPr>
        <w:commentReference w:id="16"/>
      </w:r>
      <w:r w:rsidRPr="009919D8">
        <w:rPr>
          <w:rFonts w:ascii="Arial" w:hAnsi="Arial" w:cs="Arial"/>
          <w:highlight w:val="magenta"/>
        </w:rPr>
        <w:t xml:space="preserve"> 1</w:t>
      </w:r>
      <w:r w:rsidR="00F92613" w:rsidRPr="009919D8">
        <w:rPr>
          <w:rFonts w:ascii="Arial" w:hAnsi="Arial" w:cs="Arial"/>
          <w:highlight w:val="magenta"/>
        </w:rPr>
        <w:t xml:space="preserve">. </w:t>
      </w:r>
      <w:r w:rsidRPr="009919D8">
        <w:rPr>
          <w:rFonts w:ascii="Arial" w:hAnsi="Arial" w:cs="Arial"/>
          <w:highlight w:val="magenta"/>
        </w:rPr>
        <w:t>Level of the P</w:t>
      </w:r>
      <w:r w:rsidR="00F92613" w:rsidRPr="009919D8">
        <w:rPr>
          <w:rFonts w:ascii="Arial" w:hAnsi="Arial" w:cs="Arial"/>
          <w:highlight w:val="magenta"/>
        </w:rPr>
        <w:t>rofessional Development</w:t>
      </w:r>
    </w:p>
    <w:tbl>
      <w:tblPr>
        <w:tblW w:w="9015" w:type="dxa"/>
        <w:tblInd w:w="93" w:type="dxa"/>
        <w:tblLook w:val="04A0" w:firstRow="1" w:lastRow="0" w:firstColumn="1" w:lastColumn="0" w:noHBand="0" w:noVBand="1"/>
      </w:tblPr>
      <w:tblGrid>
        <w:gridCol w:w="4065"/>
        <w:gridCol w:w="1170"/>
        <w:gridCol w:w="1350"/>
        <w:gridCol w:w="2430"/>
      </w:tblGrid>
      <w:tr w:rsidR="00F2124F" w:rsidRPr="009919D8" w14:paraId="47C38C95" w14:textId="77777777" w:rsidTr="00CE31C6">
        <w:trPr>
          <w:trHeight w:val="354"/>
        </w:trPr>
        <w:tc>
          <w:tcPr>
            <w:tcW w:w="4065" w:type="dxa"/>
            <w:tcBorders>
              <w:top w:val="single" w:sz="8" w:space="0" w:color="auto"/>
              <w:bottom w:val="single" w:sz="8" w:space="0" w:color="auto"/>
            </w:tcBorders>
            <w:shd w:val="clear" w:color="auto" w:fill="auto"/>
            <w:vAlign w:val="center"/>
            <w:hideMark/>
          </w:tcPr>
          <w:p w14:paraId="646C2AF2" w14:textId="73A2C929" w:rsidR="00F2124F" w:rsidRPr="009919D8" w:rsidRDefault="001B7D13" w:rsidP="001B7D13">
            <w:pPr>
              <w:pStyle w:val="Body"/>
              <w:spacing w:after="0"/>
              <w:rPr>
                <w:rFonts w:ascii="Arial" w:hAnsi="Arial" w:cs="Arial"/>
                <w:b/>
                <w:bCs/>
                <w:highlight w:val="magenta"/>
                <w:lang w:val="en-PH"/>
              </w:rPr>
            </w:pPr>
            <w:r w:rsidRPr="009919D8">
              <w:rPr>
                <w:rFonts w:ascii="Arial" w:hAnsi="Arial" w:cs="Arial"/>
                <w:b/>
                <w:bCs/>
                <w:highlight w:val="magenta"/>
                <w:lang w:val="en-PH"/>
              </w:rPr>
              <w:t>Factors of Professional Development</w:t>
            </w:r>
          </w:p>
        </w:tc>
        <w:tc>
          <w:tcPr>
            <w:tcW w:w="1170" w:type="dxa"/>
            <w:tcBorders>
              <w:top w:val="single" w:sz="8" w:space="0" w:color="auto"/>
              <w:bottom w:val="single" w:sz="8" w:space="0" w:color="auto"/>
            </w:tcBorders>
            <w:shd w:val="clear" w:color="auto" w:fill="auto"/>
            <w:vAlign w:val="center"/>
            <w:hideMark/>
          </w:tcPr>
          <w:p w14:paraId="0AC41A1D" w14:textId="77777777" w:rsidR="00F2124F" w:rsidRPr="009919D8" w:rsidRDefault="00F2124F" w:rsidP="00F92613">
            <w:pPr>
              <w:pStyle w:val="Body"/>
              <w:spacing w:after="0"/>
              <w:jc w:val="center"/>
              <w:rPr>
                <w:rFonts w:ascii="Arial" w:hAnsi="Arial" w:cs="Arial"/>
                <w:b/>
                <w:bCs/>
                <w:highlight w:val="magenta"/>
                <w:lang w:val="en-PH"/>
              </w:rPr>
            </w:pPr>
            <w:r w:rsidRPr="009919D8">
              <w:rPr>
                <w:rFonts w:ascii="Arial" w:hAnsi="Arial" w:cs="Arial"/>
                <w:b/>
                <w:bCs/>
                <w:highlight w:val="magenta"/>
                <w:lang w:val="en-PH"/>
              </w:rPr>
              <w:t>Mean</w:t>
            </w:r>
          </w:p>
          <w:p w14:paraId="24B87B2E" w14:textId="2D61EFFD" w:rsidR="0044489D" w:rsidRPr="009919D8" w:rsidRDefault="0044489D" w:rsidP="00F92613">
            <w:pPr>
              <w:pStyle w:val="Body"/>
              <w:spacing w:after="0"/>
              <w:jc w:val="center"/>
              <w:rPr>
                <w:rFonts w:ascii="Arial" w:hAnsi="Arial" w:cs="Arial"/>
                <w:b/>
                <w:bCs/>
                <w:highlight w:val="magenta"/>
                <w:lang w:val="en-PH"/>
              </w:rPr>
            </w:pPr>
            <w:r w:rsidRPr="009919D8">
              <w:rPr>
                <w:rFonts w:ascii="Arial" w:hAnsi="Arial" w:cs="Arial"/>
                <w:b/>
                <w:bCs/>
                <w:highlight w:val="magenta"/>
                <w:lang w:val="en-PH"/>
              </w:rPr>
              <w:t>(</w:t>
            </w:r>
            <m:oMath>
              <m:acc>
                <m:accPr>
                  <m:chr m:val="̅"/>
                  <m:ctrlPr>
                    <w:rPr>
                      <w:rFonts w:ascii="Cambria Math" w:hAnsi="Cambria Math" w:cs="Arial"/>
                      <w:b/>
                      <w:bCs/>
                      <w:i/>
                      <w:highlight w:val="magenta"/>
                      <w:lang w:val="en-PH"/>
                    </w:rPr>
                  </m:ctrlPr>
                </m:accPr>
                <m:e>
                  <m:r>
                    <m:rPr>
                      <m:sty m:val="bi"/>
                    </m:rPr>
                    <w:rPr>
                      <w:rFonts w:ascii="Cambria Math" w:hAnsi="Cambria Math" w:cs="Arial"/>
                      <w:highlight w:val="magenta"/>
                      <w:lang w:val="en-PH"/>
                    </w:rPr>
                    <m:t>x</m:t>
                  </m:r>
                </m:e>
              </m:acc>
            </m:oMath>
            <w:r w:rsidRPr="009919D8">
              <w:rPr>
                <w:rFonts w:ascii="Arial" w:hAnsi="Arial" w:cs="Arial"/>
                <w:b/>
                <w:bCs/>
                <w:highlight w:val="magenta"/>
                <w:lang w:val="en-PH"/>
              </w:rPr>
              <w:t>)</w:t>
            </w:r>
          </w:p>
        </w:tc>
        <w:tc>
          <w:tcPr>
            <w:tcW w:w="1350" w:type="dxa"/>
            <w:tcBorders>
              <w:top w:val="single" w:sz="8" w:space="0" w:color="auto"/>
              <w:bottom w:val="single" w:sz="8" w:space="0" w:color="auto"/>
            </w:tcBorders>
            <w:shd w:val="clear" w:color="auto" w:fill="auto"/>
            <w:vAlign w:val="center"/>
            <w:hideMark/>
          </w:tcPr>
          <w:p w14:paraId="545A5173" w14:textId="191298DE" w:rsidR="0044489D" w:rsidRPr="009919D8" w:rsidRDefault="00F2124F" w:rsidP="0044489D">
            <w:pPr>
              <w:pStyle w:val="Body"/>
              <w:spacing w:after="0"/>
              <w:jc w:val="center"/>
              <w:rPr>
                <w:rFonts w:ascii="Arial" w:hAnsi="Arial" w:cs="Arial"/>
                <w:b/>
                <w:bCs/>
                <w:highlight w:val="magenta"/>
                <w:lang w:val="en-PH"/>
              </w:rPr>
            </w:pPr>
            <w:r w:rsidRPr="009919D8">
              <w:rPr>
                <w:rFonts w:ascii="Arial" w:hAnsi="Arial" w:cs="Arial"/>
                <w:b/>
                <w:bCs/>
                <w:highlight w:val="magenta"/>
                <w:lang w:val="en-PH"/>
              </w:rPr>
              <w:t>Std. Deviation</w:t>
            </w:r>
            <w:r w:rsidR="0044489D" w:rsidRPr="009919D8">
              <w:rPr>
                <w:rFonts w:ascii="Arial" w:hAnsi="Arial" w:cs="Arial"/>
                <w:b/>
                <w:bCs/>
                <w:highlight w:val="magenta"/>
                <w:lang w:val="en-PH"/>
              </w:rPr>
              <w:t xml:space="preserve"> (</w:t>
            </w:r>
            <m:oMath>
              <m:r>
                <m:rPr>
                  <m:sty m:val="bi"/>
                </m:rPr>
                <w:rPr>
                  <w:rFonts w:ascii="Cambria Math" w:hAnsi="Cambria Math" w:cs="Arial"/>
                  <w:highlight w:val="magenta"/>
                  <w:lang w:val="en-PH"/>
                </w:rPr>
                <m:t>s</m:t>
              </m:r>
            </m:oMath>
            <w:r w:rsidR="0044489D" w:rsidRPr="009919D8">
              <w:rPr>
                <w:rFonts w:ascii="Arial" w:hAnsi="Arial" w:cs="Arial"/>
                <w:b/>
                <w:bCs/>
                <w:highlight w:val="magenta"/>
                <w:lang w:val="en-PH"/>
              </w:rPr>
              <w:t>)</w:t>
            </w:r>
          </w:p>
        </w:tc>
        <w:tc>
          <w:tcPr>
            <w:tcW w:w="2430" w:type="dxa"/>
            <w:tcBorders>
              <w:top w:val="single" w:sz="8" w:space="0" w:color="auto"/>
              <w:bottom w:val="single" w:sz="8" w:space="0" w:color="auto"/>
            </w:tcBorders>
            <w:shd w:val="clear" w:color="auto" w:fill="auto"/>
            <w:vAlign w:val="center"/>
            <w:hideMark/>
          </w:tcPr>
          <w:p w14:paraId="27F39C65" w14:textId="77777777" w:rsidR="00F2124F" w:rsidRPr="009919D8" w:rsidRDefault="00F2124F" w:rsidP="00F92613">
            <w:pPr>
              <w:pStyle w:val="Body"/>
              <w:spacing w:after="0"/>
              <w:jc w:val="center"/>
              <w:rPr>
                <w:rFonts w:ascii="Arial" w:hAnsi="Arial" w:cs="Arial"/>
                <w:b/>
                <w:bCs/>
                <w:highlight w:val="magenta"/>
                <w:lang w:val="en-PH"/>
              </w:rPr>
            </w:pPr>
            <w:r w:rsidRPr="009919D8">
              <w:rPr>
                <w:rFonts w:ascii="Arial" w:hAnsi="Arial" w:cs="Arial"/>
                <w:b/>
                <w:bCs/>
                <w:highlight w:val="magenta"/>
                <w:lang w:val="en-PH"/>
              </w:rPr>
              <w:t>Level of Manifestation</w:t>
            </w:r>
          </w:p>
        </w:tc>
      </w:tr>
      <w:tr w:rsidR="00F2124F" w:rsidRPr="009919D8" w14:paraId="14B35ED0" w14:textId="77777777" w:rsidTr="00CE31C6">
        <w:trPr>
          <w:trHeight w:val="132"/>
        </w:trPr>
        <w:tc>
          <w:tcPr>
            <w:tcW w:w="4065" w:type="dxa"/>
            <w:tcBorders>
              <w:top w:val="single" w:sz="8" w:space="0" w:color="auto"/>
            </w:tcBorders>
            <w:shd w:val="clear" w:color="auto" w:fill="auto"/>
            <w:hideMark/>
          </w:tcPr>
          <w:p w14:paraId="33F50B51" w14:textId="77777777" w:rsidR="00F2124F" w:rsidRPr="009919D8" w:rsidRDefault="00F2124F" w:rsidP="00F92613">
            <w:pPr>
              <w:pStyle w:val="Body"/>
              <w:spacing w:after="0"/>
              <w:rPr>
                <w:rFonts w:ascii="Arial" w:hAnsi="Arial" w:cs="Arial"/>
                <w:highlight w:val="magenta"/>
                <w:lang w:val="en-PH"/>
              </w:rPr>
            </w:pPr>
            <w:r w:rsidRPr="009919D8">
              <w:rPr>
                <w:rFonts w:ascii="Arial" w:hAnsi="Arial" w:cs="Arial"/>
                <w:highlight w:val="magenta"/>
                <w:lang w:val="en-PH"/>
              </w:rPr>
              <w:t>A. Relevance to Teaching Practice</w:t>
            </w:r>
          </w:p>
        </w:tc>
        <w:tc>
          <w:tcPr>
            <w:tcW w:w="1170" w:type="dxa"/>
            <w:tcBorders>
              <w:top w:val="single" w:sz="8" w:space="0" w:color="auto"/>
            </w:tcBorders>
            <w:shd w:val="clear" w:color="auto" w:fill="auto"/>
            <w:noWrap/>
            <w:vAlign w:val="center"/>
            <w:hideMark/>
          </w:tcPr>
          <w:p w14:paraId="5ABFFE70"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4.41</w:t>
            </w:r>
          </w:p>
        </w:tc>
        <w:tc>
          <w:tcPr>
            <w:tcW w:w="1350" w:type="dxa"/>
            <w:tcBorders>
              <w:top w:val="single" w:sz="8" w:space="0" w:color="auto"/>
            </w:tcBorders>
            <w:shd w:val="clear" w:color="auto" w:fill="auto"/>
            <w:noWrap/>
            <w:vAlign w:val="center"/>
            <w:hideMark/>
          </w:tcPr>
          <w:p w14:paraId="1290EAA1" w14:textId="29CE4F24" w:rsidR="00F2124F" w:rsidRPr="009919D8" w:rsidRDefault="008923C5" w:rsidP="00F92613">
            <w:pPr>
              <w:pStyle w:val="Body"/>
              <w:spacing w:after="0"/>
              <w:jc w:val="center"/>
              <w:rPr>
                <w:rFonts w:ascii="Arial" w:hAnsi="Arial" w:cs="Arial"/>
                <w:highlight w:val="magenta"/>
                <w:lang w:val="en-PH"/>
              </w:rPr>
            </w:pPr>
            <w:r w:rsidRPr="009919D8">
              <w:rPr>
                <w:rFonts w:ascii="Arial" w:hAnsi="Arial" w:cs="Arial"/>
                <w:highlight w:val="magenta"/>
                <w:lang w:val="en-PH"/>
              </w:rPr>
              <w:t>0</w:t>
            </w:r>
            <w:r w:rsidR="00F2124F" w:rsidRPr="009919D8">
              <w:rPr>
                <w:rFonts w:ascii="Arial" w:hAnsi="Arial" w:cs="Arial"/>
                <w:highlight w:val="magenta"/>
                <w:lang w:val="en-PH"/>
              </w:rPr>
              <w:t>.50</w:t>
            </w:r>
          </w:p>
        </w:tc>
        <w:tc>
          <w:tcPr>
            <w:tcW w:w="2430" w:type="dxa"/>
            <w:tcBorders>
              <w:top w:val="single" w:sz="8" w:space="0" w:color="auto"/>
            </w:tcBorders>
            <w:shd w:val="clear" w:color="auto" w:fill="auto"/>
            <w:noWrap/>
            <w:hideMark/>
          </w:tcPr>
          <w:p w14:paraId="5C85D118"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Very High</w:t>
            </w:r>
          </w:p>
        </w:tc>
      </w:tr>
      <w:tr w:rsidR="00F2124F" w:rsidRPr="009919D8" w14:paraId="2FCBD354" w14:textId="77777777" w:rsidTr="00CE31C6">
        <w:trPr>
          <w:trHeight w:val="222"/>
        </w:trPr>
        <w:tc>
          <w:tcPr>
            <w:tcW w:w="4065" w:type="dxa"/>
            <w:shd w:val="clear" w:color="auto" w:fill="auto"/>
            <w:hideMark/>
          </w:tcPr>
          <w:p w14:paraId="404903EA" w14:textId="77777777" w:rsidR="00F2124F" w:rsidRPr="009919D8" w:rsidRDefault="00F2124F" w:rsidP="00F92613">
            <w:pPr>
              <w:pStyle w:val="Body"/>
              <w:spacing w:after="0"/>
              <w:rPr>
                <w:rFonts w:ascii="Arial" w:hAnsi="Arial" w:cs="Arial"/>
                <w:highlight w:val="magenta"/>
                <w:lang w:val="en-PH"/>
              </w:rPr>
            </w:pPr>
            <w:r w:rsidRPr="009919D8">
              <w:rPr>
                <w:rFonts w:ascii="Arial" w:hAnsi="Arial" w:cs="Arial"/>
                <w:highlight w:val="magenta"/>
                <w:lang w:val="en-PH"/>
              </w:rPr>
              <w:t>B. Improvement in Teaching Skills</w:t>
            </w:r>
          </w:p>
        </w:tc>
        <w:tc>
          <w:tcPr>
            <w:tcW w:w="1170" w:type="dxa"/>
            <w:shd w:val="clear" w:color="auto" w:fill="auto"/>
            <w:noWrap/>
            <w:vAlign w:val="center"/>
            <w:hideMark/>
          </w:tcPr>
          <w:p w14:paraId="4C28043E"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4.40</w:t>
            </w:r>
          </w:p>
        </w:tc>
        <w:tc>
          <w:tcPr>
            <w:tcW w:w="1350" w:type="dxa"/>
            <w:shd w:val="clear" w:color="auto" w:fill="auto"/>
            <w:noWrap/>
            <w:vAlign w:val="center"/>
            <w:hideMark/>
          </w:tcPr>
          <w:p w14:paraId="3637AF5E" w14:textId="691AF9ED" w:rsidR="00F2124F" w:rsidRPr="009919D8" w:rsidRDefault="008923C5" w:rsidP="00F92613">
            <w:pPr>
              <w:pStyle w:val="Body"/>
              <w:spacing w:after="0"/>
              <w:jc w:val="center"/>
              <w:rPr>
                <w:rFonts w:ascii="Arial" w:hAnsi="Arial" w:cs="Arial"/>
                <w:highlight w:val="magenta"/>
                <w:lang w:val="en-PH"/>
              </w:rPr>
            </w:pPr>
            <w:r w:rsidRPr="009919D8">
              <w:rPr>
                <w:rFonts w:ascii="Arial" w:hAnsi="Arial" w:cs="Arial"/>
                <w:highlight w:val="magenta"/>
                <w:lang w:val="en-PH"/>
              </w:rPr>
              <w:t>0</w:t>
            </w:r>
            <w:r w:rsidR="00F2124F" w:rsidRPr="009919D8">
              <w:rPr>
                <w:rFonts w:ascii="Arial" w:hAnsi="Arial" w:cs="Arial"/>
                <w:highlight w:val="magenta"/>
                <w:lang w:val="en-PH"/>
              </w:rPr>
              <w:t>.52</w:t>
            </w:r>
          </w:p>
        </w:tc>
        <w:tc>
          <w:tcPr>
            <w:tcW w:w="2430" w:type="dxa"/>
            <w:shd w:val="clear" w:color="auto" w:fill="auto"/>
            <w:noWrap/>
            <w:hideMark/>
          </w:tcPr>
          <w:p w14:paraId="114F71C2"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Very High</w:t>
            </w:r>
          </w:p>
        </w:tc>
      </w:tr>
      <w:tr w:rsidR="00F2124F" w:rsidRPr="009919D8" w14:paraId="0BD0BF6E" w14:textId="77777777" w:rsidTr="00CE31C6">
        <w:trPr>
          <w:trHeight w:val="140"/>
        </w:trPr>
        <w:tc>
          <w:tcPr>
            <w:tcW w:w="4065" w:type="dxa"/>
            <w:shd w:val="clear" w:color="auto" w:fill="auto"/>
            <w:vAlign w:val="center"/>
            <w:hideMark/>
          </w:tcPr>
          <w:p w14:paraId="39770BAB" w14:textId="77777777" w:rsidR="00F2124F" w:rsidRPr="009919D8" w:rsidRDefault="00F2124F" w:rsidP="00F92613">
            <w:pPr>
              <w:pStyle w:val="Body"/>
              <w:spacing w:after="0"/>
              <w:rPr>
                <w:rFonts w:ascii="Arial" w:hAnsi="Arial" w:cs="Arial"/>
                <w:highlight w:val="magenta"/>
                <w:lang w:val="en-PH"/>
              </w:rPr>
            </w:pPr>
            <w:r w:rsidRPr="009919D8">
              <w:rPr>
                <w:rFonts w:ascii="Arial" w:hAnsi="Arial" w:cs="Arial"/>
                <w:highlight w:val="magenta"/>
                <w:lang w:val="en-PH"/>
              </w:rPr>
              <w:t>C. Reflection and Growth</w:t>
            </w:r>
          </w:p>
        </w:tc>
        <w:tc>
          <w:tcPr>
            <w:tcW w:w="1170" w:type="dxa"/>
            <w:shd w:val="clear" w:color="auto" w:fill="auto"/>
            <w:noWrap/>
            <w:vAlign w:val="center"/>
            <w:hideMark/>
          </w:tcPr>
          <w:p w14:paraId="270763E8"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4.44</w:t>
            </w:r>
          </w:p>
        </w:tc>
        <w:tc>
          <w:tcPr>
            <w:tcW w:w="1350" w:type="dxa"/>
            <w:shd w:val="clear" w:color="auto" w:fill="auto"/>
            <w:noWrap/>
            <w:vAlign w:val="center"/>
            <w:hideMark/>
          </w:tcPr>
          <w:p w14:paraId="61908B61" w14:textId="6563BD01" w:rsidR="00F2124F" w:rsidRPr="009919D8" w:rsidRDefault="008923C5" w:rsidP="00F92613">
            <w:pPr>
              <w:pStyle w:val="Body"/>
              <w:spacing w:after="0"/>
              <w:jc w:val="center"/>
              <w:rPr>
                <w:rFonts w:ascii="Arial" w:hAnsi="Arial" w:cs="Arial"/>
                <w:highlight w:val="magenta"/>
                <w:lang w:val="en-PH"/>
              </w:rPr>
            </w:pPr>
            <w:r w:rsidRPr="009919D8">
              <w:rPr>
                <w:rFonts w:ascii="Arial" w:hAnsi="Arial" w:cs="Arial"/>
                <w:highlight w:val="magenta"/>
                <w:lang w:val="en-PH"/>
              </w:rPr>
              <w:t>0</w:t>
            </w:r>
            <w:r w:rsidR="00F2124F" w:rsidRPr="009919D8">
              <w:rPr>
                <w:rFonts w:ascii="Arial" w:hAnsi="Arial" w:cs="Arial"/>
                <w:highlight w:val="magenta"/>
                <w:lang w:val="en-PH"/>
              </w:rPr>
              <w:t>.43</w:t>
            </w:r>
          </w:p>
        </w:tc>
        <w:tc>
          <w:tcPr>
            <w:tcW w:w="2430" w:type="dxa"/>
            <w:shd w:val="clear" w:color="auto" w:fill="auto"/>
            <w:noWrap/>
            <w:hideMark/>
          </w:tcPr>
          <w:p w14:paraId="013FE8C0"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Very High</w:t>
            </w:r>
          </w:p>
        </w:tc>
      </w:tr>
      <w:tr w:rsidR="00F2124F" w:rsidRPr="009919D8" w14:paraId="52C07604" w14:textId="77777777" w:rsidTr="00CE31C6">
        <w:trPr>
          <w:trHeight w:val="145"/>
        </w:trPr>
        <w:tc>
          <w:tcPr>
            <w:tcW w:w="4065" w:type="dxa"/>
            <w:shd w:val="clear" w:color="auto" w:fill="auto"/>
            <w:hideMark/>
          </w:tcPr>
          <w:p w14:paraId="624CA2D8" w14:textId="77777777" w:rsidR="00F2124F" w:rsidRPr="009919D8" w:rsidRDefault="00F2124F" w:rsidP="00F92613">
            <w:pPr>
              <w:pStyle w:val="Body"/>
              <w:spacing w:after="0"/>
              <w:rPr>
                <w:rFonts w:ascii="Arial" w:hAnsi="Arial" w:cs="Arial"/>
                <w:highlight w:val="magenta"/>
                <w:lang w:val="en-PH"/>
              </w:rPr>
            </w:pPr>
            <w:r w:rsidRPr="009919D8">
              <w:rPr>
                <w:rFonts w:ascii="Arial" w:hAnsi="Arial" w:cs="Arial"/>
                <w:highlight w:val="magenta"/>
                <w:lang w:val="en-PH"/>
              </w:rPr>
              <w:t>D. Collaboration and Peer Learning</w:t>
            </w:r>
          </w:p>
        </w:tc>
        <w:tc>
          <w:tcPr>
            <w:tcW w:w="1170" w:type="dxa"/>
            <w:shd w:val="clear" w:color="auto" w:fill="auto"/>
            <w:noWrap/>
            <w:vAlign w:val="center"/>
            <w:hideMark/>
          </w:tcPr>
          <w:p w14:paraId="3110338A"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4.35</w:t>
            </w:r>
          </w:p>
        </w:tc>
        <w:tc>
          <w:tcPr>
            <w:tcW w:w="1350" w:type="dxa"/>
            <w:shd w:val="clear" w:color="auto" w:fill="auto"/>
            <w:noWrap/>
            <w:vAlign w:val="center"/>
            <w:hideMark/>
          </w:tcPr>
          <w:p w14:paraId="5596090D" w14:textId="13AECE1C" w:rsidR="00F2124F" w:rsidRPr="009919D8" w:rsidRDefault="008923C5" w:rsidP="00F92613">
            <w:pPr>
              <w:pStyle w:val="Body"/>
              <w:spacing w:after="0"/>
              <w:jc w:val="center"/>
              <w:rPr>
                <w:rFonts w:ascii="Arial" w:hAnsi="Arial" w:cs="Arial"/>
                <w:highlight w:val="magenta"/>
                <w:lang w:val="en-PH"/>
              </w:rPr>
            </w:pPr>
            <w:r w:rsidRPr="009919D8">
              <w:rPr>
                <w:rFonts w:ascii="Arial" w:hAnsi="Arial" w:cs="Arial"/>
                <w:highlight w:val="magenta"/>
                <w:lang w:val="en-PH"/>
              </w:rPr>
              <w:t>0</w:t>
            </w:r>
            <w:r w:rsidR="00F2124F" w:rsidRPr="009919D8">
              <w:rPr>
                <w:rFonts w:ascii="Arial" w:hAnsi="Arial" w:cs="Arial"/>
                <w:highlight w:val="magenta"/>
                <w:lang w:val="en-PH"/>
              </w:rPr>
              <w:t>.44</w:t>
            </w:r>
          </w:p>
        </w:tc>
        <w:tc>
          <w:tcPr>
            <w:tcW w:w="2430" w:type="dxa"/>
            <w:shd w:val="clear" w:color="auto" w:fill="auto"/>
            <w:noWrap/>
            <w:hideMark/>
          </w:tcPr>
          <w:p w14:paraId="77E62258"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Very High</w:t>
            </w:r>
          </w:p>
        </w:tc>
      </w:tr>
      <w:tr w:rsidR="00F2124F" w:rsidRPr="009919D8" w14:paraId="6EC990A4" w14:textId="77777777" w:rsidTr="00CE31C6">
        <w:trPr>
          <w:trHeight w:val="174"/>
        </w:trPr>
        <w:tc>
          <w:tcPr>
            <w:tcW w:w="4065" w:type="dxa"/>
            <w:tcBorders>
              <w:bottom w:val="single" w:sz="8" w:space="0" w:color="auto"/>
            </w:tcBorders>
            <w:shd w:val="clear" w:color="auto" w:fill="auto"/>
            <w:hideMark/>
          </w:tcPr>
          <w:p w14:paraId="3C7C4E98" w14:textId="77777777" w:rsidR="00F2124F" w:rsidRPr="009919D8" w:rsidRDefault="00F2124F" w:rsidP="00F92613">
            <w:pPr>
              <w:pStyle w:val="Body"/>
              <w:spacing w:after="0"/>
              <w:rPr>
                <w:rFonts w:ascii="Arial" w:hAnsi="Arial" w:cs="Arial"/>
                <w:highlight w:val="magenta"/>
                <w:lang w:val="en-PH"/>
              </w:rPr>
            </w:pPr>
            <w:r w:rsidRPr="009919D8">
              <w:rPr>
                <w:rFonts w:ascii="Arial" w:hAnsi="Arial" w:cs="Arial"/>
                <w:highlight w:val="magenta"/>
                <w:lang w:val="en-PH"/>
              </w:rPr>
              <w:t>E. Support and Implementation</w:t>
            </w:r>
          </w:p>
        </w:tc>
        <w:tc>
          <w:tcPr>
            <w:tcW w:w="1170" w:type="dxa"/>
            <w:tcBorders>
              <w:bottom w:val="single" w:sz="8" w:space="0" w:color="auto"/>
            </w:tcBorders>
            <w:shd w:val="clear" w:color="auto" w:fill="auto"/>
            <w:noWrap/>
            <w:vAlign w:val="center"/>
            <w:hideMark/>
          </w:tcPr>
          <w:p w14:paraId="07E00094"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4.04</w:t>
            </w:r>
          </w:p>
        </w:tc>
        <w:tc>
          <w:tcPr>
            <w:tcW w:w="1350" w:type="dxa"/>
            <w:tcBorders>
              <w:bottom w:val="single" w:sz="8" w:space="0" w:color="auto"/>
            </w:tcBorders>
            <w:shd w:val="clear" w:color="auto" w:fill="auto"/>
            <w:noWrap/>
            <w:vAlign w:val="center"/>
            <w:hideMark/>
          </w:tcPr>
          <w:p w14:paraId="3782DBB3" w14:textId="42330C1E" w:rsidR="00F2124F" w:rsidRPr="009919D8" w:rsidRDefault="008923C5" w:rsidP="00F92613">
            <w:pPr>
              <w:pStyle w:val="Body"/>
              <w:spacing w:after="0"/>
              <w:jc w:val="center"/>
              <w:rPr>
                <w:rFonts w:ascii="Arial" w:hAnsi="Arial" w:cs="Arial"/>
                <w:highlight w:val="magenta"/>
                <w:lang w:val="en-PH"/>
              </w:rPr>
            </w:pPr>
            <w:r w:rsidRPr="009919D8">
              <w:rPr>
                <w:rFonts w:ascii="Arial" w:hAnsi="Arial" w:cs="Arial"/>
                <w:highlight w:val="magenta"/>
                <w:lang w:val="en-PH"/>
              </w:rPr>
              <w:t>0</w:t>
            </w:r>
            <w:r w:rsidR="00F2124F" w:rsidRPr="009919D8">
              <w:rPr>
                <w:rFonts w:ascii="Arial" w:hAnsi="Arial" w:cs="Arial"/>
                <w:highlight w:val="magenta"/>
                <w:lang w:val="en-PH"/>
              </w:rPr>
              <w:t>.78</w:t>
            </w:r>
          </w:p>
        </w:tc>
        <w:tc>
          <w:tcPr>
            <w:tcW w:w="2430" w:type="dxa"/>
            <w:tcBorders>
              <w:bottom w:val="single" w:sz="8" w:space="0" w:color="auto"/>
            </w:tcBorders>
            <w:shd w:val="clear" w:color="auto" w:fill="auto"/>
            <w:noWrap/>
            <w:vAlign w:val="center"/>
            <w:hideMark/>
          </w:tcPr>
          <w:p w14:paraId="323322C4" w14:textId="77777777" w:rsidR="00F2124F" w:rsidRPr="009919D8" w:rsidRDefault="00F2124F" w:rsidP="00F92613">
            <w:pPr>
              <w:pStyle w:val="Body"/>
              <w:spacing w:after="0"/>
              <w:jc w:val="center"/>
              <w:rPr>
                <w:rFonts w:ascii="Arial" w:hAnsi="Arial" w:cs="Arial"/>
                <w:highlight w:val="magenta"/>
                <w:lang w:val="en-PH"/>
              </w:rPr>
            </w:pPr>
            <w:r w:rsidRPr="009919D8">
              <w:rPr>
                <w:rFonts w:ascii="Arial" w:hAnsi="Arial" w:cs="Arial"/>
                <w:highlight w:val="magenta"/>
                <w:lang w:val="en-PH"/>
              </w:rPr>
              <w:t>High</w:t>
            </w:r>
          </w:p>
        </w:tc>
      </w:tr>
      <w:tr w:rsidR="00F2124F" w:rsidRPr="00F2124F" w14:paraId="2C3F6D97" w14:textId="77777777" w:rsidTr="00CE31C6">
        <w:trPr>
          <w:trHeight w:val="211"/>
        </w:trPr>
        <w:tc>
          <w:tcPr>
            <w:tcW w:w="4065" w:type="dxa"/>
            <w:tcBorders>
              <w:top w:val="single" w:sz="8" w:space="0" w:color="auto"/>
              <w:bottom w:val="single" w:sz="8" w:space="0" w:color="auto"/>
            </w:tcBorders>
            <w:shd w:val="clear" w:color="auto" w:fill="auto"/>
            <w:hideMark/>
          </w:tcPr>
          <w:p w14:paraId="45BEE2CE" w14:textId="77777777" w:rsidR="00F2124F" w:rsidRPr="009919D8" w:rsidRDefault="00F2124F" w:rsidP="00770A2E">
            <w:pPr>
              <w:pStyle w:val="Body"/>
              <w:spacing w:after="0"/>
              <w:jc w:val="left"/>
              <w:rPr>
                <w:rFonts w:ascii="Arial" w:hAnsi="Arial" w:cs="Arial"/>
                <w:b/>
                <w:bCs/>
                <w:highlight w:val="magenta"/>
                <w:lang w:val="en-PH"/>
              </w:rPr>
            </w:pPr>
            <w:r w:rsidRPr="009919D8">
              <w:rPr>
                <w:rFonts w:ascii="Arial" w:hAnsi="Arial" w:cs="Arial"/>
                <w:b/>
                <w:bCs/>
                <w:highlight w:val="magenta"/>
                <w:lang w:val="en-PH"/>
              </w:rPr>
              <w:t>Overall Professional Development</w:t>
            </w:r>
          </w:p>
        </w:tc>
        <w:tc>
          <w:tcPr>
            <w:tcW w:w="1170" w:type="dxa"/>
            <w:tcBorders>
              <w:top w:val="single" w:sz="8" w:space="0" w:color="auto"/>
              <w:bottom w:val="single" w:sz="8" w:space="0" w:color="auto"/>
            </w:tcBorders>
            <w:shd w:val="clear" w:color="auto" w:fill="auto"/>
            <w:noWrap/>
            <w:vAlign w:val="center"/>
            <w:hideMark/>
          </w:tcPr>
          <w:p w14:paraId="470FE329" w14:textId="77777777" w:rsidR="00F2124F" w:rsidRPr="009919D8" w:rsidRDefault="00F2124F" w:rsidP="00F92613">
            <w:pPr>
              <w:pStyle w:val="Body"/>
              <w:spacing w:after="0"/>
              <w:jc w:val="center"/>
              <w:rPr>
                <w:rFonts w:ascii="Arial" w:hAnsi="Arial" w:cs="Arial"/>
                <w:b/>
                <w:bCs/>
                <w:highlight w:val="magenta"/>
                <w:lang w:val="en-PH"/>
              </w:rPr>
            </w:pPr>
            <w:r w:rsidRPr="009919D8">
              <w:rPr>
                <w:rFonts w:ascii="Arial" w:hAnsi="Arial" w:cs="Arial"/>
                <w:b/>
                <w:bCs/>
                <w:highlight w:val="magenta"/>
                <w:lang w:val="en-PH"/>
              </w:rPr>
              <w:t>4.33</w:t>
            </w:r>
          </w:p>
        </w:tc>
        <w:tc>
          <w:tcPr>
            <w:tcW w:w="1350" w:type="dxa"/>
            <w:tcBorders>
              <w:top w:val="single" w:sz="8" w:space="0" w:color="auto"/>
              <w:bottom w:val="single" w:sz="8" w:space="0" w:color="auto"/>
            </w:tcBorders>
            <w:shd w:val="clear" w:color="auto" w:fill="auto"/>
            <w:noWrap/>
            <w:vAlign w:val="center"/>
            <w:hideMark/>
          </w:tcPr>
          <w:p w14:paraId="478A6C11" w14:textId="3A738B73" w:rsidR="00F2124F" w:rsidRPr="009919D8" w:rsidRDefault="001B7D13" w:rsidP="00F92613">
            <w:pPr>
              <w:pStyle w:val="Body"/>
              <w:spacing w:after="0"/>
              <w:jc w:val="center"/>
              <w:rPr>
                <w:rFonts w:ascii="Arial" w:hAnsi="Arial" w:cs="Arial"/>
                <w:b/>
                <w:bCs/>
                <w:highlight w:val="magenta"/>
                <w:lang w:val="en-PH"/>
              </w:rPr>
            </w:pPr>
            <w:r w:rsidRPr="009919D8">
              <w:rPr>
                <w:rFonts w:ascii="Arial" w:hAnsi="Arial" w:cs="Arial"/>
                <w:b/>
                <w:bCs/>
                <w:highlight w:val="magenta"/>
                <w:lang w:val="en-PH"/>
              </w:rPr>
              <w:t>0</w:t>
            </w:r>
            <w:r w:rsidR="00F2124F" w:rsidRPr="009919D8">
              <w:rPr>
                <w:rFonts w:ascii="Arial" w:hAnsi="Arial" w:cs="Arial"/>
                <w:b/>
                <w:bCs/>
                <w:highlight w:val="magenta"/>
                <w:lang w:val="en-PH"/>
              </w:rPr>
              <w:t>.41</w:t>
            </w:r>
          </w:p>
        </w:tc>
        <w:tc>
          <w:tcPr>
            <w:tcW w:w="2430" w:type="dxa"/>
            <w:tcBorders>
              <w:top w:val="single" w:sz="8" w:space="0" w:color="auto"/>
              <w:bottom w:val="single" w:sz="8" w:space="0" w:color="auto"/>
            </w:tcBorders>
            <w:shd w:val="clear" w:color="auto" w:fill="auto"/>
            <w:noWrap/>
            <w:vAlign w:val="center"/>
            <w:hideMark/>
          </w:tcPr>
          <w:p w14:paraId="2460AFA7" w14:textId="77777777" w:rsidR="00F2124F" w:rsidRPr="00F2124F" w:rsidRDefault="00F2124F" w:rsidP="00F92613">
            <w:pPr>
              <w:pStyle w:val="Body"/>
              <w:spacing w:after="0"/>
              <w:jc w:val="center"/>
              <w:rPr>
                <w:rFonts w:ascii="Arial" w:hAnsi="Arial" w:cs="Arial"/>
                <w:b/>
                <w:bCs/>
                <w:lang w:val="en-PH"/>
              </w:rPr>
            </w:pPr>
            <w:r w:rsidRPr="009919D8">
              <w:rPr>
                <w:rFonts w:ascii="Arial" w:hAnsi="Arial" w:cs="Arial"/>
                <w:b/>
                <w:bCs/>
                <w:highlight w:val="magenta"/>
                <w:lang w:val="en-PH"/>
              </w:rPr>
              <w:t>Very High</w:t>
            </w:r>
          </w:p>
        </w:tc>
      </w:tr>
    </w:tbl>
    <w:p w14:paraId="19198A76" w14:textId="77777777" w:rsidR="00F2124F" w:rsidRDefault="00F2124F" w:rsidP="00441B6F">
      <w:pPr>
        <w:pStyle w:val="Body"/>
        <w:spacing w:after="0"/>
        <w:rPr>
          <w:rFonts w:ascii="Arial" w:hAnsi="Arial" w:cs="Arial"/>
        </w:rPr>
      </w:pPr>
    </w:p>
    <w:p w14:paraId="0F1C2191" w14:textId="70DEEA81" w:rsidR="00790ADA" w:rsidRDefault="00790ADA" w:rsidP="00770A2E">
      <w:pPr>
        <w:pStyle w:val="Body"/>
        <w:spacing w:after="0"/>
        <w:jc w:val="left"/>
        <w:rPr>
          <w:rFonts w:ascii="Arial" w:hAnsi="Arial" w:cs="Arial"/>
        </w:rPr>
      </w:pPr>
    </w:p>
    <w:p w14:paraId="32D7410A" w14:textId="05423B73" w:rsidR="008B09CD" w:rsidRDefault="00215A43" w:rsidP="008B09CD">
      <w:pPr>
        <w:pStyle w:val="Body"/>
        <w:spacing w:after="0"/>
        <w:jc w:val="center"/>
        <w:rPr>
          <w:rFonts w:ascii="Arial" w:hAnsi="Arial" w:cs="Arial"/>
          <w:b/>
          <w:bCs/>
        </w:rPr>
      </w:pPr>
      <w:r>
        <w:rPr>
          <w:rFonts w:ascii="Arial" w:hAnsi="Arial" w:cs="Arial"/>
          <w:b/>
          <w:bCs/>
        </w:rPr>
        <w:t xml:space="preserve">5.1.2. </w:t>
      </w:r>
      <w:r w:rsidR="008B09CD">
        <w:rPr>
          <w:rFonts w:ascii="Arial" w:hAnsi="Arial" w:cs="Arial"/>
          <w:b/>
          <w:bCs/>
        </w:rPr>
        <w:t xml:space="preserve">The Level of Teaching Efficacy </w:t>
      </w:r>
    </w:p>
    <w:p w14:paraId="34E12FEC" w14:textId="122E43C2" w:rsidR="00895188" w:rsidRDefault="00895188" w:rsidP="008B09CD">
      <w:pPr>
        <w:pStyle w:val="Body"/>
        <w:spacing w:after="0"/>
        <w:jc w:val="center"/>
        <w:rPr>
          <w:rFonts w:ascii="Arial" w:hAnsi="Arial" w:cs="Arial"/>
          <w:b/>
          <w:bCs/>
        </w:rPr>
      </w:pPr>
    </w:p>
    <w:p w14:paraId="36E5D40F" w14:textId="73A0DDFF" w:rsidR="003F036F" w:rsidRPr="009919D8" w:rsidRDefault="00770A2E" w:rsidP="006434BE">
      <w:pPr>
        <w:pStyle w:val="Body"/>
        <w:spacing w:after="0"/>
        <w:rPr>
          <w:rFonts w:ascii="Arial" w:hAnsi="Arial" w:cs="Arial"/>
          <w:highlight w:val="cyan"/>
        </w:rPr>
      </w:pPr>
      <w:r>
        <w:rPr>
          <w:rFonts w:ascii="Arial" w:hAnsi="Arial" w:cs="Arial"/>
        </w:rPr>
        <w:tab/>
      </w:r>
      <w:commentRangeStart w:id="17"/>
      <w:r w:rsidRPr="009919D8">
        <w:rPr>
          <w:rFonts w:ascii="Arial" w:hAnsi="Arial" w:cs="Arial"/>
          <w:highlight w:val="cyan"/>
        </w:rPr>
        <w:t>Table 2</w:t>
      </w:r>
      <w:r w:rsidR="00895188" w:rsidRPr="009919D8">
        <w:rPr>
          <w:rFonts w:ascii="Arial" w:hAnsi="Arial" w:cs="Arial"/>
          <w:highlight w:val="cyan"/>
        </w:rPr>
        <w:t xml:space="preserve"> illustrates the summary of the teaching efficacy. I</w:t>
      </w:r>
      <w:r w:rsidR="00751CEA" w:rsidRPr="009919D8">
        <w:rPr>
          <w:rFonts w:ascii="Arial" w:hAnsi="Arial" w:cs="Arial"/>
          <w:highlight w:val="cyan"/>
        </w:rPr>
        <w:t>t</w:t>
      </w:r>
      <w:r w:rsidR="00895188" w:rsidRPr="009919D8">
        <w:rPr>
          <w:rFonts w:ascii="Arial" w:hAnsi="Arial" w:cs="Arial"/>
          <w:highlight w:val="cyan"/>
        </w:rPr>
        <w:t xml:space="preserve"> also has five indicators</w:t>
      </w:r>
      <w:r w:rsidR="00751CEA" w:rsidRPr="009919D8">
        <w:rPr>
          <w:rFonts w:ascii="Arial" w:hAnsi="Arial" w:cs="Arial"/>
          <w:highlight w:val="cyan"/>
        </w:rPr>
        <w:t xml:space="preserve"> specifically classroom management, instructional strategies, student engagement, </w:t>
      </w:r>
      <w:r w:rsidR="008B2566" w:rsidRPr="009919D8">
        <w:rPr>
          <w:rFonts w:ascii="Arial" w:hAnsi="Arial" w:cs="Arial"/>
          <w:highlight w:val="cyan"/>
        </w:rPr>
        <w:t>assessing student understanding and meeting diverse student needs.</w:t>
      </w:r>
      <w:r w:rsidR="008B2566" w:rsidRPr="009919D8">
        <w:rPr>
          <w:highlight w:val="cyan"/>
        </w:rPr>
        <w:t xml:space="preserve"> </w:t>
      </w:r>
      <w:r w:rsidR="008B2566" w:rsidRPr="009919D8">
        <w:rPr>
          <w:rFonts w:ascii="Arial" w:hAnsi="Arial" w:cs="Arial"/>
          <w:highlight w:val="cyan"/>
        </w:rPr>
        <w:t>The results indicate that the overall teaching efficacy of MST Mathematics graduates is very high (</w:t>
      </w:r>
      <m:oMath>
        <m:r>
          <w:rPr>
            <w:rFonts w:ascii="Cambria Math" w:hAnsi="Cambria Math" w:cs="Arial"/>
            <w:highlight w:val="cyan"/>
          </w:rPr>
          <m:t xml:space="preserve"> </m:t>
        </m:r>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4.46</m:t>
        </m:r>
      </m:oMath>
      <w:r w:rsidR="008B2566" w:rsidRPr="009919D8">
        <w:rPr>
          <w:rFonts w:ascii="Arial" w:hAnsi="Arial" w:cs="Arial"/>
          <w:highlight w:val="cyan"/>
        </w:rPr>
        <w:t xml:space="preserve">, </w:t>
      </w:r>
      <m:oMath>
        <m:r>
          <w:rPr>
            <w:rFonts w:ascii="Cambria Math" w:hAnsi="Cambria Math" w:cs="Arial"/>
            <w:highlight w:val="cyan"/>
          </w:rPr>
          <m:t>s = .42</m:t>
        </m:r>
      </m:oMath>
      <w:r w:rsidR="008B2566" w:rsidRPr="009919D8">
        <w:rPr>
          <w:rFonts w:ascii="Arial" w:hAnsi="Arial" w:cs="Arial"/>
          <w:highlight w:val="cyan"/>
        </w:rPr>
        <w:t xml:space="preserve">), with all indicators scoring high to very high levels of manifestation. This suggests that the </w:t>
      </w:r>
      <w:r w:rsidR="008B2566" w:rsidRPr="009919D8">
        <w:rPr>
          <w:rFonts w:ascii="Arial" w:hAnsi="Arial" w:cs="Arial"/>
          <w:highlight w:val="cyan"/>
        </w:rPr>
        <w:lastRenderedPageBreak/>
        <w:t>graduates possess strong self-beliefs in their ability to effectively teach and support student learning—an essential factor in academic achievement, especially in mathematics (</w:t>
      </w:r>
      <w:proofErr w:type="spellStart"/>
      <w:r w:rsidR="008B2566" w:rsidRPr="009919D8">
        <w:rPr>
          <w:rFonts w:ascii="Arial" w:hAnsi="Arial" w:cs="Arial"/>
          <w:highlight w:val="cyan"/>
        </w:rPr>
        <w:t>Küçükalioğlu</w:t>
      </w:r>
      <w:proofErr w:type="spellEnd"/>
      <w:r w:rsidR="008B2566" w:rsidRPr="009919D8">
        <w:rPr>
          <w:rFonts w:ascii="Arial" w:hAnsi="Arial" w:cs="Arial"/>
          <w:highlight w:val="cyan"/>
        </w:rPr>
        <w:t xml:space="preserve"> &amp; </w:t>
      </w:r>
      <w:proofErr w:type="spellStart"/>
      <w:r w:rsidR="008B2566" w:rsidRPr="009919D8">
        <w:rPr>
          <w:rFonts w:ascii="Arial" w:hAnsi="Arial" w:cs="Arial"/>
          <w:highlight w:val="cyan"/>
        </w:rPr>
        <w:t>Tuluk</w:t>
      </w:r>
      <w:proofErr w:type="spellEnd"/>
      <w:r w:rsidR="008B2566" w:rsidRPr="009919D8">
        <w:rPr>
          <w:rFonts w:ascii="Arial" w:hAnsi="Arial" w:cs="Arial"/>
          <w:highlight w:val="cyan"/>
        </w:rPr>
        <w:t>, 2021).</w:t>
      </w:r>
    </w:p>
    <w:p w14:paraId="05B60898" w14:textId="5AFD46A6" w:rsidR="004C646D" w:rsidRPr="009919D8" w:rsidRDefault="004C646D" w:rsidP="006434BE">
      <w:pPr>
        <w:pStyle w:val="Body"/>
        <w:spacing w:after="0"/>
        <w:rPr>
          <w:rFonts w:ascii="Arial" w:hAnsi="Arial" w:cs="Arial"/>
          <w:highlight w:val="cyan"/>
        </w:rPr>
      </w:pPr>
      <w:r w:rsidRPr="009919D8">
        <w:rPr>
          <w:rFonts w:ascii="Arial" w:hAnsi="Arial" w:cs="Arial"/>
          <w:highlight w:val="cyan"/>
        </w:rPr>
        <w:tab/>
        <w:t>Classroom management was rated very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4.49,  s = .52</m:t>
        </m:r>
      </m:oMath>
      <w:r w:rsidRPr="009919D8">
        <w:rPr>
          <w:rFonts w:ascii="Arial" w:hAnsi="Arial" w:cs="Arial"/>
          <w:highlight w:val="cyan"/>
        </w:rPr>
        <w:t>), aligning with studies that link effective classroom control to improved student engagement and learning outcomes (</w:t>
      </w:r>
      <w:proofErr w:type="spellStart"/>
      <w:r w:rsidRPr="009919D8">
        <w:rPr>
          <w:rFonts w:ascii="Arial" w:hAnsi="Arial" w:cs="Arial"/>
          <w:highlight w:val="cyan"/>
        </w:rPr>
        <w:t>Paulines</w:t>
      </w:r>
      <w:proofErr w:type="spellEnd"/>
      <w:r w:rsidRPr="009919D8">
        <w:rPr>
          <w:rFonts w:ascii="Arial" w:hAnsi="Arial" w:cs="Arial"/>
          <w:highlight w:val="cyan"/>
        </w:rPr>
        <w:t xml:space="preserve"> &amp; </w:t>
      </w:r>
      <w:proofErr w:type="spellStart"/>
      <w:r w:rsidRPr="009919D8">
        <w:rPr>
          <w:rFonts w:ascii="Arial" w:hAnsi="Arial" w:cs="Arial"/>
          <w:highlight w:val="cyan"/>
        </w:rPr>
        <w:t>Tantiado</w:t>
      </w:r>
      <w:proofErr w:type="spellEnd"/>
      <w:r w:rsidRPr="009919D8">
        <w:rPr>
          <w:rFonts w:ascii="Arial" w:hAnsi="Arial" w:cs="Arial"/>
          <w:highlight w:val="cyan"/>
        </w:rPr>
        <w:t xml:space="preserve">, 2024; </w:t>
      </w:r>
      <w:proofErr w:type="spellStart"/>
      <w:r w:rsidRPr="009919D8">
        <w:rPr>
          <w:rFonts w:ascii="Arial" w:hAnsi="Arial" w:cs="Arial"/>
          <w:highlight w:val="cyan"/>
        </w:rPr>
        <w:t>Varszegi</w:t>
      </w:r>
      <w:proofErr w:type="spellEnd"/>
      <w:r w:rsidRPr="009919D8">
        <w:rPr>
          <w:rFonts w:ascii="Arial" w:hAnsi="Arial" w:cs="Arial"/>
          <w:highlight w:val="cyan"/>
        </w:rPr>
        <w:t>, 2022). High classroom management skills also reflect stronger teacher efficacy, which helps minimize disruptions and maintain focus, especially in mathematics classes (Shah, 2023; Yadav, 2021).</w:t>
      </w:r>
    </w:p>
    <w:p w14:paraId="095A6E24" w14:textId="7B2820F4" w:rsidR="004C646D" w:rsidRPr="009919D8" w:rsidRDefault="004C646D" w:rsidP="006434BE">
      <w:pPr>
        <w:pStyle w:val="Body"/>
        <w:spacing w:after="0"/>
        <w:rPr>
          <w:rFonts w:ascii="Arial" w:hAnsi="Arial" w:cs="Arial"/>
          <w:highlight w:val="cyan"/>
        </w:rPr>
      </w:pPr>
      <w:r w:rsidRPr="009919D8">
        <w:rPr>
          <w:rFonts w:ascii="Arial" w:hAnsi="Arial" w:cs="Arial"/>
          <w:highlight w:val="cyan"/>
        </w:rPr>
        <w:tab/>
        <w:t>Instructional strategies also received a very high rating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4.52,  s = .45</m:t>
        </m:r>
      </m:oMath>
      <w:r w:rsidRPr="009919D8">
        <w:rPr>
          <w:rFonts w:ascii="Arial" w:hAnsi="Arial" w:cs="Arial"/>
          <w:highlight w:val="cyan"/>
        </w:rPr>
        <w:t>), supporting findings that confident teachers tend to use innovative methods such as inquiry-based and collaborative learning (Jagnandan et al., 2024; Lee &amp; Paul, 2023). These strategies are particularly valuable in mathematics, where engaging tools and differentiation enhance understanding (Hettinger et al., 2022; Bachtiar, 2024).</w:t>
      </w:r>
    </w:p>
    <w:p w14:paraId="09573ADF" w14:textId="4450A99E" w:rsidR="004C646D" w:rsidRPr="009919D8" w:rsidRDefault="004C646D" w:rsidP="006434BE">
      <w:pPr>
        <w:pStyle w:val="Body"/>
        <w:spacing w:after="0"/>
        <w:rPr>
          <w:rFonts w:ascii="Arial" w:hAnsi="Arial" w:cs="Arial"/>
          <w:highlight w:val="cyan"/>
        </w:rPr>
      </w:pPr>
      <w:r w:rsidRPr="009919D8">
        <w:rPr>
          <w:rFonts w:ascii="Arial" w:hAnsi="Arial" w:cs="Arial"/>
          <w:highlight w:val="cyan"/>
        </w:rPr>
        <w:tab/>
        <w:t>Student engagement scored very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4.45,  s = .54</m:t>
        </m:r>
      </m:oMath>
      <w:r w:rsidRPr="009919D8">
        <w:rPr>
          <w:rFonts w:ascii="Arial" w:hAnsi="Arial" w:cs="Arial"/>
          <w:highlight w:val="cyan"/>
        </w:rPr>
        <w:t>), consistent with evidence that teacher self-efficacy drives student motivation and participation (Zimu, 2024). Highly efficacious teachers often adopt interactive, student-centered approaches that boost interest and retention in math (Hidayatullah et al., 2024).</w:t>
      </w:r>
    </w:p>
    <w:p w14:paraId="1D878A0E" w14:textId="31B62D1D" w:rsidR="004C646D" w:rsidRPr="009919D8" w:rsidRDefault="004C646D" w:rsidP="006434BE">
      <w:pPr>
        <w:pStyle w:val="Body"/>
        <w:spacing w:after="0"/>
        <w:rPr>
          <w:rFonts w:ascii="Arial" w:hAnsi="Arial" w:cs="Arial"/>
          <w:highlight w:val="cyan"/>
        </w:rPr>
      </w:pPr>
      <w:r w:rsidRPr="009919D8">
        <w:rPr>
          <w:rFonts w:ascii="Arial" w:hAnsi="Arial" w:cs="Arial"/>
          <w:highlight w:val="cyan"/>
        </w:rPr>
        <w:tab/>
        <w:t>Assessing student understanding was also rated very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4.37,  s = .55</m:t>
        </m:r>
      </m:oMath>
      <w:r w:rsidRPr="009919D8">
        <w:rPr>
          <w:rFonts w:ascii="Arial" w:hAnsi="Arial" w:cs="Arial"/>
          <w:highlight w:val="cyan"/>
        </w:rPr>
        <w:t xml:space="preserve">), reinforcing the importance of formative assessments and authentic evaluation practices (Tashiro et al., 2021; Lumpkin, 2022). When used effectively, these tools help teachers adjust instruction to meet learners’ needs (Oliveira &amp; Henriques, 2021; </w:t>
      </w:r>
      <w:proofErr w:type="spellStart"/>
      <w:r w:rsidRPr="009919D8">
        <w:rPr>
          <w:rFonts w:ascii="Arial" w:hAnsi="Arial" w:cs="Arial"/>
          <w:highlight w:val="cyan"/>
        </w:rPr>
        <w:t>Gallavan</w:t>
      </w:r>
      <w:proofErr w:type="spellEnd"/>
      <w:r w:rsidRPr="009919D8">
        <w:rPr>
          <w:rFonts w:ascii="Arial" w:hAnsi="Arial" w:cs="Arial"/>
          <w:highlight w:val="cyan"/>
        </w:rPr>
        <w:t>, 2020).</w:t>
      </w:r>
    </w:p>
    <w:p w14:paraId="102CEFEC" w14:textId="58772748" w:rsidR="004C646D" w:rsidRDefault="004C646D" w:rsidP="006434BE">
      <w:pPr>
        <w:pStyle w:val="Body"/>
        <w:spacing w:after="0"/>
        <w:rPr>
          <w:rFonts w:ascii="Arial" w:hAnsi="Arial" w:cs="Arial"/>
        </w:rPr>
      </w:pPr>
      <w:r w:rsidRPr="009919D8">
        <w:rPr>
          <w:rFonts w:ascii="Arial" w:hAnsi="Arial" w:cs="Arial"/>
          <w:highlight w:val="cyan"/>
        </w:rPr>
        <w:tab/>
        <w:t>Efficacy in meeting diverse student needs scored very high (</w:t>
      </w:r>
      <m:oMath>
        <m:acc>
          <m:accPr>
            <m:chr m:val="̅"/>
            <m:ctrlPr>
              <w:rPr>
                <w:rFonts w:ascii="Cambria Math" w:hAnsi="Cambria Math" w:cs="Arial"/>
                <w:i/>
                <w:highlight w:val="cyan"/>
              </w:rPr>
            </m:ctrlPr>
          </m:accPr>
          <m:e>
            <m:r>
              <w:rPr>
                <w:rFonts w:ascii="Cambria Math" w:hAnsi="Cambria Math" w:cs="Arial"/>
                <w:highlight w:val="cyan"/>
              </w:rPr>
              <m:t>x</m:t>
            </m:r>
          </m:e>
        </m:acc>
        <m:r>
          <w:rPr>
            <w:rFonts w:ascii="Cambria Math" w:hAnsi="Cambria Math" w:cs="Arial"/>
            <w:highlight w:val="cyan"/>
          </w:rPr>
          <m:t xml:space="preserve"> = 4.47,  s = .54</m:t>
        </m:r>
      </m:oMath>
      <w:r w:rsidRPr="009919D8">
        <w:rPr>
          <w:rFonts w:ascii="Arial" w:hAnsi="Arial" w:cs="Arial"/>
          <w:highlight w:val="cyan"/>
        </w:rPr>
        <w:t>), indicating graduates’ confidence in handling varied learners. However, this area remains challenging due to resource constraints and the complexity of inclusive teaching (Ranbir &amp; Education, 2024; Meng, 2024). Addressing diverse needs requires differentiated strategies and systemic support (Devi, 2023).</w:t>
      </w:r>
      <w:commentRangeEnd w:id="17"/>
      <w:r w:rsidR="009919D8">
        <w:rPr>
          <w:rStyle w:val="Marquedecommentaire"/>
          <w:rFonts w:ascii="Times New Roman" w:hAnsi="Times New Roman"/>
          <w:lang w:val="nb-NO" w:eastAsia="nb-NO"/>
        </w:rPr>
        <w:commentReference w:id="17"/>
      </w:r>
    </w:p>
    <w:p w14:paraId="6F59D3AC" w14:textId="77777777" w:rsidR="004C646D" w:rsidRPr="006434BE" w:rsidRDefault="004C646D" w:rsidP="006434BE">
      <w:pPr>
        <w:pStyle w:val="Body"/>
        <w:spacing w:after="0"/>
        <w:rPr>
          <w:rFonts w:ascii="Arial" w:hAnsi="Arial" w:cs="Arial"/>
        </w:rPr>
      </w:pPr>
    </w:p>
    <w:p w14:paraId="169AF034" w14:textId="0D5DE5A8" w:rsidR="008B09CD" w:rsidRPr="00FB43B3" w:rsidRDefault="00770A2E" w:rsidP="00895188">
      <w:pPr>
        <w:pStyle w:val="Body"/>
        <w:spacing w:after="0"/>
        <w:jc w:val="left"/>
        <w:rPr>
          <w:rFonts w:ascii="Arial" w:hAnsi="Arial" w:cs="Arial"/>
          <w:highlight w:val="magenta"/>
        </w:rPr>
      </w:pPr>
      <w:commentRangeStart w:id="18"/>
      <w:r w:rsidRPr="00FB43B3">
        <w:rPr>
          <w:rFonts w:ascii="Arial" w:hAnsi="Arial" w:cs="Arial"/>
          <w:highlight w:val="magenta"/>
        </w:rPr>
        <w:t>Table 2</w:t>
      </w:r>
      <w:r w:rsidR="00895188" w:rsidRPr="00FB43B3">
        <w:rPr>
          <w:rFonts w:ascii="Arial" w:hAnsi="Arial" w:cs="Arial"/>
          <w:highlight w:val="magenta"/>
        </w:rPr>
        <w:t xml:space="preserve">. </w:t>
      </w:r>
      <w:r w:rsidRPr="00FB43B3">
        <w:rPr>
          <w:rFonts w:ascii="Arial" w:hAnsi="Arial" w:cs="Arial"/>
          <w:highlight w:val="magenta"/>
        </w:rPr>
        <w:t xml:space="preserve">Level </w:t>
      </w:r>
      <w:r w:rsidR="00895188" w:rsidRPr="00FB43B3">
        <w:rPr>
          <w:rFonts w:ascii="Arial" w:hAnsi="Arial" w:cs="Arial"/>
          <w:highlight w:val="magenta"/>
        </w:rPr>
        <w:t>of Teaching Efficacy</w:t>
      </w:r>
    </w:p>
    <w:tbl>
      <w:tblPr>
        <w:tblW w:w="9086" w:type="dxa"/>
        <w:tblInd w:w="93" w:type="dxa"/>
        <w:tblLook w:val="04A0" w:firstRow="1" w:lastRow="0" w:firstColumn="1" w:lastColumn="0" w:noHBand="0" w:noVBand="1"/>
      </w:tblPr>
      <w:tblGrid>
        <w:gridCol w:w="4639"/>
        <w:gridCol w:w="916"/>
        <w:gridCol w:w="1431"/>
        <w:gridCol w:w="2100"/>
      </w:tblGrid>
      <w:tr w:rsidR="00895188" w:rsidRPr="00FB43B3" w14:paraId="2271B3CF" w14:textId="77777777" w:rsidTr="00895188">
        <w:trPr>
          <w:trHeight w:val="633"/>
        </w:trPr>
        <w:tc>
          <w:tcPr>
            <w:tcW w:w="4639" w:type="dxa"/>
            <w:tcBorders>
              <w:top w:val="single" w:sz="8" w:space="0" w:color="auto"/>
              <w:bottom w:val="single" w:sz="8" w:space="0" w:color="auto"/>
            </w:tcBorders>
            <w:shd w:val="clear" w:color="auto" w:fill="auto"/>
            <w:vAlign w:val="center"/>
            <w:hideMark/>
          </w:tcPr>
          <w:p w14:paraId="3E138035" w14:textId="5D6656E4" w:rsidR="00895188" w:rsidRPr="00FB43B3" w:rsidRDefault="00895188" w:rsidP="00895188">
            <w:pPr>
              <w:rPr>
                <w:rFonts w:ascii="Arial" w:hAnsi="Arial" w:cs="Arial"/>
                <w:b/>
                <w:bCs/>
                <w:color w:val="000000"/>
                <w:highlight w:val="magenta"/>
                <w:lang w:eastAsia="en-PH"/>
              </w:rPr>
            </w:pPr>
            <w:r w:rsidRPr="00FB43B3">
              <w:rPr>
                <w:rFonts w:ascii="Arial" w:hAnsi="Arial" w:cs="Arial"/>
                <w:b/>
                <w:bCs/>
                <w:color w:val="000000"/>
                <w:highlight w:val="magenta"/>
                <w:lang w:eastAsia="en-PH"/>
              </w:rPr>
              <w:t>Indicator</w:t>
            </w:r>
          </w:p>
        </w:tc>
        <w:tc>
          <w:tcPr>
            <w:tcW w:w="916" w:type="dxa"/>
            <w:tcBorders>
              <w:top w:val="single" w:sz="8" w:space="0" w:color="auto"/>
              <w:bottom w:val="single" w:sz="8" w:space="0" w:color="auto"/>
            </w:tcBorders>
            <w:shd w:val="clear" w:color="auto" w:fill="auto"/>
            <w:vAlign w:val="center"/>
            <w:hideMark/>
          </w:tcPr>
          <w:p w14:paraId="0D2A33B8" w14:textId="77777777" w:rsidR="00895188" w:rsidRPr="00FB43B3" w:rsidRDefault="00895188" w:rsidP="00895188">
            <w:pPr>
              <w:jc w:val="center"/>
              <w:rPr>
                <w:rFonts w:ascii="Arial" w:hAnsi="Arial" w:cs="Arial"/>
                <w:b/>
                <w:bCs/>
                <w:color w:val="000000"/>
                <w:highlight w:val="magenta"/>
                <w:lang w:eastAsia="en-PH"/>
              </w:rPr>
            </w:pPr>
            <w:r w:rsidRPr="00FB43B3">
              <w:rPr>
                <w:rFonts w:ascii="Arial" w:hAnsi="Arial" w:cs="Arial"/>
                <w:b/>
                <w:bCs/>
                <w:color w:val="000000"/>
                <w:highlight w:val="magenta"/>
                <w:lang w:eastAsia="en-PH"/>
              </w:rPr>
              <w:t>Mean</w:t>
            </w:r>
          </w:p>
        </w:tc>
        <w:tc>
          <w:tcPr>
            <w:tcW w:w="1431" w:type="dxa"/>
            <w:tcBorders>
              <w:top w:val="single" w:sz="8" w:space="0" w:color="auto"/>
              <w:bottom w:val="single" w:sz="8" w:space="0" w:color="auto"/>
            </w:tcBorders>
            <w:shd w:val="clear" w:color="auto" w:fill="auto"/>
            <w:vAlign w:val="center"/>
            <w:hideMark/>
          </w:tcPr>
          <w:p w14:paraId="270ED1BE" w14:textId="77777777" w:rsidR="00895188" w:rsidRPr="00FB43B3" w:rsidRDefault="00895188" w:rsidP="00895188">
            <w:pPr>
              <w:jc w:val="center"/>
              <w:rPr>
                <w:rFonts w:ascii="Arial" w:hAnsi="Arial" w:cs="Arial"/>
                <w:b/>
                <w:bCs/>
                <w:color w:val="000000"/>
                <w:highlight w:val="magenta"/>
                <w:lang w:eastAsia="en-PH"/>
              </w:rPr>
            </w:pPr>
            <w:r w:rsidRPr="00FB43B3">
              <w:rPr>
                <w:rFonts w:ascii="Arial" w:hAnsi="Arial" w:cs="Arial"/>
                <w:b/>
                <w:bCs/>
                <w:color w:val="000000"/>
                <w:highlight w:val="magenta"/>
                <w:lang w:eastAsia="en-PH"/>
              </w:rPr>
              <w:t>Std. Deviation</w:t>
            </w:r>
          </w:p>
        </w:tc>
        <w:tc>
          <w:tcPr>
            <w:tcW w:w="2100" w:type="dxa"/>
            <w:tcBorders>
              <w:top w:val="single" w:sz="8" w:space="0" w:color="auto"/>
              <w:bottom w:val="single" w:sz="8" w:space="0" w:color="auto"/>
            </w:tcBorders>
            <w:shd w:val="clear" w:color="auto" w:fill="auto"/>
            <w:noWrap/>
            <w:vAlign w:val="center"/>
            <w:hideMark/>
          </w:tcPr>
          <w:p w14:paraId="7E912CD4" w14:textId="2F5A54E4" w:rsidR="00895188" w:rsidRPr="00FB43B3" w:rsidRDefault="00A132CC" w:rsidP="00895188">
            <w:pPr>
              <w:jc w:val="center"/>
              <w:rPr>
                <w:rFonts w:ascii="Arial" w:hAnsi="Arial" w:cs="Arial"/>
                <w:b/>
                <w:bCs/>
                <w:highlight w:val="magenta"/>
                <w:lang w:eastAsia="en-PH"/>
              </w:rPr>
            </w:pPr>
            <w:r w:rsidRPr="00FB43B3">
              <w:rPr>
                <w:rFonts w:ascii="Arial" w:hAnsi="Arial" w:cs="Arial"/>
                <w:b/>
                <w:bCs/>
                <w:highlight w:val="magenta"/>
                <w:lang w:eastAsia="en-PH"/>
              </w:rPr>
              <w:t>Level of Manifestation</w:t>
            </w:r>
          </w:p>
        </w:tc>
      </w:tr>
      <w:tr w:rsidR="00895188" w:rsidRPr="00FB43B3" w14:paraId="13AD1875" w14:textId="77777777" w:rsidTr="00895188">
        <w:trPr>
          <w:trHeight w:val="394"/>
        </w:trPr>
        <w:tc>
          <w:tcPr>
            <w:tcW w:w="4639" w:type="dxa"/>
            <w:tcBorders>
              <w:top w:val="single" w:sz="8" w:space="0" w:color="auto"/>
            </w:tcBorders>
            <w:shd w:val="clear" w:color="auto" w:fill="auto"/>
            <w:vAlign w:val="center"/>
            <w:hideMark/>
          </w:tcPr>
          <w:p w14:paraId="7F0BCA29" w14:textId="77777777" w:rsidR="00895188" w:rsidRPr="00FB43B3" w:rsidRDefault="00895188" w:rsidP="00895188">
            <w:pPr>
              <w:rPr>
                <w:rFonts w:ascii="Arial" w:hAnsi="Arial" w:cs="Arial"/>
                <w:color w:val="000000"/>
                <w:highlight w:val="magenta"/>
                <w:lang w:eastAsia="en-PH"/>
              </w:rPr>
            </w:pPr>
            <w:r w:rsidRPr="00FB43B3">
              <w:rPr>
                <w:rFonts w:ascii="Arial" w:hAnsi="Arial" w:cs="Arial"/>
                <w:color w:val="000000"/>
                <w:highlight w:val="magenta"/>
                <w:lang w:eastAsia="en-PH"/>
              </w:rPr>
              <w:t>A. Classroom Management</w:t>
            </w:r>
          </w:p>
        </w:tc>
        <w:tc>
          <w:tcPr>
            <w:tcW w:w="916" w:type="dxa"/>
            <w:tcBorders>
              <w:top w:val="single" w:sz="8" w:space="0" w:color="auto"/>
            </w:tcBorders>
            <w:shd w:val="clear" w:color="auto" w:fill="auto"/>
            <w:noWrap/>
            <w:vAlign w:val="center"/>
            <w:hideMark/>
          </w:tcPr>
          <w:p w14:paraId="02578F6B" w14:textId="77777777"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4.49</w:t>
            </w:r>
          </w:p>
        </w:tc>
        <w:tc>
          <w:tcPr>
            <w:tcW w:w="1431" w:type="dxa"/>
            <w:tcBorders>
              <w:top w:val="single" w:sz="8" w:space="0" w:color="auto"/>
            </w:tcBorders>
            <w:shd w:val="clear" w:color="auto" w:fill="auto"/>
            <w:noWrap/>
            <w:vAlign w:val="center"/>
            <w:hideMark/>
          </w:tcPr>
          <w:p w14:paraId="7425AD8C" w14:textId="3EAA2EE1"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.52</w:t>
            </w:r>
          </w:p>
        </w:tc>
        <w:tc>
          <w:tcPr>
            <w:tcW w:w="2100" w:type="dxa"/>
            <w:tcBorders>
              <w:top w:val="single" w:sz="8" w:space="0" w:color="auto"/>
            </w:tcBorders>
            <w:shd w:val="clear" w:color="auto" w:fill="auto"/>
            <w:noWrap/>
            <w:vAlign w:val="center"/>
            <w:hideMark/>
          </w:tcPr>
          <w:p w14:paraId="647FBE1C" w14:textId="77777777" w:rsidR="00895188" w:rsidRPr="00FB43B3" w:rsidRDefault="00895188" w:rsidP="00895188">
            <w:pPr>
              <w:jc w:val="center"/>
              <w:rPr>
                <w:rFonts w:ascii="Arial" w:hAnsi="Arial" w:cs="Arial"/>
                <w:highlight w:val="magenta"/>
                <w:lang w:eastAsia="en-PH"/>
              </w:rPr>
            </w:pPr>
            <w:r w:rsidRPr="00FB43B3">
              <w:rPr>
                <w:rFonts w:ascii="Arial" w:hAnsi="Arial" w:cs="Arial"/>
                <w:highlight w:val="magenta"/>
                <w:lang w:eastAsia="en-PH"/>
              </w:rPr>
              <w:t>Very High</w:t>
            </w:r>
          </w:p>
        </w:tc>
      </w:tr>
      <w:tr w:rsidR="00895188" w:rsidRPr="00FB43B3" w14:paraId="6F7AB9A0" w14:textId="77777777" w:rsidTr="00895188">
        <w:trPr>
          <w:trHeight w:val="414"/>
        </w:trPr>
        <w:tc>
          <w:tcPr>
            <w:tcW w:w="4639" w:type="dxa"/>
            <w:shd w:val="clear" w:color="auto" w:fill="auto"/>
            <w:vAlign w:val="center"/>
            <w:hideMark/>
          </w:tcPr>
          <w:p w14:paraId="729003A3" w14:textId="77777777" w:rsidR="00895188" w:rsidRPr="00FB43B3" w:rsidRDefault="00895188" w:rsidP="00895188">
            <w:pPr>
              <w:rPr>
                <w:rFonts w:ascii="Arial" w:hAnsi="Arial" w:cs="Arial"/>
                <w:color w:val="000000"/>
                <w:highlight w:val="magenta"/>
                <w:lang w:eastAsia="en-PH"/>
              </w:rPr>
            </w:pPr>
            <w:r w:rsidRPr="00FB43B3">
              <w:rPr>
                <w:rFonts w:ascii="Arial" w:hAnsi="Arial" w:cs="Arial"/>
                <w:color w:val="000000"/>
                <w:highlight w:val="magenta"/>
                <w:lang w:eastAsia="en-PH"/>
              </w:rPr>
              <w:t>B. Instructional Strategies</w:t>
            </w:r>
          </w:p>
        </w:tc>
        <w:tc>
          <w:tcPr>
            <w:tcW w:w="916" w:type="dxa"/>
            <w:shd w:val="clear" w:color="auto" w:fill="auto"/>
            <w:noWrap/>
            <w:vAlign w:val="center"/>
            <w:hideMark/>
          </w:tcPr>
          <w:p w14:paraId="19E87AD4" w14:textId="77777777"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4.52</w:t>
            </w:r>
          </w:p>
        </w:tc>
        <w:tc>
          <w:tcPr>
            <w:tcW w:w="1431" w:type="dxa"/>
            <w:shd w:val="clear" w:color="auto" w:fill="auto"/>
            <w:noWrap/>
            <w:vAlign w:val="center"/>
            <w:hideMark/>
          </w:tcPr>
          <w:p w14:paraId="06BCDF2D" w14:textId="21D53BD1"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.45</w:t>
            </w:r>
          </w:p>
        </w:tc>
        <w:tc>
          <w:tcPr>
            <w:tcW w:w="2100" w:type="dxa"/>
            <w:shd w:val="clear" w:color="auto" w:fill="auto"/>
            <w:noWrap/>
            <w:vAlign w:val="center"/>
            <w:hideMark/>
          </w:tcPr>
          <w:p w14:paraId="16CA71C1" w14:textId="77777777" w:rsidR="00895188" w:rsidRPr="00FB43B3" w:rsidRDefault="00895188" w:rsidP="00895188">
            <w:pPr>
              <w:jc w:val="center"/>
              <w:rPr>
                <w:rFonts w:ascii="Arial" w:hAnsi="Arial" w:cs="Arial"/>
                <w:highlight w:val="magenta"/>
                <w:lang w:eastAsia="en-PH"/>
              </w:rPr>
            </w:pPr>
            <w:r w:rsidRPr="00FB43B3">
              <w:rPr>
                <w:rFonts w:ascii="Arial" w:hAnsi="Arial" w:cs="Arial"/>
                <w:highlight w:val="magenta"/>
                <w:lang w:eastAsia="en-PH"/>
              </w:rPr>
              <w:t>Very High</w:t>
            </w:r>
          </w:p>
        </w:tc>
      </w:tr>
      <w:tr w:rsidR="00895188" w:rsidRPr="00FB43B3" w14:paraId="03D01A99" w14:textId="77777777" w:rsidTr="00895188">
        <w:trPr>
          <w:trHeight w:val="420"/>
        </w:trPr>
        <w:tc>
          <w:tcPr>
            <w:tcW w:w="4639" w:type="dxa"/>
            <w:shd w:val="clear" w:color="auto" w:fill="auto"/>
            <w:vAlign w:val="center"/>
            <w:hideMark/>
          </w:tcPr>
          <w:p w14:paraId="52301806" w14:textId="77777777" w:rsidR="00895188" w:rsidRPr="00FB43B3" w:rsidRDefault="00895188" w:rsidP="00895188">
            <w:pPr>
              <w:rPr>
                <w:rFonts w:ascii="Arial" w:hAnsi="Arial" w:cs="Arial"/>
                <w:color w:val="000000"/>
                <w:highlight w:val="magenta"/>
                <w:lang w:eastAsia="en-PH"/>
              </w:rPr>
            </w:pPr>
            <w:r w:rsidRPr="00FB43B3">
              <w:rPr>
                <w:rFonts w:ascii="Arial" w:hAnsi="Arial" w:cs="Arial"/>
                <w:color w:val="000000"/>
                <w:highlight w:val="magenta"/>
                <w:lang w:eastAsia="en-PH"/>
              </w:rPr>
              <w:t>C. Student Engagement</w:t>
            </w:r>
          </w:p>
        </w:tc>
        <w:tc>
          <w:tcPr>
            <w:tcW w:w="916" w:type="dxa"/>
            <w:shd w:val="clear" w:color="auto" w:fill="auto"/>
            <w:noWrap/>
            <w:vAlign w:val="center"/>
            <w:hideMark/>
          </w:tcPr>
          <w:p w14:paraId="1A168369" w14:textId="77777777"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4.45</w:t>
            </w:r>
          </w:p>
        </w:tc>
        <w:tc>
          <w:tcPr>
            <w:tcW w:w="1431" w:type="dxa"/>
            <w:shd w:val="clear" w:color="auto" w:fill="auto"/>
            <w:noWrap/>
            <w:vAlign w:val="center"/>
            <w:hideMark/>
          </w:tcPr>
          <w:p w14:paraId="6CBC15D4" w14:textId="0C647EBF"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.54</w:t>
            </w:r>
          </w:p>
        </w:tc>
        <w:tc>
          <w:tcPr>
            <w:tcW w:w="2100" w:type="dxa"/>
            <w:shd w:val="clear" w:color="auto" w:fill="auto"/>
            <w:noWrap/>
            <w:vAlign w:val="center"/>
            <w:hideMark/>
          </w:tcPr>
          <w:p w14:paraId="069E592F" w14:textId="77777777" w:rsidR="00895188" w:rsidRPr="00FB43B3" w:rsidRDefault="00895188" w:rsidP="00895188">
            <w:pPr>
              <w:jc w:val="center"/>
              <w:rPr>
                <w:rFonts w:ascii="Arial" w:hAnsi="Arial" w:cs="Arial"/>
                <w:highlight w:val="magenta"/>
                <w:lang w:eastAsia="en-PH"/>
              </w:rPr>
            </w:pPr>
            <w:r w:rsidRPr="00FB43B3">
              <w:rPr>
                <w:rFonts w:ascii="Arial" w:hAnsi="Arial" w:cs="Arial"/>
                <w:highlight w:val="magenta"/>
                <w:lang w:eastAsia="en-PH"/>
              </w:rPr>
              <w:t>Very High</w:t>
            </w:r>
          </w:p>
        </w:tc>
      </w:tr>
      <w:tr w:rsidR="00895188" w:rsidRPr="00FB43B3" w14:paraId="5FBC2BBE" w14:textId="77777777" w:rsidTr="00895188">
        <w:trPr>
          <w:trHeight w:val="271"/>
        </w:trPr>
        <w:tc>
          <w:tcPr>
            <w:tcW w:w="4639" w:type="dxa"/>
            <w:shd w:val="clear" w:color="auto" w:fill="auto"/>
            <w:vAlign w:val="center"/>
            <w:hideMark/>
          </w:tcPr>
          <w:p w14:paraId="61990DBC" w14:textId="434BCC16" w:rsidR="00895188" w:rsidRPr="00FB43B3" w:rsidRDefault="00895188" w:rsidP="00895188">
            <w:pPr>
              <w:rPr>
                <w:rFonts w:ascii="Arial" w:hAnsi="Arial" w:cs="Arial"/>
                <w:color w:val="000000"/>
                <w:highlight w:val="magenta"/>
                <w:lang w:eastAsia="en-PH"/>
              </w:rPr>
            </w:pPr>
            <w:r w:rsidRPr="00FB43B3">
              <w:rPr>
                <w:rFonts w:ascii="Arial" w:hAnsi="Arial" w:cs="Arial"/>
                <w:color w:val="000000"/>
                <w:highlight w:val="magenta"/>
                <w:lang w:eastAsia="en-PH"/>
              </w:rPr>
              <w:t>D. Assessing Student Understanding</w:t>
            </w:r>
          </w:p>
        </w:tc>
        <w:tc>
          <w:tcPr>
            <w:tcW w:w="916" w:type="dxa"/>
            <w:shd w:val="clear" w:color="auto" w:fill="auto"/>
            <w:noWrap/>
            <w:vAlign w:val="center"/>
            <w:hideMark/>
          </w:tcPr>
          <w:p w14:paraId="47B0E14E" w14:textId="77777777"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4.37</w:t>
            </w:r>
          </w:p>
        </w:tc>
        <w:tc>
          <w:tcPr>
            <w:tcW w:w="1431" w:type="dxa"/>
            <w:shd w:val="clear" w:color="auto" w:fill="auto"/>
            <w:noWrap/>
            <w:vAlign w:val="center"/>
            <w:hideMark/>
          </w:tcPr>
          <w:p w14:paraId="67C03869" w14:textId="065F133F"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.55</w:t>
            </w:r>
          </w:p>
        </w:tc>
        <w:tc>
          <w:tcPr>
            <w:tcW w:w="2100" w:type="dxa"/>
            <w:shd w:val="clear" w:color="auto" w:fill="auto"/>
            <w:noWrap/>
            <w:vAlign w:val="center"/>
            <w:hideMark/>
          </w:tcPr>
          <w:p w14:paraId="5441147F" w14:textId="77777777" w:rsidR="00895188" w:rsidRPr="00FB43B3" w:rsidRDefault="00895188" w:rsidP="00895188">
            <w:pPr>
              <w:jc w:val="center"/>
              <w:rPr>
                <w:rFonts w:ascii="Arial" w:hAnsi="Arial" w:cs="Arial"/>
                <w:highlight w:val="magenta"/>
                <w:lang w:eastAsia="en-PH"/>
              </w:rPr>
            </w:pPr>
            <w:r w:rsidRPr="00FB43B3">
              <w:rPr>
                <w:rFonts w:ascii="Arial" w:hAnsi="Arial" w:cs="Arial"/>
                <w:highlight w:val="magenta"/>
                <w:lang w:eastAsia="en-PH"/>
              </w:rPr>
              <w:t>Very High</w:t>
            </w:r>
          </w:p>
        </w:tc>
      </w:tr>
      <w:tr w:rsidR="00895188" w:rsidRPr="00FB43B3" w14:paraId="3B1CD53F" w14:textId="77777777" w:rsidTr="00895188">
        <w:trPr>
          <w:trHeight w:val="362"/>
        </w:trPr>
        <w:tc>
          <w:tcPr>
            <w:tcW w:w="4639" w:type="dxa"/>
            <w:tcBorders>
              <w:bottom w:val="single" w:sz="8" w:space="0" w:color="auto"/>
            </w:tcBorders>
            <w:shd w:val="clear" w:color="auto" w:fill="auto"/>
            <w:vAlign w:val="center"/>
            <w:hideMark/>
          </w:tcPr>
          <w:p w14:paraId="50E70F89" w14:textId="237413C9" w:rsidR="00895188" w:rsidRPr="00FB43B3" w:rsidRDefault="00895188" w:rsidP="00895188">
            <w:pPr>
              <w:rPr>
                <w:rFonts w:ascii="Arial" w:hAnsi="Arial" w:cs="Arial"/>
                <w:color w:val="000000"/>
                <w:highlight w:val="magenta"/>
                <w:lang w:eastAsia="en-PH"/>
              </w:rPr>
            </w:pPr>
            <w:r w:rsidRPr="00FB43B3">
              <w:rPr>
                <w:rFonts w:ascii="Arial" w:hAnsi="Arial" w:cs="Arial"/>
                <w:color w:val="000000"/>
                <w:highlight w:val="magenta"/>
                <w:lang w:eastAsia="en-PH"/>
              </w:rPr>
              <w:t>E.</w:t>
            </w:r>
            <w:r w:rsidR="00751CEA" w:rsidRPr="00FB43B3">
              <w:rPr>
                <w:rFonts w:ascii="Arial" w:hAnsi="Arial" w:cs="Arial"/>
                <w:color w:val="000000"/>
                <w:highlight w:val="magenta"/>
                <w:lang w:eastAsia="en-PH"/>
              </w:rPr>
              <w:t xml:space="preserve"> </w:t>
            </w:r>
            <w:r w:rsidRPr="00FB43B3">
              <w:rPr>
                <w:rFonts w:ascii="Arial" w:hAnsi="Arial" w:cs="Arial"/>
                <w:color w:val="000000"/>
                <w:highlight w:val="magenta"/>
                <w:lang w:eastAsia="en-PH"/>
              </w:rPr>
              <w:t>Meeting Diverse Student Needs</w:t>
            </w:r>
          </w:p>
        </w:tc>
        <w:tc>
          <w:tcPr>
            <w:tcW w:w="916" w:type="dxa"/>
            <w:tcBorders>
              <w:bottom w:val="single" w:sz="8" w:space="0" w:color="auto"/>
            </w:tcBorders>
            <w:shd w:val="clear" w:color="auto" w:fill="auto"/>
            <w:noWrap/>
            <w:vAlign w:val="center"/>
            <w:hideMark/>
          </w:tcPr>
          <w:p w14:paraId="4B4BC9BE" w14:textId="77777777"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4.47</w:t>
            </w:r>
          </w:p>
        </w:tc>
        <w:tc>
          <w:tcPr>
            <w:tcW w:w="1431" w:type="dxa"/>
            <w:tcBorders>
              <w:bottom w:val="single" w:sz="8" w:space="0" w:color="auto"/>
            </w:tcBorders>
            <w:shd w:val="clear" w:color="auto" w:fill="auto"/>
            <w:noWrap/>
            <w:vAlign w:val="center"/>
            <w:hideMark/>
          </w:tcPr>
          <w:p w14:paraId="35876919" w14:textId="087211A9" w:rsidR="00895188" w:rsidRPr="00FB43B3" w:rsidRDefault="00895188" w:rsidP="00895188">
            <w:pPr>
              <w:jc w:val="center"/>
              <w:rPr>
                <w:rFonts w:ascii="Arial" w:hAnsi="Arial" w:cs="Arial"/>
                <w:color w:val="000000"/>
                <w:highlight w:val="magenta"/>
                <w:lang w:eastAsia="en-PH"/>
              </w:rPr>
            </w:pPr>
            <w:r w:rsidRPr="00FB43B3">
              <w:rPr>
                <w:rFonts w:ascii="Arial" w:hAnsi="Arial" w:cs="Arial"/>
                <w:color w:val="000000"/>
                <w:highlight w:val="magenta"/>
                <w:lang w:eastAsia="en-PH"/>
              </w:rPr>
              <w:t>.54</w:t>
            </w:r>
          </w:p>
        </w:tc>
        <w:tc>
          <w:tcPr>
            <w:tcW w:w="2100" w:type="dxa"/>
            <w:tcBorders>
              <w:bottom w:val="single" w:sz="8" w:space="0" w:color="auto"/>
            </w:tcBorders>
            <w:shd w:val="clear" w:color="auto" w:fill="auto"/>
            <w:noWrap/>
            <w:vAlign w:val="center"/>
            <w:hideMark/>
          </w:tcPr>
          <w:p w14:paraId="26D7AD37" w14:textId="77777777" w:rsidR="00895188" w:rsidRPr="00FB43B3" w:rsidRDefault="00895188" w:rsidP="00895188">
            <w:pPr>
              <w:jc w:val="center"/>
              <w:rPr>
                <w:rFonts w:ascii="Arial" w:hAnsi="Arial" w:cs="Arial"/>
                <w:highlight w:val="magenta"/>
                <w:lang w:eastAsia="en-PH"/>
              </w:rPr>
            </w:pPr>
            <w:r w:rsidRPr="00FB43B3">
              <w:rPr>
                <w:rFonts w:ascii="Arial" w:hAnsi="Arial" w:cs="Arial"/>
                <w:highlight w:val="magenta"/>
                <w:lang w:eastAsia="en-PH"/>
              </w:rPr>
              <w:t>Very High</w:t>
            </w:r>
          </w:p>
        </w:tc>
      </w:tr>
      <w:tr w:rsidR="00895188" w:rsidRPr="00554EA6" w14:paraId="45BCF1D9" w14:textId="77777777" w:rsidTr="00895188">
        <w:trPr>
          <w:trHeight w:val="424"/>
        </w:trPr>
        <w:tc>
          <w:tcPr>
            <w:tcW w:w="4639" w:type="dxa"/>
            <w:tcBorders>
              <w:top w:val="single" w:sz="8" w:space="0" w:color="auto"/>
              <w:bottom w:val="single" w:sz="8" w:space="0" w:color="auto"/>
            </w:tcBorders>
            <w:shd w:val="clear" w:color="auto" w:fill="auto"/>
            <w:vAlign w:val="center"/>
            <w:hideMark/>
          </w:tcPr>
          <w:p w14:paraId="5C2DA98D" w14:textId="77777777" w:rsidR="00895188" w:rsidRPr="00FB43B3" w:rsidRDefault="00895188" w:rsidP="00895188">
            <w:pPr>
              <w:rPr>
                <w:rFonts w:ascii="Arial" w:hAnsi="Arial" w:cs="Arial"/>
                <w:b/>
                <w:bCs/>
                <w:color w:val="000000"/>
                <w:highlight w:val="magenta"/>
                <w:lang w:eastAsia="en-PH"/>
              </w:rPr>
            </w:pPr>
            <w:r w:rsidRPr="00FB43B3">
              <w:rPr>
                <w:rFonts w:ascii="Arial" w:hAnsi="Arial" w:cs="Arial"/>
                <w:b/>
                <w:bCs/>
                <w:color w:val="000000"/>
                <w:highlight w:val="magenta"/>
                <w:lang w:eastAsia="en-PH"/>
              </w:rPr>
              <w:t>Overall Teaching Efficacy</w:t>
            </w:r>
          </w:p>
        </w:tc>
        <w:tc>
          <w:tcPr>
            <w:tcW w:w="916" w:type="dxa"/>
            <w:tcBorders>
              <w:top w:val="single" w:sz="8" w:space="0" w:color="auto"/>
              <w:bottom w:val="single" w:sz="8" w:space="0" w:color="auto"/>
            </w:tcBorders>
            <w:shd w:val="clear" w:color="auto" w:fill="auto"/>
            <w:noWrap/>
            <w:vAlign w:val="center"/>
            <w:hideMark/>
          </w:tcPr>
          <w:p w14:paraId="5ECE73FE" w14:textId="77777777" w:rsidR="00895188" w:rsidRPr="00FB43B3" w:rsidRDefault="00895188" w:rsidP="00895188">
            <w:pPr>
              <w:jc w:val="center"/>
              <w:rPr>
                <w:rFonts w:ascii="Arial" w:hAnsi="Arial" w:cs="Arial"/>
                <w:b/>
                <w:bCs/>
                <w:color w:val="000000"/>
                <w:highlight w:val="magenta"/>
                <w:lang w:eastAsia="en-PH"/>
              </w:rPr>
            </w:pPr>
            <w:r w:rsidRPr="00FB43B3">
              <w:rPr>
                <w:rFonts w:ascii="Arial" w:hAnsi="Arial" w:cs="Arial"/>
                <w:b/>
                <w:bCs/>
                <w:color w:val="000000"/>
                <w:highlight w:val="magenta"/>
                <w:lang w:eastAsia="en-PH"/>
              </w:rPr>
              <w:t>4.46</w:t>
            </w:r>
          </w:p>
        </w:tc>
        <w:tc>
          <w:tcPr>
            <w:tcW w:w="1431" w:type="dxa"/>
            <w:tcBorders>
              <w:top w:val="single" w:sz="8" w:space="0" w:color="auto"/>
              <w:bottom w:val="single" w:sz="8" w:space="0" w:color="auto"/>
            </w:tcBorders>
            <w:shd w:val="clear" w:color="auto" w:fill="auto"/>
            <w:noWrap/>
            <w:vAlign w:val="center"/>
            <w:hideMark/>
          </w:tcPr>
          <w:p w14:paraId="3144B516" w14:textId="1B1C3599" w:rsidR="00895188" w:rsidRPr="00FB43B3" w:rsidRDefault="00895188" w:rsidP="00895188">
            <w:pPr>
              <w:jc w:val="center"/>
              <w:rPr>
                <w:rFonts w:ascii="Arial" w:hAnsi="Arial" w:cs="Arial"/>
                <w:b/>
                <w:bCs/>
                <w:color w:val="000000"/>
                <w:highlight w:val="magenta"/>
                <w:lang w:eastAsia="en-PH"/>
              </w:rPr>
            </w:pPr>
            <w:r w:rsidRPr="00FB43B3">
              <w:rPr>
                <w:rFonts w:ascii="Arial" w:hAnsi="Arial" w:cs="Arial"/>
                <w:b/>
                <w:bCs/>
                <w:color w:val="000000"/>
                <w:highlight w:val="magenta"/>
                <w:lang w:eastAsia="en-PH"/>
              </w:rPr>
              <w:t>.42</w:t>
            </w:r>
          </w:p>
        </w:tc>
        <w:tc>
          <w:tcPr>
            <w:tcW w:w="2100" w:type="dxa"/>
            <w:tcBorders>
              <w:top w:val="single" w:sz="8" w:space="0" w:color="auto"/>
              <w:bottom w:val="single" w:sz="8" w:space="0" w:color="auto"/>
            </w:tcBorders>
            <w:shd w:val="clear" w:color="auto" w:fill="auto"/>
            <w:noWrap/>
            <w:vAlign w:val="center"/>
            <w:hideMark/>
          </w:tcPr>
          <w:p w14:paraId="33E3D05B" w14:textId="77777777" w:rsidR="00895188" w:rsidRPr="00895188" w:rsidRDefault="00895188" w:rsidP="00895188">
            <w:pPr>
              <w:jc w:val="center"/>
              <w:rPr>
                <w:rFonts w:ascii="Arial" w:hAnsi="Arial" w:cs="Arial"/>
                <w:b/>
                <w:bCs/>
                <w:lang w:eastAsia="en-PH"/>
              </w:rPr>
            </w:pPr>
            <w:r w:rsidRPr="00FB43B3">
              <w:rPr>
                <w:rFonts w:ascii="Arial" w:hAnsi="Arial" w:cs="Arial"/>
                <w:b/>
                <w:bCs/>
                <w:highlight w:val="magenta"/>
                <w:lang w:eastAsia="en-PH"/>
              </w:rPr>
              <w:t>Very High</w:t>
            </w:r>
          </w:p>
        </w:tc>
      </w:tr>
    </w:tbl>
    <w:commentRangeEnd w:id="18"/>
    <w:p w14:paraId="65C3C884" w14:textId="4457517B" w:rsidR="00895188" w:rsidRDefault="00FB43B3" w:rsidP="008B09CD">
      <w:pPr>
        <w:pStyle w:val="Body"/>
        <w:spacing w:after="0"/>
        <w:jc w:val="center"/>
        <w:rPr>
          <w:rFonts w:ascii="Arial" w:hAnsi="Arial" w:cs="Arial"/>
          <w:b/>
          <w:bCs/>
        </w:rPr>
      </w:pPr>
      <w:r>
        <w:rPr>
          <w:rStyle w:val="Marquedecommentaire"/>
          <w:rFonts w:ascii="Times New Roman" w:hAnsi="Times New Roman"/>
          <w:lang w:val="nb-NO" w:eastAsia="nb-NO"/>
        </w:rPr>
        <w:commentReference w:id="18"/>
      </w:r>
    </w:p>
    <w:p w14:paraId="64DDBDD6" w14:textId="61039A25" w:rsidR="003F036F" w:rsidRDefault="003F036F" w:rsidP="008B09CD">
      <w:pPr>
        <w:pStyle w:val="Body"/>
        <w:spacing w:after="0"/>
        <w:jc w:val="center"/>
        <w:rPr>
          <w:rFonts w:ascii="Arial" w:hAnsi="Arial" w:cs="Arial"/>
          <w:b/>
          <w:bCs/>
        </w:rPr>
      </w:pPr>
    </w:p>
    <w:p w14:paraId="623D76D3" w14:textId="3D700407" w:rsidR="003F036F" w:rsidRPr="009919D8" w:rsidRDefault="00215A43" w:rsidP="008B09CD">
      <w:pPr>
        <w:pStyle w:val="Body"/>
        <w:spacing w:after="0"/>
        <w:jc w:val="center"/>
        <w:rPr>
          <w:rFonts w:ascii="Arial" w:hAnsi="Arial" w:cs="Arial"/>
          <w:b/>
          <w:bCs/>
          <w:highlight w:val="cyan"/>
        </w:rPr>
      </w:pPr>
      <w:commentRangeStart w:id="19"/>
      <w:r w:rsidRPr="009919D8">
        <w:rPr>
          <w:rFonts w:ascii="Arial" w:hAnsi="Arial" w:cs="Arial"/>
          <w:b/>
          <w:bCs/>
          <w:highlight w:val="cyan"/>
        </w:rPr>
        <w:t xml:space="preserve">5.1.3. </w:t>
      </w:r>
      <w:r w:rsidR="003F036F" w:rsidRPr="009919D8">
        <w:rPr>
          <w:rFonts w:ascii="Arial" w:hAnsi="Arial" w:cs="Arial"/>
          <w:b/>
          <w:bCs/>
          <w:highlight w:val="cyan"/>
        </w:rPr>
        <w:t>The Relationship Between Professional Development and Teaching Efficacy</w:t>
      </w:r>
    </w:p>
    <w:p w14:paraId="09433B03" w14:textId="453BDE1E" w:rsidR="003F036F" w:rsidRPr="009919D8" w:rsidRDefault="003F036F" w:rsidP="008B09CD">
      <w:pPr>
        <w:pStyle w:val="Body"/>
        <w:spacing w:after="0"/>
        <w:jc w:val="center"/>
        <w:rPr>
          <w:rFonts w:ascii="Arial" w:hAnsi="Arial" w:cs="Arial"/>
          <w:b/>
          <w:bCs/>
          <w:highlight w:val="cyan"/>
        </w:rPr>
      </w:pPr>
    </w:p>
    <w:p w14:paraId="51927D67" w14:textId="70318E29" w:rsidR="00790ADA" w:rsidRPr="009919D8" w:rsidRDefault="00770A2E" w:rsidP="00441B6F">
      <w:pPr>
        <w:pStyle w:val="Body"/>
        <w:spacing w:after="0"/>
        <w:rPr>
          <w:rFonts w:ascii="Arial" w:hAnsi="Arial" w:cs="Arial"/>
          <w:highlight w:val="cyan"/>
        </w:rPr>
      </w:pPr>
      <w:r w:rsidRPr="009919D8">
        <w:rPr>
          <w:rFonts w:ascii="Arial" w:hAnsi="Arial" w:cs="Arial"/>
          <w:highlight w:val="cyan"/>
        </w:rPr>
        <w:tab/>
        <w:t>Table 3</w:t>
      </w:r>
      <w:r w:rsidR="004E61C7" w:rsidRPr="009919D8">
        <w:rPr>
          <w:rFonts w:ascii="Arial" w:hAnsi="Arial" w:cs="Arial"/>
          <w:highlight w:val="cyan"/>
        </w:rPr>
        <w:t xml:space="preserve"> demonstrated the result of the relationship between professional development and teaching efficacy of the MST Mathematics graduates. The findings revealed that professional development (PD) has varying degrees of correlation with different dimensions of teaching efficacy. Notably, the highest correlation was observed between support and implementation and both student engagement (</w:t>
      </w:r>
      <m:oMath>
        <m:r>
          <w:rPr>
            <w:rFonts w:ascii="Cambria Math" w:hAnsi="Cambria Math" w:cs="Arial"/>
            <w:highlight w:val="cyan"/>
          </w:rPr>
          <m:t>r = 0.47, P = 0.02</m:t>
        </m:r>
      </m:oMath>
      <w:r w:rsidR="004E61C7" w:rsidRPr="009919D8">
        <w:rPr>
          <w:rFonts w:ascii="Arial" w:hAnsi="Arial" w:cs="Arial"/>
          <w:highlight w:val="cyan"/>
        </w:rPr>
        <w:t>) and teaching efficacy as a whole (</w:t>
      </w:r>
      <m:oMath>
        <m:r>
          <w:rPr>
            <w:rFonts w:ascii="Cambria Math" w:hAnsi="Cambria Math" w:cs="Arial"/>
            <w:highlight w:val="cyan"/>
          </w:rPr>
          <m:t>r = 0.37, P = 0.07</m:t>
        </m:r>
      </m:oMath>
      <w:r w:rsidR="004E61C7" w:rsidRPr="009919D8">
        <w:rPr>
          <w:rFonts w:ascii="Arial" w:hAnsi="Arial" w:cs="Arial"/>
          <w:highlight w:val="cyan"/>
        </w:rPr>
        <w:t xml:space="preserve">), both of which were interpreted as moderate relationships. These findings support the assertion by Walters (2023) that effective PD must be practical and continuous, addressing the actual challenges teachers face. The </w:t>
      </w:r>
      <w:r w:rsidR="004E61C7" w:rsidRPr="009919D8">
        <w:rPr>
          <w:rFonts w:ascii="Arial" w:hAnsi="Arial" w:cs="Arial"/>
          <w:highlight w:val="cyan"/>
        </w:rPr>
        <w:lastRenderedPageBreak/>
        <w:t>result implies that when PD initiatives are well-supported and implemented, they significantly enhance teachers’ ability to engage students and apply teaching strategies more confidently and effectively.</w:t>
      </w:r>
    </w:p>
    <w:p w14:paraId="2431FB27" w14:textId="08EC6454" w:rsidR="004E61C7" w:rsidRPr="009919D8" w:rsidRDefault="004E61C7" w:rsidP="00441B6F">
      <w:pPr>
        <w:pStyle w:val="Body"/>
        <w:spacing w:after="0"/>
        <w:rPr>
          <w:rFonts w:ascii="Arial" w:hAnsi="Arial" w:cs="Arial"/>
          <w:highlight w:val="cyan"/>
        </w:rPr>
      </w:pPr>
      <w:r w:rsidRPr="009919D8">
        <w:rPr>
          <w:rFonts w:ascii="Arial" w:hAnsi="Arial" w:cs="Arial"/>
          <w:highlight w:val="cyan"/>
        </w:rPr>
        <w:tab/>
        <w:t>Additionally, improvement in teaching skills showed moderate correlations with instructional strategies (</w:t>
      </w:r>
      <m:oMath>
        <m:r>
          <w:rPr>
            <w:rFonts w:ascii="Cambria Math" w:hAnsi="Cambria Math" w:cs="Arial"/>
            <w:highlight w:val="cyan"/>
          </w:rPr>
          <m:t>r = 0.36</m:t>
        </m:r>
      </m:oMath>
      <w:r w:rsidRPr="009919D8">
        <w:rPr>
          <w:rFonts w:ascii="Arial" w:hAnsi="Arial" w:cs="Arial"/>
          <w:highlight w:val="cyan"/>
        </w:rPr>
        <w:t>), student engagement (</w:t>
      </w:r>
      <m:oMath>
        <m:r>
          <w:rPr>
            <w:rFonts w:ascii="Cambria Math" w:hAnsi="Cambria Math" w:cs="Arial"/>
            <w:highlight w:val="cyan"/>
          </w:rPr>
          <m:t>r = 0.33</m:t>
        </m:r>
      </m:oMath>
      <w:r w:rsidRPr="009919D8">
        <w:rPr>
          <w:rFonts w:ascii="Arial" w:hAnsi="Arial" w:cs="Arial"/>
          <w:highlight w:val="cyan"/>
        </w:rPr>
        <w:t>), and teaching efficacy (</w:t>
      </w:r>
      <m:oMath>
        <m:r>
          <w:rPr>
            <w:rFonts w:ascii="Cambria Math" w:hAnsi="Cambria Math" w:cs="Arial"/>
            <w:highlight w:val="cyan"/>
          </w:rPr>
          <m:t>r = 0.37</m:t>
        </m:r>
      </m:oMath>
      <w:r w:rsidRPr="009919D8">
        <w:rPr>
          <w:rFonts w:ascii="Arial" w:hAnsi="Arial" w:cs="Arial"/>
          <w:highlight w:val="cyan"/>
        </w:rPr>
        <w:t>), albeit not all were statistically significant. This aligns with Darling-Hammond et al. (2020) and Cevik et al. (2021), who argue that PD programs that improve instructional skills positively influence efficacy, particularly in complex content areas like mathematics. These skills appear to bolster confidence in applying instructional methods, a key tenet of Bandura's Social Cognitive Theory, as internal beliefs influence how new knowledge is integrated into practice.</w:t>
      </w:r>
    </w:p>
    <w:p w14:paraId="29BCBE18" w14:textId="39A55EBD" w:rsidR="004E61C7" w:rsidRPr="009919D8" w:rsidRDefault="004E61C7" w:rsidP="00441B6F">
      <w:pPr>
        <w:pStyle w:val="Body"/>
        <w:spacing w:after="0"/>
        <w:rPr>
          <w:rFonts w:ascii="Arial" w:hAnsi="Arial" w:cs="Arial"/>
          <w:highlight w:val="cyan"/>
        </w:rPr>
      </w:pPr>
      <w:r w:rsidRPr="009919D8">
        <w:rPr>
          <w:rFonts w:ascii="Arial" w:hAnsi="Arial" w:cs="Arial"/>
          <w:highlight w:val="cyan"/>
        </w:rPr>
        <w:tab/>
        <w:t xml:space="preserve">The results also suggest that </w:t>
      </w:r>
      <w:r w:rsidR="00995D8C" w:rsidRPr="009919D8">
        <w:rPr>
          <w:rFonts w:ascii="Arial" w:hAnsi="Arial" w:cs="Arial"/>
          <w:highlight w:val="cyan"/>
        </w:rPr>
        <w:t>r</w:t>
      </w:r>
      <w:r w:rsidRPr="009919D8">
        <w:rPr>
          <w:rFonts w:ascii="Arial" w:hAnsi="Arial" w:cs="Arial"/>
          <w:highlight w:val="cyan"/>
        </w:rPr>
        <w:t xml:space="preserve">elevance to </w:t>
      </w:r>
      <w:r w:rsidR="00995D8C" w:rsidRPr="009919D8">
        <w:rPr>
          <w:rFonts w:ascii="Arial" w:hAnsi="Arial" w:cs="Arial"/>
          <w:highlight w:val="cyan"/>
        </w:rPr>
        <w:t>t</w:t>
      </w:r>
      <w:r w:rsidRPr="009919D8">
        <w:rPr>
          <w:rFonts w:ascii="Arial" w:hAnsi="Arial" w:cs="Arial"/>
          <w:highlight w:val="cyan"/>
        </w:rPr>
        <w:t xml:space="preserve">eaching </w:t>
      </w:r>
      <w:r w:rsidR="00995D8C" w:rsidRPr="009919D8">
        <w:rPr>
          <w:rFonts w:ascii="Arial" w:hAnsi="Arial" w:cs="Arial"/>
          <w:highlight w:val="cyan"/>
        </w:rPr>
        <w:t>p</w:t>
      </w:r>
      <w:r w:rsidRPr="009919D8">
        <w:rPr>
          <w:rFonts w:ascii="Arial" w:hAnsi="Arial" w:cs="Arial"/>
          <w:highlight w:val="cyan"/>
        </w:rPr>
        <w:t xml:space="preserve">ractice was moderately correlated with </w:t>
      </w:r>
      <w:r w:rsidR="00995D8C" w:rsidRPr="009919D8">
        <w:rPr>
          <w:rFonts w:ascii="Arial" w:hAnsi="Arial" w:cs="Arial"/>
          <w:highlight w:val="cyan"/>
        </w:rPr>
        <w:t>e</w:t>
      </w:r>
      <w:r w:rsidRPr="009919D8">
        <w:rPr>
          <w:rFonts w:ascii="Arial" w:hAnsi="Arial" w:cs="Arial"/>
          <w:highlight w:val="cyan"/>
        </w:rPr>
        <w:t xml:space="preserve">fficacy in </w:t>
      </w:r>
      <w:r w:rsidR="00995D8C" w:rsidRPr="009919D8">
        <w:rPr>
          <w:rFonts w:ascii="Arial" w:hAnsi="Arial" w:cs="Arial"/>
          <w:highlight w:val="cyan"/>
        </w:rPr>
        <w:t>m</w:t>
      </w:r>
      <w:r w:rsidRPr="009919D8">
        <w:rPr>
          <w:rFonts w:ascii="Arial" w:hAnsi="Arial" w:cs="Arial"/>
          <w:highlight w:val="cyan"/>
        </w:rPr>
        <w:t xml:space="preserve">eeting </w:t>
      </w:r>
      <w:r w:rsidR="00995D8C" w:rsidRPr="009919D8">
        <w:rPr>
          <w:rFonts w:ascii="Arial" w:hAnsi="Arial" w:cs="Arial"/>
          <w:highlight w:val="cyan"/>
        </w:rPr>
        <w:t>d</w:t>
      </w:r>
      <w:r w:rsidRPr="009919D8">
        <w:rPr>
          <w:rFonts w:ascii="Arial" w:hAnsi="Arial" w:cs="Arial"/>
          <w:highlight w:val="cyan"/>
        </w:rPr>
        <w:t xml:space="preserve">iverse </w:t>
      </w:r>
      <w:r w:rsidR="00995D8C" w:rsidRPr="009919D8">
        <w:rPr>
          <w:rFonts w:ascii="Arial" w:hAnsi="Arial" w:cs="Arial"/>
          <w:highlight w:val="cyan"/>
        </w:rPr>
        <w:t>s</w:t>
      </w:r>
      <w:r w:rsidRPr="009919D8">
        <w:rPr>
          <w:rFonts w:ascii="Arial" w:hAnsi="Arial" w:cs="Arial"/>
          <w:highlight w:val="cyan"/>
        </w:rPr>
        <w:t xml:space="preserve">tudent </w:t>
      </w:r>
      <w:r w:rsidR="00995D8C" w:rsidRPr="009919D8">
        <w:rPr>
          <w:rFonts w:ascii="Arial" w:hAnsi="Arial" w:cs="Arial"/>
          <w:highlight w:val="cyan"/>
        </w:rPr>
        <w:t>n</w:t>
      </w:r>
      <w:r w:rsidRPr="009919D8">
        <w:rPr>
          <w:rFonts w:ascii="Arial" w:hAnsi="Arial" w:cs="Arial"/>
          <w:highlight w:val="cyan"/>
        </w:rPr>
        <w:t>eeds (</w:t>
      </w:r>
      <m:oMath>
        <m:r>
          <w:rPr>
            <w:rFonts w:ascii="Cambria Math" w:hAnsi="Cambria Math" w:cs="Arial"/>
            <w:highlight w:val="cyan"/>
          </w:rPr>
          <m:t>r = 0.42, P = 0.04</m:t>
        </m:r>
      </m:oMath>
      <w:r w:rsidRPr="009919D8">
        <w:rPr>
          <w:rFonts w:ascii="Arial" w:hAnsi="Arial" w:cs="Arial"/>
          <w:highlight w:val="cyan"/>
        </w:rPr>
        <w:t>). This supports Copur-Gencturk (2019), who emphasized the value of aligning PD with actual classroom needs to boost efficacy. When PD content is clearly connected to teaching realities, teachers are more likely to apply it effectively, especially in differentiated instruction</w:t>
      </w:r>
      <w:r w:rsidR="00995D8C" w:rsidRPr="009919D8">
        <w:rPr>
          <w:rFonts w:ascii="Arial" w:hAnsi="Arial" w:cs="Arial"/>
          <w:highlight w:val="cyan"/>
        </w:rPr>
        <w:t>.</w:t>
      </w:r>
    </w:p>
    <w:p w14:paraId="0883C66A" w14:textId="67D822A7" w:rsidR="00995D8C" w:rsidRPr="009919D8" w:rsidRDefault="00995D8C" w:rsidP="00441B6F">
      <w:pPr>
        <w:pStyle w:val="Body"/>
        <w:spacing w:after="0"/>
        <w:rPr>
          <w:rFonts w:ascii="Arial" w:hAnsi="Arial" w:cs="Arial"/>
          <w:highlight w:val="cyan"/>
        </w:rPr>
      </w:pPr>
      <w:r w:rsidRPr="009919D8">
        <w:rPr>
          <w:rFonts w:ascii="Arial" w:hAnsi="Arial" w:cs="Arial"/>
          <w:highlight w:val="cyan"/>
        </w:rPr>
        <w:tab/>
        <w:t>In contrast, the reflection and growth dimension of PD showed no correlation or weak correlation with all dimensions of teaching efficacy. This finding diverges from studies by Wang (2023), which found that reflective practices enhance efficacy. This may indicate that reflective components of PD in the local context may be underdeveloped or not meaningfully integrated into daily teaching, thus having minimal impact.</w:t>
      </w:r>
    </w:p>
    <w:p w14:paraId="62CBCDCC" w14:textId="055DEA9C" w:rsidR="00995D8C" w:rsidRPr="009919D8" w:rsidRDefault="00995D8C" w:rsidP="00441B6F">
      <w:pPr>
        <w:pStyle w:val="Body"/>
        <w:spacing w:after="0"/>
        <w:rPr>
          <w:rFonts w:ascii="Arial" w:hAnsi="Arial" w:cs="Arial"/>
          <w:highlight w:val="cyan"/>
        </w:rPr>
      </w:pPr>
      <w:r w:rsidRPr="009919D8">
        <w:rPr>
          <w:rFonts w:ascii="Arial" w:hAnsi="Arial" w:cs="Arial"/>
          <w:highlight w:val="cyan"/>
        </w:rPr>
        <w:tab/>
        <w:t>Furthermore, collaboration and peer learning w</w:t>
      </w:r>
      <w:r w:rsidR="00E501A5" w:rsidRPr="009919D8">
        <w:rPr>
          <w:rFonts w:ascii="Arial" w:hAnsi="Arial" w:cs="Arial"/>
          <w:highlight w:val="cyan"/>
        </w:rPr>
        <w:t>ere</w:t>
      </w:r>
      <w:r w:rsidRPr="009919D8">
        <w:rPr>
          <w:rFonts w:ascii="Arial" w:hAnsi="Arial" w:cs="Arial"/>
          <w:highlight w:val="cyan"/>
        </w:rPr>
        <w:t xml:space="preserve"> weakly correlated with all aspects of teaching efficacy (highest </w:t>
      </w:r>
      <m:oMath>
        <m:r>
          <w:rPr>
            <w:rFonts w:ascii="Cambria Math" w:hAnsi="Cambria Math" w:cs="Arial"/>
            <w:highlight w:val="cyan"/>
          </w:rPr>
          <m:t>r = 0.25</m:t>
        </m:r>
      </m:oMath>
      <w:r w:rsidRPr="009919D8">
        <w:rPr>
          <w:rFonts w:ascii="Arial" w:hAnsi="Arial" w:cs="Arial"/>
          <w:highlight w:val="cyan"/>
        </w:rPr>
        <w:t>). While collaboration is known to foster a supportive teaching community (Juma, 2024), the weak relationship here may reflect a lack of structured or impactful collaborative PD efforts at DOrSU. This emphasizes the need for more intentional peer mentoring or team-based learning in professional development models.</w:t>
      </w:r>
    </w:p>
    <w:p w14:paraId="24C3D43C" w14:textId="6B8C168A" w:rsidR="0080554C" w:rsidRDefault="0080554C" w:rsidP="00441B6F">
      <w:pPr>
        <w:pStyle w:val="Body"/>
        <w:spacing w:after="0"/>
        <w:rPr>
          <w:rFonts w:ascii="Arial" w:hAnsi="Arial" w:cs="Arial"/>
        </w:rPr>
      </w:pPr>
      <w:r w:rsidRPr="009919D8">
        <w:rPr>
          <w:rFonts w:ascii="Arial" w:hAnsi="Arial" w:cs="Arial"/>
          <w:highlight w:val="cyan"/>
        </w:rPr>
        <w:tab/>
        <w:t xml:space="preserve">Overall, </w:t>
      </w:r>
      <w:r w:rsidR="004C646D" w:rsidRPr="009919D8">
        <w:rPr>
          <w:rFonts w:ascii="Arial" w:hAnsi="Arial" w:cs="Arial"/>
          <w:highlight w:val="cyan"/>
        </w:rPr>
        <w:t>the results show a moderate positive correlation (</w:t>
      </w:r>
      <m:oMath>
        <m:r>
          <w:rPr>
            <w:rFonts w:ascii="Cambria Math" w:hAnsi="Cambria Math" w:cs="Arial"/>
            <w:highlight w:val="cyan"/>
          </w:rPr>
          <m:t>r = 0.35</m:t>
        </m:r>
      </m:oMath>
      <w:r w:rsidR="004C646D" w:rsidRPr="009919D8">
        <w:rPr>
          <w:rFonts w:ascii="Arial" w:hAnsi="Arial" w:cs="Arial"/>
          <w:highlight w:val="cyan"/>
        </w:rPr>
        <w:t>) between professional development and teaching efficacy, though not statistically significant (</w:t>
      </w:r>
      <m:oMath>
        <m:r>
          <w:rPr>
            <w:rFonts w:ascii="Cambria Math" w:hAnsi="Cambria Math" w:cs="Arial"/>
            <w:highlight w:val="cyan"/>
          </w:rPr>
          <m:t>P= 0.09</m:t>
        </m:r>
      </m:oMath>
      <w:r w:rsidR="004C646D" w:rsidRPr="009919D8">
        <w:rPr>
          <w:rFonts w:ascii="Arial" w:hAnsi="Arial" w:cs="Arial"/>
          <w:highlight w:val="cyan"/>
        </w:rPr>
        <w:t>). This implies a tendency for greater professional development to be linked with higher teaching efficacy, though not conclusively in this sample. Still, the finding is consistent with research highlighting that reflective and collaborative PD can boost instructional skills and confidence (Darling-Hammond et al., 2020; Walters, 2023). Teachers with stronger self-efficacy are also more likely to apply new strategies effectively (Wang, 2023; Yang, 2019), suggesting that professional development remains a potentially valuable contributor to teaching efficacy.</w:t>
      </w:r>
      <w:commentRangeEnd w:id="19"/>
      <w:r w:rsidR="009919D8">
        <w:rPr>
          <w:rStyle w:val="Marquedecommentaire"/>
          <w:rFonts w:ascii="Times New Roman" w:hAnsi="Times New Roman"/>
          <w:lang w:val="nb-NO" w:eastAsia="nb-NO"/>
        </w:rPr>
        <w:commentReference w:id="19"/>
      </w:r>
    </w:p>
    <w:p w14:paraId="67E9BB66" w14:textId="2AD2DF76" w:rsidR="004210E6" w:rsidRDefault="004210E6" w:rsidP="00441B6F">
      <w:pPr>
        <w:pStyle w:val="Body"/>
        <w:spacing w:after="0"/>
        <w:rPr>
          <w:rFonts w:ascii="Arial" w:hAnsi="Arial" w:cs="Arial"/>
        </w:rPr>
      </w:pPr>
    </w:p>
    <w:p w14:paraId="76D38C01" w14:textId="63B990FA" w:rsidR="004210E6" w:rsidRPr="00FB43B3" w:rsidRDefault="00770A2E" w:rsidP="00441B6F">
      <w:pPr>
        <w:pStyle w:val="Body"/>
        <w:spacing w:after="0"/>
        <w:rPr>
          <w:rFonts w:ascii="Arial" w:hAnsi="Arial" w:cs="Arial"/>
          <w:highlight w:val="magenta"/>
        </w:rPr>
      </w:pPr>
      <w:commentRangeStart w:id="20"/>
      <w:r w:rsidRPr="00FB43B3">
        <w:rPr>
          <w:rFonts w:ascii="Arial" w:hAnsi="Arial" w:cs="Arial"/>
          <w:highlight w:val="magenta"/>
        </w:rPr>
        <w:t>Table 3</w:t>
      </w:r>
      <w:r w:rsidR="004210E6" w:rsidRPr="00FB43B3">
        <w:rPr>
          <w:rFonts w:ascii="Arial" w:hAnsi="Arial" w:cs="Arial"/>
          <w:highlight w:val="magenta"/>
        </w:rPr>
        <w:t>. The Relationship Between Professional Development and Teaching Efficacy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138"/>
        <w:gridCol w:w="980"/>
        <w:gridCol w:w="920"/>
        <w:gridCol w:w="1103"/>
        <w:gridCol w:w="1233"/>
        <w:gridCol w:w="876"/>
        <w:gridCol w:w="860"/>
      </w:tblGrid>
      <w:tr w:rsidR="008272C4" w:rsidRPr="00FB43B3" w14:paraId="600F5A28" w14:textId="77777777" w:rsidTr="002D797F">
        <w:trPr>
          <w:trHeight w:val="577"/>
        </w:trPr>
        <w:tc>
          <w:tcPr>
            <w:tcW w:w="2423" w:type="dxa"/>
            <w:gridSpan w:val="2"/>
            <w:tcBorders>
              <w:top w:val="single" w:sz="8" w:space="0" w:color="auto"/>
              <w:bottom w:val="single" w:sz="8" w:space="0" w:color="auto"/>
            </w:tcBorders>
            <w:vAlign w:val="center"/>
          </w:tcPr>
          <w:p w14:paraId="39BC78B2" w14:textId="2662814C" w:rsidR="004210E6" w:rsidRPr="00FB43B3" w:rsidRDefault="004210E6" w:rsidP="009A6B8E">
            <w:pPr>
              <w:pStyle w:val="Body"/>
              <w:spacing w:after="0"/>
              <w:jc w:val="left"/>
              <w:rPr>
                <w:rFonts w:ascii="Arial" w:hAnsi="Arial" w:cs="Arial"/>
                <w:b/>
                <w:bCs/>
                <w:sz w:val="14"/>
                <w:szCs w:val="14"/>
                <w:highlight w:val="magenta"/>
              </w:rPr>
            </w:pPr>
            <w:r w:rsidRPr="00FB43B3">
              <w:rPr>
                <w:rFonts w:ascii="Arial" w:hAnsi="Arial" w:cs="Arial"/>
                <w:b/>
                <w:bCs/>
                <w:sz w:val="14"/>
                <w:szCs w:val="14"/>
                <w:highlight w:val="magenta"/>
              </w:rPr>
              <w:t>Variables</w:t>
            </w:r>
          </w:p>
        </w:tc>
        <w:tc>
          <w:tcPr>
            <w:tcW w:w="980" w:type="dxa"/>
            <w:tcBorders>
              <w:top w:val="single" w:sz="8" w:space="0" w:color="auto"/>
              <w:bottom w:val="single" w:sz="8" w:space="0" w:color="auto"/>
            </w:tcBorders>
            <w:vAlign w:val="center"/>
          </w:tcPr>
          <w:p w14:paraId="0E6F280F" w14:textId="5E7DA53D" w:rsidR="004210E6" w:rsidRPr="00FB43B3" w:rsidRDefault="004210E6" w:rsidP="00DF0849">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 xml:space="preserve">Classroom </w:t>
            </w:r>
            <w:r w:rsidR="00DF0849" w:rsidRPr="00FB43B3">
              <w:rPr>
                <w:rFonts w:ascii="Arial" w:hAnsi="Arial" w:cs="Arial"/>
                <w:b/>
                <w:bCs/>
                <w:sz w:val="14"/>
                <w:szCs w:val="14"/>
                <w:highlight w:val="magenta"/>
              </w:rPr>
              <w:t>Mgt.</w:t>
            </w:r>
          </w:p>
        </w:tc>
        <w:tc>
          <w:tcPr>
            <w:tcW w:w="920" w:type="dxa"/>
            <w:tcBorders>
              <w:top w:val="single" w:sz="8" w:space="0" w:color="auto"/>
              <w:bottom w:val="single" w:sz="8" w:space="0" w:color="auto"/>
            </w:tcBorders>
            <w:vAlign w:val="center"/>
          </w:tcPr>
          <w:p w14:paraId="596077ED" w14:textId="01C4E60F" w:rsidR="004210E6" w:rsidRPr="00FB43B3" w:rsidRDefault="00DF0849" w:rsidP="00DF0849">
            <w:pPr>
              <w:pStyle w:val="Body"/>
              <w:spacing w:after="0"/>
              <w:jc w:val="center"/>
              <w:rPr>
                <w:rFonts w:ascii="Arial" w:hAnsi="Arial" w:cs="Arial"/>
                <w:b/>
                <w:bCs/>
                <w:sz w:val="14"/>
                <w:szCs w:val="14"/>
                <w:highlight w:val="magenta"/>
              </w:rPr>
            </w:pPr>
            <w:proofErr w:type="spellStart"/>
            <w:r w:rsidRPr="00FB43B3">
              <w:rPr>
                <w:rFonts w:ascii="Arial" w:hAnsi="Arial" w:cs="Arial"/>
                <w:b/>
                <w:bCs/>
                <w:sz w:val="14"/>
                <w:szCs w:val="14"/>
                <w:highlight w:val="magenta"/>
              </w:rPr>
              <w:t>Instruc’l</w:t>
            </w:r>
            <w:proofErr w:type="spellEnd"/>
            <w:r w:rsidRPr="00FB43B3">
              <w:rPr>
                <w:rFonts w:ascii="Arial" w:hAnsi="Arial" w:cs="Arial"/>
                <w:b/>
                <w:bCs/>
                <w:sz w:val="14"/>
                <w:szCs w:val="14"/>
                <w:highlight w:val="magenta"/>
              </w:rPr>
              <w:t xml:space="preserve"> Strategies</w:t>
            </w:r>
          </w:p>
        </w:tc>
        <w:tc>
          <w:tcPr>
            <w:tcW w:w="1103" w:type="dxa"/>
            <w:tcBorders>
              <w:top w:val="single" w:sz="8" w:space="0" w:color="auto"/>
              <w:bottom w:val="single" w:sz="8" w:space="0" w:color="auto"/>
            </w:tcBorders>
            <w:vAlign w:val="center"/>
          </w:tcPr>
          <w:p w14:paraId="64E5ACF1" w14:textId="594CC5E6" w:rsidR="004210E6" w:rsidRPr="00FB43B3" w:rsidRDefault="00DF0849" w:rsidP="00DF0849">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Student Engagement</w:t>
            </w:r>
          </w:p>
        </w:tc>
        <w:tc>
          <w:tcPr>
            <w:tcW w:w="1233" w:type="dxa"/>
            <w:tcBorders>
              <w:top w:val="single" w:sz="8" w:space="0" w:color="auto"/>
              <w:bottom w:val="single" w:sz="8" w:space="0" w:color="auto"/>
            </w:tcBorders>
            <w:vAlign w:val="center"/>
          </w:tcPr>
          <w:p w14:paraId="5A287E54" w14:textId="28645760" w:rsidR="004210E6" w:rsidRPr="00FB43B3" w:rsidRDefault="00DF0849" w:rsidP="00DF0849">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Assessing Student Understanding</w:t>
            </w:r>
          </w:p>
        </w:tc>
        <w:tc>
          <w:tcPr>
            <w:tcW w:w="876" w:type="dxa"/>
            <w:tcBorders>
              <w:top w:val="single" w:sz="8" w:space="0" w:color="auto"/>
              <w:bottom w:val="single" w:sz="8" w:space="0" w:color="auto"/>
            </w:tcBorders>
            <w:vAlign w:val="center"/>
          </w:tcPr>
          <w:p w14:paraId="5E83421E" w14:textId="51EEEF95" w:rsidR="004210E6" w:rsidRPr="00FB43B3" w:rsidRDefault="00DF0849" w:rsidP="00DF0849">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Meeting Diverse Student Needs</w:t>
            </w:r>
          </w:p>
        </w:tc>
        <w:tc>
          <w:tcPr>
            <w:tcW w:w="860" w:type="dxa"/>
            <w:tcBorders>
              <w:top w:val="single" w:sz="8" w:space="0" w:color="auto"/>
              <w:bottom w:val="single" w:sz="8" w:space="0" w:color="auto"/>
            </w:tcBorders>
            <w:vAlign w:val="center"/>
          </w:tcPr>
          <w:p w14:paraId="6C8C5E6D" w14:textId="6E10F4C7" w:rsidR="004210E6" w:rsidRPr="00FB43B3" w:rsidRDefault="00DF0849" w:rsidP="00DF0849">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Teaching Efficacy</w:t>
            </w:r>
          </w:p>
        </w:tc>
      </w:tr>
      <w:tr w:rsidR="001168ED" w:rsidRPr="00FB43B3" w14:paraId="40838931" w14:textId="77777777" w:rsidTr="002D797F">
        <w:trPr>
          <w:trHeight w:val="431"/>
        </w:trPr>
        <w:tc>
          <w:tcPr>
            <w:tcW w:w="1285" w:type="dxa"/>
            <w:vMerge w:val="restart"/>
            <w:tcBorders>
              <w:top w:val="single" w:sz="8" w:space="0" w:color="auto"/>
            </w:tcBorders>
            <w:vAlign w:val="center"/>
          </w:tcPr>
          <w:p w14:paraId="4802935D" w14:textId="01E8BA47" w:rsidR="00DF0849" w:rsidRPr="00FB43B3" w:rsidRDefault="00DF0849"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Relevance to Teaching Practice</w:t>
            </w:r>
          </w:p>
        </w:tc>
        <w:tc>
          <w:tcPr>
            <w:tcW w:w="1137" w:type="dxa"/>
            <w:tcBorders>
              <w:top w:val="single" w:sz="8" w:space="0" w:color="auto"/>
            </w:tcBorders>
            <w:vAlign w:val="center"/>
          </w:tcPr>
          <w:p w14:paraId="029E9D65" w14:textId="77777777" w:rsidR="00DF0849"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25DC20AB" w14:textId="31BEDFDB" w:rsidR="005777E7" w:rsidRPr="00FB43B3" w:rsidRDefault="005777E7" w:rsidP="0080554C">
            <w:pPr>
              <w:pStyle w:val="Body"/>
              <w:spacing w:after="0"/>
              <w:jc w:val="center"/>
              <w:rPr>
                <w:rFonts w:ascii="Arial" w:hAnsi="Arial" w:cs="Arial"/>
                <w:sz w:val="14"/>
                <w:szCs w:val="14"/>
                <w:highlight w:val="magenta"/>
              </w:rPr>
            </w:pPr>
          </w:p>
        </w:tc>
        <w:tc>
          <w:tcPr>
            <w:tcW w:w="980" w:type="dxa"/>
            <w:tcBorders>
              <w:top w:val="single" w:sz="8" w:space="0" w:color="auto"/>
            </w:tcBorders>
            <w:vAlign w:val="center"/>
          </w:tcPr>
          <w:p w14:paraId="08DDF759" w14:textId="630DABA8"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.11</w:t>
            </w:r>
          </w:p>
        </w:tc>
        <w:tc>
          <w:tcPr>
            <w:tcW w:w="920" w:type="dxa"/>
            <w:tcBorders>
              <w:top w:val="single" w:sz="8" w:space="0" w:color="auto"/>
            </w:tcBorders>
            <w:vAlign w:val="center"/>
          </w:tcPr>
          <w:p w14:paraId="4666BFCA" w14:textId="4F517EBE"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.11</w:t>
            </w:r>
          </w:p>
        </w:tc>
        <w:tc>
          <w:tcPr>
            <w:tcW w:w="1103" w:type="dxa"/>
            <w:tcBorders>
              <w:top w:val="single" w:sz="8" w:space="0" w:color="auto"/>
            </w:tcBorders>
            <w:vAlign w:val="center"/>
          </w:tcPr>
          <w:p w14:paraId="6ED87389" w14:textId="2DB80879"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.23</w:t>
            </w:r>
          </w:p>
        </w:tc>
        <w:tc>
          <w:tcPr>
            <w:tcW w:w="1233" w:type="dxa"/>
            <w:tcBorders>
              <w:top w:val="single" w:sz="8" w:space="0" w:color="auto"/>
            </w:tcBorders>
            <w:vAlign w:val="center"/>
          </w:tcPr>
          <w:p w14:paraId="00D52FBB" w14:textId="3F358328"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.04</w:t>
            </w:r>
          </w:p>
        </w:tc>
        <w:tc>
          <w:tcPr>
            <w:tcW w:w="876" w:type="dxa"/>
            <w:tcBorders>
              <w:top w:val="single" w:sz="8" w:space="0" w:color="auto"/>
            </w:tcBorders>
            <w:vAlign w:val="center"/>
          </w:tcPr>
          <w:p w14:paraId="0D94CE36" w14:textId="71E4A0BF"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.42</w:t>
            </w:r>
          </w:p>
        </w:tc>
        <w:tc>
          <w:tcPr>
            <w:tcW w:w="860" w:type="dxa"/>
            <w:tcBorders>
              <w:top w:val="single" w:sz="8" w:space="0" w:color="auto"/>
            </w:tcBorders>
            <w:vAlign w:val="center"/>
          </w:tcPr>
          <w:p w14:paraId="20B7A6B7" w14:textId="57FA1FF6"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.23</w:t>
            </w:r>
          </w:p>
        </w:tc>
      </w:tr>
      <w:tr w:rsidR="001168ED" w:rsidRPr="00FB43B3" w14:paraId="0352C091" w14:textId="77777777" w:rsidTr="002D797F">
        <w:trPr>
          <w:trHeight w:val="284"/>
        </w:trPr>
        <w:tc>
          <w:tcPr>
            <w:tcW w:w="1285" w:type="dxa"/>
            <w:vMerge/>
            <w:vAlign w:val="center"/>
          </w:tcPr>
          <w:p w14:paraId="113302AB" w14:textId="3D30FBBB" w:rsidR="00DF0849" w:rsidRPr="00FB43B3" w:rsidRDefault="00DF0849" w:rsidP="0080554C">
            <w:pPr>
              <w:pStyle w:val="Body"/>
              <w:spacing w:after="0"/>
              <w:jc w:val="center"/>
              <w:rPr>
                <w:rFonts w:ascii="Arial" w:hAnsi="Arial" w:cs="Arial"/>
                <w:b/>
                <w:bCs/>
                <w:sz w:val="14"/>
                <w:szCs w:val="14"/>
                <w:highlight w:val="magenta"/>
              </w:rPr>
            </w:pPr>
          </w:p>
        </w:tc>
        <w:tc>
          <w:tcPr>
            <w:tcW w:w="1137" w:type="dxa"/>
            <w:vAlign w:val="center"/>
          </w:tcPr>
          <w:p w14:paraId="4E9F3981" w14:textId="77777777" w:rsidR="00DF0849"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6CFA1E74" w14:textId="74ED4C90"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526F3B28" w14:textId="0FA024E5"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.61</w:t>
            </w:r>
          </w:p>
        </w:tc>
        <w:tc>
          <w:tcPr>
            <w:tcW w:w="920" w:type="dxa"/>
            <w:vAlign w:val="center"/>
          </w:tcPr>
          <w:p w14:paraId="103D407B" w14:textId="109D8E18"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.58</w:t>
            </w:r>
          </w:p>
        </w:tc>
        <w:tc>
          <w:tcPr>
            <w:tcW w:w="1103" w:type="dxa"/>
            <w:vAlign w:val="center"/>
          </w:tcPr>
          <w:p w14:paraId="18DF6516" w14:textId="45E78AE4"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.26</w:t>
            </w:r>
          </w:p>
        </w:tc>
        <w:tc>
          <w:tcPr>
            <w:tcW w:w="1233" w:type="dxa"/>
            <w:vAlign w:val="center"/>
          </w:tcPr>
          <w:p w14:paraId="4D35AB86" w14:textId="1B7C6FAC"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.86</w:t>
            </w:r>
          </w:p>
        </w:tc>
        <w:tc>
          <w:tcPr>
            <w:tcW w:w="876" w:type="dxa"/>
            <w:vAlign w:val="center"/>
          </w:tcPr>
          <w:p w14:paraId="1F0205CE" w14:textId="3BA38ADE"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.04</w:t>
            </w:r>
          </w:p>
        </w:tc>
        <w:tc>
          <w:tcPr>
            <w:tcW w:w="860" w:type="dxa"/>
            <w:vAlign w:val="center"/>
          </w:tcPr>
          <w:p w14:paraId="2BA5664F" w14:textId="3E706870" w:rsidR="00DF0849"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.27</w:t>
            </w:r>
          </w:p>
        </w:tc>
      </w:tr>
      <w:tr w:rsidR="001168ED" w:rsidRPr="00FB43B3" w14:paraId="22264E51" w14:textId="77777777" w:rsidTr="002D797F">
        <w:trPr>
          <w:trHeight w:val="292"/>
        </w:trPr>
        <w:tc>
          <w:tcPr>
            <w:tcW w:w="1285" w:type="dxa"/>
            <w:vMerge/>
            <w:vAlign w:val="center"/>
          </w:tcPr>
          <w:p w14:paraId="18B22251" w14:textId="6E5BA847" w:rsidR="00DF0849" w:rsidRPr="00FB43B3" w:rsidRDefault="00DF0849" w:rsidP="0080554C">
            <w:pPr>
              <w:pStyle w:val="Body"/>
              <w:spacing w:after="0"/>
              <w:jc w:val="center"/>
              <w:rPr>
                <w:rFonts w:ascii="Arial" w:hAnsi="Arial" w:cs="Arial"/>
                <w:b/>
                <w:bCs/>
                <w:sz w:val="14"/>
                <w:szCs w:val="14"/>
                <w:highlight w:val="magenta"/>
              </w:rPr>
            </w:pPr>
          </w:p>
        </w:tc>
        <w:tc>
          <w:tcPr>
            <w:tcW w:w="1137" w:type="dxa"/>
            <w:vAlign w:val="center"/>
          </w:tcPr>
          <w:p w14:paraId="7CB2018D" w14:textId="77777777" w:rsidR="00DF0849"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p w14:paraId="04DB3448" w14:textId="096B83F5"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687150C5" w14:textId="02582109" w:rsidR="00DF0849"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920" w:type="dxa"/>
            <w:vAlign w:val="center"/>
          </w:tcPr>
          <w:p w14:paraId="5E34929F" w14:textId="1D707351" w:rsidR="00DF0849"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103" w:type="dxa"/>
            <w:vAlign w:val="center"/>
          </w:tcPr>
          <w:p w14:paraId="21E9BDAC" w14:textId="33F69C78" w:rsidR="00DF0849"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233" w:type="dxa"/>
            <w:vAlign w:val="center"/>
          </w:tcPr>
          <w:p w14:paraId="1F1E3625" w14:textId="336CEA24" w:rsidR="00DF0849"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Negligible</w:t>
            </w:r>
          </w:p>
        </w:tc>
        <w:tc>
          <w:tcPr>
            <w:tcW w:w="876" w:type="dxa"/>
            <w:vAlign w:val="center"/>
          </w:tcPr>
          <w:p w14:paraId="650FE7EE" w14:textId="5CDB84A1" w:rsidR="00DF0849"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860" w:type="dxa"/>
            <w:vAlign w:val="center"/>
          </w:tcPr>
          <w:p w14:paraId="2E418209" w14:textId="0B83FCF9" w:rsidR="00DF0849"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r>
      <w:tr w:rsidR="001168ED" w:rsidRPr="00FB43B3" w14:paraId="2A040E62" w14:textId="77777777" w:rsidTr="002D797F">
        <w:trPr>
          <w:trHeight w:val="431"/>
        </w:trPr>
        <w:tc>
          <w:tcPr>
            <w:tcW w:w="1285" w:type="dxa"/>
            <w:vMerge w:val="restart"/>
            <w:vAlign w:val="center"/>
          </w:tcPr>
          <w:p w14:paraId="329731FF" w14:textId="366AABAB" w:rsidR="008272C4" w:rsidRPr="00FB43B3" w:rsidRDefault="008272C4"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Improvement in Teaching Skills</w:t>
            </w:r>
          </w:p>
        </w:tc>
        <w:tc>
          <w:tcPr>
            <w:tcW w:w="1137" w:type="dxa"/>
            <w:vAlign w:val="center"/>
          </w:tcPr>
          <w:p w14:paraId="7607425F"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6D65E2CB" w14:textId="567F8B13"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78BA79CF" w14:textId="762E4C62"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.20</w:t>
            </w:r>
          </w:p>
        </w:tc>
        <w:tc>
          <w:tcPr>
            <w:tcW w:w="920" w:type="dxa"/>
            <w:vAlign w:val="center"/>
          </w:tcPr>
          <w:p w14:paraId="24DFE1FA" w14:textId="74D9D630"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.36</w:t>
            </w:r>
          </w:p>
        </w:tc>
        <w:tc>
          <w:tcPr>
            <w:tcW w:w="1103" w:type="dxa"/>
            <w:vAlign w:val="center"/>
          </w:tcPr>
          <w:p w14:paraId="3BECFD53" w14:textId="75125B65"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.33</w:t>
            </w:r>
          </w:p>
        </w:tc>
        <w:tc>
          <w:tcPr>
            <w:tcW w:w="1233" w:type="dxa"/>
            <w:vAlign w:val="center"/>
          </w:tcPr>
          <w:p w14:paraId="0DBF3A43" w14:textId="24749730"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.30</w:t>
            </w:r>
          </w:p>
        </w:tc>
        <w:tc>
          <w:tcPr>
            <w:tcW w:w="876" w:type="dxa"/>
            <w:vAlign w:val="center"/>
          </w:tcPr>
          <w:p w14:paraId="7C2ADF66" w14:textId="151E0A66"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.33</w:t>
            </w:r>
          </w:p>
        </w:tc>
        <w:tc>
          <w:tcPr>
            <w:tcW w:w="860" w:type="dxa"/>
            <w:vAlign w:val="center"/>
          </w:tcPr>
          <w:p w14:paraId="13C93BB3" w14:textId="185F27C3"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.37</w:t>
            </w:r>
          </w:p>
        </w:tc>
      </w:tr>
      <w:tr w:rsidR="001168ED" w:rsidRPr="00FB43B3" w14:paraId="3D45D4EE" w14:textId="77777777" w:rsidTr="002D797F">
        <w:trPr>
          <w:trHeight w:val="284"/>
        </w:trPr>
        <w:tc>
          <w:tcPr>
            <w:tcW w:w="1285" w:type="dxa"/>
            <w:vMerge/>
            <w:vAlign w:val="center"/>
          </w:tcPr>
          <w:p w14:paraId="78A87C99"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077220BC"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72C0DFDB" w14:textId="06F53154"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6C58D283" w14:textId="3CFA6BF6"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.34</w:t>
            </w:r>
          </w:p>
        </w:tc>
        <w:tc>
          <w:tcPr>
            <w:tcW w:w="920" w:type="dxa"/>
            <w:vAlign w:val="center"/>
          </w:tcPr>
          <w:p w14:paraId="2690D278" w14:textId="2D357369"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.08</w:t>
            </w:r>
          </w:p>
        </w:tc>
        <w:tc>
          <w:tcPr>
            <w:tcW w:w="1103" w:type="dxa"/>
            <w:vAlign w:val="center"/>
          </w:tcPr>
          <w:p w14:paraId="1CE70835" w14:textId="7FF1E597"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.10</w:t>
            </w:r>
          </w:p>
        </w:tc>
        <w:tc>
          <w:tcPr>
            <w:tcW w:w="1233" w:type="dxa"/>
            <w:vAlign w:val="center"/>
          </w:tcPr>
          <w:p w14:paraId="66329F16" w14:textId="4301F1C3"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.14</w:t>
            </w:r>
          </w:p>
        </w:tc>
        <w:tc>
          <w:tcPr>
            <w:tcW w:w="876" w:type="dxa"/>
            <w:vAlign w:val="center"/>
          </w:tcPr>
          <w:p w14:paraId="3F0DF3EC" w14:textId="5685B83A"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.10</w:t>
            </w:r>
          </w:p>
        </w:tc>
        <w:tc>
          <w:tcPr>
            <w:tcW w:w="860" w:type="dxa"/>
            <w:vAlign w:val="center"/>
          </w:tcPr>
          <w:p w14:paraId="155371EA" w14:textId="2FADFB26"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.07</w:t>
            </w:r>
          </w:p>
        </w:tc>
      </w:tr>
      <w:tr w:rsidR="001168ED" w:rsidRPr="00FB43B3" w14:paraId="3869FC18" w14:textId="77777777" w:rsidTr="002D797F">
        <w:trPr>
          <w:trHeight w:val="284"/>
        </w:trPr>
        <w:tc>
          <w:tcPr>
            <w:tcW w:w="1285" w:type="dxa"/>
            <w:vMerge/>
            <w:vAlign w:val="center"/>
          </w:tcPr>
          <w:p w14:paraId="3B068DC5"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6BF8D79C"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p w14:paraId="05799A35" w14:textId="01170A75"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251D9C5A" w14:textId="007EC1B9"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920" w:type="dxa"/>
            <w:vAlign w:val="center"/>
          </w:tcPr>
          <w:p w14:paraId="7C03EBE7" w14:textId="45A31F0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1103" w:type="dxa"/>
            <w:vAlign w:val="center"/>
          </w:tcPr>
          <w:p w14:paraId="3D7DFA80" w14:textId="6F6032D0"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1233" w:type="dxa"/>
            <w:vAlign w:val="center"/>
          </w:tcPr>
          <w:p w14:paraId="24FFC476" w14:textId="54E008E4"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876" w:type="dxa"/>
            <w:vAlign w:val="center"/>
          </w:tcPr>
          <w:p w14:paraId="0320B30B" w14:textId="2605A3D8"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860" w:type="dxa"/>
            <w:vAlign w:val="center"/>
          </w:tcPr>
          <w:p w14:paraId="18816E1D" w14:textId="561EC15F"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r>
      <w:tr w:rsidR="001168ED" w:rsidRPr="00FB43B3" w14:paraId="15079285" w14:textId="77777777" w:rsidTr="002D797F">
        <w:trPr>
          <w:trHeight w:val="431"/>
        </w:trPr>
        <w:tc>
          <w:tcPr>
            <w:tcW w:w="1285" w:type="dxa"/>
            <w:vMerge w:val="restart"/>
            <w:vAlign w:val="center"/>
          </w:tcPr>
          <w:p w14:paraId="54F8FFFB" w14:textId="0FE958C2" w:rsidR="008272C4" w:rsidRPr="00FB43B3" w:rsidRDefault="008272C4"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Reflection and Growth</w:t>
            </w:r>
          </w:p>
        </w:tc>
        <w:tc>
          <w:tcPr>
            <w:tcW w:w="1137" w:type="dxa"/>
            <w:vAlign w:val="center"/>
          </w:tcPr>
          <w:p w14:paraId="48BDC958"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6F812329" w14:textId="54E0A243"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482EDA13" w14:textId="19DA7C20"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lastRenderedPageBreak/>
              <w:t>0</w:t>
            </w:r>
          </w:p>
        </w:tc>
        <w:tc>
          <w:tcPr>
            <w:tcW w:w="920" w:type="dxa"/>
            <w:vAlign w:val="center"/>
          </w:tcPr>
          <w:p w14:paraId="4870E03F" w14:textId="4088AAC2"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.16</w:t>
            </w:r>
          </w:p>
        </w:tc>
        <w:tc>
          <w:tcPr>
            <w:tcW w:w="1103" w:type="dxa"/>
            <w:vAlign w:val="center"/>
          </w:tcPr>
          <w:p w14:paraId="2D57A675" w14:textId="41765DD6"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.80</w:t>
            </w:r>
          </w:p>
        </w:tc>
        <w:tc>
          <w:tcPr>
            <w:tcW w:w="1233" w:type="dxa"/>
            <w:vAlign w:val="center"/>
          </w:tcPr>
          <w:p w14:paraId="16999A9E" w14:textId="51788398"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.12</w:t>
            </w:r>
          </w:p>
        </w:tc>
        <w:tc>
          <w:tcPr>
            <w:tcW w:w="876" w:type="dxa"/>
            <w:vAlign w:val="center"/>
          </w:tcPr>
          <w:p w14:paraId="1DCD5726" w14:textId="6D45343E"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.10</w:t>
            </w:r>
          </w:p>
        </w:tc>
        <w:tc>
          <w:tcPr>
            <w:tcW w:w="860" w:type="dxa"/>
            <w:vAlign w:val="center"/>
          </w:tcPr>
          <w:p w14:paraId="699505AC" w14:textId="6B851A87"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.11</w:t>
            </w:r>
          </w:p>
        </w:tc>
      </w:tr>
      <w:tr w:rsidR="001168ED" w:rsidRPr="00FB43B3" w14:paraId="4335C8CF" w14:textId="77777777" w:rsidTr="002D797F">
        <w:trPr>
          <w:trHeight w:val="292"/>
        </w:trPr>
        <w:tc>
          <w:tcPr>
            <w:tcW w:w="1285" w:type="dxa"/>
            <w:vMerge/>
            <w:vAlign w:val="center"/>
          </w:tcPr>
          <w:p w14:paraId="5E8CB588"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0B919DF8"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571D0B9B" w14:textId="2177CA1E"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1053140D" w14:textId="560BB908"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.99</w:t>
            </w:r>
          </w:p>
        </w:tc>
        <w:tc>
          <w:tcPr>
            <w:tcW w:w="920" w:type="dxa"/>
            <w:vAlign w:val="center"/>
          </w:tcPr>
          <w:p w14:paraId="5E34E8EC" w14:textId="1AC6389B"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.46</w:t>
            </w:r>
          </w:p>
        </w:tc>
        <w:tc>
          <w:tcPr>
            <w:tcW w:w="1103" w:type="dxa"/>
            <w:vAlign w:val="center"/>
          </w:tcPr>
          <w:p w14:paraId="2ED89A66" w14:textId="74FAB82D"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.70</w:t>
            </w:r>
          </w:p>
        </w:tc>
        <w:tc>
          <w:tcPr>
            <w:tcW w:w="1233" w:type="dxa"/>
            <w:vAlign w:val="center"/>
          </w:tcPr>
          <w:p w14:paraId="46A80DC7" w14:textId="175D319E"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.57</w:t>
            </w:r>
          </w:p>
        </w:tc>
        <w:tc>
          <w:tcPr>
            <w:tcW w:w="876" w:type="dxa"/>
            <w:vAlign w:val="center"/>
          </w:tcPr>
          <w:p w14:paraId="38255326" w14:textId="12F2110F"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.64</w:t>
            </w:r>
          </w:p>
        </w:tc>
        <w:tc>
          <w:tcPr>
            <w:tcW w:w="860" w:type="dxa"/>
            <w:vAlign w:val="center"/>
          </w:tcPr>
          <w:p w14:paraId="0AF3BA11" w14:textId="6C57A214"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.60</w:t>
            </w:r>
          </w:p>
        </w:tc>
      </w:tr>
      <w:tr w:rsidR="001168ED" w:rsidRPr="00FB43B3" w14:paraId="479F24F1" w14:textId="77777777" w:rsidTr="002D797F">
        <w:trPr>
          <w:trHeight w:val="284"/>
        </w:trPr>
        <w:tc>
          <w:tcPr>
            <w:tcW w:w="1285" w:type="dxa"/>
            <w:vMerge/>
            <w:vAlign w:val="center"/>
          </w:tcPr>
          <w:p w14:paraId="0165949B"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582246CE"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p w14:paraId="3102A4E6" w14:textId="3924E998"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4D7CD3F0" w14:textId="230A2FEA"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No Correlation</w:t>
            </w:r>
          </w:p>
        </w:tc>
        <w:tc>
          <w:tcPr>
            <w:tcW w:w="920" w:type="dxa"/>
            <w:vAlign w:val="center"/>
          </w:tcPr>
          <w:p w14:paraId="48DB6EFF" w14:textId="1A6CD1E0"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103" w:type="dxa"/>
            <w:vAlign w:val="center"/>
          </w:tcPr>
          <w:p w14:paraId="253E15D7" w14:textId="25DFD6E8"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Negligible</w:t>
            </w:r>
          </w:p>
        </w:tc>
        <w:tc>
          <w:tcPr>
            <w:tcW w:w="1233" w:type="dxa"/>
            <w:vAlign w:val="center"/>
          </w:tcPr>
          <w:p w14:paraId="59D88D7B" w14:textId="3935F15A"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876" w:type="dxa"/>
            <w:vAlign w:val="center"/>
          </w:tcPr>
          <w:p w14:paraId="63B8803F" w14:textId="78482023"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860" w:type="dxa"/>
            <w:vAlign w:val="center"/>
          </w:tcPr>
          <w:p w14:paraId="381CE58D" w14:textId="409DE5DD"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r>
      <w:tr w:rsidR="008272C4" w:rsidRPr="00FB43B3" w14:paraId="5B225732" w14:textId="77777777" w:rsidTr="002D797F">
        <w:trPr>
          <w:trHeight w:val="431"/>
        </w:trPr>
        <w:tc>
          <w:tcPr>
            <w:tcW w:w="1285" w:type="dxa"/>
            <w:vMerge w:val="restart"/>
            <w:vAlign w:val="center"/>
          </w:tcPr>
          <w:p w14:paraId="3F591FC5" w14:textId="1C8CEE22" w:rsidR="008272C4" w:rsidRPr="00FB43B3" w:rsidRDefault="008272C4"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Collaboration and Peer Learning</w:t>
            </w:r>
          </w:p>
        </w:tc>
        <w:tc>
          <w:tcPr>
            <w:tcW w:w="1137" w:type="dxa"/>
            <w:vAlign w:val="center"/>
          </w:tcPr>
          <w:p w14:paraId="5227F3A2"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5924A9D2" w14:textId="68EC73EB"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6E93D4A6" w14:textId="78F1CED3"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.15</w:t>
            </w:r>
          </w:p>
        </w:tc>
        <w:tc>
          <w:tcPr>
            <w:tcW w:w="920" w:type="dxa"/>
            <w:vAlign w:val="center"/>
          </w:tcPr>
          <w:p w14:paraId="3851CBB5" w14:textId="6F9874B4"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.10</w:t>
            </w:r>
          </w:p>
        </w:tc>
        <w:tc>
          <w:tcPr>
            <w:tcW w:w="1103" w:type="dxa"/>
            <w:vAlign w:val="center"/>
          </w:tcPr>
          <w:p w14:paraId="3500ABB5" w14:textId="1BA4453C"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.07</w:t>
            </w:r>
          </w:p>
        </w:tc>
        <w:tc>
          <w:tcPr>
            <w:tcW w:w="1233" w:type="dxa"/>
            <w:vAlign w:val="center"/>
          </w:tcPr>
          <w:p w14:paraId="75C80722" w14:textId="3963924B" w:rsidR="008272C4" w:rsidRPr="00FB43B3" w:rsidRDefault="00770A2E" w:rsidP="00770A2E">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.04</w:t>
            </w:r>
          </w:p>
        </w:tc>
        <w:tc>
          <w:tcPr>
            <w:tcW w:w="876" w:type="dxa"/>
            <w:vAlign w:val="center"/>
          </w:tcPr>
          <w:p w14:paraId="15C68F07" w14:textId="3BF02728"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.25</w:t>
            </w:r>
          </w:p>
        </w:tc>
        <w:tc>
          <w:tcPr>
            <w:tcW w:w="860" w:type="dxa"/>
            <w:vAlign w:val="center"/>
          </w:tcPr>
          <w:p w14:paraId="7D69B3C4" w14:textId="2F7D464B"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.13</w:t>
            </w:r>
          </w:p>
        </w:tc>
      </w:tr>
      <w:tr w:rsidR="008272C4" w:rsidRPr="00FB43B3" w14:paraId="07E7D0D3" w14:textId="77777777" w:rsidTr="002D797F">
        <w:trPr>
          <w:trHeight w:val="284"/>
        </w:trPr>
        <w:tc>
          <w:tcPr>
            <w:tcW w:w="1285" w:type="dxa"/>
            <w:vMerge/>
            <w:vAlign w:val="center"/>
          </w:tcPr>
          <w:p w14:paraId="4F77EFB5"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68ED8C1B"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4733C4BA" w14:textId="45304C57"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280EE279" w14:textId="46C20790"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.46</w:t>
            </w:r>
          </w:p>
        </w:tc>
        <w:tc>
          <w:tcPr>
            <w:tcW w:w="920" w:type="dxa"/>
            <w:vAlign w:val="center"/>
          </w:tcPr>
          <w:p w14:paraId="5E12F9B2" w14:textId="1CA907FD"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8272C4" w:rsidRPr="00FB43B3">
              <w:rPr>
                <w:rFonts w:ascii="Arial" w:hAnsi="Arial" w:cs="Arial"/>
                <w:sz w:val="14"/>
                <w:szCs w:val="14"/>
                <w:highlight w:val="magenta"/>
              </w:rPr>
              <w:t>.62</w:t>
            </w:r>
          </w:p>
        </w:tc>
        <w:tc>
          <w:tcPr>
            <w:tcW w:w="1103" w:type="dxa"/>
            <w:vAlign w:val="center"/>
          </w:tcPr>
          <w:p w14:paraId="19021548" w14:textId="0800DDDA"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.74</w:t>
            </w:r>
          </w:p>
        </w:tc>
        <w:tc>
          <w:tcPr>
            <w:tcW w:w="1233" w:type="dxa"/>
            <w:vAlign w:val="center"/>
          </w:tcPr>
          <w:p w14:paraId="7FF7290B" w14:textId="7A12ABA3"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.84</w:t>
            </w:r>
          </w:p>
        </w:tc>
        <w:tc>
          <w:tcPr>
            <w:tcW w:w="876" w:type="dxa"/>
            <w:vAlign w:val="center"/>
          </w:tcPr>
          <w:p w14:paraId="47EE8C8C" w14:textId="071AF031"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.23</w:t>
            </w:r>
          </w:p>
        </w:tc>
        <w:tc>
          <w:tcPr>
            <w:tcW w:w="860" w:type="dxa"/>
            <w:vAlign w:val="center"/>
          </w:tcPr>
          <w:p w14:paraId="2592B2F3" w14:textId="73FE7173" w:rsidR="008272C4" w:rsidRPr="00FB43B3" w:rsidRDefault="00770A2E"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w:t>
            </w:r>
            <w:r w:rsidR="00672B8C" w:rsidRPr="00FB43B3">
              <w:rPr>
                <w:rFonts w:ascii="Arial" w:hAnsi="Arial" w:cs="Arial"/>
                <w:sz w:val="14"/>
                <w:szCs w:val="14"/>
                <w:highlight w:val="magenta"/>
              </w:rPr>
              <w:t>.53</w:t>
            </w:r>
          </w:p>
        </w:tc>
      </w:tr>
      <w:tr w:rsidR="008272C4" w:rsidRPr="00FB43B3" w14:paraId="7AD41B6F" w14:textId="77777777" w:rsidTr="002D797F">
        <w:trPr>
          <w:trHeight w:val="292"/>
        </w:trPr>
        <w:tc>
          <w:tcPr>
            <w:tcW w:w="1285" w:type="dxa"/>
            <w:vMerge/>
            <w:vAlign w:val="center"/>
          </w:tcPr>
          <w:p w14:paraId="6342D923"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0EAC6ABC"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p w14:paraId="1690ED2F" w14:textId="184AF52C"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50E7D2E7" w14:textId="69EA7FE9"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920" w:type="dxa"/>
            <w:vAlign w:val="center"/>
          </w:tcPr>
          <w:p w14:paraId="6892D5E9" w14:textId="43446DEF"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103" w:type="dxa"/>
            <w:vAlign w:val="center"/>
          </w:tcPr>
          <w:p w14:paraId="64253E5C" w14:textId="5BC6F2B8"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Negligible</w:t>
            </w:r>
          </w:p>
        </w:tc>
        <w:tc>
          <w:tcPr>
            <w:tcW w:w="1233" w:type="dxa"/>
            <w:vAlign w:val="center"/>
          </w:tcPr>
          <w:p w14:paraId="03D62CC9" w14:textId="5DB19917"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Negligible</w:t>
            </w:r>
          </w:p>
        </w:tc>
        <w:tc>
          <w:tcPr>
            <w:tcW w:w="876" w:type="dxa"/>
            <w:vAlign w:val="center"/>
          </w:tcPr>
          <w:p w14:paraId="4A80DAEF" w14:textId="6A7D79BC"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860" w:type="dxa"/>
            <w:vAlign w:val="center"/>
          </w:tcPr>
          <w:p w14:paraId="4C5BDA57" w14:textId="0B44C4F8"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r>
      <w:tr w:rsidR="008272C4" w:rsidRPr="00FB43B3" w14:paraId="49417475" w14:textId="77777777" w:rsidTr="002D797F">
        <w:trPr>
          <w:trHeight w:val="431"/>
        </w:trPr>
        <w:tc>
          <w:tcPr>
            <w:tcW w:w="1285" w:type="dxa"/>
            <w:vMerge w:val="restart"/>
            <w:vAlign w:val="center"/>
          </w:tcPr>
          <w:p w14:paraId="362D7DBE" w14:textId="71CCAD5E" w:rsidR="008272C4" w:rsidRPr="00FB43B3" w:rsidRDefault="008272C4"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Support and Implementation</w:t>
            </w:r>
          </w:p>
        </w:tc>
        <w:tc>
          <w:tcPr>
            <w:tcW w:w="1137" w:type="dxa"/>
            <w:vAlign w:val="center"/>
          </w:tcPr>
          <w:p w14:paraId="38A0A8BE"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0A3DA4CA" w14:textId="3DC7E4C8"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79E786C9" w14:textId="54D724D8"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.05</w:t>
            </w:r>
          </w:p>
        </w:tc>
        <w:tc>
          <w:tcPr>
            <w:tcW w:w="920" w:type="dxa"/>
            <w:vAlign w:val="center"/>
          </w:tcPr>
          <w:p w14:paraId="422AD012" w14:textId="07BE40CF"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.27</w:t>
            </w:r>
          </w:p>
        </w:tc>
        <w:tc>
          <w:tcPr>
            <w:tcW w:w="1103" w:type="dxa"/>
            <w:vAlign w:val="center"/>
          </w:tcPr>
          <w:p w14:paraId="7F7D1089" w14:textId="2FD0FF5E"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.47</w:t>
            </w:r>
          </w:p>
        </w:tc>
        <w:tc>
          <w:tcPr>
            <w:tcW w:w="1233" w:type="dxa"/>
            <w:vAlign w:val="center"/>
          </w:tcPr>
          <w:p w14:paraId="7BF05B57" w14:textId="140B401C"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.22</w:t>
            </w:r>
          </w:p>
        </w:tc>
        <w:tc>
          <w:tcPr>
            <w:tcW w:w="876" w:type="dxa"/>
            <w:vAlign w:val="center"/>
          </w:tcPr>
          <w:p w14:paraId="4EED174F" w14:textId="7587A294"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.48</w:t>
            </w:r>
          </w:p>
        </w:tc>
        <w:tc>
          <w:tcPr>
            <w:tcW w:w="860" w:type="dxa"/>
            <w:vAlign w:val="center"/>
          </w:tcPr>
          <w:p w14:paraId="78A41188" w14:textId="39CED5B9"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.37</w:t>
            </w:r>
          </w:p>
        </w:tc>
      </w:tr>
      <w:tr w:rsidR="008272C4" w:rsidRPr="00FB43B3" w14:paraId="75BF20D5" w14:textId="77777777" w:rsidTr="002D797F">
        <w:trPr>
          <w:trHeight w:val="284"/>
        </w:trPr>
        <w:tc>
          <w:tcPr>
            <w:tcW w:w="1285" w:type="dxa"/>
            <w:vMerge/>
            <w:vAlign w:val="center"/>
          </w:tcPr>
          <w:p w14:paraId="6F1D95A0"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3FAD3CB5"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5D021542" w14:textId="3E9D9D6D"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33F661D0" w14:textId="5D3126E9"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.80</w:t>
            </w:r>
          </w:p>
        </w:tc>
        <w:tc>
          <w:tcPr>
            <w:tcW w:w="920" w:type="dxa"/>
            <w:vAlign w:val="center"/>
          </w:tcPr>
          <w:p w14:paraId="0E13446E" w14:textId="2588BFEC"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.20</w:t>
            </w:r>
          </w:p>
        </w:tc>
        <w:tc>
          <w:tcPr>
            <w:tcW w:w="1103" w:type="dxa"/>
            <w:vAlign w:val="center"/>
          </w:tcPr>
          <w:p w14:paraId="1434D79A" w14:textId="308E71CA"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.02</w:t>
            </w:r>
          </w:p>
        </w:tc>
        <w:tc>
          <w:tcPr>
            <w:tcW w:w="1233" w:type="dxa"/>
            <w:vAlign w:val="center"/>
          </w:tcPr>
          <w:p w14:paraId="4A3FE5CB" w14:textId="23C5203C"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.28</w:t>
            </w:r>
          </w:p>
        </w:tc>
        <w:tc>
          <w:tcPr>
            <w:tcW w:w="876" w:type="dxa"/>
            <w:vAlign w:val="center"/>
          </w:tcPr>
          <w:p w14:paraId="105F7517" w14:textId="3CAF4A76"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.02</w:t>
            </w:r>
          </w:p>
        </w:tc>
        <w:tc>
          <w:tcPr>
            <w:tcW w:w="860" w:type="dxa"/>
            <w:vAlign w:val="center"/>
          </w:tcPr>
          <w:p w14:paraId="391BACC0" w14:textId="77133157"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.07</w:t>
            </w:r>
          </w:p>
        </w:tc>
      </w:tr>
      <w:tr w:rsidR="008272C4" w:rsidRPr="00FB43B3" w14:paraId="72A75EC2" w14:textId="77777777" w:rsidTr="002D797F">
        <w:trPr>
          <w:trHeight w:val="284"/>
        </w:trPr>
        <w:tc>
          <w:tcPr>
            <w:tcW w:w="1285" w:type="dxa"/>
            <w:vMerge/>
            <w:vAlign w:val="center"/>
          </w:tcPr>
          <w:p w14:paraId="405B787A" w14:textId="77777777" w:rsidR="008272C4" w:rsidRPr="00FB43B3" w:rsidRDefault="008272C4" w:rsidP="0080554C">
            <w:pPr>
              <w:pStyle w:val="Body"/>
              <w:spacing w:after="0"/>
              <w:jc w:val="center"/>
              <w:rPr>
                <w:rFonts w:ascii="Arial" w:hAnsi="Arial" w:cs="Arial"/>
                <w:b/>
                <w:bCs/>
                <w:sz w:val="14"/>
                <w:szCs w:val="14"/>
                <w:highlight w:val="magenta"/>
              </w:rPr>
            </w:pPr>
          </w:p>
        </w:tc>
        <w:tc>
          <w:tcPr>
            <w:tcW w:w="1137" w:type="dxa"/>
            <w:vAlign w:val="center"/>
          </w:tcPr>
          <w:p w14:paraId="0E4A25EA"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p w14:paraId="1029A5C8" w14:textId="68F4B17E"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28C9ABBF" w14:textId="49CEBD32"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Negligible</w:t>
            </w:r>
          </w:p>
        </w:tc>
        <w:tc>
          <w:tcPr>
            <w:tcW w:w="920" w:type="dxa"/>
            <w:vAlign w:val="center"/>
          </w:tcPr>
          <w:p w14:paraId="5BCE79CE" w14:textId="2E396FA9"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103" w:type="dxa"/>
            <w:vAlign w:val="center"/>
          </w:tcPr>
          <w:p w14:paraId="1B23AF40" w14:textId="27AF120B"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1233" w:type="dxa"/>
            <w:vAlign w:val="center"/>
          </w:tcPr>
          <w:p w14:paraId="4306F4CE" w14:textId="64BA046B"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876" w:type="dxa"/>
            <w:vAlign w:val="center"/>
          </w:tcPr>
          <w:p w14:paraId="7CEA5268" w14:textId="21F56D35"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860" w:type="dxa"/>
            <w:vAlign w:val="center"/>
          </w:tcPr>
          <w:p w14:paraId="44685C3D" w14:textId="705A82DD"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r>
      <w:tr w:rsidR="008272C4" w:rsidRPr="00FB43B3" w14:paraId="33686DA9" w14:textId="77777777" w:rsidTr="002D797F">
        <w:trPr>
          <w:trHeight w:val="431"/>
        </w:trPr>
        <w:tc>
          <w:tcPr>
            <w:tcW w:w="1285" w:type="dxa"/>
            <w:vMerge w:val="restart"/>
            <w:tcBorders>
              <w:bottom w:val="single" w:sz="8" w:space="0" w:color="auto"/>
            </w:tcBorders>
            <w:vAlign w:val="center"/>
          </w:tcPr>
          <w:p w14:paraId="19EB2713" w14:textId="744F4667" w:rsidR="008272C4" w:rsidRPr="00FB43B3" w:rsidRDefault="008272C4" w:rsidP="0080554C">
            <w:pPr>
              <w:pStyle w:val="Body"/>
              <w:spacing w:after="0"/>
              <w:jc w:val="center"/>
              <w:rPr>
                <w:rFonts w:ascii="Arial" w:hAnsi="Arial" w:cs="Arial"/>
                <w:b/>
                <w:bCs/>
                <w:sz w:val="14"/>
                <w:szCs w:val="14"/>
                <w:highlight w:val="magenta"/>
              </w:rPr>
            </w:pPr>
            <w:r w:rsidRPr="00FB43B3">
              <w:rPr>
                <w:rFonts w:ascii="Arial" w:hAnsi="Arial" w:cs="Arial"/>
                <w:b/>
                <w:bCs/>
                <w:sz w:val="14"/>
                <w:szCs w:val="14"/>
                <w:highlight w:val="magenta"/>
              </w:rPr>
              <w:t>Professional Development</w:t>
            </w:r>
          </w:p>
        </w:tc>
        <w:tc>
          <w:tcPr>
            <w:tcW w:w="1137" w:type="dxa"/>
            <w:vAlign w:val="center"/>
          </w:tcPr>
          <w:p w14:paraId="55476EAA"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Pearson Correlation</w:t>
            </w:r>
          </w:p>
          <w:p w14:paraId="6D46BB46" w14:textId="1D90C0F6"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4D8B4F2F" w14:textId="04151688"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.13</w:t>
            </w:r>
          </w:p>
        </w:tc>
        <w:tc>
          <w:tcPr>
            <w:tcW w:w="920" w:type="dxa"/>
            <w:vAlign w:val="center"/>
          </w:tcPr>
          <w:p w14:paraId="7469A77F" w14:textId="73CFA096"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.28</w:t>
            </w:r>
          </w:p>
        </w:tc>
        <w:tc>
          <w:tcPr>
            <w:tcW w:w="1103" w:type="dxa"/>
            <w:vAlign w:val="center"/>
          </w:tcPr>
          <w:p w14:paraId="144BA2C8" w14:textId="1C3CFE17"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.36</w:t>
            </w:r>
          </w:p>
        </w:tc>
        <w:tc>
          <w:tcPr>
            <w:tcW w:w="1233" w:type="dxa"/>
            <w:vAlign w:val="center"/>
          </w:tcPr>
          <w:p w14:paraId="34B09F02" w14:textId="1998AD9F"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.19</w:t>
            </w:r>
          </w:p>
        </w:tc>
        <w:tc>
          <w:tcPr>
            <w:tcW w:w="876" w:type="dxa"/>
            <w:vAlign w:val="center"/>
          </w:tcPr>
          <w:p w14:paraId="76D0ED16" w14:textId="16078DA4"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.45</w:t>
            </w:r>
          </w:p>
        </w:tc>
        <w:tc>
          <w:tcPr>
            <w:tcW w:w="860" w:type="dxa"/>
            <w:vAlign w:val="center"/>
          </w:tcPr>
          <w:p w14:paraId="48244B45" w14:textId="5A85F61B"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.35</w:t>
            </w:r>
          </w:p>
        </w:tc>
      </w:tr>
      <w:tr w:rsidR="008272C4" w:rsidRPr="00FB43B3" w14:paraId="7BC4C2B1" w14:textId="77777777" w:rsidTr="002D797F">
        <w:trPr>
          <w:trHeight w:val="308"/>
        </w:trPr>
        <w:tc>
          <w:tcPr>
            <w:tcW w:w="1285" w:type="dxa"/>
            <w:vMerge/>
            <w:tcBorders>
              <w:bottom w:val="single" w:sz="8" w:space="0" w:color="auto"/>
            </w:tcBorders>
            <w:vAlign w:val="center"/>
          </w:tcPr>
          <w:p w14:paraId="4843ACD5" w14:textId="77777777" w:rsidR="008272C4" w:rsidRPr="00FB43B3" w:rsidRDefault="008272C4" w:rsidP="0080554C">
            <w:pPr>
              <w:pStyle w:val="Body"/>
              <w:spacing w:after="0"/>
              <w:jc w:val="center"/>
              <w:rPr>
                <w:rFonts w:ascii="Arial" w:hAnsi="Arial" w:cs="Arial"/>
                <w:sz w:val="14"/>
                <w:szCs w:val="14"/>
                <w:highlight w:val="magenta"/>
              </w:rPr>
            </w:pPr>
          </w:p>
        </w:tc>
        <w:tc>
          <w:tcPr>
            <w:tcW w:w="1137" w:type="dxa"/>
            <w:vAlign w:val="center"/>
          </w:tcPr>
          <w:p w14:paraId="06230C0E" w14:textId="77777777"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Sig. (2-tailed)</w:t>
            </w:r>
          </w:p>
          <w:p w14:paraId="674A494F" w14:textId="1A674086" w:rsidR="005777E7" w:rsidRPr="00FB43B3" w:rsidRDefault="005777E7" w:rsidP="0080554C">
            <w:pPr>
              <w:pStyle w:val="Body"/>
              <w:spacing w:after="0"/>
              <w:jc w:val="center"/>
              <w:rPr>
                <w:rFonts w:ascii="Arial" w:hAnsi="Arial" w:cs="Arial"/>
                <w:sz w:val="14"/>
                <w:szCs w:val="14"/>
                <w:highlight w:val="magenta"/>
              </w:rPr>
            </w:pPr>
          </w:p>
        </w:tc>
        <w:tc>
          <w:tcPr>
            <w:tcW w:w="980" w:type="dxa"/>
            <w:vAlign w:val="center"/>
          </w:tcPr>
          <w:p w14:paraId="27EB450D" w14:textId="1F738015"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.53</w:t>
            </w:r>
          </w:p>
        </w:tc>
        <w:tc>
          <w:tcPr>
            <w:tcW w:w="920" w:type="dxa"/>
            <w:vAlign w:val="center"/>
          </w:tcPr>
          <w:p w14:paraId="07C4C60A" w14:textId="0BD06155"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.18</w:t>
            </w:r>
          </w:p>
        </w:tc>
        <w:tc>
          <w:tcPr>
            <w:tcW w:w="1103" w:type="dxa"/>
            <w:vAlign w:val="center"/>
          </w:tcPr>
          <w:p w14:paraId="22EE1798" w14:textId="5849FA93"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.08</w:t>
            </w:r>
          </w:p>
        </w:tc>
        <w:tc>
          <w:tcPr>
            <w:tcW w:w="1233" w:type="dxa"/>
            <w:vAlign w:val="center"/>
          </w:tcPr>
          <w:p w14:paraId="230BF145" w14:textId="0E5991E5"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.37</w:t>
            </w:r>
          </w:p>
        </w:tc>
        <w:tc>
          <w:tcPr>
            <w:tcW w:w="876" w:type="dxa"/>
            <w:vAlign w:val="center"/>
          </w:tcPr>
          <w:p w14:paraId="1C33AFBF" w14:textId="5C5ECD38"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.03</w:t>
            </w:r>
          </w:p>
        </w:tc>
        <w:tc>
          <w:tcPr>
            <w:tcW w:w="860" w:type="dxa"/>
            <w:vAlign w:val="center"/>
          </w:tcPr>
          <w:p w14:paraId="05E9F766" w14:textId="5A6B5409"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.09</w:t>
            </w:r>
          </w:p>
        </w:tc>
      </w:tr>
      <w:tr w:rsidR="008272C4" w:rsidRPr="005777E7" w14:paraId="56656DA7" w14:textId="77777777" w:rsidTr="002D797F">
        <w:trPr>
          <w:trHeight w:val="431"/>
        </w:trPr>
        <w:tc>
          <w:tcPr>
            <w:tcW w:w="1285" w:type="dxa"/>
            <w:vMerge/>
            <w:tcBorders>
              <w:bottom w:val="single" w:sz="8" w:space="0" w:color="auto"/>
            </w:tcBorders>
            <w:vAlign w:val="center"/>
          </w:tcPr>
          <w:p w14:paraId="466DFACF" w14:textId="77777777" w:rsidR="008272C4" w:rsidRPr="00FB43B3" w:rsidRDefault="008272C4" w:rsidP="0080554C">
            <w:pPr>
              <w:pStyle w:val="Body"/>
              <w:spacing w:after="0"/>
              <w:jc w:val="center"/>
              <w:rPr>
                <w:rFonts w:ascii="Arial" w:hAnsi="Arial" w:cs="Arial"/>
                <w:sz w:val="14"/>
                <w:szCs w:val="14"/>
                <w:highlight w:val="magenta"/>
              </w:rPr>
            </w:pPr>
          </w:p>
        </w:tc>
        <w:tc>
          <w:tcPr>
            <w:tcW w:w="1137" w:type="dxa"/>
            <w:tcBorders>
              <w:bottom w:val="single" w:sz="8" w:space="0" w:color="auto"/>
            </w:tcBorders>
            <w:vAlign w:val="center"/>
          </w:tcPr>
          <w:p w14:paraId="043BB071" w14:textId="28F565FA"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Interpretation</w:t>
            </w:r>
          </w:p>
        </w:tc>
        <w:tc>
          <w:tcPr>
            <w:tcW w:w="980" w:type="dxa"/>
            <w:tcBorders>
              <w:bottom w:val="single" w:sz="8" w:space="0" w:color="auto"/>
            </w:tcBorders>
            <w:vAlign w:val="center"/>
          </w:tcPr>
          <w:p w14:paraId="00EC9F58" w14:textId="4C9D957D" w:rsidR="008272C4" w:rsidRPr="00FB43B3" w:rsidRDefault="008272C4"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920" w:type="dxa"/>
            <w:tcBorders>
              <w:bottom w:val="single" w:sz="8" w:space="0" w:color="auto"/>
            </w:tcBorders>
            <w:vAlign w:val="center"/>
          </w:tcPr>
          <w:p w14:paraId="10A9A09A" w14:textId="0ECFDAE6"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1103" w:type="dxa"/>
            <w:tcBorders>
              <w:bottom w:val="single" w:sz="8" w:space="0" w:color="auto"/>
            </w:tcBorders>
            <w:vAlign w:val="center"/>
          </w:tcPr>
          <w:p w14:paraId="5682FF2C" w14:textId="129973FD"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1233" w:type="dxa"/>
            <w:tcBorders>
              <w:bottom w:val="single" w:sz="8" w:space="0" w:color="auto"/>
            </w:tcBorders>
            <w:vAlign w:val="center"/>
          </w:tcPr>
          <w:p w14:paraId="7A842E68" w14:textId="01948F5C"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Weak</w:t>
            </w:r>
          </w:p>
        </w:tc>
        <w:tc>
          <w:tcPr>
            <w:tcW w:w="876" w:type="dxa"/>
            <w:tcBorders>
              <w:bottom w:val="single" w:sz="8" w:space="0" w:color="auto"/>
            </w:tcBorders>
            <w:vAlign w:val="center"/>
          </w:tcPr>
          <w:p w14:paraId="3BF55833" w14:textId="265BAF01" w:rsidR="008272C4" w:rsidRPr="00FB43B3" w:rsidRDefault="00672B8C" w:rsidP="0080554C">
            <w:pPr>
              <w:pStyle w:val="Body"/>
              <w:spacing w:after="0"/>
              <w:jc w:val="center"/>
              <w:rPr>
                <w:rFonts w:ascii="Arial" w:hAnsi="Arial" w:cs="Arial"/>
                <w:sz w:val="14"/>
                <w:szCs w:val="14"/>
                <w:highlight w:val="magenta"/>
              </w:rPr>
            </w:pPr>
            <w:r w:rsidRPr="00FB43B3">
              <w:rPr>
                <w:rFonts w:ascii="Arial" w:hAnsi="Arial" w:cs="Arial"/>
                <w:sz w:val="14"/>
                <w:szCs w:val="14"/>
                <w:highlight w:val="magenta"/>
              </w:rPr>
              <w:t>Moderate</w:t>
            </w:r>
          </w:p>
        </w:tc>
        <w:tc>
          <w:tcPr>
            <w:tcW w:w="860" w:type="dxa"/>
            <w:tcBorders>
              <w:bottom w:val="single" w:sz="8" w:space="0" w:color="auto"/>
            </w:tcBorders>
            <w:vAlign w:val="center"/>
          </w:tcPr>
          <w:p w14:paraId="4E455F4A" w14:textId="4243094C" w:rsidR="008272C4" w:rsidRPr="005777E7" w:rsidRDefault="00672B8C" w:rsidP="0080554C">
            <w:pPr>
              <w:pStyle w:val="Body"/>
              <w:spacing w:after="0"/>
              <w:jc w:val="center"/>
              <w:rPr>
                <w:rFonts w:ascii="Arial" w:hAnsi="Arial" w:cs="Arial"/>
                <w:sz w:val="14"/>
                <w:szCs w:val="14"/>
              </w:rPr>
            </w:pPr>
            <w:r w:rsidRPr="00FB43B3">
              <w:rPr>
                <w:rFonts w:ascii="Arial" w:hAnsi="Arial" w:cs="Arial"/>
                <w:sz w:val="14"/>
                <w:szCs w:val="14"/>
                <w:highlight w:val="magenta"/>
              </w:rPr>
              <w:t>Moderate</w:t>
            </w:r>
          </w:p>
        </w:tc>
      </w:tr>
    </w:tbl>
    <w:commentRangeEnd w:id="20"/>
    <w:p w14:paraId="5B8F7674" w14:textId="77777777" w:rsidR="004210E6" w:rsidRDefault="00FB43B3" w:rsidP="00441B6F">
      <w:pPr>
        <w:pStyle w:val="Body"/>
        <w:spacing w:after="0"/>
        <w:rPr>
          <w:rFonts w:ascii="Arial" w:hAnsi="Arial" w:cs="Arial"/>
        </w:rPr>
      </w:pPr>
      <w:r>
        <w:rPr>
          <w:rStyle w:val="Marquedecommentaire"/>
          <w:rFonts w:ascii="Times New Roman" w:hAnsi="Times New Roman"/>
          <w:lang w:val="nb-NO" w:eastAsia="nb-NO"/>
        </w:rPr>
        <w:commentReference w:id="20"/>
      </w:r>
    </w:p>
    <w:p w14:paraId="5A7ECFC0" w14:textId="77777777" w:rsidR="009A6B8E" w:rsidRDefault="009A6B8E" w:rsidP="005777E7">
      <w:pPr>
        <w:pStyle w:val="Body"/>
        <w:spacing w:after="0"/>
        <w:jc w:val="center"/>
        <w:rPr>
          <w:rFonts w:ascii="Arial" w:hAnsi="Arial" w:cs="Arial"/>
          <w:b/>
          <w:bCs/>
          <w:lang w:val="en-PH"/>
        </w:rPr>
      </w:pPr>
    </w:p>
    <w:p w14:paraId="01275714" w14:textId="2C821709" w:rsidR="004210E6" w:rsidRPr="009919D8" w:rsidRDefault="00215A43" w:rsidP="005777E7">
      <w:pPr>
        <w:pStyle w:val="Body"/>
        <w:spacing w:after="0"/>
        <w:jc w:val="center"/>
        <w:rPr>
          <w:rFonts w:ascii="Arial" w:hAnsi="Arial" w:cs="Arial"/>
          <w:b/>
          <w:bCs/>
          <w:highlight w:val="cyan"/>
        </w:rPr>
      </w:pPr>
      <w:commentRangeStart w:id="21"/>
      <w:r w:rsidRPr="009919D8">
        <w:rPr>
          <w:rFonts w:ascii="Arial" w:hAnsi="Arial" w:cs="Arial"/>
          <w:b/>
          <w:bCs/>
          <w:highlight w:val="cyan"/>
          <w:lang w:val="en-PH"/>
        </w:rPr>
        <w:t xml:space="preserve">5.1.4. </w:t>
      </w:r>
      <w:r w:rsidR="00CE3521" w:rsidRPr="009919D8">
        <w:rPr>
          <w:rFonts w:ascii="Arial" w:hAnsi="Arial" w:cs="Arial"/>
          <w:b/>
          <w:bCs/>
          <w:highlight w:val="cyan"/>
          <w:lang w:val="en-PH"/>
        </w:rPr>
        <w:t xml:space="preserve">Differences on </w:t>
      </w:r>
      <w:r w:rsidR="009A6B8E" w:rsidRPr="009919D8">
        <w:rPr>
          <w:rFonts w:ascii="Arial" w:hAnsi="Arial" w:cs="Arial"/>
          <w:b/>
          <w:bCs/>
          <w:highlight w:val="cyan"/>
          <w:lang w:val="en-PH"/>
        </w:rPr>
        <w:t>Professional Development</w:t>
      </w:r>
    </w:p>
    <w:p w14:paraId="0CB11DDC" w14:textId="24C1766E" w:rsidR="00E053D0" w:rsidRPr="009919D8" w:rsidRDefault="00E053D0" w:rsidP="00441B6F">
      <w:pPr>
        <w:pStyle w:val="Body"/>
        <w:spacing w:after="0"/>
        <w:rPr>
          <w:rFonts w:ascii="Arial" w:hAnsi="Arial" w:cs="Arial"/>
          <w:highlight w:val="cyan"/>
        </w:rPr>
      </w:pPr>
    </w:p>
    <w:p w14:paraId="2CE9165B" w14:textId="1B358725" w:rsidR="009A6B8E" w:rsidRDefault="009A6B8E" w:rsidP="00441B6F">
      <w:pPr>
        <w:pStyle w:val="Body"/>
        <w:spacing w:after="0"/>
        <w:rPr>
          <w:rFonts w:ascii="Arial" w:hAnsi="Arial" w:cs="Arial"/>
        </w:rPr>
      </w:pPr>
      <w:r w:rsidRPr="009919D8">
        <w:rPr>
          <w:rFonts w:ascii="Arial" w:hAnsi="Arial" w:cs="Arial"/>
          <w:highlight w:val="cyan"/>
        </w:rPr>
        <w:tab/>
        <w:t xml:space="preserve">Table 4 shows the result of a professional development when grouped according to age and years of teaching experience. </w:t>
      </w:r>
      <w:r w:rsidR="000E1FE9" w:rsidRPr="009919D8">
        <w:rPr>
          <w:rFonts w:ascii="Arial" w:hAnsi="Arial" w:cs="Arial"/>
          <w:highlight w:val="cyan"/>
        </w:rPr>
        <w:t>he results presented in Table 1 indicate that there are no significant differences in professional development scores when grouped by age (</w:t>
      </w:r>
      <m:oMath>
        <m:r>
          <w:rPr>
            <w:rFonts w:ascii="Cambria Math" w:hAnsi="Cambria Math" w:cs="Arial"/>
            <w:highlight w:val="cyan"/>
          </w:rPr>
          <m:t>F(2, 22) = 0.148, P = .863</m:t>
        </m:r>
      </m:oMath>
      <w:r w:rsidR="000E1FE9" w:rsidRPr="009919D8">
        <w:rPr>
          <w:rFonts w:ascii="Arial" w:hAnsi="Arial" w:cs="Arial"/>
          <w:highlight w:val="cyan"/>
        </w:rPr>
        <w:t>) or years of teaching experience (</w:t>
      </w:r>
      <m:oMath>
        <m:r>
          <w:rPr>
            <w:rFonts w:ascii="Cambria Math" w:hAnsi="Cambria Math" w:cs="Arial"/>
            <w:highlight w:val="cyan"/>
          </w:rPr>
          <m:t>F(3, 21) = 0.13, P = .941</m:t>
        </m:r>
      </m:oMath>
      <w:r w:rsidR="000E1FE9" w:rsidRPr="009919D8">
        <w:rPr>
          <w:rFonts w:ascii="Arial" w:hAnsi="Arial" w:cs="Arial"/>
          <w:highlight w:val="cyan"/>
        </w:rPr>
        <w:t>). This suggests that professional development perceptions or engagement levels among MST Mathematics graduates are consistent regardless of their age or the length of their teaching careers</w:t>
      </w:r>
      <w:r w:rsidR="007441CB" w:rsidRPr="009919D8">
        <w:rPr>
          <w:rFonts w:ascii="Arial" w:hAnsi="Arial" w:cs="Arial"/>
          <w:highlight w:val="cyan"/>
        </w:rPr>
        <w:t xml:space="preserve"> Chit &amp; Ye (2017)</w:t>
      </w:r>
      <w:r w:rsidR="000E1FE9" w:rsidRPr="009919D8">
        <w:rPr>
          <w:rFonts w:ascii="Arial" w:hAnsi="Arial" w:cs="Arial"/>
          <w:highlight w:val="cyan"/>
        </w:rPr>
        <w:t xml:space="preserve">. Such findings support the argument that professional development needs tend to be broadly similar across different career stages and age groups. This aligns with </w:t>
      </w:r>
      <w:r w:rsidR="007B4CCB" w:rsidRPr="009919D8">
        <w:rPr>
          <w:rFonts w:ascii="Arial" w:hAnsi="Arial" w:cs="Arial"/>
          <w:highlight w:val="cyan"/>
        </w:rPr>
        <w:t xml:space="preserve">Kim et al. </w:t>
      </w:r>
      <w:r w:rsidR="000E1FE9" w:rsidRPr="009919D8">
        <w:rPr>
          <w:rFonts w:ascii="Arial" w:hAnsi="Arial" w:cs="Arial"/>
          <w:highlight w:val="cyan"/>
        </w:rPr>
        <w:t xml:space="preserve"> (20</w:t>
      </w:r>
      <w:r w:rsidR="007B4CCB" w:rsidRPr="009919D8">
        <w:rPr>
          <w:rFonts w:ascii="Arial" w:hAnsi="Arial" w:cs="Arial"/>
          <w:highlight w:val="cyan"/>
        </w:rPr>
        <w:t>23</w:t>
      </w:r>
      <w:r w:rsidR="000E1FE9" w:rsidRPr="009919D8">
        <w:rPr>
          <w:rFonts w:ascii="Arial" w:hAnsi="Arial" w:cs="Arial"/>
          <w:highlight w:val="cyan"/>
        </w:rPr>
        <w:t>), who noted that effective professional development should be inclusive and address universal instructional challenges rather than be limited by demographic factors such as age or experience.</w:t>
      </w:r>
      <w:commentRangeEnd w:id="21"/>
      <w:r w:rsidR="009919D8">
        <w:rPr>
          <w:rStyle w:val="Marquedecommentaire"/>
          <w:rFonts w:ascii="Times New Roman" w:hAnsi="Times New Roman"/>
          <w:lang w:val="nb-NO" w:eastAsia="nb-NO"/>
        </w:rPr>
        <w:commentReference w:id="21"/>
      </w:r>
    </w:p>
    <w:p w14:paraId="7C5E21CF" w14:textId="6BFCF3EE" w:rsidR="002314A9" w:rsidRDefault="002314A9" w:rsidP="00441B6F">
      <w:pPr>
        <w:pStyle w:val="Body"/>
        <w:spacing w:after="0"/>
        <w:rPr>
          <w:rFonts w:ascii="Arial" w:hAnsi="Arial" w:cs="Arial"/>
        </w:rPr>
      </w:pPr>
    </w:p>
    <w:p w14:paraId="6226D7A9" w14:textId="1CE31951" w:rsidR="002314A9" w:rsidRPr="00FB43B3" w:rsidRDefault="002314A9" w:rsidP="007B4CCB">
      <w:pPr>
        <w:pStyle w:val="Body"/>
        <w:spacing w:after="0"/>
        <w:jc w:val="left"/>
        <w:rPr>
          <w:rFonts w:ascii="Arial" w:hAnsi="Arial" w:cs="Arial"/>
          <w:highlight w:val="magenta"/>
        </w:rPr>
      </w:pPr>
      <w:commentRangeStart w:id="22"/>
      <w:r w:rsidRPr="00FB43B3">
        <w:rPr>
          <w:rFonts w:ascii="Arial" w:hAnsi="Arial" w:cs="Arial"/>
          <w:highlight w:val="magenta"/>
        </w:rPr>
        <w:t>Table 4. Professional Development Scores According to Age and Years of Teaching Experience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2314A9" w:rsidRPr="00FB43B3" w14:paraId="413E163C" w14:textId="77777777" w:rsidTr="009C742E">
        <w:tc>
          <w:tcPr>
            <w:tcW w:w="1684" w:type="dxa"/>
            <w:tcBorders>
              <w:top w:val="single" w:sz="8" w:space="0" w:color="auto"/>
              <w:bottom w:val="single" w:sz="8" w:space="0" w:color="auto"/>
            </w:tcBorders>
            <w:vAlign w:val="center"/>
          </w:tcPr>
          <w:p w14:paraId="7B231E9C" w14:textId="219D1671" w:rsidR="002314A9" w:rsidRPr="00FB43B3" w:rsidRDefault="002314A9" w:rsidP="002314A9">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Profile Variable</w:t>
            </w:r>
          </w:p>
        </w:tc>
        <w:tc>
          <w:tcPr>
            <w:tcW w:w="1685" w:type="dxa"/>
            <w:tcBorders>
              <w:top w:val="single" w:sz="8" w:space="0" w:color="auto"/>
              <w:bottom w:val="single" w:sz="8" w:space="0" w:color="auto"/>
            </w:tcBorders>
            <w:vAlign w:val="center"/>
          </w:tcPr>
          <w:p w14:paraId="0D5A3D10" w14:textId="4A6B7A1F" w:rsidR="002314A9" w:rsidRPr="00FB43B3" w:rsidRDefault="002314A9" w:rsidP="002314A9">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Test</w:t>
            </w:r>
          </w:p>
        </w:tc>
        <w:tc>
          <w:tcPr>
            <w:tcW w:w="1685" w:type="dxa"/>
            <w:tcBorders>
              <w:top w:val="single" w:sz="8" w:space="0" w:color="auto"/>
              <w:bottom w:val="single" w:sz="8" w:space="0" w:color="auto"/>
            </w:tcBorders>
            <w:vAlign w:val="center"/>
          </w:tcPr>
          <w:p w14:paraId="59E541FD" w14:textId="2FFEF76D" w:rsidR="002314A9" w:rsidRPr="00FB43B3" w:rsidRDefault="002314A9" w:rsidP="002314A9">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df (Between, Within Groups)</w:t>
            </w:r>
          </w:p>
        </w:tc>
        <w:tc>
          <w:tcPr>
            <w:tcW w:w="1685" w:type="dxa"/>
            <w:tcBorders>
              <w:top w:val="single" w:sz="8" w:space="0" w:color="auto"/>
              <w:bottom w:val="single" w:sz="8" w:space="0" w:color="auto"/>
            </w:tcBorders>
            <w:vAlign w:val="center"/>
          </w:tcPr>
          <w:p w14:paraId="4B216312" w14:textId="118652A8" w:rsidR="002314A9" w:rsidRPr="00FB43B3" w:rsidRDefault="002314A9" w:rsidP="002314A9">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F</w:t>
            </w:r>
            <w:r w:rsidRPr="00FB43B3">
              <w:rPr>
                <w:rFonts w:ascii="Arial" w:hAnsi="Arial" w:cs="Arial"/>
                <w:b/>
                <w:bCs/>
                <w:sz w:val="20"/>
                <w:szCs w:val="20"/>
                <w:highlight w:val="magenta"/>
              </w:rPr>
              <w:t>-value</w:t>
            </w:r>
          </w:p>
        </w:tc>
        <w:tc>
          <w:tcPr>
            <w:tcW w:w="1685" w:type="dxa"/>
            <w:tcBorders>
              <w:top w:val="single" w:sz="8" w:space="0" w:color="auto"/>
              <w:bottom w:val="single" w:sz="8" w:space="0" w:color="auto"/>
            </w:tcBorders>
            <w:vAlign w:val="center"/>
          </w:tcPr>
          <w:p w14:paraId="5AE29369" w14:textId="220E3EBB" w:rsidR="002314A9" w:rsidRPr="00FB43B3" w:rsidRDefault="002314A9" w:rsidP="002314A9">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P</w:t>
            </w:r>
            <w:r w:rsidRPr="00FB43B3">
              <w:rPr>
                <w:rFonts w:ascii="Arial" w:hAnsi="Arial" w:cs="Arial"/>
                <w:b/>
                <w:bCs/>
                <w:sz w:val="20"/>
                <w:szCs w:val="20"/>
                <w:highlight w:val="magenta"/>
              </w:rPr>
              <w:t>-value</w:t>
            </w:r>
          </w:p>
        </w:tc>
      </w:tr>
      <w:tr w:rsidR="002314A9" w:rsidRPr="00FB43B3" w14:paraId="2DAA70E9" w14:textId="77777777" w:rsidTr="009C742E">
        <w:tc>
          <w:tcPr>
            <w:tcW w:w="1684" w:type="dxa"/>
            <w:tcBorders>
              <w:top w:val="single" w:sz="8" w:space="0" w:color="auto"/>
            </w:tcBorders>
          </w:tcPr>
          <w:p w14:paraId="05E7D5A4" w14:textId="7793F288" w:rsidR="002314A9" w:rsidRPr="00FB43B3" w:rsidRDefault="002314A9" w:rsidP="002314A9">
            <w:pPr>
              <w:pStyle w:val="Body"/>
              <w:spacing w:after="0"/>
              <w:jc w:val="left"/>
              <w:rPr>
                <w:rFonts w:ascii="Arial" w:hAnsi="Arial" w:cs="Arial"/>
                <w:sz w:val="20"/>
                <w:szCs w:val="20"/>
                <w:highlight w:val="magenta"/>
              </w:rPr>
            </w:pPr>
            <w:r w:rsidRPr="00FB43B3">
              <w:rPr>
                <w:rFonts w:ascii="Arial" w:hAnsi="Arial" w:cs="Arial"/>
                <w:sz w:val="20"/>
                <w:szCs w:val="20"/>
                <w:highlight w:val="magenta"/>
              </w:rPr>
              <w:t>Age</w:t>
            </w:r>
          </w:p>
        </w:tc>
        <w:tc>
          <w:tcPr>
            <w:tcW w:w="1685" w:type="dxa"/>
            <w:tcBorders>
              <w:top w:val="single" w:sz="8" w:space="0" w:color="auto"/>
            </w:tcBorders>
            <w:vAlign w:val="center"/>
          </w:tcPr>
          <w:p w14:paraId="29FB9FE3" w14:textId="410DFA30"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ANOVA</w:t>
            </w:r>
          </w:p>
        </w:tc>
        <w:tc>
          <w:tcPr>
            <w:tcW w:w="1685" w:type="dxa"/>
            <w:tcBorders>
              <w:top w:val="single" w:sz="8" w:space="0" w:color="auto"/>
            </w:tcBorders>
            <w:vAlign w:val="center"/>
          </w:tcPr>
          <w:p w14:paraId="3531A0DB" w14:textId="5B4A73B5"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(2, 22)</w:t>
            </w:r>
          </w:p>
        </w:tc>
        <w:tc>
          <w:tcPr>
            <w:tcW w:w="1685" w:type="dxa"/>
            <w:tcBorders>
              <w:top w:val="single" w:sz="8" w:space="0" w:color="auto"/>
            </w:tcBorders>
            <w:vAlign w:val="center"/>
          </w:tcPr>
          <w:p w14:paraId="4BF4BFC9" w14:textId="12CFB456"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.148</w:t>
            </w:r>
          </w:p>
        </w:tc>
        <w:tc>
          <w:tcPr>
            <w:tcW w:w="1685" w:type="dxa"/>
            <w:tcBorders>
              <w:top w:val="single" w:sz="8" w:space="0" w:color="auto"/>
            </w:tcBorders>
            <w:vAlign w:val="center"/>
          </w:tcPr>
          <w:p w14:paraId="076E4DC7" w14:textId="2211D0F7"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.863</w:t>
            </w:r>
          </w:p>
        </w:tc>
      </w:tr>
      <w:tr w:rsidR="002314A9" w:rsidRPr="002314A9" w14:paraId="0ED39CEA" w14:textId="77777777" w:rsidTr="009C742E">
        <w:tc>
          <w:tcPr>
            <w:tcW w:w="1684" w:type="dxa"/>
            <w:tcBorders>
              <w:bottom w:val="single" w:sz="8" w:space="0" w:color="auto"/>
            </w:tcBorders>
          </w:tcPr>
          <w:p w14:paraId="7EBA5529" w14:textId="57369EF3" w:rsidR="002314A9" w:rsidRPr="00FB43B3" w:rsidRDefault="002314A9" w:rsidP="002314A9">
            <w:pPr>
              <w:pStyle w:val="Body"/>
              <w:spacing w:after="0"/>
              <w:jc w:val="left"/>
              <w:rPr>
                <w:rFonts w:ascii="Arial" w:hAnsi="Arial" w:cs="Arial"/>
                <w:sz w:val="20"/>
                <w:szCs w:val="20"/>
                <w:highlight w:val="magenta"/>
              </w:rPr>
            </w:pPr>
            <w:r w:rsidRPr="00FB43B3">
              <w:rPr>
                <w:rFonts w:ascii="Arial" w:hAnsi="Arial" w:cs="Arial"/>
                <w:sz w:val="20"/>
                <w:szCs w:val="20"/>
                <w:highlight w:val="magenta"/>
              </w:rPr>
              <w:t>Years of Teaching Experience</w:t>
            </w:r>
          </w:p>
        </w:tc>
        <w:tc>
          <w:tcPr>
            <w:tcW w:w="1685" w:type="dxa"/>
            <w:tcBorders>
              <w:bottom w:val="single" w:sz="8" w:space="0" w:color="auto"/>
            </w:tcBorders>
            <w:vAlign w:val="center"/>
          </w:tcPr>
          <w:p w14:paraId="4D6200C7" w14:textId="78218A60"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ANOVA</w:t>
            </w:r>
          </w:p>
        </w:tc>
        <w:tc>
          <w:tcPr>
            <w:tcW w:w="1685" w:type="dxa"/>
            <w:tcBorders>
              <w:bottom w:val="single" w:sz="8" w:space="0" w:color="auto"/>
            </w:tcBorders>
            <w:vAlign w:val="center"/>
          </w:tcPr>
          <w:p w14:paraId="43C4A7F0" w14:textId="72775426"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(3, 21)</w:t>
            </w:r>
          </w:p>
        </w:tc>
        <w:tc>
          <w:tcPr>
            <w:tcW w:w="1685" w:type="dxa"/>
            <w:tcBorders>
              <w:bottom w:val="single" w:sz="8" w:space="0" w:color="auto"/>
            </w:tcBorders>
            <w:vAlign w:val="center"/>
          </w:tcPr>
          <w:p w14:paraId="6A6B6D43" w14:textId="0EE937E3" w:rsidR="002314A9" w:rsidRPr="00FB43B3" w:rsidRDefault="002314A9" w:rsidP="002314A9">
            <w:pPr>
              <w:pStyle w:val="Body"/>
              <w:spacing w:after="0"/>
              <w:jc w:val="center"/>
              <w:rPr>
                <w:rFonts w:ascii="Arial" w:hAnsi="Arial" w:cs="Arial"/>
                <w:sz w:val="20"/>
                <w:szCs w:val="20"/>
                <w:highlight w:val="magenta"/>
              </w:rPr>
            </w:pPr>
            <w:r w:rsidRPr="00FB43B3">
              <w:rPr>
                <w:rFonts w:ascii="Arial" w:hAnsi="Arial" w:cs="Arial"/>
                <w:sz w:val="20"/>
                <w:szCs w:val="20"/>
                <w:highlight w:val="magenta"/>
              </w:rPr>
              <w:t>.131</w:t>
            </w:r>
          </w:p>
        </w:tc>
        <w:tc>
          <w:tcPr>
            <w:tcW w:w="1685" w:type="dxa"/>
            <w:tcBorders>
              <w:bottom w:val="single" w:sz="8" w:space="0" w:color="auto"/>
            </w:tcBorders>
            <w:vAlign w:val="center"/>
          </w:tcPr>
          <w:p w14:paraId="364BA3B1" w14:textId="7107F390" w:rsidR="002314A9" w:rsidRPr="002314A9" w:rsidRDefault="002314A9" w:rsidP="002314A9">
            <w:pPr>
              <w:pStyle w:val="Body"/>
              <w:spacing w:after="0"/>
              <w:jc w:val="center"/>
              <w:rPr>
                <w:rFonts w:ascii="Arial" w:hAnsi="Arial" w:cs="Arial"/>
                <w:sz w:val="20"/>
                <w:szCs w:val="20"/>
              </w:rPr>
            </w:pPr>
            <w:r w:rsidRPr="00FB43B3">
              <w:rPr>
                <w:rFonts w:ascii="Arial" w:hAnsi="Arial" w:cs="Arial"/>
                <w:sz w:val="20"/>
                <w:szCs w:val="20"/>
                <w:highlight w:val="magenta"/>
              </w:rPr>
              <w:t>.941</w:t>
            </w:r>
          </w:p>
        </w:tc>
      </w:tr>
    </w:tbl>
    <w:commentRangeEnd w:id="22"/>
    <w:p w14:paraId="4F4EE9A7" w14:textId="0FA3D03A" w:rsidR="002314A9" w:rsidRDefault="00FB43B3" w:rsidP="00441B6F">
      <w:pPr>
        <w:pStyle w:val="Body"/>
        <w:spacing w:after="0"/>
        <w:rPr>
          <w:rFonts w:ascii="Arial" w:hAnsi="Arial" w:cs="Arial"/>
          <w:sz w:val="18"/>
          <w:szCs w:val="18"/>
        </w:rPr>
      </w:pPr>
      <w:r>
        <w:rPr>
          <w:rStyle w:val="Marquedecommentaire"/>
          <w:rFonts w:ascii="Times New Roman" w:hAnsi="Times New Roman"/>
          <w:lang w:val="nb-NO" w:eastAsia="nb-NO"/>
        </w:rPr>
        <w:commentReference w:id="22"/>
      </w:r>
    </w:p>
    <w:p w14:paraId="48EE689D" w14:textId="77777777" w:rsidR="007441CB" w:rsidRPr="002314A9" w:rsidRDefault="007441CB" w:rsidP="00441B6F">
      <w:pPr>
        <w:pStyle w:val="Body"/>
        <w:spacing w:after="0"/>
        <w:rPr>
          <w:rFonts w:ascii="Arial" w:hAnsi="Arial" w:cs="Arial"/>
          <w:sz w:val="18"/>
          <w:szCs w:val="18"/>
        </w:rPr>
      </w:pPr>
    </w:p>
    <w:p w14:paraId="2059EA09" w14:textId="305601CC" w:rsidR="00790ADA" w:rsidRDefault="007B4CCB" w:rsidP="00441B6F">
      <w:pPr>
        <w:pStyle w:val="Body"/>
        <w:spacing w:after="0"/>
        <w:rPr>
          <w:rFonts w:ascii="Arial" w:hAnsi="Arial" w:cs="Arial"/>
        </w:rPr>
      </w:pPr>
      <w:commentRangeStart w:id="23"/>
      <w:r>
        <w:rPr>
          <w:rFonts w:ascii="Arial" w:hAnsi="Arial" w:cs="Arial"/>
        </w:rPr>
        <w:tab/>
      </w:r>
      <w:r w:rsidRPr="009919D8">
        <w:rPr>
          <w:rFonts w:ascii="Arial" w:hAnsi="Arial" w:cs="Arial"/>
          <w:highlight w:val="cyan"/>
        </w:rPr>
        <w:t>Table 5 shows a statistically significant difference in professional development scores based on gender (</w:t>
      </w:r>
      <m:oMath>
        <m:r>
          <w:rPr>
            <w:rFonts w:ascii="Cambria Math" w:hAnsi="Cambria Math" w:cs="Arial"/>
            <w:highlight w:val="cyan"/>
          </w:rPr>
          <m:t>t(23) = -2.85, P = .009</m:t>
        </m:r>
      </m:oMath>
      <w:r w:rsidRPr="009919D8">
        <w:rPr>
          <w:rFonts w:ascii="Arial" w:hAnsi="Arial" w:cs="Arial"/>
          <w:highlight w:val="cyan"/>
        </w:rPr>
        <w:t xml:space="preserve">). This indicates that male and female teachers perceive or engage with professional development differently, with the mean difference suggesting that </w:t>
      </w:r>
      <w:r w:rsidR="009C742E" w:rsidRPr="009919D8">
        <w:rPr>
          <w:rFonts w:ascii="Arial" w:hAnsi="Arial" w:cs="Arial"/>
          <w:highlight w:val="cyan"/>
        </w:rPr>
        <w:t>male</w:t>
      </w:r>
      <w:r w:rsidRPr="009919D8">
        <w:rPr>
          <w:rFonts w:ascii="Arial" w:hAnsi="Arial" w:cs="Arial"/>
          <w:highlight w:val="cyan"/>
        </w:rPr>
        <w:t xml:space="preserve"> scores lower on professional development measures than </w:t>
      </w:r>
      <w:r w:rsidR="009C742E" w:rsidRPr="009919D8">
        <w:rPr>
          <w:rFonts w:ascii="Arial" w:hAnsi="Arial" w:cs="Arial"/>
          <w:highlight w:val="cyan"/>
        </w:rPr>
        <w:t>female</w:t>
      </w:r>
      <w:r w:rsidRPr="009919D8">
        <w:rPr>
          <w:rFonts w:ascii="Arial" w:hAnsi="Arial" w:cs="Arial"/>
          <w:highlight w:val="cyan"/>
        </w:rPr>
        <w:t xml:space="preserve">. This finding is consistent with research by </w:t>
      </w:r>
      <w:r w:rsidR="00DE4428" w:rsidRPr="009919D8">
        <w:rPr>
          <w:rFonts w:ascii="Arial" w:hAnsi="Arial" w:cs="Arial"/>
          <w:highlight w:val="cyan"/>
        </w:rPr>
        <w:t>Mitton-</w:t>
      </w:r>
      <w:proofErr w:type="spellStart"/>
      <w:r w:rsidR="00DE4428" w:rsidRPr="009919D8">
        <w:rPr>
          <w:rFonts w:ascii="Arial" w:hAnsi="Arial" w:cs="Arial"/>
          <w:highlight w:val="cyan"/>
        </w:rPr>
        <w:t>Kukner</w:t>
      </w:r>
      <w:proofErr w:type="spellEnd"/>
      <w:r w:rsidR="00DE4428" w:rsidRPr="009919D8">
        <w:rPr>
          <w:rFonts w:ascii="Arial" w:hAnsi="Arial" w:cs="Arial"/>
          <w:highlight w:val="cyan"/>
        </w:rPr>
        <w:t xml:space="preserve"> (2020)</w:t>
      </w:r>
      <w:r w:rsidRPr="009919D8">
        <w:rPr>
          <w:rFonts w:ascii="Arial" w:hAnsi="Arial" w:cs="Arial"/>
          <w:highlight w:val="cyan"/>
        </w:rPr>
        <w:t xml:space="preserve">, who emphasized that gender roles and societal expectations can influence participation in professional </w:t>
      </w:r>
      <w:r w:rsidRPr="009919D8">
        <w:rPr>
          <w:rFonts w:ascii="Arial" w:hAnsi="Arial" w:cs="Arial"/>
          <w:highlight w:val="cyan"/>
        </w:rPr>
        <w:lastRenderedPageBreak/>
        <w:t>learning activities. It suggests that professional development programs may need to consider gender-specific factors to ensure equitable access and engagement.</w:t>
      </w:r>
      <w:commentRangeEnd w:id="23"/>
      <w:r w:rsidR="009919D8">
        <w:rPr>
          <w:rStyle w:val="Marquedecommentaire"/>
          <w:rFonts w:ascii="Times New Roman" w:hAnsi="Times New Roman"/>
          <w:lang w:val="nb-NO" w:eastAsia="nb-NO"/>
        </w:rPr>
        <w:commentReference w:id="23"/>
      </w:r>
    </w:p>
    <w:p w14:paraId="6F11BD64" w14:textId="11A8B9F1" w:rsidR="007B4CCB" w:rsidRDefault="007B4CCB" w:rsidP="00441B6F">
      <w:pPr>
        <w:pStyle w:val="Body"/>
        <w:spacing w:after="0"/>
        <w:rPr>
          <w:rFonts w:ascii="Arial" w:hAnsi="Arial" w:cs="Arial"/>
        </w:rPr>
      </w:pPr>
      <w:commentRangeStart w:id="24"/>
    </w:p>
    <w:p w14:paraId="10F20D00" w14:textId="2C3D2F70" w:rsidR="007B4CCB" w:rsidRPr="00FB43B3" w:rsidRDefault="007B4CCB" w:rsidP="009C742E">
      <w:pPr>
        <w:pStyle w:val="Body"/>
        <w:spacing w:after="0"/>
        <w:jc w:val="left"/>
        <w:rPr>
          <w:rFonts w:ascii="Arial" w:hAnsi="Arial" w:cs="Arial"/>
          <w:i/>
          <w:iCs/>
          <w:highlight w:val="magenta"/>
        </w:rPr>
      </w:pPr>
      <w:r w:rsidRPr="00FB43B3">
        <w:rPr>
          <w:rFonts w:ascii="Arial" w:hAnsi="Arial" w:cs="Arial"/>
          <w:i/>
          <w:iCs/>
          <w:highlight w:val="magenta"/>
        </w:rPr>
        <w:t>Table 5. Professional development Scores According to Gender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973"/>
        <w:gridCol w:w="937"/>
        <w:gridCol w:w="992"/>
        <w:gridCol w:w="992"/>
        <w:gridCol w:w="1195"/>
        <w:gridCol w:w="988"/>
        <w:gridCol w:w="1305"/>
      </w:tblGrid>
      <w:tr w:rsidR="000425BF" w:rsidRPr="00FB43B3" w14:paraId="0463A57F" w14:textId="77777777" w:rsidTr="000425BF">
        <w:tc>
          <w:tcPr>
            <w:tcW w:w="1053" w:type="dxa"/>
            <w:tcBorders>
              <w:top w:val="single" w:sz="8" w:space="0" w:color="auto"/>
              <w:bottom w:val="single" w:sz="8" w:space="0" w:color="auto"/>
            </w:tcBorders>
          </w:tcPr>
          <w:p w14:paraId="1703AAF1" w14:textId="33649F22" w:rsidR="007B4CCB" w:rsidRPr="00FB43B3" w:rsidRDefault="007B4CCB" w:rsidP="009C742E">
            <w:pPr>
              <w:pStyle w:val="Body"/>
              <w:spacing w:after="0"/>
              <w:jc w:val="left"/>
              <w:rPr>
                <w:rFonts w:ascii="Arial" w:hAnsi="Arial" w:cs="Arial"/>
                <w:b/>
                <w:bCs/>
                <w:sz w:val="20"/>
                <w:szCs w:val="20"/>
                <w:highlight w:val="magenta"/>
              </w:rPr>
            </w:pPr>
            <w:r w:rsidRPr="00FB43B3">
              <w:rPr>
                <w:rFonts w:ascii="Arial" w:hAnsi="Arial" w:cs="Arial"/>
                <w:b/>
                <w:bCs/>
                <w:sz w:val="20"/>
                <w:szCs w:val="20"/>
                <w:highlight w:val="magenta"/>
              </w:rPr>
              <w:t>Profile Variable</w:t>
            </w:r>
          </w:p>
        </w:tc>
        <w:tc>
          <w:tcPr>
            <w:tcW w:w="1053" w:type="dxa"/>
            <w:tcBorders>
              <w:top w:val="single" w:sz="8" w:space="0" w:color="auto"/>
              <w:bottom w:val="single" w:sz="8" w:space="0" w:color="auto"/>
            </w:tcBorders>
          </w:tcPr>
          <w:p w14:paraId="02C192CE" w14:textId="71B8324F"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Test</w:t>
            </w:r>
          </w:p>
        </w:tc>
        <w:tc>
          <w:tcPr>
            <w:tcW w:w="1053" w:type="dxa"/>
            <w:tcBorders>
              <w:top w:val="single" w:sz="8" w:space="0" w:color="auto"/>
              <w:bottom w:val="single" w:sz="8" w:space="0" w:color="auto"/>
            </w:tcBorders>
          </w:tcPr>
          <w:p w14:paraId="5729A59A" w14:textId="03504F29"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df</w:t>
            </w:r>
          </w:p>
        </w:tc>
        <w:tc>
          <w:tcPr>
            <w:tcW w:w="1053" w:type="dxa"/>
            <w:tcBorders>
              <w:top w:val="single" w:sz="8" w:space="0" w:color="auto"/>
              <w:bottom w:val="single" w:sz="8" w:space="0" w:color="auto"/>
            </w:tcBorders>
          </w:tcPr>
          <w:p w14:paraId="73C2EAB3" w14:textId="25D50600"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t</w:t>
            </w:r>
            <w:r w:rsidRPr="00FB43B3">
              <w:rPr>
                <w:rFonts w:ascii="Arial" w:hAnsi="Arial" w:cs="Arial"/>
                <w:b/>
                <w:bCs/>
                <w:sz w:val="20"/>
                <w:szCs w:val="20"/>
                <w:highlight w:val="magenta"/>
              </w:rPr>
              <w:t>-value</w:t>
            </w:r>
          </w:p>
        </w:tc>
        <w:tc>
          <w:tcPr>
            <w:tcW w:w="1053" w:type="dxa"/>
            <w:tcBorders>
              <w:top w:val="single" w:sz="8" w:space="0" w:color="auto"/>
              <w:bottom w:val="single" w:sz="8" w:space="0" w:color="auto"/>
            </w:tcBorders>
          </w:tcPr>
          <w:p w14:paraId="17B2B922" w14:textId="60DFED05"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P</w:t>
            </w:r>
            <w:r w:rsidRPr="00FB43B3">
              <w:rPr>
                <w:rFonts w:ascii="Arial" w:hAnsi="Arial" w:cs="Arial"/>
                <w:b/>
                <w:bCs/>
                <w:sz w:val="20"/>
                <w:szCs w:val="20"/>
                <w:highlight w:val="magenta"/>
              </w:rPr>
              <w:t>-value</w:t>
            </w:r>
          </w:p>
        </w:tc>
        <w:tc>
          <w:tcPr>
            <w:tcW w:w="1053" w:type="dxa"/>
            <w:tcBorders>
              <w:top w:val="single" w:sz="8" w:space="0" w:color="auto"/>
              <w:bottom w:val="single" w:sz="8" w:space="0" w:color="auto"/>
            </w:tcBorders>
          </w:tcPr>
          <w:p w14:paraId="3E751A9A" w14:textId="6BEB0D07"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Mean Difference</w:t>
            </w:r>
          </w:p>
        </w:tc>
        <w:tc>
          <w:tcPr>
            <w:tcW w:w="1053" w:type="dxa"/>
            <w:tcBorders>
              <w:top w:val="single" w:sz="8" w:space="0" w:color="auto"/>
              <w:bottom w:val="single" w:sz="8" w:space="0" w:color="auto"/>
            </w:tcBorders>
          </w:tcPr>
          <w:p w14:paraId="2D8A6A33" w14:textId="34D689EC"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Std. Error</w:t>
            </w:r>
          </w:p>
        </w:tc>
        <w:tc>
          <w:tcPr>
            <w:tcW w:w="1053" w:type="dxa"/>
            <w:tcBorders>
              <w:top w:val="single" w:sz="8" w:space="0" w:color="auto"/>
              <w:bottom w:val="single" w:sz="8" w:space="0" w:color="auto"/>
            </w:tcBorders>
          </w:tcPr>
          <w:p w14:paraId="321901B7" w14:textId="2CC9DAFB" w:rsidR="007B4CCB" w:rsidRPr="00FB43B3" w:rsidRDefault="009C742E" w:rsidP="009C742E">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95% Confidence Interval</w:t>
            </w:r>
          </w:p>
        </w:tc>
      </w:tr>
      <w:tr w:rsidR="000425BF" w14:paraId="45D36DD0" w14:textId="77777777" w:rsidTr="000425BF">
        <w:tc>
          <w:tcPr>
            <w:tcW w:w="1053" w:type="dxa"/>
            <w:tcBorders>
              <w:top w:val="single" w:sz="8" w:space="0" w:color="auto"/>
              <w:bottom w:val="single" w:sz="8" w:space="0" w:color="auto"/>
            </w:tcBorders>
          </w:tcPr>
          <w:p w14:paraId="7DD0AEB5" w14:textId="7E91872E" w:rsidR="007B4CCB" w:rsidRPr="00FB43B3" w:rsidRDefault="007B4CCB" w:rsidP="009C742E">
            <w:pPr>
              <w:pStyle w:val="Body"/>
              <w:spacing w:after="0"/>
              <w:jc w:val="left"/>
              <w:rPr>
                <w:rFonts w:ascii="Arial" w:hAnsi="Arial" w:cs="Arial"/>
                <w:sz w:val="20"/>
                <w:szCs w:val="20"/>
                <w:highlight w:val="magenta"/>
              </w:rPr>
            </w:pPr>
            <w:r w:rsidRPr="00FB43B3">
              <w:rPr>
                <w:rFonts w:ascii="Arial" w:hAnsi="Arial" w:cs="Arial"/>
                <w:sz w:val="20"/>
                <w:szCs w:val="20"/>
                <w:highlight w:val="magenta"/>
              </w:rPr>
              <w:t>Gender</w:t>
            </w:r>
          </w:p>
        </w:tc>
        <w:tc>
          <w:tcPr>
            <w:tcW w:w="1053" w:type="dxa"/>
            <w:tcBorders>
              <w:top w:val="single" w:sz="8" w:space="0" w:color="auto"/>
              <w:bottom w:val="single" w:sz="8" w:space="0" w:color="auto"/>
            </w:tcBorders>
          </w:tcPr>
          <w:p w14:paraId="49CB5116" w14:textId="33E37FCE"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i/>
                <w:iCs/>
                <w:sz w:val="20"/>
                <w:szCs w:val="20"/>
                <w:highlight w:val="magenta"/>
              </w:rPr>
              <w:t>t</w:t>
            </w:r>
            <w:r w:rsidRPr="00FB43B3">
              <w:rPr>
                <w:rFonts w:ascii="Arial" w:hAnsi="Arial" w:cs="Arial"/>
                <w:sz w:val="20"/>
                <w:szCs w:val="20"/>
                <w:highlight w:val="magenta"/>
              </w:rPr>
              <w:t>-test</w:t>
            </w:r>
          </w:p>
        </w:tc>
        <w:tc>
          <w:tcPr>
            <w:tcW w:w="1053" w:type="dxa"/>
            <w:tcBorders>
              <w:top w:val="single" w:sz="8" w:space="0" w:color="auto"/>
              <w:bottom w:val="single" w:sz="8" w:space="0" w:color="auto"/>
            </w:tcBorders>
          </w:tcPr>
          <w:p w14:paraId="17F2923C" w14:textId="0F733605"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sz w:val="20"/>
                <w:szCs w:val="20"/>
                <w:highlight w:val="magenta"/>
              </w:rPr>
              <w:t>23</w:t>
            </w:r>
          </w:p>
        </w:tc>
        <w:tc>
          <w:tcPr>
            <w:tcW w:w="1053" w:type="dxa"/>
            <w:tcBorders>
              <w:top w:val="single" w:sz="8" w:space="0" w:color="auto"/>
              <w:bottom w:val="single" w:sz="8" w:space="0" w:color="auto"/>
            </w:tcBorders>
          </w:tcPr>
          <w:p w14:paraId="4FE0C816" w14:textId="1D5BA526"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sz w:val="20"/>
                <w:szCs w:val="20"/>
                <w:highlight w:val="magenta"/>
              </w:rPr>
              <w:t>-2.848</w:t>
            </w:r>
          </w:p>
        </w:tc>
        <w:tc>
          <w:tcPr>
            <w:tcW w:w="1053" w:type="dxa"/>
            <w:tcBorders>
              <w:top w:val="single" w:sz="8" w:space="0" w:color="auto"/>
              <w:bottom w:val="single" w:sz="8" w:space="0" w:color="auto"/>
            </w:tcBorders>
          </w:tcPr>
          <w:p w14:paraId="7D68C7FC" w14:textId="22C2F2C8"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sz w:val="20"/>
                <w:szCs w:val="20"/>
                <w:highlight w:val="magenta"/>
              </w:rPr>
              <w:t>.009</w:t>
            </w:r>
          </w:p>
        </w:tc>
        <w:tc>
          <w:tcPr>
            <w:tcW w:w="1053" w:type="dxa"/>
            <w:tcBorders>
              <w:top w:val="single" w:sz="8" w:space="0" w:color="auto"/>
              <w:bottom w:val="single" w:sz="8" w:space="0" w:color="auto"/>
            </w:tcBorders>
          </w:tcPr>
          <w:p w14:paraId="37CD0024" w14:textId="6C758CEB"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sz w:val="20"/>
                <w:szCs w:val="20"/>
                <w:highlight w:val="magenta"/>
              </w:rPr>
              <w:t>-.406</w:t>
            </w:r>
          </w:p>
        </w:tc>
        <w:tc>
          <w:tcPr>
            <w:tcW w:w="1053" w:type="dxa"/>
            <w:tcBorders>
              <w:top w:val="single" w:sz="8" w:space="0" w:color="auto"/>
              <w:bottom w:val="single" w:sz="8" w:space="0" w:color="auto"/>
            </w:tcBorders>
          </w:tcPr>
          <w:p w14:paraId="4E8B26A4" w14:textId="417B91E4" w:rsidR="007B4CCB" w:rsidRPr="00FB43B3" w:rsidRDefault="009C742E" w:rsidP="009C742E">
            <w:pPr>
              <w:pStyle w:val="Body"/>
              <w:spacing w:after="0"/>
              <w:jc w:val="center"/>
              <w:rPr>
                <w:rFonts w:ascii="Arial" w:hAnsi="Arial" w:cs="Arial"/>
                <w:sz w:val="20"/>
                <w:szCs w:val="20"/>
                <w:highlight w:val="magenta"/>
              </w:rPr>
            </w:pPr>
            <w:r w:rsidRPr="00FB43B3">
              <w:rPr>
                <w:rFonts w:ascii="Arial" w:hAnsi="Arial" w:cs="Arial"/>
                <w:sz w:val="20"/>
                <w:szCs w:val="20"/>
                <w:highlight w:val="magenta"/>
              </w:rPr>
              <w:t>-.</w:t>
            </w:r>
            <w:r w:rsidR="006020CA" w:rsidRPr="00FB43B3">
              <w:rPr>
                <w:rFonts w:ascii="Arial" w:hAnsi="Arial" w:cs="Arial"/>
                <w:sz w:val="20"/>
                <w:szCs w:val="20"/>
                <w:highlight w:val="magenta"/>
              </w:rPr>
              <w:t>14</w:t>
            </w:r>
          </w:p>
        </w:tc>
        <w:tc>
          <w:tcPr>
            <w:tcW w:w="1053" w:type="dxa"/>
            <w:tcBorders>
              <w:top w:val="single" w:sz="8" w:space="0" w:color="auto"/>
              <w:bottom w:val="single" w:sz="8" w:space="0" w:color="auto"/>
            </w:tcBorders>
          </w:tcPr>
          <w:p w14:paraId="4B5638F2" w14:textId="15D03311" w:rsidR="007B4CCB" w:rsidRPr="007B4CCB" w:rsidRDefault="006020CA" w:rsidP="009C742E">
            <w:pPr>
              <w:pStyle w:val="Body"/>
              <w:spacing w:after="0"/>
              <w:jc w:val="center"/>
              <w:rPr>
                <w:rFonts w:ascii="Arial" w:hAnsi="Arial" w:cs="Arial"/>
                <w:sz w:val="20"/>
                <w:szCs w:val="20"/>
              </w:rPr>
            </w:pPr>
            <w:r w:rsidRPr="00FB43B3">
              <w:rPr>
                <w:rFonts w:ascii="Arial" w:hAnsi="Arial" w:cs="Arial"/>
                <w:sz w:val="20"/>
                <w:szCs w:val="20"/>
                <w:highlight w:val="magenta"/>
              </w:rPr>
              <w:t>[</w:t>
            </w:r>
            <w:r w:rsidR="009C742E" w:rsidRPr="00FB43B3">
              <w:rPr>
                <w:rFonts w:ascii="Arial" w:hAnsi="Arial" w:cs="Arial"/>
                <w:sz w:val="20"/>
                <w:szCs w:val="20"/>
                <w:highlight w:val="magenta"/>
              </w:rPr>
              <w:t>-.</w:t>
            </w:r>
            <w:r w:rsidRPr="00FB43B3">
              <w:rPr>
                <w:rFonts w:ascii="Arial" w:hAnsi="Arial" w:cs="Arial"/>
                <w:sz w:val="20"/>
                <w:szCs w:val="20"/>
                <w:highlight w:val="magenta"/>
              </w:rPr>
              <w:t>70, -.11]</w:t>
            </w:r>
          </w:p>
        </w:tc>
      </w:tr>
    </w:tbl>
    <w:commentRangeEnd w:id="24"/>
    <w:p w14:paraId="425198AE" w14:textId="77777777" w:rsidR="007B4CCB" w:rsidRPr="00502516" w:rsidRDefault="00FB43B3" w:rsidP="00441B6F">
      <w:pPr>
        <w:pStyle w:val="Body"/>
        <w:spacing w:after="0"/>
        <w:rPr>
          <w:rFonts w:ascii="Arial" w:hAnsi="Arial" w:cs="Arial"/>
        </w:rPr>
      </w:pPr>
      <w:r>
        <w:rPr>
          <w:rStyle w:val="Marquedecommentaire"/>
          <w:rFonts w:ascii="Times New Roman" w:hAnsi="Times New Roman"/>
          <w:lang w:val="nb-NO" w:eastAsia="nb-NO"/>
        </w:rPr>
        <w:commentReference w:id="24"/>
      </w:r>
    </w:p>
    <w:p w14:paraId="5F708CBF" w14:textId="77777777" w:rsidR="00376BBE" w:rsidRDefault="00376BBE" w:rsidP="00441B6F">
      <w:pPr>
        <w:pStyle w:val="Body"/>
        <w:spacing w:after="0"/>
        <w:rPr>
          <w:rFonts w:ascii="Arial" w:hAnsi="Arial" w:cs="Arial"/>
        </w:rPr>
      </w:pPr>
    </w:p>
    <w:p w14:paraId="7BD45B97" w14:textId="505BF24D" w:rsidR="00376BBE" w:rsidRPr="00174DA8" w:rsidRDefault="00215A43" w:rsidP="00DE4428">
      <w:pPr>
        <w:pStyle w:val="Body"/>
        <w:spacing w:after="0"/>
        <w:jc w:val="center"/>
        <w:rPr>
          <w:rFonts w:ascii="Arial" w:hAnsi="Arial" w:cs="Arial"/>
          <w:b/>
          <w:bCs/>
        </w:rPr>
      </w:pPr>
      <w:r>
        <w:rPr>
          <w:rFonts w:ascii="Arial" w:hAnsi="Arial" w:cs="Arial"/>
          <w:b/>
          <w:bCs/>
        </w:rPr>
        <w:t xml:space="preserve">5.1.5. </w:t>
      </w:r>
      <w:r w:rsidR="00CE3521">
        <w:rPr>
          <w:rFonts w:ascii="Arial" w:hAnsi="Arial" w:cs="Arial"/>
          <w:b/>
          <w:bCs/>
        </w:rPr>
        <w:t xml:space="preserve">Differences on </w:t>
      </w:r>
      <w:r w:rsidR="00DE4428" w:rsidRPr="00174DA8">
        <w:rPr>
          <w:rFonts w:ascii="Arial" w:hAnsi="Arial" w:cs="Arial"/>
          <w:b/>
          <w:bCs/>
        </w:rPr>
        <w:t>Teaching Efficacy</w:t>
      </w:r>
    </w:p>
    <w:p w14:paraId="1CCAB8C0" w14:textId="4E4EBA75" w:rsidR="00927834" w:rsidRDefault="00927834" w:rsidP="00441B6F">
      <w:pPr>
        <w:autoSpaceDE w:val="0"/>
        <w:autoSpaceDN w:val="0"/>
        <w:adjustRightInd w:val="0"/>
        <w:jc w:val="both"/>
        <w:rPr>
          <w:rFonts w:ascii="Arial" w:hAnsi="Arial" w:cs="Arial"/>
          <w:b/>
          <w:bCs/>
          <w:sz w:val="22"/>
          <w:szCs w:val="22"/>
        </w:rPr>
      </w:pPr>
    </w:p>
    <w:p w14:paraId="15402D09" w14:textId="1937091E" w:rsidR="0066363F" w:rsidRPr="009919D8" w:rsidRDefault="0066363F" w:rsidP="0066363F">
      <w:pPr>
        <w:autoSpaceDE w:val="0"/>
        <w:autoSpaceDN w:val="0"/>
        <w:adjustRightInd w:val="0"/>
        <w:jc w:val="both"/>
        <w:rPr>
          <w:rFonts w:ascii="Arial" w:hAnsi="Arial" w:cs="Arial"/>
          <w:highlight w:val="cyan"/>
        </w:rPr>
      </w:pPr>
      <w:r>
        <w:rPr>
          <w:rFonts w:ascii="Arial" w:hAnsi="Arial" w:cs="Arial"/>
          <w:b/>
          <w:bCs/>
          <w:sz w:val="22"/>
          <w:szCs w:val="22"/>
        </w:rPr>
        <w:tab/>
      </w:r>
      <w:commentRangeStart w:id="25"/>
      <w:r w:rsidRPr="009919D8">
        <w:rPr>
          <w:rFonts w:ascii="Arial" w:hAnsi="Arial" w:cs="Arial"/>
          <w:highlight w:val="cyan"/>
        </w:rPr>
        <w:t>Table 6 indicates the results of teaching efficacy based on age and years of teaching experience. The results show that there are no statistically significant differences in teaching efficacy when grouped by either age (</w:t>
      </w:r>
      <m:oMath>
        <m:r>
          <w:rPr>
            <w:rFonts w:ascii="Cambria Math" w:hAnsi="Cambria Math" w:cs="Arial"/>
            <w:highlight w:val="cyan"/>
          </w:rPr>
          <m:t>F(2, 22) = 1.55, P = .236</m:t>
        </m:r>
      </m:oMath>
      <w:r w:rsidRPr="009919D8">
        <w:rPr>
          <w:rFonts w:ascii="Arial" w:hAnsi="Arial" w:cs="Arial"/>
          <w:highlight w:val="cyan"/>
        </w:rPr>
        <w:t>) or years of teaching experience (</w:t>
      </w:r>
      <m:oMath>
        <m:r>
          <w:rPr>
            <w:rFonts w:ascii="Cambria Math" w:hAnsi="Cambria Math" w:cs="Arial"/>
            <w:highlight w:val="cyan"/>
          </w:rPr>
          <m:t>F(3, 21) = 0.83, P = .490</m:t>
        </m:r>
      </m:oMath>
      <w:r w:rsidRPr="009919D8">
        <w:rPr>
          <w:rFonts w:ascii="Arial" w:hAnsi="Arial" w:cs="Arial"/>
          <w:highlight w:val="cyan"/>
        </w:rPr>
        <w:t>). This means that, on average, teachers across different age groups and experience levels feel similarly confident in their teaching abilities, classroom strategies, and ability to engage students.</w:t>
      </w:r>
    </w:p>
    <w:p w14:paraId="3D53F6E4" w14:textId="6AB2959B" w:rsidR="0066363F" w:rsidRPr="0066363F" w:rsidRDefault="0066363F" w:rsidP="0066363F">
      <w:pPr>
        <w:autoSpaceDE w:val="0"/>
        <w:autoSpaceDN w:val="0"/>
        <w:adjustRightInd w:val="0"/>
        <w:ind w:firstLine="720"/>
        <w:jc w:val="both"/>
        <w:rPr>
          <w:rFonts w:ascii="Arial" w:hAnsi="Arial" w:cs="Arial"/>
        </w:rPr>
      </w:pPr>
      <w:r w:rsidRPr="009919D8">
        <w:rPr>
          <w:rFonts w:ascii="Arial" w:hAnsi="Arial" w:cs="Arial"/>
          <w:highlight w:val="cyan"/>
        </w:rPr>
        <w:t xml:space="preserve">These findings support the idea that teaching efficacy may be shaped more by ongoing professional development and support systems rather than just age or experience (Yoo, 2016). According to </w:t>
      </w:r>
      <w:r w:rsidR="000425BF" w:rsidRPr="009919D8">
        <w:rPr>
          <w:rFonts w:ascii="Arial" w:hAnsi="Arial" w:cs="Arial"/>
          <w:highlight w:val="cyan"/>
        </w:rPr>
        <w:t>Clark and Newberry</w:t>
      </w:r>
      <w:r w:rsidRPr="009919D8">
        <w:rPr>
          <w:rFonts w:ascii="Arial" w:hAnsi="Arial" w:cs="Arial"/>
          <w:highlight w:val="cyan"/>
        </w:rPr>
        <w:t xml:space="preserve"> (20</w:t>
      </w:r>
      <w:r w:rsidR="000425BF" w:rsidRPr="009919D8">
        <w:rPr>
          <w:rFonts w:ascii="Arial" w:hAnsi="Arial" w:cs="Arial"/>
          <w:highlight w:val="cyan"/>
        </w:rPr>
        <w:t>18</w:t>
      </w:r>
      <w:r w:rsidRPr="009919D8">
        <w:rPr>
          <w:rFonts w:ascii="Arial" w:hAnsi="Arial" w:cs="Arial"/>
          <w:highlight w:val="cyan"/>
        </w:rPr>
        <w:t>), teaching efficacy is strongly influenced by mastery experiences, feedback, and contextual support — which are not always tied to how long someone has been teaching.</w:t>
      </w:r>
      <w:commentRangeEnd w:id="25"/>
      <w:r w:rsidR="009919D8">
        <w:rPr>
          <w:rStyle w:val="Marquedecommentaire"/>
          <w:rFonts w:ascii="Times New Roman" w:hAnsi="Times New Roman"/>
          <w:lang w:val="nb-NO" w:eastAsia="nb-NO"/>
        </w:rPr>
        <w:commentReference w:id="25"/>
      </w:r>
    </w:p>
    <w:p w14:paraId="281E7232" w14:textId="77777777" w:rsidR="00927834" w:rsidRDefault="00927834" w:rsidP="00441B6F">
      <w:pPr>
        <w:autoSpaceDE w:val="0"/>
        <w:autoSpaceDN w:val="0"/>
        <w:adjustRightInd w:val="0"/>
        <w:jc w:val="both"/>
        <w:rPr>
          <w:rFonts w:ascii="Arial" w:hAnsi="Arial" w:cs="Arial"/>
          <w:b/>
          <w:bCs/>
          <w:szCs w:val="22"/>
        </w:rPr>
      </w:pPr>
    </w:p>
    <w:p w14:paraId="28DDA454" w14:textId="4E655043" w:rsidR="00E053D0" w:rsidRPr="00FB43B3" w:rsidRDefault="000425BF" w:rsidP="000425BF">
      <w:pPr>
        <w:pStyle w:val="Body"/>
        <w:spacing w:after="0"/>
        <w:jc w:val="left"/>
        <w:rPr>
          <w:rFonts w:ascii="Arial" w:hAnsi="Arial" w:cs="Arial"/>
          <w:highlight w:val="magenta"/>
        </w:rPr>
      </w:pPr>
      <w:commentRangeStart w:id="26"/>
      <w:r w:rsidRPr="00FB43B3">
        <w:rPr>
          <w:rFonts w:ascii="Arial" w:hAnsi="Arial" w:cs="Arial"/>
          <w:highlight w:val="magenta"/>
        </w:rPr>
        <w:t>Table 6. Teaching Efficacy Scores According to Age and Years of Teaching Experience</w:t>
      </w:r>
    </w:p>
    <w:p w14:paraId="1FC4F90D" w14:textId="77777777" w:rsidR="00FD4FC9" w:rsidRPr="00FB43B3" w:rsidRDefault="00FD4FC9" w:rsidP="000425BF">
      <w:pPr>
        <w:pStyle w:val="Body"/>
        <w:spacing w:after="0"/>
        <w:jc w:val="left"/>
        <w:rPr>
          <w:rFonts w:ascii="Arial" w:hAnsi="Arial" w:cs="Arial"/>
          <w:highlight w:val="magent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0425BF" w:rsidRPr="00FB43B3" w14:paraId="319218EC" w14:textId="77777777" w:rsidTr="00FD4FC9">
        <w:tc>
          <w:tcPr>
            <w:tcW w:w="1684" w:type="dxa"/>
            <w:tcBorders>
              <w:top w:val="single" w:sz="8" w:space="0" w:color="auto"/>
              <w:bottom w:val="single" w:sz="8" w:space="0" w:color="auto"/>
            </w:tcBorders>
            <w:vAlign w:val="center"/>
          </w:tcPr>
          <w:p w14:paraId="6AD8F3CA" w14:textId="27BC14D1" w:rsidR="000425BF" w:rsidRPr="00FB43B3" w:rsidRDefault="000425BF" w:rsidP="000425BF">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Profile Variable</w:t>
            </w:r>
          </w:p>
        </w:tc>
        <w:tc>
          <w:tcPr>
            <w:tcW w:w="1685" w:type="dxa"/>
            <w:tcBorders>
              <w:top w:val="single" w:sz="8" w:space="0" w:color="auto"/>
              <w:bottom w:val="single" w:sz="8" w:space="0" w:color="auto"/>
            </w:tcBorders>
            <w:vAlign w:val="center"/>
          </w:tcPr>
          <w:p w14:paraId="200D7B47" w14:textId="1B93EC5D" w:rsidR="000425BF" w:rsidRPr="00FB43B3" w:rsidRDefault="000425BF" w:rsidP="000425BF">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Test</w:t>
            </w:r>
          </w:p>
        </w:tc>
        <w:tc>
          <w:tcPr>
            <w:tcW w:w="1685" w:type="dxa"/>
            <w:tcBorders>
              <w:top w:val="single" w:sz="8" w:space="0" w:color="auto"/>
              <w:bottom w:val="single" w:sz="8" w:space="0" w:color="auto"/>
            </w:tcBorders>
            <w:vAlign w:val="center"/>
          </w:tcPr>
          <w:p w14:paraId="403F260A" w14:textId="39917D95" w:rsidR="000425BF" w:rsidRPr="00FB43B3" w:rsidRDefault="000425BF" w:rsidP="000425BF">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Df (Between, Withing Groups)</w:t>
            </w:r>
          </w:p>
        </w:tc>
        <w:tc>
          <w:tcPr>
            <w:tcW w:w="1685" w:type="dxa"/>
            <w:tcBorders>
              <w:top w:val="single" w:sz="8" w:space="0" w:color="auto"/>
              <w:bottom w:val="single" w:sz="8" w:space="0" w:color="auto"/>
            </w:tcBorders>
            <w:vAlign w:val="center"/>
          </w:tcPr>
          <w:p w14:paraId="51A31FE7" w14:textId="3F6A6E98" w:rsidR="000425BF" w:rsidRPr="00FB43B3" w:rsidRDefault="000425BF" w:rsidP="000425BF">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F</w:t>
            </w:r>
            <w:r w:rsidRPr="00FB43B3">
              <w:rPr>
                <w:rFonts w:ascii="Arial" w:hAnsi="Arial" w:cs="Arial"/>
                <w:b/>
                <w:bCs/>
                <w:sz w:val="20"/>
                <w:szCs w:val="20"/>
                <w:highlight w:val="magenta"/>
              </w:rPr>
              <w:t>-value</w:t>
            </w:r>
          </w:p>
        </w:tc>
        <w:tc>
          <w:tcPr>
            <w:tcW w:w="1685" w:type="dxa"/>
            <w:tcBorders>
              <w:top w:val="single" w:sz="8" w:space="0" w:color="auto"/>
              <w:bottom w:val="single" w:sz="8" w:space="0" w:color="auto"/>
            </w:tcBorders>
            <w:vAlign w:val="center"/>
          </w:tcPr>
          <w:p w14:paraId="7A0BCBB0" w14:textId="5313AD20" w:rsidR="000425BF" w:rsidRPr="00FB43B3" w:rsidRDefault="000425BF" w:rsidP="000425BF">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P</w:t>
            </w:r>
            <w:r w:rsidRPr="00FB43B3">
              <w:rPr>
                <w:rFonts w:ascii="Arial" w:hAnsi="Arial" w:cs="Arial"/>
                <w:b/>
                <w:bCs/>
                <w:sz w:val="20"/>
                <w:szCs w:val="20"/>
                <w:highlight w:val="magenta"/>
              </w:rPr>
              <w:t>-value</w:t>
            </w:r>
          </w:p>
        </w:tc>
      </w:tr>
      <w:tr w:rsidR="000425BF" w:rsidRPr="00FB43B3" w14:paraId="325F05F1" w14:textId="77777777" w:rsidTr="00FD4FC9">
        <w:tc>
          <w:tcPr>
            <w:tcW w:w="1684" w:type="dxa"/>
            <w:tcBorders>
              <w:top w:val="single" w:sz="8" w:space="0" w:color="auto"/>
            </w:tcBorders>
          </w:tcPr>
          <w:p w14:paraId="2FAE71FB" w14:textId="77777777" w:rsidR="000425BF" w:rsidRPr="00FB43B3" w:rsidRDefault="000425BF" w:rsidP="000425BF">
            <w:pPr>
              <w:pStyle w:val="Body"/>
              <w:spacing w:after="0"/>
              <w:jc w:val="left"/>
              <w:rPr>
                <w:rFonts w:ascii="Arial" w:hAnsi="Arial" w:cs="Arial"/>
                <w:sz w:val="20"/>
                <w:szCs w:val="20"/>
                <w:highlight w:val="magenta"/>
              </w:rPr>
            </w:pPr>
            <w:r w:rsidRPr="00FB43B3">
              <w:rPr>
                <w:rFonts w:ascii="Arial" w:hAnsi="Arial" w:cs="Arial"/>
                <w:sz w:val="20"/>
                <w:szCs w:val="20"/>
                <w:highlight w:val="magenta"/>
              </w:rPr>
              <w:t>Age</w:t>
            </w:r>
          </w:p>
          <w:p w14:paraId="4CD2E47C" w14:textId="6A508FED" w:rsidR="00FD4FC9" w:rsidRPr="00FB43B3" w:rsidRDefault="00FD4FC9" w:rsidP="000425BF">
            <w:pPr>
              <w:pStyle w:val="Body"/>
              <w:spacing w:after="0"/>
              <w:jc w:val="left"/>
              <w:rPr>
                <w:rFonts w:ascii="Arial" w:hAnsi="Arial" w:cs="Arial"/>
                <w:sz w:val="20"/>
                <w:szCs w:val="20"/>
                <w:highlight w:val="magenta"/>
              </w:rPr>
            </w:pPr>
          </w:p>
        </w:tc>
        <w:tc>
          <w:tcPr>
            <w:tcW w:w="1685" w:type="dxa"/>
            <w:tcBorders>
              <w:top w:val="single" w:sz="8" w:space="0" w:color="auto"/>
            </w:tcBorders>
          </w:tcPr>
          <w:p w14:paraId="51943F37" w14:textId="14BD41C7"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ANOVA</w:t>
            </w:r>
          </w:p>
        </w:tc>
        <w:tc>
          <w:tcPr>
            <w:tcW w:w="1685" w:type="dxa"/>
            <w:tcBorders>
              <w:top w:val="single" w:sz="8" w:space="0" w:color="auto"/>
            </w:tcBorders>
          </w:tcPr>
          <w:p w14:paraId="3F49F679" w14:textId="41B4A324"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(2, 22)</w:t>
            </w:r>
          </w:p>
        </w:tc>
        <w:tc>
          <w:tcPr>
            <w:tcW w:w="1685" w:type="dxa"/>
            <w:tcBorders>
              <w:top w:val="single" w:sz="8" w:space="0" w:color="auto"/>
            </w:tcBorders>
          </w:tcPr>
          <w:p w14:paraId="13816377" w14:textId="3FB6E8F3"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1.55</w:t>
            </w:r>
          </w:p>
        </w:tc>
        <w:tc>
          <w:tcPr>
            <w:tcW w:w="1685" w:type="dxa"/>
            <w:tcBorders>
              <w:top w:val="single" w:sz="8" w:space="0" w:color="auto"/>
            </w:tcBorders>
          </w:tcPr>
          <w:p w14:paraId="65D18819" w14:textId="0716E37C"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.236</w:t>
            </w:r>
          </w:p>
        </w:tc>
      </w:tr>
      <w:tr w:rsidR="000425BF" w:rsidRPr="00FD4FC9" w14:paraId="47552613" w14:textId="77777777" w:rsidTr="00FD4FC9">
        <w:tc>
          <w:tcPr>
            <w:tcW w:w="1684" w:type="dxa"/>
            <w:tcBorders>
              <w:bottom w:val="single" w:sz="8" w:space="0" w:color="auto"/>
            </w:tcBorders>
          </w:tcPr>
          <w:p w14:paraId="0273C6BF" w14:textId="29383C06" w:rsidR="000425BF" w:rsidRPr="00FB43B3" w:rsidRDefault="000425BF" w:rsidP="000425BF">
            <w:pPr>
              <w:pStyle w:val="Body"/>
              <w:spacing w:after="0"/>
              <w:jc w:val="left"/>
              <w:rPr>
                <w:rFonts w:ascii="Arial" w:hAnsi="Arial" w:cs="Arial"/>
                <w:sz w:val="20"/>
                <w:szCs w:val="20"/>
                <w:highlight w:val="magenta"/>
              </w:rPr>
            </w:pPr>
            <w:r w:rsidRPr="00FB43B3">
              <w:rPr>
                <w:rFonts w:ascii="Arial" w:hAnsi="Arial" w:cs="Arial"/>
                <w:sz w:val="20"/>
                <w:szCs w:val="20"/>
                <w:highlight w:val="magenta"/>
              </w:rPr>
              <w:t>Years of Teaching Experience</w:t>
            </w:r>
          </w:p>
        </w:tc>
        <w:tc>
          <w:tcPr>
            <w:tcW w:w="1685" w:type="dxa"/>
            <w:tcBorders>
              <w:bottom w:val="single" w:sz="8" w:space="0" w:color="auto"/>
            </w:tcBorders>
          </w:tcPr>
          <w:p w14:paraId="2E9C38D9" w14:textId="0931B96D"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ANOVA</w:t>
            </w:r>
          </w:p>
        </w:tc>
        <w:tc>
          <w:tcPr>
            <w:tcW w:w="1685" w:type="dxa"/>
            <w:tcBorders>
              <w:bottom w:val="single" w:sz="8" w:space="0" w:color="auto"/>
            </w:tcBorders>
          </w:tcPr>
          <w:p w14:paraId="3A3D9DCC" w14:textId="2ED20EA6"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(3, 21)</w:t>
            </w:r>
          </w:p>
        </w:tc>
        <w:tc>
          <w:tcPr>
            <w:tcW w:w="1685" w:type="dxa"/>
            <w:tcBorders>
              <w:bottom w:val="single" w:sz="8" w:space="0" w:color="auto"/>
            </w:tcBorders>
          </w:tcPr>
          <w:p w14:paraId="68DB7818" w14:textId="6C951701" w:rsidR="000425BF" w:rsidRPr="00FB43B3" w:rsidRDefault="000425BF" w:rsidP="000425BF">
            <w:pPr>
              <w:pStyle w:val="Body"/>
              <w:spacing w:after="0"/>
              <w:jc w:val="center"/>
              <w:rPr>
                <w:rFonts w:ascii="Arial" w:hAnsi="Arial" w:cs="Arial"/>
                <w:sz w:val="20"/>
                <w:szCs w:val="20"/>
                <w:highlight w:val="magenta"/>
              </w:rPr>
            </w:pPr>
            <w:r w:rsidRPr="00FB43B3">
              <w:rPr>
                <w:rFonts w:ascii="Arial" w:hAnsi="Arial" w:cs="Arial"/>
                <w:sz w:val="20"/>
                <w:szCs w:val="20"/>
                <w:highlight w:val="magenta"/>
              </w:rPr>
              <w:t>.83</w:t>
            </w:r>
          </w:p>
        </w:tc>
        <w:tc>
          <w:tcPr>
            <w:tcW w:w="1685" w:type="dxa"/>
            <w:tcBorders>
              <w:bottom w:val="single" w:sz="8" w:space="0" w:color="auto"/>
            </w:tcBorders>
          </w:tcPr>
          <w:p w14:paraId="469B1A84" w14:textId="785EB4B8" w:rsidR="000425BF" w:rsidRPr="00FD4FC9" w:rsidRDefault="000425BF" w:rsidP="000425BF">
            <w:pPr>
              <w:pStyle w:val="Body"/>
              <w:spacing w:after="0"/>
              <w:jc w:val="center"/>
              <w:rPr>
                <w:rFonts w:ascii="Arial" w:hAnsi="Arial" w:cs="Arial"/>
                <w:sz w:val="20"/>
                <w:szCs w:val="20"/>
              </w:rPr>
            </w:pPr>
            <w:r w:rsidRPr="00FB43B3">
              <w:rPr>
                <w:rFonts w:ascii="Arial" w:hAnsi="Arial" w:cs="Arial"/>
                <w:sz w:val="20"/>
                <w:szCs w:val="20"/>
                <w:highlight w:val="magenta"/>
              </w:rPr>
              <w:t>.49</w:t>
            </w:r>
          </w:p>
        </w:tc>
      </w:tr>
    </w:tbl>
    <w:commentRangeEnd w:id="26"/>
    <w:p w14:paraId="59F60255" w14:textId="440D1592" w:rsidR="00790ADA" w:rsidRDefault="00FB43B3" w:rsidP="00441B6F">
      <w:pPr>
        <w:pStyle w:val="Body"/>
        <w:spacing w:after="0"/>
        <w:rPr>
          <w:rFonts w:ascii="Arial" w:hAnsi="Arial" w:cs="Arial"/>
        </w:rPr>
      </w:pPr>
      <w:r>
        <w:rPr>
          <w:rStyle w:val="Marquedecommentaire"/>
          <w:rFonts w:ascii="Times New Roman" w:hAnsi="Times New Roman"/>
          <w:lang w:val="nb-NO" w:eastAsia="nb-NO"/>
        </w:rPr>
        <w:commentReference w:id="26"/>
      </w:r>
    </w:p>
    <w:p w14:paraId="45016099" w14:textId="2BE753CA" w:rsidR="000425BF" w:rsidRDefault="000425BF" w:rsidP="00441B6F">
      <w:pPr>
        <w:pStyle w:val="Body"/>
        <w:spacing w:after="0"/>
        <w:rPr>
          <w:rFonts w:ascii="Arial" w:hAnsi="Arial" w:cs="Arial"/>
        </w:rPr>
      </w:pPr>
    </w:p>
    <w:p w14:paraId="6486422C" w14:textId="089E78D3" w:rsidR="000425BF" w:rsidRPr="009919D8" w:rsidRDefault="000425BF" w:rsidP="00441B6F">
      <w:pPr>
        <w:pStyle w:val="Body"/>
        <w:spacing w:after="0"/>
        <w:rPr>
          <w:rFonts w:ascii="Arial" w:hAnsi="Arial" w:cs="Arial"/>
          <w:highlight w:val="cyan"/>
        </w:rPr>
      </w:pPr>
      <w:r>
        <w:rPr>
          <w:rFonts w:ascii="Arial" w:hAnsi="Arial" w:cs="Arial"/>
        </w:rPr>
        <w:tab/>
      </w:r>
      <w:commentRangeStart w:id="27"/>
      <w:r w:rsidRPr="009919D8">
        <w:rPr>
          <w:rFonts w:ascii="Arial" w:hAnsi="Arial" w:cs="Arial"/>
          <w:highlight w:val="cyan"/>
        </w:rPr>
        <w:t>Table 7 illustrates the findings of teaching efficacy according to gender. The t-test result for teaching efficacy based on gender shows no significant difference between male and female teachers (</w:t>
      </w:r>
      <m:oMath>
        <m:r>
          <w:rPr>
            <w:rFonts w:ascii="Cambria Math" w:hAnsi="Cambria Math" w:cs="Arial"/>
            <w:highlight w:val="cyan"/>
          </w:rPr>
          <m:t>t(23) = -0.81, P = .425</m:t>
        </m:r>
      </m:oMath>
      <w:r w:rsidRPr="009919D8">
        <w:rPr>
          <w:rFonts w:ascii="Arial" w:hAnsi="Arial" w:cs="Arial"/>
          <w:highlight w:val="cyan"/>
        </w:rPr>
        <w:t>). This means that, on average, both genders report similar levels of confidence in their teaching strategies, classroom management, and student engagement.</w:t>
      </w:r>
    </w:p>
    <w:p w14:paraId="5BBCDCB9" w14:textId="7290146A" w:rsidR="000425BF" w:rsidRDefault="000425BF" w:rsidP="00441B6F">
      <w:pPr>
        <w:pStyle w:val="Body"/>
        <w:spacing w:after="0"/>
        <w:rPr>
          <w:rFonts w:ascii="Arial" w:hAnsi="Arial" w:cs="Arial"/>
        </w:rPr>
      </w:pPr>
      <w:r w:rsidRPr="009919D8">
        <w:rPr>
          <w:rFonts w:ascii="Arial" w:hAnsi="Arial" w:cs="Arial"/>
          <w:highlight w:val="cyan"/>
        </w:rPr>
        <w:tab/>
      </w:r>
      <w:r w:rsidR="0067664A" w:rsidRPr="009919D8">
        <w:rPr>
          <w:rFonts w:ascii="Arial" w:hAnsi="Arial" w:cs="Arial"/>
          <w:highlight w:val="cyan"/>
        </w:rPr>
        <w:t>Multiple studies found no significant differences between male and female teachers' efficacy scores (</w:t>
      </w:r>
      <w:proofErr w:type="spellStart"/>
      <w:r w:rsidR="0067664A" w:rsidRPr="009919D8">
        <w:rPr>
          <w:rFonts w:ascii="Arial" w:hAnsi="Arial" w:cs="Arial"/>
          <w:highlight w:val="cyan"/>
        </w:rPr>
        <w:t>Lysinge</w:t>
      </w:r>
      <w:proofErr w:type="spellEnd"/>
      <w:r w:rsidR="0067664A" w:rsidRPr="009919D8">
        <w:rPr>
          <w:rFonts w:ascii="Arial" w:hAnsi="Arial" w:cs="Arial"/>
          <w:highlight w:val="cyan"/>
        </w:rPr>
        <w:t>, 2019)</w:t>
      </w:r>
      <w:r w:rsidRPr="009919D8">
        <w:rPr>
          <w:rFonts w:ascii="Arial" w:hAnsi="Arial" w:cs="Arial"/>
          <w:highlight w:val="cyan"/>
        </w:rPr>
        <w:t xml:space="preserve">. As </w:t>
      </w:r>
      <w:proofErr w:type="spellStart"/>
      <w:r w:rsidR="00E67051" w:rsidRPr="009919D8">
        <w:rPr>
          <w:rFonts w:ascii="Arial" w:hAnsi="Arial" w:cs="Arial"/>
          <w:highlight w:val="cyan"/>
        </w:rPr>
        <w:t>Haverback</w:t>
      </w:r>
      <w:proofErr w:type="spellEnd"/>
      <w:r w:rsidR="00E67051" w:rsidRPr="009919D8">
        <w:rPr>
          <w:rFonts w:ascii="Arial" w:hAnsi="Arial" w:cs="Arial"/>
          <w:highlight w:val="cyan"/>
        </w:rPr>
        <w:t xml:space="preserve"> </w:t>
      </w:r>
      <w:r w:rsidRPr="009919D8">
        <w:rPr>
          <w:rFonts w:ascii="Arial" w:hAnsi="Arial" w:cs="Arial"/>
          <w:highlight w:val="cyan"/>
        </w:rPr>
        <w:t>(</w:t>
      </w:r>
      <w:r w:rsidR="00E67051" w:rsidRPr="009919D8">
        <w:rPr>
          <w:rFonts w:ascii="Arial" w:hAnsi="Arial" w:cs="Arial"/>
          <w:highlight w:val="cyan"/>
        </w:rPr>
        <w:t>2022</w:t>
      </w:r>
      <w:r w:rsidRPr="009919D8">
        <w:rPr>
          <w:rFonts w:ascii="Arial" w:hAnsi="Arial" w:cs="Arial"/>
          <w:highlight w:val="cyan"/>
        </w:rPr>
        <w:t xml:space="preserve">) emphasized </w:t>
      </w:r>
      <w:r w:rsidR="00E67051" w:rsidRPr="009919D8">
        <w:rPr>
          <w:rFonts w:ascii="Arial" w:hAnsi="Arial" w:cs="Arial"/>
          <w:highlight w:val="cyan"/>
        </w:rPr>
        <w:t xml:space="preserve">through the lens of </w:t>
      </w:r>
      <w:r w:rsidRPr="009919D8">
        <w:rPr>
          <w:rFonts w:ascii="Arial" w:hAnsi="Arial" w:cs="Arial"/>
          <w:highlight w:val="cyan"/>
        </w:rPr>
        <w:t>Social Cognitive Theory, self-efficacy develops from mastery experiences, vicarious learning, and feedback, which are accessible to teachers regardless of gender.</w:t>
      </w:r>
      <w:commentRangeEnd w:id="27"/>
      <w:r w:rsidR="009919D8">
        <w:rPr>
          <w:rStyle w:val="Marquedecommentaire"/>
          <w:rFonts w:ascii="Times New Roman" w:hAnsi="Times New Roman"/>
          <w:lang w:val="nb-NO" w:eastAsia="nb-NO"/>
        </w:rPr>
        <w:commentReference w:id="27"/>
      </w:r>
    </w:p>
    <w:p w14:paraId="1C6C1375" w14:textId="73B2A247" w:rsidR="00E67051" w:rsidRDefault="00E67051" w:rsidP="00441B6F">
      <w:pPr>
        <w:pStyle w:val="Body"/>
        <w:spacing w:after="0"/>
        <w:rPr>
          <w:rFonts w:ascii="Arial" w:hAnsi="Arial" w:cs="Arial"/>
        </w:rPr>
      </w:pPr>
    </w:p>
    <w:p w14:paraId="6CC27654" w14:textId="182A80ED" w:rsidR="00E67051" w:rsidRPr="00FB43B3" w:rsidRDefault="00E67051" w:rsidP="00E67051">
      <w:pPr>
        <w:pStyle w:val="Body"/>
        <w:spacing w:after="0"/>
        <w:jc w:val="left"/>
        <w:rPr>
          <w:rFonts w:ascii="Arial" w:hAnsi="Arial" w:cs="Arial"/>
          <w:highlight w:val="magenta"/>
        </w:rPr>
      </w:pPr>
      <w:commentRangeStart w:id="28"/>
      <w:r w:rsidRPr="00FB43B3">
        <w:rPr>
          <w:rFonts w:ascii="Arial" w:hAnsi="Arial" w:cs="Arial"/>
          <w:highlight w:val="magenta"/>
        </w:rPr>
        <w:t>Table 7. Teaching Efficacy Scores According to Gender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675"/>
        <w:gridCol w:w="836"/>
        <w:gridCol w:w="739"/>
        <w:gridCol w:w="887"/>
        <w:gridCol w:w="887"/>
        <w:gridCol w:w="1195"/>
        <w:gridCol w:w="876"/>
        <w:gridCol w:w="1305"/>
      </w:tblGrid>
      <w:tr w:rsidR="00E67051" w:rsidRPr="00FB43B3" w14:paraId="608AD126" w14:textId="77777777" w:rsidTr="00E67051">
        <w:tc>
          <w:tcPr>
            <w:tcW w:w="1024" w:type="dxa"/>
            <w:tcBorders>
              <w:top w:val="single" w:sz="8" w:space="0" w:color="auto"/>
              <w:bottom w:val="single" w:sz="8" w:space="0" w:color="auto"/>
            </w:tcBorders>
          </w:tcPr>
          <w:p w14:paraId="7B426368" w14:textId="77777777" w:rsidR="00E67051" w:rsidRPr="00FB43B3" w:rsidRDefault="00E67051" w:rsidP="00CE31C6">
            <w:pPr>
              <w:pStyle w:val="Body"/>
              <w:spacing w:after="0"/>
              <w:jc w:val="left"/>
              <w:rPr>
                <w:rFonts w:ascii="Arial" w:hAnsi="Arial" w:cs="Arial"/>
                <w:b/>
                <w:bCs/>
                <w:sz w:val="20"/>
                <w:szCs w:val="20"/>
                <w:highlight w:val="magenta"/>
              </w:rPr>
            </w:pPr>
            <w:r w:rsidRPr="00FB43B3">
              <w:rPr>
                <w:rFonts w:ascii="Arial" w:hAnsi="Arial" w:cs="Arial"/>
                <w:b/>
                <w:bCs/>
                <w:sz w:val="20"/>
                <w:szCs w:val="20"/>
                <w:highlight w:val="magenta"/>
              </w:rPr>
              <w:t>Profile Variable</w:t>
            </w:r>
          </w:p>
        </w:tc>
        <w:tc>
          <w:tcPr>
            <w:tcW w:w="675" w:type="dxa"/>
            <w:tcBorders>
              <w:top w:val="single" w:sz="8" w:space="0" w:color="auto"/>
              <w:bottom w:val="single" w:sz="8" w:space="0" w:color="auto"/>
            </w:tcBorders>
          </w:tcPr>
          <w:p w14:paraId="0AC7A83F" w14:textId="77777777" w:rsidR="00E67051" w:rsidRPr="00FB43B3" w:rsidRDefault="00E67051" w:rsidP="00CE31C6">
            <w:pPr>
              <w:pStyle w:val="Body"/>
              <w:spacing w:after="0"/>
              <w:jc w:val="center"/>
              <w:rPr>
                <w:rFonts w:ascii="Arial" w:hAnsi="Arial" w:cs="Arial"/>
                <w:b/>
                <w:bCs/>
                <w:highlight w:val="magenta"/>
              </w:rPr>
            </w:pPr>
          </w:p>
        </w:tc>
        <w:tc>
          <w:tcPr>
            <w:tcW w:w="836" w:type="dxa"/>
            <w:tcBorders>
              <w:top w:val="single" w:sz="8" w:space="0" w:color="auto"/>
              <w:bottom w:val="single" w:sz="8" w:space="0" w:color="auto"/>
            </w:tcBorders>
          </w:tcPr>
          <w:p w14:paraId="3CEC8664" w14:textId="0BC7CB1C"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Test</w:t>
            </w:r>
          </w:p>
        </w:tc>
        <w:tc>
          <w:tcPr>
            <w:tcW w:w="739" w:type="dxa"/>
            <w:tcBorders>
              <w:top w:val="single" w:sz="8" w:space="0" w:color="auto"/>
              <w:bottom w:val="single" w:sz="8" w:space="0" w:color="auto"/>
            </w:tcBorders>
          </w:tcPr>
          <w:p w14:paraId="58EC7CAC"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df</w:t>
            </w:r>
          </w:p>
        </w:tc>
        <w:tc>
          <w:tcPr>
            <w:tcW w:w="887" w:type="dxa"/>
            <w:tcBorders>
              <w:top w:val="single" w:sz="8" w:space="0" w:color="auto"/>
              <w:bottom w:val="single" w:sz="8" w:space="0" w:color="auto"/>
            </w:tcBorders>
          </w:tcPr>
          <w:p w14:paraId="0377C43B"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t</w:t>
            </w:r>
            <w:r w:rsidRPr="00FB43B3">
              <w:rPr>
                <w:rFonts w:ascii="Arial" w:hAnsi="Arial" w:cs="Arial"/>
                <w:b/>
                <w:bCs/>
                <w:sz w:val="20"/>
                <w:szCs w:val="20"/>
                <w:highlight w:val="magenta"/>
              </w:rPr>
              <w:t>-value</w:t>
            </w:r>
          </w:p>
        </w:tc>
        <w:tc>
          <w:tcPr>
            <w:tcW w:w="887" w:type="dxa"/>
            <w:tcBorders>
              <w:top w:val="single" w:sz="8" w:space="0" w:color="auto"/>
              <w:bottom w:val="single" w:sz="8" w:space="0" w:color="auto"/>
            </w:tcBorders>
          </w:tcPr>
          <w:p w14:paraId="24AFB492"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i/>
                <w:iCs/>
                <w:sz w:val="20"/>
                <w:szCs w:val="20"/>
                <w:highlight w:val="magenta"/>
              </w:rPr>
              <w:t>P</w:t>
            </w:r>
            <w:r w:rsidRPr="00FB43B3">
              <w:rPr>
                <w:rFonts w:ascii="Arial" w:hAnsi="Arial" w:cs="Arial"/>
                <w:b/>
                <w:bCs/>
                <w:sz w:val="20"/>
                <w:szCs w:val="20"/>
                <w:highlight w:val="magenta"/>
              </w:rPr>
              <w:t>-value</w:t>
            </w:r>
          </w:p>
        </w:tc>
        <w:tc>
          <w:tcPr>
            <w:tcW w:w="1195" w:type="dxa"/>
            <w:tcBorders>
              <w:top w:val="single" w:sz="8" w:space="0" w:color="auto"/>
              <w:bottom w:val="single" w:sz="8" w:space="0" w:color="auto"/>
            </w:tcBorders>
          </w:tcPr>
          <w:p w14:paraId="03AF142B"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Mean Difference</w:t>
            </w:r>
          </w:p>
        </w:tc>
        <w:tc>
          <w:tcPr>
            <w:tcW w:w="876" w:type="dxa"/>
            <w:tcBorders>
              <w:top w:val="single" w:sz="8" w:space="0" w:color="auto"/>
              <w:bottom w:val="single" w:sz="8" w:space="0" w:color="auto"/>
            </w:tcBorders>
          </w:tcPr>
          <w:p w14:paraId="6EA561E7"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Std. Error</w:t>
            </w:r>
          </w:p>
        </w:tc>
        <w:tc>
          <w:tcPr>
            <w:tcW w:w="1305" w:type="dxa"/>
            <w:tcBorders>
              <w:top w:val="single" w:sz="8" w:space="0" w:color="auto"/>
              <w:bottom w:val="single" w:sz="8" w:space="0" w:color="auto"/>
            </w:tcBorders>
          </w:tcPr>
          <w:p w14:paraId="59A9C22B" w14:textId="77777777" w:rsidR="00E67051" w:rsidRPr="00FB43B3" w:rsidRDefault="00E67051" w:rsidP="00CE31C6">
            <w:pPr>
              <w:pStyle w:val="Body"/>
              <w:spacing w:after="0"/>
              <w:jc w:val="center"/>
              <w:rPr>
                <w:rFonts w:ascii="Arial" w:hAnsi="Arial" w:cs="Arial"/>
                <w:b/>
                <w:bCs/>
                <w:sz w:val="20"/>
                <w:szCs w:val="20"/>
                <w:highlight w:val="magenta"/>
              </w:rPr>
            </w:pPr>
            <w:r w:rsidRPr="00FB43B3">
              <w:rPr>
                <w:rFonts w:ascii="Arial" w:hAnsi="Arial" w:cs="Arial"/>
                <w:b/>
                <w:bCs/>
                <w:sz w:val="20"/>
                <w:szCs w:val="20"/>
                <w:highlight w:val="magenta"/>
              </w:rPr>
              <w:t>95% Confidence Interval</w:t>
            </w:r>
          </w:p>
        </w:tc>
      </w:tr>
      <w:tr w:rsidR="00E67051" w14:paraId="4ED1F47A" w14:textId="77777777" w:rsidTr="00E67051">
        <w:tc>
          <w:tcPr>
            <w:tcW w:w="1024" w:type="dxa"/>
            <w:tcBorders>
              <w:top w:val="single" w:sz="8" w:space="0" w:color="auto"/>
              <w:bottom w:val="single" w:sz="8" w:space="0" w:color="auto"/>
            </w:tcBorders>
          </w:tcPr>
          <w:p w14:paraId="48867D5D" w14:textId="77777777" w:rsidR="00E67051" w:rsidRPr="00FB43B3" w:rsidRDefault="00E67051" w:rsidP="00CE31C6">
            <w:pPr>
              <w:pStyle w:val="Body"/>
              <w:spacing w:after="0"/>
              <w:jc w:val="left"/>
              <w:rPr>
                <w:rFonts w:ascii="Arial" w:hAnsi="Arial" w:cs="Arial"/>
                <w:sz w:val="20"/>
                <w:szCs w:val="20"/>
                <w:highlight w:val="magenta"/>
              </w:rPr>
            </w:pPr>
            <w:r w:rsidRPr="00FB43B3">
              <w:rPr>
                <w:rFonts w:ascii="Arial" w:hAnsi="Arial" w:cs="Arial"/>
                <w:sz w:val="20"/>
                <w:szCs w:val="20"/>
                <w:highlight w:val="magenta"/>
              </w:rPr>
              <w:t>Gender</w:t>
            </w:r>
          </w:p>
        </w:tc>
        <w:tc>
          <w:tcPr>
            <w:tcW w:w="675" w:type="dxa"/>
            <w:tcBorders>
              <w:top w:val="single" w:sz="8" w:space="0" w:color="auto"/>
              <w:bottom w:val="single" w:sz="8" w:space="0" w:color="auto"/>
            </w:tcBorders>
          </w:tcPr>
          <w:p w14:paraId="74313BF5" w14:textId="77777777" w:rsidR="00E67051" w:rsidRPr="00FB43B3" w:rsidRDefault="00E67051" w:rsidP="00CE31C6">
            <w:pPr>
              <w:pStyle w:val="Body"/>
              <w:spacing w:after="0"/>
              <w:jc w:val="center"/>
              <w:rPr>
                <w:rFonts w:ascii="Arial" w:hAnsi="Arial" w:cs="Arial"/>
                <w:i/>
                <w:iCs/>
                <w:highlight w:val="magenta"/>
              </w:rPr>
            </w:pPr>
          </w:p>
        </w:tc>
        <w:tc>
          <w:tcPr>
            <w:tcW w:w="836" w:type="dxa"/>
            <w:tcBorders>
              <w:top w:val="single" w:sz="8" w:space="0" w:color="auto"/>
              <w:bottom w:val="single" w:sz="8" w:space="0" w:color="auto"/>
            </w:tcBorders>
          </w:tcPr>
          <w:p w14:paraId="6A843B77" w14:textId="288E3FC5"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i/>
                <w:iCs/>
                <w:sz w:val="20"/>
                <w:szCs w:val="20"/>
                <w:highlight w:val="magenta"/>
              </w:rPr>
              <w:t>t</w:t>
            </w:r>
            <w:r w:rsidRPr="00FB43B3">
              <w:rPr>
                <w:rFonts w:ascii="Arial" w:hAnsi="Arial" w:cs="Arial"/>
                <w:sz w:val="20"/>
                <w:szCs w:val="20"/>
                <w:highlight w:val="magenta"/>
              </w:rPr>
              <w:t>-test</w:t>
            </w:r>
          </w:p>
        </w:tc>
        <w:tc>
          <w:tcPr>
            <w:tcW w:w="739" w:type="dxa"/>
            <w:tcBorders>
              <w:top w:val="single" w:sz="8" w:space="0" w:color="auto"/>
              <w:bottom w:val="single" w:sz="8" w:space="0" w:color="auto"/>
            </w:tcBorders>
          </w:tcPr>
          <w:p w14:paraId="6DEA2689" w14:textId="77777777"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sz w:val="20"/>
                <w:szCs w:val="20"/>
                <w:highlight w:val="magenta"/>
              </w:rPr>
              <w:t>23</w:t>
            </w:r>
          </w:p>
        </w:tc>
        <w:tc>
          <w:tcPr>
            <w:tcW w:w="887" w:type="dxa"/>
            <w:tcBorders>
              <w:top w:val="single" w:sz="8" w:space="0" w:color="auto"/>
              <w:bottom w:val="single" w:sz="8" w:space="0" w:color="auto"/>
            </w:tcBorders>
          </w:tcPr>
          <w:p w14:paraId="4AD53B99" w14:textId="4D3A0F26"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sz w:val="20"/>
                <w:szCs w:val="20"/>
                <w:highlight w:val="magenta"/>
              </w:rPr>
              <w:t>-.81</w:t>
            </w:r>
          </w:p>
        </w:tc>
        <w:tc>
          <w:tcPr>
            <w:tcW w:w="887" w:type="dxa"/>
            <w:tcBorders>
              <w:top w:val="single" w:sz="8" w:space="0" w:color="auto"/>
              <w:bottom w:val="single" w:sz="8" w:space="0" w:color="auto"/>
            </w:tcBorders>
          </w:tcPr>
          <w:p w14:paraId="715C30B9" w14:textId="165864EB"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sz w:val="20"/>
                <w:szCs w:val="20"/>
                <w:highlight w:val="magenta"/>
              </w:rPr>
              <w:t>.425</w:t>
            </w:r>
          </w:p>
        </w:tc>
        <w:tc>
          <w:tcPr>
            <w:tcW w:w="1195" w:type="dxa"/>
            <w:tcBorders>
              <w:top w:val="single" w:sz="8" w:space="0" w:color="auto"/>
              <w:bottom w:val="single" w:sz="8" w:space="0" w:color="auto"/>
            </w:tcBorders>
          </w:tcPr>
          <w:p w14:paraId="78C628BB" w14:textId="3AE43EF5"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sz w:val="20"/>
                <w:szCs w:val="20"/>
                <w:highlight w:val="magenta"/>
              </w:rPr>
              <w:t>-.138</w:t>
            </w:r>
          </w:p>
        </w:tc>
        <w:tc>
          <w:tcPr>
            <w:tcW w:w="876" w:type="dxa"/>
            <w:tcBorders>
              <w:top w:val="single" w:sz="8" w:space="0" w:color="auto"/>
              <w:bottom w:val="single" w:sz="8" w:space="0" w:color="auto"/>
            </w:tcBorders>
          </w:tcPr>
          <w:p w14:paraId="65159421" w14:textId="13BDA2AA" w:rsidR="00E67051" w:rsidRPr="00FB43B3" w:rsidRDefault="00E67051" w:rsidP="00CE31C6">
            <w:pPr>
              <w:pStyle w:val="Body"/>
              <w:spacing w:after="0"/>
              <w:jc w:val="center"/>
              <w:rPr>
                <w:rFonts w:ascii="Arial" w:hAnsi="Arial" w:cs="Arial"/>
                <w:sz w:val="20"/>
                <w:szCs w:val="20"/>
                <w:highlight w:val="magenta"/>
              </w:rPr>
            </w:pPr>
            <w:r w:rsidRPr="00FB43B3">
              <w:rPr>
                <w:rFonts w:ascii="Arial" w:hAnsi="Arial" w:cs="Arial"/>
                <w:sz w:val="20"/>
                <w:szCs w:val="20"/>
                <w:highlight w:val="magenta"/>
              </w:rPr>
              <w:t>.17</w:t>
            </w:r>
          </w:p>
        </w:tc>
        <w:tc>
          <w:tcPr>
            <w:tcW w:w="1305" w:type="dxa"/>
            <w:tcBorders>
              <w:top w:val="single" w:sz="8" w:space="0" w:color="auto"/>
              <w:bottom w:val="single" w:sz="8" w:space="0" w:color="auto"/>
            </w:tcBorders>
          </w:tcPr>
          <w:p w14:paraId="07E09C1F" w14:textId="7E69B7C0" w:rsidR="00E67051" w:rsidRPr="007B4CCB" w:rsidRDefault="006020CA" w:rsidP="00CE31C6">
            <w:pPr>
              <w:pStyle w:val="Body"/>
              <w:spacing w:after="0"/>
              <w:jc w:val="center"/>
              <w:rPr>
                <w:rFonts w:ascii="Arial" w:hAnsi="Arial" w:cs="Arial"/>
                <w:sz w:val="20"/>
                <w:szCs w:val="20"/>
              </w:rPr>
            </w:pPr>
            <w:r w:rsidRPr="00FB43B3">
              <w:rPr>
                <w:rFonts w:ascii="Arial" w:hAnsi="Arial" w:cs="Arial"/>
                <w:sz w:val="20"/>
                <w:szCs w:val="20"/>
                <w:highlight w:val="magenta"/>
              </w:rPr>
              <w:t>[</w:t>
            </w:r>
            <w:r w:rsidR="00E67051" w:rsidRPr="00FB43B3">
              <w:rPr>
                <w:rFonts w:ascii="Arial" w:hAnsi="Arial" w:cs="Arial"/>
                <w:sz w:val="20"/>
                <w:szCs w:val="20"/>
                <w:highlight w:val="magenta"/>
              </w:rPr>
              <w:t>-.11</w:t>
            </w:r>
            <w:r w:rsidRPr="00FB43B3">
              <w:rPr>
                <w:rFonts w:ascii="Arial" w:hAnsi="Arial" w:cs="Arial"/>
                <w:sz w:val="20"/>
                <w:szCs w:val="20"/>
                <w:highlight w:val="magenta"/>
              </w:rPr>
              <w:t>, .21]</w:t>
            </w:r>
          </w:p>
        </w:tc>
      </w:tr>
    </w:tbl>
    <w:commentRangeEnd w:id="28"/>
    <w:p w14:paraId="270879BA" w14:textId="1BED117E" w:rsidR="00E67051" w:rsidRDefault="00FB43B3" w:rsidP="00441B6F">
      <w:pPr>
        <w:pStyle w:val="Body"/>
        <w:spacing w:after="0"/>
        <w:rPr>
          <w:rFonts w:ascii="Arial" w:hAnsi="Arial" w:cs="Arial"/>
        </w:rPr>
      </w:pPr>
      <w:r>
        <w:rPr>
          <w:rStyle w:val="Marquedecommentaire"/>
          <w:rFonts w:ascii="Times New Roman" w:hAnsi="Times New Roman"/>
          <w:lang w:val="nb-NO" w:eastAsia="nb-NO"/>
        </w:rPr>
        <w:commentReference w:id="28"/>
      </w:r>
    </w:p>
    <w:p w14:paraId="70C4DC8C" w14:textId="57B90BB0" w:rsidR="006020CA" w:rsidRDefault="006020CA" w:rsidP="00441B6F">
      <w:pPr>
        <w:pStyle w:val="Body"/>
        <w:spacing w:after="0"/>
        <w:rPr>
          <w:rFonts w:ascii="Arial" w:hAnsi="Arial" w:cs="Arial"/>
        </w:rPr>
      </w:pPr>
    </w:p>
    <w:p w14:paraId="4DC44C39" w14:textId="77777777" w:rsidR="00B01FCD" w:rsidRDefault="00000F8F" w:rsidP="00F127E5">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7EACFC46" w14:textId="54978206" w:rsidR="00790ADA" w:rsidRDefault="00790ADA" w:rsidP="00441B6F">
      <w:pPr>
        <w:pStyle w:val="ConcHead"/>
        <w:spacing w:after="0"/>
        <w:jc w:val="both"/>
        <w:rPr>
          <w:rFonts w:ascii="Arial" w:hAnsi="Arial" w:cs="Arial"/>
        </w:rPr>
      </w:pPr>
    </w:p>
    <w:p w14:paraId="5363F932" w14:textId="1E95D8B3" w:rsidR="00F127E5" w:rsidRPr="00D74DA4" w:rsidRDefault="00F127E5" w:rsidP="00441B6F">
      <w:pPr>
        <w:pStyle w:val="ConcHead"/>
        <w:spacing w:after="0"/>
        <w:jc w:val="both"/>
        <w:rPr>
          <w:rFonts w:ascii="Arial" w:hAnsi="Arial" w:cs="Arial"/>
          <w:b w:val="0"/>
          <w:bCs/>
          <w:caps w:val="0"/>
          <w:sz w:val="20"/>
          <w:szCs w:val="18"/>
          <w:highlight w:val="green"/>
        </w:rPr>
      </w:pPr>
      <w:r>
        <w:rPr>
          <w:rFonts w:ascii="Arial" w:hAnsi="Arial" w:cs="Arial"/>
        </w:rPr>
        <w:tab/>
      </w:r>
      <w:commentRangeStart w:id="29"/>
      <w:r w:rsidRPr="00D74DA4">
        <w:rPr>
          <w:rFonts w:ascii="Arial" w:hAnsi="Arial" w:cs="Arial"/>
          <w:b w:val="0"/>
          <w:bCs/>
          <w:caps w:val="0"/>
          <w:sz w:val="20"/>
          <w:szCs w:val="18"/>
          <w:highlight w:val="green"/>
        </w:rPr>
        <w:t>Based on the foregoing findings, the following conclusions are put forward.</w:t>
      </w:r>
    </w:p>
    <w:p w14:paraId="2EE02E85" w14:textId="77777777" w:rsidR="003C511C" w:rsidRPr="00D74DA4" w:rsidRDefault="003C511C" w:rsidP="00441B6F">
      <w:pPr>
        <w:pStyle w:val="ConcHead"/>
        <w:spacing w:after="0"/>
        <w:jc w:val="both"/>
        <w:rPr>
          <w:rFonts w:ascii="Arial" w:hAnsi="Arial" w:cs="Arial"/>
          <w:b w:val="0"/>
          <w:bCs/>
          <w:highlight w:val="green"/>
        </w:rPr>
      </w:pPr>
    </w:p>
    <w:p w14:paraId="2E26CA7E" w14:textId="63140F75" w:rsidR="00F127E5" w:rsidRPr="00D74DA4" w:rsidRDefault="00EE354D" w:rsidP="00F127E5">
      <w:pPr>
        <w:pStyle w:val="Body"/>
        <w:numPr>
          <w:ilvl w:val="0"/>
          <w:numId w:val="32"/>
        </w:numPr>
        <w:spacing w:after="0"/>
        <w:rPr>
          <w:rFonts w:ascii="Arial" w:hAnsi="Arial" w:cs="Arial"/>
          <w:highlight w:val="green"/>
        </w:rPr>
      </w:pPr>
      <w:r w:rsidRPr="00D74DA4">
        <w:rPr>
          <w:rFonts w:ascii="Arial" w:hAnsi="Arial" w:cs="Arial"/>
          <w:highlight w:val="green"/>
        </w:rPr>
        <w:t>The high level of professional development reported by MST Mathematics graduates implies that the program provides relevant, skill-enhancing, and collaborative learning experiences that support continuous teacher growth. However, the slightly lower rating in support and implementation suggests a need for schools and institutions to strengthen resource provision and follow-through to maximize the impact of professional development efforts.</w:t>
      </w:r>
      <w:r w:rsidR="003C511C" w:rsidRPr="00D74DA4">
        <w:rPr>
          <w:rFonts w:ascii="Arial" w:hAnsi="Arial" w:cs="Arial"/>
          <w:highlight w:val="green"/>
        </w:rPr>
        <w:t xml:space="preserve"> On the other hand, t</w:t>
      </w:r>
      <w:r w:rsidR="00F127E5" w:rsidRPr="00D74DA4">
        <w:rPr>
          <w:rFonts w:ascii="Arial" w:hAnsi="Arial" w:cs="Arial"/>
          <w:highlight w:val="green"/>
        </w:rPr>
        <w:t>he consistently high level of teaching efficacy among MST Mathematics graduates implies that the program effectively equips its alumni with the skills and confidence needed for effective classroom instruction and student engagement. This suggests that maintaining and further enhancing the program’s focus on practical teaching strategies and learner-centered approaches can continue to strengthen teaching outcomes.</w:t>
      </w:r>
    </w:p>
    <w:p w14:paraId="63E2593C" w14:textId="54D1A919" w:rsidR="00EE354D" w:rsidRPr="00D74DA4" w:rsidRDefault="00EE354D" w:rsidP="00F127E5">
      <w:pPr>
        <w:pStyle w:val="Body"/>
        <w:numPr>
          <w:ilvl w:val="0"/>
          <w:numId w:val="32"/>
        </w:numPr>
        <w:spacing w:after="0"/>
        <w:rPr>
          <w:rFonts w:ascii="Arial" w:hAnsi="Arial" w:cs="Arial"/>
          <w:highlight w:val="green"/>
        </w:rPr>
      </w:pPr>
      <w:r w:rsidRPr="00D74DA4">
        <w:rPr>
          <w:rFonts w:ascii="Arial" w:hAnsi="Arial" w:cs="Arial"/>
          <w:highlight w:val="green"/>
        </w:rPr>
        <w:t>The results conclude that professional development has a moderately positive relationship with teaching efficacy, particularly when it is well-supported, aligned with actual teaching practice, and focused on improving instructional skills. However, the varying strengths of correlation across dimensions suggest that not all aspects of professional development equally influence teaching efficacy, highlighting the complex and multifaceted nature of how teachers internalize and apply professional learning in practice.</w:t>
      </w:r>
    </w:p>
    <w:p w14:paraId="0A50F71B" w14:textId="21DDC1AB" w:rsidR="00EE354D" w:rsidRPr="00D74DA4" w:rsidRDefault="00EE354D" w:rsidP="00F127E5">
      <w:pPr>
        <w:pStyle w:val="Body"/>
        <w:numPr>
          <w:ilvl w:val="0"/>
          <w:numId w:val="32"/>
        </w:numPr>
        <w:spacing w:after="0"/>
        <w:rPr>
          <w:rFonts w:ascii="Arial" w:hAnsi="Arial" w:cs="Arial"/>
          <w:highlight w:val="green"/>
        </w:rPr>
      </w:pPr>
      <w:r w:rsidRPr="00D74DA4">
        <w:rPr>
          <w:rFonts w:ascii="Arial" w:hAnsi="Arial" w:cs="Arial"/>
          <w:highlight w:val="green"/>
        </w:rPr>
        <w:t>There is no significant difference in the level of professional development among MST Mathematics graduates when grouped according to age and years of teaching experience, indicating a consistent engagement with professional development across career stages. However, a significant difference was found based on gender, suggesting that male and female teachers perceive or engage with professional development differently, which may be influenced by gender-related roles or expectations.</w:t>
      </w:r>
    </w:p>
    <w:p w14:paraId="535B789D" w14:textId="5E567B87" w:rsidR="00286E25" w:rsidRPr="00D74DA4" w:rsidRDefault="00286E25" w:rsidP="00F127E5">
      <w:pPr>
        <w:pStyle w:val="Body"/>
        <w:numPr>
          <w:ilvl w:val="0"/>
          <w:numId w:val="32"/>
        </w:numPr>
        <w:spacing w:after="0"/>
        <w:rPr>
          <w:rFonts w:ascii="Arial" w:hAnsi="Arial" w:cs="Arial"/>
          <w:highlight w:val="green"/>
        </w:rPr>
      </w:pPr>
      <w:r w:rsidRPr="00D74DA4">
        <w:rPr>
          <w:rFonts w:ascii="Arial" w:hAnsi="Arial" w:cs="Arial"/>
          <w:highlight w:val="green"/>
        </w:rPr>
        <w:t xml:space="preserve">There </w:t>
      </w:r>
      <w:r w:rsidR="0030191F" w:rsidRPr="00D74DA4">
        <w:rPr>
          <w:rFonts w:ascii="Arial" w:hAnsi="Arial" w:cs="Arial"/>
          <w:highlight w:val="green"/>
        </w:rPr>
        <w:t>are</w:t>
      </w:r>
      <w:r w:rsidRPr="00D74DA4">
        <w:rPr>
          <w:rFonts w:ascii="Arial" w:hAnsi="Arial" w:cs="Arial"/>
          <w:highlight w:val="green"/>
        </w:rPr>
        <w:t xml:space="preserve"> no significant differences in the level of teaching efficacy among MST Mathematics graduates when grouped by age, years of teaching experience, or gender. This suggests that teachers’ confidence in their instructional abilities and classroom management is consistent across demographic profiles, supporting the notion that teaching efficacy is more strongly influenced by factors such as professional development and contextual support rather than demographic characteristics.</w:t>
      </w:r>
      <w:commentRangeEnd w:id="29"/>
      <w:r w:rsidR="00D74DA4">
        <w:rPr>
          <w:rStyle w:val="Marquedecommentaire"/>
          <w:rFonts w:ascii="Times New Roman" w:hAnsi="Times New Roman"/>
          <w:lang w:val="nb-NO" w:eastAsia="nb-NO"/>
        </w:rPr>
        <w:commentReference w:id="29"/>
      </w:r>
    </w:p>
    <w:p w14:paraId="6C28B086" w14:textId="77777777" w:rsidR="00286E25" w:rsidRDefault="00286E25" w:rsidP="00286E25">
      <w:pPr>
        <w:pStyle w:val="Body"/>
        <w:spacing w:after="0"/>
        <w:ind w:left="720"/>
        <w:rPr>
          <w:rFonts w:ascii="Arial" w:hAnsi="Arial" w:cs="Arial"/>
        </w:rPr>
      </w:pPr>
    </w:p>
    <w:p w14:paraId="26F92CAA" w14:textId="77777777" w:rsidR="00860000" w:rsidRDefault="00860000" w:rsidP="00441B6F">
      <w:pPr>
        <w:pStyle w:val="ReferHead"/>
        <w:spacing w:after="0"/>
        <w:jc w:val="both"/>
        <w:rPr>
          <w:rFonts w:ascii="Arial" w:hAnsi="Arial" w:cs="Arial"/>
        </w:rPr>
      </w:pPr>
    </w:p>
    <w:p w14:paraId="748363CB" w14:textId="77777777" w:rsidR="00AD77B4" w:rsidRDefault="00AD77B4" w:rsidP="00441B6F">
      <w:pPr>
        <w:pStyle w:val="ReferHead"/>
        <w:spacing w:after="0"/>
        <w:jc w:val="both"/>
        <w:rPr>
          <w:rFonts w:ascii="Arial" w:hAnsi="Arial" w:cs="Arial"/>
        </w:rPr>
      </w:pPr>
    </w:p>
    <w:p w14:paraId="43555ED2" w14:textId="77777777" w:rsidR="00AD77B4" w:rsidRDefault="00AD77B4" w:rsidP="00441B6F">
      <w:pPr>
        <w:pStyle w:val="ReferHead"/>
        <w:spacing w:after="0"/>
        <w:jc w:val="both"/>
        <w:rPr>
          <w:rFonts w:ascii="Arial" w:hAnsi="Arial" w:cs="Arial"/>
        </w:rPr>
      </w:pPr>
    </w:p>
    <w:p w14:paraId="40332E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178F9B" w14:textId="77777777" w:rsidR="00284C4C" w:rsidRPr="00284C4C" w:rsidRDefault="00284C4C" w:rsidP="00441B6F">
      <w:pPr>
        <w:pStyle w:val="Body"/>
        <w:spacing w:after="0"/>
        <w:rPr>
          <w:rFonts w:ascii="Arial" w:hAnsi="Arial" w:cs="Arial"/>
          <w:i/>
          <w:u w:val="single"/>
        </w:rPr>
      </w:pPr>
    </w:p>
    <w:p w14:paraId="76E14296" w14:textId="5214B9B0" w:rsidR="00FD4FC9" w:rsidRPr="00CC391C" w:rsidRDefault="00FD4FC9" w:rsidP="00CE31C6">
      <w:pPr>
        <w:pStyle w:val="Body"/>
        <w:numPr>
          <w:ilvl w:val="0"/>
          <w:numId w:val="33"/>
        </w:numPr>
        <w:spacing w:after="0"/>
        <w:rPr>
          <w:rFonts w:ascii="Arial" w:hAnsi="Arial" w:cs="Arial"/>
        </w:rPr>
      </w:pPr>
      <w:commentRangeStart w:id="30"/>
      <w:commentRangeStart w:id="31"/>
      <w:r w:rsidRPr="00E2595B">
        <w:rPr>
          <w:rFonts w:ascii="Arial" w:hAnsi="Arial" w:cs="Arial"/>
          <w:highlight w:val="blue"/>
        </w:rPr>
        <w:t>OECD</w:t>
      </w:r>
      <w:r w:rsidRPr="00CC391C">
        <w:rPr>
          <w:rFonts w:ascii="Arial" w:hAnsi="Arial" w:cs="Arial"/>
        </w:rPr>
        <w:t xml:space="preserve"> </w:t>
      </w:r>
      <w:commentRangeEnd w:id="31"/>
      <w:r w:rsidR="0012498E">
        <w:rPr>
          <w:rStyle w:val="Marquedecommentaire"/>
          <w:rFonts w:ascii="Times New Roman" w:hAnsi="Times New Roman"/>
          <w:lang w:val="nb-NO" w:eastAsia="nb-NO"/>
        </w:rPr>
        <w:commentReference w:id="31"/>
      </w:r>
      <w:r w:rsidRPr="00CC391C">
        <w:rPr>
          <w:rFonts w:ascii="Arial" w:hAnsi="Arial" w:cs="Arial"/>
        </w:rPr>
        <w:t xml:space="preserve">Publishing. (2019). Education at a glance 2020: OECD indicators. </w:t>
      </w:r>
      <w:hyperlink r:id="rId14" w:history="1">
        <w:r w:rsidRPr="00CC391C">
          <w:rPr>
            <w:rStyle w:val="Lienhypertexte"/>
            <w:rFonts w:ascii="Arial" w:hAnsi="Arial" w:cs="Arial"/>
          </w:rPr>
          <w:t>https://www.oecd.org</w:t>
        </w:r>
      </w:hyperlink>
    </w:p>
    <w:p w14:paraId="4EFFE4A0" w14:textId="76CD39F4" w:rsidR="00FD4FC9" w:rsidRDefault="00FD4FC9" w:rsidP="00FD4FC9">
      <w:pPr>
        <w:pStyle w:val="Body"/>
        <w:numPr>
          <w:ilvl w:val="0"/>
          <w:numId w:val="33"/>
        </w:numPr>
        <w:spacing w:after="0"/>
        <w:rPr>
          <w:rFonts w:ascii="Arial" w:hAnsi="Arial" w:cs="Arial"/>
        </w:rPr>
      </w:pPr>
      <w:commentRangeStart w:id="32"/>
      <w:proofErr w:type="spellStart"/>
      <w:r w:rsidRPr="00E2595B">
        <w:rPr>
          <w:rFonts w:ascii="Arial" w:hAnsi="Arial" w:cs="Arial"/>
          <w:highlight w:val="blue"/>
        </w:rPr>
        <w:t>Acido</w:t>
      </w:r>
      <w:commentRangeEnd w:id="32"/>
      <w:proofErr w:type="spellEnd"/>
      <w:r w:rsidR="0012498E">
        <w:rPr>
          <w:rStyle w:val="Marquedecommentaire"/>
          <w:rFonts w:ascii="Times New Roman" w:hAnsi="Times New Roman"/>
          <w:lang w:val="nb-NO" w:eastAsia="nb-NO"/>
        </w:rPr>
        <w:commentReference w:id="32"/>
      </w:r>
      <w:r w:rsidRPr="00FD4FC9">
        <w:rPr>
          <w:rFonts w:ascii="Arial" w:hAnsi="Arial" w:cs="Arial"/>
        </w:rPr>
        <w:t xml:space="preserve">, J.V., &amp; </w:t>
      </w:r>
      <w:proofErr w:type="spellStart"/>
      <w:r w:rsidRPr="00FD4FC9">
        <w:rPr>
          <w:rFonts w:ascii="Arial" w:hAnsi="Arial" w:cs="Arial"/>
        </w:rPr>
        <w:t>Caballes</w:t>
      </w:r>
      <w:proofErr w:type="spellEnd"/>
      <w:r w:rsidRPr="00FD4FC9">
        <w:rPr>
          <w:rFonts w:ascii="Arial" w:hAnsi="Arial" w:cs="Arial"/>
        </w:rPr>
        <w:t xml:space="preserve">, D.G. (2024). Assessing educational progress: A comparative analysis of PISA results (2018 vs. 2022) and HDI correlation in the Philippines. World Journal of Advanced Research and Reviews. </w:t>
      </w:r>
      <w:hyperlink r:id="rId15" w:history="1">
        <w:r w:rsidRPr="004274F2">
          <w:rPr>
            <w:rStyle w:val="Lienhypertexte"/>
            <w:rFonts w:ascii="Arial" w:hAnsi="Arial" w:cs="Arial"/>
          </w:rPr>
          <w:t>https://doi.org/10.30574/wjarr.2024.21.1.0020</w:t>
        </w:r>
      </w:hyperlink>
    </w:p>
    <w:p w14:paraId="652AC9DE" w14:textId="77B885C1" w:rsidR="00FD4FC9" w:rsidRDefault="00DA16E9" w:rsidP="00FD4FC9">
      <w:pPr>
        <w:pStyle w:val="Body"/>
        <w:numPr>
          <w:ilvl w:val="0"/>
          <w:numId w:val="33"/>
        </w:numPr>
        <w:spacing w:after="0"/>
        <w:rPr>
          <w:rFonts w:ascii="Arial" w:hAnsi="Arial" w:cs="Arial"/>
        </w:rPr>
      </w:pPr>
      <w:proofErr w:type="spellStart"/>
      <w:r w:rsidRPr="00E2595B">
        <w:rPr>
          <w:rFonts w:ascii="Arial" w:hAnsi="Arial" w:cs="Arial"/>
          <w:highlight w:val="blue"/>
        </w:rPr>
        <w:t>Cabural</w:t>
      </w:r>
      <w:proofErr w:type="spellEnd"/>
      <w:r w:rsidRPr="00DA16E9">
        <w:rPr>
          <w:rFonts w:ascii="Arial" w:hAnsi="Arial" w:cs="Arial"/>
        </w:rPr>
        <w:t xml:space="preserve">, A. (2024). Beyond Benchmarking: A Diagnostic Inquiry into the Underlying Determinants of Low Performance in Philippine PISA Science. Journal of Tertiary Education and Learning, 2(3), 46–57. </w:t>
      </w:r>
      <w:hyperlink r:id="rId16" w:history="1">
        <w:r w:rsidRPr="004274F2">
          <w:rPr>
            <w:rStyle w:val="Lienhypertexte"/>
            <w:rFonts w:ascii="Arial" w:hAnsi="Arial" w:cs="Arial"/>
          </w:rPr>
          <w:t>https://doi.org/10.54536/jtel.v2i3.3063</w:t>
        </w:r>
      </w:hyperlink>
    </w:p>
    <w:p w14:paraId="743F9C1A" w14:textId="348C2432" w:rsidR="00DA16E9" w:rsidRDefault="00DA16E9" w:rsidP="00FD4FC9">
      <w:pPr>
        <w:pStyle w:val="Body"/>
        <w:numPr>
          <w:ilvl w:val="0"/>
          <w:numId w:val="33"/>
        </w:numPr>
        <w:spacing w:after="0"/>
        <w:rPr>
          <w:rFonts w:ascii="Arial" w:hAnsi="Arial" w:cs="Arial"/>
        </w:rPr>
      </w:pPr>
      <w:r w:rsidRPr="00E2595B">
        <w:rPr>
          <w:rFonts w:ascii="Arial" w:hAnsi="Arial" w:cs="Arial"/>
          <w:highlight w:val="blue"/>
        </w:rPr>
        <w:lastRenderedPageBreak/>
        <w:t>Trinidad</w:t>
      </w:r>
      <w:r w:rsidRPr="00DA16E9">
        <w:rPr>
          <w:rFonts w:ascii="Arial" w:hAnsi="Arial" w:cs="Arial"/>
        </w:rPr>
        <w:t xml:space="preserve">, J. (2020). Material resources, school climate, and achievement variations in the Philippines: Insights from PISA 2018. International Journal of Educational Development. </w:t>
      </w:r>
      <w:hyperlink r:id="rId17" w:history="1">
        <w:r w:rsidRPr="004274F2">
          <w:rPr>
            <w:rStyle w:val="Lienhypertexte"/>
            <w:rFonts w:ascii="Arial" w:hAnsi="Arial" w:cs="Arial"/>
          </w:rPr>
          <w:t>https://doi.org/10.1016/j.ijedudev.2020.102174</w:t>
        </w:r>
      </w:hyperlink>
    </w:p>
    <w:p w14:paraId="7F1CD5E9" w14:textId="714452D0" w:rsidR="00CC391C" w:rsidRDefault="00DA16E9" w:rsidP="00CE31C6">
      <w:pPr>
        <w:pStyle w:val="Body"/>
        <w:numPr>
          <w:ilvl w:val="0"/>
          <w:numId w:val="33"/>
        </w:numPr>
        <w:spacing w:after="0"/>
        <w:rPr>
          <w:rFonts w:ascii="Arial" w:hAnsi="Arial" w:cs="Arial"/>
        </w:rPr>
      </w:pPr>
      <w:r w:rsidRPr="00E2595B">
        <w:rPr>
          <w:rFonts w:ascii="Arial" w:hAnsi="Arial" w:cs="Arial"/>
          <w:highlight w:val="blue"/>
        </w:rPr>
        <w:t>López</w:t>
      </w:r>
      <w:r w:rsidRPr="00CC391C">
        <w:rPr>
          <w:rFonts w:ascii="Arial" w:hAnsi="Arial" w:cs="Arial"/>
        </w:rPr>
        <w:t xml:space="preserve">-Martín, E., Gutiérrez-de-Rozas, B., González-Benito, A., &amp; </w:t>
      </w:r>
      <w:proofErr w:type="spellStart"/>
      <w:r w:rsidRPr="00CC391C">
        <w:rPr>
          <w:rFonts w:ascii="Arial" w:hAnsi="Arial" w:cs="Arial"/>
        </w:rPr>
        <w:t>Expósito</w:t>
      </w:r>
      <w:proofErr w:type="spellEnd"/>
      <w:r w:rsidRPr="00CC391C">
        <w:rPr>
          <w:rFonts w:ascii="Arial" w:hAnsi="Arial" w:cs="Arial"/>
        </w:rPr>
        <w:t xml:space="preserve">-Casas, E. (2023). Why Do Teachers Matter? A Meta-Analytic Review of how Teacher Characteristics and Competencies Affect Students’ Academic Achievement. International Journal of Educational Research. </w:t>
      </w:r>
      <w:hyperlink r:id="rId18" w:history="1">
        <w:r w:rsidR="00CC391C" w:rsidRPr="004274F2">
          <w:rPr>
            <w:rStyle w:val="Lienhypertexte"/>
            <w:rFonts w:ascii="Arial" w:hAnsi="Arial" w:cs="Arial"/>
          </w:rPr>
          <w:t>https://doi.org/10.1016/j.ijer.2023.102199</w:t>
        </w:r>
      </w:hyperlink>
    </w:p>
    <w:p w14:paraId="15D8D7BF" w14:textId="28C386A4" w:rsidR="00CC391C" w:rsidRDefault="00CC391C" w:rsidP="00FD4FC9">
      <w:pPr>
        <w:pStyle w:val="Body"/>
        <w:numPr>
          <w:ilvl w:val="0"/>
          <w:numId w:val="33"/>
        </w:numPr>
        <w:spacing w:after="0"/>
        <w:rPr>
          <w:rFonts w:ascii="Arial" w:hAnsi="Arial" w:cs="Arial"/>
        </w:rPr>
      </w:pPr>
      <w:r w:rsidRPr="00E2595B">
        <w:rPr>
          <w:rFonts w:ascii="Arial" w:hAnsi="Arial" w:cs="Arial"/>
          <w:highlight w:val="blue"/>
        </w:rPr>
        <w:t>Ng</w:t>
      </w:r>
      <w:r w:rsidRPr="00CC391C">
        <w:rPr>
          <w:rFonts w:ascii="Arial" w:hAnsi="Arial" w:cs="Arial"/>
        </w:rPr>
        <w:t xml:space="preserve">, K.E.D., Yeo, J.K.K., Chua, B.L., Ng, S.F. (2019). Continuing from Pre-service: Towards a Professional Development Framework for Mathematics Teachers in the Twenty-First Century. In: Toh, T., Kaur, B., Tay, E. (eds) Mathematics Education in Singapore. Mathematics Education – An Asian Perspective. Springer, Singapore. </w:t>
      </w:r>
      <w:hyperlink r:id="rId19" w:history="1">
        <w:r w:rsidRPr="004274F2">
          <w:rPr>
            <w:rStyle w:val="Lienhypertexte"/>
            <w:rFonts w:ascii="Arial" w:hAnsi="Arial" w:cs="Arial"/>
          </w:rPr>
          <w:t>https://doi.org/10.1007/978-981-13-3573-0_17</w:t>
        </w:r>
      </w:hyperlink>
    </w:p>
    <w:p w14:paraId="17DBFB04" w14:textId="537DA2BC" w:rsidR="00DA16E9" w:rsidRDefault="00DA16E9" w:rsidP="00FD4FC9">
      <w:pPr>
        <w:pStyle w:val="Body"/>
        <w:numPr>
          <w:ilvl w:val="0"/>
          <w:numId w:val="33"/>
        </w:numPr>
        <w:spacing w:after="0"/>
        <w:rPr>
          <w:rFonts w:ascii="Arial" w:hAnsi="Arial" w:cs="Arial"/>
        </w:rPr>
      </w:pPr>
      <w:r w:rsidRPr="00E2595B">
        <w:rPr>
          <w:rFonts w:ascii="Arial" w:hAnsi="Arial" w:cs="Arial"/>
          <w:highlight w:val="blue"/>
        </w:rPr>
        <w:t>Babu</w:t>
      </w:r>
      <w:r w:rsidRPr="00DA16E9">
        <w:rPr>
          <w:rFonts w:ascii="Arial" w:hAnsi="Arial" w:cs="Arial"/>
        </w:rPr>
        <w:t xml:space="preserve">, V. T. S., &amp; Venkatesan, G. (2023). Professional Development Programs: Their Role in Shaping Organizational Culture and Boosting Teaching Effectiveness – A Review. </w:t>
      </w:r>
      <w:hyperlink r:id="rId20" w:history="1">
        <w:r w:rsidRPr="004274F2">
          <w:rPr>
            <w:rStyle w:val="Lienhypertexte"/>
            <w:rFonts w:ascii="Arial" w:hAnsi="Arial" w:cs="Arial"/>
          </w:rPr>
          <w:t>https://doi.org/10.53555/kuey.v29i4.7483</w:t>
        </w:r>
      </w:hyperlink>
    </w:p>
    <w:p w14:paraId="234B9C53" w14:textId="77777777" w:rsidR="00CC391C" w:rsidRDefault="00CC391C" w:rsidP="00CC391C">
      <w:pPr>
        <w:pStyle w:val="Body"/>
        <w:numPr>
          <w:ilvl w:val="0"/>
          <w:numId w:val="33"/>
        </w:numPr>
        <w:spacing w:after="0"/>
        <w:rPr>
          <w:rFonts w:ascii="Arial" w:hAnsi="Arial" w:cs="Arial"/>
        </w:rPr>
      </w:pPr>
      <w:r w:rsidRPr="00E2595B">
        <w:rPr>
          <w:rFonts w:ascii="Arial" w:hAnsi="Arial" w:cs="Arial"/>
          <w:highlight w:val="blue"/>
        </w:rPr>
        <w:t>Na</w:t>
      </w:r>
      <w:r w:rsidRPr="000E40DD">
        <w:rPr>
          <w:rFonts w:ascii="Arial" w:hAnsi="Arial" w:cs="Arial"/>
        </w:rPr>
        <w:t xml:space="preserve">, C., &amp; Isa, Z. M. (2024). Exploring the Influence of Teacher Self-Efficacy on Teaching Quality in Higher Vocational Education. Journal of </w:t>
      </w:r>
      <w:proofErr w:type="spellStart"/>
      <w:r w:rsidRPr="000E40DD">
        <w:rPr>
          <w:rFonts w:ascii="Arial" w:hAnsi="Arial" w:cs="Arial"/>
        </w:rPr>
        <w:t>Digitainability</w:t>
      </w:r>
      <w:proofErr w:type="spellEnd"/>
      <w:r w:rsidRPr="000E40DD">
        <w:rPr>
          <w:rFonts w:ascii="Arial" w:hAnsi="Arial" w:cs="Arial"/>
        </w:rPr>
        <w:t xml:space="preserve">, Realism &amp; Mastery (DREAM), 3(07), 16–27. </w:t>
      </w:r>
      <w:hyperlink r:id="rId21" w:history="1">
        <w:r w:rsidRPr="004274F2">
          <w:rPr>
            <w:rStyle w:val="Lienhypertexte"/>
            <w:rFonts w:ascii="Arial" w:hAnsi="Arial" w:cs="Arial"/>
          </w:rPr>
          <w:t>https://doi.org/10.56982/dream.v3i07.246</w:t>
        </w:r>
      </w:hyperlink>
    </w:p>
    <w:p w14:paraId="1D3B4B8E" w14:textId="77777777" w:rsidR="00CC391C" w:rsidRDefault="00CC391C" w:rsidP="00CC391C">
      <w:pPr>
        <w:pStyle w:val="Body"/>
        <w:numPr>
          <w:ilvl w:val="0"/>
          <w:numId w:val="33"/>
        </w:numPr>
        <w:spacing w:after="0"/>
        <w:rPr>
          <w:rFonts w:ascii="Arial" w:hAnsi="Arial" w:cs="Arial"/>
        </w:rPr>
      </w:pPr>
      <w:r w:rsidRPr="00E2595B">
        <w:rPr>
          <w:rFonts w:ascii="Arial" w:hAnsi="Arial" w:cs="Arial"/>
          <w:highlight w:val="blue"/>
        </w:rPr>
        <w:t>Zeb</w:t>
      </w:r>
      <w:r w:rsidRPr="0023168B">
        <w:rPr>
          <w:rFonts w:ascii="Arial" w:hAnsi="Arial" w:cs="Arial"/>
        </w:rPr>
        <w:t xml:space="preserve">, I., Zhang, Y., &amp; Khan, A. (2024). The relationship between teachers’ self-efficacy and classroom management practices in secondary schools. Forum for Education Studies, 2(4), 1564. </w:t>
      </w:r>
      <w:hyperlink r:id="rId22" w:history="1">
        <w:r w:rsidRPr="004274F2">
          <w:rPr>
            <w:rStyle w:val="Lienhypertexte"/>
            <w:rFonts w:ascii="Arial" w:hAnsi="Arial" w:cs="Arial"/>
          </w:rPr>
          <w:t>https://doi.org/10.59400/fes1564</w:t>
        </w:r>
      </w:hyperlink>
    </w:p>
    <w:p w14:paraId="06CE55A4" w14:textId="77777777" w:rsidR="00CC391C" w:rsidRDefault="00CC391C" w:rsidP="00CC391C">
      <w:pPr>
        <w:pStyle w:val="Body"/>
        <w:numPr>
          <w:ilvl w:val="0"/>
          <w:numId w:val="33"/>
        </w:numPr>
        <w:spacing w:after="0"/>
        <w:rPr>
          <w:rFonts w:ascii="Arial" w:hAnsi="Arial" w:cs="Arial"/>
        </w:rPr>
      </w:pPr>
      <w:r w:rsidRPr="00E2595B">
        <w:rPr>
          <w:rFonts w:ascii="Arial" w:hAnsi="Arial" w:cs="Arial"/>
          <w:highlight w:val="blue"/>
        </w:rPr>
        <w:t>Liu</w:t>
      </w:r>
      <w:r w:rsidRPr="00CC391C">
        <w:rPr>
          <w:rFonts w:ascii="Arial" w:hAnsi="Arial" w:cs="Arial"/>
        </w:rPr>
        <w:t xml:space="preserve">, Y., &amp; Liao, W. (2019). Professional development and teacher efficacy: evidence from the 2013 TALIS. School Effectiveness and School Improvement, 30(4), 487–509. </w:t>
      </w:r>
      <w:hyperlink r:id="rId23" w:history="1">
        <w:r w:rsidRPr="004274F2">
          <w:rPr>
            <w:rStyle w:val="Lienhypertexte"/>
            <w:rFonts w:ascii="Arial" w:hAnsi="Arial" w:cs="Arial"/>
          </w:rPr>
          <w:t>https://doi.org/10.1080/09243453.2019.1612454</w:t>
        </w:r>
      </w:hyperlink>
    </w:p>
    <w:p w14:paraId="64AA4F37" w14:textId="6DF77674" w:rsidR="00CC391C" w:rsidRDefault="00843544" w:rsidP="00843544">
      <w:pPr>
        <w:pStyle w:val="Body"/>
        <w:numPr>
          <w:ilvl w:val="0"/>
          <w:numId w:val="33"/>
        </w:numPr>
        <w:spacing w:after="0"/>
        <w:rPr>
          <w:rFonts w:ascii="Arial" w:hAnsi="Arial" w:cs="Arial"/>
        </w:rPr>
      </w:pPr>
      <w:proofErr w:type="spellStart"/>
      <w:r w:rsidRPr="00E2595B">
        <w:rPr>
          <w:rFonts w:ascii="Arial" w:hAnsi="Arial" w:cs="Arial"/>
          <w:highlight w:val="blue"/>
        </w:rPr>
        <w:t>Panniamogan</w:t>
      </w:r>
      <w:proofErr w:type="spellEnd"/>
      <w:r w:rsidRPr="00843544">
        <w:rPr>
          <w:rFonts w:ascii="Arial" w:hAnsi="Arial" w:cs="Arial"/>
        </w:rPr>
        <w:t xml:space="preserve">, J. &amp; Dioso, E. (2024). Relationship Between Teachers' Attitude </w:t>
      </w:r>
      <w:proofErr w:type="gramStart"/>
      <w:r w:rsidRPr="00843544">
        <w:rPr>
          <w:rFonts w:ascii="Arial" w:hAnsi="Arial" w:cs="Arial"/>
        </w:rPr>
        <w:t>And</w:t>
      </w:r>
      <w:proofErr w:type="gramEnd"/>
      <w:r w:rsidRPr="00843544">
        <w:rPr>
          <w:rFonts w:ascii="Arial" w:hAnsi="Arial" w:cs="Arial"/>
        </w:rPr>
        <w:t xml:space="preserve"> Self-Efficacy: A Descriptive Correlational Study. EPRA International Journal of Environmental Economics, Commerce and Educational Management. </w:t>
      </w:r>
      <w:hyperlink r:id="rId24" w:history="1">
        <w:r w:rsidRPr="004274F2">
          <w:rPr>
            <w:rStyle w:val="Lienhypertexte"/>
            <w:rFonts w:ascii="Arial" w:hAnsi="Arial" w:cs="Arial"/>
          </w:rPr>
          <w:t>https://doi.org/10.36713/epra17840</w:t>
        </w:r>
      </w:hyperlink>
    </w:p>
    <w:p w14:paraId="60ED01C0" w14:textId="73D3F05B" w:rsidR="00790ADA" w:rsidRDefault="00EC73EE" w:rsidP="00441B6F">
      <w:pPr>
        <w:pStyle w:val="Body"/>
        <w:numPr>
          <w:ilvl w:val="0"/>
          <w:numId w:val="33"/>
        </w:numPr>
        <w:spacing w:after="0"/>
        <w:rPr>
          <w:rFonts w:ascii="Arial" w:hAnsi="Arial" w:cs="Arial"/>
        </w:rPr>
      </w:pPr>
      <w:proofErr w:type="spellStart"/>
      <w:r w:rsidRPr="00E2595B">
        <w:rPr>
          <w:rFonts w:ascii="Arial" w:hAnsi="Arial" w:cs="Arial"/>
          <w:highlight w:val="blue"/>
        </w:rPr>
        <w:t>Mallilin</w:t>
      </w:r>
      <w:proofErr w:type="spellEnd"/>
      <w:r w:rsidRPr="00EC73EE">
        <w:rPr>
          <w:rFonts w:ascii="Arial" w:hAnsi="Arial" w:cs="Arial"/>
        </w:rPr>
        <w:t xml:space="preserve">, L. &amp; Laurel, R. (2022). Professional Development System Theory for Quality Education. European Journal of Education Studies. </w:t>
      </w:r>
      <w:hyperlink r:id="rId25" w:history="1">
        <w:r w:rsidRPr="004274F2">
          <w:rPr>
            <w:rStyle w:val="Lienhypertexte"/>
            <w:rFonts w:ascii="Arial" w:hAnsi="Arial" w:cs="Arial"/>
          </w:rPr>
          <w:t>https://doi.org/10.46827/ejes.v9i8.4407</w:t>
        </w:r>
      </w:hyperlink>
    </w:p>
    <w:p w14:paraId="2E012154" w14:textId="4E6A5890" w:rsidR="00EC73EE" w:rsidRDefault="00EC73EE" w:rsidP="00441B6F">
      <w:pPr>
        <w:pStyle w:val="Body"/>
        <w:numPr>
          <w:ilvl w:val="0"/>
          <w:numId w:val="33"/>
        </w:numPr>
        <w:spacing w:after="0"/>
        <w:rPr>
          <w:rFonts w:ascii="Arial" w:hAnsi="Arial" w:cs="Arial"/>
        </w:rPr>
      </w:pPr>
      <w:r w:rsidRPr="00E2595B">
        <w:rPr>
          <w:rFonts w:ascii="Arial" w:hAnsi="Arial" w:cs="Arial"/>
          <w:highlight w:val="blue"/>
        </w:rPr>
        <w:t>Mohammad</w:t>
      </w:r>
      <w:r w:rsidRPr="00EC73EE">
        <w:rPr>
          <w:rFonts w:ascii="Arial" w:hAnsi="Arial" w:cs="Arial"/>
        </w:rPr>
        <w:t xml:space="preserve">, S., Abdullah, S.M., &amp; </w:t>
      </w:r>
      <w:proofErr w:type="spellStart"/>
      <w:r w:rsidRPr="00EC73EE">
        <w:rPr>
          <w:rFonts w:ascii="Arial" w:hAnsi="Arial" w:cs="Arial"/>
        </w:rPr>
        <w:t>Khairani</w:t>
      </w:r>
      <w:proofErr w:type="spellEnd"/>
      <w:r w:rsidRPr="00EC73EE">
        <w:rPr>
          <w:rFonts w:ascii="Arial" w:hAnsi="Arial" w:cs="Arial"/>
        </w:rPr>
        <w:t xml:space="preserve">, A.Z. (2011). Teaching Efficacy among College Student-Teachers of Diverse Background. Retrieved from </w:t>
      </w:r>
      <w:hyperlink r:id="rId26" w:history="1">
        <w:r w:rsidRPr="004274F2">
          <w:rPr>
            <w:rStyle w:val="Lienhypertexte"/>
            <w:rFonts w:ascii="Arial" w:hAnsi="Arial" w:cs="Arial"/>
          </w:rPr>
          <w:t>https://www.semanticscholar.org/paper/Teaching-Efficacy-among-College-Student-Teachers-of-Mohammad-Abdullah/0ab6dcdb6442ef8b70747525ad4fba67e7d3787b</w:t>
        </w:r>
      </w:hyperlink>
    </w:p>
    <w:p w14:paraId="25951308" w14:textId="77777777" w:rsidR="00BC1A1B" w:rsidRDefault="00BC1A1B" w:rsidP="00BC1A1B">
      <w:pPr>
        <w:pStyle w:val="Body"/>
        <w:numPr>
          <w:ilvl w:val="0"/>
          <w:numId w:val="33"/>
        </w:numPr>
        <w:spacing w:after="0"/>
        <w:rPr>
          <w:rFonts w:ascii="Arial" w:hAnsi="Arial" w:cs="Arial"/>
        </w:rPr>
      </w:pPr>
      <w:r w:rsidRPr="00E2595B">
        <w:rPr>
          <w:rFonts w:ascii="Arial" w:hAnsi="Arial" w:cs="Arial"/>
          <w:highlight w:val="blue"/>
        </w:rPr>
        <w:t>Saunders</w:t>
      </w:r>
      <w:r w:rsidRPr="00BC1A1B">
        <w:rPr>
          <w:rFonts w:ascii="Arial" w:hAnsi="Arial" w:cs="Arial"/>
        </w:rPr>
        <w:t xml:space="preserve">, M., Lewis, P., &amp; Thornhill, A. (2019). </w:t>
      </w:r>
      <w:r w:rsidRPr="00BC1A1B">
        <w:rPr>
          <w:rFonts w:ascii="Arial" w:hAnsi="Arial" w:cs="Arial"/>
          <w:i/>
        </w:rPr>
        <w:t>Research methods for business students (8th ed.)</w:t>
      </w:r>
      <w:r w:rsidRPr="00BC1A1B">
        <w:rPr>
          <w:rFonts w:ascii="Arial" w:hAnsi="Arial" w:cs="Arial"/>
        </w:rPr>
        <w:t>. Pearson Education Limited.</w:t>
      </w:r>
    </w:p>
    <w:p w14:paraId="333499A0" w14:textId="7C074194" w:rsidR="00EC73EE" w:rsidRDefault="00EC73EE" w:rsidP="00441B6F">
      <w:pPr>
        <w:pStyle w:val="Body"/>
        <w:numPr>
          <w:ilvl w:val="0"/>
          <w:numId w:val="33"/>
        </w:numPr>
        <w:spacing w:after="0"/>
        <w:rPr>
          <w:rFonts w:ascii="Arial" w:hAnsi="Arial" w:cs="Arial"/>
        </w:rPr>
      </w:pPr>
      <w:r w:rsidRPr="00E2595B">
        <w:rPr>
          <w:rFonts w:ascii="Arial" w:hAnsi="Arial" w:cs="Arial"/>
          <w:highlight w:val="blue"/>
        </w:rPr>
        <w:t>Ho</w:t>
      </w:r>
      <w:r w:rsidRPr="00EC73EE">
        <w:rPr>
          <w:rFonts w:ascii="Arial" w:hAnsi="Arial" w:cs="Arial"/>
        </w:rPr>
        <w:t xml:space="preserve">, V., Tran, V., Nguyen, V., Phan, T, &amp; Cao, H. (2023). The process of developing professional capacity for teachers. Journal of Education and E-Learning Research, 10(3), 489–501. </w:t>
      </w:r>
      <w:hyperlink r:id="rId27" w:history="1">
        <w:r w:rsidRPr="004274F2">
          <w:rPr>
            <w:rStyle w:val="Lienhypertexte"/>
            <w:rFonts w:ascii="Arial" w:hAnsi="Arial" w:cs="Arial"/>
          </w:rPr>
          <w:t>https://doi.org/10.20448/jeelr.v10i3.4892</w:t>
        </w:r>
      </w:hyperlink>
    </w:p>
    <w:p w14:paraId="5F8F23DA" w14:textId="33E6C417" w:rsidR="00EC73EE" w:rsidRDefault="00EC73EE" w:rsidP="00441B6F">
      <w:pPr>
        <w:pStyle w:val="Body"/>
        <w:numPr>
          <w:ilvl w:val="0"/>
          <w:numId w:val="33"/>
        </w:numPr>
        <w:spacing w:after="0"/>
        <w:rPr>
          <w:rFonts w:ascii="Arial" w:hAnsi="Arial" w:cs="Arial"/>
        </w:rPr>
      </w:pPr>
      <w:r w:rsidRPr="00E2595B">
        <w:rPr>
          <w:rFonts w:ascii="Arial" w:hAnsi="Arial" w:cs="Arial"/>
          <w:highlight w:val="blue"/>
        </w:rPr>
        <w:t>Juma</w:t>
      </w:r>
      <w:r w:rsidRPr="00EC73EE">
        <w:rPr>
          <w:rFonts w:ascii="Arial" w:hAnsi="Arial" w:cs="Arial"/>
        </w:rPr>
        <w:t xml:space="preserve">, A.A. (2024). Enhancing Teacher Professional Development: Strategies, Challenges, and Impacts on Instructional Practice and Student Learning Outcomes: A Review of Research Literature. International Journal for Research in Applied Science and Engineering Technology. </w:t>
      </w:r>
      <w:hyperlink r:id="rId28" w:history="1">
        <w:r w:rsidRPr="004274F2">
          <w:rPr>
            <w:rStyle w:val="Lienhypertexte"/>
            <w:rFonts w:ascii="Arial" w:hAnsi="Arial" w:cs="Arial"/>
          </w:rPr>
          <w:t>https://doi.org/10.22214/ijraset.2024.59655</w:t>
        </w:r>
      </w:hyperlink>
    </w:p>
    <w:p w14:paraId="207C5055" w14:textId="7074C6AC" w:rsidR="00EC73EE" w:rsidRDefault="00EC73EE" w:rsidP="00441B6F">
      <w:pPr>
        <w:pStyle w:val="Body"/>
        <w:numPr>
          <w:ilvl w:val="0"/>
          <w:numId w:val="33"/>
        </w:numPr>
        <w:spacing w:after="0"/>
        <w:rPr>
          <w:rFonts w:ascii="Arial" w:hAnsi="Arial" w:cs="Arial"/>
        </w:rPr>
      </w:pPr>
      <w:r w:rsidRPr="00E2595B">
        <w:rPr>
          <w:rFonts w:ascii="Arial" w:hAnsi="Arial" w:cs="Arial"/>
          <w:highlight w:val="blue"/>
        </w:rPr>
        <w:t>Mustafa</w:t>
      </w:r>
      <w:r w:rsidRPr="00EC73EE">
        <w:rPr>
          <w:rFonts w:ascii="Arial" w:hAnsi="Arial" w:cs="Arial"/>
        </w:rPr>
        <w:t xml:space="preserve">, B., &amp; </w:t>
      </w:r>
      <w:proofErr w:type="spellStart"/>
      <w:r w:rsidRPr="00EC73EE">
        <w:rPr>
          <w:rFonts w:ascii="Arial" w:hAnsi="Arial" w:cs="Arial"/>
        </w:rPr>
        <w:t>Paçariz</w:t>
      </w:r>
      <w:proofErr w:type="spellEnd"/>
      <w:r w:rsidRPr="00EC73EE">
        <w:rPr>
          <w:rFonts w:ascii="Arial" w:hAnsi="Arial" w:cs="Arial"/>
        </w:rPr>
        <w:t xml:space="preserve">, Y. (2021). Exploring teachers' perceptions of professional development: The case of Kosova. Journal of Language and Linguistic Studies. </w:t>
      </w:r>
      <w:hyperlink r:id="rId29" w:history="1">
        <w:r w:rsidRPr="004274F2">
          <w:rPr>
            <w:rStyle w:val="Lienhypertexte"/>
            <w:rFonts w:ascii="Arial" w:hAnsi="Arial" w:cs="Arial"/>
          </w:rPr>
          <w:t>https://www.researchgate.net/publication/355372413_Exploring_teachers'_perceptions_of_professional_development_The_case_of_Kosova</w:t>
        </w:r>
      </w:hyperlink>
    </w:p>
    <w:p w14:paraId="0190F6D7" w14:textId="77777777" w:rsidR="00EC73EE" w:rsidRPr="00EC73EE" w:rsidRDefault="00EC73EE" w:rsidP="00EC73EE">
      <w:pPr>
        <w:pStyle w:val="Paragraphedeliste"/>
        <w:numPr>
          <w:ilvl w:val="0"/>
          <w:numId w:val="33"/>
        </w:numPr>
        <w:rPr>
          <w:rFonts w:cs="Arial"/>
          <w:szCs w:val="24"/>
        </w:rPr>
      </w:pPr>
      <w:proofErr w:type="spellStart"/>
      <w:r w:rsidRPr="00E2595B">
        <w:rPr>
          <w:rFonts w:cs="Arial"/>
          <w:szCs w:val="24"/>
          <w:highlight w:val="blue"/>
        </w:rPr>
        <w:t>Gradini</w:t>
      </w:r>
      <w:proofErr w:type="spellEnd"/>
      <w:r w:rsidRPr="00EC73EE">
        <w:rPr>
          <w:rFonts w:cs="Arial"/>
          <w:szCs w:val="24"/>
        </w:rPr>
        <w:t xml:space="preserve">, E., Umar, A., Firmansyah, F., Effendi, Y., &amp; </w:t>
      </w:r>
      <w:proofErr w:type="spellStart"/>
      <w:r w:rsidRPr="00EC73EE">
        <w:rPr>
          <w:rFonts w:cs="Arial"/>
          <w:szCs w:val="24"/>
        </w:rPr>
        <w:t>Winardi</w:t>
      </w:r>
      <w:proofErr w:type="spellEnd"/>
      <w:r w:rsidRPr="00EC73EE">
        <w:rPr>
          <w:rFonts w:cs="Arial"/>
          <w:szCs w:val="24"/>
        </w:rPr>
        <w:t xml:space="preserve">, W. (2024). Fostering Higher Order Thinking Skills in Mathematics Learning: A Scoping Review of Teacher Development Initiatives. </w:t>
      </w:r>
      <w:proofErr w:type="spellStart"/>
      <w:r w:rsidRPr="00EC73EE">
        <w:rPr>
          <w:rFonts w:cs="Arial"/>
          <w:szCs w:val="24"/>
        </w:rPr>
        <w:t>Unram</w:t>
      </w:r>
      <w:proofErr w:type="spellEnd"/>
      <w:r w:rsidRPr="00EC73EE">
        <w:rPr>
          <w:rFonts w:cs="Arial"/>
          <w:szCs w:val="24"/>
        </w:rPr>
        <w:t xml:space="preserve"> Journal of Community Service. </w:t>
      </w:r>
      <w:hyperlink r:id="rId30" w:history="1">
        <w:r w:rsidRPr="00EC73EE">
          <w:rPr>
            <w:rStyle w:val="Lienhypertexte"/>
            <w:rFonts w:cs="Arial"/>
            <w:szCs w:val="24"/>
          </w:rPr>
          <w:t>https://www.researchgate.net/publication/379201599_Fostering_Higher_Order_Thin</w:t>
        </w:r>
        <w:r w:rsidRPr="00EC73EE">
          <w:rPr>
            <w:rStyle w:val="Lienhypertexte"/>
            <w:rFonts w:cs="Arial"/>
            <w:szCs w:val="24"/>
          </w:rPr>
          <w:lastRenderedPageBreak/>
          <w:t>king_Skills_in_Mathematics_Learning_A_Scoping_Review_of_Teacher_Development_Initiatives</w:t>
        </w:r>
      </w:hyperlink>
    </w:p>
    <w:p w14:paraId="76758BC4" w14:textId="2454E90B" w:rsidR="00EC73EE" w:rsidRPr="00B42D57" w:rsidRDefault="00EC73EE" w:rsidP="00441B6F">
      <w:pPr>
        <w:pStyle w:val="Body"/>
        <w:numPr>
          <w:ilvl w:val="0"/>
          <w:numId w:val="33"/>
        </w:numPr>
        <w:spacing w:after="0"/>
        <w:rPr>
          <w:rStyle w:val="Lienhypertexte"/>
          <w:rFonts w:ascii="Arial" w:hAnsi="Arial" w:cs="Arial"/>
          <w:color w:val="auto"/>
          <w:u w:val="none"/>
        </w:rPr>
      </w:pPr>
      <w:proofErr w:type="spellStart"/>
      <w:r w:rsidRPr="00E2595B">
        <w:rPr>
          <w:rFonts w:ascii="Arial" w:hAnsi="Arial" w:cs="Arial"/>
          <w:highlight w:val="blue"/>
        </w:rPr>
        <w:t>Alnijres</w:t>
      </w:r>
      <w:proofErr w:type="spellEnd"/>
      <w:r w:rsidRPr="00EC73EE">
        <w:rPr>
          <w:rFonts w:ascii="Arial" w:hAnsi="Arial" w:cs="Arial"/>
        </w:rPr>
        <w:t xml:space="preserve">, B. M. (2024). Reflecting on Different Aspects of Classroom Teaching: Mirrors on the Road of Educators’ Self-Professional Development. Journal of </w:t>
      </w:r>
      <w:proofErr w:type="spellStart"/>
      <w:r w:rsidRPr="00EC73EE">
        <w:rPr>
          <w:rFonts w:ascii="Arial" w:hAnsi="Arial" w:cs="Arial"/>
        </w:rPr>
        <w:t>Ecohumanism</w:t>
      </w:r>
      <w:proofErr w:type="spellEnd"/>
      <w:r w:rsidRPr="00EC73EE">
        <w:rPr>
          <w:rFonts w:ascii="Arial" w:hAnsi="Arial" w:cs="Arial"/>
        </w:rPr>
        <w:t xml:space="preserve">, 3(7), 3368–3373. </w:t>
      </w:r>
      <w:hyperlink r:id="rId31" w:history="1">
        <w:r w:rsidRPr="004274F2">
          <w:rPr>
            <w:rStyle w:val="Lienhypertexte"/>
            <w:rFonts w:ascii="Arial" w:hAnsi="Arial" w:cs="Arial"/>
          </w:rPr>
          <w:t>https://doi.org/10.62754/joe.v3i7.4469</w:t>
        </w:r>
      </w:hyperlink>
    </w:p>
    <w:p w14:paraId="687D0E21" w14:textId="5102CAF8" w:rsidR="00B42D57" w:rsidRPr="00B42D57" w:rsidRDefault="00B42D57" w:rsidP="00B42D57">
      <w:pPr>
        <w:pStyle w:val="Body"/>
        <w:numPr>
          <w:ilvl w:val="0"/>
          <w:numId w:val="33"/>
        </w:numPr>
        <w:spacing w:after="0"/>
        <w:rPr>
          <w:rFonts w:ascii="Arial" w:hAnsi="Arial" w:cs="Arial"/>
        </w:rPr>
      </w:pPr>
      <w:r w:rsidRPr="00E2595B">
        <w:rPr>
          <w:rFonts w:ascii="Arial" w:hAnsi="Arial" w:cs="Arial"/>
          <w:highlight w:val="blue"/>
        </w:rPr>
        <w:t>Zakaria</w:t>
      </w:r>
      <w:r w:rsidRPr="000E40DD">
        <w:rPr>
          <w:rFonts w:ascii="Arial" w:hAnsi="Arial" w:cs="Arial"/>
        </w:rPr>
        <w:t xml:space="preserve">, Z. (2020). Teachers Who Reflect, Teach Better: Reflective Practice at The Heart of Teachers’ Professional Development Programs. </w:t>
      </w:r>
      <w:proofErr w:type="spellStart"/>
      <w:r w:rsidRPr="000E40DD">
        <w:rPr>
          <w:rFonts w:ascii="Arial" w:hAnsi="Arial" w:cs="Arial"/>
        </w:rPr>
        <w:t>Idealogy</w:t>
      </w:r>
      <w:proofErr w:type="spellEnd"/>
      <w:r w:rsidRPr="000E40DD">
        <w:rPr>
          <w:rFonts w:ascii="Arial" w:hAnsi="Arial" w:cs="Arial"/>
        </w:rPr>
        <w:t xml:space="preserve"> Journal. </w:t>
      </w:r>
      <w:hyperlink r:id="rId32" w:history="1">
        <w:r w:rsidRPr="004274F2">
          <w:rPr>
            <w:rStyle w:val="Lienhypertexte"/>
            <w:rFonts w:ascii="Arial" w:hAnsi="Arial" w:cs="Arial"/>
          </w:rPr>
          <w:t>https://doi.org/10.24191/idealogy.v5i2.243</w:t>
        </w:r>
      </w:hyperlink>
    </w:p>
    <w:p w14:paraId="7004B024" w14:textId="5D6219F8" w:rsidR="00EC73EE" w:rsidRDefault="00EC73EE" w:rsidP="00441B6F">
      <w:pPr>
        <w:pStyle w:val="Body"/>
        <w:numPr>
          <w:ilvl w:val="0"/>
          <w:numId w:val="33"/>
        </w:numPr>
        <w:spacing w:after="0"/>
        <w:rPr>
          <w:rFonts w:ascii="Arial" w:hAnsi="Arial" w:cs="Arial"/>
        </w:rPr>
      </w:pPr>
      <w:proofErr w:type="spellStart"/>
      <w:r w:rsidRPr="00E2595B">
        <w:rPr>
          <w:rFonts w:ascii="Arial" w:hAnsi="Arial" w:cs="Arial"/>
          <w:highlight w:val="blue"/>
        </w:rPr>
        <w:t>Machost</w:t>
      </w:r>
      <w:proofErr w:type="spellEnd"/>
      <w:r w:rsidRPr="00EC73EE">
        <w:rPr>
          <w:rFonts w:ascii="Arial" w:hAnsi="Arial" w:cs="Arial"/>
        </w:rPr>
        <w:t xml:space="preserve">, H., &amp; Stains, M. (2023). Reflective Practices in Education: A Primer for Practitioners. CBE life sciences education, 22(2), es2. </w:t>
      </w:r>
      <w:hyperlink r:id="rId33" w:history="1">
        <w:r w:rsidRPr="004274F2">
          <w:rPr>
            <w:rStyle w:val="Lienhypertexte"/>
            <w:rFonts w:ascii="Arial" w:hAnsi="Arial" w:cs="Arial"/>
          </w:rPr>
          <w:t>https://doi.org/10.1187/cbe.22-07-0148</w:t>
        </w:r>
      </w:hyperlink>
    </w:p>
    <w:p w14:paraId="34C3B6E9" w14:textId="6F24B9FA" w:rsidR="00EC73EE" w:rsidRDefault="00BA6495" w:rsidP="00441B6F">
      <w:pPr>
        <w:pStyle w:val="Body"/>
        <w:numPr>
          <w:ilvl w:val="0"/>
          <w:numId w:val="33"/>
        </w:numPr>
        <w:spacing w:after="0"/>
        <w:rPr>
          <w:rFonts w:ascii="Arial" w:hAnsi="Arial" w:cs="Arial"/>
        </w:rPr>
      </w:pPr>
      <w:r w:rsidRPr="00E2595B">
        <w:rPr>
          <w:rFonts w:ascii="Arial" w:hAnsi="Arial" w:cs="Arial"/>
          <w:highlight w:val="blue"/>
        </w:rPr>
        <w:t>Wagner</w:t>
      </w:r>
      <w:r w:rsidRPr="00BA6495">
        <w:rPr>
          <w:rFonts w:ascii="Arial" w:hAnsi="Arial" w:cs="Arial"/>
        </w:rPr>
        <w:t xml:space="preserve">, C.J., Ossa Parra, M., &amp; Proctor, C.P. (2019). Teacher agency in a multiyear professional development collaborative. English Teaching: Practice &amp; Critique. </w:t>
      </w:r>
      <w:hyperlink r:id="rId34" w:history="1">
        <w:r w:rsidRPr="004274F2">
          <w:rPr>
            <w:rStyle w:val="Lienhypertexte"/>
            <w:rFonts w:ascii="Arial" w:hAnsi="Arial" w:cs="Arial"/>
          </w:rPr>
          <w:t>https://www.researchgate.net/publication/337268792_Teacher_agency_in_a_multiyear_professional_development_collaborative</w:t>
        </w:r>
      </w:hyperlink>
    </w:p>
    <w:p w14:paraId="71221998" w14:textId="09C75579" w:rsidR="00BA6495" w:rsidRDefault="00BA6495" w:rsidP="00441B6F">
      <w:pPr>
        <w:pStyle w:val="Body"/>
        <w:numPr>
          <w:ilvl w:val="0"/>
          <w:numId w:val="33"/>
        </w:numPr>
        <w:spacing w:after="0"/>
        <w:rPr>
          <w:rFonts w:ascii="Arial" w:hAnsi="Arial" w:cs="Arial"/>
        </w:rPr>
      </w:pPr>
      <w:r w:rsidRPr="00E2595B">
        <w:rPr>
          <w:rFonts w:ascii="Arial" w:hAnsi="Arial" w:cs="Arial"/>
          <w:highlight w:val="blue"/>
        </w:rPr>
        <w:t>Pannell</w:t>
      </w:r>
      <w:r w:rsidRPr="00BA6495">
        <w:rPr>
          <w:rFonts w:ascii="Arial" w:hAnsi="Arial" w:cs="Arial"/>
        </w:rPr>
        <w:t xml:space="preserve">, J.L., </w:t>
      </w:r>
      <w:proofErr w:type="spellStart"/>
      <w:r w:rsidRPr="00BA6495">
        <w:rPr>
          <w:rFonts w:ascii="Arial" w:hAnsi="Arial" w:cs="Arial"/>
        </w:rPr>
        <w:t>Dencer</w:t>
      </w:r>
      <w:proofErr w:type="spellEnd"/>
      <w:r w:rsidRPr="00BA6495">
        <w:rPr>
          <w:rFonts w:ascii="Arial" w:hAnsi="Arial" w:cs="Arial"/>
        </w:rPr>
        <w:t xml:space="preserve">-Brown, A.M., Greening, S.S., Hume, E.A., Jarvis, R.M., Mathieu, C., </w:t>
      </w:r>
      <w:r>
        <w:rPr>
          <w:rFonts w:ascii="Arial" w:hAnsi="Arial" w:cs="Arial"/>
        </w:rPr>
        <w:t xml:space="preserve">et al. </w:t>
      </w:r>
      <w:r w:rsidRPr="00BA6495">
        <w:rPr>
          <w:rFonts w:ascii="Arial" w:hAnsi="Arial" w:cs="Arial"/>
        </w:rPr>
        <w:t xml:space="preserve">(2019). An early career perspective on encouraging collaborative and interdisciplinary research in ecology. Ecosphere. </w:t>
      </w:r>
      <w:hyperlink r:id="rId35" w:history="1">
        <w:r w:rsidRPr="004274F2">
          <w:rPr>
            <w:rStyle w:val="Lienhypertexte"/>
            <w:rFonts w:ascii="Arial" w:hAnsi="Arial" w:cs="Arial"/>
          </w:rPr>
          <w:t>https://doi.org/10.1002/ecs2.2899</w:t>
        </w:r>
      </w:hyperlink>
    </w:p>
    <w:p w14:paraId="658740F2" w14:textId="1EE473BF" w:rsidR="00BA6495" w:rsidRPr="00BA6495" w:rsidRDefault="00BA6495" w:rsidP="00BA6495">
      <w:pPr>
        <w:pStyle w:val="Body"/>
        <w:numPr>
          <w:ilvl w:val="0"/>
          <w:numId w:val="33"/>
        </w:numPr>
        <w:spacing w:after="0"/>
        <w:rPr>
          <w:rFonts w:ascii="Arial" w:hAnsi="Arial" w:cs="Arial"/>
        </w:rPr>
      </w:pPr>
      <w:proofErr w:type="spellStart"/>
      <w:r w:rsidRPr="00E2595B">
        <w:rPr>
          <w:rFonts w:ascii="Arial" w:hAnsi="Arial" w:cs="Arial"/>
          <w:highlight w:val="blue"/>
        </w:rPr>
        <w:t>Sandholtz</w:t>
      </w:r>
      <w:proofErr w:type="spellEnd"/>
      <w:r w:rsidRPr="00BA6495">
        <w:rPr>
          <w:rFonts w:ascii="Arial" w:hAnsi="Arial" w:cs="Arial"/>
        </w:rPr>
        <w:t xml:space="preserve">, J.H., </w:t>
      </w:r>
      <w:proofErr w:type="spellStart"/>
      <w:r w:rsidRPr="00BA6495">
        <w:rPr>
          <w:rFonts w:ascii="Arial" w:hAnsi="Arial" w:cs="Arial"/>
        </w:rPr>
        <w:t>Ringstaff</w:t>
      </w:r>
      <w:proofErr w:type="spellEnd"/>
      <w:r w:rsidRPr="00BA6495">
        <w:rPr>
          <w:rFonts w:ascii="Arial" w:hAnsi="Arial" w:cs="Arial"/>
        </w:rPr>
        <w:t xml:space="preserve">, C., &amp; </w:t>
      </w:r>
      <w:proofErr w:type="spellStart"/>
      <w:r w:rsidRPr="00BA6495">
        <w:rPr>
          <w:rFonts w:ascii="Arial" w:hAnsi="Arial" w:cs="Arial"/>
        </w:rPr>
        <w:t>Triant</w:t>
      </w:r>
      <w:proofErr w:type="spellEnd"/>
      <w:r w:rsidRPr="00BA6495">
        <w:rPr>
          <w:rFonts w:ascii="Arial" w:hAnsi="Arial" w:cs="Arial"/>
        </w:rPr>
        <w:t xml:space="preserve">, J. (2023). Professional development tune-up. Phi Delta </w:t>
      </w:r>
      <w:proofErr w:type="spellStart"/>
      <w:r w:rsidRPr="00BA6495">
        <w:rPr>
          <w:rFonts w:ascii="Arial" w:hAnsi="Arial" w:cs="Arial"/>
        </w:rPr>
        <w:t>Kappan</w:t>
      </w:r>
      <w:proofErr w:type="spellEnd"/>
      <w:r w:rsidRPr="00BA6495">
        <w:rPr>
          <w:rFonts w:ascii="Arial" w:hAnsi="Arial" w:cs="Arial"/>
        </w:rPr>
        <w:t>, 104, 31 - 35.</w:t>
      </w:r>
      <w:r w:rsidR="007353C8">
        <w:rPr>
          <w:rFonts w:ascii="Arial" w:hAnsi="Arial" w:cs="Arial"/>
        </w:rPr>
        <w:t xml:space="preserve"> </w:t>
      </w:r>
      <w:hyperlink r:id="rId36" w:history="1">
        <w:r w:rsidR="007353C8">
          <w:rPr>
            <w:rStyle w:val="Lienhypertexte"/>
            <w:rFonts w:ascii="Open Sans" w:hAnsi="Open Sans" w:cs="Open Sans"/>
            <w:sz w:val="21"/>
            <w:szCs w:val="21"/>
            <w:shd w:val="clear" w:color="auto" w:fill="FFFFFF"/>
          </w:rPr>
          <w:t>https://doi.org/10.1177/00317217231174710</w:t>
        </w:r>
      </w:hyperlink>
    </w:p>
    <w:p w14:paraId="6006BB62" w14:textId="21BE9833" w:rsidR="00BA6495" w:rsidRDefault="00BA6495" w:rsidP="00441B6F">
      <w:pPr>
        <w:pStyle w:val="Body"/>
        <w:numPr>
          <w:ilvl w:val="0"/>
          <w:numId w:val="33"/>
        </w:numPr>
        <w:spacing w:after="0"/>
        <w:rPr>
          <w:rFonts w:ascii="Arial" w:hAnsi="Arial" w:cs="Arial"/>
        </w:rPr>
      </w:pPr>
      <w:r w:rsidRPr="00E2595B">
        <w:rPr>
          <w:rFonts w:ascii="Arial" w:hAnsi="Arial" w:cs="Arial"/>
          <w:highlight w:val="blue"/>
        </w:rPr>
        <w:t>Lee</w:t>
      </w:r>
      <w:r w:rsidRPr="00BA6495">
        <w:rPr>
          <w:rFonts w:ascii="Arial" w:hAnsi="Arial" w:cs="Arial"/>
        </w:rPr>
        <w:t xml:space="preserve">, S. C., Nugent, G., Kunz, G. M., &amp; Houston, J. (2024). Effects of a Follow-up PD with Distance-based Peer Instructional Coaching on Secondary Science Teachers’ Inquiry-based Teaching Practices in Rural Schools. Journal of Science Teacher Education, 35(7), 697–716. </w:t>
      </w:r>
      <w:hyperlink r:id="rId37" w:history="1">
        <w:r w:rsidRPr="004274F2">
          <w:rPr>
            <w:rStyle w:val="Lienhypertexte"/>
            <w:rFonts w:ascii="Arial" w:hAnsi="Arial" w:cs="Arial"/>
          </w:rPr>
          <w:t>https://doi.org/10.1080/1046560X.2024.2327774</w:t>
        </w:r>
      </w:hyperlink>
    </w:p>
    <w:p w14:paraId="1DACF81E" w14:textId="19F07D95" w:rsidR="00BA6495" w:rsidRDefault="00BA6495" w:rsidP="00441B6F">
      <w:pPr>
        <w:pStyle w:val="Body"/>
        <w:numPr>
          <w:ilvl w:val="0"/>
          <w:numId w:val="33"/>
        </w:numPr>
        <w:spacing w:after="0"/>
        <w:rPr>
          <w:rFonts w:ascii="Arial" w:hAnsi="Arial" w:cs="Arial"/>
        </w:rPr>
      </w:pPr>
      <w:r w:rsidRPr="00E2595B">
        <w:rPr>
          <w:rFonts w:ascii="Arial" w:hAnsi="Arial" w:cs="Arial"/>
          <w:highlight w:val="blue"/>
        </w:rPr>
        <w:t>Qazi</w:t>
      </w:r>
      <w:r w:rsidRPr="00BA6495">
        <w:rPr>
          <w:rFonts w:ascii="Arial" w:hAnsi="Arial" w:cs="Arial"/>
        </w:rPr>
        <w:t xml:space="preserve">, W. (2017). Eastern Kentucky University From the </w:t>
      </w:r>
      <w:proofErr w:type="spellStart"/>
      <w:r w:rsidRPr="00BA6495">
        <w:rPr>
          <w:rFonts w:ascii="Arial" w:hAnsi="Arial" w:cs="Arial"/>
        </w:rPr>
        <w:t>SelectedWorks</w:t>
      </w:r>
      <w:proofErr w:type="spellEnd"/>
      <w:r w:rsidRPr="00BA6495">
        <w:rPr>
          <w:rFonts w:ascii="Arial" w:hAnsi="Arial" w:cs="Arial"/>
        </w:rPr>
        <w:t xml:space="preserve"> of Wasim Qazi 2008 Sustainable Teachers ' </w:t>
      </w:r>
      <w:proofErr w:type="gramStart"/>
      <w:r w:rsidRPr="00BA6495">
        <w:rPr>
          <w:rFonts w:ascii="Arial" w:hAnsi="Arial" w:cs="Arial"/>
        </w:rPr>
        <w:t>Development :</w:t>
      </w:r>
      <w:proofErr w:type="gramEnd"/>
      <w:r w:rsidRPr="00BA6495">
        <w:rPr>
          <w:rFonts w:ascii="Arial" w:hAnsi="Arial" w:cs="Arial"/>
        </w:rPr>
        <w:t xml:space="preserve"> Exploring the Effect of Follow-up Support an </w:t>
      </w:r>
      <w:proofErr w:type="spellStart"/>
      <w:r w:rsidRPr="00BA6495">
        <w:rPr>
          <w:rFonts w:ascii="Arial" w:hAnsi="Arial" w:cs="Arial"/>
        </w:rPr>
        <w:t>an</w:t>
      </w:r>
      <w:proofErr w:type="spellEnd"/>
      <w:r w:rsidRPr="00BA6495">
        <w:rPr>
          <w:rFonts w:ascii="Arial" w:hAnsi="Arial" w:cs="Arial"/>
        </w:rPr>
        <w:t xml:space="preserve"> Element. Retrieved from: </w:t>
      </w:r>
      <w:hyperlink r:id="rId38" w:history="1">
        <w:r w:rsidRPr="004274F2">
          <w:rPr>
            <w:rStyle w:val="Lienhypertexte"/>
            <w:rFonts w:ascii="Arial" w:hAnsi="Arial" w:cs="Arial"/>
          </w:rPr>
          <w:t>https://www.semanticscholar.org/paper/Eastern-Kentucky-University-From-the-SelectedWorks-Qazi/84708f696c29296bea7065b29b0019c7435fe748</w:t>
        </w:r>
      </w:hyperlink>
    </w:p>
    <w:p w14:paraId="2D7B7231" w14:textId="6D9C979A" w:rsidR="00BA6495" w:rsidRDefault="00BA6495" w:rsidP="00441B6F">
      <w:pPr>
        <w:pStyle w:val="Body"/>
        <w:numPr>
          <w:ilvl w:val="0"/>
          <w:numId w:val="33"/>
        </w:numPr>
        <w:spacing w:after="0"/>
        <w:rPr>
          <w:rFonts w:ascii="Arial" w:hAnsi="Arial" w:cs="Arial"/>
        </w:rPr>
      </w:pPr>
      <w:proofErr w:type="spellStart"/>
      <w:r w:rsidRPr="00E2595B">
        <w:rPr>
          <w:rFonts w:ascii="Arial" w:hAnsi="Arial" w:cs="Arial"/>
          <w:highlight w:val="blue"/>
        </w:rPr>
        <w:t>Küçükalioğlu</w:t>
      </w:r>
      <w:proofErr w:type="spellEnd"/>
      <w:r w:rsidRPr="00BA6495">
        <w:rPr>
          <w:rFonts w:ascii="Arial" w:hAnsi="Arial" w:cs="Arial"/>
        </w:rPr>
        <w:t xml:space="preserve">, T., &amp; </w:t>
      </w:r>
      <w:proofErr w:type="spellStart"/>
      <w:r w:rsidRPr="00BA6495">
        <w:rPr>
          <w:rFonts w:ascii="Arial" w:hAnsi="Arial" w:cs="Arial"/>
        </w:rPr>
        <w:t>Tuluk</w:t>
      </w:r>
      <w:proofErr w:type="spellEnd"/>
      <w:r w:rsidRPr="00BA6495">
        <w:rPr>
          <w:rFonts w:ascii="Arial" w:hAnsi="Arial" w:cs="Arial"/>
        </w:rPr>
        <w:t xml:space="preserve">, G. (2021). The effect of mathematics teachers’ self-efficacy and leadership styles on students’ mathematical achievement and attitudes. Athens Journal of Education, 8(3), 221–238. </w:t>
      </w:r>
      <w:hyperlink r:id="rId39" w:history="1">
        <w:r w:rsidRPr="004274F2">
          <w:rPr>
            <w:rStyle w:val="Lienhypertexte"/>
            <w:rFonts w:ascii="Arial" w:hAnsi="Arial" w:cs="Arial"/>
          </w:rPr>
          <w:t>https://doi.org/10.30958/aje.8-3-1</w:t>
        </w:r>
      </w:hyperlink>
    </w:p>
    <w:p w14:paraId="49A9A9D8" w14:textId="30582F19" w:rsidR="00BA6495" w:rsidRDefault="00DA73E7" w:rsidP="00441B6F">
      <w:pPr>
        <w:pStyle w:val="Body"/>
        <w:numPr>
          <w:ilvl w:val="0"/>
          <w:numId w:val="33"/>
        </w:numPr>
        <w:spacing w:after="0"/>
        <w:rPr>
          <w:rFonts w:ascii="Arial" w:hAnsi="Arial" w:cs="Arial"/>
        </w:rPr>
      </w:pPr>
      <w:r w:rsidRPr="00E2595B">
        <w:rPr>
          <w:rFonts w:ascii="Arial" w:hAnsi="Arial" w:cs="Arial"/>
          <w:highlight w:val="blue"/>
        </w:rPr>
        <w:t>Paulines</w:t>
      </w:r>
      <w:r w:rsidRPr="00DA73E7">
        <w:rPr>
          <w:rFonts w:ascii="Arial" w:hAnsi="Arial" w:cs="Arial"/>
        </w:rPr>
        <w:t xml:space="preserve">, W. &amp; </w:t>
      </w:r>
      <w:proofErr w:type="spellStart"/>
      <w:r w:rsidRPr="00DA73E7">
        <w:rPr>
          <w:rFonts w:ascii="Arial" w:hAnsi="Arial" w:cs="Arial"/>
        </w:rPr>
        <w:t>Tantiado</w:t>
      </w:r>
      <w:proofErr w:type="spellEnd"/>
      <w:r w:rsidRPr="00DA73E7">
        <w:rPr>
          <w:rFonts w:ascii="Arial" w:hAnsi="Arial" w:cs="Arial"/>
        </w:rPr>
        <w:t>, R. (2024). Teacher’s Classroom Management and Students’ Performance. International Journal of Multidisciplinary Research and Analysis. 10.5281/zenodo.13284040</w:t>
      </w:r>
    </w:p>
    <w:p w14:paraId="421396F1" w14:textId="6B0B11A7" w:rsidR="00DA73E7" w:rsidRDefault="001C0C2C" w:rsidP="00441B6F">
      <w:pPr>
        <w:pStyle w:val="Body"/>
        <w:numPr>
          <w:ilvl w:val="0"/>
          <w:numId w:val="33"/>
        </w:numPr>
        <w:spacing w:after="0"/>
        <w:rPr>
          <w:rFonts w:ascii="Arial" w:hAnsi="Arial" w:cs="Arial"/>
        </w:rPr>
      </w:pPr>
      <w:proofErr w:type="spellStart"/>
      <w:r w:rsidRPr="00E2595B">
        <w:rPr>
          <w:rFonts w:ascii="Arial" w:hAnsi="Arial" w:cs="Arial"/>
          <w:highlight w:val="blue"/>
        </w:rPr>
        <w:t>Varszegi</w:t>
      </w:r>
      <w:proofErr w:type="spellEnd"/>
      <w:r w:rsidRPr="001C0C2C">
        <w:rPr>
          <w:rFonts w:ascii="Arial" w:hAnsi="Arial" w:cs="Arial"/>
        </w:rPr>
        <w:t xml:space="preserve">, M. (2022). Teachers’ changing practices for “disruption management” in the classroom. </w:t>
      </w:r>
      <w:proofErr w:type="spellStart"/>
      <w:r w:rsidRPr="001C0C2C">
        <w:rPr>
          <w:rFonts w:ascii="Arial" w:hAnsi="Arial" w:cs="Arial"/>
        </w:rPr>
        <w:t>Problemy</w:t>
      </w:r>
      <w:proofErr w:type="spellEnd"/>
      <w:r w:rsidRPr="001C0C2C">
        <w:rPr>
          <w:rFonts w:ascii="Arial" w:hAnsi="Arial" w:cs="Arial"/>
        </w:rPr>
        <w:t xml:space="preserve"> </w:t>
      </w:r>
      <w:proofErr w:type="spellStart"/>
      <w:r w:rsidRPr="001C0C2C">
        <w:rPr>
          <w:rFonts w:ascii="Arial" w:hAnsi="Arial" w:cs="Arial"/>
        </w:rPr>
        <w:t>Opiekuńczo-Wychowawcze</w:t>
      </w:r>
      <w:proofErr w:type="spellEnd"/>
      <w:r w:rsidRPr="001C0C2C">
        <w:rPr>
          <w:rFonts w:ascii="Arial" w:hAnsi="Arial" w:cs="Arial"/>
        </w:rPr>
        <w:t xml:space="preserve">, 614(9), 45–57. </w:t>
      </w:r>
      <w:hyperlink r:id="rId40" w:history="1">
        <w:r w:rsidRPr="004274F2">
          <w:rPr>
            <w:rStyle w:val="Lienhypertexte"/>
            <w:rFonts w:ascii="Arial" w:hAnsi="Arial" w:cs="Arial"/>
          </w:rPr>
          <w:t>https://doi.org/10.5604/01.3001.0016.1278</w:t>
        </w:r>
      </w:hyperlink>
    </w:p>
    <w:p w14:paraId="1FF0398E" w14:textId="53F177A7" w:rsidR="001C0C2C" w:rsidRDefault="001C0C2C" w:rsidP="00441B6F">
      <w:pPr>
        <w:pStyle w:val="Body"/>
        <w:numPr>
          <w:ilvl w:val="0"/>
          <w:numId w:val="33"/>
        </w:numPr>
        <w:spacing w:after="0"/>
        <w:rPr>
          <w:rFonts w:ascii="Arial" w:hAnsi="Arial" w:cs="Arial"/>
        </w:rPr>
      </w:pPr>
      <w:r w:rsidRPr="00E2595B">
        <w:rPr>
          <w:rFonts w:ascii="Arial" w:hAnsi="Arial" w:cs="Arial"/>
          <w:highlight w:val="blue"/>
        </w:rPr>
        <w:t>Shah</w:t>
      </w:r>
      <w:r w:rsidRPr="001C0C2C">
        <w:rPr>
          <w:rFonts w:ascii="Arial" w:hAnsi="Arial" w:cs="Arial"/>
        </w:rPr>
        <w:t xml:space="preserve">, D. (2023). Teachers’ Self-Efficacy and Classroom Management Practices: A Theoretical Study. Journal of Education and Research, 13(1), 8-26. </w:t>
      </w:r>
      <w:hyperlink r:id="rId41" w:history="1">
        <w:r w:rsidRPr="004274F2">
          <w:rPr>
            <w:rStyle w:val="Lienhypertexte"/>
            <w:rFonts w:ascii="Arial" w:hAnsi="Arial" w:cs="Arial"/>
          </w:rPr>
          <w:t>https://doi.org/10.51474/jer.v13i1.661</w:t>
        </w:r>
      </w:hyperlink>
    </w:p>
    <w:p w14:paraId="62586D69" w14:textId="2DF1C980" w:rsidR="001C0C2C" w:rsidRDefault="00A85FF6" w:rsidP="00441B6F">
      <w:pPr>
        <w:pStyle w:val="Body"/>
        <w:numPr>
          <w:ilvl w:val="0"/>
          <w:numId w:val="33"/>
        </w:numPr>
        <w:spacing w:after="0"/>
        <w:rPr>
          <w:rFonts w:ascii="Arial" w:hAnsi="Arial" w:cs="Arial"/>
        </w:rPr>
      </w:pPr>
      <w:r w:rsidRPr="00E2595B">
        <w:rPr>
          <w:rFonts w:ascii="Arial" w:hAnsi="Arial" w:cs="Arial"/>
          <w:highlight w:val="blue"/>
        </w:rPr>
        <w:t>Yadav</w:t>
      </w:r>
      <w:r w:rsidRPr="00A85FF6">
        <w:rPr>
          <w:rFonts w:ascii="Arial" w:hAnsi="Arial" w:cs="Arial"/>
        </w:rPr>
        <w:t xml:space="preserve">, S. (2021). Effective classroom management skill: An essential skill for teachers. Journal of Education, 11(1), 92–101. </w:t>
      </w:r>
      <w:hyperlink r:id="rId42" w:history="1">
        <w:r w:rsidRPr="004274F2">
          <w:rPr>
            <w:rStyle w:val="Lienhypertexte"/>
            <w:rFonts w:ascii="Arial" w:hAnsi="Arial" w:cs="Arial"/>
          </w:rPr>
          <w:t>https://doi.org/10.51767/je1107</w:t>
        </w:r>
      </w:hyperlink>
    </w:p>
    <w:p w14:paraId="0992D3FA" w14:textId="76051A27" w:rsidR="00A85FF6" w:rsidRDefault="00A85FF6" w:rsidP="00441B6F">
      <w:pPr>
        <w:pStyle w:val="Body"/>
        <w:numPr>
          <w:ilvl w:val="0"/>
          <w:numId w:val="33"/>
        </w:numPr>
        <w:spacing w:after="0"/>
        <w:rPr>
          <w:rFonts w:ascii="Arial" w:hAnsi="Arial" w:cs="Arial"/>
        </w:rPr>
      </w:pPr>
      <w:r w:rsidRPr="00E2595B">
        <w:rPr>
          <w:rFonts w:ascii="Arial" w:hAnsi="Arial" w:cs="Arial"/>
          <w:highlight w:val="blue"/>
        </w:rPr>
        <w:t>Jagnandan</w:t>
      </w:r>
      <w:r w:rsidRPr="00A85FF6">
        <w:rPr>
          <w:rFonts w:ascii="Arial" w:hAnsi="Arial" w:cs="Arial"/>
        </w:rPr>
        <w:t xml:space="preserve">, A., Jagnandan, S., &amp; Fitz Allen, U. (2024). Do instructional strategies impact students’ situational interests in learning mathematics? A case study of secondary school students in Guyana. International Journal of Current Science Research and Review, 7(1), 699–708. </w:t>
      </w:r>
      <w:hyperlink r:id="rId43" w:history="1">
        <w:r w:rsidRPr="004274F2">
          <w:rPr>
            <w:rStyle w:val="Lienhypertexte"/>
            <w:rFonts w:ascii="Arial" w:hAnsi="Arial" w:cs="Arial"/>
          </w:rPr>
          <w:t>https://doi.org/10.47191/ijcsrr/v7-i1-67</w:t>
        </w:r>
      </w:hyperlink>
    </w:p>
    <w:p w14:paraId="3C7FA03A" w14:textId="02E65152" w:rsidR="00A85FF6" w:rsidRDefault="00A85FF6" w:rsidP="00441B6F">
      <w:pPr>
        <w:pStyle w:val="Body"/>
        <w:numPr>
          <w:ilvl w:val="0"/>
          <w:numId w:val="33"/>
        </w:numPr>
        <w:spacing w:after="0"/>
        <w:rPr>
          <w:rFonts w:ascii="Arial" w:hAnsi="Arial" w:cs="Arial"/>
        </w:rPr>
      </w:pPr>
      <w:r w:rsidRPr="00E2595B">
        <w:rPr>
          <w:rFonts w:ascii="Arial" w:hAnsi="Arial" w:cs="Arial"/>
          <w:highlight w:val="blue"/>
        </w:rPr>
        <w:t>Lee</w:t>
      </w:r>
      <w:r w:rsidRPr="00A85FF6">
        <w:rPr>
          <w:rFonts w:ascii="Arial" w:hAnsi="Arial" w:cs="Arial"/>
        </w:rPr>
        <w:t xml:space="preserve">, J., &amp; Paul, N. (2023). A Review of Pedagogical Approaches for Improved Engagement and Learning Outcomes in </w:t>
      </w:r>
      <w:proofErr w:type="gramStart"/>
      <w:r w:rsidRPr="00A85FF6">
        <w:rPr>
          <w:rFonts w:ascii="Arial" w:hAnsi="Arial" w:cs="Arial"/>
        </w:rPr>
        <w:t>Mathematics .</w:t>
      </w:r>
      <w:proofErr w:type="gramEnd"/>
      <w:r w:rsidRPr="00A85FF6">
        <w:rPr>
          <w:rFonts w:ascii="Arial" w:hAnsi="Arial" w:cs="Arial"/>
        </w:rPr>
        <w:t xml:space="preserve"> Journal of Student Research, 12(3). </w:t>
      </w:r>
      <w:hyperlink r:id="rId44" w:history="1">
        <w:r w:rsidRPr="004274F2">
          <w:rPr>
            <w:rStyle w:val="Lienhypertexte"/>
            <w:rFonts w:ascii="Arial" w:hAnsi="Arial" w:cs="Arial"/>
          </w:rPr>
          <w:t>https://doi.org/10.47611/jsrhs.v12i3.5021</w:t>
        </w:r>
      </w:hyperlink>
    </w:p>
    <w:p w14:paraId="63DC7A10" w14:textId="16843C49" w:rsidR="00A85FF6" w:rsidRDefault="00A85FF6" w:rsidP="00441B6F">
      <w:pPr>
        <w:pStyle w:val="Body"/>
        <w:numPr>
          <w:ilvl w:val="0"/>
          <w:numId w:val="33"/>
        </w:numPr>
        <w:spacing w:after="0"/>
        <w:rPr>
          <w:rFonts w:ascii="Arial" w:hAnsi="Arial" w:cs="Arial"/>
        </w:rPr>
      </w:pPr>
      <w:r w:rsidRPr="00E2595B">
        <w:rPr>
          <w:rFonts w:ascii="Arial" w:hAnsi="Arial" w:cs="Arial"/>
          <w:highlight w:val="blue"/>
        </w:rPr>
        <w:lastRenderedPageBreak/>
        <w:t>Hettinger</w:t>
      </w:r>
      <w:r w:rsidRPr="00A85FF6">
        <w:rPr>
          <w:rFonts w:ascii="Arial" w:hAnsi="Arial" w:cs="Arial"/>
        </w:rPr>
        <w:t xml:space="preserve">, K., Lazarides, R. &amp; </w:t>
      </w:r>
      <w:proofErr w:type="spellStart"/>
      <w:r w:rsidRPr="00A85FF6">
        <w:rPr>
          <w:rFonts w:ascii="Arial" w:hAnsi="Arial" w:cs="Arial"/>
        </w:rPr>
        <w:t>Schiefele</w:t>
      </w:r>
      <w:proofErr w:type="spellEnd"/>
      <w:r w:rsidRPr="00A85FF6">
        <w:rPr>
          <w:rFonts w:ascii="Arial" w:hAnsi="Arial" w:cs="Arial"/>
        </w:rPr>
        <w:t xml:space="preserve">, U. Motivational climate in mathematics classrooms: teacher self-efficacy for student engagement, student- and teacher-reported emotional support and student interest. ZDM Mathematics Education 55, 413–426 (2023). </w:t>
      </w:r>
      <w:hyperlink r:id="rId45" w:history="1">
        <w:r w:rsidRPr="004274F2">
          <w:rPr>
            <w:rStyle w:val="Lienhypertexte"/>
            <w:rFonts w:ascii="Arial" w:hAnsi="Arial" w:cs="Arial"/>
          </w:rPr>
          <w:t>https://doi.org/10.1007/s11858-022-01430-x</w:t>
        </w:r>
      </w:hyperlink>
    </w:p>
    <w:p w14:paraId="431E42DB" w14:textId="229EF9DE" w:rsidR="00A85FF6" w:rsidRDefault="00A85FF6" w:rsidP="00441B6F">
      <w:pPr>
        <w:pStyle w:val="Body"/>
        <w:numPr>
          <w:ilvl w:val="0"/>
          <w:numId w:val="33"/>
        </w:numPr>
        <w:spacing w:after="0"/>
        <w:rPr>
          <w:rFonts w:ascii="Arial" w:hAnsi="Arial" w:cs="Arial"/>
        </w:rPr>
      </w:pPr>
      <w:r w:rsidRPr="00E2595B">
        <w:rPr>
          <w:rFonts w:ascii="Arial" w:hAnsi="Arial" w:cs="Arial"/>
          <w:highlight w:val="blue"/>
        </w:rPr>
        <w:t>Bachtiar</w:t>
      </w:r>
      <w:r w:rsidRPr="00A85FF6">
        <w:rPr>
          <w:rFonts w:ascii="Arial" w:hAnsi="Arial" w:cs="Arial"/>
        </w:rPr>
        <w:t xml:space="preserve">, B. (2024). Insights into Classroom Dynamics: Indonesian EFL Teachers' Self-Efficacy in Instructional Strategies. </w:t>
      </w:r>
      <w:proofErr w:type="spellStart"/>
      <w:r w:rsidRPr="00A85FF6">
        <w:rPr>
          <w:rFonts w:ascii="Arial" w:hAnsi="Arial" w:cs="Arial"/>
        </w:rPr>
        <w:t>Jurnal</w:t>
      </w:r>
      <w:proofErr w:type="spellEnd"/>
      <w:r w:rsidRPr="00A85FF6">
        <w:rPr>
          <w:rFonts w:ascii="Arial" w:hAnsi="Arial" w:cs="Arial"/>
        </w:rPr>
        <w:t xml:space="preserve"> </w:t>
      </w:r>
      <w:proofErr w:type="spellStart"/>
      <w:r w:rsidRPr="00A85FF6">
        <w:rPr>
          <w:rFonts w:ascii="Arial" w:hAnsi="Arial" w:cs="Arial"/>
        </w:rPr>
        <w:t>Basicedu</w:t>
      </w:r>
      <w:proofErr w:type="spellEnd"/>
      <w:r w:rsidRPr="00A85FF6">
        <w:rPr>
          <w:rFonts w:ascii="Arial" w:hAnsi="Arial" w:cs="Arial"/>
        </w:rPr>
        <w:t xml:space="preserve">. </w:t>
      </w:r>
      <w:hyperlink r:id="rId46" w:history="1">
        <w:r w:rsidRPr="004274F2">
          <w:rPr>
            <w:rStyle w:val="Lienhypertexte"/>
            <w:rFonts w:ascii="Arial" w:hAnsi="Arial" w:cs="Arial"/>
          </w:rPr>
          <w:t>https://doi.org/10.31004/basicedu.v8i1</w:t>
        </w:r>
      </w:hyperlink>
    </w:p>
    <w:p w14:paraId="2000B1EF" w14:textId="2FC832B3" w:rsidR="00A85FF6" w:rsidRDefault="00A85FF6" w:rsidP="00441B6F">
      <w:pPr>
        <w:pStyle w:val="Body"/>
        <w:numPr>
          <w:ilvl w:val="0"/>
          <w:numId w:val="33"/>
        </w:numPr>
        <w:spacing w:after="0"/>
        <w:rPr>
          <w:rFonts w:ascii="Arial" w:hAnsi="Arial" w:cs="Arial"/>
        </w:rPr>
      </w:pPr>
      <w:r w:rsidRPr="00E2595B">
        <w:rPr>
          <w:rFonts w:ascii="Arial" w:hAnsi="Arial" w:cs="Arial"/>
          <w:highlight w:val="blue"/>
        </w:rPr>
        <w:t>Zimu</w:t>
      </w:r>
      <w:r w:rsidRPr="00A85FF6">
        <w:rPr>
          <w:rFonts w:ascii="Arial" w:hAnsi="Arial" w:cs="Arial"/>
        </w:rPr>
        <w:t xml:space="preserve">, Y. (2024). Examining the Relationship between Teacher Self-Efficacy and Student Engagement in Technology-enhanced Learning Environments. International Journal of New Developments in Education. </w:t>
      </w:r>
      <w:hyperlink r:id="rId47" w:history="1">
        <w:r w:rsidRPr="004274F2">
          <w:rPr>
            <w:rStyle w:val="Lienhypertexte"/>
            <w:rFonts w:ascii="Arial" w:hAnsi="Arial" w:cs="Arial"/>
          </w:rPr>
          <w:t>https://doi.org/10.25236/IJNDE.2024.060219</w:t>
        </w:r>
      </w:hyperlink>
      <w:r w:rsidRPr="00A85FF6">
        <w:rPr>
          <w:rFonts w:ascii="Arial" w:hAnsi="Arial" w:cs="Arial"/>
        </w:rPr>
        <w:t>.</w:t>
      </w:r>
    </w:p>
    <w:p w14:paraId="2C01C0EE" w14:textId="4947D306" w:rsidR="00A85FF6" w:rsidRDefault="00617F6E" w:rsidP="00441B6F">
      <w:pPr>
        <w:pStyle w:val="Body"/>
        <w:numPr>
          <w:ilvl w:val="0"/>
          <w:numId w:val="33"/>
        </w:numPr>
        <w:spacing w:after="0"/>
        <w:rPr>
          <w:rFonts w:ascii="Arial" w:hAnsi="Arial" w:cs="Arial"/>
        </w:rPr>
      </w:pPr>
      <w:r w:rsidRPr="00E2595B">
        <w:rPr>
          <w:rFonts w:ascii="Arial" w:hAnsi="Arial" w:cs="Arial"/>
          <w:highlight w:val="blue"/>
        </w:rPr>
        <w:t>Hidayatullah</w:t>
      </w:r>
      <w:r w:rsidRPr="00617F6E">
        <w:rPr>
          <w:rFonts w:ascii="Arial" w:hAnsi="Arial" w:cs="Arial"/>
        </w:rPr>
        <w:t xml:space="preserve">, A., </w:t>
      </w:r>
      <w:proofErr w:type="spellStart"/>
      <w:r w:rsidRPr="00617F6E">
        <w:rPr>
          <w:rFonts w:ascii="Arial" w:hAnsi="Arial" w:cs="Arial"/>
        </w:rPr>
        <w:t>Csíkos</w:t>
      </w:r>
      <w:proofErr w:type="spellEnd"/>
      <w:r w:rsidRPr="00617F6E">
        <w:rPr>
          <w:rFonts w:ascii="Arial" w:hAnsi="Arial" w:cs="Arial"/>
        </w:rPr>
        <w:t xml:space="preserve">, C., &amp; </w:t>
      </w:r>
      <w:proofErr w:type="spellStart"/>
      <w:r w:rsidRPr="00617F6E">
        <w:rPr>
          <w:rFonts w:ascii="Arial" w:hAnsi="Arial" w:cs="Arial"/>
        </w:rPr>
        <w:t>Syarifuddin</w:t>
      </w:r>
      <w:proofErr w:type="spellEnd"/>
      <w:r w:rsidRPr="00617F6E">
        <w:rPr>
          <w:rFonts w:ascii="Arial" w:hAnsi="Arial" w:cs="Arial"/>
        </w:rPr>
        <w:t xml:space="preserve">, S. (2023). Beliefs in mathematics learning and utility value as predictors of mathematics engagement among primary education students: the mediating role of self-efficacy. Education 3-13, 1–14. </w:t>
      </w:r>
      <w:hyperlink r:id="rId48" w:history="1">
        <w:r w:rsidRPr="004274F2">
          <w:rPr>
            <w:rStyle w:val="Lienhypertexte"/>
            <w:rFonts w:ascii="Arial" w:hAnsi="Arial" w:cs="Arial"/>
          </w:rPr>
          <w:t>https://doi.org/10.1080/03004279.2023.2294141</w:t>
        </w:r>
      </w:hyperlink>
    </w:p>
    <w:p w14:paraId="0EEADED7" w14:textId="39CB3B78" w:rsidR="00617F6E" w:rsidRDefault="00617F6E" w:rsidP="00441B6F">
      <w:pPr>
        <w:pStyle w:val="Body"/>
        <w:numPr>
          <w:ilvl w:val="0"/>
          <w:numId w:val="33"/>
        </w:numPr>
        <w:spacing w:after="0"/>
        <w:rPr>
          <w:rFonts w:ascii="Arial" w:hAnsi="Arial" w:cs="Arial"/>
        </w:rPr>
      </w:pPr>
      <w:r w:rsidRPr="00E2595B">
        <w:rPr>
          <w:rFonts w:ascii="Arial" w:hAnsi="Arial" w:cs="Arial"/>
          <w:highlight w:val="blue"/>
        </w:rPr>
        <w:t>Tashiro</w:t>
      </w:r>
      <w:r w:rsidRPr="00617F6E">
        <w:rPr>
          <w:rFonts w:ascii="Arial" w:hAnsi="Arial" w:cs="Arial"/>
        </w:rPr>
        <w:t xml:space="preserve">, J., Parga, D., Pollard, J., &amp; </w:t>
      </w:r>
      <w:proofErr w:type="spellStart"/>
      <w:r w:rsidRPr="00617F6E">
        <w:rPr>
          <w:rFonts w:ascii="Arial" w:hAnsi="Arial" w:cs="Arial"/>
        </w:rPr>
        <w:t>Talanquer</w:t>
      </w:r>
      <w:proofErr w:type="spellEnd"/>
      <w:r w:rsidRPr="00617F6E">
        <w:rPr>
          <w:rFonts w:ascii="Arial" w:hAnsi="Arial" w:cs="Arial"/>
        </w:rPr>
        <w:t xml:space="preserve">, V. (2021). Characterizing change in students' self-assessments of understanding when engaged in instructional activities. Chemistry Education Research and Practice, 22(3), 662–682. </w:t>
      </w:r>
      <w:hyperlink r:id="rId49" w:history="1">
        <w:r w:rsidRPr="004274F2">
          <w:rPr>
            <w:rStyle w:val="Lienhypertexte"/>
            <w:rFonts w:ascii="Arial" w:hAnsi="Arial" w:cs="Arial"/>
          </w:rPr>
          <w:t>https://doi.org/10.1039/D0RP00255K</w:t>
        </w:r>
      </w:hyperlink>
    </w:p>
    <w:p w14:paraId="51446F67" w14:textId="2F155177" w:rsidR="00617F6E" w:rsidRDefault="00617F6E" w:rsidP="00441B6F">
      <w:pPr>
        <w:pStyle w:val="Body"/>
        <w:numPr>
          <w:ilvl w:val="0"/>
          <w:numId w:val="33"/>
        </w:numPr>
        <w:spacing w:after="0"/>
        <w:rPr>
          <w:rFonts w:ascii="Arial" w:hAnsi="Arial" w:cs="Arial"/>
        </w:rPr>
      </w:pPr>
      <w:r w:rsidRPr="00E2595B">
        <w:rPr>
          <w:rFonts w:ascii="Arial" w:hAnsi="Arial" w:cs="Arial"/>
          <w:highlight w:val="blue"/>
        </w:rPr>
        <w:t>Lumpkin</w:t>
      </w:r>
      <w:r w:rsidRPr="00617F6E">
        <w:rPr>
          <w:rFonts w:ascii="Arial" w:hAnsi="Arial" w:cs="Arial"/>
        </w:rPr>
        <w:t xml:space="preserve">, A. (2022). Checking for understanding strategies using formative assessments for student learning. Global Research in Higher Education, 5(1), 50–58. </w:t>
      </w:r>
      <w:hyperlink r:id="rId50" w:history="1">
        <w:r w:rsidRPr="004274F2">
          <w:rPr>
            <w:rStyle w:val="Lienhypertexte"/>
            <w:rFonts w:ascii="Arial" w:hAnsi="Arial" w:cs="Arial"/>
          </w:rPr>
          <w:t>https://doi.org/10.22158/grhe.v5n1p50</w:t>
        </w:r>
      </w:hyperlink>
    </w:p>
    <w:p w14:paraId="449EFF1F" w14:textId="20DE276C" w:rsidR="00617F6E" w:rsidRDefault="00617F6E" w:rsidP="00441B6F">
      <w:pPr>
        <w:pStyle w:val="Body"/>
        <w:numPr>
          <w:ilvl w:val="0"/>
          <w:numId w:val="33"/>
        </w:numPr>
        <w:spacing w:after="0"/>
        <w:rPr>
          <w:rFonts w:ascii="Arial" w:hAnsi="Arial" w:cs="Arial"/>
        </w:rPr>
      </w:pPr>
      <w:r w:rsidRPr="00E2595B">
        <w:rPr>
          <w:rFonts w:ascii="Arial" w:hAnsi="Arial" w:cs="Arial"/>
          <w:highlight w:val="blue"/>
        </w:rPr>
        <w:t>Oliveira</w:t>
      </w:r>
      <w:r w:rsidRPr="00617F6E">
        <w:rPr>
          <w:rFonts w:ascii="Arial" w:hAnsi="Arial" w:cs="Arial"/>
        </w:rPr>
        <w:t xml:space="preserve">, H., &amp; Henriques, A., (2021). Preservice mathematics teachers‟ knowledge about the potential of tasks to promote students‟ mathematical reasoning. International Journal of Research in Education and Science (IJRES), 7(4), 1300-1319. </w:t>
      </w:r>
      <w:hyperlink r:id="rId51" w:history="1">
        <w:r w:rsidRPr="004274F2">
          <w:rPr>
            <w:rStyle w:val="Lienhypertexte"/>
            <w:rFonts w:ascii="Arial" w:hAnsi="Arial" w:cs="Arial"/>
          </w:rPr>
          <w:t>https://doi.org/10.46328/ijres.2472</w:t>
        </w:r>
      </w:hyperlink>
    </w:p>
    <w:p w14:paraId="2B1781D2" w14:textId="5E17B4A6" w:rsidR="00617F6E" w:rsidRDefault="00617F6E" w:rsidP="00441B6F">
      <w:pPr>
        <w:pStyle w:val="Body"/>
        <w:numPr>
          <w:ilvl w:val="0"/>
          <w:numId w:val="33"/>
        </w:numPr>
        <w:spacing w:after="0"/>
        <w:rPr>
          <w:rFonts w:ascii="Arial" w:hAnsi="Arial" w:cs="Arial"/>
        </w:rPr>
      </w:pPr>
      <w:proofErr w:type="spellStart"/>
      <w:r w:rsidRPr="00E2595B">
        <w:rPr>
          <w:rFonts w:ascii="Arial" w:hAnsi="Arial" w:cs="Arial"/>
          <w:highlight w:val="blue"/>
        </w:rPr>
        <w:t>Gallavan</w:t>
      </w:r>
      <w:proofErr w:type="spellEnd"/>
      <w:r w:rsidRPr="00617F6E">
        <w:rPr>
          <w:rFonts w:ascii="Arial" w:hAnsi="Arial" w:cs="Arial"/>
        </w:rPr>
        <w:t xml:space="preserve">, N. P. (2020). Ensuring Student Wellbeing and Learning via Effective Classroom Assessments: Teacher Presence, Practice, and Professionalism. In S. Huffman, S. Loyless, S. Albritton, &amp; C. Green (Eds.), Leveraging Technology to Improve School Safety and Student Wellbeing (pp. 102-125). IGI Global Scientific Publishing. </w:t>
      </w:r>
      <w:hyperlink r:id="rId52" w:history="1">
        <w:r w:rsidRPr="004274F2">
          <w:rPr>
            <w:rStyle w:val="Lienhypertexte"/>
            <w:rFonts w:ascii="Arial" w:hAnsi="Arial" w:cs="Arial"/>
          </w:rPr>
          <w:t>https://doi.org/10.4018/978-1-7998-1766-6.ch007</w:t>
        </w:r>
      </w:hyperlink>
    </w:p>
    <w:p w14:paraId="7F6917C9" w14:textId="11F876F5" w:rsidR="00284C4C" w:rsidRPr="00617F6E" w:rsidRDefault="00617F6E" w:rsidP="000D689F">
      <w:pPr>
        <w:pStyle w:val="Body"/>
        <w:numPr>
          <w:ilvl w:val="0"/>
          <w:numId w:val="33"/>
        </w:numPr>
        <w:spacing w:after="0"/>
        <w:rPr>
          <w:rFonts w:ascii="Arial" w:hAnsi="Arial" w:cs="Arial"/>
        </w:rPr>
      </w:pPr>
      <w:r w:rsidRPr="00E2595B">
        <w:rPr>
          <w:highlight w:val="blue"/>
        </w:rPr>
        <w:t>Ranbir</w:t>
      </w:r>
      <w:r w:rsidRPr="00617F6E">
        <w:t>, D., &amp; Education, P.P. (2024). Inclusive Education Practices for Students with Diverse Needs. Innovative Research Thoughts.10.36676/</w:t>
      </w:r>
      <w:proofErr w:type="gramStart"/>
      <w:r w:rsidRPr="00617F6E">
        <w:t>irt.v10.i</w:t>
      </w:r>
      <w:proofErr w:type="gramEnd"/>
      <w:r w:rsidRPr="00617F6E">
        <w:t>1.1405</w:t>
      </w:r>
    </w:p>
    <w:p w14:paraId="29A08AAE" w14:textId="61A6F449" w:rsidR="00617F6E" w:rsidRPr="00823FDB" w:rsidRDefault="00617F6E" w:rsidP="000D689F">
      <w:pPr>
        <w:pStyle w:val="Body"/>
        <w:numPr>
          <w:ilvl w:val="0"/>
          <w:numId w:val="33"/>
        </w:numPr>
        <w:spacing w:after="0"/>
        <w:rPr>
          <w:rStyle w:val="Lienhypertexte"/>
          <w:rFonts w:ascii="Arial" w:hAnsi="Arial" w:cs="Arial"/>
          <w:color w:val="auto"/>
          <w:u w:val="none"/>
        </w:rPr>
      </w:pPr>
      <w:r w:rsidRPr="00E2595B">
        <w:rPr>
          <w:rFonts w:ascii="Arial" w:hAnsi="Arial" w:cs="Arial"/>
          <w:highlight w:val="blue"/>
        </w:rPr>
        <w:t>Meng</w:t>
      </w:r>
      <w:r w:rsidRPr="00617F6E">
        <w:rPr>
          <w:rFonts w:ascii="Arial" w:hAnsi="Arial" w:cs="Arial"/>
        </w:rPr>
        <w:t xml:space="preserve">, Z. (2024). Fostering Inclusive Education Effective Management Practices for Supporting Diverse Student Needs. Education Insights, 1(4), 27-33. </w:t>
      </w:r>
      <w:hyperlink r:id="rId53" w:history="1">
        <w:r w:rsidRPr="004274F2">
          <w:rPr>
            <w:rStyle w:val="Lienhypertexte"/>
            <w:rFonts w:ascii="Arial" w:hAnsi="Arial" w:cs="Arial"/>
          </w:rPr>
          <w:t>https://doi.org/10.70088/n05q4a40</w:t>
        </w:r>
      </w:hyperlink>
    </w:p>
    <w:p w14:paraId="5CF67267" w14:textId="06143891" w:rsidR="00823FDB" w:rsidRPr="00823FDB" w:rsidRDefault="00823FDB" w:rsidP="00823FDB">
      <w:pPr>
        <w:pStyle w:val="Body"/>
        <w:numPr>
          <w:ilvl w:val="0"/>
          <w:numId w:val="33"/>
        </w:numPr>
        <w:spacing w:after="0"/>
        <w:rPr>
          <w:rFonts w:ascii="Arial" w:hAnsi="Arial" w:cs="Arial"/>
        </w:rPr>
      </w:pPr>
      <w:r w:rsidRPr="00E2595B">
        <w:rPr>
          <w:rFonts w:ascii="Arial" w:hAnsi="Arial" w:cs="Arial"/>
          <w:highlight w:val="blue"/>
        </w:rPr>
        <w:t>Devi</w:t>
      </w:r>
      <w:r w:rsidRPr="00617F6E">
        <w:rPr>
          <w:rFonts w:ascii="Arial" w:hAnsi="Arial" w:cs="Arial"/>
        </w:rPr>
        <w:t xml:space="preserve">, D. S. (2023). Differentiated Instruction in Special Education: Meeting Diverse Needs in the Classroom. Global International Research Thoughts, 11(1), 53–57. </w:t>
      </w:r>
      <w:hyperlink r:id="rId54" w:history="1">
        <w:r w:rsidRPr="004274F2">
          <w:rPr>
            <w:rStyle w:val="Lienhypertexte"/>
            <w:rFonts w:ascii="Arial" w:hAnsi="Arial" w:cs="Arial"/>
          </w:rPr>
          <w:t>https://doi.org/10.36676/girt.2023-v11i1-11</w:t>
        </w:r>
      </w:hyperlink>
    </w:p>
    <w:p w14:paraId="1500F3CF" w14:textId="06B407B1" w:rsidR="00617F6E" w:rsidRDefault="00BA1EA5" w:rsidP="000D689F">
      <w:pPr>
        <w:pStyle w:val="Body"/>
        <w:numPr>
          <w:ilvl w:val="0"/>
          <w:numId w:val="33"/>
        </w:numPr>
        <w:spacing w:after="0"/>
        <w:rPr>
          <w:rFonts w:ascii="Arial" w:hAnsi="Arial" w:cs="Arial"/>
        </w:rPr>
      </w:pPr>
      <w:r w:rsidRPr="00E2595B">
        <w:rPr>
          <w:rFonts w:ascii="Arial" w:hAnsi="Arial" w:cs="Arial"/>
          <w:highlight w:val="blue"/>
        </w:rPr>
        <w:t>Walters</w:t>
      </w:r>
      <w:r w:rsidRPr="00BA1EA5">
        <w:rPr>
          <w:rFonts w:ascii="Arial" w:hAnsi="Arial" w:cs="Arial"/>
        </w:rPr>
        <w:t xml:space="preserve">, J.R. &amp; Bradley, N. (2023). Ongoing Professional Development for Busy Teacher Teams. Retrieved from </w:t>
      </w:r>
      <w:hyperlink r:id="rId55" w:history="1">
        <w:r w:rsidRPr="004274F2">
          <w:rPr>
            <w:rStyle w:val="Lienhypertexte"/>
            <w:rFonts w:ascii="Arial" w:hAnsi="Arial" w:cs="Arial"/>
          </w:rPr>
          <w:t>https://www.researchgate.net/publication/371222657_Ongoing_Professional_Development_for_Busy_Teacher_Teams</w:t>
        </w:r>
      </w:hyperlink>
    </w:p>
    <w:p w14:paraId="12EF5AF6" w14:textId="30E9884C" w:rsidR="00BA1EA5" w:rsidRDefault="00E501A5" w:rsidP="000D689F">
      <w:pPr>
        <w:pStyle w:val="Body"/>
        <w:numPr>
          <w:ilvl w:val="0"/>
          <w:numId w:val="33"/>
        </w:numPr>
        <w:spacing w:after="0"/>
        <w:rPr>
          <w:rFonts w:ascii="Arial" w:hAnsi="Arial" w:cs="Arial"/>
        </w:rPr>
      </w:pPr>
      <w:r w:rsidRPr="00E2595B">
        <w:rPr>
          <w:rFonts w:ascii="Arial" w:hAnsi="Arial" w:cs="Arial"/>
          <w:highlight w:val="blue"/>
        </w:rPr>
        <w:t>Darling</w:t>
      </w:r>
      <w:r w:rsidRPr="00E501A5">
        <w:rPr>
          <w:rFonts w:ascii="Arial" w:hAnsi="Arial" w:cs="Arial"/>
        </w:rPr>
        <w:t xml:space="preserve">-Hammond, L., Flook, L., Cook-Harvey, C., Barron, B., &amp; Osher, D. (2020). Implications for educational practice of the science of learning and development. Applied Developmental Science, 24(2), 97-140. </w:t>
      </w:r>
      <w:hyperlink r:id="rId56" w:history="1">
        <w:r w:rsidRPr="004274F2">
          <w:rPr>
            <w:rStyle w:val="Lienhypertexte"/>
            <w:rFonts w:ascii="Arial" w:hAnsi="Arial" w:cs="Arial"/>
          </w:rPr>
          <w:t>https://doi.org/10.1080/10888691.2018.1537791</w:t>
        </w:r>
      </w:hyperlink>
    </w:p>
    <w:p w14:paraId="4282F444" w14:textId="0772D31A" w:rsidR="00E501A5" w:rsidRDefault="00E501A5" w:rsidP="000D689F">
      <w:pPr>
        <w:pStyle w:val="Body"/>
        <w:numPr>
          <w:ilvl w:val="0"/>
          <w:numId w:val="33"/>
        </w:numPr>
        <w:spacing w:after="0"/>
        <w:rPr>
          <w:rFonts w:ascii="Arial" w:hAnsi="Arial" w:cs="Arial"/>
        </w:rPr>
      </w:pPr>
      <w:proofErr w:type="spellStart"/>
      <w:r w:rsidRPr="00E2595B">
        <w:rPr>
          <w:rFonts w:ascii="Arial" w:hAnsi="Arial" w:cs="Arial"/>
          <w:highlight w:val="blue"/>
        </w:rPr>
        <w:t>Cevik</w:t>
      </w:r>
      <w:proofErr w:type="spellEnd"/>
      <w:r w:rsidRPr="00E501A5">
        <w:rPr>
          <w:rFonts w:ascii="Arial" w:hAnsi="Arial" w:cs="Arial"/>
        </w:rPr>
        <w:t xml:space="preserve">, E., </w:t>
      </w:r>
      <w:proofErr w:type="spellStart"/>
      <w:r w:rsidRPr="00E501A5">
        <w:rPr>
          <w:rFonts w:ascii="Arial" w:hAnsi="Arial" w:cs="Arial"/>
        </w:rPr>
        <w:t>Yalvac</w:t>
      </w:r>
      <w:proofErr w:type="spellEnd"/>
      <w:r w:rsidRPr="00E501A5">
        <w:rPr>
          <w:rFonts w:ascii="Arial" w:hAnsi="Arial" w:cs="Arial"/>
        </w:rPr>
        <w:t xml:space="preserve">, B., Johnson, M., </w:t>
      </w:r>
      <w:proofErr w:type="spellStart"/>
      <w:r w:rsidRPr="00E501A5">
        <w:rPr>
          <w:rFonts w:ascii="Arial" w:hAnsi="Arial" w:cs="Arial"/>
        </w:rPr>
        <w:t>Kuttolamadom</w:t>
      </w:r>
      <w:proofErr w:type="spellEnd"/>
      <w:r w:rsidRPr="00E501A5">
        <w:rPr>
          <w:rFonts w:ascii="Arial" w:hAnsi="Arial" w:cs="Arial"/>
        </w:rPr>
        <w:t>, M., Porter, J., &amp; Whitfield, J. (2021). Improving In-Service Science and Mathematics Teachers’ Engineering and Technology Content and Pedagogical Knowledge (Evaluation). 2021 ASEE Virtual Annual Conference Content Access Proceedings. DOI:10.18260/1-2</w:t>
      </w:r>
      <w:r>
        <w:rPr>
          <w:rFonts w:ascii="Arial" w:hAnsi="Arial" w:cs="Arial"/>
        </w:rPr>
        <w:t>—</w:t>
      </w:r>
      <w:r w:rsidRPr="00E501A5">
        <w:rPr>
          <w:rFonts w:ascii="Arial" w:hAnsi="Arial" w:cs="Arial"/>
        </w:rPr>
        <w:t>37306</w:t>
      </w:r>
    </w:p>
    <w:p w14:paraId="607ED83F" w14:textId="502B8CED" w:rsidR="00E501A5" w:rsidRDefault="00E501A5" w:rsidP="005E65E7">
      <w:pPr>
        <w:pStyle w:val="Body"/>
        <w:numPr>
          <w:ilvl w:val="0"/>
          <w:numId w:val="33"/>
        </w:numPr>
        <w:spacing w:after="0"/>
        <w:rPr>
          <w:rFonts w:ascii="Arial" w:hAnsi="Arial" w:cs="Arial"/>
        </w:rPr>
      </w:pPr>
      <w:proofErr w:type="spellStart"/>
      <w:r w:rsidRPr="00E2595B">
        <w:rPr>
          <w:rFonts w:ascii="Arial" w:hAnsi="Arial" w:cs="Arial"/>
          <w:highlight w:val="blue"/>
        </w:rPr>
        <w:t>Copur</w:t>
      </w:r>
      <w:r w:rsidRPr="00E501A5">
        <w:rPr>
          <w:rFonts w:ascii="Arial" w:hAnsi="Arial" w:cs="Arial"/>
        </w:rPr>
        <w:t>-Gencturk</w:t>
      </w:r>
      <w:proofErr w:type="spellEnd"/>
      <w:r w:rsidRPr="00E501A5">
        <w:rPr>
          <w:rFonts w:ascii="Arial" w:hAnsi="Arial" w:cs="Arial"/>
        </w:rPr>
        <w:t xml:space="preserve">, Y., Plowman, D.L., &amp; Bai, H. (2019). Mathematics Teachers’ Learning: Identifying Key Learning Opportunities Linked to Teachers’ Knowledge </w:t>
      </w:r>
      <w:r w:rsidRPr="00E501A5">
        <w:rPr>
          <w:rFonts w:ascii="Arial" w:hAnsi="Arial" w:cs="Arial"/>
        </w:rPr>
        <w:lastRenderedPageBreak/>
        <w:t xml:space="preserve">Growth. American Educational Research Journal, 56, 1590 - 1628. </w:t>
      </w:r>
      <w:hyperlink r:id="rId57" w:history="1">
        <w:r w:rsidRPr="004274F2">
          <w:rPr>
            <w:rStyle w:val="Lienhypertexte"/>
            <w:rFonts w:ascii="Arial" w:hAnsi="Arial" w:cs="Arial"/>
          </w:rPr>
          <w:t>https://doi.org/10.3102/0002831218820033</w:t>
        </w:r>
      </w:hyperlink>
    </w:p>
    <w:p w14:paraId="31CA3DAF" w14:textId="26B03105" w:rsidR="005E65E7" w:rsidRDefault="005E65E7" w:rsidP="005E65E7">
      <w:pPr>
        <w:pStyle w:val="Body"/>
        <w:numPr>
          <w:ilvl w:val="0"/>
          <w:numId w:val="33"/>
        </w:numPr>
        <w:spacing w:after="0"/>
        <w:rPr>
          <w:rFonts w:ascii="Arial" w:hAnsi="Arial" w:cs="Arial"/>
        </w:rPr>
      </w:pPr>
      <w:r w:rsidRPr="00E2595B">
        <w:rPr>
          <w:rFonts w:ascii="Arial" w:hAnsi="Arial" w:cs="Arial"/>
          <w:highlight w:val="blue"/>
        </w:rPr>
        <w:t>Wang</w:t>
      </w:r>
      <w:r w:rsidRPr="005E65E7">
        <w:rPr>
          <w:rFonts w:ascii="Arial" w:hAnsi="Arial" w:cs="Arial"/>
        </w:rPr>
        <w:t xml:space="preserve">, X. (2023). A Study of Early Childhood Teachers’ Professional Development and Teaching Effectiveness Enhancement from the Perspective of Educational Psychology. Contemporary Education and Teaching Research, 4(8), 355–359. </w:t>
      </w:r>
      <w:hyperlink r:id="rId58" w:history="1">
        <w:r w:rsidRPr="004274F2">
          <w:rPr>
            <w:rStyle w:val="Lienhypertexte"/>
            <w:rFonts w:ascii="Arial" w:hAnsi="Arial" w:cs="Arial"/>
          </w:rPr>
          <w:t>https://doi.org/10.61360/bonicetr232014330806</w:t>
        </w:r>
      </w:hyperlink>
    </w:p>
    <w:p w14:paraId="0C62E0B3" w14:textId="7407E554" w:rsidR="005E65E7" w:rsidRDefault="00430FA5" w:rsidP="005E65E7">
      <w:pPr>
        <w:pStyle w:val="Body"/>
        <w:numPr>
          <w:ilvl w:val="0"/>
          <w:numId w:val="33"/>
        </w:numPr>
        <w:spacing w:after="0"/>
        <w:rPr>
          <w:rFonts w:ascii="Arial" w:hAnsi="Arial" w:cs="Arial"/>
        </w:rPr>
      </w:pPr>
      <w:r w:rsidRPr="00E2595B">
        <w:rPr>
          <w:rFonts w:ascii="Arial" w:hAnsi="Arial" w:cs="Arial"/>
          <w:highlight w:val="blue"/>
        </w:rPr>
        <w:t>Yang</w:t>
      </w:r>
      <w:r w:rsidRPr="00430FA5">
        <w:rPr>
          <w:rFonts w:ascii="Arial" w:hAnsi="Arial" w:cs="Arial"/>
        </w:rPr>
        <w:t xml:space="preserve">, H. (2019). The effects of professional development experience on teacher self-efficacy: analysis of an international dataset using Bayesian multilevel models. Professional Development in Education, 46(5), 797–811. </w:t>
      </w:r>
      <w:hyperlink r:id="rId59" w:history="1">
        <w:r w:rsidRPr="004274F2">
          <w:rPr>
            <w:rStyle w:val="Lienhypertexte"/>
            <w:rFonts w:ascii="Arial" w:hAnsi="Arial" w:cs="Arial"/>
          </w:rPr>
          <w:t>https://doi.org/10.1080/19415257.2019.1643393</w:t>
        </w:r>
      </w:hyperlink>
    </w:p>
    <w:p w14:paraId="705AFE28" w14:textId="5974B8AD" w:rsidR="00430FA5" w:rsidRDefault="00430FA5" w:rsidP="005E65E7">
      <w:pPr>
        <w:pStyle w:val="Body"/>
        <w:numPr>
          <w:ilvl w:val="0"/>
          <w:numId w:val="33"/>
        </w:numPr>
        <w:spacing w:after="0"/>
        <w:rPr>
          <w:rFonts w:ascii="Arial" w:hAnsi="Arial" w:cs="Arial"/>
        </w:rPr>
      </w:pPr>
      <w:r w:rsidRPr="00E2595B">
        <w:rPr>
          <w:rFonts w:ascii="Arial" w:hAnsi="Arial" w:cs="Arial"/>
          <w:highlight w:val="blue"/>
        </w:rPr>
        <w:t>Chit</w:t>
      </w:r>
      <w:r w:rsidRPr="00430FA5">
        <w:rPr>
          <w:rFonts w:ascii="Arial" w:hAnsi="Arial" w:cs="Arial"/>
        </w:rPr>
        <w:t xml:space="preserve">, K., &amp; Ye, Y. (2017). A Comparative Study of Teachers’ Perceptions towards School’s Professional Development according to Their Demographics at No. 26 Basic Education High School in Mandalay, Myanmar. Retrieved from: </w:t>
      </w:r>
      <w:hyperlink r:id="rId60" w:history="1">
        <w:r w:rsidRPr="004274F2">
          <w:rPr>
            <w:rStyle w:val="Lienhypertexte"/>
            <w:rFonts w:ascii="Arial" w:hAnsi="Arial" w:cs="Arial"/>
          </w:rPr>
          <w:t>https://www.semanticscholar.org/paper/A-Comparative-Study-of-Teachers%E2%80%99-Perceptions-to-at-Chit-Ye/6de05accc60443478cbb27e914b801ece4dc465b</w:t>
        </w:r>
      </w:hyperlink>
    </w:p>
    <w:p w14:paraId="283ABFE0" w14:textId="23EB3C49" w:rsidR="00430FA5" w:rsidRDefault="00430FA5" w:rsidP="005E65E7">
      <w:pPr>
        <w:pStyle w:val="Body"/>
        <w:numPr>
          <w:ilvl w:val="0"/>
          <w:numId w:val="33"/>
        </w:numPr>
        <w:spacing w:after="0"/>
        <w:rPr>
          <w:rFonts w:ascii="Arial" w:hAnsi="Arial" w:cs="Arial"/>
        </w:rPr>
      </w:pPr>
      <w:r w:rsidRPr="00E2595B">
        <w:rPr>
          <w:rFonts w:ascii="Arial" w:hAnsi="Arial" w:cs="Arial"/>
          <w:highlight w:val="blue"/>
        </w:rPr>
        <w:t>Kim</w:t>
      </w:r>
      <w:r w:rsidRPr="00430FA5">
        <w:rPr>
          <w:rFonts w:ascii="Arial" w:hAnsi="Arial" w:cs="Arial"/>
        </w:rPr>
        <w:t xml:space="preserve">, H. J., Kong, Y., &amp; Tirotta-Esposito, R. (2023). Promoting Diversity, Equity, and Inclusion: An Examination of Diversity-Infused Faculty Professional Development Programs. Journal of Higher Education Theory and Practice, 23(11). </w:t>
      </w:r>
      <w:hyperlink r:id="rId61" w:history="1">
        <w:r w:rsidRPr="004274F2">
          <w:rPr>
            <w:rStyle w:val="Lienhypertexte"/>
            <w:rFonts w:ascii="Arial" w:hAnsi="Arial" w:cs="Arial"/>
          </w:rPr>
          <w:t>https://doi.org/10.33423/jhetp.v23i11.6224</w:t>
        </w:r>
      </w:hyperlink>
    </w:p>
    <w:p w14:paraId="6C669727" w14:textId="241E6F26" w:rsidR="00430FA5" w:rsidRDefault="00430FA5" w:rsidP="005E65E7">
      <w:pPr>
        <w:pStyle w:val="Body"/>
        <w:numPr>
          <w:ilvl w:val="0"/>
          <w:numId w:val="33"/>
        </w:numPr>
        <w:spacing w:after="0"/>
        <w:rPr>
          <w:rFonts w:ascii="Arial" w:hAnsi="Arial" w:cs="Arial"/>
        </w:rPr>
      </w:pPr>
      <w:r w:rsidRPr="00E2595B">
        <w:rPr>
          <w:rFonts w:ascii="Arial" w:hAnsi="Arial" w:cs="Arial"/>
          <w:highlight w:val="blue"/>
        </w:rPr>
        <w:t>Mitton</w:t>
      </w:r>
      <w:r w:rsidRPr="00430FA5">
        <w:rPr>
          <w:rFonts w:ascii="Arial" w:hAnsi="Arial" w:cs="Arial"/>
        </w:rPr>
        <w:t>-</w:t>
      </w:r>
      <w:proofErr w:type="spellStart"/>
      <w:r w:rsidRPr="00430FA5">
        <w:rPr>
          <w:rFonts w:ascii="Arial" w:hAnsi="Arial" w:cs="Arial"/>
        </w:rPr>
        <w:t>Kukner</w:t>
      </w:r>
      <w:proofErr w:type="spellEnd"/>
      <w:r w:rsidRPr="00430FA5">
        <w:rPr>
          <w:rFonts w:ascii="Arial" w:hAnsi="Arial" w:cs="Arial"/>
        </w:rPr>
        <w:t xml:space="preserve">, J. (2019). Exploring Intersections of Work Intensity and Professional Learning: Female Teachers’ Responses to Research Engagement as Professional Learning. Australian Journal of Teacher Education, 44(10). </w:t>
      </w:r>
      <w:hyperlink r:id="rId62" w:history="1">
        <w:r w:rsidRPr="004274F2">
          <w:rPr>
            <w:rStyle w:val="Lienhypertexte"/>
            <w:rFonts w:ascii="Arial" w:hAnsi="Arial" w:cs="Arial"/>
          </w:rPr>
          <w:t>https://doi.org/10.14221/ajte.2019v44n10.5</w:t>
        </w:r>
      </w:hyperlink>
    </w:p>
    <w:p w14:paraId="0CD98BD2" w14:textId="53F86143" w:rsidR="00430FA5" w:rsidRDefault="00430FA5" w:rsidP="005E65E7">
      <w:pPr>
        <w:pStyle w:val="Body"/>
        <w:numPr>
          <w:ilvl w:val="0"/>
          <w:numId w:val="33"/>
        </w:numPr>
        <w:spacing w:after="0"/>
        <w:rPr>
          <w:rFonts w:ascii="Arial" w:hAnsi="Arial" w:cs="Arial"/>
        </w:rPr>
      </w:pPr>
      <w:r w:rsidRPr="00E2595B">
        <w:rPr>
          <w:rFonts w:ascii="Arial" w:hAnsi="Arial" w:cs="Arial"/>
          <w:highlight w:val="blue"/>
        </w:rPr>
        <w:t>Yoo</w:t>
      </w:r>
      <w:r w:rsidRPr="00430FA5">
        <w:rPr>
          <w:rFonts w:ascii="Arial" w:hAnsi="Arial" w:cs="Arial"/>
        </w:rPr>
        <w:t xml:space="preserve">, J.H. (2016). The Effect of Professional Development on Teacher Efficacy and Teachers’ Self-Analysis of Their Efficacy Change. Journal of Teacher Education for Sustainability, 18(1), 2016. 84-94. </w:t>
      </w:r>
      <w:hyperlink r:id="rId63" w:history="1">
        <w:r w:rsidRPr="004274F2">
          <w:rPr>
            <w:rStyle w:val="Lienhypertexte"/>
            <w:rFonts w:ascii="Arial" w:hAnsi="Arial" w:cs="Arial"/>
          </w:rPr>
          <w:t>https://doi.org/10.1515/jtes-2016-0007</w:t>
        </w:r>
      </w:hyperlink>
    </w:p>
    <w:p w14:paraId="74F7702B" w14:textId="1CF202AB" w:rsidR="00430FA5" w:rsidRDefault="00430FA5" w:rsidP="005E65E7">
      <w:pPr>
        <w:pStyle w:val="Body"/>
        <w:numPr>
          <w:ilvl w:val="0"/>
          <w:numId w:val="33"/>
        </w:numPr>
        <w:spacing w:after="0"/>
        <w:rPr>
          <w:rFonts w:ascii="Arial" w:hAnsi="Arial" w:cs="Arial"/>
        </w:rPr>
      </w:pPr>
      <w:r w:rsidRPr="00E2595B">
        <w:rPr>
          <w:rFonts w:ascii="Arial" w:hAnsi="Arial" w:cs="Arial"/>
          <w:highlight w:val="blue"/>
        </w:rPr>
        <w:t>Clark</w:t>
      </w:r>
      <w:r w:rsidRPr="00430FA5">
        <w:rPr>
          <w:rFonts w:ascii="Arial" w:hAnsi="Arial" w:cs="Arial"/>
        </w:rPr>
        <w:t xml:space="preserve">, S., &amp; Newberry, M. (2018). Are we building preservice Teacher self-efficacy? A large-scale study examining Teacher education experiences. Asia-Pacific Journal of Teacher Education, 47(1), 32–47. </w:t>
      </w:r>
      <w:hyperlink r:id="rId64" w:history="1">
        <w:r w:rsidRPr="004274F2">
          <w:rPr>
            <w:rStyle w:val="Lienhypertexte"/>
            <w:rFonts w:ascii="Arial" w:hAnsi="Arial" w:cs="Arial"/>
          </w:rPr>
          <w:t>https://doi.org/10.1080/1359866X.2018.1497772</w:t>
        </w:r>
      </w:hyperlink>
    </w:p>
    <w:p w14:paraId="182B8DD1" w14:textId="373FDD98" w:rsidR="00430FA5" w:rsidRDefault="004E09B4" w:rsidP="005E65E7">
      <w:pPr>
        <w:pStyle w:val="Body"/>
        <w:numPr>
          <w:ilvl w:val="0"/>
          <w:numId w:val="33"/>
        </w:numPr>
        <w:spacing w:after="0"/>
        <w:rPr>
          <w:rFonts w:ascii="Arial" w:hAnsi="Arial" w:cs="Arial"/>
        </w:rPr>
      </w:pPr>
      <w:proofErr w:type="spellStart"/>
      <w:r w:rsidRPr="00E2595B">
        <w:rPr>
          <w:rFonts w:ascii="Arial" w:hAnsi="Arial" w:cs="Arial"/>
          <w:highlight w:val="blue"/>
        </w:rPr>
        <w:t>Lysinge</w:t>
      </w:r>
      <w:proofErr w:type="spellEnd"/>
      <w:r w:rsidRPr="004E09B4">
        <w:rPr>
          <w:rFonts w:ascii="Arial" w:hAnsi="Arial" w:cs="Arial"/>
        </w:rPr>
        <w:t>, N. (2019). Implications of Gender on Teachers’ Teaching Efficacy. International Journal of Trend in Scientific Research and Development.  (</w:t>
      </w:r>
      <w:proofErr w:type="spellStart"/>
      <w:r w:rsidRPr="004E09B4">
        <w:rPr>
          <w:rFonts w:ascii="Arial" w:hAnsi="Arial" w:cs="Arial"/>
        </w:rPr>
        <w:t>ijtsrd</w:t>
      </w:r>
      <w:proofErr w:type="spellEnd"/>
      <w:r w:rsidRPr="004E09B4">
        <w:rPr>
          <w:rFonts w:ascii="Arial" w:hAnsi="Arial" w:cs="Arial"/>
        </w:rPr>
        <w:t xml:space="preserve">), ISSN: 2456-6470, Volume-3.  </w:t>
      </w:r>
      <w:hyperlink r:id="rId65" w:history="1">
        <w:r w:rsidRPr="004274F2">
          <w:rPr>
            <w:rStyle w:val="Lienhypertexte"/>
            <w:rFonts w:ascii="Arial" w:hAnsi="Arial" w:cs="Arial"/>
          </w:rPr>
          <w:t>https://doi.org/10.31142/ijtsrd21467</w:t>
        </w:r>
      </w:hyperlink>
    </w:p>
    <w:p w14:paraId="6FC6C140" w14:textId="6DD889AE" w:rsidR="004E09B4" w:rsidRDefault="004E09B4" w:rsidP="005E65E7">
      <w:pPr>
        <w:pStyle w:val="Body"/>
        <w:numPr>
          <w:ilvl w:val="0"/>
          <w:numId w:val="33"/>
        </w:numPr>
        <w:spacing w:after="0"/>
        <w:rPr>
          <w:rFonts w:ascii="Arial" w:hAnsi="Arial" w:cs="Arial"/>
        </w:rPr>
      </w:pPr>
      <w:proofErr w:type="spellStart"/>
      <w:r w:rsidRPr="00E2595B">
        <w:rPr>
          <w:rFonts w:ascii="Arial" w:hAnsi="Arial" w:cs="Arial"/>
          <w:highlight w:val="blue"/>
        </w:rPr>
        <w:t>Haverback</w:t>
      </w:r>
      <w:proofErr w:type="spellEnd"/>
      <w:r w:rsidRPr="004E09B4">
        <w:rPr>
          <w:rFonts w:ascii="Arial" w:hAnsi="Arial" w:cs="Arial"/>
        </w:rPr>
        <w:t xml:space="preserve">, H.R. (2022). Ms. Pollitt. Educational Psychology and Transformational Classrooms. Routledge. Retrieved from: </w:t>
      </w:r>
      <w:hyperlink r:id="rId66" w:history="1">
        <w:r w:rsidRPr="004274F2">
          <w:rPr>
            <w:rStyle w:val="Lienhypertexte"/>
            <w:rFonts w:ascii="Arial" w:hAnsi="Arial" w:cs="Arial"/>
          </w:rPr>
          <w:t>https://www.taylorfrancis.com/chapters/edit/10.4324/9781003276098-9/ms-pollitt-heather-haverback</w:t>
        </w:r>
      </w:hyperlink>
    </w:p>
    <w:p w14:paraId="7DB24F65" w14:textId="54E1771D" w:rsidR="004E09B4" w:rsidRDefault="004E09B4" w:rsidP="005E65E7">
      <w:pPr>
        <w:pStyle w:val="Body"/>
        <w:numPr>
          <w:ilvl w:val="0"/>
          <w:numId w:val="33"/>
        </w:numPr>
        <w:spacing w:after="0"/>
        <w:rPr>
          <w:rFonts w:ascii="Arial" w:hAnsi="Arial" w:cs="Arial"/>
        </w:rPr>
      </w:pPr>
      <w:proofErr w:type="spellStart"/>
      <w:r w:rsidRPr="00E2595B">
        <w:rPr>
          <w:rFonts w:ascii="Arial" w:hAnsi="Arial" w:cs="Arial"/>
          <w:highlight w:val="blue"/>
        </w:rPr>
        <w:t>Gnatyshina</w:t>
      </w:r>
      <w:proofErr w:type="spellEnd"/>
      <w:r w:rsidRPr="004E09B4">
        <w:rPr>
          <w:rFonts w:ascii="Arial" w:hAnsi="Arial" w:cs="Arial"/>
        </w:rPr>
        <w:t xml:space="preserve">, E., </w:t>
      </w:r>
      <w:proofErr w:type="spellStart"/>
      <w:r w:rsidRPr="004E09B4">
        <w:rPr>
          <w:rFonts w:ascii="Arial" w:hAnsi="Arial" w:cs="Arial"/>
        </w:rPr>
        <w:t>Uvarina</w:t>
      </w:r>
      <w:proofErr w:type="spellEnd"/>
      <w:r w:rsidRPr="004E09B4">
        <w:rPr>
          <w:rFonts w:ascii="Arial" w:hAnsi="Arial" w:cs="Arial"/>
        </w:rPr>
        <w:t xml:space="preserve">, N., </w:t>
      </w:r>
      <w:proofErr w:type="spellStart"/>
      <w:r w:rsidRPr="004E09B4">
        <w:rPr>
          <w:rFonts w:ascii="Arial" w:hAnsi="Arial" w:cs="Arial"/>
        </w:rPr>
        <w:t>Salamatov</w:t>
      </w:r>
      <w:proofErr w:type="spellEnd"/>
      <w:r w:rsidRPr="004E09B4">
        <w:rPr>
          <w:rFonts w:ascii="Arial" w:hAnsi="Arial" w:cs="Arial"/>
        </w:rPr>
        <w:t xml:space="preserve">, A., </w:t>
      </w:r>
      <w:proofErr w:type="spellStart"/>
      <w:r w:rsidRPr="004E09B4">
        <w:rPr>
          <w:rFonts w:ascii="Arial" w:hAnsi="Arial" w:cs="Arial"/>
        </w:rPr>
        <w:t>Savchenkov</w:t>
      </w:r>
      <w:proofErr w:type="spellEnd"/>
      <w:r w:rsidRPr="004E09B4">
        <w:rPr>
          <w:rFonts w:ascii="Arial" w:hAnsi="Arial" w:cs="Arial"/>
        </w:rPr>
        <w:t xml:space="preserve">, A., &amp; </w:t>
      </w:r>
      <w:proofErr w:type="spellStart"/>
      <w:r w:rsidRPr="004E09B4">
        <w:rPr>
          <w:rFonts w:ascii="Arial" w:hAnsi="Arial" w:cs="Arial"/>
        </w:rPr>
        <w:t>Pakhtusova</w:t>
      </w:r>
      <w:proofErr w:type="spellEnd"/>
      <w:r w:rsidRPr="004E09B4">
        <w:rPr>
          <w:rFonts w:ascii="Arial" w:hAnsi="Arial" w:cs="Arial"/>
        </w:rPr>
        <w:t xml:space="preserve">, N. (2018). Analysis of gender differences in the professional identity indicators of pedagogical university students. 39(29). </w:t>
      </w:r>
      <w:hyperlink r:id="rId67" w:history="1">
        <w:r w:rsidRPr="004274F2">
          <w:rPr>
            <w:rStyle w:val="Lienhypertexte"/>
            <w:rFonts w:ascii="Arial" w:hAnsi="Arial" w:cs="Arial"/>
          </w:rPr>
          <w:t>https://www.revistaespacios.com/a18v39n29/18392907.html</w:t>
        </w:r>
      </w:hyperlink>
    </w:p>
    <w:p w14:paraId="30CAE061" w14:textId="18A46331" w:rsidR="004E09B4" w:rsidRPr="00BC1A1B" w:rsidRDefault="004E09B4" w:rsidP="005E65E7">
      <w:pPr>
        <w:pStyle w:val="Body"/>
        <w:numPr>
          <w:ilvl w:val="0"/>
          <w:numId w:val="33"/>
        </w:numPr>
        <w:spacing w:after="0"/>
        <w:rPr>
          <w:rStyle w:val="Lienhypertexte"/>
          <w:rFonts w:ascii="Arial" w:hAnsi="Arial" w:cs="Arial"/>
          <w:color w:val="auto"/>
          <w:u w:val="none"/>
        </w:rPr>
      </w:pPr>
      <w:proofErr w:type="spellStart"/>
      <w:r w:rsidRPr="00E2595B">
        <w:rPr>
          <w:rFonts w:ascii="Arial" w:hAnsi="Arial" w:cs="Arial"/>
          <w:highlight w:val="blue"/>
        </w:rPr>
        <w:t>Kleppang</w:t>
      </w:r>
      <w:proofErr w:type="spellEnd"/>
      <w:r w:rsidRPr="004E09B4">
        <w:rPr>
          <w:rFonts w:ascii="Arial" w:hAnsi="Arial" w:cs="Arial"/>
        </w:rPr>
        <w:t xml:space="preserve">, A. L., </w:t>
      </w:r>
      <w:proofErr w:type="spellStart"/>
      <w:r w:rsidRPr="004E09B4">
        <w:rPr>
          <w:rFonts w:ascii="Arial" w:hAnsi="Arial" w:cs="Arial"/>
        </w:rPr>
        <w:t>Steigen</w:t>
      </w:r>
      <w:proofErr w:type="spellEnd"/>
      <w:r w:rsidRPr="004E09B4">
        <w:rPr>
          <w:rFonts w:ascii="Arial" w:hAnsi="Arial" w:cs="Arial"/>
        </w:rPr>
        <w:t xml:space="preserve">, A. M., &amp; </w:t>
      </w:r>
      <w:proofErr w:type="spellStart"/>
      <w:r w:rsidRPr="004E09B4">
        <w:rPr>
          <w:rFonts w:ascii="Arial" w:hAnsi="Arial" w:cs="Arial"/>
        </w:rPr>
        <w:t>Finbråten</w:t>
      </w:r>
      <w:proofErr w:type="spellEnd"/>
      <w:r w:rsidRPr="004E09B4">
        <w:rPr>
          <w:rFonts w:ascii="Arial" w:hAnsi="Arial" w:cs="Arial"/>
        </w:rPr>
        <w:t xml:space="preserve">, H. S. (2023). Explaining variance in self-efficacy among adolescents: the association between mastery experiences, social support, and self-efficacy. BMC Public Health, 23. </w:t>
      </w:r>
      <w:hyperlink r:id="rId68" w:history="1">
        <w:r w:rsidRPr="004274F2">
          <w:rPr>
            <w:rStyle w:val="Lienhypertexte"/>
            <w:rFonts w:ascii="Arial" w:hAnsi="Arial" w:cs="Arial"/>
          </w:rPr>
          <w:t>https://doi.org/10.1186/s12889-023-16603-w</w:t>
        </w:r>
      </w:hyperlink>
      <w:commentRangeEnd w:id="30"/>
      <w:r w:rsidR="00E2595B">
        <w:rPr>
          <w:rStyle w:val="Marquedecommentaire"/>
          <w:rFonts w:ascii="Times New Roman" w:hAnsi="Times New Roman"/>
          <w:lang w:val="nb-NO" w:eastAsia="nb-NO"/>
        </w:rPr>
        <w:commentReference w:id="30"/>
      </w:r>
    </w:p>
    <w:p w14:paraId="37EB63E4" w14:textId="77777777" w:rsidR="004E09B4" w:rsidRPr="005E65E7" w:rsidRDefault="004E09B4" w:rsidP="004E09B4">
      <w:pPr>
        <w:pStyle w:val="Body"/>
        <w:spacing w:after="0"/>
        <w:ind w:left="720"/>
        <w:rPr>
          <w:rFonts w:ascii="Arial" w:hAnsi="Arial" w:cs="Arial"/>
        </w:rPr>
      </w:pPr>
    </w:p>
    <w:p w14:paraId="211C3B66" w14:textId="201DF637" w:rsidR="004D4277" w:rsidRPr="004E09B4" w:rsidRDefault="004D4277" w:rsidP="004E09B4">
      <w:pPr>
        <w:pStyle w:val="Body"/>
        <w:spacing w:after="0"/>
        <w:sectPr w:rsidR="004D4277" w:rsidRPr="004E09B4" w:rsidSect="00AD77B4">
          <w:headerReference w:type="even" r:id="rId69"/>
          <w:headerReference w:type="default" r:id="rId70"/>
          <w:footerReference w:type="default" r:id="rId71"/>
          <w:headerReference w:type="first" r:id="rId72"/>
          <w:type w:val="continuous"/>
          <w:pgSz w:w="12240" w:h="15840"/>
          <w:pgMar w:top="1440" w:right="2016" w:bottom="2016" w:left="2016" w:header="720" w:footer="1123" w:gutter="0"/>
          <w:cols w:space="720"/>
          <w:docGrid w:linePitch="272"/>
        </w:sectPr>
      </w:pPr>
    </w:p>
    <w:p w14:paraId="531F8DC6" w14:textId="77777777" w:rsidR="00B01FCD" w:rsidRPr="00FB3A86" w:rsidRDefault="00B01FCD" w:rsidP="00441B6F">
      <w:pPr>
        <w:pStyle w:val="Appendix"/>
        <w:spacing w:after="0"/>
        <w:jc w:val="both"/>
        <w:rPr>
          <w:rFonts w:ascii="Arial" w:hAnsi="Arial" w:cs="Arial"/>
          <w:b w:val="0"/>
        </w:rPr>
      </w:pPr>
    </w:p>
    <w:sectPr w:rsidR="00B01FCD" w:rsidRPr="00FB3A86" w:rsidSect="00AD77B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variste KOTTIN" w:date="2025-05-27T20:32:00Z" w:initials="EK">
    <w:p w14:paraId="3B1850BB" w14:textId="7A8CB706" w:rsidR="002A13DB" w:rsidRDefault="002A13DB">
      <w:pPr>
        <w:pStyle w:val="Commentaire"/>
      </w:pPr>
      <w:r>
        <w:rPr>
          <w:rStyle w:val="Marquedecommentaire"/>
        </w:rPr>
        <w:annotationRef/>
      </w:r>
      <w:r>
        <w:t>The research problem and the main objective ought to be written here in a two or three-line sentence.</w:t>
      </w:r>
    </w:p>
  </w:comment>
  <w:comment w:id="2" w:author="Evariste KOTTIN" w:date="2025-05-27T20:40:00Z" w:initials="EK">
    <w:p w14:paraId="6DFFA69C" w14:textId="52AE563E" w:rsidR="002A13DB" w:rsidRDefault="002A13DB">
      <w:pPr>
        <w:pStyle w:val="Commentaire"/>
      </w:pPr>
      <w:r>
        <w:rPr>
          <w:rStyle w:val="Marquedecommentaire"/>
        </w:rPr>
        <w:annotationRef/>
      </w:r>
      <w:r>
        <w:t>This is not the place of suggestions.</w:t>
      </w:r>
    </w:p>
  </w:comment>
  <w:comment w:id="1" w:author="Evariste KOTTIN" w:date="2025-05-27T20:36:00Z" w:initials="EK">
    <w:p w14:paraId="03565D57" w14:textId="68FAD598" w:rsidR="002A13DB" w:rsidRDefault="002A13DB">
      <w:pPr>
        <w:pStyle w:val="Commentaire"/>
      </w:pPr>
      <w:r>
        <w:rPr>
          <w:rStyle w:val="Marquedecommentaire"/>
        </w:rPr>
        <w:annotationRef/>
      </w:r>
      <w:r>
        <w:t>The results you have mentioned are too many. The main results uniquely are written here.</w:t>
      </w:r>
    </w:p>
  </w:comment>
  <w:comment w:id="3" w:author="Evariste KOTTIN" w:date="2025-05-27T20:41:00Z" w:initials="EK">
    <w:p w14:paraId="2FF30E88" w14:textId="77777777" w:rsidR="002A13DB" w:rsidRDefault="002A13DB">
      <w:pPr>
        <w:pStyle w:val="Commentaire"/>
      </w:pPr>
      <w:r>
        <w:rPr>
          <w:rStyle w:val="Marquedecommentaire"/>
        </w:rPr>
        <w:annotationRef/>
      </w:r>
      <w:r>
        <w:t>What is this?</w:t>
      </w:r>
    </w:p>
    <w:p w14:paraId="796F9104" w14:textId="4D111B85" w:rsidR="002A13DB" w:rsidRDefault="002A13DB">
      <w:pPr>
        <w:pStyle w:val="Commentaire"/>
      </w:pPr>
      <w:r>
        <w:t>Is it a suggestion?</w:t>
      </w:r>
    </w:p>
  </w:comment>
  <w:comment w:id="6" w:author="Evariste KOTTIN" w:date="2025-05-27T20:43:00Z" w:initials="EK">
    <w:p w14:paraId="0C934BC9" w14:textId="6E6A9501" w:rsidR="002A13DB" w:rsidRDefault="002A13DB">
      <w:pPr>
        <w:pStyle w:val="Commentaire"/>
      </w:pPr>
      <w:r>
        <w:rPr>
          <w:rStyle w:val="Marquedecommentaire"/>
        </w:rPr>
        <w:annotationRef/>
      </w:r>
      <w:r>
        <w:t xml:space="preserve">What do these acronyms stand for? </w:t>
      </w:r>
      <w:r w:rsidRPr="009246EE">
        <w:rPr>
          <w:rFonts w:ascii="Arial" w:hAnsi="Arial" w:cs="Arial"/>
          <w:szCs w:val="24"/>
          <w:highlight w:val="magenta"/>
          <w:lang w:eastAsia="en-PH"/>
        </w:rPr>
        <w:t>PISA and TIMSS</w:t>
      </w:r>
    </w:p>
  </w:comment>
  <w:comment w:id="4" w:author="Evariste KOTTIN" w:date="2025-05-27T20:46:00Z" w:initials="EK">
    <w:p w14:paraId="2C77A132" w14:textId="268A2237" w:rsidR="002A13DB" w:rsidRDefault="002A13DB">
      <w:pPr>
        <w:pStyle w:val="Commentaire"/>
      </w:pPr>
      <w:r>
        <w:rPr>
          <w:rStyle w:val="Marquedecommentaire"/>
        </w:rPr>
        <w:annotationRef/>
      </w:r>
      <w:r>
        <w:t>Reorganise your paragraphs avoiding short paragraphs of three or four lines.</w:t>
      </w:r>
    </w:p>
  </w:comment>
  <w:comment w:id="7" w:author="Evariste KOTTIN" w:date="2025-05-27T20:51:00Z" w:initials="EK">
    <w:p w14:paraId="7D652BBC" w14:textId="7B886896" w:rsidR="002A13DB" w:rsidRDefault="002A13DB">
      <w:pPr>
        <w:pStyle w:val="Commentaire"/>
      </w:pPr>
      <w:r>
        <w:rPr>
          <w:rStyle w:val="Marquedecommentaire"/>
        </w:rPr>
        <w:annotationRef/>
      </w:r>
      <w:r>
        <w:t>Avoid repetitions.</w:t>
      </w:r>
    </w:p>
  </w:comment>
  <w:comment w:id="8" w:author="Evariste KOTTIN" w:date="2025-05-27T20:50:00Z" w:initials="EK">
    <w:p w14:paraId="5119E616" w14:textId="3369D034" w:rsidR="002A13DB" w:rsidRDefault="002A13DB">
      <w:pPr>
        <w:pStyle w:val="Commentaire"/>
      </w:pPr>
      <w:r>
        <w:rPr>
          <w:rStyle w:val="Marquedecommentaire"/>
        </w:rPr>
        <w:annotationRef/>
      </w:r>
      <w:r>
        <w:t>This sentence si not complete.</w:t>
      </w:r>
    </w:p>
  </w:comment>
  <w:comment w:id="9" w:author="Evariste KOTTIN" w:date="2025-05-27T21:26:00Z" w:initials="EK">
    <w:p w14:paraId="566976A7" w14:textId="1BE7E134" w:rsidR="002A13DB" w:rsidRDefault="002A13DB">
      <w:pPr>
        <w:pStyle w:val="Commentaire"/>
      </w:pPr>
      <w:r>
        <w:rPr>
          <w:rStyle w:val="Marquedecommentaire"/>
        </w:rPr>
        <w:annotationRef/>
      </w:r>
      <w:r>
        <w:t>The literature Review Section is missing here.</w:t>
      </w:r>
    </w:p>
  </w:comment>
  <w:comment w:id="10" w:author="Evariste KOTTIN" w:date="2025-05-27T21:26:00Z" w:initials="EK">
    <w:p w14:paraId="00F2A286" w14:textId="77777777" w:rsidR="002A13DB" w:rsidRDefault="002A13DB" w:rsidP="002A13DB">
      <w:pPr>
        <w:pStyle w:val="Commentaire"/>
      </w:pPr>
      <w:r>
        <w:rPr>
          <w:rStyle w:val="Marquedecommentaire"/>
        </w:rPr>
        <w:annotationRef/>
      </w:r>
      <w:r>
        <w:t>The literature Review Section is missing here.</w:t>
      </w:r>
    </w:p>
  </w:comment>
  <w:comment w:id="11" w:author="Evariste KOTTIN" w:date="2025-05-27T21:30:00Z" w:initials="EK">
    <w:p w14:paraId="10D53512" w14:textId="3FD03BC1" w:rsidR="002A13DB" w:rsidRDefault="002A13DB">
      <w:pPr>
        <w:pStyle w:val="Commentaire"/>
      </w:pPr>
      <w:r>
        <w:rPr>
          <w:rStyle w:val="Marquedecommentaire"/>
        </w:rPr>
        <w:annotationRef/>
      </w:r>
      <w:r>
        <w:t>An introductory passage is missing here.</w:t>
      </w:r>
    </w:p>
  </w:comment>
  <w:comment w:id="13" w:author="Evariste KOTTIN" w:date="2025-05-27T21:26:00Z" w:initials="EK">
    <w:p w14:paraId="1292887D" w14:textId="0EFC2016" w:rsidR="00215A43" w:rsidRDefault="00215A43" w:rsidP="00215A43">
      <w:pPr>
        <w:pStyle w:val="Commentaire"/>
      </w:pPr>
      <w:r>
        <w:rPr>
          <w:rStyle w:val="Marquedecommentaire"/>
        </w:rPr>
        <w:annotationRef/>
      </w:r>
      <w:r>
        <w:t xml:space="preserve">An introductory passage </w:t>
      </w:r>
      <w:r>
        <w:t>is missing here.</w:t>
      </w:r>
    </w:p>
  </w:comment>
  <w:comment w:id="14" w:author="Evariste KOTTIN" w:date="2025-05-27T21:26:00Z" w:initials="EK">
    <w:p w14:paraId="73DA2A82" w14:textId="77777777" w:rsidR="00215A43" w:rsidRDefault="00215A43" w:rsidP="00215A43">
      <w:pPr>
        <w:pStyle w:val="Commentaire"/>
      </w:pPr>
      <w:r>
        <w:rPr>
          <w:rStyle w:val="Marquedecommentaire"/>
        </w:rPr>
        <w:annotationRef/>
      </w:r>
      <w:r>
        <w:t>An introductory passage is missing here.</w:t>
      </w:r>
    </w:p>
  </w:comment>
  <w:comment w:id="15" w:author="Evariste KOTTIN" w:date="2025-05-27T21:41:00Z" w:initials="EK">
    <w:p w14:paraId="34333961" w14:textId="1AB0AED1" w:rsidR="009919D8" w:rsidRDefault="009919D8">
      <w:pPr>
        <w:pStyle w:val="Commentaire"/>
      </w:pPr>
      <w:r>
        <w:rPr>
          <w:rStyle w:val="Marquedecommentaire"/>
        </w:rPr>
        <w:annotationRef/>
      </w:r>
      <w:r>
        <w:t>The source of the table needs to be mentioned here in addition to the frequencies and the percentages.</w:t>
      </w:r>
    </w:p>
  </w:comment>
  <w:comment w:id="16" w:author="Evariste KOTTIN" w:date="2025-05-27T21:44:00Z" w:initials="EK">
    <w:p w14:paraId="7B186898" w14:textId="576862E8" w:rsidR="009919D8" w:rsidRDefault="009919D8">
      <w:pPr>
        <w:pStyle w:val="Commentaire"/>
      </w:pPr>
      <w:r>
        <w:rPr>
          <w:rStyle w:val="Marquedecommentaire"/>
        </w:rPr>
        <w:annotationRef/>
      </w:r>
      <w:r>
        <w:t>Add the frequencies and the percentages here in addition to the totals and the details.</w:t>
      </w:r>
    </w:p>
  </w:comment>
  <w:comment w:id="17" w:author="Evariste KOTTIN" w:date="2025-05-27T21:46:00Z" w:initials="EK">
    <w:p w14:paraId="79D41421"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57808E19" w14:textId="79D84B77" w:rsidR="009919D8" w:rsidRDefault="009919D8">
      <w:pPr>
        <w:pStyle w:val="Commentaire"/>
      </w:pPr>
    </w:p>
  </w:comment>
  <w:comment w:id="18" w:author="Evariste KOTTIN" w:date="2025-05-27T21:56:00Z" w:initials="EK">
    <w:p w14:paraId="5EEE95F0" w14:textId="16A49FDE" w:rsidR="00FB43B3" w:rsidRDefault="00FB43B3">
      <w:pPr>
        <w:pStyle w:val="Commentaire"/>
      </w:pPr>
      <w:r>
        <w:rPr>
          <w:rStyle w:val="Marquedecommentaire"/>
        </w:rPr>
        <w:annotationRef/>
      </w:r>
      <w:r>
        <w:t>Add the frequencies and the percentages here in addition to the totals and the details.</w:t>
      </w:r>
    </w:p>
  </w:comment>
  <w:comment w:id="19" w:author="Evariste KOTTIN" w:date="2025-05-27T21:47:00Z" w:initials="EK">
    <w:p w14:paraId="53DD62B8"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58153896" w14:textId="4128C369" w:rsidR="009919D8" w:rsidRDefault="009919D8">
      <w:pPr>
        <w:pStyle w:val="Commentaire"/>
      </w:pPr>
    </w:p>
  </w:comment>
  <w:comment w:id="20" w:author="Evariste KOTTIN" w:date="2025-05-27T21:58:00Z" w:initials="EK">
    <w:p w14:paraId="4495CD42" w14:textId="396DAAD6" w:rsidR="00FB43B3" w:rsidRDefault="00FB43B3">
      <w:pPr>
        <w:pStyle w:val="Commentaire"/>
      </w:pPr>
      <w:r>
        <w:rPr>
          <w:rStyle w:val="Marquedecommentaire"/>
        </w:rPr>
        <w:annotationRef/>
      </w:r>
      <w:r>
        <w:t>Add the frequencies and the percentages here in addition to the totals and the details.</w:t>
      </w:r>
    </w:p>
  </w:comment>
  <w:comment w:id="21" w:author="Evariste KOTTIN" w:date="2025-05-27T21:48:00Z" w:initials="EK">
    <w:p w14:paraId="6DF11C1E"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568250BE" w14:textId="60606AE1" w:rsidR="009919D8" w:rsidRDefault="009919D8">
      <w:pPr>
        <w:pStyle w:val="Commentaire"/>
      </w:pPr>
    </w:p>
  </w:comment>
  <w:comment w:id="22" w:author="Evariste KOTTIN" w:date="2025-05-27T21:59:00Z" w:initials="EK">
    <w:p w14:paraId="3F3FB0BB" w14:textId="04B33746" w:rsidR="00FB43B3" w:rsidRDefault="00FB43B3">
      <w:pPr>
        <w:pStyle w:val="Commentaire"/>
      </w:pPr>
      <w:r>
        <w:rPr>
          <w:rStyle w:val="Marquedecommentaire"/>
        </w:rPr>
        <w:annotationRef/>
      </w:r>
      <w:r>
        <w:t>Add the frequencies and the percentages here in addition to the totals and the details.</w:t>
      </w:r>
    </w:p>
  </w:comment>
  <w:comment w:id="23" w:author="Evariste KOTTIN" w:date="2025-05-27T21:49:00Z" w:initials="EK">
    <w:p w14:paraId="5E25F49B"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55D097B1" w14:textId="3E58579D" w:rsidR="009919D8" w:rsidRDefault="009919D8">
      <w:pPr>
        <w:pStyle w:val="Commentaire"/>
      </w:pPr>
    </w:p>
  </w:comment>
  <w:comment w:id="24" w:author="Evariste KOTTIN" w:date="2025-05-27T22:00:00Z" w:initials="EK">
    <w:p w14:paraId="5FD60E04" w14:textId="28CCC467" w:rsidR="00FB43B3" w:rsidRDefault="00FB43B3">
      <w:pPr>
        <w:pStyle w:val="Commentaire"/>
      </w:pPr>
      <w:r>
        <w:rPr>
          <w:rStyle w:val="Marquedecommentaire"/>
        </w:rPr>
        <w:annotationRef/>
      </w:r>
      <w:r>
        <w:t>Add the frequencies and the percentages here in addition to the totals and the details.</w:t>
      </w:r>
    </w:p>
  </w:comment>
  <w:comment w:id="25" w:author="Evariste KOTTIN" w:date="2025-05-27T21:49:00Z" w:initials="EK">
    <w:p w14:paraId="42041B27"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3891B6CF" w14:textId="491EEA02" w:rsidR="009919D8" w:rsidRDefault="009919D8">
      <w:pPr>
        <w:pStyle w:val="Commentaire"/>
      </w:pPr>
    </w:p>
  </w:comment>
  <w:comment w:id="26" w:author="Evariste KOTTIN" w:date="2025-05-27T22:00:00Z" w:initials="EK">
    <w:p w14:paraId="52975AA4" w14:textId="416A8635" w:rsidR="00FB43B3" w:rsidRDefault="00FB43B3">
      <w:pPr>
        <w:pStyle w:val="Commentaire"/>
      </w:pPr>
      <w:r>
        <w:rPr>
          <w:rStyle w:val="Marquedecommentaire"/>
        </w:rPr>
        <w:annotationRef/>
      </w:r>
      <w:r>
        <w:t>Add the frequencies and the percentages here in addition to the totals and the details.</w:t>
      </w:r>
    </w:p>
  </w:comment>
  <w:comment w:id="27" w:author="Evariste KOTTIN" w:date="2025-05-27T21:50:00Z" w:initials="EK">
    <w:p w14:paraId="4D1A3A23" w14:textId="77777777" w:rsidR="009919D8" w:rsidRDefault="009919D8" w:rsidP="009919D8">
      <w:pPr>
        <w:pStyle w:val="Commentaire"/>
      </w:pPr>
      <w:r>
        <w:rPr>
          <w:rStyle w:val="Marquedecommentaire"/>
        </w:rPr>
        <w:annotationRef/>
      </w:r>
      <w:r>
        <w:rPr>
          <w:rStyle w:val="Marquedecommentaire"/>
        </w:rPr>
        <w:annotationRef/>
      </w:r>
      <w:r>
        <w:t>The source of the table needs to be mentioned here in addition to the frequencies and the percentages.</w:t>
      </w:r>
    </w:p>
    <w:p w14:paraId="32928B80" w14:textId="3AFE694B" w:rsidR="009919D8" w:rsidRDefault="009919D8">
      <w:pPr>
        <w:pStyle w:val="Commentaire"/>
      </w:pPr>
    </w:p>
  </w:comment>
  <w:comment w:id="28" w:author="Evariste KOTTIN" w:date="2025-05-27T22:01:00Z" w:initials="EK">
    <w:p w14:paraId="2EAB8036" w14:textId="4FE6A454" w:rsidR="00FB43B3" w:rsidRDefault="00FB43B3">
      <w:pPr>
        <w:pStyle w:val="Commentaire"/>
      </w:pPr>
      <w:r>
        <w:rPr>
          <w:rStyle w:val="Marquedecommentaire"/>
        </w:rPr>
        <w:annotationRef/>
      </w:r>
      <w:r>
        <w:t>Add the frequencies and the percentages here in addition to the totals and the details.</w:t>
      </w:r>
    </w:p>
  </w:comment>
  <w:comment w:id="29" w:author="Evariste KOTTIN" w:date="2025-05-27T21:53:00Z" w:initials="EK">
    <w:p w14:paraId="6DFA33EA" w14:textId="7E2B4BA6" w:rsidR="00D74DA4" w:rsidRDefault="00D74DA4">
      <w:pPr>
        <w:pStyle w:val="Commentaire"/>
      </w:pPr>
      <w:r>
        <w:rPr>
          <w:rStyle w:val="Marquedecommentaire"/>
        </w:rPr>
        <w:annotationRef/>
      </w:r>
      <w:r>
        <w:t>Please, write a global conclusion following the different steps and the main contents. Do not number the paragraphs. Your conclusion is your mini article.</w:t>
      </w:r>
    </w:p>
  </w:comment>
  <w:comment w:id="31" w:author="Evariste KOTTIN" w:date="2025-05-27T22:11:00Z" w:initials="EK">
    <w:p w14:paraId="477AC9D7" w14:textId="70F71F3A" w:rsidR="0012498E" w:rsidRDefault="0012498E">
      <w:pPr>
        <w:pStyle w:val="Commentaire"/>
      </w:pPr>
      <w:r>
        <w:rPr>
          <w:rStyle w:val="Marquedecommentaire"/>
        </w:rPr>
        <w:annotationRef/>
      </w:r>
      <w:r>
        <w:t>You need to alphabetise the references.</w:t>
      </w:r>
    </w:p>
  </w:comment>
  <w:comment w:id="32" w:author="Evariste KOTTIN" w:date="2025-05-27T22:13:00Z" w:initials="EK">
    <w:p w14:paraId="46D281F2" w14:textId="77777777" w:rsidR="0012498E" w:rsidRDefault="0012498E" w:rsidP="0012498E">
      <w:pPr>
        <w:pStyle w:val="Commentaire"/>
      </w:pPr>
      <w:r>
        <w:rPr>
          <w:rStyle w:val="Marquedecommentaire"/>
        </w:rPr>
        <w:annotationRef/>
      </w:r>
      <w:r>
        <w:rPr>
          <w:rStyle w:val="Marquedecommentaire"/>
        </w:rPr>
        <w:annotationRef/>
      </w:r>
      <w:r>
        <w:t>You need to alphabetise the references.</w:t>
      </w:r>
    </w:p>
    <w:p w14:paraId="3E3ACA2B" w14:textId="706AA896" w:rsidR="0012498E" w:rsidRDefault="0012498E">
      <w:pPr>
        <w:pStyle w:val="Commentaire"/>
      </w:pPr>
      <w:bookmarkStart w:id="33" w:name="_GoBack"/>
      <w:bookmarkEnd w:id="33"/>
    </w:p>
  </w:comment>
  <w:comment w:id="30" w:author="Evariste KOTTIN" w:date="2025-05-27T22:02:00Z" w:initials="EK">
    <w:p w14:paraId="2356E670" w14:textId="77777777" w:rsidR="00E2595B" w:rsidRDefault="00E2595B">
      <w:pPr>
        <w:pStyle w:val="Commentaire"/>
      </w:pPr>
      <w:r>
        <w:rPr>
          <w:rStyle w:val="Marquedecommentaire"/>
        </w:rPr>
        <w:annotationRef/>
      </w:r>
      <w:r>
        <w:t>Do not use colours or underlining.</w:t>
      </w:r>
    </w:p>
    <w:p w14:paraId="3CC1AFD0" w14:textId="2A29EFF2" w:rsidR="00E2595B" w:rsidRDefault="00E2595B">
      <w:pPr>
        <w:pStyle w:val="Commentaire"/>
      </w:pPr>
      <w:r>
        <w:t>No colours or underlining.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1850BB" w15:done="0"/>
  <w15:commentEx w15:paraId="6DFFA69C" w15:done="0"/>
  <w15:commentEx w15:paraId="03565D57" w15:done="0"/>
  <w15:commentEx w15:paraId="796F9104" w15:done="0"/>
  <w15:commentEx w15:paraId="0C934BC9" w15:done="0"/>
  <w15:commentEx w15:paraId="2C77A132" w15:done="0"/>
  <w15:commentEx w15:paraId="7D652BBC" w15:done="0"/>
  <w15:commentEx w15:paraId="5119E616" w15:done="0"/>
  <w15:commentEx w15:paraId="566976A7" w15:done="0"/>
  <w15:commentEx w15:paraId="00F2A286" w15:done="0"/>
  <w15:commentEx w15:paraId="10D53512" w15:done="0"/>
  <w15:commentEx w15:paraId="1292887D" w15:done="0"/>
  <w15:commentEx w15:paraId="73DA2A82" w15:done="0"/>
  <w15:commentEx w15:paraId="34333961" w15:done="0"/>
  <w15:commentEx w15:paraId="7B186898" w15:done="0"/>
  <w15:commentEx w15:paraId="57808E19" w15:done="0"/>
  <w15:commentEx w15:paraId="5EEE95F0" w15:done="0"/>
  <w15:commentEx w15:paraId="58153896" w15:done="0"/>
  <w15:commentEx w15:paraId="4495CD42" w15:done="0"/>
  <w15:commentEx w15:paraId="568250BE" w15:done="0"/>
  <w15:commentEx w15:paraId="3F3FB0BB" w15:done="0"/>
  <w15:commentEx w15:paraId="55D097B1" w15:done="0"/>
  <w15:commentEx w15:paraId="5FD60E04" w15:done="0"/>
  <w15:commentEx w15:paraId="3891B6CF" w15:done="0"/>
  <w15:commentEx w15:paraId="52975AA4" w15:done="0"/>
  <w15:commentEx w15:paraId="32928B80" w15:done="0"/>
  <w15:commentEx w15:paraId="2EAB8036" w15:done="0"/>
  <w15:commentEx w15:paraId="6DFA33EA" w15:done="0"/>
  <w15:commentEx w15:paraId="477AC9D7" w15:done="0"/>
  <w15:commentEx w15:paraId="3E3ACA2B" w15:done="0"/>
  <w15:commentEx w15:paraId="3CC1AF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850BB" w16cid:durableId="2BE09FF6"/>
  <w16cid:commentId w16cid:paraId="6DFFA69C" w16cid:durableId="2BE0A1A8"/>
  <w16cid:commentId w16cid:paraId="03565D57" w16cid:durableId="2BE0A0CB"/>
  <w16cid:commentId w16cid:paraId="796F9104" w16cid:durableId="2BE0A203"/>
  <w16cid:commentId w16cid:paraId="0C934BC9" w16cid:durableId="2BE0A28A"/>
  <w16cid:commentId w16cid:paraId="2C77A132" w16cid:durableId="2BE0A33B"/>
  <w16cid:commentId w16cid:paraId="7D652BBC" w16cid:durableId="2BE0A454"/>
  <w16cid:commentId w16cid:paraId="5119E616" w16cid:durableId="2BE0A432"/>
  <w16cid:commentId w16cid:paraId="566976A7" w16cid:durableId="2BE0ACA3"/>
  <w16cid:commentId w16cid:paraId="00F2A286" w16cid:durableId="2BE0AD52"/>
  <w16cid:commentId w16cid:paraId="10D53512" w16cid:durableId="2BE0AD5E"/>
  <w16cid:commentId w16cid:paraId="1292887D" w16cid:durableId="2BE0AE2A"/>
  <w16cid:commentId w16cid:paraId="73DA2A82" w16cid:durableId="2BE0AEC1"/>
  <w16cid:commentId w16cid:paraId="34333961" w16cid:durableId="2BE0B01C"/>
  <w16cid:commentId w16cid:paraId="7B186898" w16cid:durableId="2BE0B0BC"/>
  <w16cid:commentId w16cid:paraId="57808E19" w16cid:durableId="2BE0B131"/>
  <w16cid:commentId w16cid:paraId="5EEE95F0" w16cid:durableId="2BE0B3A9"/>
  <w16cid:commentId w16cid:paraId="58153896" w16cid:durableId="2BE0B172"/>
  <w16cid:commentId w16cid:paraId="4495CD42" w16cid:durableId="2BE0B3F5"/>
  <w16cid:commentId w16cid:paraId="568250BE" w16cid:durableId="2BE0B1A6"/>
  <w16cid:commentId w16cid:paraId="3F3FB0BB" w16cid:durableId="2BE0B424"/>
  <w16cid:commentId w16cid:paraId="55D097B1" w16cid:durableId="2BE0B1D1"/>
  <w16cid:commentId w16cid:paraId="5FD60E04" w16cid:durableId="2BE0B463"/>
  <w16cid:commentId w16cid:paraId="3891B6CF" w16cid:durableId="2BE0B205"/>
  <w16cid:commentId w16cid:paraId="52975AA4" w16cid:durableId="2BE0B493"/>
  <w16cid:commentId w16cid:paraId="32928B80" w16cid:durableId="2BE0B241"/>
  <w16cid:commentId w16cid:paraId="2EAB8036" w16cid:durableId="2BE0B4B9"/>
  <w16cid:commentId w16cid:paraId="6DFA33EA" w16cid:durableId="2BE0B2C7"/>
  <w16cid:commentId w16cid:paraId="477AC9D7" w16cid:durableId="2BE0B72D"/>
  <w16cid:commentId w16cid:paraId="3E3ACA2B" w16cid:durableId="2BE0B795"/>
  <w16cid:commentId w16cid:paraId="3CC1AFD0" w16cid:durableId="2BE0B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58C9" w14:textId="77777777" w:rsidR="00D758A2" w:rsidRDefault="00D758A2" w:rsidP="00C37E61">
      <w:r>
        <w:separator/>
      </w:r>
    </w:p>
  </w:endnote>
  <w:endnote w:type="continuationSeparator" w:id="0">
    <w:p w14:paraId="7D9739BC" w14:textId="77777777" w:rsidR="00D758A2" w:rsidRDefault="00D758A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3D6A" w14:textId="77777777" w:rsidR="002A13DB" w:rsidRPr="00C37E61" w:rsidRDefault="002A13DB"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D2EF" w14:textId="77777777" w:rsidR="00D758A2" w:rsidRDefault="00D758A2" w:rsidP="00C37E61">
      <w:r>
        <w:separator/>
      </w:r>
    </w:p>
  </w:footnote>
  <w:footnote w:type="continuationSeparator" w:id="0">
    <w:p w14:paraId="376EBEA2" w14:textId="77777777" w:rsidR="00D758A2" w:rsidRDefault="00D758A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D095" w14:textId="509E5BBF" w:rsidR="002A13DB" w:rsidRDefault="002A13DB">
    <w:pPr>
      <w:pStyle w:val="En-tte"/>
    </w:pPr>
    <w:r>
      <w:rPr>
        <w:noProof/>
      </w:rPr>
      <w:pict w14:anchorId="4BBA9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F8CC" w14:textId="31AD1196" w:rsidR="002A13DB" w:rsidRDefault="002A13DB">
    <w:pPr>
      <w:pStyle w:val="En-tte"/>
    </w:pPr>
    <w:r>
      <w:rPr>
        <w:noProof/>
      </w:rPr>
      <w:pict w14:anchorId="15F34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C8E6" w14:textId="0B5AA531" w:rsidR="002A13DB" w:rsidRPr="00296529" w:rsidRDefault="002A13DB" w:rsidP="00296529">
    <w:pPr>
      <w:ind w:left="2160"/>
      <w:jc w:val="center"/>
      <w:rPr>
        <w:rFonts w:ascii="Times New Roman" w:eastAsia="Calibri" w:hAnsi="Times New Roman"/>
        <w:i/>
        <w:sz w:val="18"/>
        <w:szCs w:val="22"/>
      </w:rPr>
    </w:pPr>
    <w:r>
      <w:rPr>
        <w:noProof/>
      </w:rPr>
      <w:pict w14:anchorId="340DA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EEF772" w14:textId="77777777" w:rsidR="002A13DB" w:rsidRPr="00296529" w:rsidRDefault="002A13D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97ACBB" w14:textId="77777777" w:rsidR="002A13DB" w:rsidRPr="00296529" w:rsidRDefault="002A13D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A2D05" w14:textId="77777777" w:rsidR="002A13DB" w:rsidRPr="00296529" w:rsidRDefault="002A13D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DDD4D" w14:textId="77777777" w:rsidR="002A13DB" w:rsidRDefault="002A13D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FAD8F" w14:textId="77777777" w:rsidR="002A13DB" w:rsidRDefault="002A13D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0237F1" w14:textId="77777777" w:rsidR="002A13DB" w:rsidRDefault="002A13DB">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F024" w14:textId="05AC95E9" w:rsidR="002A13DB" w:rsidRDefault="002A13DB">
    <w:pPr>
      <w:pStyle w:val="En-tte"/>
    </w:pPr>
    <w:r>
      <w:rPr>
        <w:noProof/>
      </w:rPr>
      <w:pict w14:anchorId="62983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958A" w14:textId="1ED99A8F" w:rsidR="002A13DB" w:rsidRDefault="002A13DB">
    <w:pPr>
      <w:pStyle w:val="En-tte"/>
    </w:pPr>
    <w:r>
      <w:rPr>
        <w:noProof/>
      </w:rPr>
      <w:pict w14:anchorId="6AE2E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1794" w14:textId="21497049" w:rsidR="002A13DB" w:rsidRDefault="002A13DB">
    <w:pPr>
      <w:pStyle w:val="En-tte"/>
    </w:pPr>
    <w:r>
      <w:rPr>
        <w:noProof/>
      </w:rPr>
      <w:pict w14:anchorId="3583E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7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864EF0"/>
    <w:multiLevelType w:val="hybridMultilevel"/>
    <w:tmpl w:val="A00086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D5D89"/>
    <w:multiLevelType w:val="hybridMultilevel"/>
    <w:tmpl w:val="F02ED2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B6C2A"/>
    <w:multiLevelType w:val="multilevel"/>
    <w:tmpl w:val="6C427F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color w:val="FF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9"/>
  </w:num>
  <w:num w:numId="32">
    <w:abstractNumId w:val="12"/>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riste KOTTIN">
    <w15:presenceInfo w15:providerId="Windows Live" w15:userId="1ca7d6db0bd63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6ECC"/>
    <w:rsid w:val="00030174"/>
    <w:rsid w:val="00032FE8"/>
    <w:rsid w:val="000425BF"/>
    <w:rsid w:val="0004579C"/>
    <w:rsid w:val="00052606"/>
    <w:rsid w:val="000854CC"/>
    <w:rsid w:val="000A3E86"/>
    <w:rsid w:val="000A47FA"/>
    <w:rsid w:val="000A65D3"/>
    <w:rsid w:val="000B1E33"/>
    <w:rsid w:val="000D689F"/>
    <w:rsid w:val="000E1FE9"/>
    <w:rsid w:val="000E40DD"/>
    <w:rsid w:val="000E7B7B"/>
    <w:rsid w:val="000E7D62"/>
    <w:rsid w:val="00103357"/>
    <w:rsid w:val="001168ED"/>
    <w:rsid w:val="00123C9F"/>
    <w:rsid w:val="0012498E"/>
    <w:rsid w:val="00126190"/>
    <w:rsid w:val="00130F17"/>
    <w:rsid w:val="001320BF"/>
    <w:rsid w:val="00152230"/>
    <w:rsid w:val="00163BC4"/>
    <w:rsid w:val="00174DA8"/>
    <w:rsid w:val="001833BA"/>
    <w:rsid w:val="00191062"/>
    <w:rsid w:val="00191397"/>
    <w:rsid w:val="00192B72"/>
    <w:rsid w:val="001A29D8"/>
    <w:rsid w:val="001A5CAA"/>
    <w:rsid w:val="001B0427"/>
    <w:rsid w:val="001B7D13"/>
    <w:rsid w:val="001C0C2C"/>
    <w:rsid w:val="001D3A51"/>
    <w:rsid w:val="001E10D2"/>
    <w:rsid w:val="001E25B4"/>
    <w:rsid w:val="001E44FE"/>
    <w:rsid w:val="00200595"/>
    <w:rsid w:val="00204835"/>
    <w:rsid w:val="00215A43"/>
    <w:rsid w:val="002314A9"/>
    <w:rsid w:val="0023168B"/>
    <w:rsid w:val="00231920"/>
    <w:rsid w:val="0023195C"/>
    <w:rsid w:val="0024282C"/>
    <w:rsid w:val="002460DC"/>
    <w:rsid w:val="00250985"/>
    <w:rsid w:val="002556F6"/>
    <w:rsid w:val="002735C6"/>
    <w:rsid w:val="002804BC"/>
    <w:rsid w:val="00283105"/>
    <w:rsid w:val="00284C4C"/>
    <w:rsid w:val="00286E25"/>
    <w:rsid w:val="00287E68"/>
    <w:rsid w:val="00296529"/>
    <w:rsid w:val="002A13DB"/>
    <w:rsid w:val="002B27FB"/>
    <w:rsid w:val="002B685A"/>
    <w:rsid w:val="002C57D2"/>
    <w:rsid w:val="002D797F"/>
    <w:rsid w:val="002E0D56"/>
    <w:rsid w:val="002E356E"/>
    <w:rsid w:val="002E6DC0"/>
    <w:rsid w:val="0030191F"/>
    <w:rsid w:val="00315186"/>
    <w:rsid w:val="0033343E"/>
    <w:rsid w:val="003512C2"/>
    <w:rsid w:val="00371FB6"/>
    <w:rsid w:val="003763C1"/>
    <w:rsid w:val="00376BBE"/>
    <w:rsid w:val="00380CBB"/>
    <w:rsid w:val="0039224F"/>
    <w:rsid w:val="003A43A4"/>
    <w:rsid w:val="003A7E18"/>
    <w:rsid w:val="003C4C86"/>
    <w:rsid w:val="003C511C"/>
    <w:rsid w:val="003C6258"/>
    <w:rsid w:val="003E2904"/>
    <w:rsid w:val="003F036F"/>
    <w:rsid w:val="00401927"/>
    <w:rsid w:val="0041027F"/>
    <w:rsid w:val="00412475"/>
    <w:rsid w:val="004210E6"/>
    <w:rsid w:val="00423789"/>
    <w:rsid w:val="00424489"/>
    <w:rsid w:val="00430FA5"/>
    <w:rsid w:val="00440F43"/>
    <w:rsid w:val="00441B6F"/>
    <w:rsid w:val="0044489D"/>
    <w:rsid w:val="00446221"/>
    <w:rsid w:val="00450E62"/>
    <w:rsid w:val="004539DB"/>
    <w:rsid w:val="00471A80"/>
    <w:rsid w:val="004A0787"/>
    <w:rsid w:val="004C646D"/>
    <w:rsid w:val="004D1FBB"/>
    <w:rsid w:val="004D305E"/>
    <w:rsid w:val="004D4277"/>
    <w:rsid w:val="004E09B4"/>
    <w:rsid w:val="004E2518"/>
    <w:rsid w:val="004E61C7"/>
    <w:rsid w:val="00502516"/>
    <w:rsid w:val="00505F06"/>
    <w:rsid w:val="00506828"/>
    <w:rsid w:val="0053056E"/>
    <w:rsid w:val="00531150"/>
    <w:rsid w:val="00554FDA"/>
    <w:rsid w:val="00565115"/>
    <w:rsid w:val="00574D58"/>
    <w:rsid w:val="005777E7"/>
    <w:rsid w:val="00587A5F"/>
    <w:rsid w:val="005A115F"/>
    <w:rsid w:val="005B722C"/>
    <w:rsid w:val="005C784C"/>
    <w:rsid w:val="005D17F6"/>
    <w:rsid w:val="005E5539"/>
    <w:rsid w:val="005E65E7"/>
    <w:rsid w:val="006014BF"/>
    <w:rsid w:val="006020CA"/>
    <w:rsid w:val="00602BF5"/>
    <w:rsid w:val="00617F6E"/>
    <w:rsid w:val="00617FDD"/>
    <w:rsid w:val="00632968"/>
    <w:rsid w:val="00633614"/>
    <w:rsid w:val="00633F68"/>
    <w:rsid w:val="00636EB2"/>
    <w:rsid w:val="006375B8"/>
    <w:rsid w:val="006434BE"/>
    <w:rsid w:val="0066363F"/>
    <w:rsid w:val="0066510A"/>
    <w:rsid w:val="00672B8C"/>
    <w:rsid w:val="00673F9F"/>
    <w:rsid w:val="0067664A"/>
    <w:rsid w:val="00686953"/>
    <w:rsid w:val="00687DEA"/>
    <w:rsid w:val="00687E67"/>
    <w:rsid w:val="006967F7"/>
    <w:rsid w:val="006A250C"/>
    <w:rsid w:val="006B21D3"/>
    <w:rsid w:val="006B57D0"/>
    <w:rsid w:val="006D30FF"/>
    <w:rsid w:val="006D6940"/>
    <w:rsid w:val="006F11EC"/>
    <w:rsid w:val="006F77BF"/>
    <w:rsid w:val="0070082C"/>
    <w:rsid w:val="00725A05"/>
    <w:rsid w:val="007353C8"/>
    <w:rsid w:val="007369E6"/>
    <w:rsid w:val="007441CB"/>
    <w:rsid w:val="00746E59"/>
    <w:rsid w:val="00751CEA"/>
    <w:rsid w:val="00754C9A"/>
    <w:rsid w:val="0075599A"/>
    <w:rsid w:val="007613B5"/>
    <w:rsid w:val="00761D52"/>
    <w:rsid w:val="00770A2E"/>
    <w:rsid w:val="0077749E"/>
    <w:rsid w:val="00790ADA"/>
    <w:rsid w:val="007B4CCB"/>
    <w:rsid w:val="007D2288"/>
    <w:rsid w:val="007D616E"/>
    <w:rsid w:val="007E088F"/>
    <w:rsid w:val="007F7B32"/>
    <w:rsid w:val="00804BC2"/>
    <w:rsid w:val="0080554C"/>
    <w:rsid w:val="00811DEF"/>
    <w:rsid w:val="0081431A"/>
    <w:rsid w:val="00815686"/>
    <w:rsid w:val="00823FDB"/>
    <w:rsid w:val="008272C4"/>
    <w:rsid w:val="0083216F"/>
    <w:rsid w:val="00843544"/>
    <w:rsid w:val="00860000"/>
    <w:rsid w:val="00863BD3"/>
    <w:rsid w:val="008641ED"/>
    <w:rsid w:val="00866D66"/>
    <w:rsid w:val="008671C6"/>
    <w:rsid w:val="008752F8"/>
    <w:rsid w:val="00875803"/>
    <w:rsid w:val="008923C5"/>
    <w:rsid w:val="00895188"/>
    <w:rsid w:val="008B09CD"/>
    <w:rsid w:val="008B2566"/>
    <w:rsid w:val="008B459E"/>
    <w:rsid w:val="008E13AE"/>
    <w:rsid w:val="008E1506"/>
    <w:rsid w:val="008E29D7"/>
    <w:rsid w:val="008E710C"/>
    <w:rsid w:val="008F69B3"/>
    <w:rsid w:val="008F69D6"/>
    <w:rsid w:val="00902823"/>
    <w:rsid w:val="00915CA6"/>
    <w:rsid w:val="009246EE"/>
    <w:rsid w:val="00927834"/>
    <w:rsid w:val="009302C4"/>
    <w:rsid w:val="00932FDA"/>
    <w:rsid w:val="009500A6"/>
    <w:rsid w:val="009527D5"/>
    <w:rsid w:val="00957C18"/>
    <w:rsid w:val="009659BA"/>
    <w:rsid w:val="00983040"/>
    <w:rsid w:val="00985DEA"/>
    <w:rsid w:val="009919D8"/>
    <w:rsid w:val="00992C86"/>
    <w:rsid w:val="00995D8C"/>
    <w:rsid w:val="009A6B8E"/>
    <w:rsid w:val="009B3FB9"/>
    <w:rsid w:val="009C2465"/>
    <w:rsid w:val="009C742E"/>
    <w:rsid w:val="009D35A0"/>
    <w:rsid w:val="009D7EB7"/>
    <w:rsid w:val="009E048A"/>
    <w:rsid w:val="009E08E9"/>
    <w:rsid w:val="009E3DB9"/>
    <w:rsid w:val="009E6E35"/>
    <w:rsid w:val="009F0EDA"/>
    <w:rsid w:val="00A03B96"/>
    <w:rsid w:val="00A05B19"/>
    <w:rsid w:val="00A07021"/>
    <w:rsid w:val="00A1134E"/>
    <w:rsid w:val="00A132CC"/>
    <w:rsid w:val="00A24E7E"/>
    <w:rsid w:val="00A258C3"/>
    <w:rsid w:val="00A347C0"/>
    <w:rsid w:val="00A51431"/>
    <w:rsid w:val="00A539AD"/>
    <w:rsid w:val="00A574A1"/>
    <w:rsid w:val="00A63782"/>
    <w:rsid w:val="00A75F7B"/>
    <w:rsid w:val="00A85FF6"/>
    <w:rsid w:val="00A94063"/>
    <w:rsid w:val="00AA5257"/>
    <w:rsid w:val="00AA6219"/>
    <w:rsid w:val="00AA74E0"/>
    <w:rsid w:val="00AB703F"/>
    <w:rsid w:val="00AC6BB8"/>
    <w:rsid w:val="00AD117E"/>
    <w:rsid w:val="00AD77B4"/>
    <w:rsid w:val="00AE008F"/>
    <w:rsid w:val="00AF08A9"/>
    <w:rsid w:val="00AF21B5"/>
    <w:rsid w:val="00B01FCD"/>
    <w:rsid w:val="00B157E3"/>
    <w:rsid w:val="00B1776C"/>
    <w:rsid w:val="00B22104"/>
    <w:rsid w:val="00B27DED"/>
    <w:rsid w:val="00B42D57"/>
    <w:rsid w:val="00B52583"/>
    <w:rsid w:val="00B52896"/>
    <w:rsid w:val="00B95236"/>
    <w:rsid w:val="00B9544A"/>
    <w:rsid w:val="00B96BD9"/>
    <w:rsid w:val="00B96EAF"/>
    <w:rsid w:val="00BA1B01"/>
    <w:rsid w:val="00BA1EA5"/>
    <w:rsid w:val="00BA2641"/>
    <w:rsid w:val="00BA6495"/>
    <w:rsid w:val="00BB37AA"/>
    <w:rsid w:val="00BC1A1B"/>
    <w:rsid w:val="00BC53A0"/>
    <w:rsid w:val="00BD0FEE"/>
    <w:rsid w:val="00BD123A"/>
    <w:rsid w:val="00BE62AD"/>
    <w:rsid w:val="00BE7C78"/>
    <w:rsid w:val="00BF121F"/>
    <w:rsid w:val="00BF1F80"/>
    <w:rsid w:val="00C0429E"/>
    <w:rsid w:val="00C166EF"/>
    <w:rsid w:val="00C17EB0"/>
    <w:rsid w:val="00C230EF"/>
    <w:rsid w:val="00C27F5F"/>
    <w:rsid w:val="00C30A0F"/>
    <w:rsid w:val="00C37E61"/>
    <w:rsid w:val="00C43470"/>
    <w:rsid w:val="00C471EB"/>
    <w:rsid w:val="00C70F1B"/>
    <w:rsid w:val="00C71A47"/>
    <w:rsid w:val="00C7219B"/>
    <w:rsid w:val="00C7464C"/>
    <w:rsid w:val="00C74A2B"/>
    <w:rsid w:val="00C85588"/>
    <w:rsid w:val="00CC391C"/>
    <w:rsid w:val="00CD2DC5"/>
    <w:rsid w:val="00CD6755"/>
    <w:rsid w:val="00CD6856"/>
    <w:rsid w:val="00CE0089"/>
    <w:rsid w:val="00CE31C6"/>
    <w:rsid w:val="00CE3521"/>
    <w:rsid w:val="00CE793C"/>
    <w:rsid w:val="00CF193C"/>
    <w:rsid w:val="00D024BC"/>
    <w:rsid w:val="00D02E2F"/>
    <w:rsid w:val="00D173F1"/>
    <w:rsid w:val="00D51E9F"/>
    <w:rsid w:val="00D74CB0"/>
    <w:rsid w:val="00D74DA4"/>
    <w:rsid w:val="00D758A2"/>
    <w:rsid w:val="00D8295D"/>
    <w:rsid w:val="00D91BE4"/>
    <w:rsid w:val="00DA16E9"/>
    <w:rsid w:val="00DA3532"/>
    <w:rsid w:val="00DA73E7"/>
    <w:rsid w:val="00DC2A65"/>
    <w:rsid w:val="00DE15F0"/>
    <w:rsid w:val="00DE4428"/>
    <w:rsid w:val="00DE5663"/>
    <w:rsid w:val="00DE78AA"/>
    <w:rsid w:val="00DF0849"/>
    <w:rsid w:val="00E053D0"/>
    <w:rsid w:val="00E146C1"/>
    <w:rsid w:val="00E15994"/>
    <w:rsid w:val="00E2595B"/>
    <w:rsid w:val="00E3114E"/>
    <w:rsid w:val="00E31A70"/>
    <w:rsid w:val="00E35B02"/>
    <w:rsid w:val="00E501A5"/>
    <w:rsid w:val="00E66496"/>
    <w:rsid w:val="00E66B35"/>
    <w:rsid w:val="00E66E10"/>
    <w:rsid w:val="00E67051"/>
    <w:rsid w:val="00E769F6"/>
    <w:rsid w:val="00E8407C"/>
    <w:rsid w:val="00E84F3C"/>
    <w:rsid w:val="00E87B6C"/>
    <w:rsid w:val="00E87C4B"/>
    <w:rsid w:val="00EA012C"/>
    <w:rsid w:val="00EA132F"/>
    <w:rsid w:val="00EB23E4"/>
    <w:rsid w:val="00EB3DB0"/>
    <w:rsid w:val="00EC6A55"/>
    <w:rsid w:val="00EC73EE"/>
    <w:rsid w:val="00ED0288"/>
    <w:rsid w:val="00EE354D"/>
    <w:rsid w:val="00EE52CB"/>
    <w:rsid w:val="00EF581D"/>
    <w:rsid w:val="00EF7FD8"/>
    <w:rsid w:val="00F0433A"/>
    <w:rsid w:val="00F06F59"/>
    <w:rsid w:val="00F127E5"/>
    <w:rsid w:val="00F14858"/>
    <w:rsid w:val="00F17988"/>
    <w:rsid w:val="00F2124F"/>
    <w:rsid w:val="00F30664"/>
    <w:rsid w:val="00F349D8"/>
    <w:rsid w:val="00F422E4"/>
    <w:rsid w:val="00F469F0"/>
    <w:rsid w:val="00F53273"/>
    <w:rsid w:val="00F654EC"/>
    <w:rsid w:val="00F7497B"/>
    <w:rsid w:val="00F755E4"/>
    <w:rsid w:val="00F77D02"/>
    <w:rsid w:val="00F915B3"/>
    <w:rsid w:val="00F92613"/>
    <w:rsid w:val="00FB3A86"/>
    <w:rsid w:val="00FB43B3"/>
    <w:rsid w:val="00FC55A9"/>
    <w:rsid w:val="00FD36C8"/>
    <w:rsid w:val="00FD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666C66"/>
  <w15:docId w15:val="{C3587658-70AA-4A20-A954-03575DC0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styleId="Corpsdetexte">
    <w:name w:val="Body Text"/>
    <w:basedOn w:val="Normal"/>
    <w:link w:val="CorpsdetexteCar"/>
    <w:semiHidden/>
    <w:unhideWhenUsed/>
    <w:rsid w:val="00FC55A9"/>
    <w:pPr>
      <w:spacing w:after="120"/>
    </w:pPr>
  </w:style>
  <w:style w:type="character" w:customStyle="1" w:styleId="CorpsdetexteCar">
    <w:name w:val="Corps de texte Car"/>
    <w:basedOn w:val="Policepardfaut"/>
    <w:link w:val="Corpsdetexte"/>
    <w:semiHidden/>
    <w:rsid w:val="00FC55A9"/>
    <w:rPr>
      <w:rFonts w:ascii="Helvetica" w:hAnsi="Helvetica"/>
    </w:rPr>
  </w:style>
  <w:style w:type="character" w:customStyle="1" w:styleId="fadeinm1hgl8">
    <w:name w:val="_fadein_m1hgl_8"/>
    <w:basedOn w:val="Policepardfaut"/>
    <w:rsid w:val="00AF21B5"/>
  </w:style>
  <w:style w:type="table" w:customStyle="1" w:styleId="PlainTable51">
    <w:name w:val="Plain Table 51"/>
    <w:basedOn w:val="TableauNormal"/>
    <w:uiPriority w:val="45"/>
    <w:rsid w:val="0042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23168B"/>
    <w:pPr>
      <w:ind w:left="720"/>
      <w:contextualSpacing/>
    </w:pPr>
  </w:style>
  <w:style w:type="character" w:styleId="Textedelespacerserv">
    <w:name w:val="Placeholder Text"/>
    <w:basedOn w:val="Policepardfaut"/>
    <w:uiPriority w:val="99"/>
    <w:semiHidden/>
    <w:rsid w:val="00CE31C6"/>
    <w:rPr>
      <w:color w:val="808080"/>
    </w:rPr>
  </w:style>
  <w:style w:type="character" w:styleId="Mentionnonrsolue">
    <w:name w:val="Unresolved Mention"/>
    <w:basedOn w:val="Policepardfaut"/>
    <w:uiPriority w:val="99"/>
    <w:semiHidden/>
    <w:unhideWhenUsed/>
    <w:rsid w:val="00F30664"/>
    <w:rPr>
      <w:color w:val="605E5C"/>
      <w:shd w:val="clear" w:color="auto" w:fill="E1DFDD"/>
    </w:rPr>
  </w:style>
  <w:style w:type="paragraph" w:styleId="Objetducommentaire">
    <w:name w:val="annotation subject"/>
    <w:basedOn w:val="Commentaire"/>
    <w:next w:val="Commentaire"/>
    <w:link w:val="ObjetducommentaireCar"/>
    <w:semiHidden/>
    <w:unhideWhenUsed/>
    <w:rsid w:val="00D91BE4"/>
    <w:rPr>
      <w:rFonts w:ascii="Helvetica" w:hAnsi="Helvetica"/>
      <w:b/>
      <w:bCs/>
      <w:lang w:val="en-US" w:eastAsia="en-US"/>
    </w:rPr>
  </w:style>
  <w:style w:type="character" w:customStyle="1" w:styleId="ObjetducommentaireCar">
    <w:name w:val="Objet du commentaire Car"/>
    <w:basedOn w:val="CommentaireCar"/>
    <w:link w:val="Objetducommentaire"/>
    <w:semiHidden/>
    <w:rsid w:val="00D91BE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074384">
      <w:bodyDiv w:val="1"/>
      <w:marLeft w:val="0"/>
      <w:marRight w:val="0"/>
      <w:marTop w:val="0"/>
      <w:marBottom w:val="0"/>
      <w:divBdr>
        <w:top w:val="none" w:sz="0" w:space="0" w:color="auto"/>
        <w:left w:val="none" w:sz="0" w:space="0" w:color="auto"/>
        <w:bottom w:val="none" w:sz="0" w:space="0" w:color="auto"/>
        <w:right w:val="none" w:sz="0" w:space="0" w:color="auto"/>
      </w:divBdr>
      <w:divsChild>
        <w:div w:id="1230533857">
          <w:marLeft w:val="0"/>
          <w:marRight w:val="0"/>
          <w:marTop w:val="0"/>
          <w:marBottom w:val="0"/>
          <w:divBdr>
            <w:top w:val="none" w:sz="0" w:space="0" w:color="auto"/>
            <w:left w:val="none" w:sz="0" w:space="0" w:color="auto"/>
            <w:bottom w:val="none" w:sz="0" w:space="0" w:color="auto"/>
            <w:right w:val="none" w:sz="0" w:space="0" w:color="auto"/>
          </w:divBdr>
          <w:divsChild>
            <w:div w:id="1616132505">
              <w:marLeft w:val="0"/>
              <w:marRight w:val="0"/>
              <w:marTop w:val="0"/>
              <w:marBottom w:val="0"/>
              <w:divBdr>
                <w:top w:val="none" w:sz="0" w:space="0" w:color="auto"/>
                <w:left w:val="none" w:sz="0" w:space="0" w:color="auto"/>
                <w:bottom w:val="none" w:sz="0" w:space="0" w:color="auto"/>
                <w:right w:val="none" w:sz="0" w:space="0" w:color="auto"/>
              </w:divBdr>
              <w:divsChild>
                <w:div w:id="179516349">
                  <w:marLeft w:val="0"/>
                  <w:marRight w:val="0"/>
                  <w:marTop w:val="0"/>
                  <w:marBottom w:val="0"/>
                  <w:divBdr>
                    <w:top w:val="none" w:sz="0" w:space="0" w:color="auto"/>
                    <w:left w:val="none" w:sz="0" w:space="0" w:color="auto"/>
                    <w:bottom w:val="none" w:sz="0" w:space="0" w:color="auto"/>
                    <w:right w:val="none" w:sz="0" w:space="0" w:color="auto"/>
                  </w:divBdr>
                  <w:divsChild>
                    <w:div w:id="65151115">
                      <w:marLeft w:val="0"/>
                      <w:marRight w:val="0"/>
                      <w:marTop w:val="0"/>
                      <w:marBottom w:val="0"/>
                      <w:divBdr>
                        <w:top w:val="none" w:sz="0" w:space="0" w:color="auto"/>
                        <w:left w:val="none" w:sz="0" w:space="0" w:color="auto"/>
                        <w:bottom w:val="none" w:sz="0" w:space="0" w:color="auto"/>
                        <w:right w:val="none" w:sz="0" w:space="0" w:color="auto"/>
                      </w:divBdr>
                      <w:divsChild>
                        <w:div w:id="1874079297">
                          <w:marLeft w:val="0"/>
                          <w:marRight w:val="0"/>
                          <w:marTop w:val="0"/>
                          <w:marBottom w:val="0"/>
                          <w:divBdr>
                            <w:top w:val="none" w:sz="0" w:space="0" w:color="auto"/>
                            <w:left w:val="none" w:sz="0" w:space="0" w:color="auto"/>
                            <w:bottom w:val="none" w:sz="0" w:space="0" w:color="auto"/>
                            <w:right w:val="none" w:sz="0" w:space="0" w:color="auto"/>
                          </w:divBdr>
                          <w:divsChild>
                            <w:div w:id="1899584798">
                              <w:marLeft w:val="0"/>
                              <w:marRight w:val="0"/>
                              <w:marTop w:val="0"/>
                              <w:marBottom w:val="0"/>
                              <w:divBdr>
                                <w:top w:val="none" w:sz="0" w:space="0" w:color="auto"/>
                                <w:left w:val="none" w:sz="0" w:space="0" w:color="auto"/>
                                <w:bottom w:val="none" w:sz="0" w:space="0" w:color="auto"/>
                                <w:right w:val="none" w:sz="0" w:space="0" w:color="auto"/>
                              </w:divBdr>
                              <w:divsChild>
                                <w:div w:id="859009105">
                                  <w:marLeft w:val="0"/>
                                  <w:marRight w:val="0"/>
                                  <w:marTop w:val="0"/>
                                  <w:marBottom w:val="0"/>
                                  <w:divBdr>
                                    <w:top w:val="none" w:sz="0" w:space="0" w:color="auto"/>
                                    <w:left w:val="none" w:sz="0" w:space="0" w:color="auto"/>
                                    <w:bottom w:val="none" w:sz="0" w:space="0" w:color="auto"/>
                                    <w:right w:val="none" w:sz="0" w:space="0" w:color="auto"/>
                                  </w:divBdr>
                                  <w:divsChild>
                                    <w:div w:id="4457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5891">
                          <w:marLeft w:val="0"/>
                          <w:marRight w:val="0"/>
                          <w:marTop w:val="0"/>
                          <w:marBottom w:val="0"/>
                          <w:divBdr>
                            <w:top w:val="none" w:sz="0" w:space="0" w:color="auto"/>
                            <w:left w:val="none" w:sz="0" w:space="0" w:color="auto"/>
                            <w:bottom w:val="none" w:sz="0" w:space="0" w:color="auto"/>
                            <w:right w:val="none" w:sz="0" w:space="0" w:color="auto"/>
                          </w:divBdr>
                          <w:divsChild>
                            <w:div w:id="1452214034">
                              <w:marLeft w:val="0"/>
                              <w:marRight w:val="0"/>
                              <w:marTop w:val="0"/>
                              <w:marBottom w:val="0"/>
                              <w:divBdr>
                                <w:top w:val="none" w:sz="0" w:space="0" w:color="auto"/>
                                <w:left w:val="none" w:sz="0" w:space="0" w:color="auto"/>
                                <w:bottom w:val="none" w:sz="0" w:space="0" w:color="auto"/>
                                <w:right w:val="none" w:sz="0" w:space="0" w:color="auto"/>
                              </w:divBdr>
                              <w:divsChild>
                                <w:div w:id="27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42916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8758190">
      <w:bodyDiv w:val="1"/>
      <w:marLeft w:val="0"/>
      <w:marRight w:val="0"/>
      <w:marTop w:val="0"/>
      <w:marBottom w:val="0"/>
      <w:divBdr>
        <w:top w:val="none" w:sz="0" w:space="0" w:color="auto"/>
        <w:left w:val="none" w:sz="0" w:space="0" w:color="auto"/>
        <w:bottom w:val="none" w:sz="0" w:space="0" w:color="auto"/>
        <w:right w:val="none" w:sz="0" w:space="0" w:color="auto"/>
      </w:divBdr>
      <w:divsChild>
        <w:div w:id="408964812">
          <w:marLeft w:val="0"/>
          <w:marRight w:val="0"/>
          <w:marTop w:val="0"/>
          <w:marBottom w:val="0"/>
          <w:divBdr>
            <w:top w:val="none" w:sz="0" w:space="0" w:color="auto"/>
            <w:left w:val="none" w:sz="0" w:space="0" w:color="auto"/>
            <w:bottom w:val="none" w:sz="0" w:space="0" w:color="auto"/>
            <w:right w:val="none" w:sz="0" w:space="0" w:color="auto"/>
          </w:divBdr>
        </w:div>
      </w:divsChild>
    </w:div>
    <w:div w:id="2613063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003134">
      <w:bodyDiv w:val="1"/>
      <w:marLeft w:val="0"/>
      <w:marRight w:val="0"/>
      <w:marTop w:val="0"/>
      <w:marBottom w:val="0"/>
      <w:divBdr>
        <w:top w:val="none" w:sz="0" w:space="0" w:color="auto"/>
        <w:left w:val="none" w:sz="0" w:space="0" w:color="auto"/>
        <w:bottom w:val="none" w:sz="0" w:space="0" w:color="auto"/>
        <w:right w:val="none" w:sz="0" w:space="0" w:color="auto"/>
      </w:divBdr>
    </w:div>
    <w:div w:id="1412846731">
      <w:bodyDiv w:val="1"/>
      <w:marLeft w:val="0"/>
      <w:marRight w:val="0"/>
      <w:marTop w:val="0"/>
      <w:marBottom w:val="0"/>
      <w:divBdr>
        <w:top w:val="none" w:sz="0" w:space="0" w:color="auto"/>
        <w:left w:val="none" w:sz="0" w:space="0" w:color="auto"/>
        <w:bottom w:val="none" w:sz="0" w:space="0" w:color="auto"/>
        <w:right w:val="none" w:sz="0" w:space="0" w:color="auto"/>
      </w:divBdr>
    </w:div>
    <w:div w:id="1547402353">
      <w:bodyDiv w:val="1"/>
      <w:marLeft w:val="0"/>
      <w:marRight w:val="0"/>
      <w:marTop w:val="0"/>
      <w:marBottom w:val="0"/>
      <w:divBdr>
        <w:top w:val="none" w:sz="0" w:space="0" w:color="auto"/>
        <w:left w:val="none" w:sz="0" w:space="0" w:color="auto"/>
        <w:bottom w:val="none" w:sz="0" w:space="0" w:color="auto"/>
        <w:right w:val="none" w:sz="0" w:space="0" w:color="auto"/>
      </w:divBdr>
      <w:divsChild>
        <w:div w:id="1740177600">
          <w:marLeft w:val="0"/>
          <w:marRight w:val="0"/>
          <w:marTop w:val="0"/>
          <w:marBottom w:val="0"/>
          <w:divBdr>
            <w:top w:val="none" w:sz="0" w:space="0" w:color="auto"/>
            <w:left w:val="none" w:sz="0" w:space="0" w:color="auto"/>
            <w:bottom w:val="none" w:sz="0" w:space="0" w:color="auto"/>
            <w:right w:val="none" w:sz="0" w:space="0" w:color="auto"/>
          </w:divBdr>
        </w:div>
      </w:divsChild>
    </w:div>
    <w:div w:id="15718479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019201">
      <w:bodyDiv w:val="1"/>
      <w:marLeft w:val="0"/>
      <w:marRight w:val="0"/>
      <w:marTop w:val="0"/>
      <w:marBottom w:val="0"/>
      <w:divBdr>
        <w:top w:val="none" w:sz="0" w:space="0" w:color="auto"/>
        <w:left w:val="none" w:sz="0" w:space="0" w:color="auto"/>
        <w:bottom w:val="none" w:sz="0" w:space="0" w:color="auto"/>
        <w:right w:val="none" w:sz="0" w:space="0" w:color="auto"/>
      </w:divBdr>
      <w:divsChild>
        <w:div w:id="1081564920">
          <w:marLeft w:val="0"/>
          <w:marRight w:val="0"/>
          <w:marTop w:val="0"/>
          <w:marBottom w:val="0"/>
          <w:divBdr>
            <w:top w:val="none" w:sz="0" w:space="0" w:color="auto"/>
            <w:left w:val="none" w:sz="0" w:space="0" w:color="auto"/>
            <w:bottom w:val="none" w:sz="0" w:space="0" w:color="auto"/>
            <w:right w:val="none" w:sz="0" w:space="0" w:color="auto"/>
          </w:divBdr>
        </w:div>
      </w:divsChild>
    </w:div>
    <w:div w:id="1848791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manticscholar.org/paper/Teaching-Efficacy-among-College-Student-Teachers-of-Mohammad-Abdullah/0ab6dcdb6442ef8b70747525ad4fba67e7d3787b" TargetMode="External"/><Relationship Id="rId21" Type="http://schemas.openxmlformats.org/officeDocument/2006/relationships/hyperlink" Target="https://doi.org/10.56982/dream.v3i07.246" TargetMode="External"/><Relationship Id="rId42" Type="http://schemas.openxmlformats.org/officeDocument/2006/relationships/hyperlink" Target="https://doi.org/10.51767/je1107" TargetMode="External"/><Relationship Id="rId47" Type="http://schemas.openxmlformats.org/officeDocument/2006/relationships/hyperlink" Target="https://doi.org/10.25236/IJNDE.2024.060219" TargetMode="External"/><Relationship Id="rId63" Type="http://schemas.openxmlformats.org/officeDocument/2006/relationships/hyperlink" Target="https://doi.org/10.1515/jtes-2016-0007" TargetMode="External"/><Relationship Id="rId68" Type="http://schemas.openxmlformats.org/officeDocument/2006/relationships/hyperlink" Target="https://doi.org/10.1186/s12889-023-16603-w" TargetMode="External"/><Relationship Id="rId2" Type="http://schemas.openxmlformats.org/officeDocument/2006/relationships/numbering" Target="numbering.xml"/><Relationship Id="rId16" Type="http://schemas.openxmlformats.org/officeDocument/2006/relationships/hyperlink" Target="https://doi.org/10.54536/jtel.v2i3.3063" TargetMode="External"/><Relationship Id="rId29" Type="http://schemas.openxmlformats.org/officeDocument/2006/relationships/hyperlink" Target="https://www.researchgate.net/publication/355372413_Exploring_teachers'_perceptions_of_professional_development_The_case_of_Kosova" TargetMode="External"/><Relationship Id="rId11" Type="http://schemas.openxmlformats.org/officeDocument/2006/relationships/comments" Target="comments.xml"/><Relationship Id="rId24" Type="http://schemas.openxmlformats.org/officeDocument/2006/relationships/hyperlink" Target="https://doi.org/10.36713/epra17840" TargetMode="External"/><Relationship Id="rId32" Type="http://schemas.openxmlformats.org/officeDocument/2006/relationships/hyperlink" Target="https://doi.org/10.24191/idealogy.v5i2.243" TargetMode="External"/><Relationship Id="rId37" Type="http://schemas.openxmlformats.org/officeDocument/2006/relationships/hyperlink" Target="https://doi.org/10.1080/1046560X.2024.2327774" TargetMode="External"/><Relationship Id="rId40" Type="http://schemas.openxmlformats.org/officeDocument/2006/relationships/hyperlink" Target="https://doi.org/10.5604/01.3001.0016.1278" TargetMode="External"/><Relationship Id="rId45" Type="http://schemas.openxmlformats.org/officeDocument/2006/relationships/hyperlink" Target="https://doi.org/10.1007/s11858-022-01430-x" TargetMode="External"/><Relationship Id="rId53" Type="http://schemas.openxmlformats.org/officeDocument/2006/relationships/hyperlink" Target="https://doi.org/10.70088/n05q4a40" TargetMode="External"/><Relationship Id="rId58" Type="http://schemas.openxmlformats.org/officeDocument/2006/relationships/hyperlink" Target="https://doi.org/10.61360/bonicetr232014330806" TargetMode="External"/><Relationship Id="rId66" Type="http://schemas.openxmlformats.org/officeDocument/2006/relationships/hyperlink" Target="https://www.taylorfrancis.com/chapters/edit/10.4324/9781003276098-9/ms-pollitt-heather-haverback" TargetMode="External"/><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doi.org/10.33423/jhetp.v23i11.6224" TargetMode="External"/><Relationship Id="rId19" Type="http://schemas.openxmlformats.org/officeDocument/2006/relationships/hyperlink" Target="https://doi.org/10.1007/978-981-13-3573-0_17" TargetMode="External"/><Relationship Id="rId14" Type="http://schemas.openxmlformats.org/officeDocument/2006/relationships/hyperlink" Target="https://www.oecd.org" TargetMode="External"/><Relationship Id="rId22" Type="http://schemas.openxmlformats.org/officeDocument/2006/relationships/hyperlink" Target="https://doi.org/10.59400/fes1564" TargetMode="External"/><Relationship Id="rId27" Type="http://schemas.openxmlformats.org/officeDocument/2006/relationships/hyperlink" Target="https://doi.org/10.20448/jeelr.v10i3.4892" TargetMode="External"/><Relationship Id="rId30" Type="http://schemas.openxmlformats.org/officeDocument/2006/relationships/hyperlink" Target="https://www.researchgate.net/publication/379201599_Fostering_Higher_Order_Thinking_Skills_in_Mathematics_Learning_A_Scoping_Review_of_Teacher_Development_Initiatives" TargetMode="External"/><Relationship Id="rId35" Type="http://schemas.openxmlformats.org/officeDocument/2006/relationships/hyperlink" Target="https://doi.org/10.1002/ecs2.2899" TargetMode="External"/><Relationship Id="rId43" Type="http://schemas.openxmlformats.org/officeDocument/2006/relationships/hyperlink" Target="https://doi.org/10.47191/ijcsrr/v7-i1-67" TargetMode="External"/><Relationship Id="rId48" Type="http://schemas.openxmlformats.org/officeDocument/2006/relationships/hyperlink" Target="https://doi.org/10.1080/03004279.2023.2294141" TargetMode="External"/><Relationship Id="rId56" Type="http://schemas.openxmlformats.org/officeDocument/2006/relationships/hyperlink" Target="https://doi.org/10.1080/10888691.2018.1537791" TargetMode="External"/><Relationship Id="rId64" Type="http://schemas.openxmlformats.org/officeDocument/2006/relationships/hyperlink" Target="https://doi.org/10.1080/1359866X.2018.1497772"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oi.org/10.46328/ijres.2472" TargetMode="External"/><Relationship Id="rId72" Type="http://schemas.openxmlformats.org/officeDocument/2006/relationships/header" Target="header6.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doi.org/10.1016/j.ijedudev.2020.102174" TargetMode="External"/><Relationship Id="rId25" Type="http://schemas.openxmlformats.org/officeDocument/2006/relationships/hyperlink" Target="https://doi.org/10.46827/ejes.v9i8.4407" TargetMode="External"/><Relationship Id="rId33" Type="http://schemas.openxmlformats.org/officeDocument/2006/relationships/hyperlink" Target="https://doi.org/10.1187/cbe.22-07-0148" TargetMode="External"/><Relationship Id="rId38" Type="http://schemas.openxmlformats.org/officeDocument/2006/relationships/hyperlink" Target="https://www.semanticscholar.org/paper/Eastern-Kentucky-University-From-the-SelectedWorks-Qazi/84708f696c29296bea7065b29b0019c7435fe748" TargetMode="External"/><Relationship Id="rId46" Type="http://schemas.openxmlformats.org/officeDocument/2006/relationships/hyperlink" Target="https://doi.org/10.31004/basicedu.v8i1" TargetMode="External"/><Relationship Id="rId59" Type="http://schemas.openxmlformats.org/officeDocument/2006/relationships/hyperlink" Target="https://doi.org/10.1080/19415257.2019.1643393" TargetMode="External"/><Relationship Id="rId67" Type="http://schemas.openxmlformats.org/officeDocument/2006/relationships/hyperlink" Target="https://www.revistaespacios.com/a18v39n29/18392907.html" TargetMode="External"/><Relationship Id="rId20" Type="http://schemas.openxmlformats.org/officeDocument/2006/relationships/hyperlink" Target="https://doi.org/10.53555/kuey.v29i4.7483" TargetMode="External"/><Relationship Id="rId41" Type="http://schemas.openxmlformats.org/officeDocument/2006/relationships/hyperlink" Target="https://doi.org/10.51474/jer.v13i1.661" TargetMode="External"/><Relationship Id="rId54" Type="http://schemas.openxmlformats.org/officeDocument/2006/relationships/hyperlink" Target="https://doi.org/10.36676/girt.2023-v11i1-11" TargetMode="External"/><Relationship Id="rId62" Type="http://schemas.openxmlformats.org/officeDocument/2006/relationships/hyperlink" Target="https://doi.org/10.14221/ajte.2019v44n10.5" TargetMode="External"/><Relationship Id="rId70" Type="http://schemas.openxmlformats.org/officeDocument/2006/relationships/header" Target="head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0574/wjarr.2024.21.1.0020" TargetMode="External"/><Relationship Id="rId23" Type="http://schemas.openxmlformats.org/officeDocument/2006/relationships/hyperlink" Target="https://doi.org/10.1080/09243453.2019.1612454" TargetMode="External"/><Relationship Id="rId28" Type="http://schemas.openxmlformats.org/officeDocument/2006/relationships/hyperlink" Target="https://doi.org/10.22214/ijraset.2024.59655" TargetMode="External"/><Relationship Id="rId36" Type="http://schemas.openxmlformats.org/officeDocument/2006/relationships/hyperlink" Target="https://doi.org/10.1177/00317217231174710" TargetMode="External"/><Relationship Id="rId49" Type="http://schemas.openxmlformats.org/officeDocument/2006/relationships/hyperlink" Target="https://doi.org/10.1039/D0RP00255K" TargetMode="External"/><Relationship Id="rId57" Type="http://schemas.openxmlformats.org/officeDocument/2006/relationships/hyperlink" Target="https://doi.org/10.3102/0002831218820033" TargetMode="External"/><Relationship Id="rId10" Type="http://schemas.openxmlformats.org/officeDocument/2006/relationships/header" Target="header3.xml"/><Relationship Id="rId31" Type="http://schemas.openxmlformats.org/officeDocument/2006/relationships/hyperlink" Target="https://doi.org/10.62754/joe.v3i7.4469" TargetMode="External"/><Relationship Id="rId44" Type="http://schemas.openxmlformats.org/officeDocument/2006/relationships/hyperlink" Target="https://doi.org/10.47611/jsrhs.v12i3.5021" TargetMode="External"/><Relationship Id="rId52" Type="http://schemas.openxmlformats.org/officeDocument/2006/relationships/hyperlink" Target="https://doi.org/10.4018/978-1-7998-1766-6.ch007" TargetMode="External"/><Relationship Id="rId60" Type="http://schemas.openxmlformats.org/officeDocument/2006/relationships/hyperlink" Target="https://www.semanticscholar.org/paper/A-Comparative-Study-of-Teachers%E2%80%99-Perceptions-to-at-Chit-Ye/6de05accc60443478cbb27e914b801ece4dc465b" TargetMode="External"/><Relationship Id="rId65" Type="http://schemas.openxmlformats.org/officeDocument/2006/relationships/hyperlink" Target="https://doi.org/10.31142/ijtsrd2146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microsoft.com/office/2016/09/relationships/commentsIds" Target="commentsIds.xml"/><Relationship Id="rId18" Type="http://schemas.openxmlformats.org/officeDocument/2006/relationships/hyperlink" Target="https://doi.org/10.1016/j.ijer.2023.102199" TargetMode="External"/><Relationship Id="rId39" Type="http://schemas.openxmlformats.org/officeDocument/2006/relationships/hyperlink" Target="https://doi.org/10.30958/aje.8-3-1" TargetMode="External"/><Relationship Id="rId34" Type="http://schemas.openxmlformats.org/officeDocument/2006/relationships/hyperlink" Target="https://www.researchgate.net/publication/337268792_Teacher_agency_in_a_multiyear_professional_development_collaborative" TargetMode="External"/><Relationship Id="rId50" Type="http://schemas.openxmlformats.org/officeDocument/2006/relationships/hyperlink" Target="https://doi.org/10.22158/grhe.v5n1p50" TargetMode="External"/><Relationship Id="rId55" Type="http://schemas.openxmlformats.org/officeDocument/2006/relationships/hyperlink" Target="https://www.researchgate.net/publication/371222657_Ongoing_Professional_Development_for_Busy_Teacher_Teams"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84A8-136E-4F6B-8C1A-1DBC3115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264</TotalTime>
  <Pages>13</Pages>
  <Words>6840</Words>
  <Characters>37625</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44377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Evariste KOTTIN</cp:lastModifiedBy>
  <cp:revision>42</cp:revision>
  <cp:lastPrinted>1999-07-06T11:00:00Z</cp:lastPrinted>
  <dcterms:created xsi:type="dcterms:W3CDTF">2025-05-17T15:04:00Z</dcterms:created>
  <dcterms:modified xsi:type="dcterms:W3CDTF">2025-05-27T20:13:00Z</dcterms:modified>
</cp:coreProperties>
</file>