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33E2D" w14:textId="77777777" w:rsidR="004E1BA2" w:rsidRDefault="0054188C">
      <w:pPr>
        <w:jc w:val="center"/>
        <w:rPr>
          <w:rFonts w:ascii="Times New Roman" w:hAnsi="Times New Roman" w:cs="Times New Roman"/>
          <w:b/>
          <w:bCs/>
        </w:rPr>
      </w:pPr>
      <w:r>
        <w:rPr>
          <w:rFonts w:ascii="Times New Roman" w:hAnsi="Times New Roman" w:cs="Times New Roman"/>
          <w:b/>
          <w:bCs/>
        </w:rPr>
        <w:t xml:space="preserve">Education and Digital Finance: Exploring the Relationship </w:t>
      </w:r>
      <w:proofErr w:type="gramStart"/>
      <w:r>
        <w:rPr>
          <w:rFonts w:ascii="Times New Roman" w:hAnsi="Times New Roman" w:cs="Times New Roman"/>
          <w:b/>
          <w:bCs/>
        </w:rPr>
        <w:t>Between</w:t>
      </w:r>
      <w:proofErr w:type="gramEnd"/>
      <w:r>
        <w:rPr>
          <w:rFonts w:ascii="Times New Roman" w:hAnsi="Times New Roman" w:cs="Times New Roman"/>
          <w:b/>
          <w:bCs/>
        </w:rPr>
        <w:t xml:space="preserve"> Educational Attainment and Online Banking Engagement in Sri Lanka</w:t>
      </w:r>
    </w:p>
    <w:p w14:paraId="5860FBD6" w14:textId="77777777" w:rsidR="004E1BA2" w:rsidRDefault="004E1BA2">
      <w:pPr>
        <w:jc w:val="center"/>
        <w:rPr>
          <w:rFonts w:ascii="Times New Roman" w:hAnsi="Times New Roman" w:cs="Times New Roman"/>
          <w:b/>
          <w:bCs/>
        </w:rPr>
      </w:pPr>
    </w:p>
    <w:p w14:paraId="1BB02106" w14:textId="77777777" w:rsidR="004E1BA2" w:rsidRDefault="004E1BA2">
      <w:pPr>
        <w:jc w:val="center"/>
        <w:rPr>
          <w:rFonts w:ascii="Times New Roman" w:hAnsi="Times New Roman" w:cs="Times New Roman"/>
        </w:rPr>
      </w:pPr>
    </w:p>
    <w:p w14:paraId="79D85246" w14:textId="77777777" w:rsidR="004E1BA2" w:rsidRDefault="0054188C">
      <w:pPr>
        <w:jc w:val="both"/>
        <w:rPr>
          <w:rFonts w:ascii="Times New Roman" w:hAnsi="Times New Roman" w:cs="Times New Roman"/>
          <w:b/>
          <w:bCs/>
        </w:rPr>
      </w:pPr>
      <w:r>
        <w:rPr>
          <w:rFonts w:ascii="Times New Roman" w:hAnsi="Times New Roman" w:cs="Times New Roman"/>
          <w:b/>
          <w:bCs/>
        </w:rPr>
        <w:t>Abstract</w:t>
      </w:r>
    </w:p>
    <w:p w14:paraId="54822156" w14:textId="77777777" w:rsidR="004E1BA2" w:rsidRDefault="0054188C">
      <w:pPr>
        <w:jc w:val="both"/>
        <w:rPr>
          <w:rFonts w:ascii="Times New Roman" w:hAnsi="Times New Roman" w:cs="Times New Roman"/>
        </w:rPr>
      </w:pPr>
      <w:r>
        <w:rPr>
          <w:rFonts w:ascii="Times New Roman" w:hAnsi="Times New Roman" w:cs="Times New Roman"/>
        </w:rPr>
        <w:t xml:space="preserve">This study investigates the relationship </w:t>
      </w:r>
      <w:r>
        <w:rPr>
          <w:rFonts w:ascii="Times New Roman" w:hAnsi="Times New Roman" w:cs="Times New Roman"/>
        </w:rPr>
        <w:t>between educational attainment and online banking engagement among adults in Sri Lanka, addressing a critical gap in digital financial inclusion literature. Despite high general literacy and expanding digital infrastructure, online banking usage in Sri Lan</w:t>
      </w:r>
      <w:r>
        <w:rPr>
          <w:rFonts w:ascii="Times New Roman" w:hAnsi="Times New Roman" w:cs="Times New Roman"/>
        </w:rPr>
        <w:t>ka remains disproportionately low, with only about 1% of bank customers actively using such services.</w:t>
      </w:r>
      <w:commentRangeStart w:id="0"/>
      <w:r>
        <w:rPr>
          <w:rFonts w:ascii="Times New Roman" w:hAnsi="Times New Roman" w:cs="Times New Roman"/>
        </w:rPr>
        <w:t xml:space="preserve"> Using a quantitative approach, data were collected from 382 respondents in the </w:t>
      </w:r>
      <w:proofErr w:type="spellStart"/>
      <w:r>
        <w:rPr>
          <w:rFonts w:ascii="Times New Roman" w:hAnsi="Times New Roman" w:cs="Times New Roman"/>
        </w:rPr>
        <w:t>Balangoda</w:t>
      </w:r>
      <w:proofErr w:type="spellEnd"/>
      <w:r>
        <w:rPr>
          <w:rFonts w:ascii="Times New Roman" w:hAnsi="Times New Roman" w:cs="Times New Roman"/>
        </w:rPr>
        <w:t xml:space="preserve"> Divisional Secretariat Division and analyzed using ANOVA.</w:t>
      </w:r>
      <w:commentRangeEnd w:id="0"/>
      <w:r>
        <w:commentReference w:id="0"/>
      </w:r>
      <w:r>
        <w:rPr>
          <w:rFonts w:ascii="Times New Roman" w:hAnsi="Times New Roman" w:cs="Times New Roman"/>
        </w:rPr>
        <w:t xml:space="preserve"> The </w:t>
      </w:r>
      <w:r>
        <w:rPr>
          <w:rFonts w:ascii="Times New Roman" w:hAnsi="Times New Roman" w:cs="Times New Roman"/>
        </w:rPr>
        <w:t>findings reveal a statistically significant difference in online banking usage across various education levels. Specifically, individuals with a bachelor's degree or higher reported the highest levels of engagement, while those with lower educational quali</w:t>
      </w:r>
      <w:r>
        <w:rPr>
          <w:rFonts w:ascii="Times New Roman" w:hAnsi="Times New Roman" w:cs="Times New Roman"/>
        </w:rPr>
        <w:t>fications, particularly below GCE O/L, demonstrated minimal usage. Pairwise comparisons further confirmed that increased education correlates positively with greater online banking usage, likely due to improved digital literacy, cognitive ability, and fami</w:t>
      </w:r>
      <w:r>
        <w:rPr>
          <w:rFonts w:ascii="Times New Roman" w:hAnsi="Times New Roman" w:cs="Times New Roman"/>
        </w:rPr>
        <w:t>liarity with financial technologies. The study emphasizes that educational attainment is a key predictor of digital financial behavior, surpassing the effects of general literacy alone. These findings suggest that policies aimed at promoting online banking</w:t>
      </w:r>
      <w:r>
        <w:rPr>
          <w:rFonts w:ascii="Times New Roman" w:hAnsi="Times New Roman" w:cs="Times New Roman"/>
        </w:rPr>
        <w:t xml:space="preserve"> should consider targeted educational interventions, especially in regions with lower educational access. By highlighting education as a central factor in technology adoption, this research contributes to a more nuanced understanding of digital inclusion a</w:t>
      </w:r>
      <w:r>
        <w:rPr>
          <w:rFonts w:ascii="Times New Roman" w:hAnsi="Times New Roman" w:cs="Times New Roman"/>
        </w:rPr>
        <w:t>nd offers valuable insights for policymakers seeking to enhance equitable access to financial services in developing economies like Sri Lanka.</w:t>
      </w:r>
    </w:p>
    <w:p w14:paraId="290BAAB7" w14:textId="77777777" w:rsidR="004E1BA2" w:rsidRDefault="0054188C">
      <w:pPr>
        <w:jc w:val="both"/>
      </w:pPr>
      <w:r>
        <w:rPr>
          <w:rFonts w:ascii="Times New Roman" w:hAnsi="Times New Roman" w:cs="Times New Roman"/>
        </w:rPr>
        <w:t>Keywords:</w:t>
      </w:r>
      <w:r>
        <w:rPr>
          <w:rFonts w:ascii="Times New Roman" w:eastAsia="Times New Roman" w:hAnsi="Symbol" w:cs="Times New Roman"/>
          <w:kern w:val="0"/>
          <w:lang w:bidi="si-LK"/>
          <w14:ligatures w14:val="none"/>
        </w:rPr>
        <w:t xml:space="preserve"> </w:t>
      </w:r>
      <w:r>
        <w:rPr>
          <w:rFonts w:ascii="Times New Roman" w:hAnsi="Times New Roman" w:cs="Times New Roman"/>
        </w:rPr>
        <w:t>Digital Financial Inclusion, Educational Attainment, Financial Literacy, Online Banking</w:t>
      </w:r>
    </w:p>
    <w:p w14:paraId="65417118" w14:textId="77777777" w:rsidR="004E1BA2" w:rsidRDefault="004E1BA2">
      <w:pPr>
        <w:jc w:val="both"/>
        <w:rPr>
          <w:rFonts w:ascii="Times New Roman" w:hAnsi="Times New Roman" w:cs="Times New Roman"/>
        </w:rPr>
      </w:pPr>
    </w:p>
    <w:p w14:paraId="78F7A953" w14:textId="77777777" w:rsidR="004E1BA2" w:rsidRDefault="0054188C">
      <w:pPr>
        <w:jc w:val="both"/>
        <w:rPr>
          <w:rFonts w:ascii="Times New Roman" w:hAnsi="Times New Roman" w:cs="Times New Roman"/>
          <w:b/>
          <w:bCs/>
        </w:rPr>
      </w:pPr>
      <w:r>
        <w:rPr>
          <w:rFonts w:ascii="Times New Roman" w:hAnsi="Times New Roman" w:cs="Times New Roman"/>
          <w:b/>
          <w:bCs/>
        </w:rPr>
        <w:t>Introduction</w:t>
      </w:r>
    </w:p>
    <w:p w14:paraId="791391C2" w14:textId="77777777" w:rsidR="004E1BA2" w:rsidRDefault="0054188C">
      <w:pPr>
        <w:jc w:val="both"/>
        <w:rPr>
          <w:rFonts w:ascii="Times New Roman" w:hAnsi="Times New Roman" w:cs="Times New Roman"/>
        </w:rPr>
      </w:pPr>
      <w:r>
        <w:rPr>
          <w:rFonts w:ascii="Times New Roman" w:hAnsi="Times New Roman" w:cs="Times New Roman"/>
        </w:rPr>
        <w:t>T</w:t>
      </w:r>
      <w:r>
        <w:rPr>
          <w:rFonts w:ascii="Times New Roman" w:hAnsi="Times New Roman" w:cs="Times New Roman"/>
        </w:rPr>
        <w:t xml:space="preserve">he growing integration of digital technology into financial services has revolutionized the </w:t>
      </w:r>
      <w:proofErr w:type="gramStart"/>
      <w:r>
        <w:rPr>
          <w:rFonts w:ascii="Times New Roman" w:hAnsi="Times New Roman" w:cs="Times New Roman"/>
        </w:rPr>
        <w:t>banking</w:t>
      </w:r>
      <w:proofErr w:type="gramEnd"/>
      <w:r>
        <w:rPr>
          <w:rFonts w:ascii="Times New Roman" w:hAnsi="Times New Roman" w:cs="Times New Roman"/>
        </w:rPr>
        <w:t xml:space="preserve"> sector, with online banking emerging as a key mode of service delivery. It offers customers the convenience of accessing their accounts, transferring funds,</w:t>
      </w:r>
      <w:r>
        <w:rPr>
          <w:rFonts w:ascii="Times New Roman" w:hAnsi="Times New Roman" w:cs="Times New Roman"/>
        </w:rPr>
        <w:t xml:space="preserve"> paying bills, and conducting various transactions remotely via digital platforms (</w:t>
      </w:r>
      <w:proofErr w:type="spellStart"/>
      <w:r>
        <w:rPr>
          <w:rFonts w:ascii="Times New Roman" w:hAnsi="Times New Roman" w:cs="Times New Roman"/>
        </w:rPr>
        <w:t>Frankenfield</w:t>
      </w:r>
      <w:proofErr w:type="spellEnd"/>
      <w:r>
        <w:rPr>
          <w:rFonts w:ascii="Times New Roman" w:hAnsi="Times New Roman" w:cs="Times New Roman"/>
        </w:rPr>
        <w:t>, 2023). In Sri Lanka, while the digital infrastructure has expanded significantly and the general literacy rate remains high at 93% (Department of Census and St</w:t>
      </w:r>
      <w:r>
        <w:rPr>
          <w:rFonts w:ascii="Times New Roman" w:hAnsi="Times New Roman" w:cs="Times New Roman"/>
        </w:rPr>
        <w:t xml:space="preserve">atistics, 2021), the actual engagement in online banking services remains disproportionately low. According to Mano et al. (2020), only about 1% of Sri Lankan </w:t>
      </w:r>
      <w:r>
        <w:rPr>
          <w:rFonts w:ascii="Times New Roman" w:hAnsi="Times New Roman" w:cs="Times New Roman"/>
        </w:rPr>
        <w:lastRenderedPageBreak/>
        <w:t>bank customers actively use online banking, a statistic that raises concerns about the accessibil</w:t>
      </w:r>
      <w:r>
        <w:rPr>
          <w:rFonts w:ascii="Times New Roman" w:hAnsi="Times New Roman" w:cs="Times New Roman"/>
        </w:rPr>
        <w:t>ity and inclusiveness of digital financial services.</w:t>
      </w:r>
    </w:p>
    <w:p w14:paraId="7ECBC931" w14:textId="77777777" w:rsidR="004E1BA2" w:rsidRDefault="0054188C">
      <w:pPr>
        <w:jc w:val="both"/>
        <w:rPr>
          <w:rFonts w:ascii="Times New Roman" w:hAnsi="Times New Roman" w:cs="Times New Roman"/>
        </w:rPr>
      </w:pPr>
      <w:r>
        <w:rPr>
          <w:rFonts w:ascii="Times New Roman" w:hAnsi="Times New Roman" w:cs="Times New Roman"/>
        </w:rPr>
        <w:t>Among the various factors influencing this low level of engagement, educational attainment stands out as a potentially significant determinant. Education is widely recognized as a critical component of h</w:t>
      </w:r>
      <w:r>
        <w:rPr>
          <w:rFonts w:ascii="Times New Roman" w:hAnsi="Times New Roman" w:cs="Times New Roman"/>
        </w:rPr>
        <w:t>uman capital, equipping individuals with the cognitive ability, digital familiarity, and confidence needed to navigate complex systems, including digital financial platforms (McConnell et al., 2009; Blair, 2012). Prior research suggests that individuals wi</w:t>
      </w:r>
      <w:r>
        <w:rPr>
          <w:rFonts w:ascii="Times New Roman" w:hAnsi="Times New Roman" w:cs="Times New Roman"/>
        </w:rPr>
        <w:t>th higher education levels are more likely to engage with online banking due to better access to technology, higher digital literacy, and greater exposure to formal financial systems (</w:t>
      </w:r>
      <w:proofErr w:type="spellStart"/>
      <w:r>
        <w:rPr>
          <w:rFonts w:ascii="Times New Roman" w:hAnsi="Times New Roman" w:cs="Times New Roman"/>
        </w:rPr>
        <w:t>Hashim</w:t>
      </w:r>
      <w:proofErr w:type="spellEnd"/>
      <w:r>
        <w:rPr>
          <w:rFonts w:ascii="Times New Roman" w:hAnsi="Times New Roman" w:cs="Times New Roman"/>
        </w:rPr>
        <w:t xml:space="preserve"> et al., 2021; </w:t>
      </w:r>
      <w:proofErr w:type="spellStart"/>
      <w:r>
        <w:rPr>
          <w:rFonts w:ascii="Times New Roman" w:hAnsi="Times New Roman" w:cs="Times New Roman"/>
        </w:rPr>
        <w:t>Gavurova</w:t>
      </w:r>
      <w:proofErr w:type="spellEnd"/>
      <w:r>
        <w:rPr>
          <w:rFonts w:ascii="Times New Roman" w:hAnsi="Times New Roman" w:cs="Times New Roman"/>
        </w:rPr>
        <w:t xml:space="preserve"> et al., 2019). Conversely, those with lowe</w:t>
      </w:r>
      <w:r>
        <w:rPr>
          <w:rFonts w:ascii="Times New Roman" w:hAnsi="Times New Roman" w:cs="Times New Roman"/>
        </w:rPr>
        <w:t>r educational backgrounds may struggle with digital interfaces, lack awareness of available banking tools, or distrust online systems, leading to their exclusion from digital financial ecosystems.</w:t>
      </w:r>
    </w:p>
    <w:p w14:paraId="6AF2579B" w14:textId="77777777" w:rsidR="004E1BA2" w:rsidRDefault="0054188C">
      <w:pPr>
        <w:jc w:val="both"/>
        <w:rPr>
          <w:rFonts w:ascii="Times New Roman" w:hAnsi="Times New Roman" w:cs="Times New Roman"/>
        </w:rPr>
      </w:pPr>
      <w:r>
        <w:rPr>
          <w:rFonts w:ascii="Times New Roman" w:hAnsi="Times New Roman" w:cs="Times New Roman"/>
        </w:rPr>
        <w:t>In the Sri Lankan context, the mismatch between a generally</w:t>
      </w:r>
      <w:r>
        <w:rPr>
          <w:rFonts w:ascii="Times New Roman" w:hAnsi="Times New Roman" w:cs="Times New Roman"/>
        </w:rPr>
        <w:t xml:space="preserve"> literate population and the minimal usage of online banking services suggests that education may be a more influential factor than previously considered. Despite the presence of 24 licensed commercial banks offering digital services and the steady growth </w:t>
      </w:r>
      <w:r>
        <w:rPr>
          <w:rFonts w:ascii="Times New Roman" w:hAnsi="Times New Roman" w:cs="Times New Roman"/>
        </w:rPr>
        <w:t>of mobile internet usage, the expected growth in digital financial activity has not materialized evenly across different educational groups (Central Bank of Sri Lanka, 2021). While existing studies have explored the effects of financial literacy and income</w:t>
      </w:r>
      <w:r>
        <w:rPr>
          <w:rFonts w:ascii="Times New Roman" w:hAnsi="Times New Roman" w:cs="Times New Roman"/>
        </w:rPr>
        <w:t xml:space="preserve"> on online banking usage (</w:t>
      </w:r>
      <w:proofErr w:type="spellStart"/>
      <w:r>
        <w:rPr>
          <w:rFonts w:ascii="Times New Roman" w:hAnsi="Times New Roman" w:cs="Times New Roman"/>
        </w:rPr>
        <w:t>Karunarathna</w:t>
      </w:r>
      <w:proofErr w:type="spellEnd"/>
      <w:r>
        <w:rPr>
          <w:rFonts w:ascii="Times New Roman" w:hAnsi="Times New Roman" w:cs="Times New Roman"/>
        </w:rPr>
        <w:t xml:space="preserve"> &amp; </w:t>
      </w:r>
      <w:proofErr w:type="spellStart"/>
      <w:r>
        <w:rPr>
          <w:rFonts w:ascii="Times New Roman" w:hAnsi="Times New Roman" w:cs="Times New Roman"/>
        </w:rPr>
        <w:t>Kumari</w:t>
      </w:r>
      <w:proofErr w:type="spellEnd"/>
      <w:r>
        <w:rPr>
          <w:rFonts w:ascii="Times New Roman" w:hAnsi="Times New Roman" w:cs="Times New Roman"/>
        </w:rPr>
        <w:t>, 2024), limited attention has been given to educational attainment as a primary variable. This gap is especially concerning in a country where educational access varies widely between urban and rural populati</w:t>
      </w:r>
      <w:r>
        <w:rPr>
          <w:rFonts w:ascii="Times New Roman" w:hAnsi="Times New Roman" w:cs="Times New Roman"/>
        </w:rPr>
        <w:t>ons, and where digital transformation is a stated national objective.</w:t>
      </w:r>
    </w:p>
    <w:p w14:paraId="6E17CA6B" w14:textId="77777777" w:rsidR="004E1BA2" w:rsidRDefault="0054188C">
      <w:pPr>
        <w:jc w:val="both"/>
        <w:rPr>
          <w:rFonts w:ascii="Times New Roman" w:hAnsi="Times New Roman" w:cs="Times New Roman"/>
        </w:rPr>
      </w:pPr>
      <w:r>
        <w:rPr>
          <w:rFonts w:ascii="Times New Roman" w:hAnsi="Times New Roman" w:cs="Times New Roman"/>
        </w:rPr>
        <w:t>This study is important because it addresses a critical dimension of digital financial inclusion by investigating whether and how education influences an individual's likelihood to engag</w:t>
      </w:r>
      <w:r>
        <w:rPr>
          <w:rFonts w:ascii="Times New Roman" w:hAnsi="Times New Roman" w:cs="Times New Roman"/>
        </w:rPr>
        <w:t>e with online banking services. Understanding this relationship is essential for designing effective interventions to reduce digital disparities and to promote broader usage of online financial services across all segments of society. In light of this, the</w:t>
      </w:r>
      <w:r>
        <w:rPr>
          <w:rFonts w:ascii="Times New Roman" w:hAnsi="Times New Roman" w:cs="Times New Roman"/>
        </w:rPr>
        <w:t xml:space="preserve"> main objective of the study is to explore the relationship between educational attainment and online banking engagement among adults in Sri Lanka. By doing so, the research aims to contribute to a more inclusive digital economy and offer policy-relevant i</w:t>
      </w:r>
      <w:r>
        <w:rPr>
          <w:rFonts w:ascii="Times New Roman" w:hAnsi="Times New Roman" w:cs="Times New Roman"/>
        </w:rPr>
        <w:t>nsights that support equitable access to financial technology.</w:t>
      </w:r>
    </w:p>
    <w:p w14:paraId="2B0BE599" w14:textId="77777777" w:rsidR="004E1BA2" w:rsidRDefault="004E1BA2">
      <w:pPr>
        <w:jc w:val="both"/>
        <w:rPr>
          <w:rFonts w:ascii="Times New Roman" w:hAnsi="Times New Roman" w:cs="Times New Roman"/>
        </w:rPr>
      </w:pPr>
    </w:p>
    <w:p w14:paraId="60EA95DC" w14:textId="77777777" w:rsidR="004E1BA2" w:rsidRDefault="0054188C">
      <w:pPr>
        <w:jc w:val="both"/>
        <w:rPr>
          <w:rFonts w:ascii="Times New Roman" w:hAnsi="Times New Roman" w:cs="Times New Roman"/>
          <w:b/>
          <w:bCs/>
        </w:rPr>
      </w:pPr>
      <w:r>
        <w:rPr>
          <w:rFonts w:ascii="Times New Roman" w:hAnsi="Times New Roman" w:cs="Times New Roman"/>
          <w:b/>
          <w:bCs/>
        </w:rPr>
        <w:t>Literature Review</w:t>
      </w:r>
    </w:p>
    <w:p w14:paraId="22841647" w14:textId="77777777" w:rsidR="004E1BA2" w:rsidRDefault="0054188C">
      <w:pPr>
        <w:jc w:val="both"/>
        <w:rPr>
          <w:rFonts w:ascii="Times New Roman" w:hAnsi="Times New Roman" w:cs="Times New Roman"/>
        </w:rPr>
      </w:pPr>
      <w:r>
        <w:rPr>
          <w:rFonts w:ascii="Times New Roman" w:hAnsi="Times New Roman" w:cs="Times New Roman"/>
        </w:rPr>
        <w:t>The transformation of the banking sector through digital innovation has created a new landscape in which customers increasingly rely on online platforms to manage their finan</w:t>
      </w:r>
      <w:r>
        <w:rPr>
          <w:rFonts w:ascii="Times New Roman" w:hAnsi="Times New Roman" w:cs="Times New Roman"/>
        </w:rPr>
        <w:t>cial affairs. The shift from traditional banking to online banking has been driven by technological advancements, global digitization trends, and the increasing demand for convenience and efficiency in financial transactions (</w:t>
      </w:r>
      <w:proofErr w:type="spellStart"/>
      <w:r>
        <w:rPr>
          <w:rFonts w:ascii="Times New Roman" w:hAnsi="Times New Roman" w:cs="Times New Roman"/>
        </w:rPr>
        <w:t>Frankenfield</w:t>
      </w:r>
      <w:proofErr w:type="spellEnd"/>
      <w:r>
        <w:rPr>
          <w:rFonts w:ascii="Times New Roman" w:hAnsi="Times New Roman" w:cs="Times New Roman"/>
        </w:rPr>
        <w:t xml:space="preserve">, 2023; </w:t>
      </w:r>
      <w:proofErr w:type="spellStart"/>
      <w:r>
        <w:rPr>
          <w:rFonts w:ascii="Times New Roman" w:hAnsi="Times New Roman" w:cs="Times New Roman"/>
        </w:rPr>
        <w:t>Meah</w:t>
      </w:r>
      <w:proofErr w:type="spellEnd"/>
      <w:r>
        <w:rPr>
          <w:rFonts w:ascii="Times New Roman" w:hAnsi="Times New Roman" w:cs="Times New Roman"/>
        </w:rPr>
        <w:t>, 2023</w:t>
      </w:r>
      <w:r>
        <w:rPr>
          <w:rFonts w:ascii="Times New Roman" w:hAnsi="Times New Roman" w:cs="Times New Roman"/>
        </w:rPr>
        <w:t xml:space="preserve">). In developed countries, the adoption of online </w:t>
      </w:r>
      <w:r>
        <w:rPr>
          <w:rFonts w:ascii="Times New Roman" w:hAnsi="Times New Roman" w:cs="Times New Roman"/>
        </w:rPr>
        <w:lastRenderedPageBreak/>
        <w:t>banking has become widespread. However, in developing nations such as Sri Lanka, the transition has been slower and more uneven, primarily due to socio-demographic disparities, particularly in education.</w:t>
      </w:r>
    </w:p>
    <w:p w14:paraId="40577736" w14:textId="77777777" w:rsidR="004E1BA2" w:rsidRDefault="0054188C">
      <w:pPr>
        <w:jc w:val="both"/>
        <w:rPr>
          <w:rFonts w:ascii="Times New Roman" w:hAnsi="Times New Roman" w:cs="Times New Roman"/>
        </w:rPr>
      </w:pPr>
      <w:r>
        <w:rPr>
          <w:rFonts w:ascii="Times New Roman" w:hAnsi="Times New Roman" w:cs="Times New Roman"/>
        </w:rPr>
        <w:t>Ed</w:t>
      </w:r>
      <w:r>
        <w:rPr>
          <w:rFonts w:ascii="Times New Roman" w:hAnsi="Times New Roman" w:cs="Times New Roman"/>
        </w:rPr>
        <w:t>ucation is widely recognized as a foundational determinant in the adoption of online banking. It equips individuals with the knowledge and digital competency necessary to understand, trust, and effectively use digital financial services (</w:t>
      </w:r>
      <w:proofErr w:type="spellStart"/>
      <w:r>
        <w:rPr>
          <w:rFonts w:ascii="Times New Roman" w:hAnsi="Times New Roman" w:cs="Times New Roman"/>
        </w:rPr>
        <w:t>Gavurova</w:t>
      </w:r>
      <w:proofErr w:type="spellEnd"/>
      <w:r>
        <w:rPr>
          <w:rFonts w:ascii="Times New Roman" w:hAnsi="Times New Roman" w:cs="Times New Roman"/>
        </w:rPr>
        <w:t xml:space="preserve"> et al., 2</w:t>
      </w:r>
      <w:r>
        <w:rPr>
          <w:rFonts w:ascii="Times New Roman" w:hAnsi="Times New Roman" w:cs="Times New Roman"/>
        </w:rPr>
        <w:t>019). According to the Human Capital Theory, education enhances an individual’s capacity to make informed decisions and interact with complex systems, including financial technologies (Blair, 2012; McConnell et al., 2009). In this context, educational atta</w:t>
      </w:r>
      <w:r>
        <w:rPr>
          <w:rFonts w:ascii="Times New Roman" w:hAnsi="Times New Roman" w:cs="Times New Roman"/>
        </w:rPr>
        <w:t xml:space="preserve">inment is more than just a measure of academic qualification; it is an indicator of a person's potential to access, evaluate, and apply financial and digital knowledge. Research by </w:t>
      </w:r>
      <w:proofErr w:type="spellStart"/>
      <w:r>
        <w:rPr>
          <w:rFonts w:ascii="Times New Roman" w:hAnsi="Times New Roman" w:cs="Times New Roman"/>
        </w:rPr>
        <w:t>Hashim</w:t>
      </w:r>
      <w:proofErr w:type="spellEnd"/>
      <w:r>
        <w:rPr>
          <w:rFonts w:ascii="Times New Roman" w:hAnsi="Times New Roman" w:cs="Times New Roman"/>
        </w:rPr>
        <w:t xml:space="preserve"> et al. (2021) further supports this view, emphasizing that individua</w:t>
      </w:r>
      <w:r>
        <w:rPr>
          <w:rFonts w:ascii="Times New Roman" w:hAnsi="Times New Roman" w:cs="Times New Roman"/>
        </w:rPr>
        <w:t>ls with higher levels of education demonstrate stronger financial behaviors and are more inclined to utilize online banking platforms.</w:t>
      </w:r>
    </w:p>
    <w:p w14:paraId="76852F27" w14:textId="77777777" w:rsidR="004E1BA2" w:rsidRDefault="0054188C">
      <w:pPr>
        <w:jc w:val="both"/>
        <w:rPr>
          <w:rFonts w:ascii="Times New Roman" w:hAnsi="Times New Roman" w:cs="Times New Roman"/>
        </w:rPr>
      </w:pPr>
      <w:r>
        <w:rPr>
          <w:rFonts w:ascii="Times New Roman" w:hAnsi="Times New Roman" w:cs="Times New Roman"/>
        </w:rPr>
        <w:t>Sri Lanka presents an interesting case where, despite notable improvements in both general and computer literacy rates, a</w:t>
      </w:r>
      <w:r>
        <w:rPr>
          <w:rFonts w:ascii="Times New Roman" w:hAnsi="Times New Roman" w:cs="Times New Roman"/>
        </w:rPr>
        <w:t>ctual engagement with online banking remains critically low. According to the Department of Census and Statistics (2023), the computer literacy rate increased from 24.9% in 2014 to 39.5% in 2023, while digital literacy also showed a steady rise, reaching 6</w:t>
      </w:r>
      <w:r>
        <w:rPr>
          <w:rFonts w:ascii="Times New Roman" w:hAnsi="Times New Roman" w:cs="Times New Roman"/>
        </w:rPr>
        <w:t xml:space="preserve">3.8% by 2023. Nevertheless, Mano et al. (2020) found that only 1% of bank </w:t>
      </w:r>
      <w:proofErr w:type="gramStart"/>
      <w:r>
        <w:rPr>
          <w:rFonts w:ascii="Times New Roman" w:hAnsi="Times New Roman" w:cs="Times New Roman"/>
        </w:rPr>
        <w:t>customers</w:t>
      </w:r>
      <w:proofErr w:type="gramEnd"/>
      <w:r>
        <w:rPr>
          <w:rFonts w:ascii="Times New Roman" w:hAnsi="Times New Roman" w:cs="Times New Roman"/>
        </w:rPr>
        <w:t xml:space="preserve"> use online banking services, highlighting a significant gap between digital readiness and actual usage. This disconnect suggests that other structural and educational barri</w:t>
      </w:r>
      <w:r>
        <w:rPr>
          <w:rFonts w:ascii="Times New Roman" w:hAnsi="Times New Roman" w:cs="Times New Roman"/>
        </w:rPr>
        <w:t>ers may be impeding the broader adoption of online banking services.</w:t>
      </w:r>
    </w:p>
    <w:p w14:paraId="6E6ED184" w14:textId="77777777" w:rsidR="004E1BA2" w:rsidRDefault="0054188C">
      <w:pPr>
        <w:jc w:val="both"/>
        <w:rPr>
          <w:rFonts w:ascii="Times New Roman" w:hAnsi="Times New Roman" w:cs="Times New Roman"/>
        </w:rPr>
      </w:pPr>
      <w:r>
        <w:rPr>
          <w:rFonts w:ascii="Times New Roman" w:hAnsi="Times New Roman" w:cs="Times New Roman"/>
        </w:rPr>
        <w:t xml:space="preserve">In previous studies, financial literacy has often been the focal point in understanding online banking behavior. </w:t>
      </w:r>
      <w:proofErr w:type="spellStart"/>
      <w:r>
        <w:rPr>
          <w:rFonts w:ascii="Times New Roman" w:hAnsi="Times New Roman" w:cs="Times New Roman"/>
        </w:rPr>
        <w:t>Andreou</w:t>
      </w:r>
      <w:proofErr w:type="spellEnd"/>
      <w:r>
        <w:rPr>
          <w:rFonts w:ascii="Times New Roman" w:hAnsi="Times New Roman" w:cs="Times New Roman"/>
        </w:rPr>
        <w:t xml:space="preserve"> and </w:t>
      </w:r>
      <w:proofErr w:type="spellStart"/>
      <w:r>
        <w:rPr>
          <w:rFonts w:ascii="Times New Roman" w:hAnsi="Times New Roman" w:cs="Times New Roman"/>
        </w:rPr>
        <w:t>Anyfantaki</w:t>
      </w:r>
      <w:proofErr w:type="spellEnd"/>
      <w:r>
        <w:rPr>
          <w:rFonts w:ascii="Times New Roman" w:hAnsi="Times New Roman" w:cs="Times New Roman"/>
        </w:rPr>
        <w:t xml:space="preserve"> (2019) identified a strong positive relationship be</w:t>
      </w:r>
      <w:r>
        <w:rPr>
          <w:rFonts w:ascii="Times New Roman" w:hAnsi="Times New Roman" w:cs="Times New Roman"/>
        </w:rPr>
        <w:t xml:space="preserve">tween financial literacy and online banking adoption. Similarly, </w:t>
      </w:r>
      <w:proofErr w:type="spellStart"/>
      <w:r>
        <w:rPr>
          <w:rFonts w:ascii="Times New Roman" w:hAnsi="Times New Roman" w:cs="Times New Roman"/>
        </w:rPr>
        <w:t>Karunarathna</w:t>
      </w:r>
      <w:proofErr w:type="spellEnd"/>
      <w:r>
        <w:rPr>
          <w:rFonts w:ascii="Times New Roman" w:hAnsi="Times New Roman" w:cs="Times New Roman"/>
        </w:rPr>
        <w:t xml:space="preserve"> (2024) noted that financial capability is essential for navigating digital banking systems. However, education and financial literacy are often intertwined, and the role of forma</w:t>
      </w:r>
      <w:r>
        <w:rPr>
          <w:rFonts w:ascii="Times New Roman" w:hAnsi="Times New Roman" w:cs="Times New Roman"/>
        </w:rPr>
        <w:t xml:space="preserve">l education as an independent predictor of digital banking engagement remains under-examined in the Sri Lankan context. While financial literacy initiatives exist, their effectiveness may be limited if the baseline educational level of the target audience </w:t>
      </w:r>
      <w:r>
        <w:rPr>
          <w:rFonts w:ascii="Times New Roman" w:hAnsi="Times New Roman" w:cs="Times New Roman"/>
        </w:rPr>
        <w:t>is insufficient to absorb and apply the knowledge.</w:t>
      </w:r>
    </w:p>
    <w:p w14:paraId="2C68B9F4" w14:textId="77777777" w:rsidR="004E1BA2" w:rsidRDefault="0054188C">
      <w:pPr>
        <w:jc w:val="both"/>
        <w:rPr>
          <w:rFonts w:ascii="Times New Roman" w:hAnsi="Times New Roman" w:cs="Times New Roman"/>
        </w:rPr>
      </w:pPr>
      <w:r>
        <w:rPr>
          <w:rFonts w:ascii="Times New Roman" w:hAnsi="Times New Roman" w:cs="Times New Roman"/>
        </w:rPr>
        <w:t xml:space="preserve">The online banking environment in Sri Lanka is further complicated by regional disparities. Studies such as those by </w:t>
      </w:r>
      <w:proofErr w:type="spellStart"/>
      <w:r>
        <w:rPr>
          <w:rFonts w:ascii="Times New Roman" w:hAnsi="Times New Roman" w:cs="Times New Roman"/>
        </w:rPr>
        <w:t>Jegatheesparan</w:t>
      </w:r>
      <w:proofErr w:type="spellEnd"/>
      <w:r>
        <w:rPr>
          <w:rFonts w:ascii="Times New Roman" w:hAnsi="Times New Roman" w:cs="Times New Roman"/>
        </w:rPr>
        <w:t xml:space="preserve"> and </w:t>
      </w:r>
      <w:proofErr w:type="spellStart"/>
      <w:r>
        <w:rPr>
          <w:rFonts w:ascii="Times New Roman" w:hAnsi="Times New Roman" w:cs="Times New Roman"/>
        </w:rPr>
        <w:t>Rajeshwaran</w:t>
      </w:r>
      <w:proofErr w:type="spellEnd"/>
      <w:r>
        <w:rPr>
          <w:rFonts w:ascii="Times New Roman" w:hAnsi="Times New Roman" w:cs="Times New Roman"/>
        </w:rPr>
        <w:t xml:space="preserve"> (2020) and Mano et al. (2020) show that urban populations</w:t>
      </w:r>
      <w:r>
        <w:rPr>
          <w:rFonts w:ascii="Times New Roman" w:hAnsi="Times New Roman" w:cs="Times New Roman"/>
        </w:rPr>
        <w:t xml:space="preserve"> tend to adopt online banking more readily than rural populations, often due to higher levels of education, better access to digital tools, and increased financial awareness. Despite nationwide internet penetration and mobile device usage, lower educationa</w:t>
      </w:r>
      <w:r>
        <w:rPr>
          <w:rFonts w:ascii="Times New Roman" w:hAnsi="Times New Roman" w:cs="Times New Roman"/>
        </w:rPr>
        <w:t>l attainment in rural areas continues to act as a barrier to digital inclusion.</w:t>
      </w:r>
    </w:p>
    <w:p w14:paraId="48B28900" w14:textId="77777777" w:rsidR="004E1BA2" w:rsidRDefault="0054188C">
      <w:pPr>
        <w:jc w:val="both"/>
        <w:rPr>
          <w:rFonts w:ascii="Times New Roman" w:hAnsi="Times New Roman" w:cs="Times New Roman"/>
        </w:rPr>
      </w:pPr>
      <w:r>
        <w:rPr>
          <w:rFonts w:ascii="Times New Roman" w:hAnsi="Times New Roman" w:cs="Times New Roman"/>
        </w:rPr>
        <w:t>Globally, the Technology Acceptance Model (TAM) and the Theory of Planned Behavior (TPB) have been used to explain how perceived usefulness, ease of use, social norms, and perc</w:t>
      </w:r>
      <w:r>
        <w:rPr>
          <w:rFonts w:ascii="Times New Roman" w:hAnsi="Times New Roman" w:cs="Times New Roman"/>
        </w:rPr>
        <w:t xml:space="preserve">eived behavioral control influence technology adoption. However, these models also underscore the </w:t>
      </w:r>
      <w:r>
        <w:rPr>
          <w:rFonts w:ascii="Times New Roman" w:hAnsi="Times New Roman" w:cs="Times New Roman"/>
        </w:rPr>
        <w:lastRenderedPageBreak/>
        <w:t>critical role of user competence, which is often shaped by educational exposure (</w:t>
      </w:r>
      <w:proofErr w:type="spellStart"/>
      <w:r>
        <w:rPr>
          <w:rFonts w:ascii="Times New Roman" w:hAnsi="Times New Roman" w:cs="Times New Roman"/>
        </w:rPr>
        <w:t>Ajzen</w:t>
      </w:r>
      <w:proofErr w:type="spellEnd"/>
      <w:r>
        <w:rPr>
          <w:rFonts w:ascii="Times New Roman" w:hAnsi="Times New Roman" w:cs="Times New Roman"/>
        </w:rPr>
        <w:t xml:space="preserve">, 1991; Davis, 1989). In the Sri Lankan context, where education is not </w:t>
      </w:r>
      <w:r>
        <w:rPr>
          <w:rFonts w:ascii="Times New Roman" w:hAnsi="Times New Roman" w:cs="Times New Roman"/>
        </w:rPr>
        <w:t>uniformly distributed and quality varies between urban and rural regions, applying these theoretical frameworks necessitates a careful examination of educational influence on digital financial behavior.</w:t>
      </w:r>
    </w:p>
    <w:p w14:paraId="043EAA28" w14:textId="77777777" w:rsidR="004E1BA2" w:rsidRDefault="0054188C">
      <w:pPr>
        <w:jc w:val="both"/>
        <w:rPr>
          <w:rFonts w:ascii="Times New Roman" w:hAnsi="Times New Roman" w:cs="Times New Roman"/>
        </w:rPr>
      </w:pPr>
      <w:r>
        <w:rPr>
          <w:rFonts w:ascii="Times New Roman" w:hAnsi="Times New Roman" w:cs="Times New Roman"/>
        </w:rPr>
        <w:t>Overall, the existing body of literature suggests tha</w:t>
      </w:r>
      <w:r>
        <w:rPr>
          <w:rFonts w:ascii="Times New Roman" w:hAnsi="Times New Roman" w:cs="Times New Roman"/>
        </w:rPr>
        <w:t>t while several factors influence the uptake of online banking including income, financial literacy, and technological infrastructure, among them educational attainment plays a central, though often under-researched, role. The current study seeks to addres</w:t>
      </w:r>
      <w:r>
        <w:rPr>
          <w:rFonts w:ascii="Times New Roman" w:hAnsi="Times New Roman" w:cs="Times New Roman"/>
        </w:rPr>
        <w:t>s this gap by focusing specifically on how varying levels of education influence online banking engagement among adults in Sri Lanka, thereby contributing to a more nuanced understanding of digital financial inclusion.</w:t>
      </w:r>
    </w:p>
    <w:p w14:paraId="7B3B54B4" w14:textId="77777777" w:rsidR="004E1BA2" w:rsidRDefault="0054188C">
      <w:pPr>
        <w:jc w:val="both"/>
        <w:rPr>
          <w:rFonts w:ascii="Times New Roman" w:hAnsi="Times New Roman" w:cs="Times New Roman"/>
          <w:b/>
          <w:bCs/>
        </w:rPr>
      </w:pPr>
      <w:r>
        <w:rPr>
          <w:rFonts w:ascii="Times New Roman" w:hAnsi="Times New Roman" w:cs="Times New Roman"/>
          <w:b/>
          <w:bCs/>
        </w:rPr>
        <w:t>Methodology</w:t>
      </w:r>
    </w:p>
    <w:p w14:paraId="2E2D682A" w14:textId="77777777" w:rsidR="004E1BA2" w:rsidRDefault="0054188C">
      <w:pPr>
        <w:jc w:val="both"/>
        <w:rPr>
          <w:rFonts w:ascii="Times New Roman" w:hAnsi="Times New Roman" w:cs="Times New Roman"/>
        </w:rPr>
      </w:pPr>
      <w:commentRangeStart w:id="1"/>
      <w:r>
        <w:rPr>
          <w:rFonts w:ascii="Times New Roman" w:hAnsi="Times New Roman" w:cs="Times New Roman"/>
        </w:rPr>
        <w:t>This study adopts a quant</w:t>
      </w:r>
      <w:r>
        <w:rPr>
          <w:rFonts w:ascii="Times New Roman" w:hAnsi="Times New Roman" w:cs="Times New Roman"/>
        </w:rPr>
        <w:t>itative research approach to investigate the relationship between educational attainment and the use of online banking services among adults</w:t>
      </w:r>
      <w:commentRangeEnd w:id="1"/>
      <w:r>
        <w:commentReference w:id="1"/>
      </w:r>
      <w:r>
        <w:rPr>
          <w:rFonts w:ascii="Times New Roman" w:hAnsi="Times New Roman" w:cs="Times New Roman"/>
        </w:rPr>
        <w:t xml:space="preserve">. Data were collected from a sample of 382 bank customers residing in the </w:t>
      </w:r>
      <w:proofErr w:type="spellStart"/>
      <w:r>
        <w:rPr>
          <w:rFonts w:ascii="Times New Roman" w:hAnsi="Times New Roman" w:cs="Times New Roman"/>
        </w:rPr>
        <w:t>Balangoda</w:t>
      </w:r>
      <w:proofErr w:type="spellEnd"/>
      <w:r>
        <w:rPr>
          <w:rFonts w:ascii="Times New Roman" w:hAnsi="Times New Roman" w:cs="Times New Roman"/>
        </w:rPr>
        <w:t xml:space="preserve"> Divisional Secretariat Divisi</w:t>
      </w:r>
      <w:r>
        <w:rPr>
          <w:rFonts w:ascii="Times New Roman" w:hAnsi="Times New Roman" w:cs="Times New Roman"/>
        </w:rPr>
        <w:t xml:space="preserve">on, located within the </w:t>
      </w:r>
      <w:proofErr w:type="spellStart"/>
      <w:r>
        <w:rPr>
          <w:rFonts w:ascii="Times New Roman" w:hAnsi="Times New Roman" w:cs="Times New Roman"/>
        </w:rPr>
        <w:t>Ratnapura</w:t>
      </w:r>
      <w:proofErr w:type="spellEnd"/>
      <w:r>
        <w:rPr>
          <w:rFonts w:ascii="Times New Roman" w:hAnsi="Times New Roman" w:cs="Times New Roman"/>
        </w:rPr>
        <w:t xml:space="preserve"> District of the </w:t>
      </w:r>
      <w:proofErr w:type="spellStart"/>
      <w:r>
        <w:rPr>
          <w:rFonts w:ascii="Times New Roman" w:hAnsi="Times New Roman" w:cs="Times New Roman"/>
        </w:rPr>
        <w:t>Sabaragamuwa</w:t>
      </w:r>
      <w:proofErr w:type="spellEnd"/>
      <w:r>
        <w:rPr>
          <w:rFonts w:ascii="Times New Roman" w:hAnsi="Times New Roman" w:cs="Times New Roman"/>
        </w:rPr>
        <w:t xml:space="preserve"> Province in Sri Lanka. Participants were selected using simple random sampling, ensuring that every individual in the population had an equal chance of being included in the study.</w:t>
      </w:r>
    </w:p>
    <w:p w14:paraId="1F01E6F4" w14:textId="77777777" w:rsidR="004E1BA2" w:rsidRDefault="0054188C">
      <w:pPr>
        <w:jc w:val="both"/>
        <w:rPr>
          <w:rFonts w:ascii="Times New Roman" w:hAnsi="Times New Roman" w:cs="Times New Roman"/>
        </w:rPr>
      </w:pPr>
      <w:r>
        <w:rPr>
          <w:rFonts w:ascii="Times New Roman" w:hAnsi="Times New Roman" w:cs="Times New Roman"/>
        </w:rPr>
        <w:t xml:space="preserve">According to </w:t>
      </w:r>
      <w:r>
        <w:rPr>
          <w:rFonts w:ascii="Times New Roman" w:hAnsi="Times New Roman" w:cs="Times New Roman"/>
        </w:rPr>
        <w:t xml:space="preserve">the Census of Population and Housing (2012), the population aged 20 years and above in the </w:t>
      </w:r>
      <w:proofErr w:type="spellStart"/>
      <w:r>
        <w:rPr>
          <w:rFonts w:ascii="Times New Roman" w:hAnsi="Times New Roman" w:cs="Times New Roman"/>
        </w:rPr>
        <w:t>Balangoda</w:t>
      </w:r>
      <w:proofErr w:type="spellEnd"/>
      <w:r>
        <w:rPr>
          <w:rFonts w:ascii="Times New Roman" w:hAnsi="Times New Roman" w:cs="Times New Roman"/>
        </w:rPr>
        <w:t xml:space="preserve"> Divisional Secretariat Division is 54,623. The appropriate sample size was determined using the </w:t>
      </w:r>
      <w:proofErr w:type="spellStart"/>
      <w:r>
        <w:rPr>
          <w:rFonts w:ascii="Times New Roman" w:hAnsi="Times New Roman" w:cs="Times New Roman"/>
        </w:rPr>
        <w:t>Krejcie</w:t>
      </w:r>
      <w:proofErr w:type="spellEnd"/>
      <w:r>
        <w:rPr>
          <w:rFonts w:ascii="Times New Roman" w:hAnsi="Times New Roman" w:cs="Times New Roman"/>
        </w:rPr>
        <w:t xml:space="preserve"> and Morgan sample size determination table, which i</w:t>
      </w:r>
      <w:r>
        <w:rPr>
          <w:rFonts w:ascii="Times New Roman" w:hAnsi="Times New Roman" w:cs="Times New Roman"/>
        </w:rPr>
        <w:t>s widely accepted for selecting representative samples from large populations. Based on this method, a total of 382 respondents were selected for the study.</w:t>
      </w:r>
    </w:p>
    <w:p w14:paraId="2705F45C" w14:textId="77777777" w:rsidR="004E1BA2" w:rsidRDefault="0054188C">
      <w:pPr>
        <w:jc w:val="both"/>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Sabaragamuwa</w:t>
      </w:r>
      <w:proofErr w:type="spellEnd"/>
      <w:r>
        <w:rPr>
          <w:rFonts w:ascii="Times New Roman" w:hAnsi="Times New Roman" w:cs="Times New Roman"/>
        </w:rPr>
        <w:t xml:space="preserve"> Province was intentionally chosen due to its distinct demographic and technologica</w:t>
      </w:r>
      <w:r>
        <w:rPr>
          <w:rFonts w:ascii="Times New Roman" w:hAnsi="Times New Roman" w:cs="Times New Roman"/>
        </w:rPr>
        <w:t>l profile. It is the fifth most populous province in the country, with a total population of approximately 1.9 million (Census of Population and Housing, 2012). Notably, the province ranks second in the country for computer ownership and usage, with around</w:t>
      </w:r>
      <w:r>
        <w:rPr>
          <w:rFonts w:ascii="Times New Roman" w:hAnsi="Times New Roman" w:cs="Times New Roman"/>
        </w:rPr>
        <w:t xml:space="preserve"> 20% of the population demonstrating computer literacy (Computer Literacy Statistics, 2022). The province also boasts a high general literacy rate of 94.8%, making it one of the most educationally and digitally literate regions in Sri Lanka. Despite these </w:t>
      </w:r>
      <w:r>
        <w:rPr>
          <w:rFonts w:ascii="Times New Roman" w:hAnsi="Times New Roman" w:cs="Times New Roman"/>
        </w:rPr>
        <w:t>promising indicators, there is a notable lack of empirical research on how educational qualifications influence digital banking behavior in this area. Thus, the study seeks to address this gap in literature.</w:t>
      </w:r>
    </w:p>
    <w:p w14:paraId="2A7C3F78" w14:textId="77777777" w:rsidR="004E1BA2" w:rsidRDefault="0054188C">
      <w:pPr>
        <w:jc w:val="both"/>
        <w:rPr>
          <w:rFonts w:ascii="Times New Roman" w:hAnsi="Times New Roman" w:cs="Times New Roman"/>
        </w:rPr>
      </w:pPr>
      <w:r>
        <w:rPr>
          <w:rFonts w:ascii="Times New Roman" w:hAnsi="Times New Roman" w:cs="Times New Roman"/>
        </w:rPr>
        <w:t>Data for the research was obtained from both pri</w:t>
      </w:r>
      <w:r>
        <w:rPr>
          <w:rFonts w:ascii="Times New Roman" w:hAnsi="Times New Roman" w:cs="Times New Roman"/>
        </w:rPr>
        <w:t>mary and secondary sources. Primary data were collected through pre-tested structured questionnaires and face-to-face interviews conducted with the selected participants. Secondary data were drawn from academic literature, previous empirical studies, and o</w:t>
      </w:r>
      <w:r>
        <w:rPr>
          <w:rFonts w:ascii="Times New Roman" w:hAnsi="Times New Roman" w:cs="Times New Roman"/>
        </w:rPr>
        <w:t>fficial records such as reports from the Central Bank of Sri Lanka and the Department of Census and Statistics.</w:t>
      </w:r>
    </w:p>
    <w:p w14:paraId="7B9BB475" w14:textId="77777777" w:rsidR="004E1BA2" w:rsidRDefault="0054188C">
      <w:pPr>
        <w:jc w:val="both"/>
        <w:rPr>
          <w:rFonts w:ascii="Times New Roman" w:hAnsi="Times New Roman" w:cs="Times New Roman"/>
        </w:rPr>
      </w:pPr>
      <w:r>
        <w:rPr>
          <w:rFonts w:ascii="Times New Roman" w:hAnsi="Times New Roman" w:cs="Times New Roman"/>
        </w:rPr>
        <w:lastRenderedPageBreak/>
        <w:t>To examine the relationship between educational level and the frequency of online banking usage, the study employed an ANOVA test. In this analy</w:t>
      </w:r>
      <w:r>
        <w:rPr>
          <w:rFonts w:ascii="Times New Roman" w:hAnsi="Times New Roman" w:cs="Times New Roman"/>
        </w:rPr>
        <w:t>sis, the independent variable was the educational qualification of the respondents, categorized into seven levels. The dependent variable was online banking usage, measured by the number of times respondents accessed online banking services in a typical we</w:t>
      </w:r>
      <w:r>
        <w:rPr>
          <w:rFonts w:ascii="Times New Roman" w:hAnsi="Times New Roman" w:cs="Times New Roman"/>
        </w:rPr>
        <w:t>ek. Data analysis was conducted using IBM SPSS (Version 23) and Microsoft Excel to ensure precise and credible statistical outcome</w:t>
      </w:r>
      <w:commentRangeStart w:id="2"/>
      <w:r>
        <w:rPr>
          <w:rFonts w:ascii="Times New Roman" w:hAnsi="Times New Roman" w:cs="Times New Roman"/>
        </w:rPr>
        <w:t>s.</w:t>
      </w:r>
      <w:commentRangeEnd w:id="2"/>
      <w:r>
        <w:commentReference w:id="2"/>
      </w:r>
    </w:p>
    <w:p w14:paraId="1F66F2DA" w14:textId="77777777" w:rsidR="004E1BA2" w:rsidRDefault="0054188C">
      <w:pPr>
        <w:jc w:val="both"/>
        <w:rPr>
          <w:rFonts w:ascii="Times New Roman" w:hAnsi="Times New Roman" w:cs="Times New Roman"/>
        </w:rPr>
      </w:pPr>
      <w:r>
        <w:rPr>
          <w:rFonts w:ascii="Times New Roman" w:hAnsi="Times New Roman" w:cs="Times New Roman"/>
        </w:rPr>
        <w:t>In alignment with the research objective, the following hypotheses were tested:</w:t>
      </w:r>
    </w:p>
    <w:p w14:paraId="00416BE2" w14:textId="77777777" w:rsidR="004E1BA2" w:rsidRDefault="0054188C">
      <w:pPr>
        <w:jc w:val="both"/>
        <w:rPr>
          <w:rFonts w:ascii="Times New Roman" w:hAnsi="Times New Roman" w:cs="Times New Roman"/>
        </w:rPr>
      </w:pPr>
      <w:r>
        <w:rPr>
          <w:rFonts w:ascii="Times New Roman" w:hAnsi="Times New Roman" w:cs="Times New Roman"/>
        </w:rPr>
        <w:t>Null Hypothesis (H₀): There is no signif</w:t>
      </w:r>
      <w:r>
        <w:rPr>
          <w:rFonts w:ascii="Times New Roman" w:hAnsi="Times New Roman" w:cs="Times New Roman"/>
        </w:rPr>
        <w:t>icant difference in online banking engagement across different levels of educational attainment.</w:t>
      </w:r>
    </w:p>
    <w:p w14:paraId="4B7F62E5" w14:textId="77777777" w:rsidR="004E1BA2" w:rsidRDefault="0054188C">
      <w:pPr>
        <w:jc w:val="both"/>
        <w:rPr>
          <w:rFonts w:ascii="Times New Roman" w:hAnsi="Times New Roman" w:cs="Times New Roman"/>
        </w:rPr>
      </w:pPr>
      <w:r>
        <w:rPr>
          <w:rFonts w:ascii="Times New Roman" w:hAnsi="Times New Roman" w:cs="Times New Roman"/>
        </w:rPr>
        <w:t>Alternative Hypothesis (H₁): There is a significant difference in online banking engagement across different levels of educational attainment.</w:t>
      </w:r>
    </w:p>
    <w:p w14:paraId="417B4098" w14:textId="77777777" w:rsidR="004E1BA2" w:rsidRDefault="0054188C">
      <w:pPr>
        <w:pStyle w:val="ListParagraph"/>
        <w:numPr>
          <w:ilvl w:val="0"/>
          <w:numId w:val="1"/>
        </w:numPr>
        <w:jc w:val="both"/>
        <w:rPr>
          <w:rFonts w:ascii="Times New Roman" w:hAnsi="Times New Roman" w:cs="Times New Roman"/>
          <w:b/>
          <w:bCs/>
        </w:rPr>
      </w:pPr>
      <w:r>
        <w:rPr>
          <w:rFonts w:ascii="Times New Roman" w:hAnsi="Times New Roman" w:cs="Times New Roman"/>
          <w:b/>
          <w:bCs/>
        </w:rPr>
        <w:t xml:space="preserve">Results and Discussion </w:t>
      </w:r>
    </w:p>
    <w:p w14:paraId="3069E1A9" w14:textId="77777777" w:rsidR="004E1BA2" w:rsidRDefault="0054188C">
      <w:pPr>
        <w:jc w:val="both"/>
        <w:rPr>
          <w:rFonts w:ascii="Times New Roman" w:hAnsi="Times New Roman" w:cs="Times New Roman"/>
        </w:rPr>
      </w:pPr>
      <w:r>
        <w:rPr>
          <w:rFonts w:ascii="Times New Roman" w:hAnsi="Times New Roman" w:cs="Times New Roman"/>
        </w:rPr>
        <w:t>The results obtained from the research can be described as follows.</w:t>
      </w:r>
    </w:p>
    <w:p w14:paraId="6902CD16" w14:textId="77777777" w:rsidR="004E1BA2" w:rsidRDefault="0054188C">
      <w:pPr>
        <w:jc w:val="both"/>
        <w:rPr>
          <w:rFonts w:ascii="Times New Roman" w:hAnsi="Times New Roman" w:cs="Times New Roman"/>
        </w:rPr>
      </w:pPr>
      <w:r>
        <w:rPr>
          <w:rFonts w:ascii="Times New Roman" w:hAnsi="Times New Roman" w:cs="Times New Roman"/>
        </w:rPr>
        <w:t>Table 01: Summary of demographic profile for users of online Banking</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780"/>
        <w:gridCol w:w="2244"/>
        <w:gridCol w:w="2526"/>
      </w:tblGrid>
      <w:tr w:rsidR="004E1BA2" w14:paraId="7B0C6B24" w14:textId="77777777">
        <w:trPr>
          <w:jc w:val="center"/>
        </w:trPr>
        <w:tc>
          <w:tcPr>
            <w:tcW w:w="3780" w:type="dxa"/>
            <w:vAlign w:val="center"/>
          </w:tcPr>
          <w:p w14:paraId="2B82A3C7"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b/>
                <w:bCs/>
              </w:rPr>
              <w:t>Description</w:t>
            </w:r>
          </w:p>
        </w:tc>
        <w:tc>
          <w:tcPr>
            <w:tcW w:w="2244" w:type="dxa"/>
            <w:vAlign w:val="center"/>
          </w:tcPr>
          <w:p w14:paraId="4DD1DA84"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b/>
                <w:bCs/>
              </w:rPr>
              <w:t>Frequency</w:t>
            </w:r>
          </w:p>
        </w:tc>
        <w:tc>
          <w:tcPr>
            <w:tcW w:w="2526" w:type="dxa"/>
            <w:vAlign w:val="center"/>
          </w:tcPr>
          <w:p w14:paraId="06B8CFE6"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b/>
                <w:bCs/>
              </w:rPr>
              <w:t>Percentage</w:t>
            </w:r>
          </w:p>
        </w:tc>
      </w:tr>
      <w:tr w:rsidR="004E1BA2" w14:paraId="0A7BEEB3" w14:textId="77777777">
        <w:trPr>
          <w:jc w:val="center"/>
        </w:trPr>
        <w:tc>
          <w:tcPr>
            <w:tcW w:w="3780" w:type="dxa"/>
            <w:vAlign w:val="center"/>
          </w:tcPr>
          <w:p w14:paraId="267733F3"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b/>
                <w:bCs/>
              </w:rPr>
              <w:t>Gender</w:t>
            </w:r>
          </w:p>
        </w:tc>
        <w:tc>
          <w:tcPr>
            <w:tcW w:w="2244" w:type="dxa"/>
            <w:vAlign w:val="center"/>
          </w:tcPr>
          <w:p w14:paraId="4610AC19" w14:textId="77777777" w:rsidR="004E1BA2" w:rsidRDefault="004E1BA2">
            <w:pPr>
              <w:spacing w:after="0" w:line="240" w:lineRule="auto"/>
              <w:jc w:val="both"/>
              <w:rPr>
                <w:rFonts w:ascii="Times New Roman" w:hAnsi="Times New Roman" w:cs="Times New Roman"/>
              </w:rPr>
            </w:pPr>
          </w:p>
        </w:tc>
        <w:tc>
          <w:tcPr>
            <w:tcW w:w="2526" w:type="dxa"/>
            <w:vAlign w:val="center"/>
          </w:tcPr>
          <w:p w14:paraId="08A7051D" w14:textId="77777777" w:rsidR="004E1BA2" w:rsidRDefault="004E1BA2">
            <w:pPr>
              <w:spacing w:after="0" w:line="240" w:lineRule="auto"/>
              <w:jc w:val="both"/>
              <w:rPr>
                <w:rFonts w:ascii="Times New Roman" w:hAnsi="Times New Roman" w:cs="Times New Roman"/>
              </w:rPr>
            </w:pPr>
          </w:p>
        </w:tc>
      </w:tr>
      <w:tr w:rsidR="004E1BA2" w14:paraId="0B867E3C" w14:textId="77777777">
        <w:trPr>
          <w:jc w:val="center"/>
        </w:trPr>
        <w:tc>
          <w:tcPr>
            <w:tcW w:w="3780" w:type="dxa"/>
            <w:vAlign w:val="center"/>
          </w:tcPr>
          <w:p w14:paraId="4F80EF3D"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rPr>
              <w:t>Male</w:t>
            </w:r>
          </w:p>
        </w:tc>
        <w:tc>
          <w:tcPr>
            <w:tcW w:w="2244" w:type="dxa"/>
            <w:vAlign w:val="center"/>
          </w:tcPr>
          <w:p w14:paraId="2066E96E"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rPr>
              <w:t>170</w:t>
            </w:r>
          </w:p>
        </w:tc>
        <w:tc>
          <w:tcPr>
            <w:tcW w:w="2526" w:type="dxa"/>
            <w:vAlign w:val="center"/>
          </w:tcPr>
          <w:p w14:paraId="2715D483"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rPr>
              <w:t>45</w:t>
            </w:r>
          </w:p>
        </w:tc>
      </w:tr>
      <w:tr w:rsidR="004E1BA2" w14:paraId="311A239A" w14:textId="77777777">
        <w:trPr>
          <w:jc w:val="center"/>
        </w:trPr>
        <w:tc>
          <w:tcPr>
            <w:tcW w:w="3780" w:type="dxa"/>
            <w:vAlign w:val="center"/>
          </w:tcPr>
          <w:p w14:paraId="41A572B4"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rPr>
              <w:t>Female</w:t>
            </w:r>
          </w:p>
        </w:tc>
        <w:tc>
          <w:tcPr>
            <w:tcW w:w="2244" w:type="dxa"/>
            <w:vAlign w:val="center"/>
          </w:tcPr>
          <w:p w14:paraId="032E31FF"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rPr>
              <w:t>212</w:t>
            </w:r>
          </w:p>
        </w:tc>
        <w:tc>
          <w:tcPr>
            <w:tcW w:w="2526" w:type="dxa"/>
            <w:vAlign w:val="center"/>
          </w:tcPr>
          <w:p w14:paraId="1E40A582"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rPr>
              <w:t>55</w:t>
            </w:r>
          </w:p>
        </w:tc>
      </w:tr>
      <w:tr w:rsidR="004E1BA2" w14:paraId="37198A17" w14:textId="77777777">
        <w:trPr>
          <w:jc w:val="center"/>
        </w:trPr>
        <w:tc>
          <w:tcPr>
            <w:tcW w:w="3780" w:type="dxa"/>
            <w:vAlign w:val="center"/>
          </w:tcPr>
          <w:p w14:paraId="52D49E57"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b/>
                <w:bCs/>
              </w:rPr>
              <w:t>Age group</w:t>
            </w:r>
          </w:p>
        </w:tc>
        <w:tc>
          <w:tcPr>
            <w:tcW w:w="2244" w:type="dxa"/>
            <w:vAlign w:val="center"/>
          </w:tcPr>
          <w:p w14:paraId="41CB4FD0" w14:textId="77777777" w:rsidR="004E1BA2" w:rsidRDefault="004E1BA2">
            <w:pPr>
              <w:spacing w:after="0" w:line="240" w:lineRule="auto"/>
              <w:jc w:val="both"/>
              <w:rPr>
                <w:rFonts w:ascii="Times New Roman" w:hAnsi="Times New Roman" w:cs="Times New Roman"/>
              </w:rPr>
            </w:pPr>
          </w:p>
        </w:tc>
        <w:tc>
          <w:tcPr>
            <w:tcW w:w="2526" w:type="dxa"/>
            <w:vAlign w:val="center"/>
          </w:tcPr>
          <w:p w14:paraId="2FC1C118" w14:textId="77777777" w:rsidR="004E1BA2" w:rsidRDefault="004E1BA2">
            <w:pPr>
              <w:spacing w:after="0" w:line="240" w:lineRule="auto"/>
              <w:jc w:val="both"/>
              <w:rPr>
                <w:rFonts w:ascii="Times New Roman" w:hAnsi="Times New Roman" w:cs="Times New Roman"/>
              </w:rPr>
            </w:pPr>
          </w:p>
        </w:tc>
      </w:tr>
      <w:tr w:rsidR="004E1BA2" w14:paraId="2277A196" w14:textId="77777777">
        <w:trPr>
          <w:jc w:val="center"/>
        </w:trPr>
        <w:tc>
          <w:tcPr>
            <w:tcW w:w="3780" w:type="dxa"/>
            <w:vAlign w:val="center"/>
          </w:tcPr>
          <w:p w14:paraId="69D35C0F"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rPr>
              <w:t>20-29</w:t>
            </w:r>
          </w:p>
        </w:tc>
        <w:tc>
          <w:tcPr>
            <w:tcW w:w="2244" w:type="dxa"/>
            <w:vAlign w:val="center"/>
          </w:tcPr>
          <w:p w14:paraId="6C7FA521"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rPr>
              <w:t>202</w:t>
            </w:r>
          </w:p>
        </w:tc>
        <w:tc>
          <w:tcPr>
            <w:tcW w:w="2526" w:type="dxa"/>
            <w:vAlign w:val="center"/>
          </w:tcPr>
          <w:p w14:paraId="77EEE297"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rPr>
              <w:t>53</w:t>
            </w:r>
          </w:p>
        </w:tc>
      </w:tr>
      <w:tr w:rsidR="004E1BA2" w14:paraId="776555AF" w14:textId="77777777">
        <w:trPr>
          <w:jc w:val="center"/>
        </w:trPr>
        <w:tc>
          <w:tcPr>
            <w:tcW w:w="3780" w:type="dxa"/>
            <w:vAlign w:val="center"/>
          </w:tcPr>
          <w:p w14:paraId="627EAC2A"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rPr>
              <w:t>30-39</w:t>
            </w:r>
          </w:p>
        </w:tc>
        <w:tc>
          <w:tcPr>
            <w:tcW w:w="2244" w:type="dxa"/>
            <w:vAlign w:val="center"/>
          </w:tcPr>
          <w:p w14:paraId="309FBBB3"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rPr>
              <w:t>140</w:t>
            </w:r>
          </w:p>
        </w:tc>
        <w:tc>
          <w:tcPr>
            <w:tcW w:w="2526" w:type="dxa"/>
            <w:vAlign w:val="center"/>
          </w:tcPr>
          <w:p w14:paraId="7AF07FD7"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rPr>
              <w:t>37</w:t>
            </w:r>
          </w:p>
        </w:tc>
      </w:tr>
      <w:tr w:rsidR="004E1BA2" w14:paraId="5857F469" w14:textId="77777777">
        <w:trPr>
          <w:jc w:val="center"/>
        </w:trPr>
        <w:tc>
          <w:tcPr>
            <w:tcW w:w="3780" w:type="dxa"/>
            <w:vAlign w:val="center"/>
          </w:tcPr>
          <w:p w14:paraId="05952113"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rPr>
              <w:t>40-49</w:t>
            </w:r>
          </w:p>
        </w:tc>
        <w:tc>
          <w:tcPr>
            <w:tcW w:w="2244" w:type="dxa"/>
            <w:vAlign w:val="center"/>
          </w:tcPr>
          <w:p w14:paraId="45228B2D"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rPr>
              <w:t>28</w:t>
            </w:r>
          </w:p>
        </w:tc>
        <w:tc>
          <w:tcPr>
            <w:tcW w:w="2526" w:type="dxa"/>
            <w:vAlign w:val="center"/>
          </w:tcPr>
          <w:p w14:paraId="59421CCE"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rPr>
              <w:t>7</w:t>
            </w:r>
          </w:p>
        </w:tc>
      </w:tr>
      <w:tr w:rsidR="004E1BA2" w14:paraId="3128466D" w14:textId="77777777">
        <w:trPr>
          <w:jc w:val="center"/>
        </w:trPr>
        <w:tc>
          <w:tcPr>
            <w:tcW w:w="3780" w:type="dxa"/>
            <w:vAlign w:val="center"/>
          </w:tcPr>
          <w:p w14:paraId="4148375C"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rPr>
              <w:t>50</w:t>
            </w:r>
            <m:oMath>
              <m:r>
                <w:rPr>
                  <w:rFonts w:ascii="Cambria Math" w:hAnsi="Cambria Math" w:cs="Times New Roman"/>
                </w:rPr>
                <m:t>≤</m:t>
              </m:r>
            </m:oMath>
          </w:p>
        </w:tc>
        <w:tc>
          <w:tcPr>
            <w:tcW w:w="2244" w:type="dxa"/>
            <w:vAlign w:val="center"/>
          </w:tcPr>
          <w:p w14:paraId="0A80AEC0"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rPr>
              <w:t>12</w:t>
            </w:r>
          </w:p>
        </w:tc>
        <w:tc>
          <w:tcPr>
            <w:tcW w:w="2526" w:type="dxa"/>
            <w:vAlign w:val="center"/>
          </w:tcPr>
          <w:p w14:paraId="05BCA590"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rPr>
              <w:t>3</w:t>
            </w:r>
          </w:p>
        </w:tc>
      </w:tr>
      <w:tr w:rsidR="004E1BA2" w14:paraId="159FEEA5" w14:textId="77777777">
        <w:trPr>
          <w:jc w:val="center"/>
        </w:trPr>
        <w:tc>
          <w:tcPr>
            <w:tcW w:w="3780" w:type="dxa"/>
          </w:tcPr>
          <w:p w14:paraId="71229784"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b/>
                <w:bCs/>
                <w:lang w:bidi="si-LK"/>
              </w:rPr>
              <w:t>Education Level</w:t>
            </w:r>
          </w:p>
        </w:tc>
        <w:tc>
          <w:tcPr>
            <w:tcW w:w="2244" w:type="dxa"/>
            <w:vAlign w:val="center"/>
          </w:tcPr>
          <w:p w14:paraId="571B8D93" w14:textId="77777777" w:rsidR="004E1BA2" w:rsidRDefault="004E1BA2">
            <w:pPr>
              <w:spacing w:after="0" w:line="240" w:lineRule="auto"/>
              <w:jc w:val="both"/>
              <w:rPr>
                <w:rFonts w:ascii="Times New Roman" w:hAnsi="Times New Roman" w:cs="Times New Roman"/>
              </w:rPr>
            </w:pPr>
          </w:p>
        </w:tc>
        <w:tc>
          <w:tcPr>
            <w:tcW w:w="2526" w:type="dxa"/>
            <w:vAlign w:val="center"/>
          </w:tcPr>
          <w:p w14:paraId="57132C86" w14:textId="77777777" w:rsidR="004E1BA2" w:rsidRDefault="004E1BA2">
            <w:pPr>
              <w:spacing w:after="0" w:line="240" w:lineRule="auto"/>
              <w:jc w:val="both"/>
              <w:rPr>
                <w:rFonts w:ascii="Times New Roman" w:hAnsi="Times New Roman" w:cs="Times New Roman"/>
              </w:rPr>
            </w:pPr>
          </w:p>
        </w:tc>
      </w:tr>
      <w:tr w:rsidR="004E1BA2" w14:paraId="16EC8D94" w14:textId="77777777">
        <w:trPr>
          <w:jc w:val="center"/>
        </w:trPr>
        <w:tc>
          <w:tcPr>
            <w:tcW w:w="3780" w:type="dxa"/>
          </w:tcPr>
          <w:p w14:paraId="3392DAE0"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lang w:bidi="si-LK"/>
              </w:rPr>
              <w:t xml:space="preserve">No Schooling </w:t>
            </w:r>
          </w:p>
        </w:tc>
        <w:tc>
          <w:tcPr>
            <w:tcW w:w="2244" w:type="dxa"/>
            <w:vAlign w:val="center"/>
          </w:tcPr>
          <w:p w14:paraId="23E3A04A"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lang w:bidi="si-LK"/>
              </w:rPr>
              <w:t>0</w:t>
            </w:r>
          </w:p>
        </w:tc>
        <w:tc>
          <w:tcPr>
            <w:tcW w:w="2526" w:type="dxa"/>
            <w:vAlign w:val="bottom"/>
          </w:tcPr>
          <w:p w14:paraId="6E88F359"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color w:val="000000"/>
              </w:rPr>
              <w:t>0</w:t>
            </w:r>
          </w:p>
        </w:tc>
      </w:tr>
      <w:tr w:rsidR="004E1BA2" w14:paraId="5B48796E" w14:textId="77777777">
        <w:trPr>
          <w:jc w:val="center"/>
        </w:trPr>
        <w:tc>
          <w:tcPr>
            <w:tcW w:w="3780" w:type="dxa"/>
          </w:tcPr>
          <w:p w14:paraId="0C001E24"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lang w:bidi="si-LK"/>
              </w:rPr>
              <w:t xml:space="preserve">Primary (Grade 1-5) </w:t>
            </w:r>
          </w:p>
        </w:tc>
        <w:tc>
          <w:tcPr>
            <w:tcW w:w="2244" w:type="dxa"/>
            <w:vAlign w:val="center"/>
          </w:tcPr>
          <w:p w14:paraId="7B910778"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lang w:bidi="si-LK"/>
              </w:rPr>
              <w:t>2</w:t>
            </w:r>
          </w:p>
        </w:tc>
        <w:tc>
          <w:tcPr>
            <w:tcW w:w="2526" w:type="dxa"/>
            <w:vAlign w:val="bottom"/>
          </w:tcPr>
          <w:p w14:paraId="05D86FDF"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color w:val="000000"/>
              </w:rPr>
              <w:t>1</w:t>
            </w:r>
          </w:p>
        </w:tc>
      </w:tr>
      <w:tr w:rsidR="004E1BA2" w14:paraId="30DB6DDD" w14:textId="77777777">
        <w:trPr>
          <w:jc w:val="center"/>
        </w:trPr>
        <w:tc>
          <w:tcPr>
            <w:tcW w:w="3780" w:type="dxa"/>
          </w:tcPr>
          <w:p w14:paraId="06674C61"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lang w:bidi="si-LK"/>
              </w:rPr>
              <w:t xml:space="preserve">Junior Secondary (Grade 6-9) </w:t>
            </w:r>
          </w:p>
        </w:tc>
        <w:tc>
          <w:tcPr>
            <w:tcW w:w="2244" w:type="dxa"/>
            <w:vAlign w:val="center"/>
          </w:tcPr>
          <w:p w14:paraId="43E9C96E"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lang w:bidi="si-LK"/>
              </w:rPr>
              <w:t>20</w:t>
            </w:r>
          </w:p>
        </w:tc>
        <w:tc>
          <w:tcPr>
            <w:tcW w:w="2526" w:type="dxa"/>
            <w:vAlign w:val="bottom"/>
          </w:tcPr>
          <w:p w14:paraId="7AE15088"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color w:val="000000"/>
              </w:rPr>
              <w:t>5</w:t>
            </w:r>
          </w:p>
        </w:tc>
      </w:tr>
      <w:tr w:rsidR="004E1BA2" w14:paraId="279412E3" w14:textId="77777777">
        <w:trPr>
          <w:jc w:val="center"/>
        </w:trPr>
        <w:tc>
          <w:tcPr>
            <w:tcW w:w="3780" w:type="dxa"/>
          </w:tcPr>
          <w:p w14:paraId="6D1285E2"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lang w:bidi="si-LK"/>
              </w:rPr>
              <w:t xml:space="preserve">Senior Secondary (Grade 10-11) </w:t>
            </w:r>
          </w:p>
        </w:tc>
        <w:tc>
          <w:tcPr>
            <w:tcW w:w="2244" w:type="dxa"/>
            <w:vAlign w:val="center"/>
          </w:tcPr>
          <w:p w14:paraId="7AA71DB1"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lang w:bidi="si-LK"/>
              </w:rPr>
              <w:t>57</w:t>
            </w:r>
          </w:p>
        </w:tc>
        <w:tc>
          <w:tcPr>
            <w:tcW w:w="2526" w:type="dxa"/>
            <w:vAlign w:val="bottom"/>
          </w:tcPr>
          <w:p w14:paraId="782B1365"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color w:val="000000"/>
              </w:rPr>
              <w:t>15</w:t>
            </w:r>
          </w:p>
        </w:tc>
      </w:tr>
      <w:tr w:rsidR="004E1BA2" w14:paraId="460289E1" w14:textId="77777777">
        <w:trPr>
          <w:jc w:val="center"/>
        </w:trPr>
        <w:tc>
          <w:tcPr>
            <w:tcW w:w="3780" w:type="dxa"/>
          </w:tcPr>
          <w:p w14:paraId="76A5586B"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lang w:bidi="si-LK"/>
              </w:rPr>
              <w:t xml:space="preserve">G.C.E O/L </w:t>
            </w:r>
          </w:p>
        </w:tc>
        <w:tc>
          <w:tcPr>
            <w:tcW w:w="2244" w:type="dxa"/>
            <w:vAlign w:val="center"/>
          </w:tcPr>
          <w:p w14:paraId="403DE56D"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lang w:bidi="si-LK"/>
              </w:rPr>
              <w:t>65</w:t>
            </w:r>
          </w:p>
        </w:tc>
        <w:tc>
          <w:tcPr>
            <w:tcW w:w="2526" w:type="dxa"/>
            <w:vAlign w:val="bottom"/>
          </w:tcPr>
          <w:p w14:paraId="21975773"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color w:val="000000"/>
              </w:rPr>
              <w:t>17</w:t>
            </w:r>
          </w:p>
        </w:tc>
      </w:tr>
      <w:tr w:rsidR="004E1BA2" w14:paraId="728D97D1" w14:textId="77777777">
        <w:trPr>
          <w:jc w:val="center"/>
        </w:trPr>
        <w:tc>
          <w:tcPr>
            <w:tcW w:w="3780" w:type="dxa"/>
          </w:tcPr>
          <w:p w14:paraId="2394E8AC"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lang w:bidi="si-LK"/>
              </w:rPr>
              <w:t xml:space="preserve">G.C.E A/L </w:t>
            </w:r>
          </w:p>
        </w:tc>
        <w:tc>
          <w:tcPr>
            <w:tcW w:w="2244" w:type="dxa"/>
            <w:vAlign w:val="center"/>
          </w:tcPr>
          <w:p w14:paraId="22AEE3AE"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lang w:bidi="si-LK"/>
              </w:rPr>
              <w:t>60</w:t>
            </w:r>
          </w:p>
        </w:tc>
        <w:tc>
          <w:tcPr>
            <w:tcW w:w="2526" w:type="dxa"/>
            <w:vAlign w:val="bottom"/>
          </w:tcPr>
          <w:p w14:paraId="2A6151D8"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color w:val="000000"/>
              </w:rPr>
              <w:t>16</w:t>
            </w:r>
          </w:p>
        </w:tc>
      </w:tr>
      <w:tr w:rsidR="004E1BA2" w14:paraId="0DD90D9E" w14:textId="77777777">
        <w:trPr>
          <w:jc w:val="center"/>
        </w:trPr>
        <w:tc>
          <w:tcPr>
            <w:tcW w:w="3780" w:type="dxa"/>
          </w:tcPr>
          <w:p w14:paraId="1050728F"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lang w:bidi="si-LK"/>
              </w:rPr>
              <w:t xml:space="preserve">Vocational Diploma </w:t>
            </w:r>
          </w:p>
        </w:tc>
        <w:tc>
          <w:tcPr>
            <w:tcW w:w="2244" w:type="dxa"/>
            <w:vAlign w:val="center"/>
          </w:tcPr>
          <w:p w14:paraId="79479862"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lang w:bidi="si-LK"/>
              </w:rPr>
              <w:t>71</w:t>
            </w:r>
          </w:p>
        </w:tc>
        <w:tc>
          <w:tcPr>
            <w:tcW w:w="2526" w:type="dxa"/>
            <w:vAlign w:val="bottom"/>
          </w:tcPr>
          <w:p w14:paraId="4AADEFE5"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color w:val="000000"/>
              </w:rPr>
              <w:t>19</w:t>
            </w:r>
          </w:p>
        </w:tc>
      </w:tr>
      <w:tr w:rsidR="004E1BA2" w14:paraId="3BDDFC11" w14:textId="77777777">
        <w:trPr>
          <w:jc w:val="center"/>
        </w:trPr>
        <w:tc>
          <w:tcPr>
            <w:tcW w:w="3780" w:type="dxa"/>
          </w:tcPr>
          <w:p w14:paraId="245FE7FB"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lang w:bidi="si-LK"/>
              </w:rPr>
              <w:t xml:space="preserve">Bachelor's </w:t>
            </w:r>
            <w:r>
              <w:rPr>
                <w:rFonts w:ascii="Times New Roman" w:hAnsi="Times New Roman" w:cs="Times New Roman"/>
                <w:lang w:bidi="si-LK"/>
              </w:rPr>
              <w:t>degree and above</w:t>
            </w:r>
          </w:p>
        </w:tc>
        <w:tc>
          <w:tcPr>
            <w:tcW w:w="2244" w:type="dxa"/>
            <w:vAlign w:val="center"/>
          </w:tcPr>
          <w:p w14:paraId="0E535EF4"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lang w:bidi="si-LK"/>
              </w:rPr>
              <w:t>107</w:t>
            </w:r>
          </w:p>
        </w:tc>
        <w:tc>
          <w:tcPr>
            <w:tcW w:w="2526" w:type="dxa"/>
            <w:vAlign w:val="bottom"/>
          </w:tcPr>
          <w:p w14:paraId="2F6E7728"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color w:val="000000"/>
              </w:rPr>
              <w:t>28</w:t>
            </w:r>
          </w:p>
        </w:tc>
      </w:tr>
    </w:tbl>
    <w:p w14:paraId="6A7051EE" w14:textId="77777777" w:rsidR="004E1BA2" w:rsidRDefault="0054188C">
      <w:pPr>
        <w:spacing w:line="276" w:lineRule="auto"/>
        <w:jc w:val="both"/>
        <w:rPr>
          <w:rFonts w:ascii="Times New Roman" w:hAnsi="Times New Roman" w:cs="Times New Roman"/>
        </w:rPr>
      </w:pPr>
      <w:r>
        <w:rPr>
          <w:rFonts w:ascii="Times New Roman" w:hAnsi="Times New Roman" w:cs="Times New Roman"/>
        </w:rPr>
        <w:t>Source: Survey data (2024)</w:t>
      </w:r>
    </w:p>
    <w:p w14:paraId="623408AB" w14:textId="77777777" w:rsidR="004E1BA2" w:rsidRDefault="004E1BA2">
      <w:pPr>
        <w:jc w:val="both"/>
        <w:rPr>
          <w:rFonts w:ascii="Times New Roman" w:hAnsi="Times New Roman" w:cs="Times New Roman"/>
        </w:rPr>
      </w:pPr>
    </w:p>
    <w:p w14:paraId="35C7F88B" w14:textId="77777777" w:rsidR="004E1BA2" w:rsidRDefault="0054188C">
      <w:pPr>
        <w:jc w:val="both"/>
        <w:rPr>
          <w:rFonts w:ascii="Times New Roman" w:hAnsi="Times New Roman" w:cs="Times New Roman"/>
        </w:rPr>
      </w:pPr>
      <w:commentRangeStart w:id="3"/>
      <w:r>
        <w:rPr>
          <w:rFonts w:ascii="Times New Roman" w:hAnsi="Times New Roman" w:cs="Times New Roman"/>
        </w:rPr>
        <w:t>Regarding the gender distribution of online banking users, 170 individuals (44.5%) identified as male, while 212 individuals (55.5%) identified as female. With respect to age, the respondents were catego</w:t>
      </w:r>
      <w:r>
        <w:rPr>
          <w:rFonts w:ascii="Times New Roman" w:hAnsi="Times New Roman" w:cs="Times New Roman"/>
        </w:rPr>
        <w:t xml:space="preserve">rized into four main groups, all above the age of 20. Among them, 202 individuals (53%) fell within the 20–29 age range, 140 individuals (37%) were between 30 and 39 years, 28 </w:t>
      </w:r>
      <w:r>
        <w:rPr>
          <w:rFonts w:ascii="Times New Roman" w:hAnsi="Times New Roman" w:cs="Times New Roman"/>
        </w:rPr>
        <w:lastRenderedPageBreak/>
        <w:t>respondents (7%) were aged 40–49, and the remaining 12 participants (3%) were ov</w:t>
      </w:r>
      <w:r>
        <w:rPr>
          <w:rFonts w:ascii="Times New Roman" w:hAnsi="Times New Roman" w:cs="Times New Roman"/>
        </w:rPr>
        <w:t>er 50 years old.</w:t>
      </w:r>
    </w:p>
    <w:p w14:paraId="5EE92D3F" w14:textId="77777777" w:rsidR="004E1BA2" w:rsidRDefault="0054188C">
      <w:pPr>
        <w:jc w:val="both"/>
        <w:rPr>
          <w:rFonts w:ascii="Times New Roman" w:hAnsi="Times New Roman" w:cs="Times New Roman"/>
        </w:rPr>
      </w:pPr>
      <w:r>
        <w:rPr>
          <w:rFonts w:ascii="Times New Roman" w:hAnsi="Times New Roman" w:cs="Times New Roman"/>
        </w:rPr>
        <w:t>The educational background of the survey participants indicated that a significant portion, 28%, held a bachelor's degree or higher. Additionally, 71 respondents had obtained a vocational diploma. There were 60 participants who had complet</w:t>
      </w:r>
      <w:r>
        <w:rPr>
          <w:rFonts w:ascii="Times New Roman" w:hAnsi="Times New Roman" w:cs="Times New Roman"/>
        </w:rPr>
        <w:t>ed the GCE A/L and 65 who had passed the GCE O/L examinations. Altogether, 360 respondents had at least completed the 10th grade. Overall, the majority of participants were relatively well-educated, with only 22 individuals not having completed senior seco</w:t>
      </w:r>
      <w:r>
        <w:rPr>
          <w:rFonts w:ascii="Times New Roman" w:hAnsi="Times New Roman" w:cs="Times New Roman"/>
        </w:rPr>
        <w:t>ndary education, and among them, just two had not finished junior secondary education.</w:t>
      </w:r>
      <w:commentRangeEnd w:id="3"/>
      <w:r>
        <w:commentReference w:id="3"/>
      </w:r>
    </w:p>
    <w:p w14:paraId="26A100ED" w14:textId="77777777" w:rsidR="004E1BA2" w:rsidRDefault="0054188C">
      <w:pPr>
        <w:jc w:val="both"/>
        <w:rPr>
          <w:rFonts w:ascii="Times New Roman" w:hAnsi="Times New Roman" w:cs="Times New Roman"/>
        </w:rPr>
      </w:pPr>
      <w:r>
        <w:rPr>
          <w:rFonts w:ascii="Times New Roman" w:hAnsi="Times New Roman" w:cs="Times New Roman"/>
        </w:rPr>
        <w:t>Table 02: Online Banking Usage related data</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117"/>
        <w:gridCol w:w="3117"/>
        <w:gridCol w:w="3116"/>
      </w:tblGrid>
      <w:tr w:rsidR="004E1BA2" w14:paraId="6850B67C" w14:textId="77777777">
        <w:trPr>
          <w:trHeight w:val="413"/>
        </w:trPr>
        <w:tc>
          <w:tcPr>
            <w:tcW w:w="3117" w:type="dxa"/>
            <w:vAlign w:val="center"/>
          </w:tcPr>
          <w:p w14:paraId="09AD4836"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b/>
                <w:bCs/>
              </w:rPr>
              <w:t>Description</w:t>
            </w:r>
          </w:p>
        </w:tc>
        <w:tc>
          <w:tcPr>
            <w:tcW w:w="3117" w:type="dxa"/>
            <w:vAlign w:val="center"/>
          </w:tcPr>
          <w:p w14:paraId="57B7F75D"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b/>
                <w:bCs/>
              </w:rPr>
              <w:t>Frequency</w:t>
            </w:r>
          </w:p>
        </w:tc>
        <w:tc>
          <w:tcPr>
            <w:tcW w:w="3116" w:type="dxa"/>
            <w:vAlign w:val="center"/>
          </w:tcPr>
          <w:p w14:paraId="47998A05"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b/>
                <w:bCs/>
              </w:rPr>
              <w:t>Percentage</w:t>
            </w:r>
          </w:p>
        </w:tc>
      </w:tr>
      <w:tr w:rsidR="004E1BA2" w14:paraId="05640E66" w14:textId="77777777">
        <w:tc>
          <w:tcPr>
            <w:tcW w:w="3117" w:type="dxa"/>
          </w:tcPr>
          <w:p w14:paraId="7B7596A0" w14:textId="77777777" w:rsidR="004E1BA2" w:rsidRDefault="0054188C">
            <w:pPr>
              <w:spacing w:after="0" w:line="240" w:lineRule="auto"/>
              <w:jc w:val="both"/>
              <w:rPr>
                <w:rFonts w:ascii="Times New Roman" w:hAnsi="Times New Roman" w:cs="Times New Roman"/>
                <w:b/>
                <w:bCs/>
              </w:rPr>
            </w:pPr>
            <w:r>
              <w:rPr>
                <w:rFonts w:ascii="Times New Roman" w:hAnsi="Times New Roman" w:cs="Times New Roman"/>
                <w:b/>
                <w:bCs/>
              </w:rPr>
              <w:t>Number of account ownership</w:t>
            </w:r>
          </w:p>
        </w:tc>
        <w:tc>
          <w:tcPr>
            <w:tcW w:w="3117" w:type="dxa"/>
          </w:tcPr>
          <w:p w14:paraId="69206152" w14:textId="77777777" w:rsidR="004E1BA2" w:rsidRDefault="004E1BA2">
            <w:pPr>
              <w:spacing w:after="0" w:line="240" w:lineRule="auto"/>
              <w:jc w:val="both"/>
              <w:rPr>
                <w:rFonts w:ascii="Times New Roman" w:hAnsi="Times New Roman" w:cs="Times New Roman"/>
              </w:rPr>
            </w:pPr>
          </w:p>
        </w:tc>
        <w:tc>
          <w:tcPr>
            <w:tcW w:w="3116" w:type="dxa"/>
          </w:tcPr>
          <w:p w14:paraId="1A4287E5" w14:textId="77777777" w:rsidR="004E1BA2" w:rsidRDefault="004E1BA2">
            <w:pPr>
              <w:spacing w:after="0" w:line="240" w:lineRule="auto"/>
              <w:jc w:val="both"/>
              <w:rPr>
                <w:rFonts w:ascii="Times New Roman" w:hAnsi="Times New Roman" w:cs="Times New Roman"/>
              </w:rPr>
            </w:pPr>
          </w:p>
        </w:tc>
      </w:tr>
      <w:tr w:rsidR="004E1BA2" w14:paraId="2B849908" w14:textId="77777777">
        <w:trPr>
          <w:trHeight w:val="323"/>
        </w:trPr>
        <w:tc>
          <w:tcPr>
            <w:tcW w:w="3117" w:type="dxa"/>
            <w:noWrap/>
          </w:tcPr>
          <w:p w14:paraId="6A8906FD" w14:textId="77777777" w:rsidR="004E1BA2" w:rsidRDefault="0054188C">
            <w:pPr>
              <w:spacing w:after="0" w:line="240" w:lineRule="auto"/>
              <w:jc w:val="both"/>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 xml:space="preserve">One bank  </w:t>
            </w:r>
          </w:p>
        </w:tc>
        <w:tc>
          <w:tcPr>
            <w:tcW w:w="3117" w:type="dxa"/>
            <w:noWrap/>
          </w:tcPr>
          <w:p w14:paraId="25DE10FF" w14:textId="77777777" w:rsidR="004E1BA2" w:rsidRDefault="0054188C">
            <w:pPr>
              <w:spacing w:after="0" w:line="240" w:lineRule="auto"/>
              <w:jc w:val="both"/>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207</w:t>
            </w:r>
          </w:p>
        </w:tc>
        <w:tc>
          <w:tcPr>
            <w:tcW w:w="3116" w:type="dxa"/>
            <w:vAlign w:val="bottom"/>
          </w:tcPr>
          <w:p w14:paraId="533ECE7E" w14:textId="77777777" w:rsidR="004E1BA2" w:rsidRDefault="0054188C">
            <w:pPr>
              <w:spacing w:after="0" w:line="240" w:lineRule="auto"/>
              <w:jc w:val="both"/>
              <w:rPr>
                <w:rFonts w:ascii="Times New Roman" w:eastAsia="Times New Roman" w:hAnsi="Times New Roman" w:cs="Times New Roman"/>
                <w:color w:val="000000"/>
                <w:kern w:val="0"/>
                <w:lang w:bidi="si-LK"/>
                <w14:ligatures w14:val="none"/>
              </w:rPr>
            </w:pPr>
            <w:r>
              <w:rPr>
                <w:rFonts w:ascii="Times New Roman" w:hAnsi="Times New Roman" w:cs="Times New Roman"/>
                <w:color w:val="000000"/>
              </w:rPr>
              <w:t>54.19</w:t>
            </w:r>
          </w:p>
        </w:tc>
      </w:tr>
      <w:tr w:rsidR="004E1BA2" w14:paraId="4878A467" w14:textId="77777777">
        <w:trPr>
          <w:trHeight w:val="315"/>
        </w:trPr>
        <w:tc>
          <w:tcPr>
            <w:tcW w:w="3117" w:type="dxa"/>
            <w:noWrap/>
          </w:tcPr>
          <w:p w14:paraId="18EF98E8" w14:textId="77777777" w:rsidR="004E1BA2" w:rsidRDefault="0054188C">
            <w:pPr>
              <w:spacing w:after="0" w:line="240" w:lineRule="auto"/>
              <w:jc w:val="both"/>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 xml:space="preserve">Two Banks </w:t>
            </w:r>
          </w:p>
        </w:tc>
        <w:tc>
          <w:tcPr>
            <w:tcW w:w="3117" w:type="dxa"/>
            <w:noWrap/>
          </w:tcPr>
          <w:p w14:paraId="3AC9BD52" w14:textId="77777777" w:rsidR="004E1BA2" w:rsidRDefault="0054188C">
            <w:pPr>
              <w:spacing w:after="0" w:line="240" w:lineRule="auto"/>
              <w:jc w:val="both"/>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159</w:t>
            </w:r>
          </w:p>
        </w:tc>
        <w:tc>
          <w:tcPr>
            <w:tcW w:w="3116" w:type="dxa"/>
            <w:vAlign w:val="bottom"/>
          </w:tcPr>
          <w:p w14:paraId="6870BFBD" w14:textId="77777777" w:rsidR="004E1BA2" w:rsidRDefault="0054188C">
            <w:pPr>
              <w:spacing w:after="0" w:line="240" w:lineRule="auto"/>
              <w:jc w:val="both"/>
              <w:rPr>
                <w:rFonts w:ascii="Times New Roman" w:eastAsia="Times New Roman" w:hAnsi="Times New Roman" w:cs="Times New Roman"/>
                <w:color w:val="000000"/>
                <w:kern w:val="0"/>
                <w:lang w:bidi="si-LK"/>
                <w14:ligatures w14:val="none"/>
              </w:rPr>
            </w:pPr>
            <w:r>
              <w:rPr>
                <w:rFonts w:ascii="Times New Roman" w:hAnsi="Times New Roman" w:cs="Times New Roman"/>
                <w:color w:val="000000"/>
              </w:rPr>
              <w:t>41.62</w:t>
            </w:r>
          </w:p>
        </w:tc>
      </w:tr>
      <w:tr w:rsidR="004E1BA2" w14:paraId="35C8AE39" w14:textId="77777777">
        <w:trPr>
          <w:trHeight w:val="315"/>
        </w:trPr>
        <w:tc>
          <w:tcPr>
            <w:tcW w:w="3117" w:type="dxa"/>
            <w:noWrap/>
          </w:tcPr>
          <w:p w14:paraId="5747EF17" w14:textId="77777777" w:rsidR="004E1BA2" w:rsidRDefault="0054188C">
            <w:pPr>
              <w:spacing w:after="0" w:line="240" w:lineRule="auto"/>
              <w:jc w:val="both"/>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 xml:space="preserve">Three banks  </w:t>
            </w:r>
          </w:p>
        </w:tc>
        <w:tc>
          <w:tcPr>
            <w:tcW w:w="3117" w:type="dxa"/>
            <w:noWrap/>
          </w:tcPr>
          <w:p w14:paraId="7DAC1FDE" w14:textId="77777777" w:rsidR="004E1BA2" w:rsidRDefault="0054188C">
            <w:pPr>
              <w:spacing w:after="0" w:line="240" w:lineRule="auto"/>
              <w:jc w:val="both"/>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13</w:t>
            </w:r>
          </w:p>
        </w:tc>
        <w:tc>
          <w:tcPr>
            <w:tcW w:w="3116" w:type="dxa"/>
            <w:vAlign w:val="bottom"/>
          </w:tcPr>
          <w:p w14:paraId="4F4F71AC" w14:textId="77777777" w:rsidR="004E1BA2" w:rsidRDefault="0054188C">
            <w:pPr>
              <w:spacing w:after="0" w:line="240" w:lineRule="auto"/>
              <w:jc w:val="both"/>
              <w:rPr>
                <w:rFonts w:ascii="Times New Roman" w:eastAsia="Times New Roman" w:hAnsi="Times New Roman" w:cs="Times New Roman"/>
                <w:color w:val="000000"/>
                <w:kern w:val="0"/>
                <w:lang w:bidi="si-LK"/>
                <w14:ligatures w14:val="none"/>
              </w:rPr>
            </w:pPr>
            <w:r>
              <w:rPr>
                <w:rFonts w:ascii="Times New Roman" w:hAnsi="Times New Roman" w:cs="Times New Roman"/>
                <w:color w:val="000000"/>
              </w:rPr>
              <w:t>3.40</w:t>
            </w:r>
          </w:p>
        </w:tc>
      </w:tr>
      <w:tr w:rsidR="004E1BA2" w14:paraId="32532CC2" w14:textId="77777777">
        <w:trPr>
          <w:trHeight w:val="315"/>
        </w:trPr>
        <w:tc>
          <w:tcPr>
            <w:tcW w:w="3117" w:type="dxa"/>
            <w:noWrap/>
          </w:tcPr>
          <w:p w14:paraId="6ED09945" w14:textId="77777777" w:rsidR="004E1BA2" w:rsidRDefault="0054188C">
            <w:pPr>
              <w:spacing w:after="0" w:line="240" w:lineRule="auto"/>
              <w:jc w:val="both"/>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 xml:space="preserve">More than three banks </w:t>
            </w:r>
          </w:p>
        </w:tc>
        <w:tc>
          <w:tcPr>
            <w:tcW w:w="3117" w:type="dxa"/>
            <w:noWrap/>
          </w:tcPr>
          <w:p w14:paraId="5394E0BB" w14:textId="77777777" w:rsidR="004E1BA2" w:rsidRDefault="0054188C">
            <w:pPr>
              <w:spacing w:after="0" w:line="240" w:lineRule="auto"/>
              <w:jc w:val="both"/>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3</w:t>
            </w:r>
          </w:p>
        </w:tc>
        <w:tc>
          <w:tcPr>
            <w:tcW w:w="3116" w:type="dxa"/>
            <w:vAlign w:val="bottom"/>
          </w:tcPr>
          <w:p w14:paraId="117E38BC" w14:textId="77777777" w:rsidR="004E1BA2" w:rsidRDefault="0054188C">
            <w:pPr>
              <w:spacing w:after="0" w:line="240" w:lineRule="auto"/>
              <w:jc w:val="both"/>
              <w:rPr>
                <w:rFonts w:ascii="Times New Roman" w:eastAsia="Times New Roman" w:hAnsi="Times New Roman" w:cs="Times New Roman"/>
                <w:color w:val="000000"/>
                <w:kern w:val="0"/>
                <w:lang w:bidi="si-LK"/>
                <w14:ligatures w14:val="none"/>
              </w:rPr>
            </w:pPr>
            <w:r>
              <w:rPr>
                <w:rFonts w:ascii="Times New Roman" w:hAnsi="Times New Roman" w:cs="Times New Roman"/>
                <w:color w:val="000000"/>
              </w:rPr>
              <w:t>0.79</w:t>
            </w:r>
          </w:p>
        </w:tc>
      </w:tr>
      <w:tr w:rsidR="004E1BA2" w14:paraId="2D3A73EF" w14:textId="77777777">
        <w:tc>
          <w:tcPr>
            <w:tcW w:w="3117" w:type="dxa"/>
          </w:tcPr>
          <w:p w14:paraId="3BE8EB9D" w14:textId="77777777" w:rsidR="004E1BA2" w:rsidRDefault="0054188C">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Online bank/s relationship duration</w:t>
            </w:r>
          </w:p>
          <w:p w14:paraId="71A3B768" w14:textId="77777777" w:rsidR="004E1BA2" w:rsidRDefault="004E1BA2">
            <w:pPr>
              <w:spacing w:after="0" w:line="240" w:lineRule="auto"/>
              <w:jc w:val="both"/>
              <w:rPr>
                <w:rFonts w:ascii="Times New Roman" w:hAnsi="Times New Roman" w:cs="Times New Roman"/>
              </w:rPr>
            </w:pPr>
          </w:p>
        </w:tc>
        <w:tc>
          <w:tcPr>
            <w:tcW w:w="3117" w:type="dxa"/>
          </w:tcPr>
          <w:p w14:paraId="30BFF4A9" w14:textId="77777777" w:rsidR="004E1BA2" w:rsidRDefault="004E1BA2">
            <w:pPr>
              <w:spacing w:after="0" w:line="240" w:lineRule="auto"/>
              <w:jc w:val="both"/>
              <w:rPr>
                <w:rFonts w:ascii="Times New Roman" w:hAnsi="Times New Roman" w:cs="Times New Roman"/>
              </w:rPr>
            </w:pPr>
          </w:p>
        </w:tc>
        <w:tc>
          <w:tcPr>
            <w:tcW w:w="3116" w:type="dxa"/>
          </w:tcPr>
          <w:p w14:paraId="4F19D62E" w14:textId="77777777" w:rsidR="004E1BA2" w:rsidRDefault="004E1BA2">
            <w:pPr>
              <w:spacing w:after="0" w:line="240" w:lineRule="auto"/>
              <w:jc w:val="both"/>
              <w:rPr>
                <w:rFonts w:ascii="Times New Roman" w:hAnsi="Times New Roman" w:cs="Times New Roman"/>
              </w:rPr>
            </w:pPr>
          </w:p>
        </w:tc>
      </w:tr>
      <w:tr w:rsidR="004E1BA2" w14:paraId="2B0FF961" w14:textId="77777777">
        <w:tc>
          <w:tcPr>
            <w:tcW w:w="3117" w:type="dxa"/>
            <w:vAlign w:val="bottom"/>
          </w:tcPr>
          <w:p w14:paraId="367E6DC5"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color w:val="000000"/>
              </w:rPr>
              <w:t xml:space="preserve">Less than 1 year  </w:t>
            </w:r>
          </w:p>
        </w:tc>
        <w:tc>
          <w:tcPr>
            <w:tcW w:w="3117" w:type="dxa"/>
            <w:vAlign w:val="bottom"/>
          </w:tcPr>
          <w:p w14:paraId="2B45DF28"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color w:val="000000"/>
              </w:rPr>
              <w:t>59</w:t>
            </w:r>
          </w:p>
        </w:tc>
        <w:tc>
          <w:tcPr>
            <w:tcW w:w="3116" w:type="dxa"/>
            <w:vAlign w:val="bottom"/>
          </w:tcPr>
          <w:p w14:paraId="328ECB09"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color w:val="000000"/>
              </w:rPr>
              <w:t>15.45</w:t>
            </w:r>
          </w:p>
        </w:tc>
      </w:tr>
      <w:tr w:rsidR="004E1BA2" w14:paraId="2733D65A" w14:textId="77777777">
        <w:tc>
          <w:tcPr>
            <w:tcW w:w="3117" w:type="dxa"/>
            <w:vAlign w:val="bottom"/>
          </w:tcPr>
          <w:p w14:paraId="1EDEC14D"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color w:val="000000"/>
              </w:rPr>
              <w:t xml:space="preserve">1 to 3 Years     </w:t>
            </w:r>
          </w:p>
        </w:tc>
        <w:tc>
          <w:tcPr>
            <w:tcW w:w="3117" w:type="dxa"/>
            <w:vAlign w:val="bottom"/>
          </w:tcPr>
          <w:p w14:paraId="62AA7040"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color w:val="000000"/>
              </w:rPr>
              <w:t>171</w:t>
            </w:r>
          </w:p>
        </w:tc>
        <w:tc>
          <w:tcPr>
            <w:tcW w:w="3116" w:type="dxa"/>
            <w:vAlign w:val="bottom"/>
          </w:tcPr>
          <w:p w14:paraId="3FA139D1"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color w:val="000000"/>
              </w:rPr>
              <w:t>44.76</w:t>
            </w:r>
          </w:p>
        </w:tc>
      </w:tr>
      <w:tr w:rsidR="004E1BA2" w14:paraId="4248BA6C" w14:textId="77777777">
        <w:tc>
          <w:tcPr>
            <w:tcW w:w="3117" w:type="dxa"/>
            <w:vAlign w:val="bottom"/>
          </w:tcPr>
          <w:p w14:paraId="0AB302DB"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color w:val="000000"/>
              </w:rPr>
              <w:t xml:space="preserve">4 to 7 Years   </w:t>
            </w:r>
          </w:p>
        </w:tc>
        <w:tc>
          <w:tcPr>
            <w:tcW w:w="3117" w:type="dxa"/>
            <w:vAlign w:val="bottom"/>
          </w:tcPr>
          <w:p w14:paraId="10813BF7"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color w:val="000000"/>
              </w:rPr>
              <w:t>132</w:t>
            </w:r>
          </w:p>
        </w:tc>
        <w:tc>
          <w:tcPr>
            <w:tcW w:w="3116" w:type="dxa"/>
            <w:vAlign w:val="bottom"/>
          </w:tcPr>
          <w:p w14:paraId="48E6333E"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color w:val="000000"/>
              </w:rPr>
              <w:t>34.55</w:t>
            </w:r>
          </w:p>
        </w:tc>
      </w:tr>
      <w:tr w:rsidR="004E1BA2" w14:paraId="0109798A" w14:textId="77777777">
        <w:tc>
          <w:tcPr>
            <w:tcW w:w="3117" w:type="dxa"/>
            <w:vAlign w:val="bottom"/>
          </w:tcPr>
          <w:p w14:paraId="7B24A676"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color w:val="000000"/>
              </w:rPr>
              <w:t xml:space="preserve">More than 7 Years </w:t>
            </w:r>
          </w:p>
        </w:tc>
        <w:tc>
          <w:tcPr>
            <w:tcW w:w="3117" w:type="dxa"/>
            <w:vAlign w:val="bottom"/>
          </w:tcPr>
          <w:p w14:paraId="4812E5EB"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color w:val="000000"/>
              </w:rPr>
              <w:t>20</w:t>
            </w:r>
          </w:p>
        </w:tc>
        <w:tc>
          <w:tcPr>
            <w:tcW w:w="3116" w:type="dxa"/>
            <w:vAlign w:val="bottom"/>
          </w:tcPr>
          <w:p w14:paraId="180B3553" w14:textId="77777777" w:rsidR="004E1BA2" w:rsidRDefault="0054188C">
            <w:pPr>
              <w:spacing w:after="0" w:line="240" w:lineRule="auto"/>
              <w:jc w:val="both"/>
              <w:rPr>
                <w:rFonts w:ascii="Times New Roman" w:hAnsi="Times New Roman" w:cs="Times New Roman"/>
              </w:rPr>
            </w:pPr>
            <w:r>
              <w:rPr>
                <w:rFonts w:ascii="Times New Roman" w:hAnsi="Times New Roman" w:cs="Times New Roman"/>
                <w:color w:val="000000"/>
              </w:rPr>
              <w:t>5.24</w:t>
            </w:r>
          </w:p>
        </w:tc>
      </w:tr>
      <w:tr w:rsidR="004E1BA2" w14:paraId="781EC14D" w14:textId="77777777">
        <w:tc>
          <w:tcPr>
            <w:tcW w:w="3117" w:type="dxa"/>
            <w:vAlign w:val="bottom"/>
          </w:tcPr>
          <w:p w14:paraId="63884214" w14:textId="77777777" w:rsidR="004E1BA2" w:rsidRDefault="0054188C">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Number of times use online banking in a week</w:t>
            </w:r>
          </w:p>
        </w:tc>
        <w:tc>
          <w:tcPr>
            <w:tcW w:w="3117" w:type="dxa"/>
            <w:vAlign w:val="bottom"/>
          </w:tcPr>
          <w:p w14:paraId="7D5BD3C7" w14:textId="77777777" w:rsidR="004E1BA2" w:rsidRDefault="004E1BA2">
            <w:pPr>
              <w:spacing w:after="0" w:line="240" w:lineRule="auto"/>
              <w:jc w:val="both"/>
              <w:rPr>
                <w:rFonts w:ascii="Times New Roman" w:hAnsi="Times New Roman" w:cs="Times New Roman"/>
                <w:color w:val="000000"/>
              </w:rPr>
            </w:pPr>
          </w:p>
        </w:tc>
        <w:tc>
          <w:tcPr>
            <w:tcW w:w="3116" w:type="dxa"/>
            <w:vAlign w:val="bottom"/>
          </w:tcPr>
          <w:p w14:paraId="46D86EC8" w14:textId="77777777" w:rsidR="004E1BA2" w:rsidRDefault="004E1BA2">
            <w:pPr>
              <w:spacing w:after="0" w:line="240" w:lineRule="auto"/>
              <w:jc w:val="both"/>
              <w:rPr>
                <w:rFonts w:ascii="Times New Roman" w:hAnsi="Times New Roman" w:cs="Times New Roman"/>
                <w:color w:val="000000"/>
              </w:rPr>
            </w:pPr>
          </w:p>
        </w:tc>
      </w:tr>
      <w:tr w:rsidR="004E1BA2" w14:paraId="2BBD27BE" w14:textId="77777777">
        <w:tc>
          <w:tcPr>
            <w:tcW w:w="3117" w:type="dxa"/>
            <w:vAlign w:val="bottom"/>
          </w:tcPr>
          <w:p w14:paraId="4EEA8E39" w14:textId="77777777" w:rsidR="004E1BA2" w:rsidRDefault="0054188C">
            <w:pPr>
              <w:spacing w:after="0" w:line="240" w:lineRule="auto"/>
              <w:jc w:val="both"/>
              <w:rPr>
                <w:rFonts w:ascii="Times New Roman" w:hAnsi="Times New Roman" w:cs="Times New Roman"/>
                <w:color w:val="000000"/>
              </w:rPr>
            </w:pPr>
            <w:r>
              <w:rPr>
                <w:rFonts w:ascii="Times New Roman" w:hAnsi="Times New Roman" w:cs="Times New Roman"/>
                <w:color w:val="000000"/>
              </w:rPr>
              <w:t>One time</w:t>
            </w:r>
          </w:p>
        </w:tc>
        <w:tc>
          <w:tcPr>
            <w:tcW w:w="3117" w:type="dxa"/>
            <w:vAlign w:val="bottom"/>
          </w:tcPr>
          <w:p w14:paraId="175F063D" w14:textId="77777777" w:rsidR="004E1BA2" w:rsidRDefault="0054188C">
            <w:pPr>
              <w:spacing w:after="0" w:line="240" w:lineRule="auto"/>
              <w:jc w:val="both"/>
              <w:rPr>
                <w:rFonts w:ascii="Times New Roman" w:hAnsi="Times New Roman" w:cs="Times New Roman"/>
                <w:color w:val="000000"/>
              </w:rPr>
            </w:pPr>
            <w:r>
              <w:rPr>
                <w:rFonts w:ascii="Times New Roman" w:hAnsi="Times New Roman" w:cs="Times New Roman"/>
                <w:color w:val="000000"/>
              </w:rPr>
              <w:t>91</w:t>
            </w:r>
          </w:p>
        </w:tc>
        <w:tc>
          <w:tcPr>
            <w:tcW w:w="3116" w:type="dxa"/>
            <w:vAlign w:val="bottom"/>
          </w:tcPr>
          <w:p w14:paraId="337F0A5C" w14:textId="77777777" w:rsidR="004E1BA2" w:rsidRDefault="0054188C">
            <w:pPr>
              <w:spacing w:after="0" w:line="240" w:lineRule="auto"/>
              <w:jc w:val="both"/>
              <w:rPr>
                <w:rFonts w:ascii="Times New Roman" w:hAnsi="Times New Roman" w:cs="Times New Roman"/>
                <w:color w:val="000000"/>
              </w:rPr>
            </w:pPr>
            <w:r>
              <w:rPr>
                <w:rFonts w:ascii="Times New Roman" w:hAnsi="Times New Roman" w:cs="Times New Roman"/>
                <w:color w:val="000000"/>
              </w:rPr>
              <w:t>23.82</w:t>
            </w:r>
          </w:p>
        </w:tc>
      </w:tr>
      <w:tr w:rsidR="004E1BA2" w14:paraId="5B0C5803" w14:textId="77777777">
        <w:tc>
          <w:tcPr>
            <w:tcW w:w="3117" w:type="dxa"/>
            <w:vAlign w:val="bottom"/>
          </w:tcPr>
          <w:p w14:paraId="12AA5FF8" w14:textId="77777777" w:rsidR="004E1BA2" w:rsidRDefault="0054188C">
            <w:pPr>
              <w:spacing w:after="0" w:line="240" w:lineRule="auto"/>
              <w:jc w:val="both"/>
              <w:rPr>
                <w:rFonts w:ascii="Times New Roman" w:hAnsi="Times New Roman" w:cs="Times New Roman"/>
                <w:color w:val="000000"/>
              </w:rPr>
            </w:pPr>
            <w:r>
              <w:rPr>
                <w:rFonts w:ascii="Times New Roman" w:hAnsi="Times New Roman" w:cs="Times New Roman"/>
                <w:color w:val="000000"/>
              </w:rPr>
              <w:t>Two times</w:t>
            </w:r>
          </w:p>
        </w:tc>
        <w:tc>
          <w:tcPr>
            <w:tcW w:w="3117" w:type="dxa"/>
            <w:vAlign w:val="bottom"/>
          </w:tcPr>
          <w:p w14:paraId="2D306C8F" w14:textId="77777777" w:rsidR="004E1BA2" w:rsidRDefault="0054188C">
            <w:pPr>
              <w:spacing w:after="0" w:line="240" w:lineRule="auto"/>
              <w:jc w:val="both"/>
              <w:rPr>
                <w:rFonts w:ascii="Times New Roman" w:hAnsi="Times New Roman" w:cs="Times New Roman"/>
                <w:color w:val="000000"/>
              </w:rPr>
            </w:pPr>
            <w:r>
              <w:rPr>
                <w:rFonts w:ascii="Times New Roman" w:hAnsi="Times New Roman" w:cs="Times New Roman"/>
                <w:color w:val="000000"/>
              </w:rPr>
              <w:t>110</w:t>
            </w:r>
          </w:p>
        </w:tc>
        <w:tc>
          <w:tcPr>
            <w:tcW w:w="3116" w:type="dxa"/>
            <w:vAlign w:val="bottom"/>
          </w:tcPr>
          <w:p w14:paraId="35C17E05" w14:textId="77777777" w:rsidR="004E1BA2" w:rsidRDefault="0054188C">
            <w:pPr>
              <w:spacing w:after="0" w:line="240" w:lineRule="auto"/>
              <w:jc w:val="both"/>
              <w:rPr>
                <w:rFonts w:ascii="Times New Roman" w:hAnsi="Times New Roman" w:cs="Times New Roman"/>
                <w:color w:val="000000"/>
              </w:rPr>
            </w:pPr>
            <w:r>
              <w:rPr>
                <w:rFonts w:ascii="Times New Roman" w:hAnsi="Times New Roman" w:cs="Times New Roman"/>
                <w:color w:val="000000"/>
              </w:rPr>
              <w:t>28.80</w:t>
            </w:r>
          </w:p>
        </w:tc>
      </w:tr>
      <w:tr w:rsidR="004E1BA2" w14:paraId="54D52F37" w14:textId="77777777">
        <w:tc>
          <w:tcPr>
            <w:tcW w:w="3117" w:type="dxa"/>
            <w:vAlign w:val="bottom"/>
          </w:tcPr>
          <w:p w14:paraId="03994EE6" w14:textId="77777777" w:rsidR="004E1BA2" w:rsidRDefault="0054188C">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Three times </w:t>
            </w:r>
          </w:p>
        </w:tc>
        <w:tc>
          <w:tcPr>
            <w:tcW w:w="3117" w:type="dxa"/>
            <w:vAlign w:val="bottom"/>
          </w:tcPr>
          <w:p w14:paraId="2B747EEF" w14:textId="77777777" w:rsidR="004E1BA2" w:rsidRDefault="0054188C">
            <w:pPr>
              <w:spacing w:after="0" w:line="240" w:lineRule="auto"/>
              <w:jc w:val="both"/>
              <w:rPr>
                <w:rFonts w:ascii="Times New Roman" w:hAnsi="Times New Roman" w:cs="Times New Roman"/>
                <w:color w:val="000000"/>
              </w:rPr>
            </w:pPr>
            <w:r>
              <w:rPr>
                <w:rFonts w:ascii="Times New Roman" w:hAnsi="Times New Roman" w:cs="Times New Roman"/>
                <w:color w:val="000000"/>
              </w:rPr>
              <w:t>52</w:t>
            </w:r>
          </w:p>
        </w:tc>
        <w:tc>
          <w:tcPr>
            <w:tcW w:w="3116" w:type="dxa"/>
            <w:vAlign w:val="bottom"/>
          </w:tcPr>
          <w:p w14:paraId="2F366533" w14:textId="77777777" w:rsidR="004E1BA2" w:rsidRDefault="0054188C">
            <w:pPr>
              <w:spacing w:after="0" w:line="240" w:lineRule="auto"/>
              <w:jc w:val="both"/>
              <w:rPr>
                <w:rFonts w:ascii="Times New Roman" w:hAnsi="Times New Roman" w:cs="Times New Roman"/>
                <w:color w:val="000000"/>
              </w:rPr>
            </w:pPr>
            <w:r>
              <w:rPr>
                <w:rFonts w:ascii="Times New Roman" w:hAnsi="Times New Roman" w:cs="Times New Roman"/>
                <w:color w:val="000000"/>
              </w:rPr>
              <w:t>13.61</w:t>
            </w:r>
          </w:p>
        </w:tc>
      </w:tr>
      <w:tr w:rsidR="004E1BA2" w14:paraId="05ED1DB5" w14:textId="77777777">
        <w:tc>
          <w:tcPr>
            <w:tcW w:w="3117" w:type="dxa"/>
            <w:vAlign w:val="bottom"/>
          </w:tcPr>
          <w:p w14:paraId="11813B15" w14:textId="77777777" w:rsidR="004E1BA2" w:rsidRDefault="0054188C">
            <w:pPr>
              <w:spacing w:after="0" w:line="240" w:lineRule="auto"/>
              <w:jc w:val="both"/>
              <w:rPr>
                <w:rFonts w:ascii="Times New Roman" w:hAnsi="Times New Roman" w:cs="Times New Roman"/>
                <w:color w:val="000000"/>
              </w:rPr>
            </w:pPr>
            <w:r>
              <w:rPr>
                <w:rFonts w:ascii="Times New Roman" w:hAnsi="Times New Roman" w:cs="Times New Roman"/>
                <w:color w:val="000000"/>
              </w:rPr>
              <w:t>Four times</w:t>
            </w:r>
          </w:p>
        </w:tc>
        <w:tc>
          <w:tcPr>
            <w:tcW w:w="3117" w:type="dxa"/>
            <w:vAlign w:val="bottom"/>
          </w:tcPr>
          <w:p w14:paraId="25C44FE6" w14:textId="77777777" w:rsidR="004E1BA2" w:rsidRDefault="0054188C">
            <w:pPr>
              <w:spacing w:after="0" w:line="240" w:lineRule="auto"/>
              <w:jc w:val="both"/>
              <w:rPr>
                <w:rFonts w:ascii="Times New Roman" w:hAnsi="Times New Roman" w:cs="Times New Roman"/>
                <w:color w:val="000000"/>
              </w:rPr>
            </w:pPr>
            <w:r>
              <w:rPr>
                <w:rFonts w:ascii="Times New Roman" w:hAnsi="Times New Roman" w:cs="Times New Roman"/>
                <w:color w:val="000000"/>
              </w:rPr>
              <w:t>39</w:t>
            </w:r>
          </w:p>
        </w:tc>
        <w:tc>
          <w:tcPr>
            <w:tcW w:w="3116" w:type="dxa"/>
            <w:vAlign w:val="bottom"/>
          </w:tcPr>
          <w:p w14:paraId="7739F807" w14:textId="77777777" w:rsidR="004E1BA2" w:rsidRDefault="0054188C">
            <w:pPr>
              <w:spacing w:after="0" w:line="240" w:lineRule="auto"/>
              <w:jc w:val="both"/>
              <w:rPr>
                <w:rFonts w:ascii="Times New Roman" w:hAnsi="Times New Roman" w:cs="Times New Roman"/>
                <w:color w:val="000000"/>
              </w:rPr>
            </w:pPr>
            <w:r>
              <w:rPr>
                <w:rFonts w:ascii="Times New Roman" w:hAnsi="Times New Roman" w:cs="Times New Roman"/>
                <w:color w:val="000000"/>
              </w:rPr>
              <w:t>10.21</w:t>
            </w:r>
          </w:p>
        </w:tc>
      </w:tr>
      <w:tr w:rsidR="004E1BA2" w14:paraId="54556326" w14:textId="77777777">
        <w:tc>
          <w:tcPr>
            <w:tcW w:w="3117" w:type="dxa"/>
            <w:vAlign w:val="bottom"/>
          </w:tcPr>
          <w:p w14:paraId="7499514A" w14:textId="77777777" w:rsidR="004E1BA2" w:rsidRDefault="0054188C">
            <w:pPr>
              <w:spacing w:after="0" w:line="240" w:lineRule="auto"/>
              <w:jc w:val="both"/>
              <w:rPr>
                <w:rFonts w:ascii="Times New Roman" w:hAnsi="Times New Roman" w:cs="Times New Roman"/>
                <w:color w:val="000000"/>
              </w:rPr>
            </w:pPr>
            <w:r>
              <w:rPr>
                <w:rFonts w:ascii="Times New Roman" w:hAnsi="Times New Roman" w:cs="Times New Roman"/>
                <w:color w:val="000000"/>
              </w:rPr>
              <w:t>Five times</w:t>
            </w:r>
          </w:p>
        </w:tc>
        <w:tc>
          <w:tcPr>
            <w:tcW w:w="3117" w:type="dxa"/>
            <w:vAlign w:val="bottom"/>
          </w:tcPr>
          <w:p w14:paraId="38D067FD" w14:textId="77777777" w:rsidR="004E1BA2" w:rsidRDefault="0054188C">
            <w:pPr>
              <w:spacing w:after="0" w:line="240" w:lineRule="auto"/>
              <w:jc w:val="both"/>
              <w:rPr>
                <w:rFonts w:ascii="Times New Roman" w:hAnsi="Times New Roman" w:cs="Times New Roman"/>
                <w:color w:val="000000"/>
              </w:rPr>
            </w:pPr>
            <w:r>
              <w:rPr>
                <w:rFonts w:ascii="Times New Roman" w:hAnsi="Times New Roman" w:cs="Times New Roman"/>
                <w:color w:val="000000"/>
              </w:rPr>
              <w:t>38</w:t>
            </w:r>
          </w:p>
        </w:tc>
        <w:tc>
          <w:tcPr>
            <w:tcW w:w="3116" w:type="dxa"/>
            <w:vAlign w:val="bottom"/>
          </w:tcPr>
          <w:p w14:paraId="2E32222A" w14:textId="77777777" w:rsidR="004E1BA2" w:rsidRDefault="0054188C">
            <w:pPr>
              <w:spacing w:after="0" w:line="240" w:lineRule="auto"/>
              <w:jc w:val="both"/>
              <w:rPr>
                <w:rFonts w:ascii="Times New Roman" w:hAnsi="Times New Roman" w:cs="Times New Roman"/>
                <w:color w:val="000000"/>
              </w:rPr>
            </w:pPr>
            <w:r>
              <w:rPr>
                <w:rFonts w:ascii="Times New Roman" w:hAnsi="Times New Roman" w:cs="Times New Roman"/>
                <w:color w:val="000000"/>
              </w:rPr>
              <w:t>9.95</w:t>
            </w:r>
          </w:p>
        </w:tc>
      </w:tr>
      <w:tr w:rsidR="004E1BA2" w14:paraId="7F8A5478" w14:textId="77777777">
        <w:tc>
          <w:tcPr>
            <w:tcW w:w="3117" w:type="dxa"/>
            <w:vAlign w:val="bottom"/>
          </w:tcPr>
          <w:p w14:paraId="6AC983FD" w14:textId="77777777" w:rsidR="004E1BA2" w:rsidRDefault="0054188C">
            <w:pPr>
              <w:spacing w:after="0" w:line="240" w:lineRule="auto"/>
              <w:jc w:val="both"/>
              <w:rPr>
                <w:rFonts w:ascii="Times New Roman" w:hAnsi="Times New Roman" w:cs="Times New Roman"/>
                <w:color w:val="000000"/>
              </w:rPr>
            </w:pPr>
            <w:r>
              <w:rPr>
                <w:rFonts w:ascii="Times New Roman" w:hAnsi="Times New Roman" w:cs="Times New Roman"/>
                <w:color w:val="000000"/>
              </w:rPr>
              <w:t>Six times</w:t>
            </w:r>
          </w:p>
        </w:tc>
        <w:tc>
          <w:tcPr>
            <w:tcW w:w="3117" w:type="dxa"/>
            <w:vAlign w:val="bottom"/>
          </w:tcPr>
          <w:p w14:paraId="4FD98349" w14:textId="77777777" w:rsidR="004E1BA2" w:rsidRDefault="0054188C">
            <w:pPr>
              <w:spacing w:after="0" w:line="240" w:lineRule="auto"/>
              <w:jc w:val="both"/>
              <w:rPr>
                <w:rFonts w:ascii="Times New Roman" w:hAnsi="Times New Roman" w:cs="Times New Roman"/>
                <w:color w:val="000000"/>
              </w:rPr>
            </w:pPr>
            <w:r>
              <w:rPr>
                <w:rFonts w:ascii="Times New Roman" w:hAnsi="Times New Roman" w:cs="Times New Roman"/>
                <w:color w:val="000000"/>
              </w:rPr>
              <w:t>32</w:t>
            </w:r>
          </w:p>
        </w:tc>
        <w:tc>
          <w:tcPr>
            <w:tcW w:w="3116" w:type="dxa"/>
            <w:vAlign w:val="bottom"/>
          </w:tcPr>
          <w:p w14:paraId="668E6374" w14:textId="77777777" w:rsidR="004E1BA2" w:rsidRDefault="0054188C">
            <w:pPr>
              <w:spacing w:after="0" w:line="240" w:lineRule="auto"/>
              <w:jc w:val="both"/>
              <w:rPr>
                <w:rFonts w:ascii="Times New Roman" w:hAnsi="Times New Roman" w:cs="Times New Roman"/>
                <w:color w:val="000000"/>
              </w:rPr>
            </w:pPr>
            <w:r>
              <w:rPr>
                <w:rFonts w:ascii="Times New Roman" w:hAnsi="Times New Roman" w:cs="Times New Roman"/>
                <w:color w:val="000000"/>
              </w:rPr>
              <w:t>8.38</w:t>
            </w:r>
          </w:p>
        </w:tc>
      </w:tr>
      <w:tr w:rsidR="004E1BA2" w14:paraId="40AC4265" w14:textId="77777777">
        <w:tc>
          <w:tcPr>
            <w:tcW w:w="3117" w:type="dxa"/>
            <w:vAlign w:val="bottom"/>
          </w:tcPr>
          <w:p w14:paraId="78D77F0B" w14:textId="77777777" w:rsidR="004E1BA2" w:rsidRDefault="0054188C">
            <w:pPr>
              <w:spacing w:after="0" w:line="240" w:lineRule="auto"/>
              <w:jc w:val="both"/>
              <w:rPr>
                <w:rFonts w:ascii="Times New Roman" w:hAnsi="Times New Roman" w:cs="Times New Roman"/>
                <w:color w:val="000000"/>
              </w:rPr>
            </w:pPr>
            <w:r>
              <w:rPr>
                <w:rFonts w:ascii="Times New Roman" w:hAnsi="Times New Roman" w:cs="Times New Roman"/>
                <w:color w:val="000000"/>
              </w:rPr>
              <w:t>Seven times</w:t>
            </w:r>
          </w:p>
        </w:tc>
        <w:tc>
          <w:tcPr>
            <w:tcW w:w="3117" w:type="dxa"/>
            <w:vAlign w:val="bottom"/>
          </w:tcPr>
          <w:p w14:paraId="7E31C825" w14:textId="77777777" w:rsidR="004E1BA2" w:rsidRDefault="0054188C">
            <w:pPr>
              <w:spacing w:after="0" w:line="240" w:lineRule="auto"/>
              <w:jc w:val="both"/>
              <w:rPr>
                <w:rFonts w:ascii="Times New Roman" w:hAnsi="Times New Roman" w:cs="Times New Roman"/>
                <w:color w:val="000000"/>
              </w:rPr>
            </w:pPr>
            <w:r>
              <w:rPr>
                <w:rFonts w:ascii="Times New Roman" w:hAnsi="Times New Roman" w:cs="Times New Roman"/>
                <w:color w:val="000000"/>
              </w:rPr>
              <w:t>13</w:t>
            </w:r>
          </w:p>
        </w:tc>
        <w:tc>
          <w:tcPr>
            <w:tcW w:w="3116" w:type="dxa"/>
            <w:vAlign w:val="bottom"/>
          </w:tcPr>
          <w:p w14:paraId="56D83D15" w14:textId="77777777" w:rsidR="004E1BA2" w:rsidRDefault="0054188C">
            <w:pPr>
              <w:spacing w:after="0" w:line="240" w:lineRule="auto"/>
              <w:jc w:val="both"/>
              <w:rPr>
                <w:rFonts w:ascii="Times New Roman" w:hAnsi="Times New Roman" w:cs="Times New Roman"/>
                <w:color w:val="000000"/>
              </w:rPr>
            </w:pPr>
            <w:r>
              <w:rPr>
                <w:rFonts w:ascii="Times New Roman" w:hAnsi="Times New Roman" w:cs="Times New Roman"/>
                <w:color w:val="000000"/>
              </w:rPr>
              <w:t>3.40</w:t>
            </w:r>
          </w:p>
        </w:tc>
      </w:tr>
      <w:tr w:rsidR="004E1BA2" w14:paraId="318CB657" w14:textId="77777777">
        <w:tc>
          <w:tcPr>
            <w:tcW w:w="3117" w:type="dxa"/>
            <w:vAlign w:val="bottom"/>
          </w:tcPr>
          <w:p w14:paraId="2B7BE885" w14:textId="77777777" w:rsidR="004E1BA2" w:rsidRDefault="0054188C">
            <w:pPr>
              <w:spacing w:after="0" w:line="240" w:lineRule="auto"/>
              <w:jc w:val="both"/>
              <w:rPr>
                <w:rFonts w:ascii="Times New Roman" w:hAnsi="Times New Roman" w:cs="Times New Roman"/>
                <w:color w:val="000000"/>
              </w:rPr>
            </w:pPr>
            <w:r>
              <w:rPr>
                <w:rFonts w:ascii="Times New Roman" w:hAnsi="Times New Roman" w:cs="Times New Roman"/>
                <w:color w:val="000000"/>
              </w:rPr>
              <w:t>More than seven times</w:t>
            </w:r>
          </w:p>
        </w:tc>
        <w:tc>
          <w:tcPr>
            <w:tcW w:w="3117" w:type="dxa"/>
            <w:vAlign w:val="bottom"/>
          </w:tcPr>
          <w:p w14:paraId="4B940943" w14:textId="77777777" w:rsidR="004E1BA2" w:rsidRDefault="0054188C">
            <w:pPr>
              <w:spacing w:after="0" w:line="240" w:lineRule="auto"/>
              <w:jc w:val="both"/>
              <w:rPr>
                <w:rFonts w:ascii="Times New Roman" w:hAnsi="Times New Roman" w:cs="Times New Roman"/>
                <w:color w:val="000000"/>
              </w:rPr>
            </w:pPr>
            <w:r>
              <w:rPr>
                <w:rFonts w:ascii="Times New Roman" w:hAnsi="Times New Roman" w:cs="Times New Roman"/>
                <w:color w:val="000000"/>
              </w:rPr>
              <w:t>7</w:t>
            </w:r>
          </w:p>
        </w:tc>
        <w:tc>
          <w:tcPr>
            <w:tcW w:w="3116" w:type="dxa"/>
            <w:vAlign w:val="bottom"/>
          </w:tcPr>
          <w:p w14:paraId="09342C1B" w14:textId="77777777" w:rsidR="004E1BA2" w:rsidRDefault="0054188C">
            <w:pPr>
              <w:spacing w:after="0" w:line="240" w:lineRule="auto"/>
              <w:jc w:val="both"/>
              <w:rPr>
                <w:rFonts w:ascii="Times New Roman" w:hAnsi="Times New Roman" w:cs="Times New Roman"/>
                <w:color w:val="000000"/>
              </w:rPr>
            </w:pPr>
            <w:r>
              <w:rPr>
                <w:rFonts w:ascii="Times New Roman" w:hAnsi="Times New Roman" w:cs="Times New Roman"/>
                <w:color w:val="000000"/>
              </w:rPr>
              <w:t>1.83</w:t>
            </w:r>
          </w:p>
        </w:tc>
      </w:tr>
    </w:tbl>
    <w:p w14:paraId="7E3BF9B9" w14:textId="77777777" w:rsidR="004E1BA2" w:rsidRDefault="0054188C">
      <w:pPr>
        <w:spacing w:line="276" w:lineRule="auto"/>
        <w:jc w:val="both"/>
        <w:rPr>
          <w:rFonts w:ascii="Times New Roman" w:hAnsi="Times New Roman" w:cs="Times New Roman"/>
        </w:rPr>
      </w:pPr>
      <w:r>
        <w:rPr>
          <w:rFonts w:ascii="Times New Roman" w:hAnsi="Times New Roman" w:cs="Times New Roman"/>
        </w:rPr>
        <w:t>Source: Survey data (2024)</w:t>
      </w:r>
    </w:p>
    <w:p w14:paraId="36E464C9" w14:textId="77777777" w:rsidR="004E1BA2" w:rsidRDefault="0054188C">
      <w:pPr>
        <w:jc w:val="both"/>
        <w:rPr>
          <w:rFonts w:ascii="Times New Roman" w:hAnsi="Times New Roman" w:cs="Times New Roman"/>
        </w:rPr>
      </w:pPr>
      <w:r>
        <w:rPr>
          <w:rFonts w:ascii="Times New Roman" w:hAnsi="Times New Roman" w:cs="Times New Roman"/>
        </w:rPr>
        <w:t xml:space="preserve">According to Table 2, the majority of respondents preferred to </w:t>
      </w:r>
      <w:r>
        <w:rPr>
          <w:rFonts w:ascii="Times New Roman" w:hAnsi="Times New Roman" w:cs="Times New Roman"/>
        </w:rPr>
        <w:t xml:space="preserve">maintain accounts with a single bank, accounting for 54.15% of the sample. Additionally, 41.6% reported holding accounts with two banks. This indicates that nearly 95% of respondents choose not to manage accounts with more than two banks at the same time, </w:t>
      </w:r>
      <w:r>
        <w:rPr>
          <w:rFonts w:ascii="Times New Roman" w:hAnsi="Times New Roman" w:cs="Times New Roman"/>
        </w:rPr>
        <w:t>while only about 3% prefer to maintain separate accounts with multiple banks.</w:t>
      </w:r>
    </w:p>
    <w:p w14:paraId="72FB3CAC" w14:textId="77777777" w:rsidR="004E1BA2" w:rsidRDefault="0054188C">
      <w:pPr>
        <w:jc w:val="both"/>
        <w:rPr>
          <w:rFonts w:ascii="Times New Roman" w:hAnsi="Times New Roman" w:cs="Times New Roman"/>
        </w:rPr>
      </w:pPr>
      <w:r>
        <w:rPr>
          <w:rFonts w:ascii="Times New Roman" w:hAnsi="Times New Roman" w:cs="Times New Roman"/>
        </w:rPr>
        <w:lastRenderedPageBreak/>
        <w:t>The table also presents information on the duration of respondents' use of online banking services. Approximately 44% had been using such services for a period of 1 to 3 years, w</w:t>
      </w:r>
      <w:r>
        <w:rPr>
          <w:rFonts w:ascii="Times New Roman" w:hAnsi="Times New Roman" w:cs="Times New Roman"/>
        </w:rPr>
        <w:t>hile 34% had used them for 4 to 7 years. Only 15% had accessed online banking for less than one year, and a small fraction, just 5% had been using these services for more than seven years.</w:t>
      </w:r>
    </w:p>
    <w:p w14:paraId="3D9CF960" w14:textId="77777777" w:rsidR="004E1BA2" w:rsidRDefault="0054188C">
      <w:pPr>
        <w:jc w:val="both"/>
        <w:rPr>
          <w:rFonts w:ascii="Times New Roman" w:hAnsi="Times New Roman" w:cs="Times New Roman"/>
        </w:rPr>
      </w:pPr>
      <w:r>
        <w:rPr>
          <w:rFonts w:ascii="Times New Roman" w:hAnsi="Times New Roman" w:cs="Times New Roman"/>
        </w:rPr>
        <w:t xml:space="preserve">In terms of weekly frequency, 91 respondents used online banking </w:t>
      </w:r>
      <w:r>
        <w:rPr>
          <w:rFonts w:ascii="Times New Roman" w:hAnsi="Times New Roman" w:cs="Times New Roman"/>
        </w:rPr>
        <w:t xml:space="preserve">once per week, while 110 used it twice weekly. Usage declined progressively with frequency: 52 </w:t>
      </w:r>
      <w:proofErr w:type="gramStart"/>
      <w:r>
        <w:rPr>
          <w:rFonts w:ascii="Times New Roman" w:hAnsi="Times New Roman" w:cs="Times New Roman"/>
        </w:rPr>
        <w:t>individuals</w:t>
      </w:r>
      <w:proofErr w:type="gramEnd"/>
      <w:r>
        <w:rPr>
          <w:rFonts w:ascii="Times New Roman" w:hAnsi="Times New Roman" w:cs="Times New Roman"/>
        </w:rPr>
        <w:t xml:space="preserve"> accessed services three times per week, 39 used them four times, and 38 did so five times. A total of 32 respondents used online banking six times pe</w:t>
      </w:r>
      <w:r>
        <w:rPr>
          <w:rFonts w:ascii="Times New Roman" w:hAnsi="Times New Roman" w:cs="Times New Roman"/>
        </w:rPr>
        <w:t>r week, while only 13 and 7 individuals reported using the services seven times or more each week, respectively.</w:t>
      </w:r>
    </w:p>
    <w:p w14:paraId="7AE83545" w14:textId="77777777" w:rsidR="004E1BA2" w:rsidRDefault="0054188C">
      <w:pPr>
        <w:jc w:val="both"/>
        <w:rPr>
          <w:rFonts w:ascii="Times New Roman" w:hAnsi="Times New Roman" w:cs="Times New Roman"/>
        </w:rPr>
      </w:pPr>
      <w:r>
        <w:rPr>
          <w:rFonts w:ascii="Times New Roman" w:hAnsi="Times New Roman" w:cs="Times New Roman"/>
        </w:rPr>
        <w:t>Table 03: ANOVA</w:t>
      </w:r>
    </w:p>
    <w:p w14:paraId="4474A73B" w14:textId="77777777" w:rsidR="004E1BA2" w:rsidRDefault="004E1BA2">
      <w:pPr>
        <w:jc w:val="both"/>
        <w:rPr>
          <w:rFonts w:ascii="Times New Roman" w:hAnsi="Times New Roman" w:cs="Times New Roman"/>
        </w:rPr>
      </w:pPr>
    </w:p>
    <w:tbl>
      <w:tblPr>
        <w:tblW w:w="7648" w:type="dxa"/>
        <w:jc w:val="center"/>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1697"/>
        <w:gridCol w:w="1468"/>
        <w:gridCol w:w="1025"/>
        <w:gridCol w:w="1408"/>
        <w:gridCol w:w="1025"/>
        <w:gridCol w:w="1025"/>
      </w:tblGrid>
      <w:tr w:rsidR="004E1BA2" w14:paraId="483DA8A2" w14:textId="77777777">
        <w:trPr>
          <w:cantSplit/>
          <w:jc w:val="center"/>
        </w:trPr>
        <w:tc>
          <w:tcPr>
            <w:tcW w:w="1697" w:type="dxa"/>
            <w:shd w:val="clear" w:color="auto" w:fill="FFFFFF"/>
            <w:vAlign w:val="bottom"/>
          </w:tcPr>
          <w:p w14:paraId="556FB9E6" w14:textId="77777777" w:rsidR="004E1BA2" w:rsidRDefault="004E1BA2">
            <w:pPr>
              <w:jc w:val="both"/>
              <w:rPr>
                <w:rFonts w:ascii="Times New Roman" w:hAnsi="Times New Roman" w:cs="Times New Roman"/>
              </w:rPr>
            </w:pPr>
          </w:p>
        </w:tc>
        <w:tc>
          <w:tcPr>
            <w:tcW w:w="1468" w:type="dxa"/>
            <w:shd w:val="clear" w:color="auto" w:fill="FFFFFF"/>
            <w:vAlign w:val="bottom"/>
          </w:tcPr>
          <w:p w14:paraId="3A3B9DEC" w14:textId="77777777" w:rsidR="004E1BA2" w:rsidRDefault="0054188C">
            <w:pPr>
              <w:jc w:val="both"/>
              <w:rPr>
                <w:rFonts w:ascii="Times New Roman" w:hAnsi="Times New Roman" w:cs="Times New Roman"/>
              </w:rPr>
            </w:pPr>
            <w:r>
              <w:rPr>
                <w:rFonts w:ascii="Times New Roman" w:hAnsi="Times New Roman" w:cs="Times New Roman"/>
              </w:rPr>
              <w:t>Sum of Squares</w:t>
            </w:r>
          </w:p>
        </w:tc>
        <w:tc>
          <w:tcPr>
            <w:tcW w:w="1025" w:type="dxa"/>
            <w:shd w:val="clear" w:color="auto" w:fill="FFFFFF"/>
            <w:vAlign w:val="bottom"/>
          </w:tcPr>
          <w:p w14:paraId="1C2639C2" w14:textId="77777777" w:rsidR="004E1BA2" w:rsidRDefault="0054188C">
            <w:pPr>
              <w:jc w:val="both"/>
              <w:rPr>
                <w:rFonts w:ascii="Times New Roman" w:hAnsi="Times New Roman" w:cs="Times New Roman"/>
              </w:rPr>
            </w:pPr>
            <w:proofErr w:type="spellStart"/>
            <w:r>
              <w:rPr>
                <w:rFonts w:ascii="Times New Roman" w:hAnsi="Times New Roman" w:cs="Times New Roman"/>
              </w:rPr>
              <w:t>df</w:t>
            </w:r>
            <w:proofErr w:type="spellEnd"/>
          </w:p>
        </w:tc>
        <w:tc>
          <w:tcPr>
            <w:tcW w:w="1408" w:type="dxa"/>
            <w:shd w:val="clear" w:color="auto" w:fill="FFFFFF"/>
            <w:vAlign w:val="bottom"/>
          </w:tcPr>
          <w:p w14:paraId="018284D9" w14:textId="77777777" w:rsidR="004E1BA2" w:rsidRDefault="0054188C">
            <w:pPr>
              <w:jc w:val="both"/>
              <w:rPr>
                <w:rFonts w:ascii="Times New Roman" w:hAnsi="Times New Roman" w:cs="Times New Roman"/>
              </w:rPr>
            </w:pPr>
            <w:r>
              <w:rPr>
                <w:rFonts w:ascii="Times New Roman" w:hAnsi="Times New Roman" w:cs="Times New Roman"/>
              </w:rPr>
              <w:t>Mean Square</w:t>
            </w:r>
          </w:p>
        </w:tc>
        <w:tc>
          <w:tcPr>
            <w:tcW w:w="1025" w:type="dxa"/>
            <w:shd w:val="clear" w:color="auto" w:fill="FFFFFF"/>
            <w:vAlign w:val="bottom"/>
          </w:tcPr>
          <w:p w14:paraId="072F233F" w14:textId="77777777" w:rsidR="004E1BA2" w:rsidRDefault="0054188C">
            <w:pPr>
              <w:jc w:val="both"/>
              <w:rPr>
                <w:rFonts w:ascii="Times New Roman" w:hAnsi="Times New Roman" w:cs="Times New Roman"/>
              </w:rPr>
            </w:pPr>
            <w:r>
              <w:rPr>
                <w:rFonts w:ascii="Times New Roman" w:hAnsi="Times New Roman" w:cs="Times New Roman"/>
              </w:rPr>
              <w:t>F</w:t>
            </w:r>
          </w:p>
        </w:tc>
        <w:tc>
          <w:tcPr>
            <w:tcW w:w="1025" w:type="dxa"/>
            <w:shd w:val="clear" w:color="auto" w:fill="FFFFFF"/>
            <w:vAlign w:val="bottom"/>
          </w:tcPr>
          <w:p w14:paraId="3667D406" w14:textId="77777777" w:rsidR="004E1BA2" w:rsidRDefault="0054188C">
            <w:pPr>
              <w:jc w:val="both"/>
              <w:rPr>
                <w:rFonts w:ascii="Times New Roman" w:hAnsi="Times New Roman" w:cs="Times New Roman"/>
              </w:rPr>
            </w:pPr>
            <w:r>
              <w:rPr>
                <w:rFonts w:ascii="Times New Roman" w:hAnsi="Times New Roman" w:cs="Times New Roman"/>
              </w:rPr>
              <w:t>Sig.</w:t>
            </w:r>
          </w:p>
        </w:tc>
      </w:tr>
      <w:tr w:rsidR="004E1BA2" w14:paraId="37D3B089" w14:textId="77777777">
        <w:trPr>
          <w:cantSplit/>
          <w:jc w:val="center"/>
        </w:trPr>
        <w:tc>
          <w:tcPr>
            <w:tcW w:w="1697" w:type="dxa"/>
            <w:shd w:val="clear" w:color="auto" w:fill="FFFFFF"/>
          </w:tcPr>
          <w:p w14:paraId="007B24B9" w14:textId="77777777" w:rsidR="004E1BA2" w:rsidRDefault="0054188C">
            <w:pPr>
              <w:jc w:val="both"/>
              <w:rPr>
                <w:rFonts w:ascii="Times New Roman" w:hAnsi="Times New Roman" w:cs="Times New Roman"/>
              </w:rPr>
            </w:pPr>
            <w:r>
              <w:rPr>
                <w:rFonts w:ascii="Times New Roman" w:hAnsi="Times New Roman" w:cs="Times New Roman"/>
              </w:rPr>
              <w:t>Between Groups</w:t>
            </w:r>
          </w:p>
        </w:tc>
        <w:tc>
          <w:tcPr>
            <w:tcW w:w="1468" w:type="dxa"/>
            <w:shd w:val="clear" w:color="auto" w:fill="FFFFFF"/>
            <w:vAlign w:val="center"/>
          </w:tcPr>
          <w:p w14:paraId="0F3C86D5" w14:textId="77777777" w:rsidR="004E1BA2" w:rsidRDefault="0054188C">
            <w:pPr>
              <w:jc w:val="both"/>
              <w:rPr>
                <w:rFonts w:ascii="Times New Roman" w:hAnsi="Times New Roman" w:cs="Times New Roman"/>
              </w:rPr>
            </w:pPr>
            <w:r>
              <w:rPr>
                <w:rFonts w:ascii="Times New Roman" w:hAnsi="Times New Roman" w:cs="Times New Roman"/>
              </w:rPr>
              <w:t>1180.013</w:t>
            </w:r>
          </w:p>
        </w:tc>
        <w:tc>
          <w:tcPr>
            <w:tcW w:w="1025" w:type="dxa"/>
            <w:shd w:val="clear" w:color="auto" w:fill="FFFFFF"/>
            <w:vAlign w:val="center"/>
          </w:tcPr>
          <w:p w14:paraId="200D40A5" w14:textId="77777777" w:rsidR="004E1BA2" w:rsidRDefault="0054188C">
            <w:pPr>
              <w:jc w:val="both"/>
              <w:rPr>
                <w:rFonts w:ascii="Times New Roman" w:hAnsi="Times New Roman" w:cs="Times New Roman"/>
              </w:rPr>
            </w:pPr>
            <w:r>
              <w:rPr>
                <w:rFonts w:ascii="Times New Roman" w:hAnsi="Times New Roman" w:cs="Times New Roman"/>
              </w:rPr>
              <w:t>6</w:t>
            </w:r>
          </w:p>
        </w:tc>
        <w:tc>
          <w:tcPr>
            <w:tcW w:w="1408" w:type="dxa"/>
            <w:shd w:val="clear" w:color="auto" w:fill="FFFFFF"/>
            <w:vAlign w:val="center"/>
          </w:tcPr>
          <w:p w14:paraId="3775BFD0" w14:textId="77777777" w:rsidR="004E1BA2" w:rsidRDefault="0054188C">
            <w:pPr>
              <w:jc w:val="both"/>
              <w:rPr>
                <w:rFonts w:ascii="Times New Roman" w:hAnsi="Times New Roman" w:cs="Times New Roman"/>
              </w:rPr>
            </w:pPr>
            <w:r>
              <w:rPr>
                <w:rFonts w:ascii="Times New Roman" w:hAnsi="Times New Roman" w:cs="Times New Roman"/>
              </w:rPr>
              <w:t>196.669</w:t>
            </w:r>
          </w:p>
        </w:tc>
        <w:tc>
          <w:tcPr>
            <w:tcW w:w="1025" w:type="dxa"/>
            <w:shd w:val="clear" w:color="auto" w:fill="FFFFFF"/>
            <w:vAlign w:val="center"/>
          </w:tcPr>
          <w:p w14:paraId="3B4C63CB" w14:textId="77777777" w:rsidR="004E1BA2" w:rsidRDefault="0054188C">
            <w:pPr>
              <w:jc w:val="both"/>
              <w:rPr>
                <w:rFonts w:ascii="Times New Roman" w:hAnsi="Times New Roman" w:cs="Times New Roman"/>
              </w:rPr>
            </w:pPr>
            <w:r>
              <w:rPr>
                <w:rFonts w:ascii="Times New Roman" w:hAnsi="Times New Roman" w:cs="Times New Roman"/>
              </w:rPr>
              <w:t>473.088</w:t>
            </w:r>
          </w:p>
        </w:tc>
        <w:tc>
          <w:tcPr>
            <w:tcW w:w="1025" w:type="dxa"/>
            <w:shd w:val="clear" w:color="auto" w:fill="FFFFFF"/>
            <w:vAlign w:val="center"/>
          </w:tcPr>
          <w:p w14:paraId="7C9D4101" w14:textId="77777777" w:rsidR="004E1BA2" w:rsidRDefault="0054188C">
            <w:pPr>
              <w:jc w:val="both"/>
              <w:rPr>
                <w:rFonts w:ascii="Times New Roman" w:hAnsi="Times New Roman" w:cs="Times New Roman"/>
              </w:rPr>
            </w:pPr>
            <w:r>
              <w:rPr>
                <w:rFonts w:ascii="Times New Roman" w:hAnsi="Times New Roman" w:cs="Times New Roman"/>
              </w:rPr>
              <w:t>.000</w:t>
            </w:r>
          </w:p>
        </w:tc>
      </w:tr>
      <w:tr w:rsidR="004E1BA2" w14:paraId="4E229D5C" w14:textId="77777777">
        <w:trPr>
          <w:cantSplit/>
          <w:jc w:val="center"/>
        </w:trPr>
        <w:tc>
          <w:tcPr>
            <w:tcW w:w="1697" w:type="dxa"/>
            <w:shd w:val="clear" w:color="auto" w:fill="FFFFFF"/>
          </w:tcPr>
          <w:p w14:paraId="4F284445" w14:textId="77777777" w:rsidR="004E1BA2" w:rsidRDefault="0054188C">
            <w:pPr>
              <w:jc w:val="both"/>
              <w:rPr>
                <w:rFonts w:ascii="Times New Roman" w:hAnsi="Times New Roman" w:cs="Times New Roman"/>
              </w:rPr>
            </w:pPr>
            <w:r>
              <w:rPr>
                <w:rFonts w:ascii="Times New Roman" w:hAnsi="Times New Roman" w:cs="Times New Roman"/>
              </w:rPr>
              <w:t>Within Groups</w:t>
            </w:r>
          </w:p>
        </w:tc>
        <w:tc>
          <w:tcPr>
            <w:tcW w:w="1468" w:type="dxa"/>
            <w:shd w:val="clear" w:color="auto" w:fill="FFFFFF"/>
            <w:vAlign w:val="center"/>
          </w:tcPr>
          <w:p w14:paraId="56CFF65D" w14:textId="77777777" w:rsidR="004E1BA2" w:rsidRDefault="0054188C">
            <w:pPr>
              <w:jc w:val="both"/>
              <w:rPr>
                <w:rFonts w:ascii="Times New Roman" w:hAnsi="Times New Roman" w:cs="Times New Roman"/>
              </w:rPr>
            </w:pPr>
            <w:r>
              <w:rPr>
                <w:rFonts w:ascii="Times New Roman" w:hAnsi="Times New Roman" w:cs="Times New Roman"/>
              </w:rPr>
              <w:t>155.892</w:t>
            </w:r>
          </w:p>
        </w:tc>
        <w:tc>
          <w:tcPr>
            <w:tcW w:w="1025" w:type="dxa"/>
            <w:shd w:val="clear" w:color="auto" w:fill="FFFFFF"/>
            <w:vAlign w:val="center"/>
          </w:tcPr>
          <w:p w14:paraId="032B2BD3" w14:textId="77777777" w:rsidR="004E1BA2" w:rsidRDefault="0054188C">
            <w:pPr>
              <w:jc w:val="both"/>
              <w:rPr>
                <w:rFonts w:ascii="Times New Roman" w:hAnsi="Times New Roman" w:cs="Times New Roman"/>
              </w:rPr>
            </w:pPr>
            <w:r>
              <w:rPr>
                <w:rFonts w:ascii="Times New Roman" w:hAnsi="Times New Roman" w:cs="Times New Roman"/>
              </w:rPr>
              <w:t>375</w:t>
            </w:r>
          </w:p>
        </w:tc>
        <w:tc>
          <w:tcPr>
            <w:tcW w:w="1408" w:type="dxa"/>
            <w:shd w:val="clear" w:color="auto" w:fill="FFFFFF"/>
            <w:vAlign w:val="center"/>
          </w:tcPr>
          <w:p w14:paraId="2A3CEF8E" w14:textId="77777777" w:rsidR="004E1BA2" w:rsidRDefault="0054188C">
            <w:pPr>
              <w:jc w:val="both"/>
              <w:rPr>
                <w:rFonts w:ascii="Times New Roman" w:hAnsi="Times New Roman" w:cs="Times New Roman"/>
              </w:rPr>
            </w:pPr>
            <w:r>
              <w:rPr>
                <w:rFonts w:ascii="Times New Roman" w:hAnsi="Times New Roman" w:cs="Times New Roman"/>
              </w:rPr>
              <w:t>.416</w:t>
            </w:r>
          </w:p>
        </w:tc>
        <w:tc>
          <w:tcPr>
            <w:tcW w:w="1025" w:type="dxa"/>
            <w:shd w:val="clear" w:color="auto" w:fill="FFFFFF"/>
            <w:vAlign w:val="center"/>
          </w:tcPr>
          <w:p w14:paraId="7EBEF360" w14:textId="77777777" w:rsidR="004E1BA2" w:rsidRDefault="004E1BA2">
            <w:pPr>
              <w:jc w:val="both"/>
              <w:rPr>
                <w:rFonts w:ascii="Times New Roman" w:hAnsi="Times New Roman" w:cs="Times New Roman"/>
              </w:rPr>
            </w:pPr>
          </w:p>
        </w:tc>
        <w:tc>
          <w:tcPr>
            <w:tcW w:w="1025" w:type="dxa"/>
            <w:shd w:val="clear" w:color="auto" w:fill="FFFFFF"/>
            <w:vAlign w:val="center"/>
          </w:tcPr>
          <w:p w14:paraId="7E8BA414" w14:textId="77777777" w:rsidR="004E1BA2" w:rsidRDefault="004E1BA2">
            <w:pPr>
              <w:jc w:val="both"/>
              <w:rPr>
                <w:rFonts w:ascii="Times New Roman" w:hAnsi="Times New Roman" w:cs="Times New Roman"/>
              </w:rPr>
            </w:pPr>
          </w:p>
        </w:tc>
      </w:tr>
      <w:tr w:rsidR="004E1BA2" w14:paraId="14BE8876" w14:textId="77777777">
        <w:trPr>
          <w:cantSplit/>
          <w:jc w:val="center"/>
        </w:trPr>
        <w:tc>
          <w:tcPr>
            <w:tcW w:w="1697" w:type="dxa"/>
            <w:shd w:val="clear" w:color="auto" w:fill="FFFFFF"/>
          </w:tcPr>
          <w:p w14:paraId="20FBA346" w14:textId="77777777" w:rsidR="004E1BA2" w:rsidRDefault="0054188C">
            <w:pPr>
              <w:jc w:val="both"/>
              <w:rPr>
                <w:rFonts w:ascii="Times New Roman" w:hAnsi="Times New Roman" w:cs="Times New Roman"/>
              </w:rPr>
            </w:pPr>
            <w:r>
              <w:rPr>
                <w:rFonts w:ascii="Times New Roman" w:hAnsi="Times New Roman" w:cs="Times New Roman"/>
              </w:rPr>
              <w:t>Total</w:t>
            </w:r>
          </w:p>
        </w:tc>
        <w:tc>
          <w:tcPr>
            <w:tcW w:w="1468" w:type="dxa"/>
            <w:shd w:val="clear" w:color="auto" w:fill="FFFFFF"/>
            <w:vAlign w:val="center"/>
          </w:tcPr>
          <w:p w14:paraId="70B36787" w14:textId="77777777" w:rsidR="004E1BA2" w:rsidRDefault="0054188C">
            <w:pPr>
              <w:jc w:val="both"/>
              <w:rPr>
                <w:rFonts w:ascii="Times New Roman" w:hAnsi="Times New Roman" w:cs="Times New Roman"/>
              </w:rPr>
            </w:pPr>
            <w:r>
              <w:rPr>
                <w:rFonts w:ascii="Times New Roman" w:hAnsi="Times New Roman" w:cs="Times New Roman"/>
              </w:rPr>
              <w:t>1335.906</w:t>
            </w:r>
          </w:p>
        </w:tc>
        <w:tc>
          <w:tcPr>
            <w:tcW w:w="1025" w:type="dxa"/>
            <w:shd w:val="clear" w:color="auto" w:fill="FFFFFF"/>
            <w:vAlign w:val="center"/>
          </w:tcPr>
          <w:p w14:paraId="2D97A19A" w14:textId="77777777" w:rsidR="004E1BA2" w:rsidRDefault="0054188C">
            <w:pPr>
              <w:jc w:val="both"/>
              <w:rPr>
                <w:rFonts w:ascii="Times New Roman" w:hAnsi="Times New Roman" w:cs="Times New Roman"/>
              </w:rPr>
            </w:pPr>
            <w:r>
              <w:rPr>
                <w:rFonts w:ascii="Times New Roman" w:hAnsi="Times New Roman" w:cs="Times New Roman"/>
              </w:rPr>
              <w:t>381</w:t>
            </w:r>
          </w:p>
        </w:tc>
        <w:tc>
          <w:tcPr>
            <w:tcW w:w="1408" w:type="dxa"/>
            <w:shd w:val="clear" w:color="auto" w:fill="FFFFFF"/>
            <w:vAlign w:val="center"/>
          </w:tcPr>
          <w:p w14:paraId="2D1F58A7" w14:textId="77777777" w:rsidR="004E1BA2" w:rsidRDefault="004E1BA2">
            <w:pPr>
              <w:jc w:val="both"/>
              <w:rPr>
                <w:rFonts w:ascii="Times New Roman" w:hAnsi="Times New Roman" w:cs="Times New Roman"/>
              </w:rPr>
            </w:pPr>
          </w:p>
        </w:tc>
        <w:tc>
          <w:tcPr>
            <w:tcW w:w="1025" w:type="dxa"/>
            <w:shd w:val="clear" w:color="auto" w:fill="FFFFFF"/>
            <w:vAlign w:val="center"/>
          </w:tcPr>
          <w:p w14:paraId="2698D1FD" w14:textId="77777777" w:rsidR="004E1BA2" w:rsidRDefault="004E1BA2">
            <w:pPr>
              <w:jc w:val="both"/>
              <w:rPr>
                <w:rFonts w:ascii="Times New Roman" w:hAnsi="Times New Roman" w:cs="Times New Roman"/>
              </w:rPr>
            </w:pPr>
          </w:p>
        </w:tc>
        <w:tc>
          <w:tcPr>
            <w:tcW w:w="1025" w:type="dxa"/>
            <w:shd w:val="clear" w:color="auto" w:fill="FFFFFF"/>
            <w:vAlign w:val="center"/>
          </w:tcPr>
          <w:p w14:paraId="4FBCB026" w14:textId="77777777" w:rsidR="004E1BA2" w:rsidRDefault="004E1BA2">
            <w:pPr>
              <w:jc w:val="both"/>
              <w:rPr>
                <w:rFonts w:ascii="Times New Roman" w:hAnsi="Times New Roman" w:cs="Times New Roman"/>
              </w:rPr>
            </w:pPr>
          </w:p>
        </w:tc>
      </w:tr>
    </w:tbl>
    <w:p w14:paraId="6C85C47F" w14:textId="77777777" w:rsidR="004E1BA2" w:rsidRDefault="0054188C">
      <w:pPr>
        <w:spacing w:line="276" w:lineRule="auto"/>
        <w:jc w:val="both"/>
        <w:rPr>
          <w:rFonts w:ascii="Times New Roman" w:hAnsi="Times New Roman" w:cs="Times New Roman"/>
        </w:rPr>
      </w:pPr>
      <w:r>
        <w:rPr>
          <w:rFonts w:ascii="Times New Roman" w:hAnsi="Times New Roman" w:cs="Times New Roman"/>
        </w:rPr>
        <w:t>Source: Survey data (2024)</w:t>
      </w:r>
    </w:p>
    <w:p w14:paraId="0181EDBD" w14:textId="77777777" w:rsidR="004E1BA2" w:rsidRDefault="0054188C">
      <w:pPr>
        <w:jc w:val="both"/>
        <w:rPr>
          <w:rFonts w:ascii="Times New Roman" w:hAnsi="Times New Roman" w:cs="Times New Roman"/>
        </w:rPr>
      </w:pPr>
      <w:commentRangeStart w:id="4"/>
      <w:r>
        <w:rPr>
          <w:rFonts w:ascii="Times New Roman" w:hAnsi="Times New Roman" w:cs="Times New Roman"/>
        </w:rPr>
        <w:t xml:space="preserve">According to the results presented in Table 03, the hypothesis test was conducted, and the null hypothesis was rejected as the p-value was less than 0.05 (0.00 &lt; 0.05). This indicates that the alternative </w:t>
      </w:r>
      <w:r>
        <w:rPr>
          <w:rFonts w:ascii="Times New Roman" w:hAnsi="Times New Roman" w:cs="Times New Roman"/>
        </w:rPr>
        <w:t>hypothesis (H₁) is accepted, confirming that there is a statistically significant difference in online banking engagement among individuals with varying levels of education.</w:t>
      </w:r>
      <w:commentRangeEnd w:id="4"/>
      <w:r>
        <w:commentReference w:id="4"/>
      </w:r>
    </w:p>
    <w:p w14:paraId="5BAA8145" w14:textId="77777777" w:rsidR="004E1BA2" w:rsidRDefault="0054188C">
      <w:pPr>
        <w:jc w:val="both"/>
        <w:rPr>
          <w:rFonts w:ascii="Times New Roman" w:hAnsi="Times New Roman" w:cs="Times New Roman"/>
        </w:rPr>
      </w:pPr>
      <w:r>
        <w:rPr>
          <w:rFonts w:ascii="Times New Roman" w:hAnsi="Times New Roman" w:cs="Times New Roman"/>
        </w:rPr>
        <w:t>Table 04:</w:t>
      </w:r>
      <w:r>
        <w:rPr>
          <w:rFonts w:ascii="Times New Roman" w:hAnsi="Times New Roman" w:cs="Times New Roman"/>
          <w:b/>
          <w:bCs/>
        </w:rPr>
        <w:t xml:space="preserve"> </w:t>
      </w:r>
      <w:r>
        <w:rPr>
          <w:rFonts w:ascii="Times New Roman" w:hAnsi="Times New Roman" w:cs="Times New Roman"/>
        </w:rPr>
        <w:t>Multiple Comparisons</w:t>
      </w:r>
    </w:p>
    <w:tbl>
      <w:tblPr>
        <w:tblW w:w="10160" w:type="dxa"/>
        <w:tblLook w:val="04A0" w:firstRow="1" w:lastRow="0" w:firstColumn="1" w:lastColumn="0" w:noHBand="0" w:noVBand="1"/>
      </w:tblPr>
      <w:tblGrid>
        <w:gridCol w:w="3950"/>
        <w:gridCol w:w="1530"/>
        <w:gridCol w:w="1538"/>
        <w:gridCol w:w="3142"/>
      </w:tblGrid>
      <w:tr w:rsidR="004E1BA2" w14:paraId="1DF06625" w14:textId="77777777">
        <w:trPr>
          <w:trHeight w:val="960"/>
        </w:trPr>
        <w:tc>
          <w:tcPr>
            <w:tcW w:w="3950" w:type="dxa"/>
            <w:tcBorders>
              <w:top w:val="single" w:sz="8" w:space="0" w:color="auto"/>
              <w:left w:val="single" w:sz="8" w:space="0" w:color="auto"/>
              <w:bottom w:val="single" w:sz="8" w:space="0" w:color="auto"/>
              <w:right w:val="single" w:sz="8" w:space="0" w:color="auto"/>
            </w:tcBorders>
            <w:shd w:val="clear" w:color="auto" w:fill="auto"/>
            <w:vAlign w:val="center"/>
          </w:tcPr>
          <w:p w14:paraId="51435A53" w14:textId="77777777" w:rsidR="004E1BA2" w:rsidRDefault="0054188C">
            <w:pPr>
              <w:spacing w:after="0" w:line="240" w:lineRule="auto"/>
              <w:jc w:val="center"/>
              <w:rPr>
                <w:rFonts w:ascii="Times New Roman" w:eastAsia="Times New Roman" w:hAnsi="Times New Roman" w:cs="Times New Roman"/>
                <w:b/>
                <w:bCs/>
                <w:color w:val="000000"/>
                <w:kern w:val="0"/>
                <w:lang w:bidi="si-LK"/>
                <w14:ligatures w14:val="none"/>
              </w:rPr>
            </w:pPr>
            <w:r>
              <w:rPr>
                <w:rFonts w:ascii="Times New Roman" w:eastAsia="Times New Roman" w:hAnsi="Times New Roman" w:cs="Times New Roman"/>
                <w:b/>
                <w:bCs/>
                <w:color w:val="000000"/>
                <w:kern w:val="0"/>
                <w:lang w:bidi="si-LK"/>
                <w14:ligatures w14:val="none"/>
              </w:rPr>
              <w:t>Comparison Groups</w:t>
            </w:r>
          </w:p>
        </w:tc>
        <w:tc>
          <w:tcPr>
            <w:tcW w:w="1530" w:type="dxa"/>
            <w:tcBorders>
              <w:top w:val="single" w:sz="8" w:space="0" w:color="auto"/>
              <w:left w:val="nil"/>
              <w:bottom w:val="single" w:sz="8" w:space="0" w:color="auto"/>
              <w:right w:val="single" w:sz="8" w:space="0" w:color="auto"/>
            </w:tcBorders>
            <w:shd w:val="clear" w:color="auto" w:fill="auto"/>
            <w:vAlign w:val="center"/>
          </w:tcPr>
          <w:p w14:paraId="1FECFB78" w14:textId="77777777" w:rsidR="004E1BA2" w:rsidRDefault="0054188C">
            <w:pPr>
              <w:spacing w:after="0" w:line="240" w:lineRule="auto"/>
              <w:jc w:val="center"/>
              <w:rPr>
                <w:rFonts w:ascii="Times New Roman" w:eastAsia="Times New Roman" w:hAnsi="Times New Roman" w:cs="Times New Roman"/>
                <w:b/>
                <w:bCs/>
                <w:color w:val="000000"/>
                <w:kern w:val="0"/>
                <w:lang w:bidi="si-LK"/>
                <w14:ligatures w14:val="none"/>
              </w:rPr>
            </w:pPr>
            <w:r>
              <w:rPr>
                <w:rFonts w:ascii="Times New Roman" w:eastAsia="Times New Roman" w:hAnsi="Times New Roman" w:cs="Times New Roman"/>
                <w:b/>
                <w:bCs/>
                <w:color w:val="000000"/>
                <w:kern w:val="0"/>
                <w:lang w:bidi="si-LK"/>
                <w14:ligatures w14:val="none"/>
              </w:rPr>
              <w:t>Mean Difference</w:t>
            </w:r>
          </w:p>
        </w:tc>
        <w:tc>
          <w:tcPr>
            <w:tcW w:w="1538" w:type="dxa"/>
            <w:tcBorders>
              <w:top w:val="single" w:sz="8" w:space="0" w:color="auto"/>
              <w:left w:val="nil"/>
              <w:bottom w:val="single" w:sz="8" w:space="0" w:color="auto"/>
              <w:right w:val="single" w:sz="8" w:space="0" w:color="auto"/>
            </w:tcBorders>
            <w:shd w:val="clear" w:color="auto" w:fill="auto"/>
            <w:vAlign w:val="center"/>
          </w:tcPr>
          <w:p w14:paraId="4EC6BA28" w14:textId="77777777" w:rsidR="004E1BA2" w:rsidRDefault="0054188C">
            <w:pPr>
              <w:spacing w:after="0" w:line="240" w:lineRule="auto"/>
              <w:jc w:val="center"/>
              <w:rPr>
                <w:rFonts w:ascii="Times New Roman" w:eastAsia="Times New Roman" w:hAnsi="Times New Roman" w:cs="Times New Roman"/>
                <w:b/>
                <w:bCs/>
                <w:color w:val="000000"/>
                <w:kern w:val="0"/>
                <w:lang w:bidi="si-LK"/>
                <w14:ligatures w14:val="none"/>
              </w:rPr>
            </w:pPr>
            <w:r>
              <w:rPr>
                <w:rFonts w:ascii="Times New Roman" w:eastAsia="Times New Roman" w:hAnsi="Times New Roman" w:cs="Times New Roman"/>
                <w:b/>
                <w:bCs/>
                <w:color w:val="000000"/>
                <w:kern w:val="0"/>
                <w:lang w:bidi="si-LK"/>
                <w14:ligatures w14:val="none"/>
              </w:rPr>
              <w:t xml:space="preserve">Significance </w:t>
            </w:r>
          </w:p>
          <w:p w14:paraId="6177F1D9" w14:textId="77777777" w:rsidR="004E1BA2" w:rsidRDefault="0054188C">
            <w:pPr>
              <w:spacing w:after="0" w:line="240" w:lineRule="auto"/>
              <w:jc w:val="center"/>
              <w:rPr>
                <w:rFonts w:ascii="Times New Roman" w:eastAsia="Times New Roman" w:hAnsi="Times New Roman" w:cs="Times New Roman"/>
                <w:b/>
                <w:bCs/>
                <w:color w:val="000000"/>
                <w:kern w:val="0"/>
                <w:lang w:bidi="si-LK"/>
                <w14:ligatures w14:val="none"/>
              </w:rPr>
            </w:pPr>
            <w:r>
              <w:rPr>
                <w:rFonts w:ascii="Times New Roman" w:eastAsia="Times New Roman" w:hAnsi="Times New Roman" w:cs="Times New Roman"/>
                <w:b/>
                <w:bCs/>
                <w:color w:val="000000"/>
                <w:kern w:val="0"/>
                <w:lang w:bidi="si-LK"/>
                <w14:ligatures w14:val="none"/>
              </w:rPr>
              <w:t>(p-value)</w:t>
            </w:r>
          </w:p>
        </w:tc>
        <w:tc>
          <w:tcPr>
            <w:tcW w:w="3142" w:type="dxa"/>
            <w:tcBorders>
              <w:top w:val="single" w:sz="8" w:space="0" w:color="auto"/>
              <w:left w:val="nil"/>
              <w:bottom w:val="single" w:sz="8" w:space="0" w:color="auto"/>
              <w:right w:val="single" w:sz="8" w:space="0" w:color="auto"/>
            </w:tcBorders>
            <w:shd w:val="clear" w:color="auto" w:fill="auto"/>
            <w:vAlign w:val="center"/>
          </w:tcPr>
          <w:p w14:paraId="51860811" w14:textId="77777777" w:rsidR="004E1BA2" w:rsidRDefault="0054188C">
            <w:pPr>
              <w:spacing w:after="0" w:line="240" w:lineRule="auto"/>
              <w:jc w:val="center"/>
              <w:rPr>
                <w:rFonts w:ascii="Times New Roman" w:eastAsia="Times New Roman" w:hAnsi="Times New Roman" w:cs="Times New Roman"/>
                <w:b/>
                <w:bCs/>
                <w:color w:val="000000"/>
                <w:kern w:val="0"/>
                <w:lang w:bidi="si-LK"/>
                <w14:ligatures w14:val="none"/>
              </w:rPr>
            </w:pPr>
            <w:r>
              <w:rPr>
                <w:rFonts w:ascii="Times New Roman" w:eastAsia="Times New Roman" w:hAnsi="Times New Roman" w:cs="Times New Roman"/>
                <w:b/>
                <w:bCs/>
                <w:color w:val="000000"/>
                <w:kern w:val="0"/>
                <w:lang w:bidi="si-LK"/>
                <w14:ligatures w14:val="none"/>
              </w:rPr>
              <w:t>Interpretation</w:t>
            </w:r>
          </w:p>
        </w:tc>
      </w:tr>
      <w:tr w:rsidR="004E1BA2" w14:paraId="29774695" w14:textId="77777777">
        <w:trPr>
          <w:trHeight w:val="538"/>
        </w:trPr>
        <w:tc>
          <w:tcPr>
            <w:tcW w:w="3950" w:type="dxa"/>
            <w:tcBorders>
              <w:top w:val="nil"/>
              <w:left w:val="single" w:sz="8" w:space="0" w:color="auto"/>
              <w:bottom w:val="single" w:sz="8" w:space="0" w:color="auto"/>
              <w:right w:val="single" w:sz="8" w:space="0" w:color="auto"/>
            </w:tcBorders>
            <w:shd w:val="clear" w:color="auto" w:fill="auto"/>
            <w:vAlign w:val="center"/>
          </w:tcPr>
          <w:p w14:paraId="2A8B577C" w14:textId="77777777" w:rsidR="004E1BA2" w:rsidRDefault="0054188C">
            <w:pPr>
              <w:spacing w:after="0" w:line="240" w:lineRule="auto"/>
              <w:jc w:val="both"/>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Bachelor's vs Primary</w:t>
            </w:r>
          </w:p>
        </w:tc>
        <w:tc>
          <w:tcPr>
            <w:tcW w:w="1530" w:type="dxa"/>
            <w:tcBorders>
              <w:top w:val="nil"/>
              <w:left w:val="nil"/>
              <w:bottom w:val="single" w:sz="8" w:space="0" w:color="auto"/>
              <w:right w:val="single" w:sz="8" w:space="0" w:color="auto"/>
            </w:tcBorders>
            <w:shd w:val="clear" w:color="auto" w:fill="auto"/>
            <w:vAlign w:val="center"/>
          </w:tcPr>
          <w:p w14:paraId="3EA7F2CF" w14:textId="77777777" w:rsidR="004E1BA2" w:rsidRDefault="0054188C">
            <w:pPr>
              <w:spacing w:after="0" w:line="240" w:lineRule="auto"/>
              <w:jc w:val="right"/>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4.579</w:t>
            </w:r>
          </w:p>
        </w:tc>
        <w:tc>
          <w:tcPr>
            <w:tcW w:w="1538" w:type="dxa"/>
            <w:tcBorders>
              <w:top w:val="nil"/>
              <w:left w:val="nil"/>
              <w:bottom w:val="single" w:sz="8" w:space="0" w:color="auto"/>
              <w:right w:val="single" w:sz="8" w:space="0" w:color="auto"/>
            </w:tcBorders>
            <w:shd w:val="clear" w:color="auto" w:fill="auto"/>
            <w:vAlign w:val="center"/>
          </w:tcPr>
          <w:p w14:paraId="4C1AC2F8" w14:textId="77777777" w:rsidR="004E1BA2" w:rsidRDefault="0054188C">
            <w:pPr>
              <w:spacing w:after="0" w:line="240" w:lineRule="auto"/>
              <w:jc w:val="right"/>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0.000</w:t>
            </w:r>
          </w:p>
        </w:tc>
        <w:tc>
          <w:tcPr>
            <w:tcW w:w="3142" w:type="dxa"/>
            <w:tcBorders>
              <w:top w:val="nil"/>
              <w:left w:val="nil"/>
              <w:bottom w:val="single" w:sz="8" w:space="0" w:color="auto"/>
              <w:right w:val="single" w:sz="8" w:space="0" w:color="auto"/>
            </w:tcBorders>
            <w:shd w:val="clear" w:color="auto" w:fill="auto"/>
            <w:vAlign w:val="center"/>
          </w:tcPr>
          <w:p w14:paraId="39B680C8" w14:textId="77777777" w:rsidR="004E1BA2" w:rsidRDefault="0054188C">
            <w:pPr>
              <w:spacing w:after="0" w:line="240" w:lineRule="auto"/>
              <w:jc w:val="both"/>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Significant; bachelor's degree users engage more</w:t>
            </w:r>
          </w:p>
        </w:tc>
      </w:tr>
      <w:tr w:rsidR="004E1BA2" w14:paraId="3B370A75" w14:textId="77777777">
        <w:trPr>
          <w:trHeight w:val="322"/>
        </w:trPr>
        <w:tc>
          <w:tcPr>
            <w:tcW w:w="3950" w:type="dxa"/>
            <w:tcBorders>
              <w:top w:val="nil"/>
              <w:left w:val="single" w:sz="8" w:space="0" w:color="auto"/>
              <w:bottom w:val="single" w:sz="8" w:space="0" w:color="auto"/>
              <w:right w:val="single" w:sz="8" w:space="0" w:color="auto"/>
            </w:tcBorders>
            <w:shd w:val="clear" w:color="auto" w:fill="auto"/>
            <w:vAlign w:val="center"/>
          </w:tcPr>
          <w:p w14:paraId="5FDB985F" w14:textId="77777777" w:rsidR="004E1BA2" w:rsidRDefault="0054188C">
            <w:pPr>
              <w:spacing w:after="0" w:line="240" w:lineRule="auto"/>
              <w:jc w:val="both"/>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Bachelor's vs Junior Secondary</w:t>
            </w:r>
          </w:p>
        </w:tc>
        <w:tc>
          <w:tcPr>
            <w:tcW w:w="1530" w:type="dxa"/>
            <w:tcBorders>
              <w:top w:val="nil"/>
              <w:left w:val="nil"/>
              <w:bottom w:val="single" w:sz="8" w:space="0" w:color="auto"/>
              <w:right w:val="single" w:sz="8" w:space="0" w:color="auto"/>
            </w:tcBorders>
            <w:shd w:val="clear" w:color="auto" w:fill="auto"/>
            <w:vAlign w:val="center"/>
          </w:tcPr>
          <w:p w14:paraId="067150FA" w14:textId="77777777" w:rsidR="004E1BA2" w:rsidRDefault="0054188C">
            <w:pPr>
              <w:spacing w:after="0" w:line="240" w:lineRule="auto"/>
              <w:jc w:val="right"/>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4.579</w:t>
            </w:r>
          </w:p>
        </w:tc>
        <w:tc>
          <w:tcPr>
            <w:tcW w:w="1538" w:type="dxa"/>
            <w:tcBorders>
              <w:top w:val="nil"/>
              <w:left w:val="nil"/>
              <w:bottom w:val="single" w:sz="8" w:space="0" w:color="auto"/>
              <w:right w:val="single" w:sz="8" w:space="0" w:color="auto"/>
            </w:tcBorders>
            <w:shd w:val="clear" w:color="auto" w:fill="auto"/>
          </w:tcPr>
          <w:p w14:paraId="443C3FD7" w14:textId="77777777" w:rsidR="004E1BA2" w:rsidRDefault="0054188C">
            <w:pPr>
              <w:spacing w:after="0" w:line="240" w:lineRule="auto"/>
              <w:jc w:val="right"/>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0.000</w:t>
            </w:r>
          </w:p>
        </w:tc>
        <w:tc>
          <w:tcPr>
            <w:tcW w:w="3142" w:type="dxa"/>
            <w:tcBorders>
              <w:top w:val="nil"/>
              <w:left w:val="nil"/>
              <w:bottom w:val="single" w:sz="8" w:space="0" w:color="auto"/>
              <w:right w:val="single" w:sz="8" w:space="0" w:color="auto"/>
            </w:tcBorders>
            <w:shd w:val="clear" w:color="auto" w:fill="auto"/>
            <w:vAlign w:val="center"/>
          </w:tcPr>
          <w:p w14:paraId="5669FDB6" w14:textId="77777777" w:rsidR="004E1BA2" w:rsidRDefault="0054188C">
            <w:pPr>
              <w:spacing w:after="0" w:line="240" w:lineRule="auto"/>
              <w:jc w:val="both"/>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Significant</w:t>
            </w:r>
          </w:p>
        </w:tc>
      </w:tr>
      <w:tr w:rsidR="004E1BA2" w14:paraId="0D6665F4" w14:textId="77777777">
        <w:trPr>
          <w:trHeight w:val="340"/>
        </w:trPr>
        <w:tc>
          <w:tcPr>
            <w:tcW w:w="3950" w:type="dxa"/>
            <w:tcBorders>
              <w:top w:val="nil"/>
              <w:left w:val="single" w:sz="8" w:space="0" w:color="auto"/>
              <w:bottom w:val="single" w:sz="8" w:space="0" w:color="auto"/>
              <w:right w:val="single" w:sz="8" w:space="0" w:color="auto"/>
            </w:tcBorders>
            <w:shd w:val="clear" w:color="auto" w:fill="auto"/>
            <w:vAlign w:val="center"/>
          </w:tcPr>
          <w:p w14:paraId="4998EE17" w14:textId="77777777" w:rsidR="004E1BA2" w:rsidRDefault="0054188C">
            <w:pPr>
              <w:spacing w:after="0" w:line="240" w:lineRule="auto"/>
              <w:jc w:val="both"/>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Bachelor's vs Senior Secondary</w:t>
            </w:r>
          </w:p>
        </w:tc>
        <w:tc>
          <w:tcPr>
            <w:tcW w:w="1530" w:type="dxa"/>
            <w:tcBorders>
              <w:top w:val="nil"/>
              <w:left w:val="nil"/>
              <w:bottom w:val="single" w:sz="8" w:space="0" w:color="auto"/>
              <w:right w:val="single" w:sz="8" w:space="0" w:color="auto"/>
            </w:tcBorders>
            <w:shd w:val="clear" w:color="auto" w:fill="auto"/>
            <w:vAlign w:val="center"/>
          </w:tcPr>
          <w:p w14:paraId="0AF2BC0E" w14:textId="77777777" w:rsidR="004E1BA2" w:rsidRDefault="0054188C">
            <w:pPr>
              <w:spacing w:after="0" w:line="240" w:lineRule="auto"/>
              <w:jc w:val="right"/>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4.579</w:t>
            </w:r>
          </w:p>
        </w:tc>
        <w:tc>
          <w:tcPr>
            <w:tcW w:w="1538" w:type="dxa"/>
            <w:tcBorders>
              <w:top w:val="nil"/>
              <w:left w:val="nil"/>
              <w:bottom w:val="single" w:sz="8" w:space="0" w:color="auto"/>
              <w:right w:val="single" w:sz="8" w:space="0" w:color="auto"/>
            </w:tcBorders>
            <w:shd w:val="clear" w:color="auto" w:fill="auto"/>
          </w:tcPr>
          <w:p w14:paraId="1D251471" w14:textId="77777777" w:rsidR="004E1BA2" w:rsidRDefault="0054188C">
            <w:pPr>
              <w:spacing w:after="0" w:line="240" w:lineRule="auto"/>
              <w:jc w:val="right"/>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0.000</w:t>
            </w:r>
          </w:p>
        </w:tc>
        <w:tc>
          <w:tcPr>
            <w:tcW w:w="3142" w:type="dxa"/>
            <w:tcBorders>
              <w:top w:val="nil"/>
              <w:left w:val="nil"/>
              <w:bottom w:val="single" w:sz="8" w:space="0" w:color="auto"/>
              <w:right w:val="single" w:sz="8" w:space="0" w:color="auto"/>
            </w:tcBorders>
            <w:shd w:val="clear" w:color="auto" w:fill="auto"/>
            <w:vAlign w:val="center"/>
          </w:tcPr>
          <w:p w14:paraId="328E0519" w14:textId="77777777" w:rsidR="004E1BA2" w:rsidRDefault="0054188C">
            <w:pPr>
              <w:spacing w:after="0" w:line="240" w:lineRule="auto"/>
              <w:jc w:val="both"/>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Significant</w:t>
            </w:r>
          </w:p>
        </w:tc>
      </w:tr>
      <w:tr w:rsidR="004E1BA2" w14:paraId="68317A72" w14:textId="77777777">
        <w:trPr>
          <w:trHeight w:val="340"/>
        </w:trPr>
        <w:tc>
          <w:tcPr>
            <w:tcW w:w="3950" w:type="dxa"/>
            <w:tcBorders>
              <w:top w:val="nil"/>
              <w:left w:val="single" w:sz="8" w:space="0" w:color="auto"/>
              <w:bottom w:val="single" w:sz="8" w:space="0" w:color="auto"/>
              <w:right w:val="single" w:sz="8" w:space="0" w:color="auto"/>
            </w:tcBorders>
            <w:shd w:val="clear" w:color="auto" w:fill="auto"/>
            <w:vAlign w:val="center"/>
          </w:tcPr>
          <w:p w14:paraId="2C61FB43" w14:textId="77777777" w:rsidR="004E1BA2" w:rsidRDefault="0054188C">
            <w:pPr>
              <w:spacing w:after="0" w:line="240" w:lineRule="auto"/>
              <w:jc w:val="both"/>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Bachelor's vs GCE O/L</w:t>
            </w:r>
          </w:p>
        </w:tc>
        <w:tc>
          <w:tcPr>
            <w:tcW w:w="1530" w:type="dxa"/>
            <w:tcBorders>
              <w:top w:val="nil"/>
              <w:left w:val="nil"/>
              <w:bottom w:val="single" w:sz="8" w:space="0" w:color="auto"/>
              <w:right w:val="single" w:sz="8" w:space="0" w:color="auto"/>
            </w:tcBorders>
            <w:shd w:val="clear" w:color="auto" w:fill="auto"/>
            <w:vAlign w:val="center"/>
          </w:tcPr>
          <w:p w14:paraId="45F106F7" w14:textId="77777777" w:rsidR="004E1BA2" w:rsidRDefault="0054188C">
            <w:pPr>
              <w:spacing w:after="0" w:line="240" w:lineRule="auto"/>
              <w:jc w:val="right"/>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3.764</w:t>
            </w:r>
          </w:p>
        </w:tc>
        <w:tc>
          <w:tcPr>
            <w:tcW w:w="1538" w:type="dxa"/>
            <w:tcBorders>
              <w:top w:val="nil"/>
              <w:left w:val="nil"/>
              <w:bottom w:val="single" w:sz="8" w:space="0" w:color="auto"/>
              <w:right w:val="single" w:sz="8" w:space="0" w:color="auto"/>
            </w:tcBorders>
            <w:shd w:val="clear" w:color="auto" w:fill="auto"/>
          </w:tcPr>
          <w:p w14:paraId="4AA51276" w14:textId="77777777" w:rsidR="004E1BA2" w:rsidRDefault="0054188C">
            <w:pPr>
              <w:spacing w:after="0" w:line="240" w:lineRule="auto"/>
              <w:jc w:val="right"/>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0.000</w:t>
            </w:r>
          </w:p>
        </w:tc>
        <w:tc>
          <w:tcPr>
            <w:tcW w:w="3142" w:type="dxa"/>
            <w:tcBorders>
              <w:top w:val="nil"/>
              <w:left w:val="nil"/>
              <w:bottom w:val="single" w:sz="8" w:space="0" w:color="auto"/>
              <w:right w:val="single" w:sz="8" w:space="0" w:color="auto"/>
            </w:tcBorders>
            <w:shd w:val="clear" w:color="auto" w:fill="auto"/>
            <w:vAlign w:val="center"/>
          </w:tcPr>
          <w:p w14:paraId="39C225D0" w14:textId="77777777" w:rsidR="004E1BA2" w:rsidRDefault="0054188C">
            <w:pPr>
              <w:spacing w:after="0" w:line="240" w:lineRule="auto"/>
              <w:jc w:val="both"/>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Significant</w:t>
            </w:r>
          </w:p>
        </w:tc>
      </w:tr>
      <w:tr w:rsidR="004E1BA2" w14:paraId="0CAE5350" w14:textId="77777777">
        <w:trPr>
          <w:trHeight w:val="340"/>
        </w:trPr>
        <w:tc>
          <w:tcPr>
            <w:tcW w:w="3950" w:type="dxa"/>
            <w:tcBorders>
              <w:top w:val="nil"/>
              <w:left w:val="single" w:sz="8" w:space="0" w:color="auto"/>
              <w:bottom w:val="single" w:sz="8" w:space="0" w:color="auto"/>
              <w:right w:val="single" w:sz="8" w:space="0" w:color="auto"/>
            </w:tcBorders>
            <w:shd w:val="clear" w:color="auto" w:fill="auto"/>
            <w:vAlign w:val="center"/>
          </w:tcPr>
          <w:p w14:paraId="4D33581B" w14:textId="77777777" w:rsidR="004E1BA2" w:rsidRDefault="0054188C">
            <w:pPr>
              <w:spacing w:after="0" w:line="240" w:lineRule="auto"/>
              <w:jc w:val="both"/>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Bachelor's vs GCE A/L</w:t>
            </w:r>
          </w:p>
        </w:tc>
        <w:tc>
          <w:tcPr>
            <w:tcW w:w="1530" w:type="dxa"/>
            <w:tcBorders>
              <w:top w:val="nil"/>
              <w:left w:val="nil"/>
              <w:bottom w:val="single" w:sz="8" w:space="0" w:color="auto"/>
              <w:right w:val="single" w:sz="8" w:space="0" w:color="auto"/>
            </w:tcBorders>
            <w:shd w:val="clear" w:color="auto" w:fill="auto"/>
            <w:vAlign w:val="center"/>
          </w:tcPr>
          <w:p w14:paraId="45C7E4D7" w14:textId="77777777" w:rsidR="004E1BA2" w:rsidRDefault="0054188C">
            <w:pPr>
              <w:spacing w:after="0" w:line="240" w:lineRule="auto"/>
              <w:jc w:val="right"/>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3.529</w:t>
            </w:r>
          </w:p>
        </w:tc>
        <w:tc>
          <w:tcPr>
            <w:tcW w:w="1538" w:type="dxa"/>
            <w:tcBorders>
              <w:top w:val="nil"/>
              <w:left w:val="nil"/>
              <w:bottom w:val="single" w:sz="8" w:space="0" w:color="auto"/>
              <w:right w:val="single" w:sz="8" w:space="0" w:color="auto"/>
            </w:tcBorders>
            <w:shd w:val="clear" w:color="auto" w:fill="auto"/>
          </w:tcPr>
          <w:p w14:paraId="20A2EE90" w14:textId="77777777" w:rsidR="004E1BA2" w:rsidRDefault="0054188C">
            <w:pPr>
              <w:spacing w:after="0" w:line="240" w:lineRule="auto"/>
              <w:jc w:val="right"/>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0.000</w:t>
            </w:r>
          </w:p>
        </w:tc>
        <w:tc>
          <w:tcPr>
            <w:tcW w:w="3142" w:type="dxa"/>
            <w:tcBorders>
              <w:top w:val="nil"/>
              <w:left w:val="nil"/>
              <w:bottom w:val="single" w:sz="8" w:space="0" w:color="auto"/>
              <w:right w:val="single" w:sz="8" w:space="0" w:color="auto"/>
            </w:tcBorders>
            <w:shd w:val="clear" w:color="auto" w:fill="auto"/>
            <w:vAlign w:val="center"/>
          </w:tcPr>
          <w:p w14:paraId="25A6D7B7" w14:textId="77777777" w:rsidR="004E1BA2" w:rsidRDefault="0054188C">
            <w:pPr>
              <w:spacing w:after="0" w:line="240" w:lineRule="auto"/>
              <w:jc w:val="both"/>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Significant</w:t>
            </w:r>
          </w:p>
        </w:tc>
      </w:tr>
      <w:tr w:rsidR="004E1BA2" w14:paraId="3F4D666A" w14:textId="77777777">
        <w:trPr>
          <w:trHeight w:val="313"/>
        </w:trPr>
        <w:tc>
          <w:tcPr>
            <w:tcW w:w="3950" w:type="dxa"/>
            <w:tcBorders>
              <w:top w:val="nil"/>
              <w:left w:val="single" w:sz="8" w:space="0" w:color="auto"/>
              <w:bottom w:val="single" w:sz="8" w:space="0" w:color="auto"/>
              <w:right w:val="single" w:sz="8" w:space="0" w:color="auto"/>
            </w:tcBorders>
            <w:shd w:val="clear" w:color="auto" w:fill="auto"/>
            <w:vAlign w:val="center"/>
          </w:tcPr>
          <w:p w14:paraId="16BED0A6" w14:textId="77777777" w:rsidR="004E1BA2" w:rsidRDefault="0054188C">
            <w:pPr>
              <w:spacing w:after="0" w:line="240" w:lineRule="auto"/>
              <w:jc w:val="both"/>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Bachelor's vs Vocational Diploma</w:t>
            </w:r>
          </w:p>
        </w:tc>
        <w:tc>
          <w:tcPr>
            <w:tcW w:w="1530" w:type="dxa"/>
            <w:tcBorders>
              <w:top w:val="nil"/>
              <w:left w:val="nil"/>
              <w:bottom w:val="single" w:sz="8" w:space="0" w:color="auto"/>
              <w:right w:val="single" w:sz="8" w:space="0" w:color="auto"/>
            </w:tcBorders>
            <w:shd w:val="clear" w:color="auto" w:fill="auto"/>
            <w:vAlign w:val="center"/>
          </w:tcPr>
          <w:p w14:paraId="315726B4" w14:textId="77777777" w:rsidR="004E1BA2" w:rsidRDefault="0054188C">
            <w:pPr>
              <w:spacing w:after="0" w:line="240" w:lineRule="auto"/>
              <w:jc w:val="right"/>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2.27</w:t>
            </w:r>
          </w:p>
        </w:tc>
        <w:tc>
          <w:tcPr>
            <w:tcW w:w="1538" w:type="dxa"/>
            <w:tcBorders>
              <w:top w:val="nil"/>
              <w:left w:val="nil"/>
              <w:bottom w:val="single" w:sz="8" w:space="0" w:color="auto"/>
              <w:right w:val="single" w:sz="8" w:space="0" w:color="auto"/>
            </w:tcBorders>
            <w:shd w:val="clear" w:color="auto" w:fill="auto"/>
          </w:tcPr>
          <w:p w14:paraId="77749C48" w14:textId="77777777" w:rsidR="004E1BA2" w:rsidRDefault="0054188C">
            <w:pPr>
              <w:spacing w:after="0" w:line="240" w:lineRule="auto"/>
              <w:jc w:val="right"/>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0.000</w:t>
            </w:r>
          </w:p>
        </w:tc>
        <w:tc>
          <w:tcPr>
            <w:tcW w:w="3142" w:type="dxa"/>
            <w:tcBorders>
              <w:top w:val="nil"/>
              <w:left w:val="nil"/>
              <w:bottom w:val="single" w:sz="8" w:space="0" w:color="auto"/>
              <w:right w:val="single" w:sz="8" w:space="0" w:color="auto"/>
            </w:tcBorders>
            <w:shd w:val="clear" w:color="auto" w:fill="auto"/>
            <w:vAlign w:val="center"/>
          </w:tcPr>
          <w:p w14:paraId="4F9C6EA4" w14:textId="77777777" w:rsidR="004E1BA2" w:rsidRDefault="0054188C">
            <w:pPr>
              <w:spacing w:after="0" w:line="240" w:lineRule="auto"/>
              <w:jc w:val="both"/>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Significant</w:t>
            </w:r>
          </w:p>
        </w:tc>
      </w:tr>
      <w:tr w:rsidR="004E1BA2" w14:paraId="5AB80752" w14:textId="77777777">
        <w:trPr>
          <w:trHeight w:val="403"/>
        </w:trPr>
        <w:tc>
          <w:tcPr>
            <w:tcW w:w="3950" w:type="dxa"/>
            <w:tcBorders>
              <w:top w:val="nil"/>
              <w:left w:val="single" w:sz="8" w:space="0" w:color="auto"/>
              <w:bottom w:val="single" w:sz="8" w:space="0" w:color="auto"/>
              <w:right w:val="single" w:sz="8" w:space="0" w:color="auto"/>
            </w:tcBorders>
            <w:shd w:val="clear" w:color="auto" w:fill="auto"/>
            <w:vAlign w:val="center"/>
          </w:tcPr>
          <w:p w14:paraId="175ECC5F" w14:textId="77777777" w:rsidR="004E1BA2" w:rsidRDefault="0054188C">
            <w:pPr>
              <w:spacing w:after="0" w:line="240" w:lineRule="auto"/>
              <w:jc w:val="both"/>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Vocational Diploma vs Primary</w:t>
            </w:r>
          </w:p>
        </w:tc>
        <w:tc>
          <w:tcPr>
            <w:tcW w:w="1530" w:type="dxa"/>
            <w:tcBorders>
              <w:top w:val="nil"/>
              <w:left w:val="nil"/>
              <w:bottom w:val="single" w:sz="8" w:space="0" w:color="auto"/>
              <w:right w:val="single" w:sz="8" w:space="0" w:color="auto"/>
            </w:tcBorders>
            <w:shd w:val="clear" w:color="auto" w:fill="auto"/>
            <w:vAlign w:val="center"/>
          </w:tcPr>
          <w:p w14:paraId="2AD32684" w14:textId="77777777" w:rsidR="004E1BA2" w:rsidRDefault="0054188C">
            <w:pPr>
              <w:spacing w:after="0" w:line="240" w:lineRule="auto"/>
              <w:jc w:val="right"/>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2.31</w:t>
            </w:r>
          </w:p>
        </w:tc>
        <w:tc>
          <w:tcPr>
            <w:tcW w:w="1538" w:type="dxa"/>
            <w:tcBorders>
              <w:top w:val="nil"/>
              <w:left w:val="nil"/>
              <w:bottom w:val="single" w:sz="8" w:space="0" w:color="auto"/>
              <w:right w:val="single" w:sz="8" w:space="0" w:color="auto"/>
            </w:tcBorders>
            <w:shd w:val="clear" w:color="auto" w:fill="auto"/>
          </w:tcPr>
          <w:p w14:paraId="01794CCE" w14:textId="77777777" w:rsidR="004E1BA2" w:rsidRDefault="0054188C">
            <w:pPr>
              <w:spacing w:after="0" w:line="240" w:lineRule="auto"/>
              <w:jc w:val="right"/>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0.000</w:t>
            </w:r>
          </w:p>
        </w:tc>
        <w:tc>
          <w:tcPr>
            <w:tcW w:w="3142" w:type="dxa"/>
            <w:tcBorders>
              <w:top w:val="nil"/>
              <w:left w:val="nil"/>
              <w:bottom w:val="single" w:sz="8" w:space="0" w:color="auto"/>
              <w:right w:val="single" w:sz="8" w:space="0" w:color="auto"/>
            </w:tcBorders>
            <w:shd w:val="clear" w:color="auto" w:fill="auto"/>
            <w:vAlign w:val="center"/>
          </w:tcPr>
          <w:p w14:paraId="25842CD1" w14:textId="77777777" w:rsidR="004E1BA2" w:rsidRDefault="0054188C">
            <w:pPr>
              <w:spacing w:after="0" w:line="240" w:lineRule="auto"/>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Significant; vocational diploma users engage more</w:t>
            </w:r>
          </w:p>
        </w:tc>
      </w:tr>
      <w:tr w:rsidR="004E1BA2" w14:paraId="2864E1C0" w14:textId="77777777">
        <w:trPr>
          <w:trHeight w:val="637"/>
        </w:trPr>
        <w:tc>
          <w:tcPr>
            <w:tcW w:w="3950" w:type="dxa"/>
            <w:tcBorders>
              <w:top w:val="nil"/>
              <w:left w:val="single" w:sz="8" w:space="0" w:color="auto"/>
              <w:bottom w:val="single" w:sz="8" w:space="0" w:color="auto"/>
              <w:right w:val="single" w:sz="8" w:space="0" w:color="auto"/>
            </w:tcBorders>
            <w:shd w:val="clear" w:color="auto" w:fill="auto"/>
            <w:vAlign w:val="center"/>
          </w:tcPr>
          <w:p w14:paraId="60FDBF5F" w14:textId="77777777" w:rsidR="004E1BA2" w:rsidRDefault="0054188C">
            <w:pPr>
              <w:spacing w:after="0" w:line="240" w:lineRule="auto"/>
              <w:jc w:val="both"/>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lastRenderedPageBreak/>
              <w:t>Vocational Diploma vs Junior Secondary</w:t>
            </w:r>
          </w:p>
        </w:tc>
        <w:tc>
          <w:tcPr>
            <w:tcW w:w="1530" w:type="dxa"/>
            <w:tcBorders>
              <w:top w:val="nil"/>
              <w:left w:val="nil"/>
              <w:bottom w:val="single" w:sz="8" w:space="0" w:color="auto"/>
              <w:right w:val="single" w:sz="8" w:space="0" w:color="auto"/>
            </w:tcBorders>
            <w:shd w:val="clear" w:color="auto" w:fill="auto"/>
            <w:vAlign w:val="center"/>
          </w:tcPr>
          <w:p w14:paraId="01A39B4C" w14:textId="77777777" w:rsidR="004E1BA2" w:rsidRDefault="0054188C">
            <w:pPr>
              <w:spacing w:after="0" w:line="240" w:lineRule="auto"/>
              <w:jc w:val="right"/>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2.31</w:t>
            </w:r>
          </w:p>
        </w:tc>
        <w:tc>
          <w:tcPr>
            <w:tcW w:w="1538" w:type="dxa"/>
            <w:tcBorders>
              <w:top w:val="nil"/>
              <w:left w:val="nil"/>
              <w:bottom w:val="single" w:sz="8" w:space="0" w:color="auto"/>
              <w:right w:val="single" w:sz="8" w:space="0" w:color="auto"/>
            </w:tcBorders>
            <w:shd w:val="clear" w:color="auto" w:fill="auto"/>
          </w:tcPr>
          <w:p w14:paraId="7C8968C7" w14:textId="77777777" w:rsidR="004E1BA2" w:rsidRDefault="0054188C">
            <w:pPr>
              <w:spacing w:after="0" w:line="240" w:lineRule="auto"/>
              <w:jc w:val="right"/>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0.000</w:t>
            </w:r>
          </w:p>
        </w:tc>
        <w:tc>
          <w:tcPr>
            <w:tcW w:w="3142" w:type="dxa"/>
            <w:tcBorders>
              <w:top w:val="nil"/>
              <w:left w:val="nil"/>
              <w:bottom w:val="single" w:sz="8" w:space="0" w:color="auto"/>
              <w:right w:val="single" w:sz="8" w:space="0" w:color="auto"/>
            </w:tcBorders>
            <w:shd w:val="clear" w:color="auto" w:fill="auto"/>
            <w:vAlign w:val="center"/>
          </w:tcPr>
          <w:p w14:paraId="3E85A703" w14:textId="77777777" w:rsidR="004E1BA2" w:rsidRDefault="0054188C">
            <w:pPr>
              <w:spacing w:after="0" w:line="240" w:lineRule="auto"/>
              <w:jc w:val="both"/>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Significant</w:t>
            </w:r>
          </w:p>
        </w:tc>
      </w:tr>
      <w:tr w:rsidR="004E1BA2" w14:paraId="246EE809" w14:textId="77777777">
        <w:trPr>
          <w:trHeight w:val="520"/>
        </w:trPr>
        <w:tc>
          <w:tcPr>
            <w:tcW w:w="3950" w:type="dxa"/>
            <w:tcBorders>
              <w:top w:val="nil"/>
              <w:left w:val="single" w:sz="8" w:space="0" w:color="auto"/>
              <w:bottom w:val="single" w:sz="8" w:space="0" w:color="auto"/>
              <w:right w:val="single" w:sz="8" w:space="0" w:color="auto"/>
            </w:tcBorders>
            <w:shd w:val="clear" w:color="auto" w:fill="auto"/>
            <w:vAlign w:val="center"/>
          </w:tcPr>
          <w:p w14:paraId="41355D6A" w14:textId="77777777" w:rsidR="004E1BA2" w:rsidRDefault="0054188C">
            <w:pPr>
              <w:spacing w:after="0" w:line="240" w:lineRule="auto"/>
              <w:jc w:val="both"/>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Vocational Diploma vs Senior Secondary</w:t>
            </w:r>
          </w:p>
        </w:tc>
        <w:tc>
          <w:tcPr>
            <w:tcW w:w="1530" w:type="dxa"/>
            <w:tcBorders>
              <w:top w:val="nil"/>
              <w:left w:val="nil"/>
              <w:bottom w:val="single" w:sz="8" w:space="0" w:color="auto"/>
              <w:right w:val="single" w:sz="8" w:space="0" w:color="auto"/>
            </w:tcBorders>
            <w:shd w:val="clear" w:color="auto" w:fill="auto"/>
            <w:vAlign w:val="center"/>
          </w:tcPr>
          <w:p w14:paraId="374D7D1B" w14:textId="77777777" w:rsidR="004E1BA2" w:rsidRDefault="0054188C">
            <w:pPr>
              <w:spacing w:after="0" w:line="240" w:lineRule="auto"/>
              <w:jc w:val="right"/>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2.31</w:t>
            </w:r>
          </w:p>
        </w:tc>
        <w:tc>
          <w:tcPr>
            <w:tcW w:w="1538" w:type="dxa"/>
            <w:tcBorders>
              <w:top w:val="nil"/>
              <w:left w:val="nil"/>
              <w:bottom w:val="single" w:sz="8" w:space="0" w:color="auto"/>
              <w:right w:val="single" w:sz="8" w:space="0" w:color="auto"/>
            </w:tcBorders>
            <w:shd w:val="clear" w:color="auto" w:fill="auto"/>
          </w:tcPr>
          <w:p w14:paraId="32C5473B" w14:textId="77777777" w:rsidR="004E1BA2" w:rsidRDefault="0054188C">
            <w:pPr>
              <w:spacing w:after="0" w:line="240" w:lineRule="auto"/>
              <w:jc w:val="right"/>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0.000</w:t>
            </w:r>
          </w:p>
        </w:tc>
        <w:tc>
          <w:tcPr>
            <w:tcW w:w="3142" w:type="dxa"/>
            <w:tcBorders>
              <w:top w:val="nil"/>
              <w:left w:val="nil"/>
              <w:bottom w:val="single" w:sz="8" w:space="0" w:color="auto"/>
              <w:right w:val="single" w:sz="8" w:space="0" w:color="auto"/>
            </w:tcBorders>
            <w:shd w:val="clear" w:color="auto" w:fill="auto"/>
            <w:vAlign w:val="center"/>
          </w:tcPr>
          <w:p w14:paraId="554A74C7" w14:textId="77777777" w:rsidR="004E1BA2" w:rsidRDefault="0054188C">
            <w:pPr>
              <w:spacing w:after="0" w:line="240" w:lineRule="auto"/>
              <w:jc w:val="both"/>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Significant</w:t>
            </w:r>
          </w:p>
        </w:tc>
      </w:tr>
      <w:tr w:rsidR="004E1BA2" w14:paraId="4954FBA3" w14:textId="77777777">
        <w:trPr>
          <w:trHeight w:val="268"/>
        </w:trPr>
        <w:tc>
          <w:tcPr>
            <w:tcW w:w="3950" w:type="dxa"/>
            <w:tcBorders>
              <w:top w:val="nil"/>
              <w:left w:val="single" w:sz="8" w:space="0" w:color="auto"/>
              <w:bottom w:val="single" w:sz="8" w:space="0" w:color="auto"/>
              <w:right w:val="single" w:sz="8" w:space="0" w:color="auto"/>
            </w:tcBorders>
            <w:shd w:val="clear" w:color="auto" w:fill="auto"/>
            <w:vAlign w:val="center"/>
          </w:tcPr>
          <w:p w14:paraId="4DC870C5" w14:textId="77777777" w:rsidR="004E1BA2" w:rsidRDefault="0054188C">
            <w:pPr>
              <w:spacing w:after="0" w:line="240" w:lineRule="auto"/>
              <w:jc w:val="both"/>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Vocational Diploma vs GCE O/L</w:t>
            </w:r>
          </w:p>
        </w:tc>
        <w:tc>
          <w:tcPr>
            <w:tcW w:w="1530" w:type="dxa"/>
            <w:tcBorders>
              <w:top w:val="nil"/>
              <w:left w:val="nil"/>
              <w:bottom w:val="single" w:sz="8" w:space="0" w:color="auto"/>
              <w:right w:val="single" w:sz="8" w:space="0" w:color="auto"/>
            </w:tcBorders>
            <w:shd w:val="clear" w:color="auto" w:fill="auto"/>
            <w:vAlign w:val="center"/>
          </w:tcPr>
          <w:p w14:paraId="1D9B04B1" w14:textId="77777777" w:rsidR="004E1BA2" w:rsidRDefault="0054188C">
            <w:pPr>
              <w:spacing w:after="0" w:line="240" w:lineRule="auto"/>
              <w:jc w:val="right"/>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1.494</w:t>
            </w:r>
          </w:p>
        </w:tc>
        <w:tc>
          <w:tcPr>
            <w:tcW w:w="1538" w:type="dxa"/>
            <w:tcBorders>
              <w:top w:val="nil"/>
              <w:left w:val="nil"/>
              <w:bottom w:val="single" w:sz="8" w:space="0" w:color="auto"/>
              <w:right w:val="single" w:sz="8" w:space="0" w:color="auto"/>
            </w:tcBorders>
            <w:shd w:val="clear" w:color="auto" w:fill="auto"/>
          </w:tcPr>
          <w:p w14:paraId="5F0FCCF2" w14:textId="77777777" w:rsidR="004E1BA2" w:rsidRDefault="0054188C">
            <w:pPr>
              <w:spacing w:after="0" w:line="240" w:lineRule="auto"/>
              <w:jc w:val="right"/>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0.000</w:t>
            </w:r>
          </w:p>
        </w:tc>
        <w:tc>
          <w:tcPr>
            <w:tcW w:w="3142" w:type="dxa"/>
            <w:tcBorders>
              <w:top w:val="nil"/>
              <w:left w:val="nil"/>
              <w:bottom w:val="single" w:sz="8" w:space="0" w:color="auto"/>
              <w:right w:val="single" w:sz="8" w:space="0" w:color="auto"/>
            </w:tcBorders>
            <w:shd w:val="clear" w:color="auto" w:fill="auto"/>
            <w:vAlign w:val="center"/>
          </w:tcPr>
          <w:p w14:paraId="7C364729" w14:textId="77777777" w:rsidR="004E1BA2" w:rsidRDefault="0054188C">
            <w:pPr>
              <w:spacing w:after="0" w:line="240" w:lineRule="auto"/>
              <w:jc w:val="both"/>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Significant</w:t>
            </w:r>
          </w:p>
        </w:tc>
      </w:tr>
      <w:tr w:rsidR="004E1BA2" w14:paraId="3F73AF1C" w14:textId="77777777">
        <w:trPr>
          <w:trHeight w:val="250"/>
        </w:trPr>
        <w:tc>
          <w:tcPr>
            <w:tcW w:w="3950" w:type="dxa"/>
            <w:tcBorders>
              <w:top w:val="nil"/>
              <w:left w:val="single" w:sz="8" w:space="0" w:color="auto"/>
              <w:bottom w:val="single" w:sz="8" w:space="0" w:color="auto"/>
              <w:right w:val="single" w:sz="8" w:space="0" w:color="auto"/>
            </w:tcBorders>
            <w:shd w:val="clear" w:color="auto" w:fill="auto"/>
            <w:vAlign w:val="center"/>
          </w:tcPr>
          <w:p w14:paraId="5C466CE9" w14:textId="77777777" w:rsidR="004E1BA2" w:rsidRDefault="0054188C">
            <w:pPr>
              <w:spacing w:after="0" w:line="240" w:lineRule="auto"/>
              <w:jc w:val="both"/>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Vocational Diploma vs GCE A/L</w:t>
            </w:r>
          </w:p>
        </w:tc>
        <w:tc>
          <w:tcPr>
            <w:tcW w:w="1530" w:type="dxa"/>
            <w:tcBorders>
              <w:top w:val="nil"/>
              <w:left w:val="nil"/>
              <w:bottom w:val="single" w:sz="8" w:space="0" w:color="auto"/>
              <w:right w:val="single" w:sz="8" w:space="0" w:color="auto"/>
            </w:tcBorders>
            <w:shd w:val="clear" w:color="auto" w:fill="auto"/>
            <w:vAlign w:val="center"/>
          </w:tcPr>
          <w:p w14:paraId="14CD188A" w14:textId="77777777" w:rsidR="004E1BA2" w:rsidRDefault="0054188C">
            <w:pPr>
              <w:spacing w:after="0" w:line="240" w:lineRule="auto"/>
              <w:jc w:val="right"/>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1.26</w:t>
            </w:r>
          </w:p>
        </w:tc>
        <w:tc>
          <w:tcPr>
            <w:tcW w:w="1538" w:type="dxa"/>
            <w:tcBorders>
              <w:top w:val="nil"/>
              <w:left w:val="nil"/>
              <w:bottom w:val="single" w:sz="8" w:space="0" w:color="auto"/>
              <w:right w:val="single" w:sz="8" w:space="0" w:color="auto"/>
            </w:tcBorders>
            <w:shd w:val="clear" w:color="auto" w:fill="auto"/>
          </w:tcPr>
          <w:p w14:paraId="1B331D35" w14:textId="77777777" w:rsidR="004E1BA2" w:rsidRDefault="0054188C">
            <w:pPr>
              <w:spacing w:after="0" w:line="240" w:lineRule="auto"/>
              <w:jc w:val="right"/>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0.000</w:t>
            </w:r>
          </w:p>
        </w:tc>
        <w:tc>
          <w:tcPr>
            <w:tcW w:w="3142" w:type="dxa"/>
            <w:tcBorders>
              <w:top w:val="nil"/>
              <w:left w:val="nil"/>
              <w:bottom w:val="single" w:sz="8" w:space="0" w:color="auto"/>
              <w:right w:val="single" w:sz="8" w:space="0" w:color="auto"/>
            </w:tcBorders>
            <w:shd w:val="clear" w:color="auto" w:fill="auto"/>
            <w:vAlign w:val="center"/>
          </w:tcPr>
          <w:p w14:paraId="12F44124" w14:textId="77777777" w:rsidR="004E1BA2" w:rsidRDefault="0054188C">
            <w:pPr>
              <w:spacing w:after="0" w:line="240" w:lineRule="auto"/>
              <w:jc w:val="both"/>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Significant</w:t>
            </w:r>
          </w:p>
        </w:tc>
      </w:tr>
      <w:tr w:rsidR="004E1BA2" w14:paraId="36F8D783" w14:textId="77777777">
        <w:trPr>
          <w:trHeight w:val="250"/>
        </w:trPr>
        <w:tc>
          <w:tcPr>
            <w:tcW w:w="3950" w:type="dxa"/>
            <w:tcBorders>
              <w:top w:val="nil"/>
              <w:left w:val="single" w:sz="8" w:space="0" w:color="auto"/>
              <w:bottom w:val="single" w:sz="8" w:space="0" w:color="auto"/>
              <w:right w:val="single" w:sz="8" w:space="0" w:color="auto"/>
            </w:tcBorders>
            <w:shd w:val="clear" w:color="auto" w:fill="auto"/>
            <w:vAlign w:val="center"/>
          </w:tcPr>
          <w:p w14:paraId="5411A561" w14:textId="77777777" w:rsidR="004E1BA2" w:rsidRDefault="0054188C">
            <w:pPr>
              <w:spacing w:after="0" w:line="240" w:lineRule="auto"/>
              <w:jc w:val="both"/>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GCE A/L vs Junior Secondary</w:t>
            </w:r>
          </w:p>
        </w:tc>
        <w:tc>
          <w:tcPr>
            <w:tcW w:w="1530" w:type="dxa"/>
            <w:tcBorders>
              <w:top w:val="nil"/>
              <w:left w:val="nil"/>
              <w:bottom w:val="single" w:sz="8" w:space="0" w:color="auto"/>
              <w:right w:val="single" w:sz="8" w:space="0" w:color="auto"/>
            </w:tcBorders>
            <w:shd w:val="clear" w:color="auto" w:fill="auto"/>
            <w:vAlign w:val="center"/>
          </w:tcPr>
          <w:p w14:paraId="44025CC5" w14:textId="77777777" w:rsidR="004E1BA2" w:rsidRDefault="0054188C">
            <w:pPr>
              <w:spacing w:after="0" w:line="240" w:lineRule="auto"/>
              <w:jc w:val="right"/>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1.05</w:t>
            </w:r>
          </w:p>
        </w:tc>
        <w:tc>
          <w:tcPr>
            <w:tcW w:w="1538" w:type="dxa"/>
            <w:tcBorders>
              <w:top w:val="nil"/>
              <w:left w:val="nil"/>
              <w:bottom w:val="single" w:sz="8" w:space="0" w:color="auto"/>
              <w:right w:val="single" w:sz="8" w:space="0" w:color="auto"/>
            </w:tcBorders>
            <w:shd w:val="clear" w:color="auto" w:fill="auto"/>
          </w:tcPr>
          <w:p w14:paraId="29ADC5F0" w14:textId="77777777" w:rsidR="004E1BA2" w:rsidRDefault="0054188C">
            <w:pPr>
              <w:spacing w:after="0" w:line="240" w:lineRule="auto"/>
              <w:jc w:val="right"/>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0.000</w:t>
            </w:r>
          </w:p>
        </w:tc>
        <w:tc>
          <w:tcPr>
            <w:tcW w:w="3142" w:type="dxa"/>
            <w:tcBorders>
              <w:top w:val="nil"/>
              <w:left w:val="nil"/>
              <w:bottom w:val="single" w:sz="8" w:space="0" w:color="auto"/>
              <w:right w:val="single" w:sz="8" w:space="0" w:color="auto"/>
            </w:tcBorders>
            <w:shd w:val="clear" w:color="auto" w:fill="auto"/>
            <w:vAlign w:val="center"/>
          </w:tcPr>
          <w:p w14:paraId="0A8F4FE6" w14:textId="77777777" w:rsidR="004E1BA2" w:rsidRDefault="0054188C">
            <w:pPr>
              <w:spacing w:after="0" w:line="240" w:lineRule="auto"/>
              <w:jc w:val="both"/>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 xml:space="preserve">Significant; A/L users </w:t>
            </w:r>
            <w:r>
              <w:rPr>
                <w:rFonts w:ascii="Times New Roman" w:eastAsia="Times New Roman" w:hAnsi="Times New Roman" w:cs="Times New Roman"/>
                <w:color w:val="000000"/>
                <w:kern w:val="0"/>
                <w:lang w:bidi="si-LK"/>
                <w14:ligatures w14:val="none"/>
              </w:rPr>
              <w:t>engage more</w:t>
            </w:r>
          </w:p>
        </w:tc>
      </w:tr>
      <w:tr w:rsidR="004E1BA2" w14:paraId="5B7EA58D" w14:textId="77777777">
        <w:trPr>
          <w:trHeight w:val="277"/>
        </w:trPr>
        <w:tc>
          <w:tcPr>
            <w:tcW w:w="3950" w:type="dxa"/>
            <w:tcBorders>
              <w:top w:val="nil"/>
              <w:left w:val="single" w:sz="8" w:space="0" w:color="auto"/>
              <w:bottom w:val="single" w:sz="8" w:space="0" w:color="auto"/>
              <w:right w:val="single" w:sz="8" w:space="0" w:color="auto"/>
            </w:tcBorders>
            <w:shd w:val="clear" w:color="auto" w:fill="auto"/>
            <w:vAlign w:val="center"/>
          </w:tcPr>
          <w:p w14:paraId="037095D5" w14:textId="77777777" w:rsidR="004E1BA2" w:rsidRDefault="0054188C">
            <w:pPr>
              <w:spacing w:after="0" w:line="240" w:lineRule="auto"/>
              <w:jc w:val="both"/>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GCE A/L vs Senior Secondary</w:t>
            </w:r>
          </w:p>
        </w:tc>
        <w:tc>
          <w:tcPr>
            <w:tcW w:w="1530" w:type="dxa"/>
            <w:tcBorders>
              <w:top w:val="nil"/>
              <w:left w:val="nil"/>
              <w:bottom w:val="single" w:sz="8" w:space="0" w:color="auto"/>
              <w:right w:val="single" w:sz="8" w:space="0" w:color="auto"/>
            </w:tcBorders>
            <w:shd w:val="clear" w:color="auto" w:fill="auto"/>
            <w:vAlign w:val="center"/>
          </w:tcPr>
          <w:p w14:paraId="1130CCAC" w14:textId="77777777" w:rsidR="004E1BA2" w:rsidRDefault="0054188C">
            <w:pPr>
              <w:spacing w:after="0" w:line="240" w:lineRule="auto"/>
              <w:jc w:val="right"/>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1.05</w:t>
            </w:r>
          </w:p>
        </w:tc>
        <w:tc>
          <w:tcPr>
            <w:tcW w:w="1538" w:type="dxa"/>
            <w:tcBorders>
              <w:top w:val="nil"/>
              <w:left w:val="nil"/>
              <w:bottom w:val="single" w:sz="8" w:space="0" w:color="auto"/>
              <w:right w:val="single" w:sz="8" w:space="0" w:color="auto"/>
            </w:tcBorders>
            <w:shd w:val="clear" w:color="auto" w:fill="auto"/>
          </w:tcPr>
          <w:p w14:paraId="1828901E" w14:textId="77777777" w:rsidR="004E1BA2" w:rsidRDefault="0054188C">
            <w:pPr>
              <w:spacing w:after="0" w:line="240" w:lineRule="auto"/>
              <w:jc w:val="right"/>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0.000</w:t>
            </w:r>
          </w:p>
        </w:tc>
        <w:tc>
          <w:tcPr>
            <w:tcW w:w="3142" w:type="dxa"/>
            <w:tcBorders>
              <w:top w:val="nil"/>
              <w:left w:val="nil"/>
              <w:bottom w:val="single" w:sz="8" w:space="0" w:color="auto"/>
              <w:right w:val="single" w:sz="8" w:space="0" w:color="auto"/>
            </w:tcBorders>
            <w:shd w:val="clear" w:color="auto" w:fill="auto"/>
            <w:vAlign w:val="center"/>
          </w:tcPr>
          <w:p w14:paraId="672D9A20" w14:textId="77777777" w:rsidR="004E1BA2" w:rsidRDefault="0054188C">
            <w:pPr>
              <w:spacing w:after="0" w:line="240" w:lineRule="auto"/>
              <w:jc w:val="both"/>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Significant</w:t>
            </w:r>
          </w:p>
        </w:tc>
      </w:tr>
      <w:tr w:rsidR="004E1BA2" w14:paraId="5DC4B495" w14:textId="77777777">
        <w:trPr>
          <w:trHeight w:val="250"/>
        </w:trPr>
        <w:tc>
          <w:tcPr>
            <w:tcW w:w="3950" w:type="dxa"/>
            <w:tcBorders>
              <w:top w:val="nil"/>
              <w:left w:val="single" w:sz="8" w:space="0" w:color="auto"/>
              <w:bottom w:val="single" w:sz="8" w:space="0" w:color="auto"/>
              <w:right w:val="single" w:sz="8" w:space="0" w:color="auto"/>
            </w:tcBorders>
            <w:shd w:val="clear" w:color="auto" w:fill="auto"/>
            <w:vAlign w:val="center"/>
          </w:tcPr>
          <w:p w14:paraId="24A1E997" w14:textId="77777777" w:rsidR="004E1BA2" w:rsidRDefault="0054188C">
            <w:pPr>
              <w:spacing w:after="0" w:line="240" w:lineRule="auto"/>
              <w:jc w:val="both"/>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GCE O/L vs Junior Secondary</w:t>
            </w:r>
          </w:p>
        </w:tc>
        <w:tc>
          <w:tcPr>
            <w:tcW w:w="1530" w:type="dxa"/>
            <w:tcBorders>
              <w:top w:val="nil"/>
              <w:left w:val="nil"/>
              <w:bottom w:val="single" w:sz="8" w:space="0" w:color="auto"/>
              <w:right w:val="single" w:sz="8" w:space="0" w:color="auto"/>
            </w:tcBorders>
            <w:shd w:val="clear" w:color="auto" w:fill="auto"/>
            <w:vAlign w:val="center"/>
          </w:tcPr>
          <w:p w14:paraId="728B17C0" w14:textId="77777777" w:rsidR="004E1BA2" w:rsidRDefault="0054188C">
            <w:pPr>
              <w:spacing w:after="0" w:line="240" w:lineRule="auto"/>
              <w:jc w:val="right"/>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0.815</w:t>
            </w:r>
          </w:p>
        </w:tc>
        <w:tc>
          <w:tcPr>
            <w:tcW w:w="1538" w:type="dxa"/>
            <w:tcBorders>
              <w:top w:val="nil"/>
              <w:left w:val="nil"/>
              <w:bottom w:val="single" w:sz="8" w:space="0" w:color="auto"/>
              <w:right w:val="single" w:sz="8" w:space="0" w:color="auto"/>
            </w:tcBorders>
            <w:shd w:val="clear" w:color="auto" w:fill="auto"/>
          </w:tcPr>
          <w:p w14:paraId="5D1B0F0B" w14:textId="77777777" w:rsidR="004E1BA2" w:rsidRDefault="0054188C">
            <w:pPr>
              <w:spacing w:after="0" w:line="240" w:lineRule="auto"/>
              <w:jc w:val="right"/>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0.000</w:t>
            </w:r>
          </w:p>
        </w:tc>
        <w:tc>
          <w:tcPr>
            <w:tcW w:w="3142" w:type="dxa"/>
            <w:tcBorders>
              <w:top w:val="nil"/>
              <w:left w:val="nil"/>
              <w:bottom w:val="single" w:sz="8" w:space="0" w:color="auto"/>
              <w:right w:val="single" w:sz="8" w:space="0" w:color="auto"/>
            </w:tcBorders>
            <w:shd w:val="clear" w:color="auto" w:fill="auto"/>
            <w:vAlign w:val="center"/>
          </w:tcPr>
          <w:p w14:paraId="721D0138" w14:textId="77777777" w:rsidR="004E1BA2" w:rsidRDefault="0054188C">
            <w:pPr>
              <w:spacing w:after="0" w:line="240" w:lineRule="auto"/>
              <w:jc w:val="both"/>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Significant</w:t>
            </w:r>
          </w:p>
        </w:tc>
      </w:tr>
      <w:tr w:rsidR="004E1BA2" w14:paraId="63F46B89" w14:textId="77777777">
        <w:trPr>
          <w:trHeight w:val="313"/>
        </w:trPr>
        <w:tc>
          <w:tcPr>
            <w:tcW w:w="3950" w:type="dxa"/>
            <w:tcBorders>
              <w:top w:val="nil"/>
              <w:left w:val="single" w:sz="8" w:space="0" w:color="auto"/>
              <w:bottom w:val="single" w:sz="8" w:space="0" w:color="auto"/>
              <w:right w:val="single" w:sz="8" w:space="0" w:color="auto"/>
            </w:tcBorders>
            <w:shd w:val="clear" w:color="auto" w:fill="auto"/>
            <w:vAlign w:val="center"/>
          </w:tcPr>
          <w:p w14:paraId="5E50A00E" w14:textId="77777777" w:rsidR="004E1BA2" w:rsidRDefault="0054188C">
            <w:pPr>
              <w:spacing w:after="0" w:line="240" w:lineRule="auto"/>
              <w:jc w:val="both"/>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GCE O/L vs Senior Secondary</w:t>
            </w:r>
          </w:p>
        </w:tc>
        <w:tc>
          <w:tcPr>
            <w:tcW w:w="1530" w:type="dxa"/>
            <w:tcBorders>
              <w:top w:val="nil"/>
              <w:left w:val="nil"/>
              <w:bottom w:val="single" w:sz="8" w:space="0" w:color="auto"/>
              <w:right w:val="single" w:sz="8" w:space="0" w:color="auto"/>
            </w:tcBorders>
            <w:shd w:val="clear" w:color="auto" w:fill="auto"/>
            <w:vAlign w:val="center"/>
          </w:tcPr>
          <w:p w14:paraId="56191074" w14:textId="77777777" w:rsidR="004E1BA2" w:rsidRDefault="0054188C">
            <w:pPr>
              <w:spacing w:after="0" w:line="240" w:lineRule="auto"/>
              <w:jc w:val="right"/>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0.815</w:t>
            </w:r>
          </w:p>
        </w:tc>
        <w:tc>
          <w:tcPr>
            <w:tcW w:w="1538" w:type="dxa"/>
            <w:tcBorders>
              <w:top w:val="nil"/>
              <w:left w:val="nil"/>
              <w:bottom w:val="single" w:sz="8" w:space="0" w:color="auto"/>
              <w:right w:val="single" w:sz="8" w:space="0" w:color="auto"/>
            </w:tcBorders>
            <w:shd w:val="clear" w:color="auto" w:fill="auto"/>
          </w:tcPr>
          <w:p w14:paraId="1A99040A" w14:textId="77777777" w:rsidR="004E1BA2" w:rsidRDefault="0054188C">
            <w:pPr>
              <w:spacing w:after="0" w:line="240" w:lineRule="auto"/>
              <w:jc w:val="right"/>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0.000</w:t>
            </w:r>
          </w:p>
        </w:tc>
        <w:tc>
          <w:tcPr>
            <w:tcW w:w="3142" w:type="dxa"/>
            <w:tcBorders>
              <w:top w:val="nil"/>
              <w:left w:val="nil"/>
              <w:bottom w:val="single" w:sz="8" w:space="0" w:color="auto"/>
              <w:right w:val="single" w:sz="8" w:space="0" w:color="auto"/>
            </w:tcBorders>
            <w:shd w:val="clear" w:color="auto" w:fill="auto"/>
            <w:vAlign w:val="center"/>
          </w:tcPr>
          <w:p w14:paraId="7B3CBB90" w14:textId="77777777" w:rsidR="004E1BA2" w:rsidRDefault="0054188C">
            <w:pPr>
              <w:spacing w:after="0" w:line="240" w:lineRule="auto"/>
              <w:jc w:val="both"/>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Significant</w:t>
            </w:r>
          </w:p>
        </w:tc>
      </w:tr>
      <w:tr w:rsidR="004E1BA2" w14:paraId="65D3DB84" w14:textId="77777777">
        <w:trPr>
          <w:trHeight w:val="250"/>
        </w:trPr>
        <w:tc>
          <w:tcPr>
            <w:tcW w:w="3950" w:type="dxa"/>
            <w:tcBorders>
              <w:top w:val="nil"/>
              <w:left w:val="single" w:sz="8" w:space="0" w:color="auto"/>
              <w:bottom w:val="single" w:sz="8" w:space="0" w:color="auto"/>
              <w:right w:val="single" w:sz="8" w:space="0" w:color="auto"/>
            </w:tcBorders>
            <w:shd w:val="clear" w:color="auto" w:fill="auto"/>
            <w:vAlign w:val="center"/>
          </w:tcPr>
          <w:p w14:paraId="32CE5A16" w14:textId="77777777" w:rsidR="004E1BA2" w:rsidRDefault="0054188C">
            <w:pPr>
              <w:spacing w:after="0" w:line="240" w:lineRule="auto"/>
              <w:jc w:val="both"/>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Primary vs Junior/Senior Secondary</w:t>
            </w:r>
          </w:p>
        </w:tc>
        <w:tc>
          <w:tcPr>
            <w:tcW w:w="1530" w:type="dxa"/>
            <w:tcBorders>
              <w:top w:val="nil"/>
              <w:left w:val="nil"/>
              <w:bottom w:val="single" w:sz="8" w:space="0" w:color="auto"/>
              <w:right w:val="single" w:sz="8" w:space="0" w:color="auto"/>
            </w:tcBorders>
            <w:shd w:val="clear" w:color="auto" w:fill="auto"/>
          </w:tcPr>
          <w:p w14:paraId="3162C660" w14:textId="77777777" w:rsidR="004E1BA2" w:rsidRDefault="0054188C">
            <w:pPr>
              <w:spacing w:after="0" w:line="240" w:lineRule="auto"/>
              <w:jc w:val="right"/>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0.000</w:t>
            </w:r>
          </w:p>
        </w:tc>
        <w:tc>
          <w:tcPr>
            <w:tcW w:w="1538" w:type="dxa"/>
            <w:tcBorders>
              <w:top w:val="nil"/>
              <w:left w:val="nil"/>
              <w:bottom w:val="single" w:sz="8" w:space="0" w:color="auto"/>
              <w:right w:val="single" w:sz="8" w:space="0" w:color="auto"/>
            </w:tcBorders>
            <w:shd w:val="clear" w:color="auto" w:fill="auto"/>
            <w:vAlign w:val="center"/>
          </w:tcPr>
          <w:p w14:paraId="3561162F" w14:textId="77777777" w:rsidR="004E1BA2" w:rsidRDefault="0054188C">
            <w:pPr>
              <w:spacing w:after="0" w:line="240" w:lineRule="auto"/>
              <w:jc w:val="right"/>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&gt; 0.05</w:t>
            </w:r>
          </w:p>
        </w:tc>
        <w:tc>
          <w:tcPr>
            <w:tcW w:w="3142" w:type="dxa"/>
            <w:tcBorders>
              <w:top w:val="nil"/>
              <w:left w:val="nil"/>
              <w:bottom w:val="single" w:sz="8" w:space="0" w:color="auto"/>
              <w:right w:val="single" w:sz="8" w:space="0" w:color="auto"/>
            </w:tcBorders>
            <w:shd w:val="clear" w:color="auto" w:fill="auto"/>
            <w:vAlign w:val="center"/>
          </w:tcPr>
          <w:p w14:paraId="689CE396" w14:textId="77777777" w:rsidR="004E1BA2" w:rsidRDefault="0054188C">
            <w:pPr>
              <w:spacing w:after="0" w:line="240" w:lineRule="auto"/>
              <w:jc w:val="both"/>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Not Significant</w:t>
            </w:r>
          </w:p>
        </w:tc>
      </w:tr>
      <w:tr w:rsidR="004E1BA2" w14:paraId="0AD0127E" w14:textId="77777777">
        <w:trPr>
          <w:trHeight w:val="313"/>
        </w:trPr>
        <w:tc>
          <w:tcPr>
            <w:tcW w:w="3950" w:type="dxa"/>
            <w:tcBorders>
              <w:top w:val="nil"/>
              <w:left w:val="single" w:sz="8" w:space="0" w:color="auto"/>
              <w:bottom w:val="single" w:sz="8" w:space="0" w:color="auto"/>
              <w:right w:val="single" w:sz="8" w:space="0" w:color="auto"/>
            </w:tcBorders>
            <w:shd w:val="clear" w:color="auto" w:fill="auto"/>
            <w:vAlign w:val="center"/>
          </w:tcPr>
          <w:p w14:paraId="0B99319F" w14:textId="77777777" w:rsidR="004E1BA2" w:rsidRDefault="0054188C">
            <w:pPr>
              <w:spacing w:after="0" w:line="240" w:lineRule="auto"/>
              <w:jc w:val="both"/>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 xml:space="preserve">Junior Secondary vs </w:t>
            </w:r>
            <w:r>
              <w:rPr>
                <w:rFonts w:ascii="Times New Roman" w:eastAsia="Times New Roman" w:hAnsi="Times New Roman" w:cs="Times New Roman"/>
                <w:color w:val="000000"/>
                <w:kern w:val="0"/>
                <w:lang w:bidi="si-LK"/>
                <w14:ligatures w14:val="none"/>
              </w:rPr>
              <w:t>Senior Secondary</w:t>
            </w:r>
          </w:p>
        </w:tc>
        <w:tc>
          <w:tcPr>
            <w:tcW w:w="1530" w:type="dxa"/>
            <w:tcBorders>
              <w:top w:val="nil"/>
              <w:left w:val="nil"/>
              <w:bottom w:val="single" w:sz="8" w:space="0" w:color="auto"/>
              <w:right w:val="single" w:sz="8" w:space="0" w:color="auto"/>
            </w:tcBorders>
            <w:shd w:val="clear" w:color="auto" w:fill="auto"/>
          </w:tcPr>
          <w:p w14:paraId="0F114C00" w14:textId="77777777" w:rsidR="004E1BA2" w:rsidRDefault="0054188C">
            <w:pPr>
              <w:spacing w:after="0" w:line="240" w:lineRule="auto"/>
              <w:jc w:val="right"/>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0.000</w:t>
            </w:r>
          </w:p>
        </w:tc>
        <w:tc>
          <w:tcPr>
            <w:tcW w:w="1538" w:type="dxa"/>
            <w:tcBorders>
              <w:top w:val="nil"/>
              <w:left w:val="nil"/>
              <w:bottom w:val="single" w:sz="8" w:space="0" w:color="auto"/>
              <w:right w:val="single" w:sz="8" w:space="0" w:color="auto"/>
            </w:tcBorders>
            <w:shd w:val="clear" w:color="auto" w:fill="auto"/>
            <w:vAlign w:val="center"/>
          </w:tcPr>
          <w:p w14:paraId="259D480F" w14:textId="77777777" w:rsidR="004E1BA2" w:rsidRDefault="0054188C">
            <w:pPr>
              <w:spacing w:after="0" w:line="240" w:lineRule="auto"/>
              <w:jc w:val="right"/>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&gt; 0.05</w:t>
            </w:r>
          </w:p>
        </w:tc>
        <w:tc>
          <w:tcPr>
            <w:tcW w:w="3142" w:type="dxa"/>
            <w:tcBorders>
              <w:top w:val="nil"/>
              <w:left w:val="nil"/>
              <w:bottom w:val="single" w:sz="8" w:space="0" w:color="auto"/>
              <w:right w:val="single" w:sz="8" w:space="0" w:color="auto"/>
            </w:tcBorders>
            <w:shd w:val="clear" w:color="auto" w:fill="auto"/>
            <w:vAlign w:val="center"/>
          </w:tcPr>
          <w:p w14:paraId="1DE239CC" w14:textId="77777777" w:rsidR="004E1BA2" w:rsidRDefault="0054188C">
            <w:pPr>
              <w:spacing w:after="0" w:line="240" w:lineRule="auto"/>
              <w:jc w:val="both"/>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Not Significant</w:t>
            </w:r>
          </w:p>
        </w:tc>
      </w:tr>
      <w:tr w:rsidR="004E1BA2" w14:paraId="3B4E7907" w14:textId="77777777">
        <w:trPr>
          <w:trHeight w:val="70"/>
        </w:trPr>
        <w:tc>
          <w:tcPr>
            <w:tcW w:w="3950" w:type="dxa"/>
            <w:tcBorders>
              <w:top w:val="nil"/>
              <w:left w:val="single" w:sz="8" w:space="0" w:color="auto"/>
              <w:bottom w:val="single" w:sz="8" w:space="0" w:color="auto"/>
              <w:right w:val="single" w:sz="8" w:space="0" w:color="auto"/>
            </w:tcBorders>
            <w:shd w:val="clear" w:color="auto" w:fill="auto"/>
            <w:vAlign w:val="center"/>
          </w:tcPr>
          <w:p w14:paraId="6B6214E8" w14:textId="77777777" w:rsidR="004E1BA2" w:rsidRDefault="0054188C">
            <w:pPr>
              <w:spacing w:after="0" w:line="240" w:lineRule="auto"/>
              <w:jc w:val="both"/>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GCE A/L vs GCE O/L</w:t>
            </w:r>
          </w:p>
        </w:tc>
        <w:tc>
          <w:tcPr>
            <w:tcW w:w="1530" w:type="dxa"/>
            <w:tcBorders>
              <w:top w:val="nil"/>
              <w:left w:val="nil"/>
              <w:bottom w:val="single" w:sz="8" w:space="0" w:color="auto"/>
              <w:right w:val="single" w:sz="8" w:space="0" w:color="auto"/>
            </w:tcBorders>
            <w:shd w:val="clear" w:color="auto" w:fill="auto"/>
            <w:vAlign w:val="center"/>
          </w:tcPr>
          <w:p w14:paraId="2CC8FDC5" w14:textId="77777777" w:rsidR="004E1BA2" w:rsidRDefault="0054188C">
            <w:pPr>
              <w:spacing w:after="0" w:line="240" w:lineRule="auto"/>
              <w:jc w:val="right"/>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0.235</w:t>
            </w:r>
          </w:p>
        </w:tc>
        <w:tc>
          <w:tcPr>
            <w:tcW w:w="1538" w:type="dxa"/>
            <w:tcBorders>
              <w:top w:val="nil"/>
              <w:left w:val="nil"/>
              <w:bottom w:val="single" w:sz="8" w:space="0" w:color="auto"/>
              <w:right w:val="single" w:sz="8" w:space="0" w:color="auto"/>
            </w:tcBorders>
            <w:shd w:val="clear" w:color="auto" w:fill="auto"/>
            <w:vAlign w:val="center"/>
          </w:tcPr>
          <w:p w14:paraId="35BC4137" w14:textId="77777777" w:rsidR="004E1BA2" w:rsidRDefault="0054188C">
            <w:pPr>
              <w:spacing w:after="0" w:line="240" w:lineRule="auto"/>
              <w:jc w:val="right"/>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0.396</w:t>
            </w:r>
          </w:p>
        </w:tc>
        <w:tc>
          <w:tcPr>
            <w:tcW w:w="3142" w:type="dxa"/>
            <w:tcBorders>
              <w:top w:val="nil"/>
              <w:left w:val="nil"/>
              <w:bottom w:val="single" w:sz="8" w:space="0" w:color="auto"/>
              <w:right w:val="single" w:sz="8" w:space="0" w:color="auto"/>
            </w:tcBorders>
            <w:shd w:val="clear" w:color="auto" w:fill="auto"/>
            <w:vAlign w:val="center"/>
          </w:tcPr>
          <w:p w14:paraId="121E9BDF" w14:textId="77777777" w:rsidR="004E1BA2" w:rsidRDefault="0054188C">
            <w:pPr>
              <w:spacing w:after="0" w:line="240" w:lineRule="auto"/>
              <w:jc w:val="both"/>
              <w:rPr>
                <w:rFonts w:ascii="Times New Roman" w:eastAsia="Times New Roman" w:hAnsi="Times New Roman" w:cs="Times New Roman"/>
                <w:color w:val="000000"/>
                <w:kern w:val="0"/>
                <w:lang w:bidi="si-LK"/>
                <w14:ligatures w14:val="none"/>
              </w:rPr>
            </w:pPr>
            <w:r>
              <w:rPr>
                <w:rFonts w:ascii="Times New Roman" w:eastAsia="Times New Roman" w:hAnsi="Times New Roman" w:cs="Times New Roman"/>
                <w:color w:val="000000"/>
                <w:kern w:val="0"/>
                <w:lang w:bidi="si-LK"/>
                <w14:ligatures w14:val="none"/>
              </w:rPr>
              <w:t>Not Significant</w:t>
            </w:r>
          </w:p>
        </w:tc>
      </w:tr>
    </w:tbl>
    <w:p w14:paraId="1BA20248" w14:textId="77777777" w:rsidR="004E1BA2" w:rsidRDefault="0054188C">
      <w:pPr>
        <w:spacing w:line="276" w:lineRule="auto"/>
        <w:jc w:val="both"/>
        <w:rPr>
          <w:rFonts w:ascii="Times New Roman" w:hAnsi="Times New Roman" w:cs="Times New Roman"/>
        </w:rPr>
      </w:pPr>
      <w:r>
        <w:rPr>
          <w:rFonts w:ascii="Times New Roman" w:hAnsi="Times New Roman" w:cs="Times New Roman"/>
        </w:rPr>
        <w:t>Source: Survey data (2024)</w:t>
      </w:r>
    </w:p>
    <w:p w14:paraId="7308F828" w14:textId="77777777" w:rsidR="004E1BA2" w:rsidRDefault="004E1BA2">
      <w:pPr>
        <w:jc w:val="both"/>
        <w:rPr>
          <w:rFonts w:ascii="Times New Roman" w:hAnsi="Times New Roman" w:cs="Times New Roman"/>
        </w:rPr>
      </w:pPr>
    </w:p>
    <w:p w14:paraId="665811AA" w14:textId="77777777" w:rsidR="004E1BA2" w:rsidRDefault="0054188C">
      <w:pPr>
        <w:jc w:val="both"/>
        <w:rPr>
          <w:rFonts w:ascii="Times New Roman" w:hAnsi="Times New Roman" w:cs="Times New Roman"/>
        </w:rPr>
      </w:pPr>
      <w:commentRangeStart w:id="5"/>
      <w:r>
        <w:rPr>
          <w:rFonts w:ascii="Times New Roman" w:hAnsi="Times New Roman" w:cs="Times New Roman"/>
        </w:rPr>
        <w:t xml:space="preserve">The results reveal statistically significant differences in online banking usage across various educational levels, with p-values </w:t>
      </w:r>
      <w:r>
        <w:rPr>
          <w:rFonts w:ascii="Times New Roman" w:hAnsi="Times New Roman" w:cs="Times New Roman"/>
        </w:rPr>
        <w:t>less than 0.05 in the majority of comparisons. Notably, respondents with a bachelor's degree or higher reported substantially greater usage of online banking services compared to all other education groups. For instance, the mean difference in banking usag</w:t>
      </w:r>
      <w:r>
        <w:rPr>
          <w:rFonts w:ascii="Times New Roman" w:hAnsi="Times New Roman" w:cs="Times New Roman"/>
        </w:rPr>
        <w:t>e between individuals with a bachelor's degree and those with only a primary education is 4.579, indicating a marked disparity in engagement. Similarly, respondents holding vocational diplomas also demonstrated significantly higher usage than those with lo</w:t>
      </w:r>
      <w:r>
        <w:rPr>
          <w:rFonts w:ascii="Times New Roman" w:hAnsi="Times New Roman" w:cs="Times New Roman"/>
        </w:rPr>
        <w:t>wer educational qualifications, with consistent positive mean differences (e.g., 2.310 when compared with primary education). A clear pattern emerges from the data, suggesting that online banking usage increases with higher levels of educational attainment</w:t>
      </w:r>
      <w:r>
        <w:rPr>
          <w:rFonts w:ascii="Times New Roman" w:hAnsi="Times New Roman" w:cs="Times New Roman"/>
        </w:rPr>
        <w:t>. This trend is further supported by the fact that all significant pairwise comparisons involving higher education levels (vocational diploma and above) showed confidence intervals that do not cross zero, confirming the reliability of the observed differen</w:t>
      </w:r>
      <w:r>
        <w:rPr>
          <w:rFonts w:ascii="Times New Roman" w:hAnsi="Times New Roman" w:cs="Times New Roman"/>
        </w:rPr>
        <w:t>ces. Conversely, the differences in usage among lower education categories, such as primary, junior secondary, and senior secondary were not statistically significant, indicating relatively similar engagement levels within these groups. Overall, the findin</w:t>
      </w:r>
      <w:r>
        <w:rPr>
          <w:rFonts w:ascii="Times New Roman" w:hAnsi="Times New Roman" w:cs="Times New Roman"/>
        </w:rPr>
        <w:t>gs underscore a strong positive relationship between educational attainment and online banking usage, implying that individuals with higher education are more likely to adopt and utilize digital financial services, possibly due to greater digital literacy,</w:t>
      </w:r>
      <w:r>
        <w:rPr>
          <w:rFonts w:ascii="Times New Roman" w:hAnsi="Times New Roman" w:cs="Times New Roman"/>
        </w:rPr>
        <w:t xml:space="preserve"> familiarity with technology, and confidence in navigating online platforms.</w:t>
      </w:r>
      <w:commentRangeEnd w:id="5"/>
      <w:r>
        <w:commentReference w:id="5"/>
      </w:r>
    </w:p>
    <w:p w14:paraId="4BC8F976" w14:textId="77777777" w:rsidR="004E1BA2" w:rsidRDefault="0054188C">
      <w:pPr>
        <w:jc w:val="both"/>
        <w:rPr>
          <w:rFonts w:ascii="Times New Roman" w:hAnsi="Times New Roman" w:cs="Times New Roman"/>
          <w:b/>
          <w:bCs/>
        </w:rPr>
      </w:pPr>
      <w:r>
        <w:rPr>
          <w:rFonts w:ascii="Times New Roman" w:hAnsi="Times New Roman" w:cs="Times New Roman"/>
          <w:b/>
          <w:bCs/>
        </w:rPr>
        <w:t>Conclusion</w:t>
      </w:r>
    </w:p>
    <w:p w14:paraId="781701E6" w14:textId="77777777" w:rsidR="004E1BA2" w:rsidRDefault="0054188C">
      <w:pPr>
        <w:jc w:val="both"/>
        <w:rPr>
          <w:rFonts w:ascii="Times New Roman" w:hAnsi="Times New Roman" w:cs="Times New Roman"/>
        </w:rPr>
      </w:pPr>
      <w:r>
        <w:rPr>
          <w:rFonts w:ascii="Times New Roman" w:hAnsi="Times New Roman" w:cs="Times New Roman"/>
        </w:rPr>
        <w:t>This study aimed to explore the relationship between educational attainment and online banking usage among adults in Sri Lanka. The results provide compelling eviden</w:t>
      </w:r>
      <w:r>
        <w:rPr>
          <w:rFonts w:ascii="Times New Roman" w:hAnsi="Times New Roman" w:cs="Times New Roman"/>
        </w:rPr>
        <w:t xml:space="preserve">ce of a statistically significant association between an individual's level of education and their engagement with digital </w:t>
      </w:r>
      <w:r>
        <w:rPr>
          <w:rFonts w:ascii="Times New Roman" w:hAnsi="Times New Roman" w:cs="Times New Roman"/>
        </w:rPr>
        <w:lastRenderedPageBreak/>
        <w:t>banking services. Specifically, individuals holding a bachelor's degree or higher were found to use online banking significantly more</w:t>
      </w:r>
      <w:r>
        <w:rPr>
          <w:rFonts w:ascii="Times New Roman" w:hAnsi="Times New Roman" w:cs="Times New Roman"/>
        </w:rPr>
        <w:t xml:space="preserve"> frequently than those with lower educational qualifications, such as primary or junior secondary education. The greatest disparities were observed between the highest and lowest education categories, with mean differences </w:t>
      </w:r>
      <w:commentRangeStart w:id="6"/>
      <w:r>
        <w:rPr>
          <w:rFonts w:ascii="Times New Roman" w:hAnsi="Times New Roman" w:cs="Times New Roman"/>
        </w:rPr>
        <w:t>as large as 4.579,</w:t>
      </w:r>
      <w:commentRangeEnd w:id="6"/>
      <w:r>
        <w:commentReference w:id="6"/>
      </w:r>
      <w:r>
        <w:rPr>
          <w:rFonts w:ascii="Times New Roman" w:hAnsi="Times New Roman" w:cs="Times New Roman"/>
        </w:rPr>
        <w:t xml:space="preserve"> indicating </w:t>
      </w:r>
      <w:r>
        <w:rPr>
          <w:rFonts w:ascii="Times New Roman" w:hAnsi="Times New Roman" w:cs="Times New Roman"/>
        </w:rPr>
        <w:t>a substantial gap in digital banking engagement.</w:t>
      </w:r>
    </w:p>
    <w:p w14:paraId="25B0D32F" w14:textId="77777777" w:rsidR="004E1BA2" w:rsidRDefault="0054188C">
      <w:pPr>
        <w:jc w:val="both"/>
        <w:rPr>
          <w:rFonts w:ascii="Times New Roman" w:hAnsi="Times New Roman" w:cs="Times New Roman"/>
        </w:rPr>
      </w:pPr>
      <w:r>
        <w:rPr>
          <w:rFonts w:ascii="Times New Roman" w:hAnsi="Times New Roman" w:cs="Times New Roman"/>
        </w:rPr>
        <w:t>The findings suggest that higher educational attainment is associated with increased digital financial activity, likely due to enhanced digital literacy, greater exposure to technological tools, and stronger</w:t>
      </w:r>
      <w:r>
        <w:rPr>
          <w:rFonts w:ascii="Times New Roman" w:hAnsi="Times New Roman" w:cs="Times New Roman"/>
        </w:rPr>
        <w:t xml:space="preserve"> confidence in navigating online platforms (</w:t>
      </w:r>
      <w:proofErr w:type="spellStart"/>
      <w:r>
        <w:rPr>
          <w:rFonts w:ascii="Times New Roman" w:hAnsi="Times New Roman" w:cs="Times New Roman"/>
        </w:rPr>
        <w:t>Hashim</w:t>
      </w:r>
      <w:proofErr w:type="spellEnd"/>
      <w:r>
        <w:rPr>
          <w:rFonts w:ascii="Times New Roman" w:hAnsi="Times New Roman" w:cs="Times New Roman"/>
        </w:rPr>
        <w:t xml:space="preserve"> et al., 2021; </w:t>
      </w:r>
      <w:proofErr w:type="spellStart"/>
      <w:r>
        <w:rPr>
          <w:rFonts w:ascii="Times New Roman" w:hAnsi="Times New Roman" w:cs="Times New Roman"/>
        </w:rPr>
        <w:t>Gavurova</w:t>
      </w:r>
      <w:proofErr w:type="spellEnd"/>
      <w:r>
        <w:rPr>
          <w:rFonts w:ascii="Times New Roman" w:hAnsi="Times New Roman" w:cs="Times New Roman"/>
        </w:rPr>
        <w:t xml:space="preserve"> et al., 2019). Additionally, vocational diploma holders also demonstrated elevated usage levels, reinforcing the role of technical and applied education in facilitating digital inclu</w:t>
      </w:r>
      <w:r>
        <w:rPr>
          <w:rFonts w:ascii="Times New Roman" w:hAnsi="Times New Roman" w:cs="Times New Roman"/>
        </w:rPr>
        <w:t>sion. These results are consistent with the Human Capital Theory, which posits that education enhances individuals' capacity to make informed and effective decisions, including those related to financial technology (McConnell et al., 2009; Blair, 2012).</w:t>
      </w:r>
    </w:p>
    <w:p w14:paraId="0BA28B05" w14:textId="77777777" w:rsidR="004E1BA2" w:rsidRDefault="0054188C">
      <w:pPr>
        <w:jc w:val="both"/>
        <w:rPr>
          <w:rFonts w:ascii="Times New Roman" w:hAnsi="Times New Roman" w:cs="Times New Roman"/>
        </w:rPr>
      </w:pPr>
      <w:r>
        <w:rPr>
          <w:rFonts w:ascii="Times New Roman" w:hAnsi="Times New Roman" w:cs="Times New Roman"/>
        </w:rPr>
        <w:t>In</w:t>
      </w:r>
      <w:r>
        <w:rPr>
          <w:rFonts w:ascii="Times New Roman" w:hAnsi="Times New Roman" w:cs="Times New Roman"/>
        </w:rPr>
        <w:t xml:space="preserve"> contrast, respondents with only primary or junior-level education exhibited comparatively low and statistically similar levels of online banking activity. This indicates that without adequate educational support, individuals may face challenges in accessi</w:t>
      </w:r>
      <w:r>
        <w:rPr>
          <w:rFonts w:ascii="Times New Roman" w:hAnsi="Times New Roman" w:cs="Times New Roman"/>
        </w:rPr>
        <w:t>ng or utilizing digital financial services, regardless of broader access to infrastructure or internet connectivity.</w:t>
      </w:r>
    </w:p>
    <w:p w14:paraId="75BBE33B" w14:textId="77777777" w:rsidR="004E1BA2" w:rsidRDefault="0054188C">
      <w:pPr>
        <w:jc w:val="both"/>
        <w:rPr>
          <w:rFonts w:ascii="Times New Roman" w:hAnsi="Times New Roman" w:cs="Times New Roman"/>
        </w:rPr>
      </w:pPr>
      <w:commentRangeStart w:id="7"/>
      <w:r>
        <w:rPr>
          <w:rFonts w:ascii="Times New Roman" w:hAnsi="Times New Roman" w:cs="Times New Roman"/>
        </w:rPr>
        <w:t xml:space="preserve">Overall, the study underscores the critical role of education in promoting digital financial inclusion in Sri Lanka. As the banking sector </w:t>
      </w:r>
      <w:r>
        <w:rPr>
          <w:rFonts w:ascii="Times New Roman" w:hAnsi="Times New Roman" w:cs="Times New Roman"/>
        </w:rPr>
        <w:t>continues to digitize, addressing educational disparities becomes essential to ensuring equitable access to financial services. These findings suggest that policy interventions aimed at enhancing digital and financial literacy, particularly among less-educ</w:t>
      </w:r>
      <w:r>
        <w:rPr>
          <w:rFonts w:ascii="Times New Roman" w:hAnsi="Times New Roman" w:cs="Times New Roman"/>
        </w:rPr>
        <w:t>ated populations could play a vital role in expanding the use of online banking and closing the existing digital divide.</w:t>
      </w:r>
      <w:commentRangeEnd w:id="7"/>
      <w:r>
        <w:commentReference w:id="7"/>
      </w:r>
    </w:p>
    <w:p w14:paraId="1B482C82" w14:textId="77777777" w:rsidR="004E1BA2" w:rsidRDefault="004E1BA2">
      <w:pPr>
        <w:jc w:val="both"/>
        <w:rPr>
          <w:rFonts w:ascii="Times New Roman" w:hAnsi="Times New Roman" w:cs="Times New Roman"/>
        </w:rPr>
      </w:pPr>
    </w:p>
    <w:p w14:paraId="5D38FC2B" w14:textId="77777777" w:rsidR="004E1BA2" w:rsidRDefault="0054188C">
      <w:pPr>
        <w:jc w:val="both"/>
        <w:rPr>
          <w:rFonts w:ascii="Times New Roman" w:hAnsi="Times New Roman" w:cs="Times New Roman"/>
          <w:b/>
          <w:bCs/>
        </w:rPr>
      </w:pPr>
      <w:r>
        <w:rPr>
          <w:rFonts w:ascii="Times New Roman" w:hAnsi="Times New Roman" w:cs="Times New Roman"/>
          <w:b/>
          <w:bCs/>
        </w:rPr>
        <w:t>References</w:t>
      </w:r>
      <w:bookmarkStart w:id="8" w:name="_GoBack"/>
      <w:bookmarkEnd w:id="8"/>
    </w:p>
    <w:p w14:paraId="6E2EF820" w14:textId="77777777" w:rsidR="004E1BA2" w:rsidRDefault="0054188C">
      <w:pPr>
        <w:ind w:left="720" w:hanging="720"/>
        <w:jc w:val="both"/>
        <w:rPr>
          <w:rFonts w:ascii="Times New Roman" w:hAnsi="Times New Roman" w:cs="Times New Roman"/>
        </w:rPr>
      </w:pPr>
      <w:proofErr w:type="spellStart"/>
      <w:r>
        <w:rPr>
          <w:rFonts w:ascii="Times New Roman" w:hAnsi="Times New Roman" w:cs="Times New Roman"/>
        </w:rPr>
        <w:t>Ajzen</w:t>
      </w:r>
      <w:proofErr w:type="spellEnd"/>
      <w:r>
        <w:rPr>
          <w:rFonts w:ascii="Times New Roman" w:hAnsi="Times New Roman" w:cs="Times New Roman"/>
        </w:rPr>
        <w:t xml:space="preserve">, I. (1991). </w:t>
      </w:r>
      <w:r>
        <w:rPr>
          <w:rFonts w:ascii="Times New Roman" w:hAnsi="Times New Roman" w:cs="Times New Roman"/>
          <w:i/>
          <w:iCs/>
        </w:rPr>
        <w:t>The theory of planned behavior</w:t>
      </w:r>
      <w:r>
        <w:rPr>
          <w:rFonts w:ascii="Times New Roman" w:hAnsi="Times New Roman" w:cs="Times New Roman"/>
        </w:rPr>
        <w:t xml:space="preserve">. Organizational Behavior and Human Decision Processes, 50(2), 179–211. </w:t>
      </w:r>
    </w:p>
    <w:p w14:paraId="1AF1E328" w14:textId="77777777" w:rsidR="004E1BA2" w:rsidRDefault="0054188C">
      <w:pPr>
        <w:ind w:left="720" w:hanging="720"/>
        <w:jc w:val="both"/>
        <w:rPr>
          <w:rFonts w:ascii="Times New Roman" w:hAnsi="Times New Roman" w:cs="Times New Roman"/>
        </w:rPr>
      </w:pPr>
      <w:proofErr w:type="spellStart"/>
      <w:r>
        <w:rPr>
          <w:rFonts w:ascii="Times New Roman" w:hAnsi="Times New Roman" w:cs="Times New Roman"/>
        </w:rPr>
        <w:t>Andreou</w:t>
      </w:r>
      <w:proofErr w:type="spellEnd"/>
      <w:r>
        <w:rPr>
          <w:rFonts w:ascii="Times New Roman" w:hAnsi="Times New Roman" w:cs="Times New Roman"/>
        </w:rPr>
        <w:t xml:space="preserve">, </w:t>
      </w:r>
      <w:r>
        <w:rPr>
          <w:rFonts w:ascii="Times New Roman" w:hAnsi="Times New Roman" w:cs="Times New Roman"/>
        </w:rPr>
        <w:t xml:space="preserve">P. C., &amp; </w:t>
      </w:r>
      <w:proofErr w:type="spellStart"/>
      <w:r>
        <w:rPr>
          <w:rFonts w:ascii="Times New Roman" w:hAnsi="Times New Roman" w:cs="Times New Roman"/>
        </w:rPr>
        <w:t>Anyfantaki</w:t>
      </w:r>
      <w:proofErr w:type="spellEnd"/>
      <w:r>
        <w:rPr>
          <w:rFonts w:ascii="Times New Roman" w:hAnsi="Times New Roman" w:cs="Times New Roman"/>
        </w:rPr>
        <w:t xml:space="preserve">, S. (2019). </w:t>
      </w:r>
      <w:r>
        <w:rPr>
          <w:rFonts w:ascii="Times New Roman" w:hAnsi="Times New Roman" w:cs="Times New Roman"/>
          <w:i/>
          <w:iCs/>
        </w:rPr>
        <w:t xml:space="preserve">Financial literacy and its influence on consumers’ internet banking </w:t>
      </w:r>
      <w:proofErr w:type="spellStart"/>
      <w:r>
        <w:rPr>
          <w:rFonts w:ascii="Times New Roman" w:hAnsi="Times New Roman" w:cs="Times New Roman"/>
          <w:i/>
          <w:iCs/>
        </w:rPr>
        <w:t>behaviour</w:t>
      </w:r>
      <w:proofErr w:type="spellEnd"/>
      <w:r>
        <w:rPr>
          <w:rFonts w:ascii="Times New Roman" w:hAnsi="Times New Roman" w:cs="Times New Roman"/>
        </w:rPr>
        <w:t xml:space="preserve">. Journal of Financial Services Marketing, 24, 33–47. </w:t>
      </w:r>
    </w:p>
    <w:p w14:paraId="4CA42F00" w14:textId="77777777" w:rsidR="004E1BA2" w:rsidRDefault="0054188C">
      <w:pPr>
        <w:ind w:left="720" w:hanging="720"/>
        <w:jc w:val="both"/>
        <w:rPr>
          <w:rFonts w:ascii="Times New Roman" w:hAnsi="Times New Roman" w:cs="Times New Roman"/>
        </w:rPr>
      </w:pPr>
      <w:r>
        <w:rPr>
          <w:rFonts w:ascii="Times New Roman" w:hAnsi="Times New Roman" w:cs="Times New Roman"/>
        </w:rPr>
        <w:t xml:space="preserve">Blair, M. M. (2012). </w:t>
      </w:r>
      <w:r>
        <w:rPr>
          <w:rFonts w:ascii="Times New Roman" w:hAnsi="Times New Roman" w:cs="Times New Roman"/>
          <w:i/>
          <w:iCs/>
        </w:rPr>
        <w:t>Economic value of education: Human capital theory reconsidered</w:t>
      </w:r>
      <w:r>
        <w:rPr>
          <w:rFonts w:ascii="Times New Roman" w:hAnsi="Times New Roman" w:cs="Times New Roman"/>
        </w:rPr>
        <w:t>. Journal of Economic Perspectives, 26(2), 49–70.</w:t>
      </w:r>
    </w:p>
    <w:p w14:paraId="51ABF90D" w14:textId="77777777" w:rsidR="004E1BA2" w:rsidRDefault="0054188C">
      <w:pPr>
        <w:ind w:left="720" w:hanging="720"/>
        <w:jc w:val="both"/>
        <w:rPr>
          <w:rFonts w:ascii="Times New Roman" w:hAnsi="Times New Roman" w:cs="Times New Roman"/>
        </w:rPr>
      </w:pPr>
      <w:r>
        <w:rPr>
          <w:rFonts w:ascii="Times New Roman" w:hAnsi="Times New Roman" w:cs="Times New Roman"/>
        </w:rPr>
        <w:t xml:space="preserve">Central Bank of Sri Lanka. (2021). </w:t>
      </w:r>
      <w:r>
        <w:rPr>
          <w:rFonts w:ascii="Times New Roman" w:hAnsi="Times New Roman" w:cs="Times New Roman"/>
          <w:i/>
          <w:iCs/>
        </w:rPr>
        <w:t>Annual Report 2021</w:t>
      </w:r>
      <w:r>
        <w:rPr>
          <w:rFonts w:ascii="Times New Roman" w:hAnsi="Times New Roman" w:cs="Times New Roman"/>
        </w:rPr>
        <w:t>. https://www.cbsl.gov.lk/en/publications/economic-and-financial-repor</w:t>
      </w:r>
      <w:r>
        <w:rPr>
          <w:rFonts w:ascii="Times New Roman" w:hAnsi="Times New Roman" w:cs="Times New Roman"/>
        </w:rPr>
        <w:t>ts/annual-reports</w:t>
      </w:r>
    </w:p>
    <w:p w14:paraId="4D7E50B2" w14:textId="77777777" w:rsidR="004E1BA2" w:rsidRDefault="0054188C">
      <w:pPr>
        <w:ind w:left="720" w:hanging="720"/>
        <w:jc w:val="both"/>
        <w:rPr>
          <w:rFonts w:ascii="Times New Roman" w:hAnsi="Times New Roman" w:cs="Times New Roman"/>
        </w:rPr>
      </w:pPr>
      <w:r>
        <w:rPr>
          <w:rFonts w:ascii="Times New Roman" w:hAnsi="Times New Roman" w:cs="Times New Roman"/>
        </w:rPr>
        <w:t xml:space="preserve">Computer Literacy Statistics. (2022). </w:t>
      </w:r>
      <w:r>
        <w:rPr>
          <w:rFonts w:ascii="Times New Roman" w:hAnsi="Times New Roman" w:cs="Times New Roman"/>
          <w:i/>
          <w:iCs/>
        </w:rPr>
        <w:t>Annual bulletin</w:t>
      </w:r>
      <w:r>
        <w:rPr>
          <w:rFonts w:ascii="Times New Roman" w:hAnsi="Times New Roman" w:cs="Times New Roman"/>
        </w:rPr>
        <w:t xml:space="preserve">. Department of Census and Statistics, Sri Lanka. </w:t>
      </w:r>
      <w:hyperlink r:id="rId10" w:tgtFrame="_new" w:history="1">
        <w:r>
          <w:rPr>
            <w:rStyle w:val="Hyperlink"/>
            <w:rFonts w:ascii="Times New Roman" w:hAnsi="Times New Roman" w:cs="Times New Roman"/>
          </w:rPr>
          <w:t>https://www.statistics.gov.lk</w:t>
        </w:r>
      </w:hyperlink>
    </w:p>
    <w:p w14:paraId="01EAA8DD" w14:textId="77777777" w:rsidR="004E1BA2" w:rsidRDefault="0054188C">
      <w:pPr>
        <w:ind w:left="720" w:hanging="720"/>
        <w:jc w:val="both"/>
        <w:rPr>
          <w:rFonts w:ascii="Times New Roman" w:hAnsi="Times New Roman" w:cs="Times New Roman"/>
        </w:rPr>
      </w:pPr>
      <w:r>
        <w:rPr>
          <w:rFonts w:ascii="Times New Roman" w:hAnsi="Times New Roman" w:cs="Times New Roman"/>
        </w:rPr>
        <w:lastRenderedPageBreak/>
        <w:t xml:space="preserve">Department of Census and Statistics. (2012). </w:t>
      </w:r>
      <w:r>
        <w:rPr>
          <w:rFonts w:ascii="Times New Roman" w:hAnsi="Times New Roman" w:cs="Times New Roman"/>
          <w:i/>
          <w:iCs/>
        </w:rPr>
        <w:t>Cens</w:t>
      </w:r>
      <w:r>
        <w:rPr>
          <w:rFonts w:ascii="Times New Roman" w:hAnsi="Times New Roman" w:cs="Times New Roman"/>
          <w:i/>
          <w:iCs/>
        </w:rPr>
        <w:t>us of Population and Housing – 2012</w:t>
      </w:r>
      <w:r>
        <w:rPr>
          <w:rFonts w:ascii="Times New Roman" w:hAnsi="Times New Roman" w:cs="Times New Roman"/>
        </w:rPr>
        <w:t>. Sri Lanka: Ministry of Finance and Planning.</w:t>
      </w:r>
    </w:p>
    <w:p w14:paraId="225CE4DA" w14:textId="77777777" w:rsidR="004E1BA2" w:rsidRDefault="0054188C">
      <w:pPr>
        <w:ind w:left="720" w:hanging="720"/>
        <w:jc w:val="both"/>
        <w:rPr>
          <w:rFonts w:ascii="Times New Roman" w:hAnsi="Times New Roman" w:cs="Times New Roman"/>
        </w:rPr>
      </w:pPr>
      <w:r>
        <w:rPr>
          <w:rFonts w:ascii="Times New Roman" w:hAnsi="Times New Roman" w:cs="Times New Roman"/>
        </w:rPr>
        <w:t xml:space="preserve">Department of Census and Statistics. (2023). </w:t>
      </w:r>
      <w:r>
        <w:rPr>
          <w:rFonts w:ascii="Times New Roman" w:hAnsi="Times New Roman" w:cs="Times New Roman"/>
          <w:i/>
          <w:iCs/>
        </w:rPr>
        <w:t>Computer literacy statistics 2023 – Annual bulletin</w:t>
      </w:r>
      <w:r>
        <w:rPr>
          <w:rFonts w:ascii="Times New Roman" w:hAnsi="Times New Roman" w:cs="Times New Roman"/>
        </w:rPr>
        <w:t>. Sri Lanka: Department of Census and Statistics.</w:t>
      </w:r>
    </w:p>
    <w:p w14:paraId="60C44C5F" w14:textId="77777777" w:rsidR="004E1BA2" w:rsidRDefault="0054188C">
      <w:pPr>
        <w:ind w:left="720" w:hanging="720"/>
        <w:jc w:val="both"/>
        <w:rPr>
          <w:rFonts w:ascii="Times New Roman" w:hAnsi="Times New Roman" w:cs="Times New Roman"/>
        </w:rPr>
      </w:pPr>
      <w:proofErr w:type="spellStart"/>
      <w:r>
        <w:rPr>
          <w:rFonts w:ascii="Times New Roman" w:hAnsi="Times New Roman" w:cs="Times New Roman"/>
        </w:rPr>
        <w:t>Frankenfield</w:t>
      </w:r>
      <w:proofErr w:type="spellEnd"/>
      <w:r>
        <w:rPr>
          <w:rFonts w:ascii="Times New Roman" w:hAnsi="Times New Roman" w:cs="Times New Roman"/>
        </w:rPr>
        <w:t xml:space="preserve">, J. (2023). </w:t>
      </w:r>
      <w:r>
        <w:rPr>
          <w:rFonts w:ascii="Times New Roman" w:hAnsi="Times New Roman" w:cs="Times New Roman"/>
          <w:i/>
          <w:iCs/>
        </w:rPr>
        <w:t>Onl</w:t>
      </w:r>
      <w:r>
        <w:rPr>
          <w:rFonts w:ascii="Times New Roman" w:hAnsi="Times New Roman" w:cs="Times New Roman"/>
          <w:i/>
          <w:iCs/>
        </w:rPr>
        <w:t>ine banking</w:t>
      </w:r>
      <w:r>
        <w:rPr>
          <w:rFonts w:ascii="Times New Roman" w:hAnsi="Times New Roman" w:cs="Times New Roman"/>
        </w:rPr>
        <w:t xml:space="preserve">. Investopedia. </w:t>
      </w:r>
    </w:p>
    <w:p w14:paraId="65B2CCCC" w14:textId="77777777" w:rsidR="004E1BA2" w:rsidRDefault="0054188C">
      <w:pPr>
        <w:ind w:left="720" w:hanging="720"/>
        <w:jc w:val="both"/>
        <w:rPr>
          <w:rFonts w:ascii="Times New Roman" w:hAnsi="Times New Roman" w:cs="Times New Roman"/>
        </w:rPr>
      </w:pPr>
      <w:proofErr w:type="spellStart"/>
      <w:r>
        <w:rPr>
          <w:rFonts w:ascii="Times New Roman" w:hAnsi="Times New Roman" w:cs="Times New Roman"/>
        </w:rPr>
        <w:t>Gavurova</w:t>
      </w:r>
      <w:proofErr w:type="spellEnd"/>
      <w:r>
        <w:rPr>
          <w:rFonts w:ascii="Times New Roman" w:hAnsi="Times New Roman" w:cs="Times New Roman"/>
        </w:rPr>
        <w:t xml:space="preserve">, B., </w:t>
      </w:r>
      <w:proofErr w:type="spellStart"/>
      <w:r>
        <w:rPr>
          <w:rFonts w:ascii="Times New Roman" w:hAnsi="Times New Roman" w:cs="Times New Roman"/>
        </w:rPr>
        <w:t>Ivankova</w:t>
      </w:r>
      <w:proofErr w:type="spellEnd"/>
      <w:r>
        <w:rPr>
          <w:rFonts w:ascii="Times New Roman" w:hAnsi="Times New Roman" w:cs="Times New Roman"/>
        </w:rPr>
        <w:t xml:space="preserve">, V., &amp; </w:t>
      </w:r>
      <w:proofErr w:type="spellStart"/>
      <w:r>
        <w:rPr>
          <w:rFonts w:ascii="Times New Roman" w:hAnsi="Times New Roman" w:cs="Times New Roman"/>
        </w:rPr>
        <w:t>Rigelsky</w:t>
      </w:r>
      <w:proofErr w:type="spellEnd"/>
      <w:r>
        <w:rPr>
          <w:rFonts w:ascii="Times New Roman" w:hAnsi="Times New Roman" w:cs="Times New Roman"/>
        </w:rPr>
        <w:t xml:space="preserve">, M. (2019). </w:t>
      </w:r>
      <w:r>
        <w:rPr>
          <w:rFonts w:ascii="Times New Roman" w:hAnsi="Times New Roman" w:cs="Times New Roman"/>
          <w:i/>
          <w:iCs/>
        </w:rPr>
        <w:t>Analysis of financial literacy in the context of economic education and the current economic situation</w:t>
      </w:r>
      <w:r>
        <w:rPr>
          <w:rFonts w:ascii="Times New Roman" w:hAnsi="Times New Roman" w:cs="Times New Roman"/>
        </w:rPr>
        <w:t xml:space="preserve">. Journal of Competitiveness, 11(1), 66–78. </w:t>
      </w:r>
    </w:p>
    <w:p w14:paraId="1767AAB8" w14:textId="77777777" w:rsidR="004E1BA2" w:rsidRDefault="0054188C">
      <w:pPr>
        <w:ind w:left="720" w:hanging="720"/>
        <w:jc w:val="both"/>
        <w:rPr>
          <w:rFonts w:ascii="Times New Roman" w:hAnsi="Times New Roman" w:cs="Times New Roman"/>
        </w:rPr>
      </w:pPr>
      <w:proofErr w:type="spellStart"/>
      <w:r>
        <w:rPr>
          <w:rFonts w:ascii="Times New Roman" w:hAnsi="Times New Roman" w:cs="Times New Roman"/>
        </w:rPr>
        <w:t>Hashim</w:t>
      </w:r>
      <w:proofErr w:type="spellEnd"/>
      <w:r>
        <w:rPr>
          <w:rFonts w:ascii="Times New Roman" w:hAnsi="Times New Roman" w:cs="Times New Roman"/>
        </w:rPr>
        <w:t xml:space="preserve">, N., </w:t>
      </w:r>
      <w:proofErr w:type="spellStart"/>
      <w:r>
        <w:rPr>
          <w:rFonts w:ascii="Times New Roman" w:hAnsi="Times New Roman" w:cs="Times New Roman"/>
        </w:rPr>
        <w:t>Mahfuz</w:t>
      </w:r>
      <w:proofErr w:type="spellEnd"/>
      <w:r>
        <w:rPr>
          <w:rFonts w:ascii="Times New Roman" w:hAnsi="Times New Roman" w:cs="Times New Roman"/>
        </w:rPr>
        <w:t>, M. A., &amp; H</w:t>
      </w:r>
      <w:r>
        <w:rPr>
          <w:rFonts w:ascii="Times New Roman" w:hAnsi="Times New Roman" w:cs="Times New Roman"/>
        </w:rPr>
        <w:t xml:space="preserve">amid, Z. (2021). </w:t>
      </w:r>
      <w:r>
        <w:rPr>
          <w:rFonts w:ascii="Times New Roman" w:hAnsi="Times New Roman" w:cs="Times New Roman"/>
          <w:i/>
          <w:iCs/>
        </w:rPr>
        <w:t>Financial literacy and digital banking usage among Malaysian youth: A study on influencing factors</w:t>
      </w:r>
      <w:r>
        <w:rPr>
          <w:rFonts w:ascii="Times New Roman" w:hAnsi="Times New Roman" w:cs="Times New Roman"/>
        </w:rPr>
        <w:t xml:space="preserve">. International Journal of Academic Research in Business and Social Sciences, 11(8), 1–12. </w:t>
      </w:r>
    </w:p>
    <w:p w14:paraId="7F0D0AF0" w14:textId="77777777" w:rsidR="004E1BA2" w:rsidRDefault="0054188C">
      <w:pPr>
        <w:ind w:left="720" w:hanging="720"/>
        <w:jc w:val="both"/>
        <w:rPr>
          <w:rFonts w:ascii="Times New Roman" w:hAnsi="Times New Roman" w:cs="Times New Roman"/>
        </w:rPr>
      </w:pPr>
      <w:proofErr w:type="spellStart"/>
      <w:r>
        <w:rPr>
          <w:rFonts w:ascii="Times New Roman" w:hAnsi="Times New Roman" w:cs="Times New Roman"/>
        </w:rPr>
        <w:t>Jegatheesparan</w:t>
      </w:r>
      <w:proofErr w:type="spellEnd"/>
      <w:r>
        <w:rPr>
          <w:rFonts w:ascii="Times New Roman" w:hAnsi="Times New Roman" w:cs="Times New Roman"/>
        </w:rPr>
        <w:t xml:space="preserve">, P., &amp; </w:t>
      </w:r>
      <w:proofErr w:type="spellStart"/>
      <w:r>
        <w:rPr>
          <w:rFonts w:ascii="Times New Roman" w:hAnsi="Times New Roman" w:cs="Times New Roman"/>
        </w:rPr>
        <w:t>Rajeshwaran</w:t>
      </w:r>
      <w:proofErr w:type="spellEnd"/>
      <w:r>
        <w:rPr>
          <w:rFonts w:ascii="Times New Roman" w:hAnsi="Times New Roman" w:cs="Times New Roman"/>
        </w:rPr>
        <w:t xml:space="preserve">, N. (2020). </w:t>
      </w:r>
      <w:r>
        <w:rPr>
          <w:rFonts w:ascii="Times New Roman" w:hAnsi="Times New Roman" w:cs="Times New Roman"/>
          <w:i/>
          <w:iCs/>
        </w:rPr>
        <w:t>Fac</w:t>
      </w:r>
      <w:r>
        <w:rPr>
          <w:rFonts w:ascii="Times New Roman" w:hAnsi="Times New Roman" w:cs="Times New Roman"/>
          <w:i/>
          <w:iCs/>
        </w:rPr>
        <w:t>tors influencing the adoption of e-banking in urban and rural districts of Sri Lanka</w:t>
      </w:r>
      <w:r>
        <w:rPr>
          <w:rFonts w:ascii="Times New Roman" w:hAnsi="Times New Roman" w:cs="Times New Roman"/>
        </w:rPr>
        <w:t xml:space="preserve">. International Journal of Accounting and Financial Reporting, 10(2), 140–156. </w:t>
      </w:r>
    </w:p>
    <w:p w14:paraId="19031982" w14:textId="77777777" w:rsidR="004E1BA2" w:rsidRDefault="0054188C">
      <w:pPr>
        <w:ind w:left="720" w:hanging="720"/>
        <w:jc w:val="both"/>
        <w:rPr>
          <w:rFonts w:ascii="Times New Roman" w:hAnsi="Times New Roman" w:cs="Times New Roman"/>
        </w:rPr>
      </w:pPr>
      <w:r>
        <w:rPr>
          <w:rFonts w:ascii="Times New Roman" w:hAnsi="Times New Roman" w:cs="Times New Roman"/>
        </w:rPr>
        <w:t xml:space="preserve">Mano, P. N., </w:t>
      </w:r>
      <w:proofErr w:type="spellStart"/>
      <w:r>
        <w:rPr>
          <w:rFonts w:ascii="Times New Roman" w:hAnsi="Times New Roman" w:cs="Times New Roman"/>
        </w:rPr>
        <w:t>Sanjeewa</w:t>
      </w:r>
      <w:proofErr w:type="spellEnd"/>
      <w:r>
        <w:rPr>
          <w:rFonts w:ascii="Times New Roman" w:hAnsi="Times New Roman" w:cs="Times New Roman"/>
        </w:rPr>
        <w:t xml:space="preserve">, W. D. R. R., &amp; </w:t>
      </w:r>
      <w:proofErr w:type="spellStart"/>
      <w:r>
        <w:rPr>
          <w:rFonts w:ascii="Times New Roman" w:hAnsi="Times New Roman" w:cs="Times New Roman"/>
        </w:rPr>
        <w:t>Edirisinghe</w:t>
      </w:r>
      <w:proofErr w:type="spellEnd"/>
      <w:r>
        <w:rPr>
          <w:rFonts w:ascii="Times New Roman" w:hAnsi="Times New Roman" w:cs="Times New Roman"/>
        </w:rPr>
        <w:t xml:space="preserve">, A. G. M. (2020). </w:t>
      </w:r>
      <w:r>
        <w:rPr>
          <w:rFonts w:ascii="Times New Roman" w:hAnsi="Times New Roman" w:cs="Times New Roman"/>
          <w:i/>
          <w:iCs/>
        </w:rPr>
        <w:t>Customer perception towa</w:t>
      </w:r>
      <w:r>
        <w:rPr>
          <w:rFonts w:ascii="Times New Roman" w:hAnsi="Times New Roman" w:cs="Times New Roman"/>
          <w:i/>
          <w:iCs/>
        </w:rPr>
        <w:t>rds e-banking: A comparative study of urban and rural areas in Sri Lanka</w:t>
      </w:r>
      <w:r>
        <w:rPr>
          <w:rFonts w:ascii="Times New Roman" w:hAnsi="Times New Roman" w:cs="Times New Roman"/>
        </w:rPr>
        <w:t xml:space="preserve">. International Journal of Advanced Research, 8(11), 433–440. </w:t>
      </w:r>
    </w:p>
    <w:p w14:paraId="26F64C2C" w14:textId="77777777" w:rsidR="004E1BA2" w:rsidRDefault="0054188C">
      <w:pPr>
        <w:ind w:left="720" w:hanging="720"/>
        <w:jc w:val="both"/>
        <w:rPr>
          <w:rFonts w:ascii="Times New Roman" w:hAnsi="Times New Roman" w:cs="Times New Roman"/>
        </w:rPr>
      </w:pPr>
      <w:r>
        <w:rPr>
          <w:rFonts w:ascii="Times New Roman" w:hAnsi="Times New Roman" w:cs="Times New Roman"/>
        </w:rPr>
        <w:t xml:space="preserve">McConnell, C. R., Brue, S. L., &amp; Flynn, S. M. (2009). </w:t>
      </w:r>
      <w:r>
        <w:rPr>
          <w:rFonts w:ascii="Times New Roman" w:hAnsi="Times New Roman" w:cs="Times New Roman"/>
          <w:i/>
          <w:iCs/>
        </w:rPr>
        <w:t>Economics: Principles, problems, and policies</w:t>
      </w:r>
      <w:r>
        <w:rPr>
          <w:rFonts w:ascii="Times New Roman" w:hAnsi="Times New Roman" w:cs="Times New Roman"/>
        </w:rPr>
        <w:t xml:space="preserve"> (18th </w:t>
      </w:r>
      <w:proofErr w:type="gramStart"/>
      <w:r>
        <w:rPr>
          <w:rFonts w:ascii="Times New Roman" w:hAnsi="Times New Roman" w:cs="Times New Roman"/>
        </w:rPr>
        <w:t>ed</w:t>
      </w:r>
      <w:proofErr w:type="gramEnd"/>
      <w:r>
        <w:rPr>
          <w:rFonts w:ascii="Times New Roman" w:hAnsi="Times New Roman" w:cs="Times New Roman"/>
        </w:rPr>
        <w:t>.). McGraw-Hi</w:t>
      </w:r>
      <w:r>
        <w:rPr>
          <w:rFonts w:ascii="Times New Roman" w:hAnsi="Times New Roman" w:cs="Times New Roman"/>
        </w:rPr>
        <w:t>ll Education.</w:t>
      </w:r>
    </w:p>
    <w:p w14:paraId="51D4F373" w14:textId="77777777" w:rsidR="004E1BA2" w:rsidRDefault="0054188C">
      <w:pPr>
        <w:ind w:left="720" w:hanging="720"/>
        <w:jc w:val="both"/>
        <w:rPr>
          <w:rFonts w:ascii="Times New Roman" w:hAnsi="Times New Roman" w:cs="Times New Roman"/>
        </w:rPr>
      </w:pPr>
      <w:proofErr w:type="spellStart"/>
      <w:r>
        <w:rPr>
          <w:rFonts w:ascii="Times New Roman" w:hAnsi="Times New Roman" w:cs="Times New Roman"/>
        </w:rPr>
        <w:t>Meah</w:t>
      </w:r>
      <w:proofErr w:type="spellEnd"/>
      <w:r>
        <w:rPr>
          <w:rFonts w:ascii="Times New Roman" w:hAnsi="Times New Roman" w:cs="Times New Roman"/>
        </w:rPr>
        <w:t xml:space="preserve">, N. (2023). </w:t>
      </w:r>
      <w:r>
        <w:rPr>
          <w:rFonts w:ascii="Times New Roman" w:hAnsi="Times New Roman" w:cs="Times New Roman"/>
          <w:i/>
          <w:iCs/>
        </w:rPr>
        <w:t>The rise of digital banking: Convenience or concern?</w:t>
      </w:r>
      <w:r>
        <w:rPr>
          <w:rFonts w:ascii="Times New Roman" w:hAnsi="Times New Roman" w:cs="Times New Roman"/>
        </w:rPr>
        <w:t xml:space="preserve"> Financial Times. </w:t>
      </w:r>
    </w:p>
    <w:p w14:paraId="718C56D8" w14:textId="77777777" w:rsidR="004E1BA2" w:rsidRDefault="0054188C">
      <w:pPr>
        <w:ind w:left="720" w:hanging="720"/>
        <w:jc w:val="both"/>
        <w:rPr>
          <w:rFonts w:ascii="Times New Roman" w:hAnsi="Times New Roman" w:cs="Times New Roman"/>
        </w:rPr>
      </w:pPr>
      <w:r>
        <w:rPr>
          <w:rFonts w:ascii="Times New Roman" w:hAnsi="Times New Roman" w:cs="Times New Roman"/>
        </w:rPr>
        <w:t xml:space="preserve">Davis, F. D. (1989). </w:t>
      </w:r>
      <w:r>
        <w:rPr>
          <w:rFonts w:ascii="Times New Roman" w:hAnsi="Times New Roman" w:cs="Times New Roman"/>
          <w:i/>
          <w:iCs/>
        </w:rPr>
        <w:t>Perceived usefulness, perceived ease of use, and user acceptance of information technology</w:t>
      </w:r>
      <w:r>
        <w:rPr>
          <w:rFonts w:ascii="Times New Roman" w:hAnsi="Times New Roman" w:cs="Times New Roman"/>
        </w:rPr>
        <w:t xml:space="preserve">. MIS Quarterly, 13(3), 319–340. </w:t>
      </w:r>
    </w:p>
    <w:p w14:paraId="3F35A21C" w14:textId="77777777" w:rsidR="004E1BA2" w:rsidRDefault="004E1BA2">
      <w:pPr>
        <w:jc w:val="both"/>
        <w:rPr>
          <w:rFonts w:ascii="Times New Roman" w:hAnsi="Times New Roman" w:cs="Times New Roman"/>
        </w:rPr>
      </w:pPr>
    </w:p>
    <w:sectPr w:rsidR="004E1BA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die Wiedz" w:date="2025-06-07T15:37:00Z" w:initials="RW">
    <w:p w14:paraId="1384B888" w14:textId="77777777" w:rsidR="004E1BA2" w:rsidRDefault="0054188C">
      <w:pPr>
        <w:pStyle w:val="CommentText"/>
      </w:pPr>
      <w:r>
        <w:rPr>
          <w:rFonts w:ascii="Calibri" w:hAnsi="Calibri" w:cs="Calibri"/>
        </w:rPr>
        <w:t xml:space="preserve">It should explain a detail of </w:t>
      </w:r>
      <w:proofErr w:type="spellStart"/>
      <w:r>
        <w:rPr>
          <w:rFonts w:ascii="Calibri" w:hAnsi="Calibri" w:cs="Calibri"/>
        </w:rPr>
        <w:t>researh</w:t>
      </w:r>
      <w:proofErr w:type="spellEnd"/>
      <w:r>
        <w:rPr>
          <w:rFonts w:ascii="Calibri" w:hAnsi="Calibri" w:cs="Calibri"/>
        </w:rPr>
        <w:t xml:space="preserve"> design such sampling technique, respondent criteria, analysis method </w:t>
      </w:r>
      <w:proofErr w:type="spellStart"/>
      <w:r>
        <w:rPr>
          <w:rFonts w:ascii="Calibri" w:hAnsi="Calibri" w:cs="Calibri"/>
        </w:rPr>
        <w:t>etc</w:t>
      </w:r>
      <w:proofErr w:type="spellEnd"/>
    </w:p>
  </w:comment>
  <w:comment w:id="1" w:author="Rdie Wiedz" w:date="2025-06-07T15:42:00Z" w:initials="RW">
    <w:p w14:paraId="5783A977" w14:textId="77777777" w:rsidR="004E1BA2" w:rsidRDefault="0054188C">
      <w:pPr>
        <w:pStyle w:val="CommentText"/>
        <w:rPr>
          <w:rFonts w:ascii="Calibri" w:hAnsi="Calibri" w:cs="Calibri"/>
        </w:rPr>
      </w:pPr>
      <w:r>
        <w:rPr>
          <w:rFonts w:ascii="Calibri" w:hAnsi="Calibri" w:cs="Calibri"/>
        </w:rPr>
        <w:t xml:space="preserve">It should explain the suitability of the use of this research method with its </w:t>
      </w:r>
      <w:r>
        <w:rPr>
          <w:rFonts w:ascii="Calibri" w:hAnsi="Calibri" w:cs="Calibri"/>
        </w:rPr>
        <w:t>aims</w:t>
      </w:r>
      <w:r>
        <w:rPr>
          <w:rFonts w:ascii="Calibri" w:hAnsi="Calibri" w:cs="Calibri"/>
        </w:rPr>
        <w:t xml:space="preserve">. It also needs clarity on which previous research this </w:t>
      </w:r>
      <w:r>
        <w:rPr>
          <w:rFonts w:ascii="Calibri" w:hAnsi="Calibri" w:cs="Calibri"/>
        </w:rPr>
        <w:t>research is based on and whether there is any methodological development from the previous one.</w:t>
      </w:r>
    </w:p>
  </w:comment>
  <w:comment w:id="2" w:author="Rdie Wiedz" w:date="2025-06-07T15:47:00Z" w:initials="RW">
    <w:p w14:paraId="01C05551" w14:textId="77777777" w:rsidR="004E1BA2" w:rsidRDefault="0054188C">
      <w:pPr>
        <w:pStyle w:val="CommentText"/>
        <w:rPr>
          <w:rFonts w:ascii="Calibri" w:hAnsi="Calibri" w:cs="Calibri"/>
        </w:rPr>
      </w:pPr>
      <w:r>
        <w:rPr>
          <w:rFonts w:ascii="Calibri" w:hAnsi="Calibri" w:cs="Calibri"/>
        </w:rPr>
        <w:t>It needs a clear explanation research model as well as robust analysis</w:t>
      </w:r>
    </w:p>
  </w:comment>
  <w:comment w:id="3" w:author="Rdie Wiedz" w:date="2025-06-07T15:51:00Z" w:initials="RW">
    <w:p w14:paraId="7FEFEDB5" w14:textId="77777777" w:rsidR="004E1BA2" w:rsidRDefault="0054188C">
      <w:pPr>
        <w:pStyle w:val="CommentText"/>
        <w:rPr>
          <w:rFonts w:ascii="Calibri" w:hAnsi="Calibri" w:cs="Calibri"/>
        </w:rPr>
      </w:pPr>
      <w:r>
        <w:rPr>
          <w:rFonts w:ascii="Calibri" w:hAnsi="Calibri" w:cs="Calibri"/>
        </w:rPr>
        <w:t>It is better to deepen the relationship between respondents' personal data and the resear</w:t>
      </w:r>
      <w:r>
        <w:rPr>
          <w:rFonts w:ascii="Calibri" w:hAnsi="Calibri" w:cs="Calibri"/>
        </w:rPr>
        <w:t>ch aims</w:t>
      </w:r>
    </w:p>
  </w:comment>
  <w:comment w:id="4" w:author="Rdie Wiedz" w:date="2025-06-07T15:53:00Z" w:initials="RW">
    <w:p w14:paraId="10162CC7" w14:textId="77777777" w:rsidR="004E1BA2" w:rsidRDefault="0054188C">
      <w:pPr>
        <w:pStyle w:val="CommentText"/>
      </w:pPr>
      <w:r>
        <w:rPr>
          <w:rFonts w:ascii="Calibri" w:hAnsi="Calibri" w:cs="Calibri"/>
        </w:rPr>
        <w:t xml:space="preserve">Better explain it in research aims context not only in statistic context with the strong argument of unique finding that in line or not to previous research </w:t>
      </w:r>
    </w:p>
  </w:comment>
  <w:comment w:id="5" w:author="Rdie Wiedz" w:date="2025-06-07T15:55:00Z" w:initials="RW">
    <w:p w14:paraId="4A34A187" w14:textId="77777777" w:rsidR="004E1BA2" w:rsidRDefault="0054188C">
      <w:pPr>
        <w:pStyle w:val="CommentText"/>
      </w:pPr>
      <w:r>
        <w:rPr>
          <w:rFonts w:ascii="Times New Roman" w:hAnsi="Times New Roman" w:cs="Times New Roman"/>
        </w:rPr>
        <w:t xml:space="preserve">Author must explore a deep analysis related previous research as well as theories </w:t>
      </w:r>
    </w:p>
  </w:comment>
  <w:comment w:id="6" w:author="Rdie Wiedz" w:date="2025-06-07T15:57:00Z" w:initials="RW">
    <w:p w14:paraId="3A868BEB" w14:textId="77777777" w:rsidR="004E1BA2" w:rsidRDefault="0054188C">
      <w:pPr>
        <w:pStyle w:val="CommentText"/>
        <w:rPr>
          <w:rFonts w:ascii="Calibri" w:hAnsi="Calibri" w:cs="Calibri"/>
        </w:rPr>
      </w:pPr>
      <w:proofErr w:type="gramStart"/>
      <w:r>
        <w:rPr>
          <w:rFonts w:ascii="Calibri" w:hAnsi="Calibri" w:cs="Calibri"/>
        </w:rPr>
        <w:t>in</w:t>
      </w:r>
      <w:proofErr w:type="gramEnd"/>
      <w:r>
        <w:rPr>
          <w:rFonts w:ascii="Calibri" w:hAnsi="Calibri" w:cs="Calibri"/>
        </w:rPr>
        <w:t xml:space="preserve"> the </w:t>
      </w:r>
      <w:r>
        <w:rPr>
          <w:rFonts w:ascii="Calibri" w:hAnsi="Calibri" w:cs="Calibri"/>
        </w:rPr>
        <w:t>conclusion,  it should not be assigned a number unless there is a regulatory standard</w:t>
      </w:r>
    </w:p>
  </w:comment>
  <w:comment w:id="7" w:author="Rdie Wiedz" w:date="2025-06-07T15:59:00Z" w:initials="RW">
    <w:p w14:paraId="4D891376" w14:textId="77777777" w:rsidR="004E1BA2" w:rsidRDefault="0054188C">
      <w:pPr>
        <w:pStyle w:val="CommentText"/>
        <w:rPr>
          <w:rFonts w:ascii="Times New Roman" w:hAnsi="Times New Roman" w:cs="Times New Roman"/>
        </w:rPr>
      </w:pPr>
      <w:r>
        <w:rPr>
          <w:rFonts w:ascii="Times New Roman" w:hAnsi="Times New Roman" w:cs="Times New Roman"/>
        </w:rPr>
        <w:t xml:space="preserve">Author should write strong argument related to their research results and expose the unique finding </w:t>
      </w:r>
    </w:p>
    <w:p w14:paraId="41E856D6" w14:textId="77777777" w:rsidR="004E1BA2" w:rsidRDefault="004E1BA2">
      <w:pPr>
        <w:pStyle w:val="CommentText"/>
        <w:rPr>
          <w:rFonts w:ascii="Times New Roman" w:hAnsi="Times New Roman" w:cs="Times New Roman"/>
        </w:rPr>
      </w:pPr>
    </w:p>
    <w:p w14:paraId="7803D384" w14:textId="77777777" w:rsidR="004E1BA2" w:rsidRDefault="0054188C">
      <w:pPr>
        <w:pStyle w:val="CommentText"/>
        <w:rPr>
          <w:rFonts w:ascii="Times New Roman" w:hAnsi="Times New Roman" w:cs="Times New Roman"/>
        </w:rPr>
      </w:pPr>
      <w:r>
        <w:rPr>
          <w:rFonts w:ascii="Times New Roman" w:hAnsi="Times New Roman" w:cs="Times New Roman"/>
        </w:rPr>
        <w:t>Explain the limitation this research and the suggestion for future r</w:t>
      </w:r>
      <w:r>
        <w:rPr>
          <w:rFonts w:ascii="Times New Roman" w:hAnsi="Times New Roman" w:cs="Times New Roman"/>
        </w:rPr>
        <w:t>esearch</w:t>
      </w:r>
    </w:p>
    <w:p w14:paraId="5B3191FE" w14:textId="77777777" w:rsidR="004E1BA2" w:rsidRDefault="004E1BA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84B888" w15:done="0"/>
  <w15:commentEx w15:paraId="5783A977" w15:done="0"/>
  <w15:commentEx w15:paraId="01C05551" w15:done="0"/>
  <w15:commentEx w15:paraId="7FEFEDB5" w15:done="0"/>
  <w15:commentEx w15:paraId="10162CC7" w15:done="0"/>
  <w15:commentEx w15:paraId="4A34A187" w15:done="0"/>
  <w15:commentEx w15:paraId="3A868BEB" w15:done="0"/>
  <w15:commentEx w15:paraId="5B3191F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CF033" w14:textId="77777777" w:rsidR="0054188C" w:rsidRDefault="0054188C">
      <w:pPr>
        <w:spacing w:line="240" w:lineRule="auto"/>
      </w:pPr>
      <w:r>
        <w:separator/>
      </w:r>
    </w:p>
  </w:endnote>
  <w:endnote w:type="continuationSeparator" w:id="0">
    <w:p w14:paraId="06EFD212" w14:textId="77777777" w:rsidR="0054188C" w:rsidRDefault="005418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Calibri"/>
    <w:charset w:val="00"/>
    <w:family w:val="auto"/>
    <w:pitch w:val="default"/>
  </w:font>
  <w:font w:name="Iskoola Pota">
    <w:charset w:val="00"/>
    <w:family w:val="swiss"/>
    <w:pitch w:val="default"/>
    <w:sig w:usb0="00000000" w:usb1="00000000" w:usb2="00000200" w:usb3="00000000" w:csb0="00000001" w:csb1="00000000"/>
  </w:font>
  <w:font w:name="Aptos Display">
    <w:altName w:val="Calibri"/>
    <w:charset w:val="00"/>
    <w:family w:val="swiss"/>
    <w:pitch w:val="default"/>
    <w:sig w:usb0="00000000" w:usb1="00000000" w:usb2="00000000" w:usb3="00000000" w:csb0="0000019F" w:csb1="00000000"/>
  </w:font>
  <w:font w:name="等线 Light">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1"/>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E58CA" w14:textId="77777777" w:rsidR="004E1BA2" w:rsidRDefault="004E1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000F2" w14:textId="77777777" w:rsidR="004E1BA2" w:rsidRDefault="004E1B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0B971" w14:textId="77777777" w:rsidR="004E1BA2" w:rsidRDefault="004E1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A0F92" w14:textId="77777777" w:rsidR="0054188C" w:rsidRDefault="0054188C">
      <w:pPr>
        <w:spacing w:after="0"/>
      </w:pPr>
      <w:r>
        <w:separator/>
      </w:r>
    </w:p>
  </w:footnote>
  <w:footnote w:type="continuationSeparator" w:id="0">
    <w:p w14:paraId="01315291" w14:textId="77777777" w:rsidR="0054188C" w:rsidRDefault="005418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A6D81" w14:textId="77777777" w:rsidR="004E1BA2" w:rsidRDefault="0054188C">
    <w:pPr>
      <w:pStyle w:val="Header"/>
    </w:pPr>
    <w:r>
      <w:pict w14:anchorId="179E34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136422" o:spid="_x0000_s2050" type="#_x0000_t136" style="position:absolute;margin-left:0;margin-top:0;width:593.85pt;height:65.95pt;rotation:315;z-index:-251656192;mso-position-horizontal:center;mso-position-horizontal-relative:margin;mso-position-vertical:center;mso-position-vertical-relative:margin;mso-width-relative:page;mso-height-relative:page" o:allowincell="f" fillcolor="silver" stroked="f">
          <v:fill opacity=".5"/>
          <v:textpath style="font-family:&quot;Aptos&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0DC04" w14:textId="77777777" w:rsidR="004E1BA2" w:rsidRDefault="0054188C">
    <w:pPr>
      <w:pStyle w:val="Header"/>
    </w:pPr>
    <w:r>
      <w:pict w14:anchorId="734789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136423" o:spid="_x0000_s2051" type="#_x0000_t136" style="position:absolute;margin-left:0;margin-top:0;width:593.85pt;height:65.95pt;rotation:315;z-index:-251655168;mso-position-horizontal:center;mso-position-horizontal-relative:margin;mso-position-vertical:center;mso-position-vertical-relative:margin;mso-width-relative:page;mso-height-relative:page" o:allowincell="f" fillcolor="silver" stroked="f">
          <v:fill opacity=".5"/>
          <v:textpath style="font-family:&quot;Aptos&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308B6" w14:textId="77777777" w:rsidR="004E1BA2" w:rsidRDefault="0054188C">
    <w:pPr>
      <w:pStyle w:val="Header"/>
    </w:pPr>
    <w:r>
      <w:pict w14:anchorId="5393EC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136421" o:spid="_x0000_s2049" type="#_x0000_t136" style="position:absolute;margin-left:0;margin-top:0;width:593.85pt;height:65.95pt;rotation:315;z-index:-251657216;mso-position-horizontal:center;mso-position-horizontal-relative:margin;mso-position-vertical:center;mso-position-vertical-relative:margin;mso-width-relative:page;mso-height-relative:page" o:allowincell="f" fillcolor="silver" stroked="f">
          <v:fill opacity=".5"/>
          <v:textpath style="font-family:&quot;Aptos&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0A21A8"/>
    <w:multiLevelType w:val="multilevel"/>
    <w:tmpl w:val="5D0A21A8"/>
    <w:lvl w:ilvl="0">
      <w:start w:val="1"/>
      <w:numFmt w:val="decimalZero"/>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die Wiedz">
    <w15:presenceInfo w15:providerId="None" w15:userId="Rdie Wied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ED8"/>
    <w:rsid w:val="000F48DB"/>
    <w:rsid w:val="000F4ED8"/>
    <w:rsid w:val="001657C6"/>
    <w:rsid w:val="001A6223"/>
    <w:rsid w:val="001B1B07"/>
    <w:rsid w:val="001F5310"/>
    <w:rsid w:val="00286060"/>
    <w:rsid w:val="0033231B"/>
    <w:rsid w:val="00334F17"/>
    <w:rsid w:val="003E7B44"/>
    <w:rsid w:val="00425299"/>
    <w:rsid w:val="00461F9A"/>
    <w:rsid w:val="00487A25"/>
    <w:rsid w:val="004E1BA2"/>
    <w:rsid w:val="0054188C"/>
    <w:rsid w:val="005A6CE5"/>
    <w:rsid w:val="00626CE1"/>
    <w:rsid w:val="006D4EFE"/>
    <w:rsid w:val="006E0429"/>
    <w:rsid w:val="00751154"/>
    <w:rsid w:val="007778B1"/>
    <w:rsid w:val="00794562"/>
    <w:rsid w:val="007D1922"/>
    <w:rsid w:val="008271EC"/>
    <w:rsid w:val="008670BF"/>
    <w:rsid w:val="00883E5F"/>
    <w:rsid w:val="008E7ECB"/>
    <w:rsid w:val="00925431"/>
    <w:rsid w:val="009254AC"/>
    <w:rsid w:val="009B7E91"/>
    <w:rsid w:val="009D7363"/>
    <w:rsid w:val="009E4F19"/>
    <w:rsid w:val="00A8799C"/>
    <w:rsid w:val="00A96D73"/>
    <w:rsid w:val="00BA619D"/>
    <w:rsid w:val="00BF0310"/>
    <w:rsid w:val="00C061EC"/>
    <w:rsid w:val="00D945E1"/>
    <w:rsid w:val="00E02355"/>
    <w:rsid w:val="00E111EB"/>
    <w:rsid w:val="00E16415"/>
    <w:rsid w:val="00EB0899"/>
    <w:rsid w:val="00EC7A13"/>
    <w:rsid w:val="00F24D10"/>
    <w:rsid w:val="00F76BB6"/>
    <w:rsid w:val="00FB6850"/>
    <w:rsid w:val="2B6A36D2"/>
    <w:rsid w:val="2FA04132"/>
    <w:rsid w:val="59480DA1"/>
    <w:rsid w:val="5E471CBA"/>
    <w:rsid w:val="5F230066"/>
    <w:rsid w:val="6A3F2ADC"/>
    <w:rsid w:val="75AB1C1F"/>
    <w:rsid w:val="7E4E70AC"/>
  </w:rsids>
  <m:mathPr>
    <m:mathFont m:val="Cambria Math"/>
    <m:brkBin m:val="before"/>
    <m:brkBinSub m:val="--"/>
    <m:smallFrac m:val="0"/>
    <m:dispDef/>
    <m:lMargin m:val="0"/>
    <m:rMargin m:val="0"/>
    <m:defJc m:val="centerGroup"/>
    <m:wrapIndent m:val="1440"/>
    <m:intLim m:val="subSup"/>
    <m:naryLim m:val="undOvr"/>
  </m:mathPr>
  <w:themeFontLang w:val="en-US"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2612C14-0360-46B0-9170-509F9D24A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78" w:lineRule="auto"/>
    </w:pPr>
    <w:rPr>
      <w:kern w:val="2"/>
      <w:sz w:val="24"/>
      <w:szCs w:val="24"/>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qFormat/>
    <w:rPr>
      <w:rFonts w:ascii="Times New Roman" w:hAnsi="Times New Roman" w:cs="Times New Roman"/>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E74B5" w:themeColor="accent1" w:themeShade="BF"/>
    </w:rPr>
  </w:style>
  <w:style w:type="paragraph" w:styleId="IntenseQuote">
    <w:name w:val="Intense Quote"/>
    <w:basedOn w:val="Normal"/>
    <w:next w:val="Normal"/>
    <w:link w:val="IntenseQuoteCh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qFormat/>
    <w:rPr>
      <w:i/>
      <w:iCs/>
      <w:color w:val="2E74B5" w:themeColor="accent1" w:themeShade="BF"/>
    </w:rPr>
  </w:style>
  <w:style w:type="character" w:customStyle="1" w:styleId="IntenseReference1">
    <w:name w:val="Intense Reference1"/>
    <w:basedOn w:val="DefaultParagraphFont"/>
    <w:uiPriority w:val="32"/>
    <w:qFormat/>
    <w:rPr>
      <w:b/>
      <w:bCs/>
      <w:smallCaps/>
      <w:color w:val="2E74B5" w:themeColor="accent1" w:themeShade="BF"/>
      <w:spacing w:val="5"/>
    </w:rPr>
  </w:style>
  <w:style w:type="character" w:customStyle="1" w:styleId="UnresolvedMention">
    <w:name w:val="Unresolved Mention"/>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24D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D10"/>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tatistics.gov.lk"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3711</Words>
  <Characters>21157</Characters>
  <Application>Microsoft Office Word</Application>
  <DocSecurity>0</DocSecurity>
  <Lines>176</Lines>
  <Paragraphs>49</Paragraphs>
  <ScaleCrop>false</ScaleCrop>
  <Company/>
  <LinksUpToDate>false</LinksUpToDate>
  <CharactersWithSpaces>24819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Samadhi Abhisheka</dc:creator>
  <cp:lastModifiedBy>SDI CPU 1130</cp:lastModifiedBy>
  <cp:revision>25</cp:revision>
  <dcterms:created xsi:type="dcterms:W3CDTF">2025-05-27T07:38:00Z</dcterms:created>
  <dcterms:modified xsi:type="dcterms:W3CDTF">2025-06-09T10:31:00Z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9218C4253B704DCD971922BCD1913F00_13</vt:lpwstr>
  </property>
</Properties>
</file>